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NORMATIVA ESENCIAL</w:t>
      </w:r>
    </w:p>
    <w:p>
      <w:pPr>
        <w:spacing w:before="0" w:after="16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2"/>
        </w:rPr>
        <w:t>Normativa esencial para Administrativo de la Administración de la Seguridad Social, C1, turno libre</w:t>
      </w:r>
    </w:p>
    <w:p>
      <w:pPr>
        <w:spacing w:before="60" w:after="320"/>
      </w:pPr>
      <w:r>
        <w:rPr>
          <w:rFonts w:ascii="Arial" w:hAnsi="Arial" w:cs="Arial"/>
          <w:i/>
          <w:color w:val="333333"/>
          <w:sz w:val="22"/>
        </w:rPr>
        <w:t>Relación razonada, vigencia, artículos clave y correspondencia con el programa oficial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Acceso: </w:t>
      </w:r>
      <w:r>
        <w:rPr>
          <w:rFonts w:ascii="Arial" w:hAnsi="Arial" w:cs="Arial"/>
          <w:color w:val="333333"/>
          <w:sz w:val="19"/>
        </w:rPr>
        <w:t>Sistema general de acceso libre · Subgrupo C1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Convocatoria base: </w:t>
      </w:r>
      <w:r>
        <w:rPr>
          <w:rFonts w:ascii="Arial" w:hAnsi="Arial" w:cs="Arial"/>
          <w:color w:val="333333"/>
          <w:sz w:val="19"/>
        </w:rPr>
        <w:t>Resolución de 22 de diciembre de 2025 (BOE de 31-12-2025)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Corrección: </w:t>
      </w:r>
      <w:r>
        <w:rPr>
          <w:rFonts w:ascii="Arial" w:hAnsi="Arial" w:cs="Arial"/>
          <w:color w:val="333333"/>
          <w:sz w:val="19"/>
        </w:rPr>
        <w:t>BOE de 7 de marzo de 2026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Fecha de corte del material: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Titular: </w:t>
      </w:r>
      <w:r>
        <w:rPr>
          <w:rFonts w:ascii="Arial" w:hAnsi="Arial" w:cs="Arial"/>
          <w:color w:val="333333"/>
          <w:sz w:val="19"/>
        </w:rPr>
        <w:t>ACADEMIA LORMAN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1. Criterio de utilización</w:t>
      </w:r>
    </w:p>
    <w:p>
      <w:r>
        <w:t>La relación se ha cerrado el 30 de julio de 2026. El enlace de cada ficha dirige al registro oficial del BOE o, cuando procede, a EUR-Lex. El texto consolidado del BOE es una herramienta informativa: para efectos jurídicos prevalece la publicación oficial y su historial de modificaciones.</w:t>
      </w:r>
    </w:p>
    <w:p>
      <w:r>
        <w:t>Una misma materia puede depender de una norma estable y de una norma anual. La regla estructural debe aprenderse con la norma estable; las bases, topes, cuantías y límites se memorizan con el año 2026 claramente identificado.</w:t>
      </w:r>
    </w:p>
    <w:p>
      <w:r>
        <w:t>Los artículos indicados son una ruta de estudio, no una invitación a memorizar íntegramente la norma. Deben relacionarse con el epígrafe oficial y con las excepciones explicadas en cada tema.</w:t>
      </w:r>
    </w:p>
    <w:p>
      <w:pPr>
        <w:spacing w:after="120"/>
        <w:shd w:fill="FFF2CC"/>
      </w:pPr>
      <w:r>
        <w:rPr>
          <w:rFonts w:ascii="Arial" w:hAnsi="Arial" w:cs="Arial"/>
          <w:b/>
          <w:sz w:val="20"/>
        </w:rPr>
        <w:t>Alerta de fecha:</w:t>
      </w:r>
      <w:r>
        <w:rPr>
          <w:rFonts w:ascii="Arial" w:hAnsi="Arial" w:cs="Arial"/>
          <w:sz w:val="20"/>
        </w:rPr>
        <w:t xml:space="preserve"> el Real Decreto 1132/2002 sigue vigente el 30-07-2026, pero su derogación por el Real Decreto 416/2026 producirá efectos el 28-08-2026.</w:t>
      </w:r>
    </w:p>
    <w:p>
      <w:pPr>
        <w:pStyle w:val="Heading1"/>
      </w:pPr>
      <w:r>
        <w:t>2. Índice general de normas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3300"/>
        <w:gridCol w:w="2950"/>
        <w:gridCol w:w="2176"/>
      </w:tblGrid>
      <w:tr>
        <w:trPr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N.º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Norma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Vigencia</w:t>
            </w:r>
          </w:p>
        </w:tc>
        <w:tc>
          <w:tcPr>
            <w:tcW w:type="dxa" w:w="2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Temas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Constitución Española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con reformas integradas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G01–G09; G21; S01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Reforma constitucional del artículo 49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e integrada en la Constitución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G01; G02; G21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Reforma constitucional del artículo 69.3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Vigente; eficacia electoral diferida según su disposición transitoria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G01; G05; G09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LOTC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G02; G03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LO del Defensor del Pueblo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G05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LOPJ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G06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LO 1/2025 de eficiencia judicial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G06; G18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del Gobierno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G07; G13; G14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9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LRJSP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G07; G08; G12–G14; G20; G23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LBRL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G09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TUE y TFUE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Vigentes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G10; G11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LPAC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G13–G18; G20; G23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LJCA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G18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TREBEP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G19; G21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de incompatibilidades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G19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Reglamento disciplinario AGE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en lo que no se oponga a normas posteriores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G19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Información administrativa y atención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con adaptación al marco electrónico posterior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G20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LO de igualdad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G21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LO de violencia de género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G21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General de Discapacidad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G20; G21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de dependencia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G21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4/2023 LGTBI y trans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G21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RGPD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y directamente aplicable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G22; G23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LOPDGDD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G22; G23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de transparencia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G20; G22; G23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Reglamento de actuación electrónica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G20; G22; G23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Estructura básica de departamentos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G08; G12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Estructura del MISSM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G12; S01; S13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Reforma organizativa del Servicio Jurídico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desde 24-07-2026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G12; S01; S13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TRLGSS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S01–S13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Reglamento de inscripción, afiliación y altas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S02; S03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Orden de convenio especial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S03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Orden ISM/1199/2025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desde 01-11-2025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S03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Reglamento de cotización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S02; S04; S13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RDL 3/2026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S04; S10–S12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Orden de cotización 2026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desde 01-04-2026, con efectos económicos indicados desde 01-01-2026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S02; S04; S08–S12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Reglamento General de Recaudación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S05; S06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Orden de desarrollo recaudatorio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en su redacción consolidada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S05; S06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LISOS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S03–S07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LRJS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S05; S07–S12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1300/1995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en su ámbito compatible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S08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625/2014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S08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2/2025 sobre incapacidad permanente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S08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RDL 9/2025 de nacimiento y cuidado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G19; S09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RDL 11/2024 de jubilación y trabajo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S10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1132/2002 de jubilación gradual y flexible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a 30-07-2026; derogado con efectos de 28-08-2026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S10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416/2026 de jubilación flexible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Publicado y vigente parcialmente; núcleo reglamentario aplicable desde 28-08-2026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S10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RDL 19/2026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G19; S10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241/2026 de pensiones 2026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para el ejercicio 2026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S08; S10–S12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del ingreso mínimo vital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S12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1/2026 de economía social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S12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789/2022 de compatibilidad del IMV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S12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240/2026 sobre compatibilidad del IMV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S12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Patrimonio de la Seguridad Social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S13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Gestión financiera de la Seguridad Social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S13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General Presupuestaria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S13</w:t>
            </w:r>
          </w:p>
        </w:tc>
      </w:tr>
      <w:tr>
        <w:tc>
          <w:tcPr>
            <w:tcW w:type="dxa" w:w="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337/2004 del Fondo de Reserva</w:t>
            </w:r>
          </w:p>
        </w:tc>
        <w:tc>
          <w:tcPr>
            <w:tcW w:type="dxa" w:w="2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en lo compatible con la TRLGSS y reformas posteriores</w:t>
            </w:r>
          </w:p>
        </w:tc>
        <w:tc>
          <w:tcPr>
            <w:tcW w:type="dxa" w:w="21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S13</w:t>
            </w:r>
          </w:p>
        </w:tc>
      </w:tr>
    </w:tbl>
    <w:p>
      <w:pPr>
        <w:spacing w:after="80"/>
      </w:pPr>
    </w:p>
    <w:p>
      <w:pPr>
        <w:pStyle w:val="Heading1"/>
      </w:pPr>
      <w:r>
        <w:t>3. Fichas individuales</w:t>
      </w:r>
    </w:p>
    <w:p>
      <w:pPr>
        <w:pStyle w:val="Heading2"/>
      </w:pPr>
      <w:r>
        <w:t>3.1. Constitución Española</w:t>
      </w:r>
    </w:p>
    <w:p>
      <w:r>
        <w:rPr>
          <w:rFonts w:ascii="Arial" w:hAnsi="Arial" w:cs="Arial"/>
          <w:b/>
          <w:color w:val="17365D"/>
          <w:sz w:val="22"/>
        </w:rPr>
        <w:t>Constitución Española, de 27 de diciembre de 1978.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29-12-1978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Reformas publicadas el 17-02-2024 y el 20-05-2026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con reformas integradas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G01–G09; G21; S01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1–9; 14–55; 56–107; 117–127; 137–158; 167–169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 49 reformado en 2024; artículo 69.3 reformado en 2026 para reconocer a Formentera como circunscripción senatorial propia.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https://www.boe.es/buscar/act.php?id=BOE-A-1978-31229</w:t>
            </w:r>
          </w:p>
        </w:tc>
      </w:tr>
    </w:tbl>
    <w:p>
      <w:pPr>
        <w:spacing w:after="80"/>
      </w:pPr>
    </w:p>
    <w:p>
      <w:pPr>
        <w:pStyle w:val="Heading2"/>
      </w:pPr>
      <w:r>
        <w:t>3.2. Reforma constitucional del artículo 49</w:t>
      </w:r>
    </w:p>
    <w:p>
      <w:r>
        <w:rPr>
          <w:rFonts w:ascii="Arial" w:hAnsi="Arial" w:cs="Arial"/>
          <w:b/>
          <w:color w:val="17365D"/>
          <w:sz w:val="22"/>
        </w:rPr>
        <w:t>Reforma del artículo 49 de la Constitución Española, de 15 de febrero de 2024.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17-02-2024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modificaciones; consulta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e integrada en la Constitución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G01; G02; G21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 único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Sustituyó la terminología anterior y reforzó el mandato de libertad e igualdad real y efectiva de las personas con discapacidad.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https://www.boe.es/buscar/act.php?id=BOE-A-2024-3099</w:t>
            </w:r>
          </w:p>
        </w:tc>
      </w:tr>
    </w:tbl>
    <w:p>
      <w:pPr>
        <w:spacing w:after="80"/>
      </w:pPr>
    </w:p>
    <w:p>
      <w:pPr>
        <w:pStyle w:val="Heading2"/>
      </w:pPr>
      <w:r>
        <w:t>3.3. Reforma constitucional del artículo 69.3</w:t>
      </w:r>
    </w:p>
    <w:p>
      <w:r>
        <w:rPr>
          <w:rFonts w:ascii="Arial" w:hAnsi="Arial" w:cs="Arial"/>
          <w:b/>
          <w:color w:val="17365D"/>
          <w:sz w:val="22"/>
        </w:rPr>
        <w:t>Reforma del apartado 3 del artículo 69 de la Constitución Española, a los efectos de que la isla de Formentera elija un senador propio, de 19 de mayo de 2026.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20-05-2026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modificaciones; consulta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Vigente; eficacia electoral diferida según su disposición transitoria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G01; G05; G09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 único; disposición transitoria única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Separa Ibiza y Formentera como circunscripciones al Senado, con un senador por cada isla.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https://www.boe.es/buscar/act.php?id=BOE-A-2026-10881</w:t>
            </w:r>
          </w:p>
        </w:tc>
      </w:tr>
    </w:tbl>
    <w:p>
      <w:pPr>
        <w:spacing w:after="80"/>
      </w:pPr>
    </w:p>
    <w:p>
      <w:pPr>
        <w:pStyle w:val="Heading2"/>
      </w:pPr>
      <w:r>
        <w:t>3.4. LOTC</w:t>
      </w:r>
    </w:p>
    <w:p>
      <w:r>
        <w:rPr>
          <w:rFonts w:ascii="Arial" w:hAnsi="Arial" w:cs="Arial"/>
          <w:b/>
          <w:color w:val="17365D"/>
          <w:sz w:val="22"/>
        </w:rPr>
        <w:t>Ley Orgánica 2/1979, de 3 de octubre, del Tribunal Constitucional.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05-10-1979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G02; G03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1–26; 27–40; 41–58; 59–75 bis; 78–95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Aplicar únicamente la redacción consolidada y las reglas vigentes sobre amparo, inconstitucionalidad y conflictos.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https://www.boe.es/buscar/act.php?id=BOE-A-1979-23709</w:t>
            </w:r>
          </w:p>
        </w:tc>
      </w:tr>
    </w:tbl>
    <w:p>
      <w:pPr>
        <w:spacing w:after="80"/>
      </w:pPr>
    </w:p>
    <w:p>
      <w:pPr>
        <w:pStyle w:val="Heading2"/>
      </w:pPr>
      <w:r>
        <w:t>3.5. LO del Defensor del Pueblo</w:t>
      </w:r>
    </w:p>
    <w:p>
      <w:r>
        <w:rPr>
          <w:rFonts w:ascii="Arial" w:hAnsi="Arial" w:cs="Arial"/>
          <w:b/>
          <w:color w:val="17365D"/>
          <w:sz w:val="22"/>
        </w:rPr>
        <w:t>Ley Orgánica 3/1981, de 6 de abril, del Defensor del Pueblo.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07-05-1981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1–37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Distinguir supervisión administrativa, legitimación constitucional, tramitación de quejas y ausencia de poder anulatorio.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https://www.boe.es/buscar/act.php?id=BOE-A-1981-10325</w:t>
            </w:r>
          </w:p>
        </w:tc>
      </w:tr>
    </w:tbl>
    <w:p>
      <w:pPr>
        <w:spacing w:after="80"/>
      </w:pPr>
    </w:p>
    <w:p>
      <w:pPr>
        <w:pStyle w:val="Heading2"/>
      </w:pPr>
      <w:r>
        <w:t>3.6. LOPJ</w:t>
      </w:r>
    </w:p>
    <w:p>
      <w:r>
        <w:rPr>
          <w:rFonts w:ascii="Arial" w:hAnsi="Arial" w:cs="Arial"/>
          <w:b/>
          <w:color w:val="17365D"/>
          <w:sz w:val="22"/>
        </w:rPr>
        <w:t>Ley Orgánica 6/1985, de 1 de julio, del Poder Judicial.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02-07-1985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Reforma organizativa de la LO 1/2025 integrada; consulta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1–29; 53–103; 104–178; 558–642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La organización territorial debe estudiarse con Tribunales de Instancia y Oficinas de Justicia, no con el esquema histórico de juzgados aislados.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https://www.boe.es/buscar/act.php?id=BOE-A-1985-12666</w:t>
            </w:r>
          </w:p>
        </w:tc>
      </w:tr>
    </w:tbl>
    <w:p>
      <w:pPr>
        <w:spacing w:after="80"/>
      </w:pPr>
    </w:p>
    <w:p>
      <w:pPr>
        <w:pStyle w:val="Heading2"/>
      </w:pPr>
      <w:r>
        <w:t>3.7. LO 1/2025 de eficiencia judicial</w:t>
      </w:r>
    </w:p>
    <w:p>
      <w:r>
        <w:rPr>
          <w:rFonts w:ascii="Arial" w:hAnsi="Arial" w:cs="Arial"/>
          <w:b/>
          <w:color w:val="17365D"/>
          <w:sz w:val="22"/>
        </w:rPr>
        <w:t>Ley Orgánica 1/2025, de 2 de enero, de medidas en materia de eficiencia del Servicio Público de Justicia.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03-01-2025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del BOE publicada el 04-06-2025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G06; G18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Preceptos y disposiciones que modifican la LOPJ y la LJCA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Implantó los Tribunales de Instancia y las Oficinas de Justicia en los municipios; revisar calendarios de implantación y reglas transitorias.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https://www.boe.es/buscar/act.php?id=BOE-A-2025-76</w:t>
            </w:r>
          </w:p>
        </w:tc>
      </w:tr>
    </w:tbl>
    <w:p>
      <w:pPr>
        <w:spacing w:after="80"/>
      </w:pPr>
    </w:p>
    <w:p>
      <w:pPr>
        <w:pStyle w:val="Heading2"/>
      </w:pPr>
      <w:r>
        <w:t>3.8. Ley del Gobierno</w:t>
      </w:r>
    </w:p>
    <w:p>
      <w:r>
        <w:rPr>
          <w:rFonts w:ascii="Arial" w:hAnsi="Arial" w:cs="Arial"/>
          <w:b/>
          <w:color w:val="17365D"/>
          <w:sz w:val="22"/>
        </w:rPr>
        <w:t>Ley 50/1997, de 27 de noviembre, del Gobierno.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28-11-1997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G07; G13; G14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1–28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Usar la regulación vigente sobre composición, órganos de apoyo, iniciativa legislativa, potestad reglamentaria y Gobierno en funciones.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https://www.boe.es/buscar/act.php?id=BOE-A-1997-25336</w:t>
            </w:r>
          </w:p>
        </w:tc>
      </w:tr>
    </w:tbl>
    <w:p>
      <w:pPr>
        <w:spacing w:after="80"/>
      </w:pPr>
    </w:p>
    <w:p>
      <w:pPr>
        <w:pStyle w:val="Heading2"/>
      </w:pPr>
      <w:r>
        <w:t>3.9. LRJSP</w:t>
      </w:r>
    </w:p>
    <w:p>
      <w:r>
        <w:rPr>
          <w:rFonts w:ascii="Arial" w:hAnsi="Arial" w:cs="Arial"/>
          <w:b/>
          <w:color w:val="17365D"/>
          <w:sz w:val="22"/>
        </w:rPr>
        <w:t>Ley 40/2015, de 1 de octubre, de Régimen Jurídico del Sector Público.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02-10-2015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G07; G08; G12–G14; G20; G23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1–55; 84–129; 140–158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Base para principios, órganos, competencia, abstención y recusación, funcionamiento electrónico, AGE y relaciones interadministrativas.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https://www.boe.es/buscar/act.php?id=BOE-A-2015-10566</w:t>
            </w:r>
          </w:p>
        </w:tc>
      </w:tr>
    </w:tbl>
    <w:p>
      <w:pPr>
        <w:spacing w:after="80"/>
      </w:pPr>
    </w:p>
    <w:p>
      <w:pPr>
        <w:pStyle w:val="Heading2"/>
      </w:pPr>
      <w:r>
        <w:t>3.10. LBRL</w:t>
      </w:r>
    </w:p>
    <w:p>
      <w:r>
        <w:rPr>
          <w:rFonts w:ascii="Arial" w:hAnsi="Arial" w:cs="Arial"/>
          <w:b/>
          <w:color w:val="17365D"/>
          <w:sz w:val="22"/>
        </w:rPr>
        <w:t>Ley 7/1985, de 2 de abril, Reguladora de las Bases del Régimen Local.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03-04-1985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G09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1–10; 11–30; 31–41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Centrar el estudio en municipio, provincia, organización necesaria y competencias; no trasladar reglas autonómicas sin habilitación.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https://www.boe.es/buscar/act.php?id=BOE-A-1985-5392</w:t>
            </w:r>
          </w:p>
        </w:tc>
      </w:tr>
    </w:tbl>
    <w:p>
      <w:pPr>
        <w:spacing w:after="80"/>
      </w:pPr>
    </w:p>
    <w:p>
      <w:pPr>
        <w:pStyle w:val="Heading2"/>
      </w:pPr>
      <w:r>
        <w:t>3.11. TUE y TFUE</w:t>
      </w:r>
    </w:p>
    <w:p>
      <w:r>
        <w:rPr>
          <w:rFonts w:ascii="Arial" w:hAnsi="Arial" w:cs="Arial"/>
          <w:b/>
          <w:color w:val="17365D"/>
          <w:sz w:val="22"/>
        </w:rPr>
        <w:t>Versiones consolidadas del Tratado de la Unión Europea y del Tratado de Funcionamiento de la Unión Europea.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DOUE C 202 de 07-06-2016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Versión consolidada oficial consultada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G10; G11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TUE 13–19; TFUE 223–281 y 288–299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Estudiar composición, competencias, procedimientos y tipología de actos con el texto consolidado de los Tratados.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https://eur-lex.europa.eu/legal-content/ES/TXT/?uri=CELEX:12016ME/TXT</w:t>
            </w:r>
          </w:p>
        </w:tc>
      </w:tr>
    </w:tbl>
    <w:p>
      <w:pPr>
        <w:spacing w:after="80"/>
      </w:pPr>
    </w:p>
    <w:p>
      <w:pPr>
        <w:pStyle w:val="Heading2"/>
      </w:pPr>
      <w:r>
        <w:t>3.12. LPAC</w:t>
      </w:r>
    </w:p>
    <w:p>
      <w:r>
        <w:rPr>
          <w:rFonts w:ascii="Arial" w:hAnsi="Arial" w:cs="Arial"/>
          <w:b/>
          <w:color w:val="17365D"/>
          <w:sz w:val="22"/>
        </w:rPr>
        <w:t>Ley 39/2015, de 1 de octubre, del Procedimiento Administrativo Común de las Administraciones Públicas.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02-10-2015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G13–G18; G20; G23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1–133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Norma central para acto, procedimiento, silencio, cómputo de plazos, notificación, revisión y recursos; contrastar siempre excepciones sectoriales.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https://www.boe.es/buscar/act.php?id=BOE-A-2015-10565</w:t>
            </w:r>
          </w:p>
        </w:tc>
      </w:tr>
    </w:tbl>
    <w:p>
      <w:pPr>
        <w:spacing w:after="80"/>
      </w:pPr>
    </w:p>
    <w:p>
      <w:pPr>
        <w:pStyle w:val="Heading2"/>
      </w:pPr>
      <w:r>
        <w:t>3.13. LJCA</w:t>
      </w:r>
    </w:p>
    <w:p>
      <w:r>
        <w:rPr>
          <w:rFonts w:ascii="Arial" w:hAnsi="Arial" w:cs="Arial"/>
          <w:b/>
          <w:color w:val="17365D"/>
          <w:sz w:val="22"/>
        </w:rPr>
        <w:t>Ley 29/1998, de 13 de julio, reguladora de la Jurisdicción Contencioso-administrativa.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14-07-1998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G18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1–5; 8–14; 19–22; 25–30; 45–78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Diferenciar objeto, actividad impugnable, legitimación, órganos y plazos; integrar la incidencia procesal de la LO 1/2025.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https://www.boe.es/buscar/act.php?id=BOE-A-1998-16718</w:t>
            </w:r>
          </w:p>
        </w:tc>
      </w:tr>
    </w:tbl>
    <w:p>
      <w:pPr>
        <w:spacing w:after="80"/>
      </w:pPr>
    </w:p>
    <w:p>
      <w:pPr>
        <w:pStyle w:val="Heading2"/>
      </w:pPr>
      <w:r>
        <w:t>3.14. TREBEP</w:t>
      </w:r>
    </w:p>
    <w:p>
      <w:r>
        <w:rPr>
          <w:rFonts w:ascii="Arial" w:hAnsi="Arial" w:cs="Arial"/>
          <w:b/>
          <w:color w:val="17365D"/>
          <w:sz w:val="22"/>
        </w:rPr>
        <w:t>Real Decreto Legislativo 5/2015, de 30 de octubre, por el que se aprueba el texto refundido de la Ley del Estatuto Básico del Empleado Público.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31-10-2015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G19; G21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8–13; 14–54; 55–84; 85–92; 93–98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Incluye clases de personal, derechos y deberes, carrera, situaciones y régimen disciplinario; permisos modificados en 2025.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https://www.boe.es/buscar/act.php?id=BOE-A-2015-11719</w:t>
            </w:r>
          </w:p>
        </w:tc>
      </w:tr>
    </w:tbl>
    <w:p>
      <w:pPr>
        <w:spacing w:after="80"/>
      </w:pPr>
    </w:p>
    <w:p>
      <w:pPr>
        <w:pStyle w:val="Heading2"/>
      </w:pPr>
      <w:r>
        <w:t>3.15. Ley de incompatibilidades</w:t>
      </w:r>
    </w:p>
    <w:p>
      <w:r>
        <w:rPr>
          <w:rFonts w:ascii="Arial" w:hAnsi="Arial" w:cs="Arial"/>
          <w:b/>
          <w:color w:val="17365D"/>
          <w:sz w:val="22"/>
        </w:rPr>
        <w:t>Ley 53/1984, de 26 de diciembre, de incompatibilidades del personal al servicio de las Administraciones Públicas.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04-01-1985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G19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1–20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Distinguir incompatibilidad de segundo puesto, actividades privadas, reconocimiento de compatibilidad, excepciones y consecuencias.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https://www.boe.es/buscar/act.php?id=BOE-A-1985-151</w:t>
            </w:r>
          </w:p>
        </w:tc>
      </w:tr>
    </w:tbl>
    <w:p>
      <w:pPr>
        <w:spacing w:after="80"/>
      </w:pPr>
    </w:p>
    <w:p>
      <w:pPr>
        <w:pStyle w:val="Heading2"/>
      </w:pPr>
      <w:r>
        <w:t>3.16. Reglamento disciplinario AGE</w:t>
      </w:r>
    </w:p>
    <w:p>
      <w:r>
        <w:rPr>
          <w:rFonts w:ascii="Arial" w:hAnsi="Arial" w:cs="Arial"/>
          <w:b/>
          <w:color w:val="17365D"/>
          <w:sz w:val="22"/>
        </w:rPr>
        <w:t>Real Decreto 33/1986, de 10 de enero, por el que se aprueba el Reglamento de Régimen Disciplinario de los Funcionarios de la Administración del Estado.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17-01-1986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Aplicación compatible con el TREBEP; consulta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en lo que no se oponga a normas posteriores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G19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1–56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El TREBEP prevalece en tipificación y principios; el reglamento conserva utilidad procedimental en su ámbito compatible.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https://www.boe.es/buscar/act.php?id=BOE-A-1986-1216</w:t>
            </w:r>
          </w:p>
        </w:tc>
      </w:tr>
    </w:tbl>
    <w:p>
      <w:pPr>
        <w:spacing w:after="80"/>
      </w:pPr>
    </w:p>
    <w:p>
      <w:pPr>
        <w:pStyle w:val="Heading2"/>
      </w:pPr>
      <w:r>
        <w:t>3.17. Información administrativa y atención</w:t>
      </w:r>
    </w:p>
    <w:p>
      <w:r>
        <w:rPr>
          <w:rFonts w:ascii="Arial" w:hAnsi="Arial" w:cs="Arial"/>
          <w:b/>
          <w:color w:val="17365D"/>
          <w:sz w:val="22"/>
        </w:rPr>
        <w:t>Real Decreto 208/1996, de 9 de febrero, por el que se regulan los servicios de información administrativa y atención al ciudadano.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04-03-1996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Consulta de vigencia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con adaptación al marco electrónico posterior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1–22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Leer junto a la Ley 39/2015, la Ley 40/2015, el RD 203/2021 y las reglas de accesibilidad.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https://www.boe.es/buscar/act.php?id=BOE-A-1996-4997</w:t>
            </w:r>
          </w:p>
        </w:tc>
      </w:tr>
    </w:tbl>
    <w:p>
      <w:pPr>
        <w:spacing w:after="80"/>
      </w:pPr>
    </w:p>
    <w:p>
      <w:pPr>
        <w:pStyle w:val="Heading2"/>
      </w:pPr>
      <w:r>
        <w:t>3.18. LO de igualdad</w:t>
      </w:r>
    </w:p>
    <w:p>
      <w:r>
        <w:rPr>
          <w:rFonts w:ascii="Arial" w:hAnsi="Arial" w:cs="Arial"/>
          <w:b/>
          <w:color w:val="17365D"/>
          <w:sz w:val="22"/>
        </w:rPr>
        <w:t>Ley Orgánica 3/2007, de 22 de marzo, para la igualdad efectiva de mujeres y hombres.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23-03-2007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1–35; 51–68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Distinguir igualdad de trato, discriminación directa e indirecta, acoso, acción positiva y aplicación en el empleo público.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https://www.boe.es/buscar/act.php?id=BOE-A-2007-6115</w:t>
            </w:r>
          </w:p>
        </w:tc>
      </w:tr>
    </w:tbl>
    <w:p>
      <w:pPr>
        <w:spacing w:after="80"/>
      </w:pPr>
    </w:p>
    <w:p>
      <w:pPr>
        <w:pStyle w:val="Heading2"/>
      </w:pPr>
      <w:r>
        <w:t>3.19. LO de violencia de género</w:t>
      </w:r>
    </w:p>
    <w:p>
      <w:r>
        <w:rPr>
          <w:rFonts w:ascii="Arial" w:hAnsi="Arial" w:cs="Arial"/>
          <w:b/>
          <w:color w:val="17365D"/>
          <w:sz w:val="22"/>
        </w:rPr>
        <w:t>Ley Orgánica 1/2004, de 28 de diciembre, de Medidas de Protección Integral contra la Violencia de Género.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29-12-2004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1–32; 61–72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Separar medidas de sensibilización, derechos, tutela institucional, penal y judicial.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https://www.boe.es/buscar/act.php?id=BOE-A-2004-21760</w:t>
            </w:r>
          </w:p>
        </w:tc>
      </w:tr>
    </w:tbl>
    <w:p>
      <w:pPr>
        <w:spacing w:after="80"/>
      </w:pPr>
    </w:p>
    <w:p>
      <w:pPr>
        <w:pStyle w:val="Heading2"/>
      </w:pPr>
      <w:r>
        <w:t>3.20. Ley General de Discapacidad</w:t>
      </w:r>
    </w:p>
    <w:p>
      <w:r>
        <w:rPr>
          <w:rFonts w:ascii="Arial" w:hAnsi="Arial" w:cs="Arial"/>
          <w:b/>
          <w:color w:val="17365D"/>
          <w:sz w:val="22"/>
        </w:rPr>
        <w:t>Real Decreto Legislativo 1/2013, de 29 de noviembre, por el que se aprueba el texto refundido de la Ley General de derechos de las personas con discapacidad y de su inclusión social.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03-12-2013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G20; G21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1–30; 56–78; 80–105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Aplicar accesibilidad universal, ajustes razonables, igualdad de oportunidades y régimen sancionador en conexión con el artículo 49 CE.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https://www.boe.es/buscar/act.php?id=BOE-A-2013-12632</w:t>
            </w:r>
          </w:p>
        </w:tc>
      </w:tr>
    </w:tbl>
    <w:p>
      <w:pPr>
        <w:spacing w:after="80"/>
      </w:pPr>
    </w:p>
    <w:p>
      <w:pPr>
        <w:pStyle w:val="Heading2"/>
      </w:pPr>
      <w:r>
        <w:t>3.21. Ley de dependencia</w:t>
      </w:r>
    </w:p>
    <w:p>
      <w:r>
        <w:rPr>
          <w:rFonts w:ascii="Arial" w:hAnsi="Arial" w:cs="Arial"/>
          <w:b/>
          <w:color w:val="17365D"/>
          <w:sz w:val="22"/>
        </w:rPr>
        <w:t>Ley 39/2006, de 14 de diciembre, de Promoción de la Autonomía Personal y Atención a las personas en situación de dependencia.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15-12-2006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1–31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Diferenciar grados, catálogo de servicios, prestaciones, procedimiento de reconocimiento y competencias territoriales.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https://www.boe.es/buscar/act.php?id=BOE-A-2006-21990</w:t>
            </w:r>
          </w:p>
        </w:tc>
      </w:tr>
    </w:tbl>
    <w:p>
      <w:pPr>
        <w:spacing w:after="80"/>
      </w:pPr>
    </w:p>
    <w:p>
      <w:pPr>
        <w:pStyle w:val="Heading2"/>
      </w:pPr>
      <w:r>
        <w:t>3.22. Ley 4/2023 LGTBI y trans</w:t>
      </w:r>
    </w:p>
    <w:p>
      <w:r>
        <w:rPr>
          <w:rFonts w:ascii="Arial" w:hAnsi="Arial" w:cs="Arial"/>
          <w:b/>
          <w:color w:val="17365D"/>
          <w:sz w:val="22"/>
        </w:rPr>
        <w:t>Ley 4/2023, de 28 de febrero, para la igualdad real y efectiva de las personas trans y para la garantía de los derechos de las personas LGTBI.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01-03-2023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1–79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Estudiar principios, políticas públicas, medidas en el empleo público, rectificación registral y régimen de infracciones y sanciones.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https://www.boe.es/buscar/act.php?id=BOE-A-2023-5366</w:t>
            </w:r>
          </w:p>
        </w:tc>
      </w:tr>
    </w:tbl>
    <w:p>
      <w:pPr>
        <w:spacing w:after="80"/>
      </w:pPr>
    </w:p>
    <w:p>
      <w:pPr>
        <w:pStyle w:val="Heading2"/>
      </w:pPr>
      <w:r>
        <w:t>3.23. RGPD</w:t>
      </w:r>
    </w:p>
    <w:p>
      <w:r>
        <w:rPr>
          <w:rFonts w:ascii="Arial" w:hAnsi="Arial" w:cs="Arial"/>
          <w:b/>
          <w:color w:val="17365D"/>
          <w:sz w:val="22"/>
        </w:rPr>
        <w:t>Reglamento (UE) 2016/679, de 27 de abril de 2016, relativo a la protección de las personas físicas en lo que respecta al tratamiento de datos personales.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DOUE L 119 de 04-05-2016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oficial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y directamente aplicable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G22; G23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4–11; 12–23; 24–43; 51–59; 77–84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Base normativa principal para principios, licitud, derechos, responsables, encargados, seguridad y autoridades de control.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https://eur-lex.europa.eu/legal-content/ES/TXT/?uri=CELEX:32016R0679</w:t>
            </w:r>
          </w:p>
        </w:tc>
      </w:tr>
    </w:tbl>
    <w:p>
      <w:pPr>
        <w:spacing w:after="80"/>
      </w:pPr>
    </w:p>
    <w:p>
      <w:pPr>
        <w:pStyle w:val="Heading2"/>
      </w:pPr>
      <w:r>
        <w:t>3.24. LOPDGDD</w:t>
      </w:r>
    </w:p>
    <w:p>
      <w:r>
        <w:rPr>
          <w:rFonts w:ascii="Arial" w:hAnsi="Arial" w:cs="Arial"/>
          <w:b/>
          <w:color w:val="17365D"/>
          <w:sz w:val="22"/>
        </w:rPr>
        <w:t>Ley Orgánica 3/2018, de 5 de diciembre, de Protección de Datos Personales y garantía de los derechos digitales.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06-12-2018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G22; G23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4–18; 28–37; 44–54; 63–69; 70–78; 79–97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Complementa el RGPD; no sustituye sus conceptos ni sus bases de licitud.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https://www.boe.es/buscar/act.php?id=BOE-A-2018-16673</w:t>
            </w:r>
          </w:p>
        </w:tc>
      </w:tr>
    </w:tbl>
    <w:p>
      <w:pPr>
        <w:spacing w:after="80"/>
      </w:pPr>
    </w:p>
    <w:p>
      <w:pPr>
        <w:pStyle w:val="Heading2"/>
      </w:pPr>
      <w:r>
        <w:t>3.25. Ley de transparencia</w:t>
      </w:r>
    </w:p>
    <w:p>
      <w:r>
        <w:rPr>
          <w:rFonts w:ascii="Arial" w:hAnsi="Arial" w:cs="Arial"/>
          <w:b/>
          <w:color w:val="17365D"/>
          <w:sz w:val="22"/>
        </w:rPr>
        <w:t>Ley 19/2013, de 9 de diciembre, de transparencia, acceso a la información pública y buen gobierno.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10-12-2013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G20; G22; G23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2–24; 25–32; 33–40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Conciliar publicidad activa y derecho de acceso con protección de datos, límites y causas de inadmisión.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https://www.boe.es/buscar/act.php?id=BOE-A-2013-12887</w:t>
            </w:r>
          </w:p>
        </w:tc>
      </w:tr>
    </w:tbl>
    <w:p>
      <w:pPr>
        <w:spacing w:after="80"/>
      </w:pPr>
    </w:p>
    <w:p>
      <w:pPr>
        <w:pStyle w:val="Heading2"/>
      </w:pPr>
      <w:r>
        <w:t>3.26. Reglamento de actuación electrónica</w:t>
      </w:r>
    </w:p>
    <w:p>
      <w:r>
        <w:rPr>
          <w:rFonts w:ascii="Arial" w:hAnsi="Arial" w:cs="Arial"/>
          <w:b/>
          <w:color w:val="17365D"/>
          <w:sz w:val="22"/>
        </w:rPr>
        <w:t>Real Decreto 203/2021, de 30 de marzo, por el que se aprueba el Reglamento de actuación y funcionamiento del sector público por medios electrónicos.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31-03-2021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G20; G22; G23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1–65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Desarrolla sedes, portales, identificación, firma, registros, notificación, expediente, archivo e interoperabilidad.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https://www.boe.es/buscar/act.php?id=BOE-A-2021-5032</w:t>
            </w:r>
          </w:p>
        </w:tc>
      </w:tr>
    </w:tbl>
    <w:p>
      <w:pPr>
        <w:spacing w:after="80"/>
      </w:pPr>
    </w:p>
    <w:p>
      <w:pPr>
        <w:pStyle w:val="Heading2"/>
      </w:pPr>
      <w:r>
        <w:t>3.27. Estructura básica de departamentos</w:t>
      </w:r>
    </w:p>
    <w:p>
      <w:r>
        <w:rPr>
          <w:rFonts w:ascii="Arial" w:hAnsi="Arial" w:cs="Arial"/>
          <w:b/>
          <w:color w:val="17365D"/>
          <w:sz w:val="22"/>
        </w:rPr>
        <w:t>Real Decreto 1009/2023, de 5 de diciembre, por el que se establece la estructura orgánica básica de los departamentos ministeriales.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06-12-2023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Modificado, entre otras normas, por el RD 616/2026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G08; G12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 relativo al Ministerio de Inclusión, Seguridad Social y Migraciones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Consultar junto al desarrollo específico del RD 501/2024 y su reforma de 2026.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https://www.boe.es/buscar/act.php?id=BOE-A-2023-24840</w:t>
            </w:r>
          </w:p>
        </w:tc>
      </w:tr>
    </w:tbl>
    <w:p>
      <w:pPr>
        <w:spacing w:after="80"/>
      </w:pPr>
    </w:p>
    <w:p>
      <w:pPr>
        <w:pStyle w:val="Heading2"/>
      </w:pPr>
      <w:r>
        <w:t>3.28. Estructura del MISSM</w:t>
      </w:r>
    </w:p>
    <w:p>
      <w:r>
        <w:rPr>
          <w:rFonts w:ascii="Arial" w:hAnsi="Arial" w:cs="Arial"/>
          <w:b/>
          <w:color w:val="17365D"/>
          <w:sz w:val="22"/>
        </w:rPr>
        <w:t>Real Decreto 501/2024, de 21 de mayo, por el que se desarrolla la estructura orgánica básica del Ministerio de Inclusión, Seguridad Social y Migraciones.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22-05-2024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Modificado por el RD 616/2026, de 22 de julio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G12; S01; S13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1–10 y disposiciones adicionales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La Dirección del Servicio Jurídico pasa a tener rango de dirección general y mantiene carácter de servicio común.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https://www.boe.es/buscar/act.php?id=BOE-A-2024-10237</w:t>
            </w:r>
          </w:p>
        </w:tc>
      </w:tr>
    </w:tbl>
    <w:p>
      <w:pPr>
        <w:spacing w:after="80"/>
      </w:pPr>
    </w:p>
    <w:p>
      <w:pPr>
        <w:pStyle w:val="Heading2"/>
      </w:pPr>
      <w:r>
        <w:t>3.29. Reforma organizativa del Servicio Jurídico</w:t>
      </w:r>
    </w:p>
    <w:p>
      <w:r>
        <w:rPr>
          <w:rFonts w:ascii="Arial" w:hAnsi="Arial" w:cs="Arial"/>
          <w:b/>
          <w:color w:val="17365D"/>
          <w:sz w:val="22"/>
        </w:rPr>
        <w:t>Real Decreto 616/2026, de 22 de julio, por el que se modifica el Real Decreto 501/2024 y el Real Decreto 1009/2023.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23-07-2026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modificaciones; consulta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desde 24-07-2026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G12; S01; S13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 único y disposición final primera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Eleva a dirección general el Servicio Jurídico de la Administración de la Seguridad Social y precisa su organización y presupuesto.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https://www.boe.es/buscar/act.php?id=BOE-A-2026-16016</w:t>
            </w:r>
          </w:p>
        </w:tc>
      </w:tr>
    </w:tbl>
    <w:p>
      <w:pPr>
        <w:spacing w:after="80"/>
      </w:pPr>
    </w:p>
    <w:p>
      <w:pPr>
        <w:pStyle w:val="Heading2"/>
      </w:pPr>
      <w:r>
        <w:t>3.30. TRLGSS</w:t>
      </w:r>
    </w:p>
    <w:p>
      <w:r>
        <w:rPr>
          <w:rFonts w:ascii="Arial" w:hAnsi="Arial" w:cs="Arial"/>
          <w:b/>
          <w:color w:val="17365D"/>
          <w:sz w:val="22"/>
        </w:rPr>
        <w:t>Real Decreto Legislativo 8/2015, de 30 de octubre, por el que se aprueba el texto refundido de la Ley General de la Seguridad Social.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31-10-2015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30-07-2026; integra reformas de 2025 y 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S01–S13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1–136; 137–350; 351–373; 363–373; 117–127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Norma eje del bloque específico. Debe leerse con las normas anuales y las reformas de incapacidad, nacimiento, jubilación y cotización.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https://www.boe.es/buscar/act.php?id=BOE-A-2015-11724</w:t>
            </w:r>
          </w:p>
        </w:tc>
      </w:tr>
    </w:tbl>
    <w:p>
      <w:pPr>
        <w:spacing w:after="80"/>
      </w:pPr>
    </w:p>
    <w:p>
      <w:pPr>
        <w:pStyle w:val="Heading2"/>
      </w:pPr>
      <w:r>
        <w:t>3.31. Reglamento de inscripción, afiliación y altas</w:t>
      </w:r>
    </w:p>
    <w:p>
      <w:r>
        <w:rPr>
          <w:rFonts w:ascii="Arial" w:hAnsi="Arial" w:cs="Arial"/>
          <w:b/>
          <w:color w:val="17365D"/>
          <w:sz w:val="22"/>
        </w:rPr>
        <w:t>Real Decreto 84/1996, de 26 de enero, por el que se aprueba el Reglamento General sobre inscripción de empresas y afiliación, altas, bajas y variaciones de datos de trabajadores en la Seguridad Social.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27-02-1996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S02; S03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5–20; 21–28; 29–45; 46–61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Diferenciar competencia TGSS, actos de encuadramiento, plazos, efectos y altas de oficio.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https://www.boe.es/buscar/act.php?id=BOE-A-1996-4447</w:t>
            </w:r>
          </w:p>
        </w:tc>
      </w:tr>
    </w:tbl>
    <w:p>
      <w:pPr>
        <w:spacing w:after="80"/>
      </w:pPr>
    </w:p>
    <w:p>
      <w:pPr>
        <w:pStyle w:val="Heading2"/>
      </w:pPr>
      <w:r>
        <w:t>3.32. Orden de convenio especial</w:t>
      </w:r>
    </w:p>
    <w:p>
      <w:r>
        <w:rPr>
          <w:rFonts w:ascii="Arial" w:hAnsi="Arial" w:cs="Arial"/>
          <w:b/>
          <w:color w:val="17365D"/>
          <w:sz w:val="22"/>
        </w:rPr>
        <w:t>Orden TAS/2865/2003, de 13 de octubre, por la que se regula el convenio especial en el Sistema de la Seguridad Social.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18-10-2003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Modificada por la Orden ISM/1199/2025; consulta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1–32 y modalidades especiales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Integrar el cambio relativo a determinadas personas españolas vinculadas a organismos internacionales.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https://www.boe.es/buscar/act.php?id=BOE-A-2003-19281</w:t>
            </w:r>
          </w:p>
        </w:tc>
      </w:tr>
    </w:tbl>
    <w:p>
      <w:pPr>
        <w:spacing w:after="80"/>
      </w:pPr>
    </w:p>
    <w:p>
      <w:pPr>
        <w:pStyle w:val="Heading2"/>
      </w:pPr>
      <w:r>
        <w:t>3.33. Orden ISM/1199/2025</w:t>
      </w:r>
    </w:p>
    <w:p>
      <w:r>
        <w:rPr>
          <w:rFonts w:ascii="Arial" w:hAnsi="Arial" w:cs="Arial"/>
          <w:b/>
          <w:color w:val="17365D"/>
          <w:sz w:val="22"/>
        </w:rPr>
        <w:t>Orden ISM/1199/2025, de 23 de octubre, por la que se modifica la Orden TAS/2865/2003.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29-10-2025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modificaciones; consulta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desde 01-11-2025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 único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Actualiza el convenio especial de determinadas personas vinculadas a organizaciones internacionales.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https://www.boe.es/buscar/act.php?id=BOE-A-2025-21730</w:t>
            </w:r>
          </w:p>
        </w:tc>
      </w:tr>
    </w:tbl>
    <w:p>
      <w:pPr>
        <w:spacing w:after="80"/>
      </w:pPr>
    </w:p>
    <w:p>
      <w:pPr>
        <w:pStyle w:val="Heading2"/>
      </w:pPr>
      <w:r>
        <w:t>3.34. Reglamento de cotización</w:t>
      </w:r>
    </w:p>
    <w:p>
      <w:r>
        <w:rPr>
          <w:rFonts w:ascii="Arial" w:hAnsi="Arial" w:cs="Arial"/>
          <w:b/>
          <w:color w:val="17365D"/>
          <w:sz w:val="22"/>
        </w:rPr>
        <w:t>Real Decreto 2064/1995, de 22 de diciembre, por el que se aprueba el Reglamento General sobre Cotización y Liquidación de otros Derechos de la Seguridad Social.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25-01-1996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del BOE publicada el 10-07-2024; consulta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S02; S04; S13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1–32; 43–55; 65–72 bis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Aplicar junto a la TRLGSS y la orden anual de cotización; no memorizar como permanente una base o tipo anual.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https://www.boe.es/buscar/act.php?id=BOE-A-1996-1579</w:t>
            </w:r>
          </w:p>
        </w:tc>
      </w:tr>
    </w:tbl>
    <w:p>
      <w:pPr>
        <w:spacing w:after="80"/>
      </w:pPr>
    </w:p>
    <w:p>
      <w:pPr>
        <w:pStyle w:val="Heading2"/>
      </w:pPr>
      <w:r>
        <w:t>3.35. RDL 3/2026</w:t>
      </w:r>
    </w:p>
    <w:p>
      <w:r>
        <w:rPr>
          <w:rFonts w:ascii="Arial" w:hAnsi="Arial" w:cs="Arial"/>
          <w:b/>
          <w:color w:val="17365D"/>
          <w:sz w:val="22"/>
        </w:rPr>
        <w:t>Real Decreto-ley 3/2026, de 3 de febrero, para la revalorización de las pensiones públicas y otras medidas urgentes en materia de Seguridad Social.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04-02-2026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S04; S10–S12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Preceptos de revalorización, cotización y disposiciones modificativas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Marco legal 2026 para bases, mecanismo de equidad intergeneracional, cuota de solidaridad y determinadas cuantías.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https://www.boe.es/buscar/act.php?id=BOE-A-2026-2548</w:t>
            </w:r>
          </w:p>
        </w:tc>
      </w:tr>
    </w:tbl>
    <w:p>
      <w:pPr>
        <w:spacing w:after="80"/>
      </w:pPr>
    </w:p>
    <w:p>
      <w:pPr>
        <w:pStyle w:val="Heading2"/>
      </w:pPr>
      <w:r>
        <w:t>3.36. Orden de cotización 2026</w:t>
      </w:r>
    </w:p>
    <w:p>
      <w:r>
        <w:rPr>
          <w:rFonts w:ascii="Arial" w:hAnsi="Arial" w:cs="Arial"/>
          <w:b/>
          <w:color w:val="17365D"/>
          <w:sz w:val="22"/>
        </w:rPr>
        <w:t>Orden PJC/297/2026, de 30 de marzo, por la que se desarrollan las normas legales de cotización para el ejercicio 2026.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31-03-2026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desde 01-04-2026, con efectos económicos indicados desde 01-01-2026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S02; S04; S08–S12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1–46 y disposiciones adicionales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Fuente anual para bases y tipos; prevalece sobre cifras de ejercicios anteriores.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https://www.boe.es/buscar/act.php?id=BOE-A-2026-7296</w:t>
            </w:r>
          </w:p>
        </w:tc>
      </w:tr>
    </w:tbl>
    <w:p>
      <w:pPr>
        <w:spacing w:after="80"/>
      </w:pPr>
    </w:p>
    <w:p>
      <w:pPr>
        <w:pStyle w:val="Heading2"/>
      </w:pPr>
      <w:r>
        <w:t>3.37. Reglamento General de Recaudación</w:t>
      </w:r>
    </w:p>
    <w:p>
      <w:r>
        <w:rPr>
          <w:rFonts w:ascii="Arial" w:hAnsi="Arial" w:cs="Arial"/>
          <w:b/>
          <w:color w:val="17365D"/>
          <w:sz w:val="22"/>
        </w:rPr>
        <w:t>Real Decreto 1415/2004, de 11 de junio, por el que se aprueba el Reglamento General de Recaudación de la Seguridad Social.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25-06-2004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S05; S06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1–50; 51–132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Norma reglamentaria central para pago, aplazamiento, devolución, vía ejecutiva, embargo, enajenación, créditos incobrables y tercerías.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https://www.boe.es/buscar/act.php?id=BOE-A-2004-11836</w:t>
            </w:r>
          </w:p>
        </w:tc>
      </w:tr>
    </w:tbl>
    <w:p>
      <w:pPr>
        <w:spacing w:after="80"/>
      </w:pPr>
    </w:p>
    <w:p>
      <w:pPr>
        <w:pStyle w:val="Heading2"/>
      </w:pPr>
      <w:r>
        <w:t>3.38. Orden de desarrollo recaudatorio</w:t>
      </w:r>
    </w:p>
    <w:p>
      <w:r>
        <w:rPr>
          <w:rFonts w:ascii="Arial" w:hAnsi="Arial" w:cs="Arial"/>
          <w:b/>
          <w:color w:val="17365D"/>
          <w:sz w:val="22"/>
        </w:rPr>
        <w:t>Orden TAS/1562/2005, de 25 de mayo, por la que se establecen normas para la aplicación y desarrollo del Reglamento General de Recaudación de la Seguridad Social.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01-06-2005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en su redacción consolidada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S05; S06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Preceptos de pago, aplazamiento, apremio, embargo y enajenación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Usar como desarrollo del RD 1415/2004, sin convertir reglas instrumentales en normas de rango legal.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https://www.boe.es/buscar/act.php?id=BOE-A-2005-8986</w:t>
            </w:r>
          </w:p>
        </w:tc>
      </w:tr>
    </w:tbl>
    <w:p>
      <w:pPr>
        <w:spacing w:after="80"/>
      </w:pPr>
    </w:p>
    <w:p>
      <w:pPr>
        <w:pStyle w:val="Heading2"/>
      </w:pPr>
      <w:r>
        <w:t>3.39. LISOS</w:t>
      </w:r>
    </w:p>
    <w:p>
      <w:r>
        <w:rPr>
          <w:rFonts w:ascii="Arial" w:hAnsi="Arial" w:cs="Arial"/>
          <w:b/>
          <w:color w:val="17365D"/>
          <w:sz w:val="22"/>
        </w:rPr>
        <w:t>Real Decreto Legislativo 5/2000, de 4 de agosto, por el que se aprueba el texto refundido de la Ley sobre Infracciones y Sanciones en el Orden Social.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08-08-2000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S03–S07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2–4; 20–32; 39–54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Distinguir obligaciones materiales de Seguridad Social y tipificación sancionadora.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https://www.boe.es/buscar/act.php?id=BOE-A-2000-15060</w:t>
            </w:r>
          </w:p>
        </w:tc>
      </w:tr>
    </w:tbl>
    <w:p>
      <w:pPr>
        <w:spacing w:after="80"/>
      </w:pPr>
    </w:p>
    <w:p>
      <w:pPr>
        <w:pStyle w:val="Heading2"/>
      </w:pPr>
      <w:r>
        <w:t>3.40. LRJS</w:t>
      </w:r>
    </w:p>
    <w:p>
      <w:r>
        <w:rPr>
          <w:rFonts w:ascii="Arial" w:hAnsi="Arial" w:cs="Arial"/>
          <w:b/>
          <w:color w:val="17365D"/>
          <w:sz w:val="22"/>
        </w:rPr>
        <w:t>Ley 36/2011, de 10 de octubre, reguladora de la jurisdicción social.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11-10-2011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S05; S07–S12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2; 6; 71; 140–147; 191–206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Clave para competencia, reclamación administrativa previa en prestaciones y modalidades procesales.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https://www.boe.es/buscar/act.php?id=BOE-A-2011-15936</w:t>
            </w:r>
          </w:p>
        </w:tc>
      </w:tr>
    </w:tbl>
    <w:p>
      <w:pPr>
        <w:spacing w:after="80"/>
      </w:pPr>
    </w:p>
    <w:p>
      <w:pPr>
        <w:pStyle w:val="Heading2"/>
      </w:pPr>
      <w:r>
        <w:t>3.41. RD 1300/1995</w:t>
      </w:r>
    </w:p>
    <w:p>
      <w:r>
        <w:rPr>
          <w:rFonts w:ascii="Arial" w:hAnsi="Arial" w:cs="Arial"/>
          <w:b/>
          <w:color w:val="17365D"/>
          <w:sz w:val="22"/>
        </w:rPr>
        <w:t>Real Decreto 1300/1995, de 21 de julio, sobre incapacidades laborales del sistema de la Seguridad Social.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19-08-1995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en su ámbito compatible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S08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1–13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Regula competencias del INSS y equipos de valoración; leer con TRLGSS, RD 625/2014 y Ley 2/2025.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https://www.boe.es/buscar/act.php?id=BOE-A-1995-19848</w:t>
            </w:r>
          </w:p>
        </w:tc>
      </w:tr>
    </w:tbl>
    <w:p>
      <w:pPr>
        <w:spacing w:after="80"/>
      </w:pPr>
    </w:p>
    <w:p>
      <w:pPr>
        <w:pStyle w:val="Heading2"/>
      </w:pPr>
      <w:r>
        <w:t>3.42. RD 625/2014</w:t>
      </w:r>
    </w:p>
    <w:p>
      <w:r>
        <w:rPr>
          <w:rFonts w:ascii="Arial" w:hAnsi="Arial" w:cs="Arial"/>
          <w:b/>
          <w:color w:val="17365D"/>
          <w:sz w:val="22"/>
        </w:rPr>
        <w:t>Real Decreto 625/2014, de 18 de julio, sobre gestión y control de los procesos por incapacidad temporal.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21-07-2014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S08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1–10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Aplicar el sistema vigente de partes, comunicaciones, control, propuestas de alta y agotamiento de plazos.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https://www.boe.es/buscar/act.php?id=BOE-A-2014-7684</w:t>
            </w:r>
          </w:p>
        </w:tc>
      </w:tr>
    </w:tbl>
    <w:p>
      <w:pPr>
        <w:spacing w:after="80"/>
      </w:pPr>
    </w:p>
    <w:p>
      <w:pPr>
        <w:pStyle w:val="Heading2"/>
      </w:pPr>
      <w:r>
        <w:t>3.43. Ley 2/2025 sobre incapacidad permanente</w:t>
      </w:r>
    </w:p>
    <w:p>
      <w:r>
        <w:rPr>
          <w:rFonts w:ascii="Arial" w:hAnsi="Arial" w:cs="Arial"/>
          <w:b/>
          <w:color w:val="17365D"/>
          <w:sz w:val="22"/>
        </w:rPr>
        <w:t>Ley 2/2025, de 29 de abril, sobre extinción del contrato de trabajo y Seguridad Social en materia de incapacidad permanente.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30-04-2025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modificaciones relevantes; consulta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S08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 segundo y disposiciones transitorias/finales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La declaración de incapacidad permanente ya no opera automáticamente como extinción laboral sin examinar ajustes o puesto compatible en los términos legales.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https://www.boe.es/buscar/act.php?id=BOE-A-2025-8567</w:t>
            </w:r>
          </w:p>
        </w:tc>
      </w:tr>
    </w:tbl>
    <w:p>
      <w:pPr>
        <w:spacing w:after="80"/>
      </w:pPr>
    </w:p>
    <w:p>
      <w:pPr>
        <w:pStyle w:val="Heading2"/>
      </w:pPr>
      <w:r>
        <w:t>3.44. RDL 9/2025 de nacimiento y cuidado</w:t>
      </w:r>
    </w:p>
    <w:p>
      <w:r>
        <w:rPr>
          <w:rFonts w:ascii="Arial" w:hAnsi="Arial" w:cs="Arial"/>
          <w:b/>
          <w:color w:val="17365D"/>
          <w:sz w:val="22"/>
        </w:rPr>
        <w:t>Real Decreto-ley 9/2025, de 29 de julio, por el que se amplía el permiso de nacimiento y cuidado.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30-07-2025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G19; S09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Modificaciones del ET, TREBEP y TRLGSS; reglas transitorias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Amplió periodos de suspensión/permiso y prestación; determinadas semanas por hechos causantes desde 02-08-2024 pueden solicitarse desde 01-01-2026.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https://www.boe.es/buscar/act.php?id=BOE-A-2025-15741</w:t>
            </w:r>
          </w:p>
        </w:tc>
      </w:tr>
    </w:tbl>
    <w:p>
      <w:pPr>
        <w:spacing w:after="80"/>
      </w:pPr>
    </w:p>
    <w:p>
      <w:pPr>
        <w:pStyle w:val="Heading2"/>
      </w:pPr>
      <w:r>
        <w:t>3.45. RDL 11/2024 de jubilación y trabajo</w:t>
      </w:r>
    </w:p>
    <w:p>
      <w:r>
        <w:rPr>
          <w:rFonts w:ascii="Arial" w:hAnsi="Arial" w:cs="Arial"/>
          <w:b/>
          <w:color w:val="17365D"/>
          <w:sz w:val="22"/>
        </w:rPr>
        <w:t>Real Decreto-ley 11/2024, de 23 de diciembre, para la mejora de la compatibilidad de la pensión de jubilación con el trabajo.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24-12-2024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Modificaciones de los artículos 210, 213 y 214 TRLGSS y concordantes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Reformó jubilación activa, demorada y parcial; completar con el desarrollo del RD 416/2026.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https://www.boe.es/buscar/act.php?id=BOE-A-2024-26917</w:t>
            </w:r>
          </w:p>
        </w:tc>
      </w:tr>
    </w:tbl>
    <w:p>
      <w:pPr>
        <w:spacing w:after="80"/>
      </w:pPr>
    </w:p>
    <w:p>
      <w:pPr>
        <w:pStyle w:val="Heading2"/>
      </w:pPr>
      <w:r>
        <w:t>3.46. RD 1132/2002 de jubilación gradual y flexible</w:t>
      </w:r>
    </w:p>
    <w:p>
      <w:r>
        <w:rPr>
          <w:rFonts w:ascii="Arial" w:hAnsi="Arial" w:cs="Arial"/>
          <w:b/>
          <w:color w:val="17365D"/>
          <w:sz w:val="22"/>
        </w:rPr>
        <w:t>Real Decreto 1132/2002, de 31 de octubre, de desarrollo de determinados preceptos sobre jubilación gradual y flexible.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27-11-2002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Derogación programada por RD 416/2026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a 30-07-2026; derogado con efectos de 28-08-2026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1–9 y disposiciones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anticipar la derogación: forma parte del derecho vigente en la fecha de corte, pero debe sustituirse en materiales posteriores al 28-08-2026.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https://www.boe.es/buscar/act.php?id=BOE-A-2002-23038</w:t>
            </w:r>
          </w:p>
        </w:tc>
      </w:tr>
    </w:tbl>
    <w:p>
      <w:pPr>
        <w:spacing w:after="80"/>
      </w:pPr>
    </w:p>
    <w:p>
      <w:pPr>
        <w:pStyle w:val="Heading2"/>
      </w:pPr>
      <w:r>
        <w:t>3.47. RD 416/2026 de jubilación flexible</w:t>
      </w:r>
    </w:p>
    <w:p>
      <w:r>
        <w:rPr>
          <w:rFonts w:ascii="Arial" w:hAnsi="Arial" w:cs="Arial"/>
          <w:b/>
          <w:color w:val="17365D"/>
          <w:sz w:val="22"/>
        </w:rPr>
        <w:t>Real Decreto 416/2026, de 27 de mayo, sobre jubilación flexible y compatibilidad de la pensión contributiva de jubilación con el trabajo.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28-05-2026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modificaciones; consulta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Publicado y vigente parcialmente; núcleo reglamentario aplicable desde 28-08-2026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1–18 y disposiciones transitorias, derogatoria y finales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Regula el nuevo régimen de jubilación flexible y deroga el RD 1132/2002 con efectos de 28-08-2026.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https://www.boe.es/buscar/act.php?id=BOE-A-2026-11474</w:t>
            </w:r>
          </w:p>
        </w:tc>
      </w:tr>
    </w:tbl>
    <w:p>
      <w:pPr>
        <w:spacing w:after="80"/>
      </w:pPr>
    </w:p>
    <w:p>
      <w:pPr>
        <w:pStyle w:val="Heading2"/>
      </w:pPr>
      <w:r>
        <w:t>3.48. RDL 19/2026</w:t>
      </w:r>
    </w:p>
    <w:p>
      <w:r>
        <w:rPr>
          <w:rFonts w:ascii="Arial" w:hAnsi="Arial" w:cs="Arial"/>
          <w:b/>
          <w:color w:val="17365D"/>
          <w:sz w:val="22"/>
        </w:rPr>
        <w:t>Real Decreto-ley 19/2026, de 29 de junio, de medidas urgentes en materia de jubilación parcial anticipada del personal laboral de las Administraciones Públicas.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30-06-2026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modificaciones; consulta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G19; S10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 1 y disposiciones relacionadas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Introduce un régimen específico y temporal para jubilación parcial anticipada de determinado personal laboral público.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https://www.boe.es/buscar/act.php?id=BOE-A-2026-14113</w:t>
            </w:r>
          </w:p>
        </w:tc>
      </w:tr>
    </w:tbl>
    <w:p>
      <w:pPr>
        <w:spacing w:after="80"/>
      </w:pPr>
    </w:p>
    <w:p>
      <w:pPr>
        <w:pStyle w:val="Heading2"/>
      </w:pPr>
      <w:r>
        <w:t>3.49. RD 241/2026 de pensiones 2026</w:t>
      </w:r>
    </w:p>
    <w:p>
      <w:r>
        <w:rPr>
          <w:rFonts w:ascii="Arial" w:hAnsi="Arial" w:cs="Arial"/>
          <w:b/>
          <w:color w:val="17365D"/>
          <w:sz w:val="22"/>
        </w:rPr>
        <w:t>Real Decreto 241/2026, de 25 de marzo, sobre limitación de la cuantía inicial y revalorización de pensiones y otras prestaciones públicas para 2026.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26-03-2026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oficial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para el ejercicio 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S08; S10–S12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Títulos I–V y anexos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Fuente anual para máximos, mínimos, pensiones no contributivas y prestaciones familiares; no trasladar sus cifras a años posteriores.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https://www.boe.es/buscar/act.php?id=BOE-A-2026-6977</w:t>
            </w:r>
          </w:p>
        </w:tc>
      </w:tr>
    </w:tbl>
    <w:p>
      <w:pPr>
        <w:spacing w:after="80"/>
      </w:pPr>
    </w:p>
    <w:p>
      <w:pPr>
        <w:pStyle w:val="Heading2"/>
      </w:pPr>
      <w:r>
        <w:t>3.50. Ley del ingreso mínimo vital</w:t>
      </w:r>
    </w:p>
    <w:p>
      <w:r>
        <w:rPr>
          <w:rFonts w:ascii="Arial" w:hAnsi="Arial" w:cs="Arial"/>
          <w:b/>
          <w:color w:val="17365D"/>
          <w:sz w:val="22"/>
        </w:rPr>
        <w:t>Ley 19/2021, de 20 de diciembre, por la que se establece el ingreso mínimo vital.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21-12-2021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publicada el 09-04-2026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1–37 y disposiciones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Integra en 2026 ajustes de unidad de convivencia, actualización, compatibilidad y acreditación por entidades del tercer sector.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https://www.boe.es/buscar/act.php?id=BOE-A-2021-21007</w:t>
            </w:r>
          </w:p>
        </w:tc>
      </w:tr>
    </w:tbl>
    <w:p>
      <w:pPr>
        <w:spacing w:after="80"/>
      </w:pPr>
    </w:p>
    <w:p>
      <w:pPr>
        <w:pStyle w:val="Heading2"/>
      </w:pPr>
      <w:r>
        <w:t>3.51. Ley 1/2026 de economía social</w:t>
      </w:r>
    </w:p>
    <w:p>
      <w:r>
        <w:rPr>
          <w:rFonts w:ascii="Arial" w:hAnsi="Arial" w:cs="Arial"/>
          <w:b/>
          <w:color w:val="17365D"/>
          <w:sz w:val="22"/>
        </w:rPr>
        <w:t>Ley 1/2026, de 8 de abril, integral de impulso de la economía social.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09-04-2026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Corrección de errores publicada el 10-04-2026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Disposición final tercera y disposiciones transitorias relacionadas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Modificó los artículos 10, 13, 16 y 21 de la Ley 19/2021 y estableció reglas de aplicación temporal.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https://www.boe.es/buscar/act.php?id=BOE-A-2026-7967</w:t>
            </w:r>
          </w:p>
        </w:tc>
      </w:tr>
    </w:tbl>
    <w:p>
      <w:pPr>
        <w:spacing w:after="80"/>
      </w:pPr>
    </w:p>
    <w:p>
      <w:pPr>
        <w:pStyle w:val="Heading2"/>
      </w:pPr>
      <w:r>
        <w:t>3.52. RD 789/2022 de compatibilidad del IMV</w:t>
      </w:r>
    </w:p>
    <w:p>
      <w:r>
        <w:rPr>
          <w:rFonts w:ascii="Arial" w:hAnsi="Arial" w:cs="Arial"/>
          <w:b/>
          <w:color w:val="17365D"/>
          <w:sz w:val="22"/>
        </w:rPr>
        <w:t>Real Decreto 789/2022, de 27 de septiembre, sobre compatibilidad del ingreso mínimo vital con rentas del trabajo o actividad económica.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28-09-2022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Modificado por el RD 240/2026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1–8 y anexos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Aplicar los incentivos y anexos en la redacción vigente desde la reforma de 2026.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https://www.boe.es/buscar/act.php?id=BOE-A-2022-15764</w:t>
            </w:r>
          </w:p>
        </w:tc>
      </w:tr>
    </w:tbl>
    <w:p>
      <w:pPr>
        <w:spacing w:after="80"/>
      </w:pPr>
    </w:p>
    <w:p>
      <w:pPr>
        <w:pStyle w:val="Heading2"/>
      </w:pPr>
      <w:r>
        <w:t>3.53. RD 240/2026 sobre compatibilidad del IMV</w:t>
      </w:r>
    </w:p>
    <w:p>
      <w:r>
        <w:rPr>
          <w:rFonts w:ascii="Arial" w:hAnsi="Arial" w:cs="Arial"/>
          <w:b/>
          <w:color w:val="17365D"/>
          <w:sz w:val="22"/>
        </w:rPr>
        <w:t>Real Decreto 240/2026, de 25 de marzo, por el que se modifica el Real Decreto 789/2022.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26-03-2026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modificaciones; consulta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 único y anexos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Actualiza el incentivo al empleo y sus cálculos, incluida una disposición adicional para determinados supuestos.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https://www.boe.es/buscar/act.php?id=BOE-A-2026-6976</w:t>
            </w:r>
          </w:p>
        </w:tc>
      </w:tr>
    </w:tbl>
    <w:p>
      <w:pPr>
        <w:spacing w:after="80"/>
      </w:pPr>
    </w:p>
    <w:p>
      <w:pPr>
        <w:pStyle w:val="Heading2"/>
      </w:pPr>
      <w:r>
        <w:t>3.54. Patrimonio de la Seguridad Social</w:t>
      </w:r>
    </w:p>
    <w:p>
      <w:r>
        <w:rPr>
          <w:rFonts w:ascii="Arial" w:hAnsi="Arial" w:cs="Arial"/>
          <w:b/>
          <w:color w:val="17365D"/>
          <w:sz w:val="22"/>
        </w:rPr>
        <w:t>Real Decreto 1221/1992, de 9 de octubre, sobre el patrimonio de la Seguridad Social.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11-11-1992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del BOE publicada el 25-01-2023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Vigente, texto consolidado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1–52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La titularidad e inscripción corresponden a la TGSS; distinguir adscripción, administración, adquisición, arrendamiento, cesión y enajenación.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https://www.boe.es/buscar/act.php?id=BOE-A-1992-24743</w:t>
            </w:r>
          </w:p>
        </w:tc>
      </w:tr>
    </w:tbl>
    <w:p>
      <w:pPr>
        <w:spacing w:after="80"/>
      </w:pPr>
    </w:p>
    <w:p>
      <w:pPr>
        <w:pStyle w:val="Heading2"/>
      </w:pPr>
      <w:r>
        <w:t>3.55. Gestión financiera de la Seguridad Social</w:t>
      </w:r>
    </w:p>
    <w:p>
      <w:r>
        <w:rPr>
          <w:rFonts w:ascii="Arial" w:hAnsi="Arial" w:cs="Arial"/>
          <w:b/>
          <w:color w:val="17365D"/>
          <w:sz w:val="22"/>
        </w:rPr>
        <w:t>Real Decreto 696/2018, de 29 de junio, por el que se aprueba el Reglamento general de la gestión financiera de la Seguridad Social.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30-06-2018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1–30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Regula circuito financiero, presupuesto monetario, ordenación y medios de pago, pago de prestaciones y colaboración de entidades financieras.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https://www.boe.es/buscar/act.php?id=BOE-A-2018-9030</w:t>
            </w:r>
          </w:p>
        </w:tc>
      </w:tr>
    </w:tbl>
    <w:p>
      <w:pPr>
        <w:spacing w:after="80"/>
      </w:pPr>
    </w:p>
    <w:p>
      <w:pPr>
        <w:pStyle w:val="Heading2"/>
      </w:pPr>
      <w:r>
        <w:t>3.56. Ley General Presupuestaria</w:t>
      </w:r>
    </w:p>
    <w:p>
      <w:r>
        <w:rPr>
          <w:rFonts w:ascii="Arial" w:hAnsi="Arial" w:cs="Arial"/>
          <w:b/>
          <w:color w:val="17365D"/>
          <w:sz w:val="22"/>
        </w:rPr>
        <w:t>Ley 47/2003, de 26 de noviembre, General Presupuestaria.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27-11-2003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Texto consolidado consultado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2; 32–58; 73–81; 118–132; 138–175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Marco presupuestario supletorio y de control; no desplaza las especialidades de la Seguridad Social.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https://www.boe.es/buscar/act.php?id=BOE-A-2003-21614</w:t>
            </w:r>
          </w:p>
        </w:tc>
      </w:tr>
    </w:tbl>
    <w:p>
      <w:pPr>
        <w:spacing w:after="80"/>
      </w:pPr>
    </w:p>
    <w:p>
      <w:pPr>
        <w:pStyle w:val="Heading2"/>
      </w:pPr>
      <w:r>
        <w:t>3.57. RD 337/2004 del Fondo de Reserva</w:t>
      </w:r>
    </w:p>
    <w:p>
      <w:r>
        <w:rPr>
          <w:rFonts w:ascii="Arial" w:hAnsi="Arial" w:cs="Arial"/>
          <w:b/>
          <w:color w:val="17365D"/>
          <w:sz w:val="22"/>
        </w:rPr>
        <w:t>Real Decreto 337/2004, de 27 de febrero, por el que se desarrolla el Fondo de Reserva de la Seguridad Social.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826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Campo</w:t>
            </w:r>
          </w:p>
        </w:tc>
        <w:tc>
          <w:tcPr>
            <w:tcW w:type="dxa" w:w="68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Contenido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Publicación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BOE de 09-03-2004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Última actualización o control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Consulta de vigencia 30-07-2026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Estado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en lo compatible con la TRLGSS y reformas posteriores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Temas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S13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Artículos o partes clave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1–8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Cambio o criterio reciente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La regulación legal principal del Fondo se encuentra hoy integrada en la TRLGSS; esta norma conserva desarrollo reglamentario compatible.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Enlace oficial</w:t>
            </w:r>
          </w:p>
        </w:tc>
        <w:tc>
          <w:tcPr>
            <w:tcW w:type="dxa" w:w="68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https://www.boe.es/buscar/act.php?id=BOE-A-2004-4220</w:t>
            </w:r>
          </w:p>
        </w:tc>
      </w:tr>
    </w:tbl>
    <w:p>
      <w:pPr>
        <w:spacing w:after="80"/>
      </w:pPr>
    </w:p>
    <w:p>
      <w:pPr>
        <w:pStyle w:val="Heading1"/>
      </w:pPr>
      <w:r>
        <w:t>4. Disposiciones derogadas o de vigencia transitoria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000"/>
        <w:gridCol w:w="3726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Disposición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Situación</w:t>
            </w:r>
          </w:p>
        </w:tc>
        <w:tc>
          <w:tcPr>
            <w:tcW w:type="dxa" w:w="37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Decisión de estudio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Real Decreto Legislativo 1/1994, de 20 de junio, antiguo texto refundido de la LGSS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Derogado desde 02-01-2016</w:t>
            </w:r>
          </w:p>
        </w:tc>
        <w:tc>
          <w:tcPr>
            <w:tcW w:type="dxa" w:w="3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Sustituir por el Real Decreto Legislativo 8/2015. Solo sirve para antecedentes y disposiciones transitorias expresamente remitidas.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28/2003, de 29 de septiembre, reguladora del Fondo de Reserva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Derogada desde 02-01-2016</w:t>
            </w:r>
          </w:p>
        </w:tc>
        <w:tc>
          <w:tcPr>
            <w:tcW w:type="dxa" w:w="3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 contenido legal se integró en la TRLGSS; no presentarla como ley autónoma vigente.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6/1997, de 14 de abril, de Organización y Funcionamiento de la AGE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Derogada</w:t>
            </w:r>
          </w:p>
        </w:tc>
        <w:tc>
          <w:tcPr>
            <w:tcW w:type="dxa" w:w="3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La regulación básica actual de la AGE se contiene en la Ley 40/2015.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Real Decreto 1391/1995, de 4 de agosto, antiguo Reglamento de gestión financiera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Derogado</w:t>
            </w:r>
          </w:p>
        </w:tc>
        <w:tc>
          <w:tcPr>
            <w:tcW w:type="dxa" w:w="3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Utilizar el Real Decreto 696/2018.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Real Decreto 1132/2002, de 31 de octubre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Vigente a la fecha de corte; derogación futura el 28-08-2026</w:t>
            </w:r>
          </w:p>
        </w:tc>
        <w:tc>
          <w:tcPr>
            <w:tcW w:type="dxa" w:w="37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eliminarlo del estudio del 30-07-2026, pero sustituirlo en versiones posteriores a esa fecha por el RD 416/2026.</w:t>
            </w:r>
          </w:p>
        </w:tc>
      </w:tr>
    </w:tbl>
    <w:p>
      <w:pPr>
        <w:spacing w:after="80"/>
      </w:pPr>
    </w:p>
    <w:p>
      <w:pPr>
        <w:pStyle w:val="Heading1"/>
      </w:pPr>
      <w:r>
        <w:t>5. Tabla de correspondencia entre bloques y normas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226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Bloque/temas</w:t>
            </w:r>
          </w:p>
        </w:tc>
        <w:tc>
          <w:tcPr>
            <w:tcW w:type="dxa" w:w="7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Normas principales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G01–G09</w:t>
            </w:r>
          </w:p>
        </w:tc>
        <w:tc>
          <w:tcPr>
            <w:tcW w:type="dxa" w:w="7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Constitución; LOTC; LO del Defensor; LOPJ; LO 1/2025; Ley del Gobierno; LRJSP; LBRL; reformas constitucionales 2024 y 2026.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G10–G11</w:t>
            </w:r>
          </w:p>
        </w:tc>
        <w:tc>
          <w:tcPr>
            <w:tcW w:type="dxa" w:w="7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TUE y TFUE; artículo 288 TFUE; jurisprudencia y principios del Derecho de la Unión.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G12</w:t>
            </w:r>
          </w:p>
        </w:tc>
        <w:tc>
          <w:tcPr>
            <w:tcW w:type="dxa" w:w="7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1009/2023; RD 501/2024; RD 616/2026; normativa propia de entidades gestoras y servicios comunes.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G13–G18</w:t>
            </w:r>
          </w:p>
        </w:tc>
        <w:tc>
          <w:tcPr>
            <w:tcW w:type="dxa" w:w="7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Constitución; Ley del Gobierno; LPAC; LRJSP; LJCA; LO 1/2025.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G19–G23</w:t>
            </w:r>
          </w:p>
        </w:tc>
        <w:tc>
          <w:tcPr>
            <w:tcW w:type="dxa" w:w="7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TREBEP; incompatibilidades; disciplina; información administrativa; igualdad; violencia de género; discapacidad; dependencia; Ley 4/2023; RGPD; LOPDGDD; transparencia; RD 203/2021.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S01–S03</w:t>
            </w:r>
          </w:p>
        </w:tc>
        <w:tc>
          <w:tcPr>
            <w:tcW w:type="dxa" w:w="7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Constitución; TRLGSS; RD 84/1996; Orden TAS/2865/2003; Orden ISM/1199/2025.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S04–S06</w:t>
            </w:r>
          </w:p>
        </w:tc>
        <w:tc>
          <w:tcPr>
            <w:tcW w:type="dxa" w:w="7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TRLGSS; RD 2064/1995; RDL 3/2026; Orden PJC/297/2026; RD 1415/2004; Orden TAS/1562/2005; LISOS.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S07–S09</w:t>
            </w:r>
          </w:p>
        </w:tc>
        <w:tc>
          <w:tcPr>
            <w:tcW w:type="dxa" w:w="7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TRLGSS; LRJS; RD 625/2014; RD 1300/1995; Ley 2/2025; RDL 9/2025.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S10–S12</w:t>
            </w:r>
          </w:p>
        </w:tc>
        <w:tc>
          <w:tcPr>
            <w:tcW w:type="dxa" w:w="7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TRLGSS; RDL 11/2024; RD 416/2026; RDL 19/2026; RD 241/2026; Ley 19/2021; Ley 1/2026; RD 789/2022; RD 240/2026.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S13</w:t>
            </w:r>
          </w:p>
        </w:tc>
        <w:tc>
          <w:tcPr>
            <w:tcW w:type="dxa" w:w="7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TRLGSS; RD 1221/1992; RD 696/2018; Ley 47/2003; RD 337/2004.</w:t>
            </w:r>
          </w:p>
        </w:tc>
      </w:tr>
    </w:tbl>
    <w:p>
      <w:pPr>
        <w:spacing w:after="80"/>
      </w:pPr>
    </w:p>
    <w:p>
      <w:pPr>
        <w:pStyle w:val="Heading1"/>
      </w:pPr>
      <w:r>
        <w:t>6. Control anual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600"/>
        <w:gridCol w:w="1950"/>
        <w:gridCol w:w="2376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Dato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Valor o regla 2026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Fuente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Advertencia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Cotización por contingencias comunes, Régimen General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28,30 %: 23,60 % empresa y 4,70 % persona trabajadora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Orden PJC/297/2026, art. 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Dato anual 2026; comprobar orden o norma del ejercicio siguiente.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Base máxima mensual de cotización 2026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5.101,20 € en los supuestos generales previstos por la orden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Orden PJC/297/2026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Dato anual; verificar reglas por régimen, grupo y supuesto.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Mecanismo de Equidad Intergeneracional 2026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Aplicar el porcentaje y reparto fijados para 2026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RDL 3/2026 y Orden PJC/297/2026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memorizar el porcentaje de otro ejercicio.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Cuota adicional de solidaridad 2026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Tramos y tipos de 2026 sobre retribuciones que superen la base máxima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RDL 3/2026 y Orden PJC/297/2026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Revisar tramos y porcentajes cada año.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Pensiones no contributivas 2026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8.803,20 € anuales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241/2026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Dato anual 2026.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Complemento de alquiler para pensión no contributiva 2026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525,00 € anuales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241/2026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Exige los requisitos específicos del complemento.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Asignación por menor con discapacidad ≥ 33 %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1.000,00 € anuales en 2026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241/2026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Diferenciar de otras prestaciones familiares y grados de discapacidad.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Cuantías mínimas y máximas de pensión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Las tablas del RD 241/2026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241/2026 y anexos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Usar siempre la tabla del ejercicio y el tipo de pensión/situación familiar.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Renta garantizada del ingreso mínimo vital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 determina con la cuantía anual aplicable en 2026 y la unidad de convivencia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Ley 19/2021 y normativa de revalorización 2026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Comprobar composición, complementos, pensiones concurrentes e ingresos.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Edad ordinaria de jubilación en 2026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 años con 38 años y 3 meses o más cotizados; en otro caso, 66 años y 10 meses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TRLGSS, disposición transitoria séptima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Calendario transitorio: el umbral cambia hasta 2027.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Topes, bases, límites de ingresos y cuantías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Los vigentes en 2026 según la norma específica</w:t>
            </w:r>
          </w:p>
        </w:tc>
        <w:tc>
          <w:tcPr>
            <w:tcW w:type="dxa" w:w="19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RD 241/2026, Orden PJC/297/2026 y normas concordantes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Toda cifra debe ir acompañada del año y del supuesto.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Normativa esencial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Normativa esencial para Administrativo de la Administración de la Seguridad Social, C1, turno libre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