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ACTUALIZACIÓN ANUAL 2026</w:t>
      </w:r>
    </w:p>
    <w:p>
      <w:pPr>
        <w:spacing w:before="0" w:after="16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2"/>
        </w:rPr>
        <w:t>Tabla de cuantías, bases, edades y reglas variables</w:t>
      </w:r>
    </w:p>
    <w:p>
      <w:pPr>
        <w:spacing w:before="60" w:after="320"/>
      </w:pPr>
      <w:r>
        <w:rPr>
          <w:rFonts w:ascii="Arial" w:hAnsi="Arial" w:cs="Arial"/>
          <w:i/>
          <w:color w:val="333333"/>
          <w:sz w:val="22"/>
        </w:rPr>
        <w:t>Datos de 2026 separados de las reglas estructurales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Acceso: </w:t>
      </w:r>
      <w:r>
        <w:rPr>
          <w:rFonts w:ascii="Arial" w:hAnsi="Arial" w:cs="Arial"/>
          <w:color w:val="333333"/>
          <w:sz w:val="19"/>
        </w:rPr>
        <w:t>Sistema general de acceso libre · Subgrupo C1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Convocatoria base: </w:t>
      </w:r>
      <w:r>
        <w:rPr>
          <w:rFonts w:ascii="Arial" w:hAnsi="Arial" w:cs="Arial"/>
          <w:color w:val="333333"/>
          <w:sz w:val="19"/>
        </w:rPr>
        <w:t>Resolución de 22 de diciembre de 2025 (BOE de 31-12-2025)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Corrección: </w:t>
      </w:r>
      <w:r>
        <w:rPr>
          <w:rFonts w:ascii="Arial" w:hAnsi="Arial" w:cs="Arial"/>
          <w:color w:val="333333"/>
          <w:sz w:val="19"/>
        </w:rPr>
        <w:t>BOE de 7 de marzo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Fecha de corte del material: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Titular: </w:t>
      </w:r>
      <w:r>
        <w:rPr>
          <w:rFonts w:ascii="Arial" w:hAnsi="Arial" w:cs="Arial"/>
          <w:color w:val="333333"/>
          <w:sz w:val="19"/>
        </w:rPr>
        <w:t>ACADEMIA LORMAN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1. Datos 2026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50"/>
        <w:gridCol w:w="1950"/>
        <w:gridCol w:w="2226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Magnitud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Dato o regla 2026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Fuente</w:t>
            </w:r>
          </w:p>
        </w:tc>
        <w:tc>
          <w:tcPr>
            <w:tcW w:type="dxa" w:w="2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Control para 2027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Cotización por contingencias comunes, Régimen General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28,30 %: 23,60 % empresa y 4,70 % persona trabajadora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PJC/297/2026, art. 4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Dato anual 2026; comprobar orden o norma del ejercicio siguiente.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Base máxima mensual de cotización 2026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5.101,20 € en los supuestos generales previstos por la orden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PJC/297/2026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Dato anual; verificar reglas por régimen, grupo y supuesto.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Mecanismo de Equidad Intergeneracional 2026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Aplicar el porcentaje y reparto fijados para 2026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3/2026 y Orden PJC/297/2026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memorizar el porcentaje de otro ejercicio.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Cuota adicional de solidaridad 2026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Tramos y tipos de 2026 sobre retribuciones que superen la base máxima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3/2026 y Orden PJC/297/2026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Revisar tramos y porcentajes cada año.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Pensiones no contributivas 2026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8.803,20 € anuales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Dato anual 2026.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Complemento de alquiler para pensión no contributiva 2026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525,00 € anuales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Exige los requisitos específicos del complemento.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Asignación por menor con discapacidad ≥ 33 %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1.000,00 € anuales en 2026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Diferenciar de otras prestaciones familiares y grados de discapacidad.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Cuantías mínimas y máximas de pensión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Las tablas del RD 241/2026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 y anexos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Usar siempre la tabla del ejercicio y el tipo de pensión/situación familiar.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Renta garantizada del ingreso mínimo vital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 determina con la cuantía anual aplicable en 2026 y la unidad de convivencia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19/2021 y normativa de revalorización 2026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Comprobar composición, complementos, pensiones concurrentes e ingresos.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Edad ordinaria de jubilación en 2026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 años con 38 años y 3 meses o más cotizados; en otro caso, 66 años y 10 meses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TRLGSS, disposición transitoria séptima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Calendario transitorio: el umbral cambia hasta 2027.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Topes, bases, límites de ingresos y cuantías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Los vigentes en 2026 según la norma específica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241/2026, Orden PJC/297/2026 y normas concordantes</w:t>
            </w:r>
          </w:p>
        </w:tc>
        <w:tc>
          <w:tcPr>
            <w:tcW w:type="dxa" w:w="2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Toda cifra debe ir acompañada del año y del supuesto.</w:t>
            </w:r>
          </w:p>
        </w:tc>
      </w:tr>
    </w:tbl>
    <w:p>
      <w:pPr>
        <w:spacing w:after="80"/>
      </w:pPr>
    </w:p>
    <w:p>
      <w:pPr>
        <w:pStyle w:val="Heading1"/>
      </w:pPr>
      <w:r>
        <w:t>2. Cambios recientes que afectan al programa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00"/>
        <w:gridCol w:w="1600"/>
        <w:gridCol w:w="4026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Publicación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Norma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Temas</w:t>
            </w:r>
          </w:p>
        </w:tc>
        <w:tc>
          <w:tcPr>
            <w:tcW w:type="dxa" w:w="4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Impacto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17-02-2024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del artículo 49 CE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G01, G02, G21</w:t>
            </w:r>
          </w:p>
        </w:tc>
        <w:tc>
          <w:tcPr>
            <w:tcW w:type="dxa" w:w="4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Terminología y mandato constitucional sobre discapacidad.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30-04-2025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2/2025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  <w:tc>
          <w:tcPr>
            <w:tcW w:type="dxa" w:w="4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Incapacidad permanente y continuidad/adaptación del empleo.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30-07-2025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9/2025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G19, S09</w:t>
            </w:r>
          </w:p>
        </w:tc>
        <w:tc>
          <w:tcPr>
            <w:tcW w:type="dxa" w:w="4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Ampliación de nacimiento y cuidado; efectos retroactivos parciales solicitables desde 2026.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01-11-2025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ISM/1199/2025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</w:t>
            </w:r>
          </w:p>
        </w:tc>
        <w:tc>
          <w:tcPr>
            <w:tcW w:type="dxa" w:w="4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Convenio especial de personas vinculadas a organizaciones internacionales.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04-02-2026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3/2026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S04, S10–S12</w:t>
            </w:r>
          </w:p>
        </w:tc>
        <w:tc>
          <w:tcPr>
            <w:tcW w:type="dxa" w:w="4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Revalorización, cotización y medidas urgentes.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20-05-2026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del artículo 69.3 CE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G01, G05, G09</w:t>
            </w:r>
          </w:p>
        </w:tc>
        <w:tc>
          <w:tcPr>
            <w:tcW w:type="dxa" w:w="4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Formentera elige senador propio; eficacia electoral transitoria.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28-05-2026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416/2026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  <w:tc>
          <w:tcPr>
            <w:tcW w:type="dxa" w:w="4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Nueva jubilación flexible; aplicación principal desde 28-08-2026.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30-06-2026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19/2026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G19, S10</w:t>
            </w:r>
          </w:p>
        </w:tc>
        <w:tc>
          <w:tcPr>
            <w:tcW w:type="dxa" w:w="4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Jubilación parcial anticipada de determinado personal laboral público.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23-07-2026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616/2026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G12, S01, S13</w:t>
            </w:r>
          </w:p>
        </w:tc>
        <w:tc>
          <w:tcPr>
            <w:tcW w:type="dxa" w:w="40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Rango de dirección general del Servicio Jurídico de la Administración de la Seguridad Social.</w:t>
            </w:r>
          </w:p>
        </w:tc>
      </w:tr>
    </w:tbl>
    <w:p>
      <w:pPr>
        <w:spacing w:after="80"/>
      </w:pPr>
    </w:p>
    <w:p>
      <w:pPr>
        <w:pStyle w:val="Heading1"/>
      </w:pPr>
      <w:r>
        <w:t>3. Regla de examen</w:t>
      </w:r>
    </w:p>
    <w:p>
      <w:pPr>
        <w:spacing w:after="120"/>
        <w:shd w:fill="D9EAD3"/>
      </w:pPr>
      <w:r>
        <w:rPr>
          <w:rFonts w:ascii="Arial" w:hAnsi="Arial" w:cs="Arial"/>
          <w:sz w:val="20"/>
        </w:rPr>
        <w:t>Cuando una pregunta incluya una cifra, una edad, una base, un tipo o un límite, debe identificarse primero el año y el supuesto. La respuesta jurídicamente correcta puede cambiar sin que cambie la estructura de la prestación.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Actualización anual 2026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actualización anual 2026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