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INFORME DE INCIDENCIAS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Decisiones documentadas, limitaciones y medidas adoptadas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Material de preparación integral y controlado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cs="Arial"/>
          <w:sz w:val="30"/>
        </w:rPr>
        <w:t>1. Finalidad</w:t>
      </w:r>
    </w:p>
    <w:p>
      <w:pPr>
        <w:jc w:val="both"/>
      </w:pPr>
      <w:r>
        <w:rPr>
          <w:rFonts w:ascii="Arial" w:hAnsi="Arial" w:cs="Arial"/>
          <w:sz w:val="22"/>
        </w:rPr>
        <w:t>Este informe recoge las incidencias detectadas durante la investigación, redacción, generación y revisión, así como la decisión adoptada.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2. Incidencias de fuentes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2.1. PDF dañados en la primera descarga</w:t>
      </w:r>
    </w:p>
    <w:p>
      <w:pPr>
        <w:jc w:val="both"/>
      </w:pPr>
      <w:r>
        <w:rPr>
          <w:rFonts w:ascii="Arial" w:hAnsi="Arial" w:cs="Arial"/>
          <w:sz w:val="22"/>
        </w:rPr>
        <w:t>Dos listados oficiales no podían abrirse correctamente después de la primera descarga. Se descargaron de nuevo desde la fuente institucional y se repitió la validación completa.</w:t>
      </w:r>
    </w:p>
    <w:p>
      <w:pPr>
        <w:jc w:val="both"/>
      </w:pPr>
      <w:r>
        <w:rPr>
          <w:rFonts w:ascii="Arial" w:hAnsi="Arial" w:cs="Arial"/>
          <w:b/>
          <w:sz w:val="22"/>
        </w:rPr>
        <w:t>Resultado:</w:t>
      </w:r>
      <w:r>
        <w:rPr>
          <w:rFonts w:ascii="Arial" w:hAnsi="Arial" w:cs="Arial"/>
          <w:sz w:val="22"/>
        </w:rPr>
        <w:t xml:space="preserve"> 60 PDF, 3.787 páginas y cero errores de lectura.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2.2. Secuencia de publicaciones</w:t>
      </w:r>
    </w:p>
    <w:p>
      <w:pPr>
        <w:jc w:val="both"/>
      </w:pPr>
      <w:r>
        <w:rPr>
          <w:rFonts w:ascii="Arial" w:hAnsi="Arial" w:cs="Arial"/>
          <w:sz w:val="22"/>
        </w:rPr>
        <w:t>La convocatoria generó listas, modificaciones, aclaraciones y plantillas sucesivas. Consultar solo el primer documento podía producir información incompleta.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conservar la secuencia cronológica completa en carpetas separadas y crear un índice técnico.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2.3. Proceso no cerrado</w:t>
      </w:r>
    </w:p>
    <w:p>
      <w:pPr>
        <w:jc w:val="both"/>
      </w:pPr>
      <w:r>
        <w:rPr>
          <w:rFonts w:ascii="Arial" w:hAnsi="Arial" w:cs="Arial"/>
          <w:sz w:val="22"/>
        </w:rPr>
        <w:t>A 30 de julio de 2026 existía examen extraordinario anunciado para septiembre y no constaban todavía relación final de aprobados, destinos y nombramientos.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describir el estado como provisional y no anticipar resultados.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3. Incidencias jurídicas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3.1. Doble fecha de referencia</w:t>
      </w:r>
    </w:p>
    <w:p>
      <w:pPr>
        <w:jc w:val="both"/>
      </w:pPr>
      <w:r>
        <w:rPr>
          <w:rFonts w:ascii="Arial" w:hAnsi="Arial" w:cs="Arial"/>
          <w:sz w:val="22"/>
        </w:rPr>
        <w:t>El tribunal fijó 4 de marzo de 2026 como cierre de legislación, mientras que el material se actualiza a 29 de julio.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separar visualmente respuesta del examen ordinario y actualización posterior.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3.2. Reformas con vigencia diferida</w:t>
      </w:r>
    </w:p>
    <w:p>
      <w:pPr>
        <w:jc w:val="both"/>
      </w:pPr>
      <w:r>
        <w:rPr>
          <w:rFonts w:ascii="Arial" w:hAnsi="Arial" w:cs="Arial"/>
          <w:sz w:val="22"/>
        </w:rPr>
        <w:t>Varias reformas publicadas en 2025 y 2026 contienen períodos transitorios o entrada en vigor futura.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comprobar publicación, entrada en vigor y aplicación; no equipararlas.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3.3. Organización judicial</w:t>
      </w:r>
    </w:p>
    <w:p>
      <w:pPr>
        <w:jc w:val="both"/>
      </w:pPr>
      <w:r>
        <w:rPr>
          <w:rFonts w:ascii="Arial" w:hAnsi="Arial" w:cs="Arial"/>
          <w:sz w:val="22"/>
        </w:rPr>
        <w:t>La Ley Orgánica 1/2025 modifica la organización y crea instituciones cuya aplicación no es uniforme desde la publicación.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explicar el calendario y el régimen transitorio. En particular, no atribuir al CGPJ constituido en 2024 una comisión diferida al primer Consejo posterior a la ley.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3.4. Oferta de Empleo Público de 2026</w:t>
      </w:r>
    </w:p>
    <w:p>
      <w:pPr>
        <w:jc w:val="both"/>
      </w:pPr>
      <w:r>
        <w:rPr>
          <w:rFonts w:ascii="Arial" w:hAnsi="Arial" w:cs="Arial"/>
          <w:sz w:val="22"/>
        </w:rPr>
        <w:t>La OEP 2026 contiene plazas del mismo cuerpo, pero no pertenece automáticamente a la convocatoria de 2025.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tratarla como previsión para una convocatoria posterior.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4. Incidencias editoriales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4.1. Encabezados largos</w:t>
      </w:r>
    </w:p>
    <w:p>
      <w:pPr>
        <w:jc w:val="both"/>
      </w:pPr>
      <w:r>
        <w:rPr>
          <w:rFonts w:ascii="Arial" w:hAnsi="Arial" w:cs="Arial"/>
          <w:sz w:val="22"/>
        </w:rPr>
        <w:t>Los títulos literales de algunos temas exceden el espacio del encabezado.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usar en el encabezado un identificador corto y conservar el título completo en portada.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4.2. Caracteres prohibidos</w:t>
      </w:r>
    </w:p>
    <w:p>
      <w:pPr>
        <w:jc w:val="both"/>
      </w:pPr>
      <w:r>
        <w:rPr>
          <w:rFonts w:ascii="Arial" w:hAnsi="Arial" w:cs="Arial"/>
          <w:sz w:val="22"/>
        </w:rPr>
        <w:t>Los dos puntos de los títulos oficiales no son válidos en nombres de archivo de Windows.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sustituirlos por guion solo en el nombre del archivo.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4.3. Longitud de ruta</w:t>
      </w:r>
    </w:p>
    <w:p>
      <w:pPr>
        <w:jc w:val="both"/>
      </w:pPr>
      <w:r>
        <w:rPr>
          <w:rFonts w:ascii="Arial" w:hAnsi="Arial" w:cs="Arial"/>
          <w:sz w:val="22"/>
        </w:rPr>
        <w:t>Los títulos extensos podían superar límites prácticos de ruta.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aplicar acortamiento determinista al nombre, manteniendo número y comienzo identificativo.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4.4. Numeración</w:t>
      </w:r>
    </w:p>
    <w:p>
      <w:pPr>
        <w:jc w:val="both"/>
      </w:pPr>
      <w:r>
        <w:rPr>
          <w:rFonts w:ascii="Arial" w:hAnsi="Arial" w:cs="Arial"/>
          <w:sz w:val="22"/>
        </w:rPr>
        <w:t>Las listas automáticas podían continuar la numeración de un bloque anterior.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usar numeración explícita en los apartados donde es necesario reiniciar.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4.5. Corte de preguntas</w:t>
      </w:r>
    </w:p>
    <w:p>
      <w:pPr>
        <w:jc w:val="both"/>
      </w:pPr>
      <w:r>
        <w:rPr>
          <w:rFonts w:ascii="Arial" w:hAnsi="Arial" w:cs="Arial"/>
          <w:sz w:val="22"/>
        </w:rPr>
        <w:t>La primera versión del test permitía separar opciones y justificación entre páginas.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mantener unido el bloque completo siempre que cabe en una página.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4.6. Justificaciones no visibles</w:t>
      </w:r>
    </w:p>
    <w:p>
      <w:pPr>
        <w:jc w:val="both"/>
      </w:pPr>
      <w:r>
        <w:rPr>
          <w:rFonts w:ascii="Arial" w:hAnsi="Arial" w:cs="Arial"/>
          <w:sz w:val="22"/>
        </w:rPr>
        <w:t>La fuente de los test contenía comentarios técnicos de verificación que no aparecían en Word.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convertirlos en una explicación visible sombreada con dificultad y fundamento.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5. Incidencias técnicas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5.1. Motor de renderizado</w:t>
      </w:r>
    </w:p>
    <w:p>
      <w:pPr>
        <w:jc w:val="both"/>
      </w:pPr>
      <w:r>
        <w:rPr>
          <w:rFonts w:ascii="Arial" w:hAnsi="Arial" w:cs="Arial"/>
          <w:sz w:val="22"/>
        </w:rPr>
        <w:t>LibreOffice no estaba disponible en el entorno. La conversión inicial mediante automatización invisible de Word no resultó estable.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utilizar Microsoft Word para las exportaciones de control y Poppler para renderizar los PDF en imágenes. La revisión técnica del DOCX se complementa con comprobación ZIP/XML.</w:t>
      </w:r>
    </w:p>
    <w:p>
      <w:pPr>
        <w:pStyle w:val="Heading2"/>
        <w:keepNext/>
      </w:pPr>
      <w:r>
        <w:rPr>
          <w:rFonts w:ascii="Arial" w:hAnsi="Arial" w:cs="Arial"/>
          <w:sz w:val="25"/>
        </w:rPr>
        <w:t>5.2. Archivos en uso</w:t>
      </w:r>
    </w:p>
    <w:p>
      <w:pPr>
        <w:jc w:val="both"/>
      </w:pPr>
      <w:r>
        <w:rPr>
          <w:rFonts w:ascii="Arial" w:hAnsi="Arial" w:cs="Arial"/>
          <w:sz w:val="22"/>
        </w:rPr>
        <w:t>Un documento abierto puede bloquear su regeneración.</w:t>
      </w:r>
    </w:p>
    <w:p>
      <w:pPr>
        <w:jc w:val="both"/>
      </w:pPr>
      <w:r>
        <w:rPr>
          <w:rFonts w:ascii="Arial" w:hAnsi="Arial" w:cs="Arial"/>
          <w:b/>
          <w:sz w:val="22"/>
        </w:rPr>
        <w:t>Decisión:</w:t>
      </w:r>
      <w:r>
        <w:rPr>
          <w:rFonts w:ascii="Arial" w:hAnsi="Arial" w:cs="Arial"/>
          <w:sz w:val="22"/>
        </w:rPr>
        <w:t xml:space="preserve"> cerrar la copia de comprobación antes de ejecutar de nuevo el generador, sin interferir con otros documentos del usuario.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6. Criterio de cierre</w:t>
      </w:r>
    </w:p>
    <w:p>
      <w:pPr>
        <w:jc w:val="both"/>
      </w:pPr>
      <w:r>
        <w:rPr>
          <w:rFonts w:ascii="Arial" w:hAnsi="Arial" w:cs="Arial"/>
          <w:sz w:val="22"/>
        </w:rPr>
        <w:t>Una incidencia se considera cerrada cuando: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1. Se identifica su causa.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2. Se aplica una corrección reproducible.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3. Se repite el control afectado.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4. No aparecen errores equivalentes en la muestra.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5. La decisión queda documentada.</w:t>
      </w:r>
    </w:p>
    <w:p>
      <w:pPr>
        <w:jc w:val="both"/>
      </w:pPr>
      <w:r>
        <w:rPr>
          <w:rFonts w:ascii="Arial" w:hAnsi="Arial" w:cs="Arial"/>
          <w:sz w:val="22"/>
        </w:rPr>
        <w:t>Las limitaciones que dependen de publicaciones futuras no pueden cerrarse técnicamente; se convierten en advertencias de actualización.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Incidencias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incidencias y decisiones editoriales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