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INFORME DE REVISIÓN EDITORIAL</w:t>
      </w:r>
    </w:p>
    <w:p>
      <w:pPr>
        <w:spacing w:before="0" w:after="16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2"/>
        </w:rPr>
        <w:t>Estructura, legibilidad, maquetación y controles automáticos</w:t>
      </w:r>
    </w:p>
    <w:p>
      <w:pPr>
        <w:spacing w:before="60" w:after="320"/>
      </w:pPr>
      <w:r>
        <w:rPr>
          <w:rFonts w:ascii="Arial" w:hAnsi="Arial" w:cs="Arial"/>
          <w:i/>
          <w:color w:val="333333"/>
          <w:sz w:val="22"/>
        </w:rPr>
        <w:t>Material de preparación integral y controlado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Acceso: </w:t>
      </w:r>
      <w:r>
        <w:rPr>
          <w:rFonts w:ascii="Arial" w:hAnsi="Arial" w:cs="Arial"/>
          <w:color w:val="333333"/>
          <w:sz w:val="19"/>
        </w:rPr>
        <w:t>Sistema general de acceso libre · Subgrupo C1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Convocatoria base: </w:t>
      </w:r>
      <w:r>
        <w:rPr>
          <w:rFonts w:ascii="Arial" w:hAnsi="Arial" w:cs="Arial"/>
          <w:color w:val="333333"/>
          <w:sz w:val="19"/>
        </w:rPr>
        <w:t>Resolución de 22 de diciembre de 2025 (BOE de 31-12-2025)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Corrección: </w:t>
      </w:r>
      <w:r>
        <w:rPr>
          <w:rFonts w:ascii="Arial" w:hAnsi="Arial" w:cs="Arial"/>
          <w:color w:val="333333"/>
          <w:sz w:val="19"/>
        </w:rPr>
        <w:t>BOE de 7 de marzo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Fecha de corte del material: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after="40"/>
      </w:pPr>
      <w:r>
        <w:rPr>
          <w:rFonts w:ascii="Arial" w:hAnsi="Arial" w:cs="Arial"/>
          <w:b/>
          <w:color w:val="333333"/>
          <w:sz w:val="19"/>
        </w:rPr>
        <w:t xml:space="preserve">Titular: </w:t>
      </w:r>
      <w:r>
        <w:rPr>
          <w:rFonts w:ascii="Arial" w:hAnsi="Arial" w:cs="Arial"/>
          <w:color w:val="333333"/>
          <w:sz w:val="19"/>
        </w:rPr>
        <w:t>ACADEMIA LORMAN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  <w:keepNext/>
      </w:pPr>
      <w:r>
        <w:rPr>
          <w:rFonts w:ascii="Arial" w:hAnsi="Arial" w:cs="Arial"/>
          <w:sz w:val="30"/>
        </w:rPr>
        <w:t>1. Objeto</w:t>
      </w:r>
    </w:p>
    <w:p>
      <w:pPr>
        <w:jc w:val="both"/>
      </w:pPr>
      <w:r>
        <w:rPr>
          <w:rFonts w:ascii="Arial" w:hAnsi="Arial" w:cs="Arial"/>
          <w:sz w:val="22"/>
        </w:rPr>
        <w:t>Este informe documenta los criterios de edición, maquetación y control técnico aplicados a los materiales de la oposición.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2. Especificación común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10"/>
        <w:gridCol w:w="6816"/>
      </w:tblGrid>
      <w:tr>
        <w:trPr>
          <w:tblHeader w:val="true"/>
        </w:trP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Elemento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Criterio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Papel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A4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Márgenes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25,4 mm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Fuente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Arial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Texto general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11 puntos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Interlineado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1,15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Encabezado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Código, tema y fecha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Pie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Aviso legal y página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Títulos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Jerarquía visual azul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Tablas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Rejilla, encabezado repetido y anchos fijos</w:t>
            </w:r>
          </w:p>
        </w:tc>
      </w:tr>
      <w:tr>
        <w:tc>
          <w:tcPr>
            <w:tcW w:type="dxa" w:w="221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Portada</w:t>
            </w:r>
          </w:p>
        </w:tc>
        <w:tc>
          <w:tcPr>
            <w:tcW w:type="dxa" w:w="68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Tipo, número, título literal, fecha y aviso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La maqueta busca lectura prolongada, impresión doméstica y edición posterior en Word. Se evita depender de tipografías no estándar, objetos flotantes o fondos que dificulten la impresión.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3. Estructura de los temas</w:t>
      </w:r>
    </w:p>
    <w:p>
      <w:pPr>
        <w:jc w:val="both"/>
      </w:pPr>
      <w:r>
        <w:rPr>
          <w:rFonts w:ascii="Arial" w:hAnsi="Arial" w:cs="Arial"/>
          <w:sz w:val="22"/>
        </w:rPr>
        <w:t>Los temas se han normalizado con: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1. Portada.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2. Desarrollo por epígrafes.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3. Cuadros y tablas.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4. Alertas y errores frecuentes.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5. Resumen.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6. Datos preguntables.</w:t>
      </w:r>
    </w:p>
    <w:p>
      <w:pPr>
        <w:spacing w:after="40"/>
        <w:ind w:left="369" w:hanging="227"/>
      </w:pPr>
      <w:r>
        <w:rPr>
          <w:rFonts w:ascii="Arial" w:hAnsi="Arial" w:cs="Arial"/>
          <w:sz w:val="22"/>
        </w:rPr>
        <w:t>7. Fuentes.</w:t>
      </w:r>
    </w:p>
    <w:p>
      <w:pPr>
        <w:jc w:val="both"/>
      </w:pPr>
      <w:r>
        <w:rPr>
          <w:rFonts w:ascii="Arial" w:hAnsi="Arial" w:cs="Arial"/>
          <w:sz w:val="22"/>
        </w:rPr>
        <w:t>Los títulos del archivo se saneaban únicamente cuando Windows no admite un carácter, especialmente los dos puntos. El título completo y literal se conserva dentro del documento.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4. Estructura de los test</w:t>
      </w:r>
    </w:p>
    <w:p>
      <w:pPr>
        <w:jc w:val="both"/>
      </w:pPr>
      <w:r>
        <w:rPr>
          <w:rFonts w:ascii="Arial" w:hAnsi="Arial" w:cs="Arial"/>
          <w:sz w:val="22"/>
        </w:rPr>
        <w:t>Cada bloque de pregunta se mantiene unido siempre que cabe en una página:</w:t>
      </w:r>
    </w:p>
    <w:p>
      <w:pPr>
        <w:pStyle w:val="ListBullet"/>
      </w:pPr>
      <w:r>
        <w:rPr>
          <w:rFonts w:ascii="Arial" w:hAnsi="Arial" w:cs="Arial"/>
          <w:sz w:val="22"/>
        </w:rPr>
        <w:t>Enunciado.</w:t>
      </w:r>
    </w:p>
    <w:p>
      <w:pPr>
        <w:pStyle w:val="ListBullet"/>
      </w:pPr>
      <w:r>
        <w:rPr>
          <w:rFonts w:ascii="Arial" w:hAnsi="Arial" w:cs="Arial"/>
          <w:sz w:val="22"/>
        </w:rPr>
        <w:t>Opciones a), b), c) y d).</w:t>
      </w:r>
    </w:p>
    <w:p>
      <w:pPr>
        <w:pStyle w:val="ListBullet"/>
      </w:pPr>
      <w:r>
        <w:rPr>
          <w:rFonts w:ascii="Arial" w:hAnsi="Arial" w:cs="Arial"/>
          <w:sz w:val="22"/>
        </w:rPr>
        <w:t>Respuesta correcta en negrita.</w:t>
      </w:r>
    </w:p>
    <w:p>
      <w:pPr>
        <w:pStyle w:val="ListBullet"/>
      </w:pPr>
      <w:r>
        <w:rPr>
          <w:rFonts w:ascii="Arial" w:hAnsi="Arial" w:cs="Arial"/>
          <w:sz w:val="22"/>
        </w:rPr>
        <w:t>Justificación sombreada.</w:t>
      </w:r>
    </w:p>
    <w:p>
      <w:pPr>
        <w:pStyle w:val="ListBullet"/>
      </w:pPr>
      <w:r>
        <w:rPr>
          <w:rFonts w:ascii="Arial" w:hAnsi="Arial" w:cs="Arial"/>
          <w:sz w:val="22"/>
        </w:rPr>
        <w:t>Nivel de dificultad.</w:t>
      </w:r>
    </w:p>
    <w:p>
      <w:pPr>
        <w:jc w:val="both"/>
      </w:pPr>
      <w:r>
        <w:rPr>
          <w:rFonts w:ascii="Arial" w:hAnsi="Arial" w:cs="Arial"/>
          <w:sz w:val="22"/>
        </w:rPr>
        <w:t>Esta regla evita que una opción o la explicación aparezcan aisladas en la página siguiente. Cuando el bloque completo no pudiera caber por su extensión, Word conserva la integridad máxima posible.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5. Controles automáticos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924"/>
        <w:gridCol w:w="5102"/>
      </w:tblGrid>
      <w:tr>
        <w:trPr>
          <w:tblHeader w:val="true"/>
        </w:trP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Control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  <w:jc w:val="left"/>
            </w:pPr>
            <w:r>
              <w:rPr>
                <w:b/>
                <w:color w:val="17365D"/>
              </w:rPr>
            </w:r>
            <w:r>
              <w:rPr>
                <w:rFonts w:ascii="Arial" w:hAnsi="Arial" w:cs="Arial"/>
                <w:b/>
                <w:color w:val="17365D"/>
                <w:sz w:val="18"/>
              </w:rPr>
              <w:t>Resultado esperado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Integridad DOCX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ZIP y XML esenciales correctos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Número de temas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36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Número de test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36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Preguntas por test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30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Opciones por pregunta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4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Respuestas correctas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30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Dificultad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8/14/8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Distribución de claves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Arial" w:hAnsi="Arial" w:cs="Arial"/>
                <w:sz w:val="18"/>
              </w:rPr>
              <w:t>A8/B8/C7/D7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PDF oficiales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Legibles y con páginas</w:t>
            </w:r>
          </w:p>
        </w:tc>
      </w:tr>
      <w:tr>
        <w:tc>
          <w:tcPr>
            <w:tcW w:type="dxa" w:w="39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Simulacros</w:t>
            </w:r>
          </w:p>
        </w:tc>
        <w:tc>
          <w:tcPr>
            <w:tcW w:type="dxa" w:w="510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Arial" w:hAnsi="Arial" w:cs="Arial"/>
                <w:sz w:val="18"/>
              </w:rPr>
              <w:t>20 tríadas documentales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rFonts w:ascii="Arial" w:hAnsi="Arial" w:cs="Arial"/>
          <w:sz w:val="22"/>
        </w:rPr>
        <w:t>Los resultados se almacenan en informes JSON de control, además de la tabla final en Word.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6. Revisión visual</w:t>
      </w:r>
    </w:p>
    <w:p>
      <w:pPr>
        <w:jc w:val="both"/>
      </w:pPr>
      <w:r>
        <w:rPr>
          <w:rFonts w:ascii="Arial" w:hAnsi="Arial" w:cs="Arial"/>
          <w:sz w:val="22"/>
        </w:rPr>
        <w:t>La plantilla se probó con un tema completo y un test completo exportados mediante Microsoft Word. Se inspeccionaron:</w:t>
      </w:r>
    </w:p>
    <w:p>
      <w:pPr>
        <w:pStyle w:val="ListBullet"/>
      </w:pPr>
      <w:r>
        <w:rPr>
          <w:rFonts w:ascii="Arial" w:hAnsi="Arial" w:cs="Arial"/>
          <w:sz w:val="22"/>
        </w:rPr>
        <w:t>Portada.</w:t>
      </w:r>
    </w:p>
    <w:p>
      <w:pPr>
        <w:pStyle w:val="ListBullet"/>
      </w:pPr>
      <w:r>
        <w:rPr>
          <w:rFonts w:ascii="Arial" w:hAnsi="Arial" w:cs="Arial"/>
          <w:sz w:val="22"/>
        </w:rPr>
        <w:t>Encabezados y pies.</w:t>
      </w:r>
    </w:p>
    <w:p>
      <w:pPr>
        <w:pStyle w:val="ListBullet"/>
      </w:pPr>
      <w:r>
        <w:rPr>
          <w:rFonts w:ascii="Arial" w:hAnsi="Arial" w:cs="Arial"/>
          <w:sz w:val="22"/>
        </w:rPr>
        <w:t>Numeración.</w:t>
      </w:r>
    </w:p>
    <w:p>
      <w:pPr>
        <w:pStyle w:val="ListBullet"/>
      </w:pPr>
      <w:r>
        <w:rPr>
          <w:rFonts w:ascii="Arial" w:hAnsi="Arial" w:cs="Arial"/>
          <w:sz w:val="22"/>
        </w:rPr>
        <w:t>Saltos de página.</w:t>
      </w:r>
    </w:p>
    <w:p>
      <w:pPr>
        <w:pStyle w:val="ListBullet"/>
      </w:pPr>
      <w:r>
        <w:rPr>
          <w:rFonts w:ascii="Arial" w:hAnsi="Arial" w:cs="Arial"/>
          <w:sz w:val="22"/>
        </w:rPr>
        <w:t>Tablas.</w:t>
      </w:r>
    </w:p>
    <w:p>
      <w:pPr>
        <w:pStyle w:val="ListBullet"/>
      </w:pPr>
      <w:r>
        <w:rPr>
          <w:rFonts w:ascii="Arial" w:hAnsi="Arial" w:cs="Arial"/>
          <w:sz w:val="22"/>
        </w:rPr>
        <w:t>Alineación.</w:t>
      </w:r>
    </w:p>
    <w:p>
      <w:pPr>
        <w:pStyle w:val="ListBullet"/>
      </w:pPr>
      <w:r>
        <w:rPr>
          <w:rFonts w:ascii="Arial" w:hAnsi="Arial" w:cs="Arial"/>
          <w:sz w:val="22"/>
        </w:rPr>
        <w:t>Justificaciones.</w:t>
      </w:r>
    </w:p>
    <w:p>
      <w:pPr>
        <w:pStyle w:val="ListBullet"/>
      </w:pPr>
      <w:r>
        <w:rPr>
          <w:rFonts w:ascii="Arial" w:hAnsi="Arial" w:cs="Arial"/>
          <w:sz w:val="22"/>
        </w:rPr>
        <w:t>Aviso legal.</w:t>
      </w:r>
    </w:p>
    <w:p>
      <w:pPr>
        <w:jc w:val="both"/>
      </w:pPr>
      <w:r>
        <w:rPr>
          <w:rFonts w:ascii="Arial" w:hAnsi="Arial" w:cs="Arial"/>
          <w:sz w:val="22"/>
        </w:rPr>
        <w:t>Después de la prueba se acortó el encabezado, se corrigió el reinicio de listas y se mantuvo unido cada bloque de test.</w:t>
      </w:r>
    </w:p>
    <w:p>
      <w:pPr>
        <w:jc w:val="both"/>
      </w:pPr>
      <w:r>
        <w:rPr>
          <w:rFonts w:ascii="Arial" w:hAnsi="Arial" w:cs="Arial"/>
          <w:sz w:val="22"/>
        </w:rPr>
        <w:t>La validación final debe incluir una muestra representativa de documentos de títulos cortos y largos, temas con tablas densas y simulacros.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7. Accesibilidad y legibilidad</w:t>
      </w:r>
    </w:p>
    <w:p>
      <w:pPr>
        <w:pStyle w:val="ListBullet"/>
      </w:pPr>
      <w:r>
        <w:rPr>
          <w:rFonts w:ascii="Arial" w:hAnsi="Arial" w:cs="Arial"/>
          <w:sz w:val="22"/>
        </w:rPr>
        <w:t>Contraste alto entre texto y fondo.</w:t>
      </w:r>
    </w:p>
    <w:p>
      <w:pPr>
        <w:pStyle w:val="ListBullet"/>
      </w:pPr>
      <w:r>
        <w:rPr>
          <w:rFonts w:ascii="Arial" w:hAnsi="Arial" w:cs="Arial"/>
          <w:sz w:val="22"/>
        </w:rPr>
        <w:t>El color no es el único portador de información.</w:t>
      </w:r>
    </w:p>
    <w:p>
      <w:pPr>
        <w:pStyle w:val="ListBullet"/>
      </w:pPr>
      <w:r>
        <w:rPr>
          <w:rFonts w:ascii="Arial" w:hAnsi="Arial" w:cs="Arial"/>
          <w:sz w:val="22"/>
        </w:rPr>
        <w:t>Fuente estándar y cuerpo suficiente.</w:t>
      </w:r>
    </w:p>
    <w:p>
      <w:pPr>
        <w:pStyle w:val="ListBullet"/>
      </w:pPr>
      <w:r>
        <w:rPr>
          <w:rFonts w:ascii="Arial" w:hAnsi="Arial" w:cs="Arial"/>
          <w:sz w:val="22"/>
        </w:rPr>
        <w:t>Tablas con encabezados.</w:t>
      </w:r>
    </w:p>
    <w:p>
      <w:pPr>
        <w:pStyle w:val="ListBullet"/>
      </w:pPr>
      <w:r>
        <w:rPr>
          <w:rFonts w:ascii="Arial" w:hAnsi="Arial" w:cs="Arial"/>
          <w:sz w:val="22"/>
        </w:rPr>
        <w:t>Jerarquía de títulos consistente.</w:t>
      </w:r>
    </w:p>
    <w:p>
      <w:pPr>
        <w:pStyle w:val="ListBullet"/>
      </w:pPr>
      <w:r>
        <w:rPr>
          <w:rFonts w:ascii="Arial" w:hAnsi="Arial" w:cs="Arial"/>
          <w:sz w:val="22"/>
        </w:rPr>
        <w:t>Alternativas identificadas por letra.</w:t>
      </w:r>
    </w:p>
    <w:p>
      <w:pPr>
        <w:pStyle w:val="ListBullet"/>
      </w:pPr>
      <w:r>
        <w:rPr>
          <w:rFonts w:ascii="Arial" w:hAnsi="Arial" w:cs="Arial"/>
          <w:sz w:val="22"/>
        </w:rPr>
        <w:t>No se utilizan imágenes con texto esencial.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8. Nombres y rutas</w:t>
      </w:r>
    </w:p>
    <w:p>
      <w:pPr>
        <w:jc w:val="both"/>
      </w:pPr>
      <w:r>
        <w:rPr>
          <w:rFonts w:ascii="Arial" w:hAnsi="Arial" w:cs="Arial"/>
          <w:sz w:val="22"/>
        </w:rPr>
        <w:t>Windows no permite ciertos caracteres en nombres de archivo y limita la longitud de ruta. El sistema:</w:t>
      </w:r>
    </w:p>
    <w:p>
      <w:pPr>
        <w:pStyle w:val="ListBullet"/>
      </w:pPr>
      <w:r>
        <w:rPr>
          <w:rFonts w:ascii="Arial" w:hAnsi="Arial" w:cs="Arial"/>
          <w:sz w:val="22"/>
        </w:rPr>
        <w:t>Sustituye los dos puntos por guion.</w:t>
      </w:r>
    </w:p>
    <w:p>
      <w:pPr>
        <w:pStyle w:val="ListBullet"/>
      </w:pPr>
      <w:r>
        <w:rPr>
          <w:rFonts w:ascii="Arial" w:hAnsi="Arial" w:cs="Arial"/>
          <w:sz w:val="22"/>
        </w:rPr>
        <w:t>Elimina caracteres prohibidos.</w:t>
      </w:r>
    </w:p>
    <w:p>
      <w:pPr>
        <w:pStyle w:val="ListBullet"/>
      </w:pPr>
      <w:r>
        <w:rPr>
          <w:rFonts w:ascii="Arial" w:hAnsi="Arial" w:cs="Arial"/>
          <w:sz w:val="22"/>
        </w:rPr>
        <w:t>Acorta nombres excepcionalmente largos.</w:t>
      </w:r>
    </w:p>
    <w:p>
      <w:pPr>
        <w:pStyle w:val="ListBullet"/>
      </w:pPr>
      <w:r>
        <w:rPr>
          <w:rFonts w:ascii="Arial" w:hAnsi="Arial" w:cs="Arial"/>
          <w:sz w:val="22"/>
        </w:rPr>
        <w:t>Conserva el título literal dentro del documento.</w:t>
      </w:r>
    </w:p>
    <w:p>
      <w:pPr>
        <w:pStyle w:val="ListBullet"/>
      </w:pPr>
      <w:r>
        <w:rPr>
          <w:rFonts w:ascii="Arial" w:hAnsi="Arial" w:cs="Arial"/>
          <w:sz w:val="22"/>
        </w:rPr>
        <w:t>Mantiene el número oficial al principio.</w:t>
      </w:r>
    </w:p>
    <w:p>
      <w:pPr>
        <w:jc w:val="both"/>
      </w:pPr>
      <w:r>
        <w:rPr>
          <w:rFonts w:ascii="Arial" w:hAnsi="Arial" w:cs="Arial"/>
          <w:sz w:val="22"/>
        </w:rPr>
        <w:t>Esta decisión evita archivos inaccesibles sin alterar el programa.</w:t>
      </w:r>
    </w:p>
    <w:p>
      <w:pPr>
        <w:pStyle w:val="Heading1"/>
        <w:keepNext/>
      </w:pPr>
      <w:r>
        <w:rPr>
          <w:rFonts w:ascii="Arial" w:hAnsi="Arial" w:cs="Arial"/>
          <w:sz w:val="30"/>
        </w:rPr>
        <w:t>9. Resultado</w:t>
      </w:r>
    </w:p>
    <w:p>
      <w:pPr>
        <w:jc w:val="both"/>
      </w:pPr>
      <w:r>
        <w:rPr>
          <w:rFonts w:ascii="Arial" w:hAnsi="Arial" w:cs="Arial"/>
          <w:sz w:val="22"/>
        </w:rPr>
        <w:t>La colección utiliza una plantilla homogénea, editable e imprimible. Los controles mecánicos no sustituyen la revisión humana, pero reducen errores repetitivos y dejan evidencia reproducible del cierre.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Revisión editorial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revisión editorial y técnica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