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w:t>
      </w:r>
    </w:p>
    <w:p>
      <w:pPr>
        <w:spacing w:before="0" w:after="160"/>
      </w:pPr>
      <w:r>
        <w:rPr>
          <w:rFonts w:ascii="Arial" w:hAnsi="Arial" w:cs="Arial"/>
          <w:b/>
          <w:color w:val="1F4E79"/>
          <w:sz w:val="26"/>
        </w:rPr>
        <w:t>INFORME DE REVISIÓN JURÍDICA</w:t>
      </w:r>
    </w:p>
    <w:p>
      <w:pPr>
        <w:spacing w:before="0" w:after="160"/>
        <w:pBdr>
          <w:bottom w:val="single" w:sz="12" w:space="1" w:color="2F75B5"/>
        </w:pBdr>
      </w:pPr>
      <w:r>
        <w:rPr>
          <w:rFonts w:ascii="Arial" w:hAnsi="Arial" w:cs="Arial"/>
          <w:b/>
          <w:color w:val="17365D"/>
          <w:sz w:val="42"/>
        </w:rPr>
        <w:t>Criterios, fecha de corte, alertas de vigencia y fuentes</w:t>
      </w:r>
    </w:p>
    <w:p>
      <w:pPr>
        <w:spacing w:before="60" w:after="320"/>
      </w:pPr>
      <w:r>
        <w:rPr>
          <w:rFonts w:ascii="Arial" w:hAnsi="Arial" w:cs="Arial"/>
          <w:i/>
          <w:color w:val="333333"/>
          <w:sz w:val="22"/>
        </w:rPr>
        <w:t>Material de preparación integral y controlado</w:t>
      </w:r>
    </w:p>
    <w:p>
      <w:pPr>
        <w:spacing w:after="40"/>
      </w:pPr>
      <w:r>
        <w:rPr>
          <w:rFonts w:ascii="Arial" w:hAnsi="Arial" w:cs="Arial"/>
          <w:b/>
          <w:color w:val="333333"/>
          <w:sz w:val="19"/>
        </w:rPr>
        <w:t xml:space="preserve">Acceso: </w:t>
      </w:r>
      <w:r>
        <w:rPr>
          <w:rFonts w:ascii="Arial" w:hAnsi="Arial" w:cs="Arial"/>
          <w:color w:val="333333"/>
          <w:sz w:val="19"/>
        </w:rPr>
        <w:t>Sistema general de acceso libre · Subgrupo C1</w:t>
      </w:r>
    </w:p>
    <w:p>
      <w:pPr>
        <w:spacing w:after="40"/>
      </w:pPr>
      <w:r>
        <w:rPr>
          <w:rFonts w:ascii="Arial" w:hAnsi="Arial" w:cs="Arial"/>
          <w:b/>
          <w:color w:val="333333"/>
          <w:sz w:val="19"/>
        </w:rPr>
        <w:t xml:space="preserve">Convocatoria base: </w:t>
      </w:r>
      <w:r>
        <w:rPr>
          <w:rFonts w:ascii="Arial" w:hAnsi="Arial" w:cs="Arial"/>
          <w:color w:val="333333"/>
          <w:sz w:val="19"/>
        </w:rPr>
        <w:t>Resolución de 22 de diciembre de 2025 (BOE de 31-12-2025)</w:t>
      </w:r>
    </w:p>
    <w:p>
      <w:pPr>
        <w:spacing w:after="40"/>
      </w:pPr>
      <w:r>
        <w:rPr>
          <w:rFonts w:ascii="Arial" w:hAnsi="Arial" w:cs="Arial"/>
          <w:b/>
          <w:color w:val="333333"/>
          <w:sz w:val="19"/>
        </w:rPr>
        <w:t xml:space="preserve">Corrección: </w:t>
      </w:r>
      <w:r>
        <w:rPr>
          <w:rFonts w:ascii="Arial" w:hAnsi="Arial" w:cs="Arial"/>
          <w:color w:val="333333"/>
          <w:sz w:val="19"/>
        </w:rPr>
        <w:t>BOE de 7 de marzo de 2026</w:t>
      </w:r>
    </w:p>
    <w:p>
      <w:pPr>
        <w:spacing w:after="40"/>
      </w:pPr>
      <w:r>
        <w:rPr>
          <w:rFonts w:ascii="Arial" w:hAnsi="Arial" w:cs="Arial"/>
          <w:b/>
          <w:color w:val="333333"/>
          <w:sz w:val="19"/>
        </w:rPr>
        <w:t xml:space="preserve">Fecha de corte del material: </w:t>
      </w:r>
      <w:r>
        <w:rPr>
          <w:rFonts w:ascii="Arial" w:hAnsi="Arial" w:cs="Arial"/>
          <w:color w:val="333333"/>
          <w:sz w:val="19"/>
        </w:rPr>
        <w:t>30 de julio de 2026</w:t>
      </w:r>
    </w:p>
    <w:p>
      <w:pPr>
        <w:spacing w:after="40"/>
      </w:pPr>
      <w:r>
        <w:rPr>
          <w:rFonts w:ascii="Arial" w:hAnsi="Arial" w:cs="Arial"/>
          <w:b/>
          <w:color w:val="333333"/>
          <w:sz w:val="19"/>
        </w:rPr>
        <w:t xml:space="preserve">Titular: </w:t>
      </w:r>
      <w:r>
        <w:rPr>
          <w:rFonts w:ascii="Arial" w:hAnsi="Arial" w:cs="Arial"/>
          <w:color w:val="333333"/>
          <w:sz w:val="19"/>
        </w:rPr>
        <w:t>ACADEMIA LORMAN</w:t>
      </w:r>
    </w:p>
    <w:p>
      <w:pPr>
        <w:spacing w:before="320" w:after="100"/>
      </w:pPr>
      <w:r>
        <w:rPr>
          <w:rFonts w:ascii="Arial" w:hAnsi="Arial" w:cs="Arial"/>
          <w:b/>
          <w:color w:val="1F4E79"/>
          <w:sz w:val="17"/>
        </w:rPr>
        <w:t>AVISO DE PROPIEDAD INTELECTUAL</w:t>
      </w:r>
    </w:p>
    <w:p>
      <w:pPr>
        <w:spacing w:after="60" w:line="240" w:lineRule="auto"/>
        <w:ind w:left="198" w:right="198"/>
        <w:shd w:fill="F2F4F7"/>
      </w:pPr>
      <w:r>
        <w:rPr>
          <w:rFonts w:ascii="Arial" w:hAnsi="Arial" w:cs="Arial"/>
          <w:b/>
          <w:color w:val="333333"/>
          <w:sz w:val="16"/>
        </w:rPr>
        <w:t>© 2026 ACADEMIA LORMAN. Todos los derechos reservados.</w:t>
      </w:r>
    </w:p>
    <w:p>
      <w:pPr>
        <w:spacing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keepNext/>
      </w:pPr>
      <w:r>
        <w:rPr>
          <w:rFonts w:ascii="Arial" w:hAnsi="Arial" w:cs="Arial"/>
          <w:sz w:val="30"/>
        </w:rPr>
        <w:t>1. Objeto</w:t>
      </w:r>
    </w:p>
    <w:p>
      <w:pPr>
        <w:jc w:val="both"/>
      </w:pPr>
      <w:r>
        <w:rPr>
          <w:rFonts w:ascii="Arial" w:hAnsi="Arial" w:cs="Arial"/>
          <w:sz w:val="22"/>
        </w:rPr>
        <w:t>El presente informe documenta el control jurídico aplicado al material de preparación del Cuerpo Administrativo de la Administración de la Seguridad Social, acceso libre, subgrupo C1. La revisión comprende los 36 temas, los test por temas, la guía, los simulacros y las fichas de fuentes.</w:t>
      </w:r>
    </w:p>
    <w:p>
      <w:pPr>
        <w:jc w:val="both"/>
      </w:pPr>
      <w:r>
        <w:rPr>
          <w:rFonts w:ascii="Arial" w:hAnsi="Arial" w:cs="Arial"/>
          <w:sz w:val="22"/>
        </w:rPr>
        <w:t xml:space="preserve">La fecha de corte general es el </w:t>
      </w:r>
      <w:r>
        <w:rPr>
          <w:rFonts w:ascii="Arial" w:hAnsi="Arial" w:cs="Arial"/>
          <w:b/>
          <w:sz w:val="22"/>
        </w:rPr>
        <w:t>30 de julio de 2026</w:t>
      </w:r>
      <w:r>
        <w:rPr>
          <w:rFonts w:ascii="Arial" w:hAnsi="Arial" w:cs="Arial"/>
          <w:sz w:val="22"/>
        </w:rPr>
        <w:t xml:space="preserve">. Para el ejercicio ordinario de la convocatoria publicada el 31 de diciembre de 2025 se ha respetado, además, el cierre de legislación comunicado por el órgano de selección: </w:t>
      </w:r>
      <w:r>
        <w:rPr>
          <w:rFonts w:ascii="Arial" w:hAnsi="Arial" w:cs="Arial"/>
          <w:b/>
          <w:sz w:val="22"/>
        </w:rPr>
        <w:t>4 de marzo de 2026</w:t>
      </w:r>
      <w:r>
        <w:rPr>
          <w:rFonts w:ascii="Arial" w:hAnsi="Arial" w:cs="Arial"/>
          <w:sz w:val="22"/>
        </w:rPr>
        <w:t>, con las aclaraciones posteriores publicadas en el portal oficial.</w:t>
      </w:r>
    </w:p>
    <w:p>
      <w:pPr>
        <w:pStyle w:val="Heading1"/>
        <w:keepNext/>
      </w:pPr>
      <w:r>
        <w:rPr>
          <w:rFonts w:ascii="Arial" w:hAnsi="Arial" w:cs="Arial"/>
          <w:sz w:val="30"/>
        </w:rPr>
        <w:t>2. Criterios aplicados</w:t>
      </w:r>
    </w:p>
    <w:p>
      <w:pPr>
        <w:spacing w:after="40"/>
        <w:ind w:left="369" w:hanging="227"/>
      </w:pPr>
      <w:r>
        <w:rPr>
          <w:rFonts w:ascii="Arial" w:hAnsi="Arial" w:cs="Arial"/>
          <w:sz w:val="22"/>
        </w:rPr>
        <w:t>1. Reproducción literal de los 36 títulos del programa.</w:t>
      </w:r>
    </w:p>
    <w:p>
      <w:pPr>
        <w:spacing w:after="40"/>
        <w:ind w:left="369" w:hanging="227"/>
      </w:pPr>
      <w:r>
        <w:rPr>
          <w:rFonts w:ascii="Arial" w:hAnsi="Arial" w:cs="Arial"/>
          <w:sz w:val="22"/>
        </w:rPr>
        <w:t>2. Prioridad de Constitución, BOE, EUR-Lex y páginas institucionales.</w:t>
      </w:r>
    </w:p>
    <w:p>
      <w:pPr>
        <w:spacing w:after="40"/>
        <w:ind w:left="369" w:hanging="227"/>
      </w:pPr>
      <w:r>
        <w:rPr>
          <w:rFonts w:ascii="Arial" w:hAnsi="Arial" w:cs="Arial"/>
          <w:sz w:val="22"/>
        </w:rPr>
        <w:t>3. Comprobación de vigencia, modificación, derogación y entrada en vigor.</w:t>
      </w:r>
    </w:p>
    <w:p>
      <w:pPr>
        <w:spacing w:after="40"/>
        <w:ind w:left="369" w:hanging="227"/>
      </w:pPr>
      <w:r>
        <w:rPr>
          <w:rFonts w:ascii="Arial" w:hAnsi="Arial" w:cs="Arial"/>
          <w:sz w:val="22"/>
        </w:rPr>
        <w:t>4. Separación entre derecho evaluable al cierre del ejercicio ordinario y derecho vigente a la fecha de actualización.</w:t>
      </w:r>
    </w:p>
    <w:p>
      <w:pPr>
        <w:spacing w:after="40"/>
        <w:ind w:left="369" w:hanging="227"/>
      </w:pPr>
      <w:r>
        <w:rPr>
          <w:rFonts w:ascii="Arial" w:hAnsi="Arial" w:cs="Arial"/>
          <w:sz w:val="22"/>
        </w:rPr>
        <w:t>5. Identificación de regímenes transitorios y aplicaciones diferidas.</w:t>
      </w:r>
    </w:p>
    <w:p>
      <w:pPr>
        <w:spacing w:after="40"/>
        <w:ind w:left="369" w:hanging="227"/>
      </w:pPr>
      <w:r>
        <w:rPr>
          <w:rFonts w:ascii="Arial" w:hAnsi="Arial" w:cs="Arial"/>
          <w:sz w:val="22"/>
        </w:rPr>
        <w:t>6. Comprobación de órganos, competencias, plazos, mayorías, cuantías y requisitos.</w:t>
      </w:r>
    </w:p>
    <w:p>
      <w:pPr>
        <w:spacing w:after="40"/>
        <w:ind w:left="369" w:hanging="227"/>
      </w:pPr>
      <w:r>
        <w:rPr>
          <w:rFonts w:ascii="Arial" w:hAnsi="Arial" w:cs="Arial"/>
          <w:sz w:val="22"/>
        </w:rPr>
        <w:t>7. Contraste entre explicación, tablas, resumen y respuesta de test.</w:t>
      </w:r>
    </w:p>
    <w:p>
      <w:pPr>
        <w:spacing w:after="40"/>
        <w:ind w:left="369" w:hanging="227"/>
      </w:pPr>
      <w:r>
        <w:rPr>
          <w:rFonts w:ascii="Arial" w:hAnsi="Arial" w:cs="Arial"/>
          <w:sz w:val="22"/>
        </w:rPr>
        <w:t>8. Registro de la fuente oficial en cada tema.</w:t>
      </w:r>
    </w:p>
    <w:p>
      <w:pPr>
        <w:spacing w:after="40"/>
        <w:ind w:left="369" w:hanging="227"/>
      </w:pPr>
      <w:r>
        <w:rPr>
          <w:rFonts w:ascii="Arial" w:hAnsi="Arial" w:cs="Arial"/>
          <w:sz w:val="22"/>
        </w:rPr>
        <w:t>9. Evitación de referencias a proyectos o anuncios como si fueran normas vigentes.</w:t>
      </w:r>
    </w:p>
    <w:p>
      <w:pPr>
        <w:spacing w:after="40"/>
        <w:ind w:left="369" w:hanging="227"/>
      </w:pPr>
      <w:r>
        <w:rPr>
          <w:rFonts w:ascii="Arial" w:hAnsi="Arial" w:cs="Arial"/>
          <w:sz w:val="22"/>
        </w:rPr>
        <w:t>10. Advertencia de que la norma oficial prevalece sobre el material didáctico.</w:t>
      </w:r>
    </w:p>
    <w:p>
      <w:pPr>
        <w:pStyle w:val="Heading1"/>
        <w:keepNext/>
      </w:pPr>
      <w:r>
        <w:rPr>
          <w:rFonts w:ascii="Arial" w:hAnsi="Arial" w:cs="Arial"/>
          <w:sz w:val="30"/>
        </w:rPr>
        <w:t>3. Jerarquía de fuentes de comprobación</w:t>
      </w:r>
    </w:p>
    <w:tbl>
      <w:tblPr>
        <w:tblStyle w:val="TableGrid"/>
        <w:tblW w:type="dxa" w:w="9026"/>
        <w:jc w:val="left"/>
        <w:tblLayout w:type="fixed"/>
        <w:tblLook w:firstColumn="1" w:firstRow="1" w:lastColumn="0" w:lastRow="0" w:noHBand="0" w:noVBand="1" w:val="04A0"/>
        <w:tblInd w:w="120" w:type="dxa"/>
      </w:tblPr>
      <w:tblGrid>
        <w:gridCol w:w="900"/>
        <w:gridCol w:w="3571"/>
        <w:gridCol w:w="4555"/>
      </w:tblGrid>
      <w:tr>
        <w:trPr>
          <w:tblHeader w:val="true"/>
        </w:trPr>
        <w:tc>
          <w:tcPr>
            <w:tcW w:type="dxa" w:w="900"/>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Prioridad</w:t>
            </w:r>
          </w:p>
        </w:tc>
        <w:tc>
          <w:tcPr>
            <w:tcW w:type="dxa" w:w="357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Fuente</w:t>
            </w:r>
          </w:p>
        </w:tc>
        <w:tc>
          <w:tcPr>
            <w:tcW w:type="dxa" w:w="455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Uso</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1</w:t>
            </w:r>
          </w:p>
        </w:tc>
        <w:tc>
          <w:tcPr>
            <w:tcW w:type="dxa" w:w="3571"/>
            <w:tcMar>
              <w:top w:w="80" w:type="dxa"/>
              <w:start w:w="120" w:type="dxa"/>
              <w:bottom w:w="80" w:type="dxa"/>
              <w:end w:w="120" w:type="dxa"/>
            </w:tcMar>
            <w:vAlign w:val="center"/>
          </w:tcPr>
          <w:p>
            <w:pPr>
              <w:spacing w:before="0" w:after="0" w:line="240" w:lineRule="auto"/>
              <w:jc w:val="left"/>
            </w:pPr>
            <w:r/>
            <w:r>
              <w:rPr>
                <w:rFonts w:ascii="Arial" w:hAnsi="Arial" w:cs="Arial"/>
                <w:sz w:val="18"/>
              </w:rPr>
              <w:t>Boletín Oficial del Estado</w:t>
            </w:r>
          </w:p>
        </w:tc>
        <w:tc>
          <w:tcPr>
            <w:tcW w:type="dxa" w:w="4555"/>
            <w:tcMar>
              <w:top w:w="80" w:type="dxa"/>
              <w:start w:w="120" w:type="dxa"/>
              <w:bottom w:w="80" w:type="dxa"/>
              <w:end w:w="120" w:type="dxa"/>
            </w:tcMar>
            <w:vAlign w:val="center"/>
          </w:tcPr>
          <w:p>
            <w:pPr>
              <w:spacing w:before="0" w:after="0" w:line="240" w:lineRule="auto"/>
              <w:jc w:val="left"/>
            </w:pPr>
            <w:r/>
            <w:r>
              <w:rPr>
                <w:rFonts w:ascii="Arial" w:hAnsi="Arial" w:cs="Arial"/>
                <w:sz w:val="18"/>
              </w:rPr>
              <w:t>Texto publicado, consolidado y vigencia</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2</w:t>
            </w:r>
          </w:p>
        </w:tc>
        <w:tc>
          <w:tcPr>
            <w:tcW w:type="dxa" w:w="3571"/>
            <w:tcMar>
              <w:top w:w="80" w:type="dxa"/>
              <w:start w:w="120" w:type="dxa"/>
              <w:bottom w:w="80" w:type="dxa"/>
              <w:end w:w="120" w:type="dxa"/>
            </w:tcMar>
            <w:vAlign w:val="center"/>
          </w:tcPr>
          <w:p>
            <w:pPr>
              <w:spacing w:before="0" w:after="0" w:line="240" w:lineRule="auto"/>
              <w:jc w:val="center"/>
            </w:pPr>
            <w:r/>
            <w:r>
              <w:rPr>
                <w:rFonts w:ascii="Arial" w:hAnsi="Arial" w:cs="Arial"/>
                <w:sz w:val="18"/>
              </w:rPr>
              <w:t>EUR-Lex</w:t>
            </w:r>
          </w:p>
        </w:tc>
        <w:tc>
          <w:tcPr>
            <w:tcW w:type="dxa" w:w="4555"/>
            <w:tcMar>
              <w:top w:w="80" w:type="dxa"/>
              <w:start w:w="120" w:type="dxa"/>
              <w:bottom w:w="80" w:type="dxa"/>
              <w:end w:w="120" w:type="dxa"/>
            </w:tcMar>
            <w:vAlign w:val="center"/>
          </w:tcPr>
          <w:p>
            <w:pPr>
              <w:spacing w:before="0" w:after="0" w:line="240" w:lineRule="auto"/>
              <w:jc w:val="left"/>
            </w:pPr>
            <w:r/>
            <w:r>
              <w:rPr>
                <w:rFonts w:ascii="Arial" w:hAnsi="Arial" w:cs="Arial"/>
                <w:sz w:val="18"/>
              </w:rPr>
              <w:t>Tratados, Derecho derivado y jurisprudencia UE</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3</w:t>
            </w:r>
          </w:p>
        </w:tc>
        <w:tc>
          <w:tcPr>
            <w:tcW w:type="dxa" w:w="3571"/>
            <w:tcMar>
              <w:top w:w="80" w:type="dxa"/>
              <w:start w:w="120" w:type="dxa"/>
              <w:bottom w:w="80" w:type="dxa"/>
              <w:end w:w="120" w:type="dxa"/>
            </w:tcMar>
            <w:vAlign w:val="center"/>
          </w:tcPr>
          <w:p>
            <w:pPr>
              <w:spacing w:before="0" w:after="0" w:line="240" w:lineRule="auto"/>
              <w:jc w:val="left"/>
            </w:pPr>
            <w:r/>
            <w:r>
              <w:rPr>
                <w:rFonts w:ascii="Arial" w:hAnsi="Arial" w:cs="Arial"/>
                <w:sz w:val="18"/>
              </w:rPr>
              <w:t>Tribunal Constitucional y Poder Judicial</w:t>
            </w:r>
          </w:p>
        </w:tc>
        <w:tc>
          <w:tcPr>
            <w:tcW w:type="dxa" w:w="4555"/>
            <w:tcMar>
              <w:top w:w="80" w:type="dxa"/>
              <w:start w:w="120" w:type="dxa"/>
              <w:bottom w:w="80" w:type="dxa"/>
              <w:end w:w="120" w:type="dxa"/>
            </w:tcMar>
            <w:vAlign w:val="center"/>
          </w:tcPr>
          <w:p>
            <w:pPr>
              <w:spacing w:before="0" w:after="0" w:line="240" w:lineRule="auto"/>
              <w:jc w:val="left"/>
            </w:pPr>
            <w:r/>
            <w:r>
              <w:rPr>
                <w:rFonts w:ascii="Arial" w:hAnsi="Arial" w:cs="Arial"/>
                <w:sz w:val="18"/>
              </w:rPr>
              <w:t>Jurisprudencia y organización</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4</w:t>
            </w:r>
          </w:p>
        </w:tc>
        <w:tc>
          <w:tcPr>
            <w:tcW w:type="dxa" w:w="3571"/>
            <w:tcMar>
              <w:top w:w="80" w:type="dxa"/>
              <w:start w:w="120" w:type="dxa"/>
              <w:bottom w:w="80" w:type="dxa"/>
              <w:end w:w="120" w:type="dxa"/>
            </w:tcMar>
            <w:vAlign w:val="center"/>
          </w:tcPr>
          <w:p>
            <w:pPr>
              <w:spacing w:before="0" w:after="0" w:line="240" w:lineRule="auto"/>
              <w:jc w:val="left"/>
            </w:pPr>
            <w:r/>
            <w:r>
              <w:rPr>
                <w:rFonts w:ascii="Arial" w:hAnsi="Arial" w:cs="Arial"/>
                <w:sz w:val="18"/>
              </w:rPr>
              <w:t>Seguridad Social y Ministerio</w:t>
            </w:r>
          </w:p>
        </w:tc>
        <w:tc>
          <w:tcPr>
            <w:tcW w:type="dxa" w:w="4555"/>
            <w:tcMar>
              <w:top w:w="80" w:type="dxa"/>
              <w:start w:w="120" w:type="dxa"/>
              <w:bottom w:w="80" w:type="dxa"/>
              <w:end w:w="120" w:type="dxa"/>
            </w:tcMar>
            <w:vAlign w:val="center"/>
          </w:tcPr>
          <w:p>
            <w:pPr>
              <w:spacing w:before="0" w:after="0" w:line="240" w:lineRule="auto"/>
              <w:jc w:val="left"/>
            </w:pPr>
            <w:r/>
            <w:r>
              <w:rPr>
                <w:rFonts w:ascii="Arial" w:hAnsi="Arial" w:cs="Arial"/>
                <w:sz w:val="18"/>
              </w:rPr>
              <w:t>Convocatoria, criterios, estructura y procedimientos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5</w:t>
            </w:r>
          </w:p>
        </w:tc>
        <w:tc>
          <w:tcPr>
            <w:tcW w:type="dxa" w:w="3571"/>
            <w:tcMar>
              <w:top w:w="80" w:type="dxa"/>
              <w:start w:w="120" w:type="dxa"/>
              <w:bottom w:w="80" w:type="dxa"/>
              <w:end w:w="120" w:type="dxa"/>
            </w:tcMar>
            <w:vAlign w:val="center"/>
          </w:tcPr>
          <w:p>
            <w:pPr>
              <w:spacing w:before="0" w:after="0" w:line="240" w:lineRule="auto"/>
              <w:jc w:val="left"/>
            </w:pPr>
            <w:r/>
            <w:r>
              <w:rPr>
                <w:rFonts w:ascii="Arial" w:hAnsi="Arial" w:cs="Arial"/>
                <w:sz w:val="18"/>
              </w:rPr>
              <w:t>Congreso, Senado y Defensor del Pueblo</w:t>
            </w:r>
          </w:p>
        </w:tc>
        <w:tc>
          <w:tcPr>
            <w:tcW w:type="dxa" w:w="4555"/>
            <w:tcMar>
              <w:top w:w="80" w:type="dxa"/>
              <w:start w:w="120" w:type="dxa"/>
              <w:bottom w:w="80" w:type="dxa"/>
              <w:end w:w="120" w:type="dxa"/>
            </w:tcMar>
            <w:vAlign w:val="center"/>
          </w:tcPr>
          <w:p>
            <w:pPr>
              <w:spacing w:before="0" w:after="0" w:line="240" w:lineRule="auto"/>
              <w:jc w:val="left"/>
            </w:pPr>
            <w:r/>
            <w:r>
              <w:rPr>
                <w:rFonts w:ascii="Arial" w:hAnsi="Arial" w:cs="Arial"/>
                <w:sz w:val="18"/>
              </w:rPr>
              <w:t>Reglamentos, composición y funciones</w:t>
            </w:r>
          </w:p>
        </w:tc>
      </w:tr>
      <w:tr>
        <w:tc>
          <w:tcPr>
            <w:tcW w:type="dxa" w:w="900"/>
            <w:tcMar>
              <w:top w:w="80" w:type="dxa"/>
              <w:start w:w="120" w:type="dxa"/>
              <w:bottom w:w="80" w:type="dxa"/>
              <w:end w:w="120" w:type="dxa"/>
            </w:tcMar>
            <w:vAlign w:val="center"/>
          </w:tcPr>
          <w:p>
            <w:pPr>
              <w:spacing w:before="0" w:after="0" w:line="240" w:lineRule="auto"/>
              <w:jc w:val="left"/>
            </w:pPr>
            <w:r/>
            <w:r>
              <w:rPr>
                <w:rFonts w:ascii="Arial" w:hAnsi="Arial" w:cs="Arial"/>
                <w:sz w:val="18"/>
              </w:rPr>
              <w:t>6</w:t>
            </w:r>
          </w:p>
        </w:tc>
        <w:tc>
          <w:tcPr>
            <w:tcW w:type="dxa" w:w="3571"/>
            <w:tcMar>
              <w:top w:w="80" w:type="dxa"/>
              <w:start w:w="120" w:type="dxa"/>
              <w:bottom w:w="80" w:type="dxa"/>
              <w:end w:w="120" w:type="dxa"/>
            </w:tcMar>
            <w:vAlign w:val="center"/>
          </w:tcPr>
          <w:p>
            <w:pPr>
              <w:spacing w:before="0" w:after="0" w:line="240" w:lineRule="auto"/>
              <w:jc w:val="left"/>
            </w:pPr>
            <w:r/>
            <w:r>
              <w:rPr>
                <w:rFonts w:ascii="Arial" w:hAnsi="Arial" w:cs="Arial"/>
                <w:sz w:val="18"/>
              </w:rPr>
              <w:t>AEPD, Transparencia y otros organismos</w:t>
            </w:r>
          </w:p>
        </w:tc>
        <w:tc>
          <w:tcPr>
            <w:tcW w:type="dxa" w:w="4555"/>
            <w:tcMar>
              <w:top w:w="80" w:type="dxa"/>
              <w:start w:w="120" w:type="dxa"/>
              <w:bottom w:w="80" w:type="dxa"/>
              <w:end w:w="120" w:type="dxa"/>
            </w:tcMar>
            <w:vAlign w:val="center"/>
          </w:tcPr>
          <w:p>
            <w:pPr>
              <w:spacing w:before="0" w:after="0" w:line="240" w:lineRule="auto"/>
              <w:jc w:val="left"/>
            </w:pPr>
            <w:r/>
            <w:r>
              <w:rPr>
                <w:rFonts w:ascii="Arial" w:hAnsi="Arial" w:cs="Arial"/>
                <w:sz w:val="18"/>
              </w:rPr>
              <w:t>Materias transversales</w:t>
            </w:r>
          </w:p>
        </w:tc>
      </w:tr>
    </w:tbl>
    <w:p>
      <w:pPr>
        <w:spacing w:after="40"/>
      </w:pPr>
    </w:p>
    <w:p>
      <w:pPr>
        <w:jc w:val="both"/>
      </w:pPr>
      <w:r>
        <w:rPr>
          <w:rFonts w:ascii="Arial" w:hAnsi="Arial" w:cs="Arial"/>
          <w:sz w:val="22"/>
        </w:rPr>
        <w:t>Las fuentes secundarias se han utilizado únicamente como apoyo de localización o comprensión, no como fundamento final cuando existía una fuente primaria accesible.</w:t>
      </w:r>
    </w:p>
    <w:p>
      <w:pPr>
        <w:pStyle w:val="Heading1"/>
        <w:keepNext/>
      </w:pPr>
      <w:r>
        <w:rPr>
          <w:rFonts w:ascii="Arial" w:hAnsi="Arial" w:cs="Arial"/>
          <w:sz w:val="30"/>
        </w:rPr>
        <w:t>4. Revisión por bloques</w:t>
      </w:r>
    </w:p>
    <w:p>
      <w:pPr>
        <w:pStyle w:val="Heading2"/>
        <w:keepNext/>
      </w:pPr>
      <w:r>
        <w:rPr>
          <w:rFonts w:ascii="Arial" w:hAnsi="Arial" w:cs="Arial"/>
          <w:sz w:val="25"/>
        </w:rPr>
        <w:t>4.1. Constitución y órganos constitucionales</w:t>
      </w:r>
    </w:p>
    <w:p>
      <w:pPr>
        <w:jc w:val="both"/>
      </w:pPr>
      <w:r>
        <w:rPr>
          <w:rFonts w:ascii="Arial" w:hAnsi="Arial" w:cs="Arial"/>
          <w:sz w:val="22"/>
        </w:rPr>
        <w:t>Se ha utilizado el texto consolidado de la Constitución Española a 30 de julio de 2026. La revisión incorpora:</w:t>
      </w:r>
    </w:p>
    <w:p>
      <w:pPr>
        <w:pStyle w:val="ListBullet"/>
      </w:pPr>
      <w:r>
        <w:rPr>
          <w:rFonts w:ascii="Arial" w:hAnsi="Arial" w:cs="Arial"/>
          <w:sz w:val="22"/>
        </w:rPr>
        <w:t>Reforma del artículo 49 publicada en 2024.</w:t>
      </w:r>
    </w:p>
    <w:p>
      <w:pPr>
        <w:pStyle w:val="ListBullet"/>
      </w:pPr>
      <w:r>
        <w:rPr>
          <w:rFonts w:ascii="Arial" w:hAnsi="Arial" w:cs="Arial"/>
          <w:sz w:val="22"/>
        </w:rPr>
        <w:t>Reforma del artículo 69.3 publicada en 2026, con su disposición transitoria.</w:t>
      </w:r>
    </w:p>
    <w:p>
      <w:pPr>
        <w:pStyle w:val="ListBullet"/>
      </w:pPr>
      <w:r>
        <w:rPr>
          <w:rFonts w:ascii="Arial" w:hAnsi="Arial" w:cs="Arial"/>
          <w:sz w:val="22"/>
        </w:rPr>
        <w:t>Procedimientos de los artículos 167 y 168.</w:t>
      </w:r>
    </w:p>
    <w:p>
      <w:pPr>
        <w:pStyle w:val="ListBullet"/>
      </w:pPr>
      <w:r>
        <w:rPr>
          <w:rFonts w:ascii="Arial" w:hAnsi="Arial" w:cs="Arial"/>
          <w:sz w:val="22"/>
        </w:rPr>
        <w:t>Organización y competencias del Tribunal Constitucional.</w:t>
      </w:r>
    </w:p>
    <w:p>
      <w:pPr>
        <w:pStyle w:val="ListBullet"/>
      </w:pPr>
      <w:r>
        <w:rPr>
          <w:rFonts w:ascii="Arial" w:hAnsi="Arial" w:cs="Arial"/>
          <w:sz w:val="22"/>
        </w:rPr>
        <w:t>Corona, Cortes, Gobierno, Poder Judicial y Consejo General del Poder Judicial.</w:t>
      </w:r>
    </w:p>
    <w:p>
      <w:pPr>
        <w:pStyle w:val="ListBullet"/>
      </w:pPr>
      <w:r>
        <w:rPr>
          <w:rFonts w:ascii="Arial" w:hAnsi="Arial" w:cs="Arial"/>
          <w:sz w:val="22"/>
        </w:rPr>
        <w:t>Reglas de refrendo, responsabilidad, mayorías y control.</w:t>
      </w:r>
    </w:p>
    <w:p>
      <w:pPr>
        <w:jc w:val="both"/>
      </w:pPr>
      <w:r>
        <w:rPr>
          <w:rFonts w:ascii="Arial" w:hAnsi="Arial" w:cs="Arial"/>
          <w:sz w:val="22"/>
        </w:rPr>
        <w:t>Se distingue la composición legal del CGPJ vigente de previsiones cuya aplicación se difiere al primer Consejo constituido después de la Ley Orgánica 1/2025. No se atribuye al Consejo constituido en 2024 una comisión cuya efectividad queda sometida a ese régimen transitorio.</w:t>
      </w:r>
    </w:p>
    <w:p>
      <w:pPr>
        <w:pStyle w:val="Heading2"/>
        <w:keepNext/>
      </w:pPr>
      <w:r>
        <w:rPr>
          <w:rFonts w:ascii="Arial" w:hAnsi="Arial" w:cs="Arial"/>
          <w:sz w:val="25"/>
        </w:rPr>
        <w:t>4.2. Organización judicial</w:t>
      </w:r>
    </w:p>
    <w:p>
      <w:pPr>
        <w:jc w:val="both"/>
      </w:pPr>
      <w:r>
        <w:rPr>
          <w:rFonts w:ascii="Arial" w:hAnsi="Arial" w:cs="Arial"/>
          <w:sz w:val="22"/>
        </w:rPr>
        <w:t>Se ha revisado la Ley Orgánica del Poder Judicial y la transformación derivada de la Ley Orgánica 1/2025. Los Tribunales de Instancia y las Oficinas de Justicia se explican conforme al calendario y a las disposiciones de implantación, evitando presentar como simultánea una transición escalonada.</w:t>
      </w:r>
    </w:p>
    <w:p>
      <w:pPr>
        <w:pStyle w:val="Heading2"/>
        <w:keepNext/>
      </w:pPr>
      <w:r>
        <w:rPr>
          <w:rFonts w:ascii="Arial" w:hAnsi="Arial" w:cs="Arial"/>
          <w:sz w:val="25"/>
        </w:rPr>
        <w:t>4.3. Unión Europea</w:t>
      </w:r>
    </w:p>
    <w:p>
      <w:pPr>
        <w:jc w:val="both"/>
      </w:pPr>
      <w:r>
        <w:rPr>
          <w:rFonts w:ascii="Arial" w:hAnsi="Arial" w:cs="Arial"/>
          <w:sz w:val="22"/>
        </w:rPr>
        <w:t>Se han contrastado:</w:t>
      </w:r>
    </w:p>
    <w:p>
      <w:pPr>
        <w:pStyle w:val="ListBullet"/>
      </w:pPr>
      <w:r>
        <w:rPr>
          <w:rFonts w:ascii="Arial" w:hAnsi="Arial" w:cs="Arial"/>
          <w:sz w:val="22"/>
        </w:rPr>
        <w:t>Tratado de la Unión Europea.</w:t>
      </w:r>
    </w:p>
    <w:p>
      <w:pPr>
        <w:pStyle w:val="ListBullet"/>
      </w:pPr>
      <w:r>
        <w:rPr>
          <w:rFonts w:ascii="Arial" w:hAnsi="Arial" w:cs="Arial"/>
          <w:sz w:val="22"/>
        </w:rPr>
        <w:t>Tratado de Funcionamiento de la Unión Europea.</w:t>
      </w:r>
    </w:p>
    <w:p>
      <w:pPr>
        <w:pStyle w:val="ListBullet"/>
      </w:pPr>
      <w:r>
        <w:rPr>
          <w:rFonts w:ascii="Arial" w:hAnsi="Arial" w:cs="Arial"/>
          <w:sz w:val="22"/>
        </w:rPr>
        <w:t>Composición y funciones del Consejo, Parlamento, Comisión y Tribunal de Justicia.</w:t>
      </w:r>
    </w:p>
    <w:p>
      <w:pPr>
        <w:pStyle w:val="ListBullet"/>
      </w:pPr>
      <w:r>
        <w:rPr>
          <w:rFonts w:ascii="Arial" w:hAnsi="Arial" w:cs="Arial"/>
          <w:sz w:val="22"/>
        </w:rPr>
        <w:t>Reglamentos, directivas y decisiones.</w:t>
      </w:r>
    </w:p>
    <w:p>
      <w:pPr>
        <w:pStyle w:val="ListBullet"/>
      </w:pPr>
      <w:r>
        <w:rPr>
          <w:rFonts w:ascii="Arial" w:hAnsi="Arial" w:cs="Arial"/>
          <w:sz w:val="22"/>
        </w:rPr>
        <w:t>Principios de primacía, efecto directo, interpretación conforme y responsabilidad.</w:t>
      </w:r>
    </w:p>
    <w:p>
      <w:pPr>
        <w:pStyle w:val="ListBullet"/>
      </w:pPr>
      <w:r>
        <w:rPr>
          <w:rFonts w:ascii="Arial" w:hAnsi="Arial" w:cs="Arial"/>
          <w:sz w:val="22"/>
        </w:rPr>
        <w:t>Cuestión prejudicial y reserva del Tribunal de Justicia sobre validez de actos de la Unión.</w:t>
      </w:r>
    </w:p>
    <w:p>
      <w:pPr>
        <w:jc w:val="both"/>
      </w:pPr>
      <w:r>
        <w:rPr>
          <w:rFonts w:ascii="Arial" w:hAnsi="Arial" w:cs="Arial"/>
          <w:sz w:val="22"/>
        </w:rPr>
        <w:t>La explicación evita afirmar que toda disposición de una directiva produce efecto directo horizontal o que un órgano nacional puede declarar inválido un acto de la Unión.</w:t>
      </w:r>
    </w:p>
    <w:p>
      <w:pPr>
        <w:pStyle w:val="Heading2"/>
        <w:keepNext/>
      </w:pPr>
      <w:r>
        <w:rPr>
          <w:rFonts w:ascii="Arial" w:hAnsi="Arial" w:cs="Arial"/>
          <w:sz w:val="25"/>
        </w:rPr>
        <w:t>4.4. Administración General del Estado y Ministerio</w:t>
      </w:r>
    </w:p>
    <w:p>
      <w:pPr>
        <w:jc w:val="both"/>
      </w:pPr>
      <w:r>
        <w:rPr>
          <w:rFonts w:ascii="Arial" w:hAnsi="Arial" w:cs="Arial"/>
          <w:sz w:val="22"/>
        </w:rPr>
        <w:t>Se han controlado la Ley 40/2015 y la estructura orgánica vigente del Ministerio de Inclusión, Seguridad Social y Migraciones. Se identifican las reformas orgánicas publicadas en 2025 y 2026 y se diferencia:</w:t>
      </w:r>
    </w:p>
    <w:p>
      <w:pPr>
        <w:pStyle w:val="ListBullet"/>
      </w:pPr>
      <w:r>
        <w:rPr>
          <w:rFonts w:ascii="Arial" w:hAnsi="Arial" w:cs="Arial"/>
          <w:sz w:val="22"/>
        </w:rPr>
        <w:t>Estructura básica.</w:t>
      </w:r>
    </w:p>
    <w:p>
      <w:pPr>
        <w:pStyle w:val="ListBullet"/>
      </w:pPr>
      <w:r>
        <w:rPr>
          <w:rFonts w:ascii="Arial" w:hAnsi="Arial" w:cs="Arial"/>
          <w:sz w:val="22"/>
        </w:rPr>
        <w:t>Órganos superiores y directivos.</w:t>
      </w:r>
    </w:p>
    <w:p>
      <w:pPr>
        <w:pStyle w:val="ListBullet"/>
      </w:pPr>
      <w:r>
        <w:rPr>
          <w:rFonts w:ascii="Arial" w:hAnsi="Arial" w:cs="Arial"/>
          <w:sz w:val="22"/>
        </w:rPr>
        <w:t>Servicios comunes.</w:t>
      </w:r>
    </w:p>
    <w:p>
      <w:pPr>
        <w:pStyle w:val="ListBullet"/>
      </w:pPr>
      <w:r>
        <w:rPr>
          <w:rFonts w:ascii="Arial" w:hAnsi="Arial" w:cs="Arial"/>
          <w:sz w:val="22"/>
        </w:rPr>
        <w:t>Entidades y servicios adscritos.</w:t>
      </w:r>
    </w:p>
    <w:p>
      <w:pPr>
        <w:pStyle w:val="ListBullet"/>
      </w:pPr>
      <w:r>
        <w:rPr>
          <w:rFonts w:ascii="Arial" w:hAnsi="Arial" w:cs="Arial"/>
          <w:sz w:val="22"/>
        </w:rPr>
        <w:t>Unidades operativas que no alteran por sí mismas la estructura básica.</w:t>
      </w:r>
    </w:p>
    <w:p>
      <w:pPr>
        <w:pStyle w:val="ListBullet"/>
      </w:pPr>
      <w:r>
        <w:rPr>
          <w:rFonts w:ascii="Arial" w:hAnsi="Arial" w:cs="Arial"/>
          <w:sz w:val="22"/>
        </w:rPr>
        <w:t>Entrada en vigor de las modificaciones.</w:t>
      </w:r>
    </w:p>
    <w:p>
      <w:pPr>
        <w:pStyle w:val="Heading2"/>
        <w:keepNext/>
      </w:pPr>
      <w:r>
        <w:rPr>
          <w:rFonts w:ascii="Arial" w:hAnsi="Arial" w:cs="Arial"/>
          <w:sz w:val="25"/>
        </w:rPr>
        <w:t>4.5. Fuentes, acto y procedimiento</w:t>
      </w:r>
    </w:p>
    <w:p>
      <w:pPr>
        <w:jc w:val="both"/>
      </w:pPr>
      <w:r>
        <w:rPr>
          <w:rFonts w:ascii="Arial" w:hAnsi="Arial" w:cs="Arial"/>
          <w:sz w:val="22"/>
        </w:rPr>
        <w:t>Se han revisado Constitución, Ley 39/2015, Ley 40/2015, Ley 29/1998 y legislación complementaria. Los controles incluyen:</w:t>
      </w:r>
    </w:p>
    <w:p>
      <w:pPr>
        <w:pStyle w:val="ListBullet"/>
      </w:pPr>
      <w:r>
        <w:rPr>
          <w:rFonts w:ascii="Arial" w:hAnsi="Arial" w:cs="Arial"/>
          <w:sz w:val="22"/>
        </w:rPr>
        <w:t>Reserva de ley y jerarquía.</w:t>
      </w:r>
    </w:p>
    <w:p>
      <w:pPr>
        <w:pStyle w:val="ListBullet"/>
      </w:pPr>
      <w:r>
        <w:rPr>
          <w:rFonts w:ascii="Arial" w:hAnsi="Arial" w:cs="Arial"/>
          <w:sz w:val="22"/>
        </w:rPr>
        <w:t>Decreto-ley y decreto legislativo.</w:t>
      </w:r>
    </w:p>
    <w:p>
      <w:pPr>
        <w:pStyle w:val="ListBullet"/>
      </w:pPr>
      <w:r>
        <w:rPr>
          <w:rFonts w:ascii="Arial" w:hAnsi="Arial" w:cs="Arial"/>
          <w:sz w:val="22"/>
        </w:rPr>
        <w:t>Potestad reglamentaria y límites.</w:t>
      </w:r>
    </w:p>
    <w:p>
      <w:pPr>
        <w:pStyle w:val="ListBullet"/>
      </w:pPr>
      <w:r>
        <w:rPr>
          <w:rFonts w:ascii="Arial" w:hAnsi="Arial" w:cs="Arial"/>
          <w:sz w:val="22"/>
        </w:rPr>
        <w:t>Motivación, forma, eficacia, notificación y publicación.</w:t>
      </w:r>
    </w:p>
    <w:p>
      <w:pPr>
        <w:pStyle w:val="ListBullet"/>
      </w:pPr>
      <w:r>
        <w:rPr>
          <w:rFonts w:ascii="Arial" w:hAnsi="Arial" w:cs="Arial"/>
          <w:sz w:val="22"/>
        </w:rPr>
        <w:t>Nulidad, anulabilidad, conservación y revisión.</w:t>
      </w:r>
    </w:p>
    <w:p>
      <w:pPr>
        <w:pStyle w:val="ListBullet"/>
      </w:pPr>
      <w:r>
        <w:rPr>
          <w:rFonts w:ascii="Arial" w:hAnsi="Arial" w:cs="Arial"/>
          <w:sz w:val="22"/>
        </w:rPr>
        <w:t>Capacidad, representación, identificación y firma.</w:t>
      </w:r>
    </w:p>
    <w:p>
      <w:pPr>
        <w:pStyle w:val="ListBullet"/>
      </w:pPr>
      <w:r>
        <w:rPr>
          <w:rFonts w:ascii="Arial" w:hAnsi="Arial" w:cs="Arial"/>
          <w:sz w:val="22"/>
        </w:rPr>
        <w:t>Obligación de resolver y silencio.</w:t>
      </w:r>
    </w:p>
    <w:p>
      <w:pPr>
        <w:pStyle w:val="ListBullet"/>
      </w:pPr>
      <w:r>
        <w:rPr>
          <w:rFonts w:ascii="Arial" w:hAnsi="Arial" w:cs="Arial"/>
          <w:sz w:val="22"/>
        </w:rPr>
        <w:t>Términos, plazos y cómputo.</w:t>
      </w:r>
    </w:p>
    <w:p>
      <w:pPr>
        <w:pStyle w:val="ListBullet"/>
      </w:pPr>
      <w:r>
        <w:rPr>
          <w:rFonts w:ascii="Arial" w:hAnsi="Arial" w:cs="Arial"/>
          <w:sz w:val="22"/>
        </w:rPr>
        <w:t>Iniciación, ordenación, instrucción, finalización y ejecución.</w:t>
      </w:r>
    </w:p>
    <w:p>
      <w:pPr>
        <w:pStyle w:val="ListBullet"/>
      </w:pPr>
      <w:r>
        <w:rPr>
          <w:rFonts w:ascii="Arial" w:hAnsi="Arial" w:cs="Arial"/>
          <w:sz w:val="22"/>
        </w:rPr>
        <w:t>Alzada, reposición y revisión extraordinaria.</w:t>
      </w:r>
    </w:p>
    <w:p>
      <w:pPr>
        <w:pStyle w:val="ListBullet"/>
      </w:pPr>
      <w:r>
        <w:rPr>
          <w:rFonts w:ascii="Arial" w:hAnsi="Arial" w:cs="Arial"/>
          <w:sz w:val="22"/>
        </w:rPr>
        <w:t>Objeto y plazos básicos de la jurisdicción contencioso-administrativa.</w:t>
      </w:r>
    </w:p>
    <w:p>
      <w:pPr>
        <w:pStyle w:val="Heading2"/>
        <w:keepNext/>
      </w:pPr>
      <w:r>
        <w:rPr>
          <w:rFonts w:ascii="Arial" w:hAnsi="Arial" w:cs="Arial"/>
          <w:sz w:val="25"/>
        </w:rPr>
        <w:t>4.6. Empleo público y materias transversales</w:t>
      </w:r>
    </w:p>
    <w:p>
      <w:pPr>
        <w:jc w:val="both"/>
      </w:pPr>
      <w:r>
        <w:rPr>
          <w:rFonts w:ascii="Arial" w:hAnsi="Arial" w:cs="Arial"/>
          <w:sz w:val="22"/>
        </w:rPr>
        <w:t>Se han contrastado el texto refundido del Estatuto Básico del Empleado Público, la normativa de incompatibilidades, igualdad, transparencia, acceso a la información, protección de datos, atención y discapacidad.</w:t>
      </w:r>
    </w:p>
    <w:p>
      <w:pPr>
        <w:jc w:val="both"/>
      </w:pPr>
      <w:r>
        <w:rPr>
          <w:rFonts w:ascii="Arial" w:hAnsi="Arial" w:cs="Arial"/>
          <w:sz w:val="22"/>
        </w:rPr>
        <w:t>Se han tenido en cuenta las reformas de permisos y conciliación publicadas en 2025, así como la terminología constitucional actualizada sobre discapacidad.</w:t>
      </w:r>
    </w:p>
    <w:p>
      <w:pPr>
        <w:pStyle w:val="Heading2"/>
        <w:keepNext/>
      </w:pPr>
      <w:r>
        <w:rPr>
          <w:rFonts w:ascii="Arial" w:hAnsi="Arial" w:cs="Arial"/>
          <w:sz w:val="25"/>
        </w:rPr>
        <w:t>4.7. Seguridad Social</w:t>
      </w:r>
    </w:p>
    <w:p>
      <w:pPr>
        <w:jc w:val="both"/>
      </w:pPr>
      <w:r>
        <w:rPr>
          <w:rFonts w:ascii="Arial" w:hAnsi="Arial" w:cs="Arial"/>
          <w:sz w:val="22"/>
        </w:rPr>
        <w:t>El texto refundido de la Ley General de la Seguridad Social constituye la fuente central. Se complementa con los reglamentos generales de inscripción, afiliación, cotización y recaudación, la normativa de cada prestación y la estructura de las entidades.</w:t>
      </w:r>
    </w:p>
    <w:p>
      <w:pPr>
        <w:jc w:val="both"/>
      </w:pPr>
      <w:r>
        <w:rPr>
          <w:rFonts w:ascii="Arial" w:hAnsi="Arial" w:cs="Arial"/>
          <w:sz w:val="22"/>
        </w:rPr>
        <w:t>Los controles se organizan según esta cadena:</w:t>
      </w:r>
    </w:p>
    <w:p>
      <w:pPr>
        <w:spacing w:after="40"/>
        <w:ind w:left="369" w:hanging="227"/>
      </w:pPr>
      <w:r>
        <w:rPr>
          <w:rFonts w:ascii="Arial" w:hAnsi="Arial" w:cs="Arial"/>
          <w:sz w:val="22"/>
        </w:rPr>
        <w:t>1. Campo de aplicación y encuadramiento.</w:t>
      </w:r>
    </w:p>
    <w:p>
      <w:pPr>
        <w:spacing w:after="40"/>
        <w:ind w:left="369" w:hanging="227"/>
      </w:pPr>
      <w:r>
        <w:rPr>
          <w:rFonts w:ascii="Arial" w:hAnsi="Arial" w:cs="Arial"/>
          <w:sz w:val="22"/>
        </w:rPr>
        <w:t>2. Inscripción, afiliación, altas y bajas.</w:t>
      </w:r>
    </w:p>
    <w:p>
      <w:pPr>
        <w:spacing w:after="40"/>
        <w:ind w:left="369" w:hanging="227"/>
      </w:pPr>
      <w:r>
        <w:rPr>
          <w:rFonts w:ascii="Arial" w:hAnsi="Arial" w:cs="Arial"/>
          <w:sz w:val="22"/>
        </w:rPr>
        <w:t>3. Cotización.</w:t>
      </w:r>
    </w:p>
    <w:p>
      <w:pPr>
        <w:spacing w:after="40"/>
        <w:ind w:left="369" w:hanging="227"/>
      </w:pPr>
      <w:r>
        <w:rPr>
          <w:rFonts w:ascii="Arial" w:hAnsi="Arial" w:cs="Arial"/>
          <w:sz w:val="22"/>
        </w:rPr>
        <w:t>4. Recaudación voluntaria y ejecutiva.</w:t>
      </w:r>
    </w:p>
    <w:p>
      <w:pPr>
        <w:spacing w:after="40"/>
        <w:ind w:left="369" w:hanging="227"/>
      </w:pPr>
      <w:r>
        <w:rPr>
          <w:rFonts w:ascii="Arial" w:hAnsi="Arial" w:cs="Arial"/>
          <w:sz w:val="22"/>
        </w:rPr>
        <w:t>5. Acción protectora.</w:t>
      </w:r>
    </w:p>
    <w:p>
      <w:pPr>
        <w:spacing w:after="40"/>
        <w:ind w:left="369" w:hanging="227"/>
      </w:pPr>
      <w:r>
        <w:rPr>
          <w:rFonts w:ascii="Arial" w:hAnsi="Arial" w:cs="Arial"/>
          <w:sz w:val="22"/>
        </w:rPr>
        <w:t>6. Requisitos específicos de cada prestación.</w:t>
      </w:r>
    </w:p>
    <w:p>
      <w:pPr>
        <w:spacing w:after="40"/>
        <w:ind w:left="369" w:hanging="227"/>
      </w:pPr>
      <w:r>
        <w:rPr>
          <w:rFonts w:ascii="Arial" w:hAnsi="Arial" w:cs="Arial"/>
          <w:sz w:val="22"/>
        </w:rPr>
        <w:t>7. Compatibilidad, suspensión y extinción.</w:t>
      </w:r>
    </w:p>
    <w:p>
      <w:pPr>
        <w:spacing w:after="40"/>
        <w:ind w:left="369" w:hanging="227"/>
      </w:pPr>
      <w:r>
        <w:rPr>
          <w:rFonts w:ascii="Arial" w:hAnsi="Arial" w:cs="Arial"/>
          <w:sz w:val="22"/>
        </w:rPr>
        <w:t>8. Gestión, responsabilidad y pago.</w:t>
      </w:r>
    </w:p>
    <w:p>
      <w:pPr>
        <w:spacing w:after="40"/>
        <w:ind w:left="369" w:hanging="227"/>
      </w:pPr>
      <w:r>
        <w:rPr>
          <w:rFonts w:ascii="Arial" w:hAnsi="Arial" w:cs="Arial"/>
          <w:sz w:val="22"/>
        </w:rPr>
        <w:t>9. Régimen económico y presupuestario.</w:t>
      </w:r>
    </w:p>
    <w:p>
      <w:pPr>
        <w:jc w:val="both"/>
      </w:pPr>
      <w:r>
        <w:rPr>
          <w:rFonts w:ascii="Arial" w:hAnsi="Arial" w:cs="Arial"/>
          <w:sz w:val="22"/>
        </w:rPr>
        <w:t>Se han señalado expresamente las reformas de 2025 y 2026 sobre permisos y prestaciones familiares, cotización, jubilación, incapacidad, muerte y supervivencia, prestaciones no contributivas e ingreso mínimo vital cuando guardan relación con el programa.</w:t>
      </w:r>
    </w:p>
    <w:p>
      <w:pPr>
        <w:pStyle w:val="Heading1"/>
        <w:keepNext/>
      </w:pPr>
      <w:r>
        <w:rPr>
          <w:rFonts w:ascii="Arial" w:hAnsi="Arial" w:cs="Arial"/>
          <w:sz w:val="30"/>
        </w:rPr>
        <w:t>5. Tratamiento de la vigencia</w:t>
      </w:r>
    </w:p>
    <w:tbl>
      <w:tblPr>
        <w:tblStyle w:val="TableGrid"/>
        <w:tblW w:type="dxa" w:w="9026"/>
        <w:jc w:val="left"/>
        <w:tblLayout w:type="fixed"/>
        <w:tblLook w:firstColumn="1" w:firstRow="1" w:lastColumn="0" w:lastRow="0" w:noHBand="0" w:noVBand="1" w:val="04A0"/>
        <w:tblInd w:w="120" w:type="dxa"/>
      </w:tblPr>
      <w:tblGrid>
        <w:gridCol w:w="4141"/>
        <w:gridCol w:w="4885"/>
      </w:tblGrid>
      <w:tr>
        <w:trPr>
          <w:tblHeader w:val="true"/>
        </w:trPr>
        <w:tc>
          <w:tcPr>
            <w:tcW w:type="dxa" w:w="414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Situación</w:t>
            </w:r>
          </w:p>
        </w:tc>
        <w:tc>
          <w:tcPr>
            <w:tcW w:type="dxa" w:w="488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Tratamiento en el material</w:t>
            </w:r>
          </w:p>
        </w:tc>
      </w:tr>
      <w:tr>
        <w:tc>
          <w:tcPr>
            <w:tcW w:type="dxa" w:w="4141"/>
            <w:tcMar>
              <w:top w:w="80" w:type="dxa"/>
              <w:start w:w="120" w:type="dxa"/>
              <w:bottom w:w="80" w:type="dxa"/>
              <w:end w:w="120" w:type="dxa"/>
            </w:tcMar>
            <w:vAlign w:val="center"/>
          </w:tcPr>
          <w:p>
            <w:pPr>
              <w:spacing w:before="0" w:after="0" w:line="240" w:lineRule="auto"/>
              <w:jc w:val="left"/>
            </w:pPr>
            <w:r/>
            <w:r>
              <w:rPr>
                <w:rFonts w:ascii="Arial" w:hAnsi="Arial" w:cs="Arial"/>
                <w:sz w:val="18"/>
              </w:rPr>
              <w:t>Vigente y aplicable el 04-03-2026</w:t>
            </w:r>
          </w:p>
        </w:tc>
        <w:tc>
          <w:tcPr>
            <w:tcW w:type="dxa" w:w="4885"/>
            <w:tcMar>
              <w:top w:w="80" w:type="dxa"/>
              <w:start w:w="120" w:type="dxa"/>
              <w:bottom w:w="80" w:type="dxa"/>
              <w:end w:w="120" w:type="dxa"/>
            </w:tcMar>
            <w:vAlign w:val="center"/>
          </w:tcPr>
          <w:p>
            <w:pPr>
              <w:spacing w:before="0" w:after="0" w:line="240" w:lineRule="auto"/>
              <w:jc w:val="left"/>
            </w:pPr>
            <w:r/>
            <w:r>
              <w:rPr>
                <w:rFonts w:ascii="Arial" w:hAnsi="Arial" w:cs="Arial"/>
                <w:sz w:val="18"/>
              </w:rPr>
              <w:t>Regla principal para el examen ordinario</w:t>
            </w:r>
          </w:p>
        </w:tc>
      </w:tr>
      <w:tr>
        <w:tc>
          <w:tcPr>
            <w:tcW w:type="dxa" w:w="4141"/>
            <w:tcMar>
              <w:top w:w="80" w:type="dxa"/>
              <w:start w:w="120" w:type="dxa"/>
              <w:bottom w:w="80" w:type="dxa"/>
              <w:end w:w="120" w:type="dxa"/>
            </w:tcMar>
            <w:vAlign w:val="center"/>
          </w:tcPr>
          <w:p>
            <w:pPr>
              <w:spacing w:before="0" w:after="0" w:line="240" w:lineRule="auto"/>
              <w:jc w:val="left"/>
            </w:pPr>
            <w:r/>
            <w:r>
              <w:rPr>
                <w:rFonts w:ascii="Arial" w:hAnsi="Arial" w:cs="Arial"/>
                <w:sz w:val="18"/>
              </w:rPr>
              <w:t>Publicada antes del cierre, entrada posterior</w:t>
            </w:r>
          </w:p>
        </w:tc>
        <w:tc>
          <w:tcPr>
            <w:tcW w:type="dxa" w:w="4885"/>
            <w:tcMar>
              <w:top w:w="80" w:type="dxa"/>
              <w:start w:w="120" w:type="dxa"/>
              <w:bottom w:w="80" w:type="dxa"/>
              <w:end w:w="120" w:type="dxa"/>
            </w:tcMar>
            <w:vAlign w:val="center"/>
          </w:tcPr>
          <w:p>
            <w:pPr>
              <w:spacing w:before="0" w:after="0" w:line="240" w:lineRule="auto"/>
              <w:jc w:val="left"/>
            </w:pPr>
            <w:r/>
            <w:r>
              <w:rPr>
                <w:rFonts w:ascii="Arial" w:hAnsi="Arial" w:cs="Arial"/>
                <w:sz w:val="18"/>
              </w:rPr>
              <w:t>Alerta con fecha de eficacia</w:t>
            </w:r>
          </w:p>
        </w:tc>
      </w:tr>
      <w:tr>
        <w:tc>
          <w:tcPr>
            <w:tcW w:type="dxa" w:w="4141"/>
            <w:tcMar>
              <w:top w:w="80" w:type="dxa"/>
              <w:start w:w="120" w:type="dxa"/>
              <w:bottom w:w="80" w:type="dxa"/>
              <w:end w:w="120" w:type="dxa"/>
            </w:tcMar>
            <w:vAlign w:val="center"/>
          </w:tcPr>
          <w:p>
            <w:pPr>
              <w:spacing w:before="0" w:after="0" w:line="240" w:lineRule="auto"/>
              <w:jc w:val="left"/>
            </w:pPr>
            <w:r/>
            <w:r>
              <w:rPr>
                <w:rFonts w:ascii="Arial" w:hAnsi="Arial" w:cs="Arial"/>
                <w:sz w:val="18"/>
              </w:rPr>
              <w:t>Publicada después del 04-03-2026</w:t>
            </w:r>
          </w:p>
        </w:tc>
        <w:tc>
          <w:tcPr>
            <w:tcW w:type="dxa" w:w="4885"/>
            <w:tcMar>
              <w:top w:w="80" w:type="dxa"/>
              <w:start w:w="120" w:type="dxa"/>
              <w:bottom w:w="80" w:type="dxa"/>
              <w:end w:w="120" w:type="dxa"/>
            </w:tcMar>
            <w:vAlign w:val="center"/>
          </w:tcPr>
          <w:p>
            <w:pPr>
              <w:spacing w:before="0" w:after="0" w:line="240" w:lineRule="auto"/>
              <w:jc w:val="left"/>
            </w:pPr>
            <w:r/>
            <w:r>
              <w:rPr>
                <w:rFonts w:ascii="Arial" w:hAnsi="Arial" w:cs="Arial"/>
                <w:sz w:val="18"/>
              </w:rPr>
              <w:t>Actualización separada para futuras convocatorias</w:t>
            </w:r>
          </w:p>
        </w:tc>
      </w:tr>
      <w:tr>
        <w:tc>
          <w:tcPr>
            <w:tcW w:type="dxa" w:w="4141"/>
            <w:tcMar>
              <w:top w:w="80" w:type="dxa"/>
              <w:start w:w="120" w:type="dxa"/>
              <w:bottom w:w="80" w:type="dxa"/>
              <w:end w:w="120" w:type="dxa"/>
            </w:tcMar>
            <w:vAlign w:val="center"/>
          </w:tcPr>
          <w:p>
            <w:pPr>
              <w:spacing w:before="0" w:after="0" w:line="240" w:lineRule="auto"/>
              <w:jc w:val="left"/>
            </w:pPr>
            <w:r/>
            <w:r>
              <w:rPr>
                <w:rFonts w:ascii="Arial" w:hAnsi="Arial" w:cs="Arial"/>
                <w:sz w:val="18"/>
              </w:rPr>
              <w:t>Régimen transitorio</w:t>
            </w:r>
          </w:p>
        </w:tc>
        <w:tc>
          <w:tcPr>
            <w:tcW w:type="dxa" w:w="4885"/>
            <w:tcMar>
              <w:top w:w="80" w:type="dxa"/>
              <w:start w:w="120" w:type="dxa"/>
              <w:bottom w:w="80" w:type="dxa"/>
              <w:end w:w="120" w:type="dxa"/>
            </w:tcMar>
            <w:vAlign w:val="center"/>
          </w:tcPr>
          <w:p>
            <w:pPr>
              <w:spacing w:before="0" w:after="0" w:line="240" w:lineRule="auto"/>
              <w:jc w:val="left"/>
            </w:pPr>
            <w:r/>
            <w:r>
              <w:rPr>
                <w:rFonts w:ascii="Arial" w:hAnsi="Arial" w:cs="Arial"/>
                <w:sz w:val="18"/>
              </w:rPr>
              <w:t>Identificación de sujetos y período</w:t>
            </w:r>
          </w:p>
        </w:tc>
      </w:tr>
      <w:tr>
        <w:tc>
          <w:tcPr>
            <w:tcW w:type="dxa" w:w="4141"/>
            <w:tcMar>
              <w:top w:w="80" w:type="dxa"/>
              <w:start w:w="120" w:type="dxa"/>
              <w:bottom w:w="80" w:type="dxa"/>
              <w:end w:w="120" w:type="dxa"/>
            </w:tcMar>
            <w:vAlign w:val="center"/>
          </w:tcPr>
          <w:p>
            <w:pPr>
              <w:spacing w:before="0" w:after="0" w:line="240" w:lineRule="auto"/>
              <w:jc w:val="left"/>
            </w:pPr>
            <w:r/>
            <w:r>
              <w:rPr>
                <w:rFonts w:ascii="Arial" w:hAnsi="Arial" w:cs="Arial"/>
                <w:sz w:val="18"/>
              </w:rPr>
              <w:t>Norma derogada</w:t>
            </w:r>
          </w:p>
        </w:tc>
        <w:tc>
          <w:tcPr>
            <w:tcW w:type="dxa" w:w="4885"/>
            <w:tcMar>
              <w:top w:w="80" w:type="dxa"/>
              <w:start w:w="120" w:type="dxa"/>
              <w:bottom w:w="80" w:type="dxa"/>
              <w:end w:w="120" w:type="dxa"/>
            </w:tcMar>
            <w:vAlign w:val="center"/>
          </w:tcPr>
          <w:p>
            <w:pPr>
              <w:spacing w:before="0" w:after="0" w:line="240" w:lineRule="auto"/>
              <w:jc w:val="left"/>
            </w:pPr>
            <w:r/>
            <w:r>
              <w:rPr>
                <w:rFonts w:ascii="Arial" w:hAnsi="Arial" w:cs="Arial"/>
                <w:sz w:val="18"/>
              </w:rPr>
              <w:t>Solo se mantiene si explica una situación transitoria</w:t>
            </w:r>
          </w:p>
        </w:tc>
      </w:tr>
      <w:tr>
        <w:tc>
          <w:tcPr>
            <w:tcW w:type="dxa" w:w="4141"/>
            <w:tcMar>
              <w:top w:w="80" w:type="dxa"/>
              <w:start w:w="120" w:type="dxa"/>
              <w:bottom w:w="80" w:type="dxa"/>
              <w:end w:w="120" w:type="dxa"/>
            </w:tcMar>
            <w:vAlign w:val="center"/>
          </w:tcPr>
          <w:p>
            <w:pPr>
              <w:spacing w:before="0" w:after="0" w:line="240" w:lineRule="auto"/>
              <w:jc w:val="left"/>
            </w:pPr>
            <w:r/>
            <w:r>
              <w:rPr>
                <w:rFonts w:ascii="Arial" w:hAnsi="Arial" w:cs="Arial"/>
                <w:sz w:val="18"/>
              </w:rPr>
              <w:t>Proyecto o anuncio</w:t>
            </w:r>
          </w:p>
        </w:tc>
        <w:tc>
          <w:tcPr>
            <w:tcW w:type="dxa" w:w="4885"/>
            <w:tcMar>
              <w:top w:w="80" w:type="dxa"/>
              <w:start w:w="120" w:type="dxa"/>
              <w:bottom w:w="80" w:type="dxa"/>
              <w:end w:w="120" w:type="dxa"/>
            </w:tcMar>
            <w:vAlign w:val="center"/>
          </w:tcPr>
          <w:p>
            <w:pPr>
              <w:spacing w:before="0" w:after="0" w:line="240" w:lineRule="auto"/>
              <w:jc w:val="left"/>
            </w:pPr>
            <w:r/>
            <w:r>
              <w:rPr>
                <w:rFonts w:ascii="Arial" w:hAnsi="Arial" w:cs="Arial"/>
                <w:sz w:val="18"/>
              </w:rPr>
              <w:t>No se presenta como derecho vigente</w:t>
            </w:r>
          </w:p>
        </w:tc>
      </w:tr>
    </w:tbl>
    <w:p>
      <w:pPr>
        <w:spacing w:after="40"/>
      </w:pPr>
    </w:p>
    <w:p>
      <w:pPr>
        <w:jc w:val="both"/>
      </w:pPr>
      <w:r>
        <w:rPr>
          <w:rFonts w:ascii="Arial" w:hAnsi="Arial" w:cs="Arial"/>
          <w:sz w:val="22"/>
        </w:rPr>
        <w:t>La fecha del BOE no se ha utilizado como sustituto automático de la entrada en vigor. Cuando una disposición produce efectos en una fecha distinta, se indica expresamente.</w:t>
      </w:r>
    </w:p>
    <w:p>
      <w:pPr>
        <w:pStyle w:val="Heading1"/>
        <w:keepNext/>
      </w:pPr>
      <w:r>
        <w:rPr>
          <w:rFonts w:ascii="Arial" w:hAnsi="Arial" w:cs="Arial"/>
          <w:sz w:val="30"/>
        </w:rPr>
        <w:t>6. Control de test</w:t>
      </w:r>
    </w:p>
    <w:p>
      <w:pPr>
        <w:jc w:val="both"/>
      </w:pPr>
      <w:r>
        <w:rPr>
          <w:rFonts w:ascii="Arial" w:hAnsi="Arial" w:cs="Arial"/>
          <w:sz w:val="22"/>
        </w:rPr>
        <w:t>Cada test por tema ha sido contrastado con el contenido del tema y con la fuente indicada en su comentario de verificación. Los controles estructurales comprueban:</w:t>
      </w:r>
    </w:p>
    <w:p>
      <w:pPr>
        <w:pStyle w:val="ListBullet"/>
      </w:pPr>
      <w:r>
        <w:rPr>
          <w:rFonts w:ascii="Arial" w:hAnsi="Arial" w:cs="Arial"/>
          <w:sz w:val="22"/>
        </w:rPr>
        <w:t>30 preguntas.</w:t>
      </w:r>
    </w:p>
    <w:p>
      <w:pPr>
        <w:pStyle w:val="ListBullet"/>
      </w:pPr>
      <w:r>
        <w:rPr>
          <w:rFonts w:ascii="Arial" w:hAnsi="Arial" w:cs="Arial"/>
          <w:sz w:val="22"/>
        </w:rPr>
        <w:t>4 opciones por pregunta.</w:t>
      </w:r>
    </w:p>
    <w:p>
      <w:pPr>
        <w:pStyle w:val="ListBullet"/>
      </w:pPr>
      <w:r>
        <w:rPr>
          <w:rFonts w:ascii="Arial" w:hAnsi="Arial" w:cs="Arial"/>
          <w:sz w:val="22"/>
        </w:rPr>
        <w:t>Una única opción marcada como correcta.</w:t>
      </w:r>
    </w:p>
    <w:p>
      <w:pPr>
        <w:pStyle w:val="ListBullet"/>
      </w:pPr>
      <w:r>
        <w:rPr>
          <w:rFonts w:ascii="Arial" w:hAnsi="Arial" w:cs="Arial"/>
          <w:sz w:val="22"/>
        </w:rPr>
        <w:t>120 alternativas totales.</w:t>
      </w:r>
    </w:p>
    <w:p>
      <w:pPr>
        <w:pStyle w:val="ListBullet"/>
      </w:pPr>
      <w:r>
        <w:rPr>
          <w:rFonts w:ascii="Arial" w:hAnsi="Arial" w:cs="Arial"/>
          <w:sz w:val="22"/>
        </w:rPr>
        <w:t>Numeración de 1 a 30.</w:t>
      </w:r>
    </w:p>
    <w:p>
      <w:pPr>
        <w:pStyle w:val="ListBullet"/>
      </w:pPr>
      <w:r>
        <w:rPr>
          <w:rFonts w:ascii="Arial" w:hAnsi="Arial" w:cs="Arial"/>
          <w:sz w:val="22"/>
        </w:rPr>
        <w:t>Reparto de dificultad 8 básica, 14 media y 8 alta.</w:t>
      </w:r>
    </w:p>
    <w:p>
      <w:pPr>
        <w:pStyle w:val="ListBullet"/>
      </w:pPr>
      <w:r>
        <w:rPr>
          <w:rFonts w:ascii="Arial" w:hAnsi="Arial" w:cs="Arial"/>
          <w:sz w:val="22"/>
        </w:rPr>
        <w:t>Distribución equilibrada de claves A8, B8, C7 y D7.</w:t>
      </w:r>
    </w:p>
    <w:p>
      <w:pPr>
        <w:pStyle w:val="ListBullet"/>
      </w:pPr>
      <w:r>
        <w:rPr>
          <w:rFonts w:ascii="Arial" w:hAnsi="Arial" w:cs="Arial"/>
          <w:sz w:val="22"/>
        </w:rPr>
        <w:t>Justificación visible.</w:t>
      </w:r>
    </w:p>
    <w:p>
      <w:pPr>
        <w:jc w:val="both"/>
      </w:pPr>
      <w:r>
        <w:rPr>
          <w:rFonts w:ascii="Arial" w:hAnsi="Arial" w:cs="Arial"/>
          <w:sz w:val="22"/>
        </w:rPr>
        <w:t>El control jurídico exige además que el distractor sea falso por una razón identificable y que la respuesta no dependa de una ambigüedad no explicada.</w:t>
      </w:r>
    </w:p>
    <w:p>
      <w:pPr>
        <w:pStyle w:val="Heading1"/>
        <w:keepNext/>
      </w:pPr>
      <w:r>
        <w:rPr>
          <w:rFonts w:ascii="Arial" w:hAnsi="Arial" w:cs="Arial"/>
          <w:sz w:val="30"/>
        </w:rPr>
        <w:t>7. Control de simulacros</w:t>
      </w:r>
    </w:p>
    <w:p>
      <w:pPr>
        <w:jc w:val="both"/>
      </w:pPr>
      <w:r>
        <w:rPr>
          <w:rFonts w:ascii="Arial" w:hAnsi="Arial" w:cs="Arial"/>
          <w:sz w:val="22"/>
        </w:rPr>
        <w:t>Los simulacros reproducen la estructura de la convocatoria: 70 preguntas teóricas y tres de reserva, más 15 prácticas y tres de reserva. Las preguntas se construyen a partir del programa y de los patrones observados en exámenes oficiales, sin presentar una reproducción del examen futuro.</w:t>
      </w:r>
    </w:p>
    <w:p>
      <w:pPr>
        <w:jc w:val="both"/>
      </w:pPr>
      <w:r>
        <w:rPr>
          <w:rFonts w:ascii="Arial" w:hAnsi="Arial" w:cs="Arial"/>
          <w:sz w:val="22"/>
        </w:rPr>
        <w:t>Las versiones razonadas incluyen clave, fundamento y explicación. Las plantillas separadas no contienen la solución.</w:t>
      </w:r>
    </w:p>
    <w:p>
      <w:pPr>
        <w:pStyle w:val="Heading1"/>
        <w:keepNext/>
      </w:pPr>
      <w:r>
        <w:rPr>
          <w:rFonts w:ascii="Arial" w:hAnsi="Arial" w:cs="Arial"/>
          <w:sz w:val="30"/>
        </w:rPr>
        <w:t>8. Riesgos residuales</w:t>
      </w:r>
    </w:p>
    <w:p>
      <w:pPr>
        <w:pStyle w:val="Heading2"/>
        <w:keepNext/>
      </w:pPr>
      <w:r>
        <w:rPr>
          <w:rFonts w:ascii="Arial" w:hAnsi="Arial" w:cs="Arial"/>
          <w:sz w:val="25"/>
        </w:rPr>
        <w:t>8.1. Cambios posteriores</w:t>
      </w:r>
    </w:p>
    <w:p>
      <w:pPr>
        <w:jc w:val="both"/>
      </w:pPr>
      <w:r>
        <w:rPr>
          <w:rFonts w:ascii="Arial" w:hAnsi="Arial" w:cs="Arial"/>
          <w:sz w:val="22"/>
        </w:rPr>
        <w:t>La normativa puede modificarse después del 30 de julio de 2026. Antes de utilizar el material para otra convocatoria deben revisarse:</w:t>
      </w:r>
    </w:p>
    <w:p>
      <w:pPr>
        <w:pStyle w:val="ListBullet"/>
      </w:pPr>
      <w:r>
        <w:rPr>
          <w:rFonts w:ascii="Arial" w:hAnsi="Arial" w:cs="Arial"/>
          <w:sz w:val="22"/>
        </w:rPr>
        <w:t>Nueva convocatoria y programa.</w:t>
      </w:r>
    </w:p>
    <w:p>
      <w:pPr>
        <w:pStyle w:val="ListBullet"/>
      </w:pPr>
      <w:r>
        <w:rPr>
          <w:rFonts w:ascii="Arial" w:hAnsi="Arial" w:cs="Arial"/>
          <w:sz w:val="22"/>
        </w:rPr>
        <w:t>Texto consolidado de la Ley General de la Seguridad Social.</w:t>
      </w:r>
    </w:p>
    <w:p>
      <w:pPr>
        <w:pStyle w:val="ListBullet"/>
      </w:pPr>
      <w:r>
        <w:rPr>
          <w:rFonts w:ascii="Arial" w:hAnsi="Arial" w:cs="Arial"/>
          <w:sz w:val="22"/>
        </w:rPr>
        <w:t>Reales decretos anuales o de desarrollo.</w:t>
      </w:r>
    </w:p>
    <w:p>
      <w:pPr>
        <w:pStyle w:val="ListBullet"/>
      </w:pPr>
      <w:r>
        <w:rPr>
          <w:rFonts w:ascii="Arial" w:hAnsi="Arial" w:cs="Arial"/>
          <w:sz w:val="22"/>
        </w:rPr>
        <w:t>Estructura ministerial.</w:t>
      </w:r>
    </w:p>
    <w:p>
      <w:pPr>
        <w:pStyle w:val="ListBullet"/>
      </w:pPr>
      <w:r>
        <w:rPr>
          <w:rFonts w:ascii="Arial" w:hAnsi="Arial" w:cs="Arial"/>
          <w:sz w:val="22"/>
        </w:rPr>
        <w:t>Criterios del órgano de selección.</w:t>
      </w:r>
    </w:p>
    <w:p>
      <w:pPr>
        <w:pStyle w:val="Heading2"/>
        <w:keepNext/>
      </w:pPr>
      <w:r>
        <w:rPr>
          <w:rFonts w:ascii="Arial" w:hAnsi="Arial" w:cs="Arial"/>
          <w:sz w:val="25"/>
        </w:rPr>
        <w:t>8.2. Textos consolidados</w:t>
      </w:r>
    </w:p>
    <w:p>
      <w:pPr>
        <w:jc w:val="both"/>
      </w:pPr>
      <w:r>
        <w:rPr>
          <w:rFonts w:ascii="Arial" w:hAnsi="Arial" w:cs="Arial"/>
          <w:sz w:val="22"/>
        </w:rPr>
        <w:t>El texto consolidado del BOE tiene valor informativo. Para una controversia sobre la fecha exacta de una modificación debe acudirse a la disposición publicada y a sus reglas de vigencia.</w:t>
      </w:r>
    </w:p>
    <w:p>
      <w:pPr>
        <w:pStyle w:val="Heading2"/>
        <w:keepNext/>
      </w:pPr>
      <w:r>
        <w:rPr>
          <w:rFonts w:ascii="Arial" w:hAnsi="Arial" w:cs="Arial"/>
          <w:sz w:val="25"/>
        </w:rPr>
        <w:t>8.3. Jurisprudencia</w:t>
      </w:r>
    </w:p>
    <w:p>
      <w:pPr>
        <w:jc w:val="both"/>
      </w:pPr>
      <w:r>
        <w:rPr>
          <w:rFonts w:ascii="Arial" w:hAnsi="Arial" w:cs="Arial"/>
          <w:sz w:val="22"/>
        </w:rPr>
        <w:t>La jurisprudencia se utiliza para explicar principios cuando es necesaria. El programa no exige memorizar una colección indiscriminada de sentencias. Debe priorizarse la regla preguntable.</w:t>
      </w:r>
    </w:p>
    <w:p>
      <w:pPr>
        <w:pStyle w:val="Heading2"/>
        <w:keepNext/>
      </w:pPr>
      <w:r>
        <w:rPr>
          <w:rFonts w:ascii="Arial" w:hAnsi="Arial" w:cs="Arial"/>
          <w:sz w:val="25"/>
        </w:rPr>
        <w:t>8.4. Cuantías variables</w:t>
      </w:r>
    </w:p>
    <w:p>
      <w:pPr>
        <w:jc w:val="both"/>
      </w:pPr>
      <w:r>
        <w:rPr>
          <w:rFonts w:ascii="Arial" w:hAnsi="Arial" w:cs="Arial"/>
          <w:sz w:val="22"/>
        </w:rPr>
        <w:t>Las cuantías, bases y límites vinculados a cada ejercicio pueden cambiar. El material señala la referencia temporal; no deben trasladarse a años futuros sin actualización.</w:t>
      </w:r>
    </w:p>
    <w:p>
      <w:pPr>
        <w:pStyle w:val="Heading1"/>
        <w:keepNext/>
      </w:pPr>
      <w:r>
        <w:rPr>
          <w:rFonts w:ascii="Arial" w:hAnsi="Arial" w:cs="Arial"/>
          <w:sz w:val="30"/>
        </w:rPr>
        <w:t>9. Resultado</w:t>
      </w:r>
    </w:p>
    <w:p>
      <w:pPr>
        <w:jc w:val="both"/>
      </w:pPr>
      <w:r>
        <w:rPr>
          <w:rFonts w:ascii="Arial" w:hAnsi="Arial" w:cs="Arial"/>
          <w:sz w:val="22"/>
        </w:rPr>
        <w:t>El material queda jurídicamente referenciado a la fecha de corte indicada, con distinción entre cierre del examen ordinario y actualización general. La trazabilidad se completa mediante:</w:t>
      </w:r>
    </w:p>
    <w:p>
      <w:pPr>
        <w:pStyle w:val="ListBullet"/>
      </w:pPr>
      <w:r>
        <w:rPr>
          <w:rFonts w:ascii="Arial" w:hAnsi="Arial" w:cs="Arial"/>
          <w:sz w:val="22"/>
        </w:rPr>
        <w:t>Archivo de 60 PDF oficiales de la oposición.</w:t>
      </w:r>
    </w:p>
    <w:p>
      <w:pPr>
        <w:pStyle w:val="ListBullet"/>
      </w:pPr>
      <w:r>
        <w:rPr>
          <w:rFonts w:ascii="Arial" w:hAnsi="Arial" w:cs="Arial"/>
          <w:sz w:val="22"/>
        </w:rPr>
        <w:t>Inventario técnico con huella SHA-256.</w:t>
      </w:r>
    </w:p>
    <w:p>
      <w:pPr>
        <w:pStyle w:val="ListBullet"/>
      </w:pPr>
      <w:r>
        <w:rPr>
          <w:rFonts w:ascii="Arial" w:hAnsi="Arial" w:cs="Arial"/>
          <w:sz w:val="22"/>
        </w:rPr>
        <w:t>Carpeta de normativa oficial utilizada.</w:t>
      </w:r>
    </w:p>
    <w:p>
      <w:pPr>
        <w:pStyle w:val="ListBullet"/>
      </w:pPr>
      <w:r>
        <w:rPr>
          <w:rFonts w:ascii="Arial" w:hAnsi="Arial" w:cs="Arial"/>
          <w:sz w:val="22"/>
        </w:rPr>
        <w:t>Fichas de fuentes por tema.</w:t>
      </w:r>
    </w:p>
    <w:p>
      <w:pPr>
        <w:pStyle w:val="ListBullet"/>
      </w:pPr>
      <w:r>
        <w:rPr>
          <w:rFonts w:ascii="Arial" w:hAnsi="Arial" w:cs="Arial"/>
          <w:sz w:val="22"/>
        </w:rPr>
        <w:t>Informe de incidencias.</w:t>
      </w:r>
    </w:p>
    <w:p>
      <w:pPr>
        <w:pStyle w:val="ListBullet"/>
      </w:pPr>
      <w:r>
        <w:rPr>
          <w:rFonts w:ascii="Arial" w:hAnsi="Arial" w:cs="Arial"/>
          <w:sz w:val="22"/>
        </w:rPr>
        <w:t>Tabla final de control.</w:t>
      </w:r>
    </w:p>
    <w:p>
      <w:pPr>
        <w:pStyle w:val="Heading1"/>
        <w:keepNext/>
      </w:pPr>
      <w:r>
        <w:rPr>
          <w:rFonts w:ascii="Arial" w:hAnsi="Arial" w:cs="Arial"/>
          <w:sz w:val="30"/>
        </w:rPr>
        <w:t>10. Fuentes marco</w:t>
      </w:r>
    </w:p>
    <w:p>
      <w:pPr>
        <w:pStyle w:val="ListBullet"/>
      </w:pPr>
      <w:r>
        <w:rPr>
          <w:rFonts w:ascii="Arial" w:hAnsi="Arial" w:cs="Arial"/>
          <w:sz w:val="22"/>
        </w:rPr>
        <w:t>Convocatoria (https://www.boe.es/buscar/doc.php?id=BOE-A-2025-27158)</w:t>
      </w:r>
    </w:p>
    <w:p>
      <w:pPr>
        <w:pStyle w:val="ListBullet"/>
      </w:pPr>
      <w:r>
        <w:rPr>
          <w:rFonts w:ascii="Arial" w:hAnsi="Arial" w:cs="Arial"/>
          <w:sz w:val="22"/>
        </w:rPr>
        <w:t>Corrección de errores (https://www.boe.es/buscar/doc.php?id=BOE-A-2026-5351)</w:t>
      </w:r>
    </w:p>
    <w:p>
      <w:pPr>
        <w:pStyle w:val="ListBullet"/>
      </w:pPr>
      <w:r>
        <w:rPr>
          <w:rFonts w:ascii="Arial" w:hAnsi="Arial" w:cs="Arial"/>
          <w:sz w:val="22"/>
        </w:rPr>
        <w:t>Constitución Española consolidada (https://www.boe.es/buscar/act.php?id=BOE-A-1978-31229)</w:t>
      </w:r>
    </w:p>
    <w:p>
      <w:pPr>
        <w:pStyle w:val="ListBullet"/>
      </w:pPr>
      <w:r>
        <w:rPr>
          <w:rFonts w:ascii="Arial" w:hAnsi="Arial" w:cs="Arial"/>
          <w:sz w:val="22"/>
        </w:rPr>
        <w:t>Ley 39/2015 (https://www.boe.es/buscar/act.php?id=BOE-A-2015-10565)</w:t>
      </w:r>
    </w:p>
    <w:p>
      <w:pPr>
        <w:pStyle w:val="ListBullet"/>
      </w:pPr>
      <w:r>
        <w:rPr>
          <w:rFonts w:ascii="Arial" w:hAnsi="Arial" w:cs="Arial"/>
          <w:sz w:val="22"/>
        </w:rPr>
        <w:t>Ley 40/2015 (https://www.boe.es/buscar/act.php?id=BOE-A-2015-10566)</w:t>
      </w:r>
    </w:p>
    <w:p>
      <w:pPr>
        <w:pStyle w:val="ListBullet"/>
      </w:pPr>
      <w:r>
        <w:rPr>
          <w:rFonts w:ascii="Arial" w:hAnsi="Arial" w:cs="Arial"/>
          <w:sz w:val="22"/>
        </w:rPr>
        <w:t>Texto refundido de la Ley General de la Seguridad Social (https://www.boe.es/buscar/act.php?id=BOE-A-2015-11724)</w:t>
      </w:r>
    </w:p>
    <w:p>
      <w:pPr>
        <w:pStyle w:val="ListBullet"/>
      </w:pPr>
      <w:r>
        <w:rPr>
          <w:rFonts w:ascii="Arial" w:hAnsi="Arial" w:cs="Arial"/>
          <w:sz w:val="22"/>
        </w:rPr>
        <w:t>Portal oficial del proceso (https://www.seg-social.es/wps/portal/wss/internet/InformacionUtil/9950/88beb45d-ca83-4bab-8162-f94ef2894562/e0c83707-3358-47a9-94d7-508221dad233)</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Revisión jurídica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revisión jurídica y actualización normativa</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