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w:t>
      </w:r>
    </w:p>
    <w:p>
      <w:pPr>
        <w:spacing w:before="0" w:after="160"/>
      </w:pPr>
      <w:r>
        <w:rPr>
          <w:rFonts w:ascii="Arial" w:hAnsi="Arial" w:cs="Arial"/>
          <w:b/>
          <w:color w:val="1F4E79"/>
          <w:sz w:val="26"/>
        </w:rPr>
        <w:t>INFORME DE ANÁLISIS</w:t>
      </w:r>
    </w:p>
    <w:p>
      <w:pPr>
        <w:keepNext/>
        <w:spacing w:before="0" w:after="280"/>
        <w:pBdr>
          <w:bottom w:val="single" w:sz="12" w:space="1" w:color="2F75B5"/>
        </w:pBdr>
      </w:pPr>
      <w:r>
        <w:rPr>
          <w:rFonts w:ascii="Arial" w:hAnsi="Arial" w:cs="Arial"/>
          <w:b/>
          <w:color w:val="17365D"/>
          <w:sz w:val="40"/>
        </w:rPr>
        <w:t>Informe de tendencias de exámenes oficiales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jc w:val="both"/>
      </w:pPr>
      <w:r>
        <w:rPr>
          <w:rFonts w:ascii="Arial" w:hAnsi="Arial" w:cs="Arial"/>
          <w:sz w:val="22"/>
        </w:rPr>
        <w:t xml:space="preserve">Este informe estudia el corpus oficial disponible para el Cuerpo Administrativo de la Administración de la Seguridad Social, acceso libre, con corte documental </w:t>
      </w:r>
      <w:r>
        <w:rPr>
          <w:rFonts w:ascii="Arial" w:hAnsi="Arial" w:cs="Arial"/>
          <w:b/>
          <w:sz w:val="22"/>
        </w:rPr>
        <w:t>30 de julio de 2026</w:t>
      </w:r>
      <w:r>
        <w:rPr>
          <w:rFonts w:ascii="Arial" w:hAnsi="Arial" w:cs="Arial"/>
          <w:sz w:val="22"/>
        </w:rPr>
        <w:t xml:space="preserve">. La base conserva </w:t>
      </w:r>
      <w:r>
        <w:rPr>
          <w:rFonts w:ascii="Arial" w:hAnsi="Arial" w:cs="Arial"/>
          <w:b/>
          <w:sz w:val="22"/>
        </w:rPr>
        <w:t>546 registros</w:t>
      </w:r>
      <w:r>
        <w:rPr>
          <w:rFonts w:ascii="Arial" w:hAnsi="Arial" w:cs="Arial"/>
          <w:sz w:val="22"/>
        </w:rPr>
        <w:t xml:space="preserve"> procedentes de seis variantes publicadas y utiliza </w:t>
      </w:r>
      <w:r>
        <w:rPr>
          <w:rFonts w:ascii="Arial" w:hAnsi="Arial" w:cs="Arial"/>
          <w:b/>
          <w:sz w:val="22"/>
        </w:rPr>
        <w:t>455 preguntas canónicas</w:t>
      </w:r>
      <w:r>
        <w:rPr>
          <w:rFonts w:ascii="Arial" w:hAnsi="Arial" w:cs="Arial"/>
          <w:sz w:val="22"/>
        </w:rPr>
        <w:t xml:space="preserve"> para calcular frecuencias sin duplicar modelos equivalentes.</w:t>
      </w:r>
    </w:p>
    <w:tbl>
      <w:tblPr>
        <w:tblStyle w:val="TableGrid"/>
        <w:tblW w:type="dxa" w:w="9026"/>
        <w:jc w:val="left"/>
        <w:tblLayout w:type="fixed"/>
        <w:tblLook w:firstColumn="1" w:firstRow="1" w:lastColumn="0" w:lastRow="0" w:noHBand="0" w:noVBand="1" w:val="04A0"/>
        <w:tblInd w:w="120" w:type="dxa"/>
      </w:tblPr>
      <w:tblGrid>
        <w:gridCol w:w="7180"/>
        <w:gridCol w:w="1846"/>
      </w:tblGrid>
      <w:tr>
        <w:trPr>
          <w:tblHeader w:val="true"/>
        </w:trPr>
        <w:tc>
          <w:tcPr>
            <w:tcW w:type="dxa" w:w="718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184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Resultado</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Sesiones canónicas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455</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Temario general</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126 (27.7%)</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Temario específico de Seguridad Social</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329 (72.3%)</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Preguntas teóricas / prácticas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365 / 90</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Preguntas ordinarias / de reserva</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425 / 30</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Anuladas en las seis variantes / canónicas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11 / 8</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Respuestas modificadas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7180"/>
            <w:tcMar>
              <w:top w:w="80" w:type="dxa"/>
              <w:start w:w="120" w:type="dxa"/>
              <w:bottom w:w="80" w:type="dxa"/>
              <w:end w:w="120" w:type="dxa"/>
            </w:tcMar>
            <w:vAlign w:val="center"/>
          </w:tcPr>
          <w:p>
            <w:pPr>
              <w:spacing w:before="0" w:after="0" w:line="240" w:lineRule="auto"/>
              <w:jc w:val="left"/>
            </w:pPr>
            <w:r/>
            <w:r>
              <w:rPr>
                <w:rFonts w:ascii="Arial" w:hAnsi="Arial" w:cs="Arial"/>
                <w:sz w:val="18"/>
              </w:rPr>
              <w:t>Registros de baja confianza</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sz w:val="22"/>
        </w:rPr>
        <w:t>La señal más clara es la concentración en el bloque específico: casi tres cuartas partes de las preguntas observadas se relacionan con Seguridad Social. Dentro de ese bloque destacan incapacidad, jubilación, afiliación, cotización y recaudación. En el bloque general el patrón es más disperso y predominan la literalidad normativa, el procedimiento administrativo y el empleo público.</w:t>
      </w:r>
    </w:p>
    <w:p>
      <w:pPr>
        <w:pStyle w:val="Heading1"/>
        <w:keepNext/>
      </w:pPr>
      <w:r>
        <w:rPr>
          <w:rFonts w:ascii="Arial" w:hAnsi="Arial" w:cs="Arial"/>
          <w:sz w:val="30"/>
        </w:rPr>
        <w:t>Alcance y criterio de cómputo</w:t>
      </w:r>
    </w:p>
    <w:p>
      <w:pPr>
        <w:jc w:val="both"/>
      </w:pPr>
      <w:r>
        <w:rPr>
          <w:rFonts w:ascii="Arial" w:hAnsi="Arial" w:cs="Arial"/>
          <w:sz w:val="22"/>
        </w:rPr>
        <w:t xml:space="preserve">La base registra las preguntas 1–70 y sus tres reservas de la primera parte, así como las 15 preguntas del supuesto y sus tres reservas: </w:t>
      </w:r>
      <w:r>
        <w:rPr>
          <w:rFonts w:ascii="Arial" w:hAnsi="Arial" w:cs="Arial"/>
          <w:b/>
          <w:sz w:val="22"/>
        </w:rPr>
        <w:t>91 registros por variante</w:t>
      </w:r>
      <w:r>
        <w:rPr>
          <w:rFonts w:ascii="Arial" w:hAnsi="Arial" w:cs="Arial"/>
          <w:sz w:val="22"/>
        </w:rPr>
        <w:t>. Los modelos B permanecen archivados como PDF oficial, pero no se vuelcan como una segunda batería cuando solo permutan orden u opciones. En 2026 se conservaron Rojo A y Verde A para trazabilidad; Verde A se enlaza con su equivalente canónico y se excluye de frecuencia.</w:t>
      </w:r>
    </w:p>
    <w:tbl>
      <w:tblPr>
        <w:tblStyle w:val="TableGrid"/>
        <w:tblW w:type="dxa" w:w="9026"/>
        <w:jc w:val="left"/>
        <w:tblLayout w:type="fixed"/>
        <w:tblLook w:firstColumn="1" w:firstRow="1" w:lastColumn="0" w:lastRow="0" w:noHBand="0" w:noVBand="1" w:val="04A0"/>
        <w:tblInd w:w="120" w:type="dxa"/>
      </w:tblPr>
      <w:tblGrid>
        <w:gridCol w:w="900"/>
        <w:gridCol w:w="900"/>
        <w:gridCol w:w="1080"/>
        <w:gridCol w:w="900"/>
        <w:gridCol w:w="900"/>
        <w:gridCol w:w="900"/>
        <w:gridCol w:w="3446"/>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Conv.</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Fecha</w:t>
            </w:r>
          </w:p>
        </w:tc>
        <w:tc>
          <w:tcPr>
            <w:tcW w:type="dxa" w:w="108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Modelo</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Preguntas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Reservas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Definitiva</w:t>
            </w:r>
          </w:p>
        </w:tc>
        <w:tc>
          <w:tcPr>
            <w:tcW w:type="dxa" w:w="344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Observación</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2024-11-30</w:t>
            </w:r>
          </w:p>
        </w:tc>
        <w:tc>
          <w:tcPr>
            <w:tcW w:type="dxa" w:w="1080"/>
            <w:tcMar>
              <w:top w:w="80" w:type="dxa"/>
              <w:start w:w="120" w:type="dxa"/>
              <w:bottom w:w="80" w:type="dxa"/>
              <w:end w:w="120" w:type="dxa"/>
            </w:tcMar>
            <w:vAlign w:val="center"/>
          </w:tcPr>
          <w:p>
            <w:pPr>
              <w:spacing w:before="0" w:after="0" w:line="240" w:lineRule="auto"/>
              <w:jc w:val="center"/>
            </w:pPr>
            <w:r/>
            <w:r>
              <w:rPr>
                <w:rFonts w:ascii="Arial" w:hAnsi="Arial" w:cs="Arial"/>
                <w:sz w:val="18"/>
              </w:rPr>
              <w:t>A y B</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446"/>
            <w:tcMar>
              <w:top w:w="80" w:type="dxa"/>
              <w:start w:w="120" w:type="dxa"/>
              <w:bottom w:w="80" w:type="dxa"/>
              <w:end w:w="120" w:type="dxa"/>
            </w:tcMar>
            <w:vAlign w:val="center"/>
          </w:tcPr>
          <w:p>
            <w:pPr>
              <w:spacing w:before="0" w:after="0" w:line="240" w:lineRule="auto"/>
              <w:jc w:val="left"/>
            </w:pPr>
            <w:r/>
            <w:r>
              <w:rPr>
                <w:rFonts w:ascii="Arial" w:hAnsi="Arial" w:cs="Arial"/>
                <w:sz w:val="18"/>
              </w:rPr>
              <w:t>Cuestionario y supuesto publicados en PDF separados; modelos A y B archivad…</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2025-01-25</w:t>
            </w:r>
          </w:p>
        </w:tc>
        <w:tc>
          <w:tcPr>
            <w:tcW w:type="dxa" w:w="1080"/>
            <w:tcMar>
              <w:top w:w="80" w:type="dxa"/>
              <w:start w:w="120" w:type="dxa"/>
              <w:bottom w:w="80" w:type="dxa"/>
              <w:end w:w="120" w:type="dxa"/>
            </w:tcMar>
            <w:vAlign w:val="center"/>
          </w:tcPr>
          <w:p>
            <w:pPr>
              <w:spacing w:before="0" w:after="0" w:line="240" w:lineRule="auto"/>
              <w:jc w:val="center"/>
            </w:pPr>
            <w:r/>
            <w:r>
              <w:rPr>
                <w:rFonts w:ascii="Arial" w:hAnsi="Arial" w:cs="Arial"/>
                <w:sz w:val="18"/>
              </w:rPr>
              <w:t>Único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446"/>
            <w:tcMar>
              <w:top w:w="80" w:type="dxa"/>
              <w:start w:w="120" w:type="dxa"/>
              <w:bottom w:w="80" w:type="dxa"/>
              <w:end w:w="120" w:type="dxa"/>
            </w:tcMar>
            <w:vAlign w:val="center"/>
          </w:tcPr>
          <w:p>
            <w:pPr>
              <w:spacing w:before="0" w:after="0" w:line="240" w:lineRule="auto"/>
              <w:jc w:val="left"/>
            </w:pPr>
            <w:r/>
            <w:r>
              <w:rPr>
                <w:rFonts w:ascii="Arial" w:hAnsi="Arial" w:cs="Arial"/>
                <w:sz w:val="18"/>
              </w:rPr>
              <w:t>Incidencias de la convocatoria 2023.</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2025-09-13</w:t>
            </w:r>
          </w:p>
        </w:tc>
        <w:tc>
          <w:tcPr>
            <w:tcW w:type="dxa" w:w="1080"/>
            <w:tcMar>
              <w:top w:w="80" w:type="dxa"/>
              <w:start w:w="120" w:type="dxa"/>
              <w:bottom w:w="80" w:type="dxa"/>
              <w:end w:w="120" w:type="dxa"/>
            </w:tcMar>
            <w:vAlign w:val="center"/>
          </w:tcPr>
          <w:p>
            <w:pPr>
              <w:spacing w:before="0" w:after="0" w:line="240" w:lineRule="auto"/>
              <w:jc w:val="center"/>
            </w:pPr>
            <w:r/>
            <w:r>
              <w:rPr>
                <w:rFonts w:ascii="Arial" w:hAnsi="Arial" w:cs="Arial"/>
                <w:sz w:val="18"/>
              </w:rPr>
              <w:t>A y B</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446"/>
            <w:tcMar>
              <w:top w:w="80" w:type="dxa"/>
              <w:start w:w="120" w:type="dxa"/>
              <w:bottom w:w="80" w:type="dxa"/>
              <w:end w:w="120" w:type="dxa"/>
            </w:tcMar>
            <w:vAlign w:val="center"/>
          </w:tcPr>
          <w:p>
            <w:pPr>
              <w:spacing w:before="0" w:after="0" w:line="240" w:lineRule="auto"/>
              <w:jc w:val="left"/>
            </w:pPr>
            <w:r/>
            <w:r>
              <w:rPr>
                <w:rFonts w:ascii="Arial" w:hAnsi="Arial" w:cs="Arial"/>
                <w:sz w:val="18"/>
              </w:rPr>
              <w:t>Modelos A y B archivados; análisis canónico sobre modelo 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2025-10-26</w:t>
            </w:r>
          </w:p>
        </w:tc>
        <w:tc>
          <w:tcPr>
            <w:tcW w:type="dxa" w:w="1080"/>
            <w:tcMar>
              <w:top w:w="80" w:type="dxa"/>
              <w:start w:w="120" w:type="dxa"/>
              <w:bottom w:w="80" w:type="dxa"/>
              <w:end w:w="120" w:type="dxa"/>
            </w:tcMar>
            <w:vAlign w:val="center"/>
          </w:tcPr>
          <w:p>
            <w:pPr>
              <w:spacing w:before="0" w:after="0" w:line="240" w:lineRule="auto"/>
              <w:jc w:val="center"/>
            </w:pPr>
            <w:r/>
            <w:r>
              <w:rPr>
                <w:rFonts w:ascii="Arial" w:hAnsi="Arial" w:cs="Arial"/>
                <w:sz w:val="18"/>
              </w:rPr>
              <w:t>Único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446"/>
            <w:tcMar>
              <w:top w:w="80" w:type="dxa"/>
              <w:start w:w="120" w:type="dxa"/>
              <w:bottom w:w="80" w:type="dxa"/>
              <w:end w:w="120" w:type="dxa"/>
            </w:tcMar>
            <w:vAlign w:val="center"/>
          </w:tcPr>
          <w:p>
            <w:pPr>
              <w:spacing w:before="0" w:after="0" w:line="240" w:lineRule="auto"/>
              <w:jc w:val="left"/>
            </w:pPr>
            <w:r/>
            <w:r>
              <w:rPr>
                <w:rFonts w:ascii="Arial" w:hAnsi="Arial" w:cs="Arial"/>
                <w:sz w:val="18"/>
              </w:rPr>
              <w:t>Ejercicio extraordinario de la convocatoria 2024.</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2026-06-28</w:t>
            </w:r>
          </w:p>
        </w:tc>
        <w:tc>
          <w:tcPr>
            <w:tcW w:type="dxa" w:w="1080"/>
            <w:tcMar>
              <w:top w:w="80" w:type="dxa"/>
              <w:start w:w="120" w:type="dxa"/>
              <w:bottom w:w="80" w:type="dxa"/>
              <w:end w:w="120" w:type="dxa"/>
            </w:tcMar>
            <w:vAlign w:val="center"/>
          </w:tcPr>
          <w:p>
            <w:pPr>
              <w:spacing w:before="0" w:after="0" w:line="240" w:lineRule="auto"/>
              <w:jc w:val="left"/>
            </w:pPr>
            <w:r/>
            <w:r>
              <w:rPr>
                <w:rFonts w:ascii="Arial" w:hAnsi="Arial" w:cs="Arial"/>
                <w:sz w:val="18"/>
              </w:rPr>
              <w:t>Rojo A/B y Verde A/B</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170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c>
          <w:tcPr>
            <w:tcW w:type="dxa" w:w="3446"/>
            <w:tcMar>
              <w:top w:w="80" w:type="dxa"/>
              <w:start w:w="120" w:type="dxa"/>
              <w:bottom w:w="80" w:type="dxa"/>
              <w:end w:w="120" w:type="dxa"/>
            </w:tcMar>
            <w:vAlign w:val="center"/>
          </w:tcPr>
          <w:p>
            <w:pPr>
              <w:spacing w:before="0" w:after="0" w:line="240" w:lineRule="auto"/>
              <w:jc w:val="left"/>
            </w:pPr>
            <w:r/>
            <w:r>
              <w:rPr>
                <w:rFonts w:ascii="Arial" w:hAnsi="Arial" w:cs="Arial"/>
                <w:sz w:val="18"/>
              </w:rPr>
              <w:t>Dos cuadernillos de contenido (rojo y verde), cada uno con modelos A/B. El…</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2026-09-12</w:t>
            </w:r>
          </w:p>
        </w:tc>
        <w:tc>
          <w:tcPr>
            <w:tcW w:type="dxa" w:w="1080"/>
            <w:tcMar>
              <w:top w:w="80" w:type="dxa"/>
              <w:start w:w="120" w:type="dxa"/>
              <w:bottom w:w="80" w:type="dxa"/>
              <w:end w:w="120" w:type="dxa"/>
            </w:tcMar>
            <w:vAlign w:val="center"/>
          </w:tcPr>
          <w:p>
            <w:pPr>
              <w:spacing w:before="0" w:after="0" w:line="240" w:lineRule="auto"/>
              <w:jc w:val="center"/>
            </w:pPr>
            <w:r/>
            <w:r>
              <w:rPr>
                <w:rFonts w:ascii="Arial" w:hAnsi="Arial" w:cs="Arial"/>
                <w:sz w:val="18"/>
              </w:rPr>
              <w:t>Pendiente</w:t>
            </w:r>
          </w:p>
        </w:tc>
        <w:tc>
          <w:tcPr>
            <w:tcW w:type="dxa" w:w="900"/>
            <w:tcMar>
              <w:top w:w="80" w:type="dxa"/>
              <w:start w:w="120" w:type="dxa"/>
              <w:bottom w:w="80" w:type="dxa"/>
              <w:end w:w="120" w:type="dxa"/>
            </w:tcMar>
            <w:vAlign w:val="center"/>
          </w:tcPr>
          <w:p>
            <w:pPr>
              <w:spacing w:before="0" w:after="0" w:line="240" w:lineRule="auto"/>
              <w:jc w:val="center"/>
            </w:pPr>
            <w:r/>
          </w:p>
        </w:tc>
        <w:tc>
          <w:tcPr>
            <w:tcW w:type="dxa" w:w="900"/>
            <w:tcMar>
              <w:top w:w="80" w:type="dxa"/>
              <w:start w:w="120" w:type="dxa"/>
              <w:bottom w:w="80" w:type="dxa"/>
              <w:end w:w="120" w:type="dxa"/>
            </w:tcMar>
            <w:vAlign w:val="center"/>
          </w:tcPr>
          <w:p>
            <w:pPr>
              <w:spacing w:before="0" w:after="0" w:line="240" w:lineRule="auto"/>
              <w:jc w:val="center"/>
            </w:pPr>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Pendiente</w:t>
            </w:r>
          </w:p>
        </w:tc>
        <w:tc>
          <w:tcPr>
            <w:tcW w:type="dxa" w:w="3446"/>
            <w:tcMar>
              <w:top w:w="80" w:type="dxa"/>
              <w:start w:w="120" w:type="dxa"/>
              <w:bottom w:w="80" w:type="dxa"/>
              <w:end w:w="120" w:type="dxa"/>
            </w:tcMar>
            <w:vAlign w:val="center"/>
          </w:tcPr>
          <w:p>
            <w:pPr>
              <w:spacing w:before="0" w:after="0" w:line="240" w:lineRule="auto"/>
              <w:jc w:val="left"/>
            </w:pPr>
            <w:r/>
            <w:r>
              <w:rPr>
                <w:rFonts w:ascii="Arial" w:hAnsi="Arial" w:cs="Arial"/>
                <w:sz w:val="18"/>
              </w:rPr>
              <w:t>A fecha de corte 30-07-2026 solo consta la convocatoria del ejercicio; cues…</w:t>
            </w:r>
          </w:p>
        </w:tc>
      </w:tr>
    </w:tbl>
    <w:p>
      <w:pPr>
        <w:spacing w:after="40"/>
      </w:pPr>
    </w:p>
    <w:p>
      <w:pPr>
        <w:pStyle w:val="Heading2"/>
        <w:keepNext/>
      </w:pPr>
      <w:r>
        <w:rPr>
          <w:rFonts w:ascii="Arial" w:hAnsi="Arial" w:cs="Arial"/>
          <w:sz w:val="25"/>
        </w:rPr>
        <w:t>Frecuencia temporal</w:t>
      </w:r>
    </w:p>
    <w:tbl>
      <w:tblPr>
        <w:tblStyle w:val="TableGrid"/>
        <w:tblW w:type="dxa" w:w="9026"/>
        <w:jc w:val="left"/>
        <w:tblLayout w:type="fixed"/>
        <w:tblLook w:firstColumn="1" w:firstRow="1" w:lastColumn="0" w:lastRow="0" w:noHBand="0" w:noVBand="1" w:val="04A0"/>
        <w:tblInd w:w="120" w:type="dxa"/>
      </w:tblPr>
      <w:tblGrid>
        <w:gridCol w:w="2124"/>
        <w:gridCol w:w="4778"/>
        <w:gridCol w:w="2124"/>
      </w:tblGrid>
      <w:tr>
        <w:trPr>
          <w:tblHeader w:val="true"/>
        </w:trPr>
        <w:tc>
          <w:tcPr>
            <w:tcW w:type="dxa" w:w="212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Año</w:t>
            </w:r>
          </w:p>
        </w:tc>
        <w:tc>
          <w:tcPr>
            <w:tcW w:type="dxa" w:w="477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Preguntas canónicas</w:t>
            </w:r>
          </w:p>
        </w:tc>
        <w:tc>
          <w:tcPr>
            <w:tcW w:type="dxa" w:w="212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Peso</w:t>
            </w:r>
          </w:p>
        </w:tc>
      </w:tr>
      <w:tr>
        <w:tc>
          <w:tcPr>
            <w:tcW w:type="dxa" w:w="2124"/>
            <w:tcMar>
              <w:top w:w="80" w:type="dxa"/>
              <w:start w:w="120" w:type="dxa"/>
              <w:bottom w:w="80" w:type="dxa"/>
              <w:end w:w="120" w:type="dxa"/>
            </w:tcMar>
            <w:vAlign w:val="center"/>
          </w:tcPr>
          <w:p>
            <w:pPr>
              <w:spacing w:before="0" w:after="0" w:line="240" w:lineRule="auto"/>
              <w:jc w:val="left"/>
            </w:pPr>
            <w:r/>
            <w:r>
              <w:rPr>
                <w:rFonts w:ascii="Arial" w:hAnsi="Arial" w:cs="Arial"/>
                <w:sz w:val="18"/>
              </w:rPr>
              <w:t>2024</w:t>
            </w:r>
          </w:p>
        </w:tc>
        <w:tc>
          <w:tcPr>
            <w:tcW w:type="dxa" w:w="4778"/>
            <w:tcMar>
              <w:top w:w="80" w:type="dxa"/>
              <w:start w:w="120" w:type="dxa"/>
              <w:bottom w:w="80" w:type="dxa"/>
              <w:end w:w="120" w:type="dxa"/>
            </w:tcMar>
            <w:vAlign w:val="center"/>
          </w:tcPr>
          <w:p>
            <w:pPr>
              <w:spacing w:before="0" w:after="0" w:line="240" w:lineRule="auto"/>
              <w:jc w:val="center"/>
            </w:pPr>
            <w:r/>
            <w:r>
              <w:rPr>
                <w:rFonts w:ascii="Arial" w:hAnsi="Arial" w:cs="Arial"/>
                <w:sz w:val="18"/>
              </w:rPr>
              <w:t>91</w:t>
            </w:r>
          </w:p>
        </w:tc>
        <w:tc>
          <w:tcPr>
            <w:tcW w:type="dxa" w:w="2124"/>
            <w:tcMar>
              <w:top w:w="80" w:type="dxa"/>
              <w:start w:w="120" w:type="dxa"/>
              <w:bottom w:w="80" w:type="dxa"/>
              <w:end w:w="120" w:type="dxa"/>
            </w:tcMar>
            <w:vAlign w:val="center"/>
          </w:tcPr>
          <w:p>
            <w:pPr>
              <w:spacing w:before="0" w:after="0" w:line="240" w:lineRule="auto"/>
              <w:jc w:val="center"/>
            </w:pPr>
            <w:r/>
            <w:r>
              <w:rPr>
                <w:rFonts w:ascii="Arial" w:hAnsi="Arial" w:cs="Arial"/>
                <w:sz w:val="18"/>
              </w:rPr>
              <w:t>20.0%</w:t>
            </w:r>
          </w:p>
        </w:tc>
      </w:tr>
      <w:tr>
        <w:tc>
          <w:tcPr>
            <w:tcW w:type="dxa" w:w="2124"/>
            <w:tcMar>
              <w:top w:w="80" w:type="dxa"/>
              <w:start w:w="120" w:type="dxa"/>
              <w:bottom w:w="80" w:type="dxa"/>
              <w:end w:w="120" w:type="dxa"/>
            </w:tcMar>
            <w:vAlign w:val="center"/>
          </w:tcPr>
          <w:p>
            <w:pPr>
              <w:spacing w:before="0" w:after="0" w:line="240" w:lineRule="auto"/>
              <w:jc w:val="left"/>
            </w:pPr>
            <w:r/>
            <w:r>
              <w:rPr>
                <w:rFonts w:ascii="Arial" w:hAnsi="Arial" w:cs="Arial"/>
                <w:sz w:val="18"/>
              </w:rPr>
              <w:t>2025</w:t>
            </w:r>
          </w:p>
        </w:tc>
        <w:tc>
          <w:tcPr>
            <w:tcW w:type="dxa" w:w="4778"/>
            <w:tcMar>
              <w:top w:w="80" w:type="dxa"/>
              <w:start w:w="120" w:type="dxa"/>
              <w:bottom w:w="80" w:type="dxa"/>
              <w:end w:w="120" w:type="dxa"/>
            </w:tcMar>
            <w:vAlign w:val="center"/>
          </w:tcPr>
          <w:p>
            <w:pPr>
              <w:spacing w:before="0" w:after="0" w:line="240" w:lineRule="auto"/>
              <w:jc w:val="center"/>
            </w:pPr>
            <w:r/>
            <w:r>
              <w:rPr>
                <w:rFonts w:ascii="Arial" w:hAnsi="Arial" w:cs="Arial"/>
                <w:sz w:val="18"/>
              </w:rPr>
              <w:t>273</w:t>
            </w:r>
          </w:p>
        </w:tc>
        <w:tc>
          <w:tcPr>
            <w:tcW w:type="dxa" w:w="2124"/>
            <w:tcMar>
              <w:top w:w="80" w:type="dxa"/>
              <w:start w:w="120" w:type="dxa"/>
              <w:bottom w:w="80" w:type="dxa"/>
              <w:end w:w="120" w:type="dxa"/>
            </w:tcMar>
            <w:vAlign w:val="center"/>
          </w:tcPr>
          <w:p>
            <w:pPr>
              <w:spacing w:before="0" w:after="0" w:line="240" w:lineRule="auto"/>
              <w:jc w:val="center"/>
            </w:pPr>
            <w:r/>
            <w:r>
              <w:rPr>
                <w:rFonts w:ascii="Arial" w:hAnsi="Arial" w:cs="Arial"/>
                <w:sz w:val="18"/>
              </w:rPr>
              <w:t>60.0%</w:t>
            </w:r>
          </w:p>
        </w:tc>
      </w:tr>
      <w:tr>
        <w:tc>
          <w:tcPr>
            <w:tcW w:type="dxa" w:w="2124"/>
            <w:tcMar>
              <w:top w:w="80" w:type="dxa"/>
              <w:start w:w="120" w:type="dxa"/>
              <w:bottom w:w="80" w:type="dxa"/>
              <w:end w:w="120" w:type="dxa"/>
            </w:tcMar>
            <w:vAlign w:val="center"/>
          </w:tcPr>
          <w:p>
            <w:pPr>
              <w:spacing w:before="0" w:after="0" w:line="240" w:lineRule="auto"/>
              <w:jc w:val="left"/>
            </w:pPr>
            <w:r/>
            <w:r>
              <w:rPr>
                <w:rFonts w:ascii="Arial" w:hAnsi="Arial" w:cs="Arial"/>
                <w:sz w:val="18"/>
              </w:rPr>
              <w:t>2026</w:t>
            </w:r>
          </w:p>
        </w:tc>
        <w:tc>
          <w:tcPr>
            <w:tcW w:type="dxa" w:w="4778"/>
            <w:tcMar>
              <w:top w:w="80" w:type="dxa"/>
              <w:start w:w="120" w:type="dxa"/>
              <w:bottom w:w="80" w:type="dxa"/>
              <w:end w:w="120" w:type="dxa"/>
            </w:tcMar>
            <w:vAlign w:val="center"/>
          </w:tcPr>
          <w:p>
            <w:pPr>
              <w:spacing w:before="0" w:after="0" w:line="240" w:lineRule="auto"/>
              <w:jc w:val="center"/>
            </w:pPr>
            <w:r/>
            <w:r>
              <w:rPr>
                <w:rFonts w:ascii="Arial" w:hAnsi="Arial" w:cs="Arial"/>
                <w:sz w:val="18"/>
              </w:rPr>
              <w:t>91</w:t>
            </w:r>
          </w:p>
        </w:tc>
        <w:tc>
          <w:tcPr>
            <w:tcW w:type="dxa" w:w="2124"/>
            <w:tcMar>
              <w:top w:w="80" w:type="dxa"/>
              <w:start w:w="120" w:type="dxa"/>
              <w:bottom w:w="80" w:type="dxa"/>
              <w:end w:w="120" w:type="dxa"/>
            </w:tcMar>
            <w:vAlign w:val="center"/>
          </w:tcPr>
          <w:p>
            <w:pPr>
              <w:spacing w:before="0" w:after="0" w:line="240" w:lineRule="auto"/>
              <w:jc w:val="center"/>
            </w:pPr>
            <w:r/>
            <w:r>
              <w:rPr>
                <w:rFonts w:ascii="Arial" w:hAnsi="Arial" w:cs="Arial"/>
                <w:sz w:val="18"/>
              </w:rPr>
              <w:t>20.0%</w:t>
            </w:r>
          </w:p>
        </w:tc>
      </w:tr>
    </w:tbl>
    <w:p>
      <w:pPr>
        <w:spacing w:after="40"/>
      </w:pPr>
    </w:p>
    <w:p>
      <w:pPr>
        <w:jc w:val="both"/>
      </w:pPr>
      <w:r>
        <w:rPr>
          <w:rFonts w:ascii="Arial" w:hAnsi="Arial" w:cs="Arial"/>
          <w:sz w:val="22"/>
        </w:rPr>
        <w:t>El volumen anual refleja el número de sesiones disponibles, no una intensificación automática del temario: 2025 reúne tres sesiones canónicas y por eso concentra más registros.</w:t>
      </w:r>
    </w:p>
    <w:p>
      <w:pPr>
        <w:pStyle w:val="Heading1"/>
        <w:keepNext/>
      </w:pPr>
      <w:r>
        <w:rPr>
          <w:rFonts w:ascii="Arial" w:hAnsi="Arial" w:cs="Arial"/>
          <w:sz w:val="30"/>
        </w:rPr>
        <w:t>Metodología de construcción y control</w:t>
      </w:r>
    </w:p>
    <w:p>
      <w:pPr>
        <w:spacing w:after="40"/>
        <w:ind w:left="369" w:hanging="227"/>
      </w:pPr>
      <w:r>
        <w:rPr>
          <w:rFonts w:ascii="Arial" w:hAnsi="Arial" w:cs="Arial"/>
          <w:sz w:val="22"/>
        </w:rPr>
        <w:t>1. Descarga y archivo de cuestionarios, plantillas provisionales, plantillas definitivas y resoluciones oficiales.</w:t>
      </w:r>
    </w:p>
    <w:p>
      <w:pPr>
        <w:spacing w:after="40"/>
        <w:ind w:left="369" w:hanging="227"/>
      </w:pPr>
      <w:r>
        <w:rPr>
          <w:rFonts w:ascii="Arial" w:hAnsi="Arial" w:cs="Arial"/>
          <w:sz w:val="22"/>
        </w:rPr>
        <w:t>2. Extracción de cada enunciado y sus cuatro opciones mediante OCR, con reparación documentada de tres opciones ausentes en la capa de texto.</w:t>
      </w:r>
    </w:p>
    <w:p>
      <w:pPr>
        <w:spacing w:after="40"/>
        <w:ind w:left="369" w:hanging="227"/>
      </w:pPr>
      <w:r>
        <w:rPr>
          <w:rFonts w:ascii="Arial" w:hAnsi="Arial" w:cs="Arial"/>
          <w:sz w:val="22"/>
        </w:rPr>
        <w:t>3. Enlace de respuestas provisionales y definitivas; identificación separada de anulaciones y cambios.</w:t>
      </w:r>
    </w:p>
    <w:p>
      <w:pPr>
        <w:spacing w:after="40"/>
        <w:ind w:left="369" w:hanging="227"/>
      </w:pPr>
      <w:r>
        <w:rPr>
          <w:rFonts w:ascii="Arial" w:hAnsi="Arial" w:cs="Arial"/>
          <w:sz w:val="22"/>
        </w:rPr>
        <w:t>4. Clasificación por tema oficial, apartado, norma, artículo, tipo, dificultad y carácter teórico o práctico.</w:t>
      </w:r>
    </w:p>
    <w:p>
      <w:pPr>
        <w:spacing w:after="40"/>
        <w:ind w:left="369" w:hanging="227"/>
      </w:pPr>
      <w:r>
        <w:rPr>
          <w:rFonts w:ascii="Arial" w:hAnsi="Arial" w:cs="Arial"/>
          <w:sz w:val="22"/>
        </w:rPr>
        <w:t>5. Deduplicación de variantes equivalentes antes de calcular frecuencia.</w:t>
      </w:r>
    </w:p>
    <w:p>
      <w:pPr>
        <w:spacing w:after="40"/>
        <w:ind w:left="369" w:hanging="227"/>
      </w:pPr>
      <w:r>
        <w:rPr>
          <w:rFonts w:ascii="Arial" w:hAnsi="Arial" w:cs="Arial"/>
          <w:sz w:val="22"/>
        </w:rPr>
        <w:t>6. Controles automáticos: 91 preguntas por variante, cuatro alternativas por pregunta, ausencia de campos de opción vacíos y cero clasificaciones de baja confianza.</w:t>
      </w:r>
    </w:p>
    <w:p>
      <w:pPr>
        <w:jc w:val="both"/>
      </w:pPr>
      <w:r>
        <w:rPr>
          <w:rFonts w:ascii="Arial" w:hAnsi="Arial" w:cs="Arial"/>
          <w:sz w:val="22"/>
        </w:rPr>
        <w:t>Las frecuencias son descriptivas. Indican lo preguntado en el corpus conservado, pero no convierten una tendencia en predicción ni sustituyen el estudio completo del programa oficial.</w:t>
      </w:r>
    </w:p>
    <w:p>
      <w:pPr>
        <w:spacing w:before="100" w:after="40"/>
        <w:jc w:val="center"/>
      </w:pPr>
      <w:r>
        <w:drawing>
          <wp:inline xmlns:a="http://schemas.openxmlformats.org/drawingml/2006/main" xmlns:pic="http://schemas.openxmlformats.org/drawingml/2006/picture">
            <wp:extent cx="5760000" cy="1201745"/>
            <wp:docPr id="1" name="Picture 1"/>
            <wp:cNvGraphicFramePr>
              <a:graphicFrameLocks noChangeAspect="1"/>
            </wp:cNvGraphicFramePr>
            <a:graphic>
              <a:graphicData uri="http://schemas.openxmlformats.org/drawingml/2006/picture">
                <pic:pic>
                  <pic:nvPicPr>
                    <pic:cNvPr id="0" name="02_peso_bloques.png"/>
                    <pic:cNvPicPr/>
                  </pic:nvPicPr>
                  <pic:blipFill>
                    <a:blip r:embed="rId13"/>
                    <a:stretch>
                      <a:fillRect/>
                    </a:stretch>
                  </pic:blipFill>
                  <pic:spPr>
                    <a:xfrm>
                      <a:off x="0" y="0"/>
                      <a:ext cx="5760000" cy="1201745"/>
                    </a:xfrm>
                    <a:prstGeom prst="rect"/>
                  </pic:spPr>
                </pic:pic>
              </a:graphicData>
            </a:graphic>
          </wp:inline>
        </w:drawing>
      </w:r>
    </w:p>
    <w:p>
      <w:pPr>
        <w:spacing w:before="0" w:after="160"/>
        <w:jc w:val="center"/>
      </w:pPr>
      <w:r>
        <w:rPr>
          <w:rFonts w:ascii="Arial" w:hAnsi="Arial" w:cs="Arial"/>
          <w:i/>
          <w:color w:val="666666"/>
          <w:sz w:val="17"/>
        </w:rPr>
        <w:t>Figura 1. Distribución del corpus canónico entre temario general y Seguridad Social.</w:t>
      </w:r>
    </w:p>
    <w:tbl>
      <w:tblPr>
        <w:tblStyle w:val="TableGrid"/>
        <w:tblW w:type="dxa" w:w="9026"/>
        <w:jc w:val="left"/>
        <w:tblLayout w:type="fixed"/>
        <w:tblLook w:firstColumn="1" w:firstRow="1" w:lastColumn="0" w:lastRow="0" w:noHBand="0" w:noVBand="1" w:val="04A0"/>
        <w:tblInd w:w="120" w:type="dxa"/>
      </w:tblPr>
      <w:tblGrid>
        <w:gridCol w:w="900"/>
        <w:gridCol w:w="4526"/>
        <w:gridCol w:w="900"/>
        <w:gridCol w:w="900"/>
        <w:gridCol w:w="900"/>
        <w:gridCol w:w="900"/>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Tema</w:t>
            </w:r>
          </w:p>
        </w:tc>
        <w:tc>
          <w:tcPr>
            <w:tcW w:type="dxa" w:w="452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 abreviada</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Total</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Prácticas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Reservas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Años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S05</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La gestión recaudatoria: concepto, competencia y objeto. Responsables del pag…</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S08</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temporal: concepto y causas que motivan esta situación. Beneficia…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S10</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en la modalidad contributiva: concepto. Jubilación ordinaria: requ…</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S03</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Normas sobre afiliación. Altas y bajas en el régimen general. Procedimiento y…</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S04</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La cotización a la Seguridad Social: normas comunes del sistema. La liquidaci…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S09</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Nacimiento y cuidado de menor. Ejercicio corresponsable del cuidado del lacta…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S06</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La recaudación en vía ejecutiva. Normas generales. Iniciación y título ejecut…</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S12</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no contributivas y asistenciales. El ingreso mínimo vital: benef…</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S11</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La protección por muerte y supervivencia. Hecho causante. Requisitos para las…</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S02</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Campo de aplicación y composición del sistema de la Seguridad Social. Régimen…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S07</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Acción protectora. Contenido y clasificación de las prestaciones. Caracteres…</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S13</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Recursos generales del sistema de la Seguridad Social. El patrimonio único de…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S01</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La Seguridad Social en la Constitución española de 1978. El texto refundido d…</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G02</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Derechos y deberes fundamentales. Su garantía y suspensión.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G03</w:t>
            </w:r>
          </w:p>
        </w:tc>
        <w:tc>
          <w:tcPr>
            <w:tcW w:type="dxa" w:w="4526"/>
            <w:tcMar>
              <w:top w:w="80" w:type="dxa"/>
              <w:start w:w="120" w:type="dxa"/>
              <w:bottom w:w="80" w:type="dxa"/>
              <w:end w:w="120" w:type="dxa"/>
            </w:tcMar>
            <w:vAlign w:val="center"/>
          </w:tcPr>
          <w:p>
            <w:pPr>
              <w:spacing w:before="0" w:after="0" w:line="240" w:lineRule="auto"/>
              <w:jc w:val="left"/>
            </w:pPr>
            <w:r/>
            <w:r>
              <w:rPr>
                <w:rFonts w:ascii="Arial" w:hAnsi="Arial" w:cs="Arial"/>
                <w:sz w:val="18"/>
              </w:rPr>
              <w:t>El Tribunal Constitucional. Organización, composición y atribuciones.</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bl>
    <w:p>
      <w:pPr>
        <w:spacing w:after="40"/>
      </w:pPr>
    </w:p>
    <w:p>
      <w:pPr>
        <w:jc w:val="both"/>
      </w:pPr>
      <w:r>
        <w:rPr>
          <w:rFonts w:ascii="Arial" w:hAnsi="Arial" w:cs="Arial"/>
          <w:sz w:val="22"/>
        </w:rPr>
        <w:t xml:space="preserve">Los cinco primeros temas por volumen son </w:t>
      </w:r>
      <w:r>
        <w:rPr>
          <w:rFonts w:ascii="Arial" w:hAnsi="Arial" w:cs="Arial"/>
          <w:b/>
          <w:sz w:val="22"/>
        </w:rPr>
        <w:t>S05, S08, S10, S03, S04</w:t>
      </w:r>
      <w:r>
        <w:rPr>
          <w:rFonts w:ascii="Arial" w:hAnsi="Arial" w:cs="Arial"/>
          <w:sz w:val="22"/>
        </w:rPr>
        <w:t>. Su concentración responde, sobre todo, a preguntas de aplicación, plazos, requisitos, bases reguladoras, porcentajes y secuencias de gestión.</w:t>
      </w:r>
    </w:p>
    <w:p>
      <w:pPr>
        <w:spacing w:before="100" w:after="40"/>
        <w:jc w:val="center"/>
      </w:pPr>
      <w:r>
        <w:drawing>
          <wp:inline xmlns:a="http://schemas.openxmlformats.org/drawingml/2006/main" xmlns:pic="http://schemas.openxmlformats.org/drawingml/2006/picture">
            <wp:extent cx="5760000" cy="3610473"/>
            <wp:docPr id="2" name="Picture 2"/>
            <wp:cNvGraphicFramePr>
              <a:graphicFrameLocks noChangeAspect="1"/>
            </wp:cNvGraphicFramePr>
            <a:graphic>
              <a:graphicData uri="http://schemas.openxmlformats.org/drawingml/2006/picture">
                <pic:pic>
                  <pic:nvPicPr>
                    <pic:cNvPr id="0" name="01_frecuencia_temas.png"/>
                    <pic:cNvPicPr/>
                  </pic:nvPicPr>
                  <pic:blipFill>
                    <a:blip r:embed="rId14"/>
                    <a:stretch>
                      <a:fillRect/>
                    </a:stretch>
                  </pic:blipFill>
                  <pic:spPr>
                    <a:xfrm>
                      <a:off x="0" y="0"/>
                      <a:ext cx="5760000" cy="3610473"/>
                    </a:xfrm>
                    <a:prstGeom prst="rect"/>
                  </pic:spPr>
                </pic:pic>
              </a:graphicData>
            </a:graphic>
          </wp:inline>
        </w:drawing>
      </w:r>
    </w:p>
    <w:p>
      <w:pPr>
        <w:spacing w:before="0" w:after="160"/>
        <w:jc w:val="center"/>
      </w:pPr>
      <w:r>
        <w:rPr>
          <w:rFonts w:ascii="Arial" w:hAnsi="Arial" w:cs="Arial"/>
          <w:i/>
          <w:color w:val="666666"/>
          <w:sz w:val="17"/>
        </w:rPr>
        <w:t>Figura 2. Doce temas con mayor frecuencia observada.</w:t>
      </w:r>
    </w:p>
    <w:tbl>
      <w:tblPr>
        <w:tblStyle w:val="TableGrid"/>
        <w:tblW w:type="dxa" w:w="9026"/>
        <w:jc w:val="left"/>
        <w:tblLayout w:type="fixed"/>
        <w:tblLook w:firstColumn="1" w:firstRow="1" w:lastColumn="0" w:lastRow="0" w:noHBand="0" w:noVBand="1" w:val="04A0"/>
        <w:tblInd w:w="120" w:type="dxa"/>
      </w:tblPr>
      <w:tblGrid>
        <w:gridCol w:w="5539"/>
        <w:gridCol w:w="1846"/>
        <w:gridCol w:w="1641"/>
      </w:tblGrid>
      <w:tr>
        <w:trPr>
          <w:tblHeader w:val="true"/>
        </w:trPr>
        <w:tc>
          <w:tcPr>
            <w:tcW w:type="dxa" w:w="553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Tipo</w:t>
            </w:r>
          </w:p>
        </w:tc>
        <w:tc>
          <w:tcPr>
            <w:tcW w:type="dxa" w:w="184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Preguntas</w:t>
            </w:r>
          </w:p>
        </w:tc>
        <w:tc>
          <w:tcPr>
            <w:tcW w:type="dxa" w:w="164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Peso</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Artículos literales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141</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31.0%</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Plazos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43</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9.5%</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Cálculos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34</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7.5%</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7.0%</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Requisitos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4.2%</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Afiliación, altas y bajas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18</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4.0%</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Jubilación</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18</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4.0%</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Cotización</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17</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3.7%</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Personas beneficiarias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17</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3.7%</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no contributivas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16</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3.5%</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Incapacidad</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3.3%</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familiares</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3.3%</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Recaudación ejecutiva</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3.3%</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Recaudación</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3.1%</w:t>
            </w:r>
          </w:p>
        </w:tc>
      </w:tr>
      <w:tr>
        <w:tc>
          <w:tcPr>
            <w:tcW w:type="dxa" w:w="5539"/>
            <w:tcMar>
              <w:top w:w="80" w:type="dxa"/>
              <w:start w:w="120" w:type="dxa"/>
              <w:bottom w:w="80" w:type="dxa"/>
              <w:end w:w="120" w:type="dxa"/>
            </w:tcMar>
            <w:vAlign w:val="center"/>
          </w:tcPr>
          <w:p>
            <w:pPr>
              <w:spacing w:before="0" w:after="0" w:line="240" w:lineRule="auto"/>
              <w:jc w:val="left"/>
            </w:pPr>
            <w:r/>
            <w:r>
              <w:rPr>
                <w:rFonts w:ascii="Arial" w:hAnsi="Arial" w:cs="Arial"/>
                <w:sz w:val="18"/>
              </w:rPr>
              <w:t>Muerte y supervivencia</w:t>
            </w:r>
          </w:p>
        </w:tc>
        <w:tc>
          <w:tcPr>
            <w:tcW w:type="dxa" w:w="1846"/>
            <w:tcMar>
              <w:top w:w="80" w:type="dxa"/>
              <w:start w:w="120" w:type="dxa"/>
              <w:bottom w:w="80" w:type="dxa"/>
              <w:end w:w="120" w:type="dxa"/>
            </w:tcMar>
            <w:vAlign w:val="center"/>
          </w:tcPr>
          <w:p>
            <w:pPr>
              <w:spacing w:before="0" w:after="0" w:line="240" w:lineRule="auto"/>
              <w:jc w:val="center"/>
            </w:pPr>
            <w:r/>
            <w:r>
              <w:rPr>
                <w:rFonts w:ascii="Arial" w:hAnsi="Arial" w:cs="Arial"/>
                <w:sz w:val="18"/>
              </w:rPr>
              <w:t>13</w:t>
            </w:r>
          </w:p>
        </w:tc>
        <w:tc>
          <w:tcPr>
            <w:tcW w:type="dxa" w:w="1641"/>
            <w:tcMar>
              <w:top w:w="80" w:type="dxa"/>
              <w:start w:w="120" w:type="dxa"/>
              <w:bottom w:w="80" w:type="dxa"/>
              <w:end w:w="120" w:type="dxa"/>
            </w:tcMar>
            <w:vAlign w:val="center"/>
          </w:tcPr>
          <w:p>
            <w:pPr>
              <w:spacing w:before="0" w:after="0" w:line="240" w:lineRule="auto"/>
              <w:jc w:val="center"/>
            </w:pPr>
            <w:r/>
            <w:r>
              <w:rPr>
                <w:rFonts w:ascii="Arial" w:hAnsi="Arial" w:cs="Arial"/>
                <w:sz w:val="18"/>
              </w:rPr>
              <w:t>2.9%</w:t>
            </w:r>
          </w:p>
        </w:tc>
      </w:tr>
    </w:tbl>
    <w:p>
      <w:pPr>
        <w:spacing w:after="40"/>
      </w:pPr>
    </w:p>
    <w:p>
      <w:pPr>
        <w:jc w:val="both"/>
      </w:pPr>
      <w:r>
        <w:rPr>
          <w:rFonts w:ascii="Arial" w:hAnsi="Arial" w:cs="Arial"/>
          <w:sz w:val="22"/>
        </w:rPr>
        <w:t>La literalidad de artículos es el formato dominante, pero no debe confundirse con memorización aislada. En el supuesto práctico se combinan reglas de competencia, plazos, requisitos y operaciones numéricas. La preparación más eficiente une la literalidad con microcasos: hecho causante, órgano competente, plazo aplicable, porcentaje y consecuencia jurídica.</w:t>
      </w:r>
    </w:p>
    <w:p>
      <w:pPr>
        <w:pStyle w:val="Heading1"/>
        <w:keepNext/>
      </w:pPr>
      <w:r>
        <w:rPr>
          <w:rFonts w:ascii="Arial" w:hAnsi="Arial" w:cs="Arial"/>
          <w:sz w:val="30"/>
        </w:rPr>
        <w:t>Normas más citadas</w:t>
      </w:r>
    </w:p>
    <w:tbl>
      <w:tblPr>
        <w:tblStyle w:val="TableGrid"/>
        <w:tblW w:type="dxa" w:w="9026"/>
        <w:jc w:val="left"/>
        <w:tblLayout w:type="fixed"/>
        <w:tblLook w:firstColumn="1" w:firstRow="1" w:lastColumn="0" w:lastRow="0" w:noHBand="0" w:noVBand="1" w:val="04A0"/>
        <w:tblInd w:w="120" w:type="dxa"/>
      </w:tblPr>
      <w:tblGrid>
        <w:gridCol w:w="7575"/>
        <w:gridCol w:w="1451"/>
      </w:tblGrid>
      <w:tr>
        <w:trPr>
          <w:tblHeader w:val="true"/>
        </w:trPr>
        <w:tc>
          <w:tcPr>
            <w:tcW w:type="dxa" w:w="75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Norma identificada</w:t>
            </w:r>
          </w:p>
        </w:tc>
        <w:tc>
          <w:tcPr>
            <w:tcW w:type="dxa" w:w="14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Preguntas</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Texto Refundido de la Ley General de la Seguridad Social</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114</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Constitución Española</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42</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1415/2004</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33</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Ley 39/2015</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22</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84/1996</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13</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Ley 19/2021</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Tratado de Funcionamiento de la Unión Europea</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Ley Orgánica 2/1979</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2064/1995</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501/2024</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1221/1992</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Ley 40/2015</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Legislativo 5/2015</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203/2021</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r>
        <w:tc>
          <w:tcPr>
            <w:tcW w:type="dxa" w:w="757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legislativo 8/2015</w:t>
            </w:r>
          </w:p>
        </w:tc>
        <w:tc>
          <w:tcPr>
            <w:tcW w:type="dxa" w:w="1451"/>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bl>
    <w:p>
      <w:pPr>
        <w:spacing w:after="40"/>
      </w:pPr>
    </w:p>
    <w:p>
      <w:pPr>
        <w:pStyle w:val="Heading1"/>
        <w:keepNext/>
      </w:pPr>
      <w:r>
        <w:rPr>
          <w:rFonts w:ascii="Arial" w:hAnsi="Arial" w:cs="Arial"/>
          <w:sz w:val="30"/>
        </w:rPr>
        <w:t>Artículos y preceptos más repetidos</w:t>
      </w:r>
    </w:p>
    <w:tbl>
      <w:tblPr>
        <w:tblStyle w:val="TableGrid"/>
        <w:tblW w:type="dxa" w:w="9026"/>
        <w:jc w:val="left"/>
        <w:tblLayout w:type="fixed"/>
        <w:tblLook w:firstColumn="1" w:firstRow="1" w:lastColumn="0" w:lastRow="0" w:noHBand="0" w:noVBand="1" w:val="04A0"/>
        <w:tblInd w:w="120" w:type="dxa"/>
      </w:tblPr>
      <w:tblGrid>
        <w:gridCol w:w="5902"/>
        <w:gridCol w:w="3124"/>
      </w:tblGrid>
      <w:tr>
        <w:trPr>
          <w:tblHeader w:val="true"/>
        </w:trPr>
        <w:tc>
          <w:tcPr>
            <w:tcW w:type="dxa" w:w="590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Artículo o precepto</w:t>
            </w:r>
          </w:p>
        </w:tc>
        <w:tc>
          <w:tcPr>
            <w:tcW w:type="dxa" w:w="312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Preguntas</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7</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14</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10</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58</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8</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6</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12</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9</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122</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13</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4</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87</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54</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63</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18</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21</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117</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r>
        <w:tc>
          <w:tcPr>
            <w:tcW w:type="dxa" w:w="5902"/>
            <w:tcMar>
              <w:top w:w="80" w:type="dxa"/>
              <w:start w:w="120" w:type="dxa"/>
              <w:bottom w:w="80" w:type="dxa"/>
              <w:end w:w="120" w:type="dxa"/>
            </w:tcMar>
            <w:vAlign w:val="center"/>
          </w:tcPr>
          <w:p>
            <w:pPr>
              <w:spacing w:before="0" w:after="0" w:line="240" w:lineRule="auto"/>
              <w:jc w:val="left"/>
            </w:pPr>
            <w:r/>
            <w:r>
              <w:rPr>
                <w:rFonts w:ascii="Arial" w:hAnsi="Arial" w:cs="Arial"/>
                <w:sz w:val="18"/>
              </w:rPr>
              <w:t>113</w:t>
            </w:r>
          </w:p>
        </w:tc>
        <w:tc>
          <w:tcPr>
            <w:tcW w:type="dxa" w:w="3124"/>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bl>
    <w:p>
      <w:pPr>
        <w:spacing w:after="40"/>
      </w:pPr>
    </w:p>
    <w:p>
      <w:pPr>
        <w:jc w:val="both"/>
      </w:pPr>
      <w:r>
        <w:rPr>
          <w:rFonts w:ascii="Arial" w:hAnsi="Arial" w:cs="Arial"/>
          <w:sz w:val="22"/>
        </w:rPr>
        <w:t>Los nombres de normas se han normalizado para el recuento sin alterar el texto trazable guardado en cada registro. Un artículo repetido de normas distintas no se agrega como si fuera el mismo precepto cuando la norma puede identificarse.</w:t>
      </w:r>
    </w:p>
    <w:p>
      <w:pPr>
        <w:spacing w:before="100" w:after="40"/>
        <w:jc w:val="center"/>
      </w:pPr>
      <w:r>
        <w:drawing>
          <wp:inline xmlns:a="http://schemas.openxmlformats.org/drawingml/2006/main" xmlns:pic="http://schemas.openxmlformats.org/drawingml/2006/picture">
            <wp:extent cx="5760000" cy="3128727"/>
            <wp:docPr id="3" name="Picture 3"/>
            <wp:cNvGraphicFramePr>
              <a:graphicFrameLocks noChangeAspect="1"/>
            </wp:cNvGraphicFramePr>
            <a:graphic>
              <a:graphicData uri="http://schemas.openxmlformats.org/drawingml/2006/picture">
                <pic:pic>
                  <pic:nvPicPr>
                    <pic:cNvPr id="0" name="03_tipos_pregunta.png"/>
                    <pic:cNvPicPr/>
                  </pic:nvPicPr>
                  <pic:blipFill>
                    <a:blip r:embed="rId15"/>
                    <a:stretch>
                      <a:fillRect/>
                    </a:stretch>
                  </pic:blipFill>
                  <pic:spPr>
                    <a:xfrm>
                      <a:off x="0" y="0"/>
                      <a:ext cx="5760000" cy="3128727"/>
                    </a:xfrm>
                    <a:prstGeom prst="rect"/>
                  </pic:spPr>
                </pic:pic>
              </a:graphicData>
            </a:graphic>
          </wp:inline>
        </w:drawing>
      </w:r>
    </w:p>
    <w:p>
      <w:pPr>
        <w:spacing w:before="0" w:after="160"/>
        <w:jc w:val="center"/>
      </w:pPr>
      <w:r>
        <w:rPr>
          <w:rFonts w:ascii="Arial" w:hAnsi="Arial" w:cs="Arial"/>
          <w:i/>
          <w:color w:val="666666"/>
          <w:sz w:val="17"/>
        </w:rPr>
        <w:t>Figura 3. Diez formatos de pregunta más repetidos.</w:t>
      </w:r>
    </w:p>
    <w:p>
      <w:pPr>
        <w:pStyle w:val="Heading1"/>
        <w:keepNext/>
      </w:pPr>
      <w:r>
        <w:rPr>
          <w:rFonts w:ascii="Arial" w:hAnsi="Arial" w:cs="Arial"/>
          <w:sz w:val="30"/>
        </w:rPr>
        <w:t>Temas con mayor presencia práctica</w:t>
      </w:r>
    </w:p>
    <w:tbl>
      <w:tblPr>
        <w:tblStyle w:val="TableGrid"/>
        <w:tblW w:type="dxa" w:w="9026"/>
        <w:jc w:val="left"/>
        <w:tblLayout w:type="fixed"/>
        <w:tblLook w:firstColumn="1" w:firstRow="1" w:lastColumn="0" w:lastRow="0" w:noHBand="0" w:noVBand="1" w:val="04A0"/>
        <w:tblInd w:w="120" w:type="dxa"/>
      </w:tblPr>
      <w:tblGrid>
        <w:gridCol w:w="900"/>
        <w:gridCol w:w="5426"/>
        <w:gridCol w:w="900"/>
        <w:gridCol w:w="900"/>
        <w:gridCol w:w="900"/>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Tema</w:t>
            </w:r>
          </w:p>
        </w:tc>
        <w:tc>
          <w:tcPr>
            <w:tcW w:type="dxa" w:w="542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 abreviada</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Prácticas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Total</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 práctico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S10</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en la modalidad contributiva: concepto. Jubilación ordinaria…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46.9%</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S04</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La cotización a la Seguridad Social: normas comunes del sistema. La liq…</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46.7%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S08</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temporal: concepto y causas que motivan esta situación. Ben…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43.8%</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S03</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Normas sobre afiliación. Altas y bajas en el régimen general. Procedimi…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36.7%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S05</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La gestión recaudatoria: concepto, competencia y objeto. Responsables d…</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34.4%</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S09</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Nacimiento y cuidado de menor. Ejercicio corresponsable del cuidado del…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36.7%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S11</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La protección por muerte y supervivencia. Hecho causante. Requisitos pa…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29.2%</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S06</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La recaudación en vía ejecutiva. Normas generales. Iniciación y título…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S02</w:t>
            </w:r>
          </w:p>
        </w:tc>
        <w:tc>
          <w:tcPr>
            <w:tcW w:type="dxa" w:w="5426"/>
            <w:tcMar>
              <w:top w:w="80" w:type="dxa"/>
              <w:start w:w="120" w:type="dxa"/>
              <w:bottom w:w="80" w:type="dxa"/>
              <w:end w:w="120" w:type="dxa"/>
            </w:tcMar>
            <w:vAlign w:val="center"/>
          </w:tcPr>
          <w:p>
            <w:pPr>
              <w:spacing w:before="0" w:after="0" w:line="240" w:lineRule="auto"/>
              <w:jc w:val="left"/>
            </w:pPr>
            <w:r/>
            <w:r>
              <w:rPr>
                <w:rFonts w:ascii="Arial" w:hAnsi="Arial" w:cs="Arial"/>
                <w:sz w:val="18"/>
              </w:rPr>
              <w:t>Campo de aplicación y composición del sistema de la Seguridad Social. R…</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5.3%</w:t>
            </w:r>
          </w:p>
        </w:tc>
      </w:tr>
    </w:tbl>
    <w:p>
      <w:pPr>
        <w:spacing w:after="40"/>
      </w:pPr>
    </w:p>
    <w:p>
      <w:pPr>
        <w:pStyle w:val="Heading1"/>
        <w:keepNext/>
      </w:pPr>
      <w:r>
        <w:rPr>
          <w:rFonts w:ascii="Arial" w:hAnsi="Arial" w:cs="Arial"/>
          <w:sz w:val="30"/>
        </w:rPr>
        <w:t>Temas con más preguntas de reserva</w:t>
      </w:r>
    </w:p>
    <w:tbl>
      <w:tblPr>
        <w:tblStyle w:val="TableGrid"/>
        <w:tblW w:type="dxa" w:w="9026"/>
        <w:jc w:val="left"/>
        <w:tblLayout w:type="fixed"/>
        <w:tblLook w:firstColumn="1" w:firstRow="1" w:lastColumn="0" w:lastRow="0" w:noHBand="0" w:noVBand="1" w:val="04A0"/>
        <w:tblInd w:w="120" w:type="dxa"/>
      </w:tblPr>
      <w:tblGrid>
        <w:gridCol w:w="900"/>
        <w:gridCol w:w="6326"/>
        <w:gridCol w:w="900"/>
        <w:gridCol w:w="900"/>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Tema</w:t>
            </w:r>
          </w:p>
        </w:tc>
        <w:tc>
          <w:tcPr>
            <w:tcW w:type="dxa" w:w="632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 abreviada</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Reservas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Total</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S10</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en la modalidad contributiva: concepto. Jubilación ordinaria…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S03</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Normas sobre afiliación. Altas y bajas en el régimen general. Procedimien…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S08</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temporal: concepto y causas que motivan esta situación. Benef…</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S04</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La cotización a la Seguridad Social: normas comunes del sistema. La liqui…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S05</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La gestión recaudatoria: concepto, competencia y objeto. Responsables del…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S06</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La recaudación en vía ejecutiva. Normas generales. Iniciación y título ej…</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29</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S09</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Nacimiento y cuidado de menor. Ejercicio corresponsable del cuidado del 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G03</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El Tribunal Constitucional. Organización, composición y atribuciones.</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G06</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El Poder Judicial. El principio de unidad jurisdiccional. El Consejo Gene…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G10</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Las Instituciones de la Unión Europea: El Consejo, el Parlamento Europeo…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G11</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Las fuentes del derecho de la Unión Europea. Derecho originario. Derecho…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G16</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El procedimiento administrativo común. La capacidad de obrar y el concept…</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S02</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Campo de aplicación y composición del sistema de la Seguridad Social. Rég…</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S11</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La protección por muerte y supervivencia. Hecho causante. Requisitos para…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24</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S12</w:t>
            </w:r>
          </w:p>
        </w:tc>
        <w:tc>
          <w:tcPr>
            <w:tcW w:type="dxa" w:w="6326"/>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no contributivas y asistenciales. El ingreso mínimo vital: b…</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25</w:t>
            </w:r>
          </w:p>
        </w:tc>
      </w:tr>
    </w:tbl>
    <w:p>
      <w:pPr>
        <w:spacing w:after="40"/>
      </w:pPr>
    </w:p>
    <w:p>
      <w:pPr>
        <w:pStyle w:val="Heading1"/>
        <w:keepNext/>
      </w:pPr>
      <w:r>
        <w:rPr>
          <w:rFonts w:ascii="Arial" w:hAnsi="Arial" w:cs="Arial"/>
          <w:sz w:val="30"/>
        </w:rPr>
        <w:t>Anulaciones y modificación de respuesta</w:t>
      </w:r>
    </w:p>
    <w:tbl>
      <w:tblPr>
        <w:tblStyle w:val="TableGrid"/>
        <w:tblW w:type="dxa" w:w="9026"/>
        <w:jc w:val="left"/>
        <w:tblLayout w:type="fixed"/>
        <w:tblLook w:firstColumn="1" w:firstRow="1" w:lastColumn="0" w:lastRow="0" w:noHBand="0" w:noVBand="1" w:val="04A0"/>
        <w:tblInd w:w="120" w:type="dxa"/>
      </w:tblPr>
      <w:tblGrid>
        <w:gridCol w:w="3075"/>
        <w:gridCol w:w="900"/>
        <w:gridCol w:w="992"/>
        <w:gridCol w:w="1091"/>
        <w:gridCol w:w="992"/>
        <w:gridCol w:w="1976"/>
      </w:tblGrid>
      <w:tr>
        <w:trPr>
          <w:tblHeader w:val="true"/>
        </w:trPr>
        <w:tc>
          <w:tcPr>
            <w:tcW w:type="dxa" w:w="30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ID</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Tema</w:t>
            </w:r>
          </w:p>
        </w:tc>
        <w:tc>
          <w:tcPr>
            <w:tcW w:type="dxa" w:w="99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Resultado</w:t>
            </w:r>
          </w:p>
        </w:tc>
        <w:tc>
          <w:tcPr>
            <w:tcW w:type="dxa" w:w="109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Provisional</w:t>
            </w:r>
          </w:p>
        </w:tc>
        <w:tc>
          <w:tcPr>
            <w:tcW w:type="dxa" w:w="99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Definitiva</w:t>
            </w:r>
          </w:p>
        </w:tc>
        <w:tc>
          <w:tcPr>
            <w:tcW w:type="dxa" w:w="197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Concepto</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2024_conv2023_ordinario_A-P07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S04</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A</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S04</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2024_conv2023_ordinario_A-P10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S08</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D</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alta</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2024_conv2023_ordinario_A-P12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S10</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D</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anticipada</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2025_conv2023_extraordinario-T02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G02</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Modificada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C</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B</w:t>
            </w:r>
          </w:p>
        </w:tc>
        <w:tc>
          <w:tcPr>
            <w:tcW w:type="dxa" w:w="1976"/>
            <w:tcMar>
              <w:top w:w="80" w:type="dxa"/>
              <w:start w:w="120" w:type="dxa"/>
              <w:bottom w:w="80" w:type="dxa"/>
              <w:end w:w="120" w:type="dxa"/>
            </w:tcMar>
            <w:vAlign w:val="center"/>
          </w:tcPr>
          <w:p>
            <w:pPr>
              <w:spacing w:before="0" w:after="0" w:line="240" w:lineRule="auto"/>
              <w:jc w:val="left"/>
            </w:pPr>
            <w:r/>
            <w:r>
              <w:rPr>
                <w:rFonts w:ascii="Arial" w:hAnsi="Arial" w:cs="Arial"/>
                <w:sz w:val="18"/>
              </w:rPr>
              <w:t>derechos fundamentales</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2025_conv2024_ordinario_A-T62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S11</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C</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S11</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2025_conv2024_ordinario_A-T65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S11</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alta</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2026_conv2025_rojo_A-T29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S01</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A</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S01</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2026_conv2025_rojo_A-T43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S05</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B</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S05</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2026_conv2025_rojo_A-P08</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S05</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C</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aplazamiento</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2026_conv2025_verde_A-T29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S05</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B</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S05</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2026_conv2025_verde_A-T39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S01</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C</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S01</w:t>
            </w:r>
          </w:p>
        </w:tc>
      </w:tr>
      <w:tr>
        <w:tc>
          <w:tcPr>
            <w:tcW w:type="dxa" w:w="3075"/>
            <w:tcMar>
              <w:top w:w="80" w:type="dxa"/>
              <w:start w:w="120" w:type="dxa"/>
              <w:bottom w:w="80" w:type="dxa"/>
              <w:end w:w="120" w:type="dxa"/>
            </w:tcMar>
            <w:vAlign w:val="center"/>
          </w:tcPr>
          <w:p>
            <w:pPr>
              <w:spacing w:before="0" w:after="0" w:line="240" w:lineRule="auto"/>
              <w:jc w:val="left"/>
            </w:pPr>
            <w:r/>
            <w:r>
              <w:rPr>
                <w:rFonts w:ascii="Arial" w:hAnsi="Arial" w:cs="Arial"/>
                <w:sz w:val="18"/>
              </w:rPr>
              <w:t>2026_conv2025_verde_A-P08</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S05</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091"/>
            <w:tcMar>
              <w:top w:w="80" w:type="dxa"/>
              <w:start w:w="120" w:type="dxa"/>
              <w:bottom w:w="80" w:type="dxa"/>
              <w:end w:w="120" w:type="dxa"/>
            </w:tcMar>
            <w:vAlign w:val="center"/>
          </w:tcPr>
          <w:p>
            <w:pPr>
              <w:spacing w:before="0" w:after="0" w:line="240" w:lineRule="auto"/>
              <w:jc w:val="center"/>
            </w:pPr>
            <w:r/>
            <w:r>
              <w:rPr>
                <w:rFonts w:ascii="Arial" w:hAnsi="Arial" w:cs="Arial"/>
                <w:sz w:val="18"/>
              </w:rPr>
              <w:t>B</w:t>
            </w:r>
          </w:p>
        </w:tc>
        <w:tc>
          <w:tcPr>
            <w:tcW w:type="dxa" w:w="992"/>
            <w:tcMar>
              <w:top w:w="80" w:type="dxa"/>
              <w:start w:w="120" w:type="dxa"/>
              <w:bottom w:w="80" w:type="dxa"/>
              <w:end w:w="120" w:type="dxa"/>
            </w:tcMar>
            <w:vAlign w:val="center"/>
          </w:tcPr>
          <w:p>
            <w:pPr>
              <w:spacing w:before="0" w:after="0" w:line="240" w:lineRule="auto"/>
              <w:jc w:val="center"/>
            </w:pPr>
            <w:r/>
            <w:r>
              <w:rPr>
                <w:rFonts w:ascii="Arial" w:hAnsi="Arial" w:cs="Arial"/>
                <w:sz w:val="18"/>
              </w:rPr>
              <w:t>ANULADA</w:t>
            </w:r>
          </w:p>
        </w:tc>
        <w:tc>
          <w:tcPr>
            <w:tcW w:type="dxa" w:w="1976"/>
            <w:tcMar>
              <w:top w:w="80" w:type="dxa"/>
              <w:start w:w="120" w:type="dxa"/>
              <w:bottom w:w="80" w:type="dxa"/>
              <w:end w:w="120" w:type="dxa"/>
            </w:tcMar>
            <w:vAlign w:val="center"/>
          </w:tcPr>
          <w:p>
            <w:pPr>
              <w:spacing w:before="0" w:after="0" w:line="240" w:lineRule="auto"/>
              <w:jc w:val="center"/>
            </w:pPr>
            <w:r/>
            <w:r>
              <w:rPr>
                <w:rFonts w:ascii="Arial" w:hAnsi="Arial" w:cs="Arial"/>
                <w:sz w:val="18"/>
              </w:rPr>
              <w:t>aplazamiento</w:t>
            </w:r>
          </w:p>
        </w:tc>
      </w:tr>
    </w:tbl>
    <w:p>
      <w:pPr>
        <w:spacing w:after="40"/>
      </w:pPr>
    </w:p>
    <w:p>
      <w:pPr>
        <w:jc w:val="both"/>
      </w:pPr>
      <w:r>
        <w:rPr>
          <w:rFonts w:ascii="Arial" w:hAnsi="Arial" w:cs="Arial"/>
          <w:sz w:val="22"/>
        </w:rPr>
        <w:t>Las anulaciones deben estudiarse como incidencias documentales, no como frecuencia positiva de una regla. La hoja de cálculo permite filtrar cada caso y regresar al cuestionario y a la plantilla oficial correspondiente.</w:t>
      </w:r>
    </w:p>
    <w:tbl>
      <w:tblPr>
        <w:tblStyle w:val="TableGrid"/>
        <w:tblW w:type="dxa" w:w="9026"/>
        <w:jc w:val="left"/>
        <w:tblLayout w:type="fixed"/>
        <w:tblLook w:firstColumn="1" w:firstRow="1" w:lastColumn="0" w:lastRow="0" w:noHBand="0" w:noVBand="1" w:val="04A0"/>
        <w:tblInd w:w="120" w:type="dxa"/>
      </w:tblPr>
      <w:tblGrid>
        <w:gridCol w:w="900"/>
        <w:gridCol w:w="1075"/>
        <w:gridCol w:w="2551"/>
        <w:gridCol w:w="900"/>
        <w:gridCol w:w="900"/>
        <w:gridCol w:w="900"/>
        <w:gridCol w:w="900"/>
        <w:gridCol w:w="900"/>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ID</w:t>
            </w:r>
          </w:p>
        </w:tc>
        <w:tc>
          <w:tcPr>
            <w:tcW w:type="dxa" w:w="107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Bloque</w:t>
            </w:r>
          </w:p>
        </w:tc>
        <w:tc>
          <w:tcPr>
            <w:tcW w:type="dxa" w:w="255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Denominación abreviada</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Total</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Práct.</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Anul.</w:t>
            </w:r>
          </w:p>
        </w:tc>
        <w:tc>
          <w:tcPr>
            <w:tcW w:type="dxa" w:w="90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Años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G01</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Constitución Española de 1978: Estructura y contenido. La reform…</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G02</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Derechos y deberes fundamentales. Su garantía y suspensión.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G03</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Tribunal Constitucional. Organización, composición y atribucione…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G04</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Corona. Funciones constitucionales del Rey. Sucesión y regencia…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G05</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poder legislativo. Las Cortes Generales: Composición, atribucion…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G06</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Poder Judicial. El principio de unidad jurisdiccional. El Consej…</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G07</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poder ejecutivo. El presidente del Gobierno y el Consejo de Mini…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G08</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Administración General del Estado. Principios de organización y…</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G09</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organización territorial del Estado. Las Comunidades Autónomas…</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G10</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Las Instituciones de la Unión Europea: El Consejo, el Parlamento Eu…</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G11</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Las fuentes del derecho de la Unión Europea. Derecho originario. De…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G12</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Ministerio de Inclusión, Seguridad Social y Migraciones. Organiz…</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G13</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Las fuentes del Derecho Administrativo. Concepto y clases. La jerar…</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G14</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Ley. Tipos de leyes. Disposiciones del Gobierno con fuerza de le…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G15</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Los actos administrativos. Concepto y clases. Motivación, forma y 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G16</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procedimiento administrativo común. La capacidad de obrar y el c…</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G17</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Las fases del procedimiento administrativo: Iniciación, ordenación…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G18</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Los recursos administrativos: concepto y clases. Recurso de alzada…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G19</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personal al servicio de las Administraciones Públicas: concepto…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G20</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Atención al público. Atención de personas con discapacidad. Los ser…</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2024, 2025</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G21</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Políticas de igualdad y contra la violencia de género. Discapacidad…</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G22</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Normativa reguladora de la protección de datos personales: principi…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G23</w:t>
            </w:r>
          </w:p>
        </w:tc>
        <w:tc>
          <w:tcPr>
            <w:tcW w:type="dxa" w:w="1075"/>
            <w:tcMar>
              <w:top w:w="80" w:type="dxa"/>
              <w:start w:w="120" w:type="dxa"/>
              <w:bottom w:w="80" w:type="dxa"/>
              <w:end w:w="120" w:type="dxa"/>
            </w:tcMar>
            <w:vAlign w:val="center"/>
          </w:tcPr>
          <w:p>
            <w:pPr>
              <w:spacing w:before="0" w:after="0" w:line="240" w:lineRule="auto"/>
              <w:jc w:val="center"/>
            </w:pPr>
            <w:r/>
            <w:r>
              <w:rPr>
                <w:rFonts w:ascii="Arial" w:hAnsi="Arial" w:cs="Arial"/>
                <w:sz w:val="18"/>
              </w:rPr>
              <w:t>General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El funcionamiento electrónico del sector público. Derecho y obligac…</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S01</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Seguridad Social en la Constitución española de 1978. El texto r…</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S02</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Campo de aplicación y composición del sistema de la Seguridad Socia…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S03</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Normas sobre afiliación. Altas y bajas en el régimen general. Proce…</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S04</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cotización a la Seguridad Social: normas comunes del sistema. La…</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S05</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gestión recaudatoria: concepto, competencia y objeto. Responsabl…</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S06</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recaudación en vía ejecutiva. Normas generales. Iniciación y tít…</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S07</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Acción protectora. Contenido y clasificación de las prestaciones. C…</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S08</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Incapacidad temporal: concepto y causas que motivan esta situación…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S09</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Nacimiento y cuidado de menor. Ejercicio corresponsable del cuidado…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S10</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Jubilación en la modalidad contributiva: concepto. Jubilación ordin…</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32</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8</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S11</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La protección por muerte y supervivencia. Hecho causante. Requisito…</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24</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S12</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no contributivas y asistenciales. El ingreso mínimo vi…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25</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S13</w:t>
            </w:r>
          </w:p>
        </w:tc>
        <w:tc>
          <w:tcPr>
            <w:tcW w:type="dxa" w:w="1075"/>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w:t>
            </w:r>
          </w:p>
        </w:tc>
        <w:tc>
          <w:tcPr>
            <w:tcW w:type="dxa" w:w="2551"/>
            <w:tcMar>
              <w:top w:w="80" w:type="dxa"/>
              <w:start w:w="120" w:type="dxa"/>
              <w:bottom w:w="80" w:type="dxa"/>
              <w:end w:w="120" w:type="dxa"/>
            </w:tcMar>
            <w:vAlign w:val="center"/>
          </w:tcPr>
          <w:p>
            <w:pPr>
              <w:spacing w:before="0" w:after="0" w:line="240" w:lineRule="auto"/>
              <w:jc w:val="left"/>
            </w:pPr>
            <w:r/>
            <w:r>
              <w:rPr>
                <w:rFonts w:ascii="Arial" w:hAnsi="Arial" w:cs="Arial"/>
                <w:sz w:val="18"/>
              </w:rPr>
              <w:t>Recursos generales del sistema de la Seguridad Social. El patrimoni…</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16</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2024, 2025, 2026</w:t>
            </w:r>
          </w:p>
        </w:tc>
      </w:tr>
    </w:tbl>
    <w:p>
      <w:pPr>
        <w:spacing w:after="40"/>
      </w:pPr>
    </w:p>
    <w:p>
      <w:pPr>
        <w:spacing w:after="40"/>
        <w:ind w:left="369" w:hanging="227"/>
      </w:pPr>
      <w:r>
        <w:rPr>
          <w:rFonts w:ascii="Arial" w:hAnsi="Arial" w:cs="Arial"/>
          <w:sz w:val="22"/>
        </w:rPr>
        <w:t xml:space="preserve">1. </w:t>
      </w:r>
      <w:r>
        <w:rPr>
          <w:rFonts w:ascii="Arial" w:hAnsi="Arial" w:cs="Arial"/>
          <w:b/>
          <w:sz w:val="22"/>
        </w:rPr>
        <w:t>Cobertura completa antes que selección extrema.</w:t>
      </w:r>
      <w:r>
        <w:rPr>
          <w:rFonts w:ascii="Arial" w:hAnsi="Arial" w:cs="Arial"/>
          <w:sz w:val="22"/>
        </w:rPr>
        <w:t xml:space="preserve"> Los 36 temas aparecen en el material y una frecuencia baja no equivale a exclusión futura.</w:t>
      </w:r>
    </w:p>
    <w:p>
      <w:pPr>
        <w:spacing w:after="40"/>
        <w:ind w:left="369" w:hanging="227"/>
      </w:pPr>
      <w:r>
        <w:rPr>
          <w:rFonts w:ascii="Arial" w:hAnsi="Arial" w:cs="Arial"/>
          <w:sz w:val="22"/>
        </w:rPr>
        <w:t xml:space="preserve">2. </w:t>
      </w:r>
      <w:r>
        <w:rPr>
          <w:rFonts w:ascii="Arial" w:hAnsi="Arial" w:cs="Arial"/>
          <w:b/>
          <w:sz w:val="22"/>
        </w:rPr>
        <w:t>Prioridad alta al núcleo específico.</w:t>
      </w:r>
      <w:r>
        <w:rPr>
          <w:rFonts w:ascii="Arial" w:hAnsi="Arial" w:cs="Arial"/>
          <w:sz w:val="22"/>
        </w:rPr>
        <w:t xml:space="preserve"> S03–S12 reúnen la mayor densidad de preguntas, cálculos y microcasos. Conviene entrenarlos con revisión espaciada y supuestos cronometrados.</w:t>
      </w:r>
    </w:p>
    <w:p>
      <w:pPr>
        <w:spacing w:after="40"/>
        <w:ind w:left="369" w:hanging="227"/>
      </w:pPr>
      <w:r>
        <w:rPr>
          <w:rFonts w:ascii="Arial" w:hAnsi="Arial" w:cs="Arial"/>
          <w:sz w:val="22"/>
        </w:rPr>
        <w:t xml:space="preserve">3. </w:t>
      </w:r>
      <w:r>
        <w:rPr>
          <w:rFonts w:ascii="Arial" w:hAnsi="Arial" w:cs="Arial"/>
          <w:b/>
          <w:sz w:val="22"/>
        </w:rPr>
        <w:t>Literalidad con contexto.</w:t>
      </w:r>
      <w:r>
        <w:rPr>
          <w:rFonts w:ascii="Arial" w:hAnsi="Arial" w:cs="Arial"/>
          <w:sz w:val="22"/>
        </w:rPr>
        <w:t xml:space="preserve"> Constitución, Ley 39/2015, Ley 40/2015, TREBEP y normativa de Seguridad Social exigen recordar artículo, órgano, plazo y excepción.</w:t>
      </w:r>
    </w:p>
    <w:p>
      <w:pPr>
        <w:spacing w:after="40"/>
        <w:ind w:left="369" w:hanging="227"/>
      </w:pPr>
      <w:r>
        <w:rPr>
          <w:rFonts w:ascii="Arial" w:hAnsi="Arial" w:cs="Arial"/>
          <w:sz w:val="22"/>
        </w:rPr>
        <w:t xml:space="preserve">4. </w:t>
      </w:r>
      <w:r>
        <w:rPr>
          <w:rFonts w:ascii="Arial" w:hAnsi="Arial" w:cs="Arial"/>
          <w:b/>
          <w:sz w:val="22"/>
        </w:rPr>
        <w:t>Reservas incluidas siempre.</w:t>
      </w:r>
      <w:r>
        <w:rPr>
          <w:rFonts w:ascii="Arial" w:hAnsi="Arial" w:cs="Arial"/>
          <w:sz w:val="22"/>
        </w:rPr>
        <w:t xml:space="preserve"> La resolución del examen debe abarcar las preguntas de reserva porque pueden sustituir a anuladas.</w:t>
      </w:r>
    </w:p>
    <w:p>
      <w:pPr>
        <w:spacing w:after="40"/>
        <w:ind w:left="369" w:hanging="227"/>
      </w:pPr>
      <w:r>
        <w:rPr>
          <w:rFonts w:ascii="Arial" w:hAnsi="Arial" w:cs="Arial"/>
          <w:sz w:val="22"/>
        </w:rPr>
        <w:t xml:space="preserve">5. </w:t>
      </w:r>
      <w:r>
        <w:rPr>
          <w:rFonts w:ascii="Arial" w:hAnsi="Arial" w:cs="Arial"/>
          <w:b/>
          <w:sz w:val="22"/>
        </w:rPr>
        <w:t>Control de errores con penalización.</w:t>
      </w:r>
      <w:r>
        <w:rPr>
          <w:rFonts w:ascii="Arial" w:hAnsi="Arial" w:cs="Arial"/>
          <w:sz w:val="22"/>
        </w:rPr>
        <w:t xml:space="preserve"> La convocatoria vigente descuenta un cuarto del valor de una respuesta correcta por cada fallo; la estrategia de intento debe basarse en descarte razonado.</w:t>
      </w:r>
    </w:p>
    <w:p>
      <w:pPr>
        <w:spacing w:after="40"/>
        <w:ind w:left="369" w:hanging="227"/>
      </w:pPr>
      <w:r>
        <w:rPr>
          <w:rFonts w:ascii="Arial" w:hAnsi="Arial" w:cs="Arial"/>
          <w:sz w:val="22"/>
        </w:rPr>
        <w:t xml:space="preserve">6. </w:t>
      </w:r>
      <w:r>
        <w:rPr>
          <w:rFonts w:ascii="Arial" w:hAnsi="Arial" w:cs="Arial"/>
          <w:b/>
          <w:sz w:val="22"/>
        </w:rPr>
        <w:t>Repaso orientado a datos.</w:t>
      </w:r>
      <w:r>
        <w:rPr>
          <w:rFonts w:ascii="Arial" w:hAnsi="Arial" w:cs="Arial"/>
          <w:sz w:val="22"/>
        </w:rPr>
        <w:t xml:space="preserve"> Edades, porcentajes, bases, duraciones y plazos deben separarse en fichas de cifras para reducir confusiones próximas.</w:t>
      </w:r>
    </w:p>
    <w:p>
      <w:pPr>
        <w:spacing w:after="40"/>
        <w:ind w:left="369" w:hanging="227"/>
      </w:pPr>
      <w:r>
        <w:rPr>
          <w:rFonts w:ascii="Arial" w:hAnsi="Arial" w:cs="Arial"/>
          <w:sz w:val="22"/>
        </w:rPr>
        <w:t xml:space="preserve">7. </w:t>
      </w:r>
      <w:r>
        <w:rPr>
          <w:rFonts w:ascii="Arial" w:hAnsi="Arial" w:cs="Arial"/>
          <w:b/>
          <w:sz w:val="22"/>
        </w:rPr>
        <w:t>Revisión normativa fechada.</w:t>
      </w:r>
      <w:r>
        <w:rPr>
          <w:rFonts w:ascii="Arial" w:hAnsi="Arial" w:cs="Arial"/>
          <w:sz w:val="22"/>
        </w:rPr>
        <w:t xml:space="preserve"> Los resultados describen preguntas anteriores. Para responder un examen posterior debe verificarse siempre la norma vigente en la fecha de corte que señale el órgano de selección.</w:t>
      </w:r>
    </w:p>
    <w:p>
      <w:pPr>
        <w:pStyle w:val="Heading1"/>
        <w:keepNext/>
      </w:pPr>
      <w:r>
        <w:rPr>
          <w:rFonts w:ascii="Arial" w:hAnsi="Arial" w:cs="Arial"/>
          <w:sz w:val="30"/>
        </w:rPr>
        <w:t>Limitaciones</w:t>
      </w:r>
    </w:p>
    <w:p>
      <w:pPr>
        <w:pStyle w:val="ListBullet"/>
      </w:pPr>
      <w:r>
        <w:rPr>
          <w:rFonts w:ascii="Arial" w:hAnsi="Arial" w:cs="Arial"/>
          <w:sz w:val="22"/>
        </w:rPr>
        <w:t>El corpus depende de la documentación oficial publicada y conservada en el expediente.</w:t>
      </w:r>
    </w:p>
    <w:p>
      <w:pPr>
        <w:pStyle w:val="ListBullet"/>
      </w:pPr>
      <w:r>
        <w:rPr>
          <w:rFonts w:ascii="Arial" w:hAnsi="Arial" w:cs="Arial"/>
          <w:sz w:val="22"/>
        </w:rPr>
        <w:t>El OCR puede mantener erratas tipográficas de los cuestionarios; las cuatro opciones y la correspondencia de plantilla fueron controladas.</w:t>
      </w:r>
    </w:p>
    <w:p>
      <w:pPr>
        <w:pStyle w:val="ListBullet"/>
      </w:pPr>
      <w:r>
        <w:rPr>
          <w:rFonts w:ascii="Arial" w:hAnsi="Arial" w:cs="Arial"/>
          <w:sz w:val="22"/>
        </w:rPr>
        <w:t>Los modelos equivalentes no se suman dos veces; por ello los recuentos pueden ser inferiores al total de PDF archivados.</w:t>
      </w:r>
    </w:p>
    <w:p>
      <w:pPr>
        <w:pStyle w:val="ListBullet"/>
      </w:pPr>
      <w:r>
        <w:rPr>
          <w:rFonts w:ascii="Arial" w:hAnsi="Arial" w:cs="Arial"/>
          <w:sz w:val="22"/>
        </w:rPr>
        <w:t>Una pregunta transversal se asigna al tema que mejor representa su regla decisiva. El texto, la norma y el artículo permanecen disponibles para reauditar esa decisión.</w:t>
      </w:r>
    </w:p>
    <w:p>
      <w:pPr>
        <w:pStyle w:val="ListBullet"/>
      </w:pPr>
      <w:r>
        <w:rPr>
          <w:rFonts w:ascii="Arial" w:hAnsi="Arial" w:cs="Arial"/>
          <w:sz w:val="22"/>
        </w:rPr>
        <w:t>La frecuencia no mide por sí sola dificultad, valor pedagógico ni probabilidad futura.</w:t>
      </w:r>
    </w:p>
    <w:p>
      <w:pPr>
        <w:pStyle w:val="ListBullet"/>
      </w:pPr>
      <w:r>
        <w:rPr>
          <w:rFonts w:ascii="Arial" w:hAnsi="Arial" w:cs="Arial"/>
          <w:sz w:val="22"/>
        </w:rPr>
        <w:t>Convocatoria vigente, Resolución de 22 de diciembre de 2025: https://www.boe.es/diario_boe/txt.php?id=BOE-A-2025-27158</w:t>
      </w:r>
    </w:p>
    <w:p>
      <w:pPr>
        <w:pStyle w:val="ListBullet"/>
      </w:pPr>
      <w:r>
        <w:rPr>
          <w:rFonts w:ascii="Arial" w:hAnsi="Arial" w:cs="Arial"/>
          <w:sz w:val="22"/>
        </w:rPr>
        <w:t>Corrección de errores de 4 de marzo de 2026: https://www.boe.es/diario_boe/txt.php?id=BOE-A-2026-5351</w:t>
      </w:r>
    </w:p>
    <w:p>
      <w:pPr>
        <w:pStyle w:val="ListBullet"/>
      </w:pPr>
      <w:r>
        <w:rPr>
          <w:rFonts w:ascii="Arial" w:hAnsi="Arial" w:cs="Arial"/>
          <w:sz w:val="22"/>
        </w:rPr>
        <w:t>Portal oficial del proceso selectivo y documentación de examen: https://www.seg-social.es/wps/portal/wss/internet/InformacionUtil/9950/88beb45d-ca83-4bab-8162-f94ef2894562/e0c83707-3358-47a9-94d7-508221dad233</w:t>
      </w:r>
    </w:p>
    <w:p>
      <w:pPr>
        <w:pStyle w:val="ListBullet"/>
      </w:pPr>
      <w:r>
        <w:rPr>
          <w:rFonts w:ascii="Arial" w:hAnsi="Arial" w:cs="Arial"/>
          <w:sz w:val="22"/>
        </w:rPr>
        <w:t>Oferta de Empleo Público de 2026, como referencia separada de la convocatoria vigente: https://boe.es/diario_boe/txt.php?id=BOE-A-2026-9946</w:t>
      </w:r>
    </w:p>
    <w:p>
      <w:pPr>
        <w:jc w:val="both"/>
      </w:pPr>
      <w:r>
        <w:rPr>
          <w:rFonts w:ascii="Arial" w:hAnsi="Arial" w:cs="Arial"/>
          <w:sz w:val="22"/>
        </w:rPr>
        <w:t xml:space="preserve">La base detallada, los filtros, el inventario y los recuentos reproducibles se entregan en </w:t>
      </w:r>
      <w:r>
        <w:rPr>
          <w:rFonts w:ascii="Arial" w:hAnsi="Arial" w:cs="Arial"/>
          <w:b/>
          <w:sz w:val="22"/>
        </w:rPr>
        <w:t>Análisis de exámenes oficiales.xlsx</w:t>
      </w:r>
      <w:r>
        <w:rPr>
          <w:rFonts w:ascii="Arial" w:hAnsi="Arial" w:cs="Arial"/>
          <w:sz w:val="22"/>
        </w:rPr>
        <w:t>.</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Informe de tendencias · Exámenes oficiales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tendencias de exámenes oficiales</dc:title>
  <dc:subject>Cuerpo Administrativo de la Administración de la Seguridad Social, acceso libre</dc:subject>
  <dc:creator>ACADEMIA LORMAN</dc:creator>
  <cp:keywords>Seguridad Social; oposición; C1; exámenes; frecuencia</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