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</w:t>
      </w:r>
    </w:p>
    <w:p>
      <w:r>
        <w:t>AshAway | Software Engineering for CSAI | Group 9 | 9 October 2026 | Version 1.1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AshAway is a proposed wildfire-risk advisor for travellers visiting Greece between May and October. A traveller selects a municipality and travel dates; the system combines historical fire-risk patterns with available fire observations, disruption reports and smoke/air-quality information to communicate a risk level, the evidence behind it and possible lower-risk alternatives. Its purpose is informed travel planning, not emergency routing or a guarantee of safety.</w:t>
      </w:r>
    </w:p>
    <w:p>
      <w:pPr>
        <w:pStyle w:val="Heading2"/>
      </w:pPr>
      <w:r>
        <w:t>1.2 Intended audience</w:t>
      </w:r>
    </w:p>
    <w:p>
      <w:r>
        <w:t>This SRS is intended for the project team, WanderGuard (proposed client), testers and future travel-agency users. It specifies the behaviour that should be verified before a pilot release.</w:t>
      </w:r>
    </w:p>
    <w:p>
      <w:pPr>
        <w:pStyle w:val="Heading2"/>
      </w:pPr>
      <w:r>
        <w:t>1.3 Scope and assumptions</w:t>
      </w:r>
    </w:p>
    <w:p>
      <w:r>
        <w:t>The initial scope is supported Greek municipalities, not all of Europe. The system advises at municipality-day level, while the proposed fire model learns at 1 km cell-day level. Risk forecasts, observed incidents and official warnings must remain clearly distinguishable. The data pipeline is intended to update automatically; external source availability is a dependency.</w:t>
      </w:r>
    </w:p>
    <w:p>
      <w:pPr>
        <w:pStyle w:val="Heading1"/>
      </w:pPr>
      <w:r>
        <w:t>2. User requirements</w:t>
      </w:r>
    </w:p>
    <w:p>
      <w:r>
        <w:t>The following describe outcomes needed by travellers or advisers, not particular algorithms or programming tools. Each can be checked in a user acceptance test.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</w:tcPr>
          <w:p>
            <w:pPr>
              <w:spacing w:after="0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b/>
                <w:sz w:val="16"/>
              </w:rPr>
              <w:t>User need / acceptance outcome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b/>
                <w:sz w:val="16"/>
              </w:rPr>
              <w:t>Task 1 objective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UR1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A traveller can request an assessment for a supported Greek destination and chosen travel dates.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Place- and date-specific advice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UR2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A traveller can understand the destination’s risk level without needing specialist wildfire knowledge.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Flag genuinely affected places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UR3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A traveller can see why the risk level was assigned and when supporting information was recorded.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Explain and date the evidence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UR4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A traveller can tell a forecast apart from a confirmed incident, smoke observation or official warning.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Trustworthy information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UR5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A traveller can discover other supported destinations with lower estimated risk when suitable options exist.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Offer alternatives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UR6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A traveller is warned when evidence is incomplete or too old to support a confident assessment.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Avoid false reassurance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UR7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A travel adviser can compare destinations for the same date range on a consistent basis.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Support trip decisions</w:t>
            </w:r>
          </w:p>
        </w:tc>
      </w:tr>
    </w:tbl>
    <w:p>
      <w:pPr>
        <w:pStyle w:val="Heading1"/>
      </w:pPr>
      <w:r>
        <w:t>3. System requirements</w:t>
      </w:r>
    </w:p>
    <w:p>
      <w:pPr>
        <w:pStyle w:val="Heading2"/>
      </w:pPr>
      <w:r>
        <w:t>3.1 Functional requirements</w:t>
      </w:r>
    </w:p>
    <w:p>
      <w:r>
        <w:t>Must = required for pilot; Should = planned if data and development time permit. [AI] identifies a function relying on a trained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</w:tcPr>
          <w:p>
            <w:pPr>
              <w:spacing w:after="0"/>
            </w:pPr>
            <w:r>
              <w:rPr>
                <w:b/>
                <w:sz w:val="16"/>
              </w:rPr>
              <w:t>ID / Priority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b/>
                <w:sz w:val="16"/>
              </w:rPr>
              <w:t>Required system action and observable result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b/>
                <w:sz w:val="16"/>
              </w:rPr>
              <w:t>Linked user need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FR1 / Must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Accept municipality, start date and end date; reject invalid intervals or unsupported places with an explanation.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UR1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FR2 / Must [AI]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Generate low/medium/high risk per supported municipality and requested day, with query dates and generation time displayed.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UR2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FR3 / Must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Retrieve available fire, air-quality and disruption feeds automatically and show each displayed item’s source and timestamp.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UR3–4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FR4 / Must [AI]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Explain the main signals contributing to the assessment using only evidence available for that location and period.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UR3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FR5 / Must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Flag missing, stale or conflicting inputs; show “insufficient evidence” instead of an unqualified low-risk result when critical sources are absent.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UR6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FR6 / Should [AI]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Offer lower-risk alternatives for the same dates, ranked only among destinations with adequate comparable coverage.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UR5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FR7 / Should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Show a comparison of at least two destinations including risk, evidence recency and data coverage.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UR7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FR8 / Must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Label forecast, observation and official alert separately; link to official warnings when a link is available.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UR4</w:t>
            </w:r>
          </w:p>
        </w:tc>
      </w:tr>
    </w:tbl>
    <w:p>
      <w:pPr>
        <w:pStyle w:val="Heading2"/>
      </w:pPr>
      <w:r>
        <w:t>3.2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</w:tcPr>
          <w:p>
            <w:pPr>
              <w:spacing w:after="0"/>
            </w:pPr>
            <w:r>
              <w:rPr>
                <w:b/>
                <w:sz w:val="16"/>
              </w:rPr>
              <w:t>ID / Category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b/>
                <w:sz w:val="16"/>
              </w:rPr>
              <w:t>Constraint / verification criterion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b/>
                <w:sz w:val="16"/>
              </w:rPr>
              <w:t>Related function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NFR1 / Speed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In pilot testing, at least 95% of cached assessments shall display within 5 seconds; otherwise show progress or an error.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FR1–2, FR7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NFR2 / Data quality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Data ingestion shall record raw and cleaned row counts, removed duplicates, missing-value rates, feature count and file size (MB/GB) for each training dataset version.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FR2–3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NFR3 / Input/output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Automated updates shall log retrieval time, source failures and generated output; user input shall be municipality and dates, and output risk, explanation, evidence age and optional alternatives.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FR1–6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NFR4 / Traceability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Each displayed observation shall carry source and observation time; each prediction shall be reproducible from a model version and data snapshot.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FR2–4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NFR5 / Resilience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A failed external feed shall be marked unavailable; no values or incidents shall be fabricated or silently treated as zero.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FR3–5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NFR6 / Usability &amp; safety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Risk categories shall be described in words as well as colours, and every result shall state that it does not replace official safety advice.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FR2–8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NFR7 / Privacy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A basic query shall not require an account; identifiable travel histories shall not be stored by default.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FR1, FR7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NFR8 / Evaluation [AI]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The training record shall report train/dev/test counts and percentages, model alternatives, features, recall, precision, F2, AUPRC, calibration, training duration and inference latency.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FR2, FR4, FR6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NFR9 / Validation [AI]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The evaluation shall use held-out years rather than random neighbouring cell splits; alert thresholds shall be tuned on dev data to prioritise recall.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FR2, FR6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NFR10 / Scope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Unsupported municipalities or dates beyond available coverage shall produce an explicit limitation message.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sz w:val="16"/>
              </w:rPr>
              <w:t>FR1–2</w:t>
            </w:r>
          </w:p>
        </w:tc>
      </w:tr>
    </w:tbl>
    <w:p>
      <w:pPr>
        <w:pStyle w:val="Heading1"/>
      </w:pPr>
      <w:r>
        <w:t>4. AI-specific requirements</w:t>
      </w:r>
    </w:p>
    <w:p>
      <w:r>
        <w:t>AI1 — Fire prediction (FR2; NFR8–9): The initial candidate is XGBoost for mixed weather, vegetation, terrain and human-activity variables. Compare against a Fire Weather Index baseline and at least one alternative (e.g. random forest). Model selection shall use held-out results and practical training/inference cost, not complexity alone.</w:t>
      </w:r>
    </w:p>
    <w:p>
      <w:r>
        <w:t>AI2 — Training evidence (NFR2, NFR8–9): Record whether sample counts refer to raw or cleaned data, dataset size in MB/GB, number of usable features, class distribution and exact split percentages. The proposed Mesogeos Track A dataset has 25,722 published samples; this is a source figure, not a verified post-cleaning count. Training statistics must be filled from actual experiments; no training run or score is claimed in this SRS.</w:t>
      </w:r>
    </w:p>
    <w:p>
      <w:r>
        <w:t>AI3 — Explainability and uncertainty (FR4–5): Model explanations shall reflect available inputs, never present a predicted fire as a confirmed event, and disclose absent or outdated evidence. The final municipality-level risk fusion must be evaluated separately from the cell-level predictor.</w:t>
      </w:r>
    </w:p>
    <w:p>
      <w:r>
        <w:t>AI4 — Recommendations (FR6): Alternatives shall be compared for identical travel dates and adequate source coverage. A lower predicted score shall not be described as proof of safety.</w:t>
      </w:r>
    </w:p>
    <w:sectPr w:rsidR="00FC693F" w:rsidRPr="0006063C" w:rsidSect="00034616">
      <w:pgSz w:w="12240" w:h="15840"/>
      <w:pgMar w:top="835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