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1F116" w14:textId="77777777" w:rsidR="0049716D" w:rsidRPr="00365464" w:rsidRDefault="00365464">
      <w:pPr>
        <w:spacing w:after="100"/>
        <w:jc w:val="center"/>
      </w:pPr>
      <w:r w:rsidRPr="00365464">
        <w:rPr>
          <w:rFonts w:ascii="Arial" w:eastAsia="Arial" w:hAnsi="Arial" w:cs="Arial"/>
          <w:b/>
          <w:bCs/>
          <w:sz w:val="28"/>
          <w:szCs w:val="28"/>
        </w:rPr>
        <w:t>Modelo de enseñanza-aprendizaje basado en una metodología de integración de estrategias bioclimáticas en el proceso de diseño a través de BIM</w:t>
      </w:r>
    </w:p>
    <w:p w14:paraId="5781F118" w14:textId="77777777" w:rsidR="0049716D" w:rsidRPr="00365464" w:rsidRDefault="00365464">
      <w:pPr>
        <w:spacing w:after="15"/>
        <w:jc w:val="center"/>
      </w:pPr>
      <w:r w:rsidRPr="00365464">
        <w:rPr>
          <w:rFonts w:ascii="Arial" w:eastAsia="Arial" w:hAnsi="Arial" w:cs="Arial"/>
          <w:sz w:val="22"/>
          <w:szCs w:val="22"/>
        </w:rPr>
        <w:t>David Volkmar Vélez</w:t>
      </w:r>
    </w:p>
    <w:p w14:paraId="5781F119" w14:textId="77777777" w:rsidR="0049716D" w:rsidRPr="00365464" w:rsidRDefault="00365464">
      <w:pPr>
        <w:spacing w:after="15"/>
        <w:jc w:val="center"/>
      </w:pPr>
      <w:r w:rsidRPr="00365464">
        <w:rPr>
          <w:rFonts w:ascii="Arial" w:eastAsia="Arial" w:hAnsi="Arial" w:cs="Arial"/>
          <w:sz w:val="22"/>
          <w:szCs w:val="22"/>
        </w:rPr>
        <w:t>Doctorado en Ingeniería - Sistemas e Informática</w:t>
      </w:r>
    </w:p>
    <w:p w14:paraId="5781F11A" w14:textId="77777777" w:rsidR="0049716D" w:rsidRPr="00365464" w:rsidRDefault="00365464">
      <w:pPr>
        <w:spacing w:after="200"/>
        <w:jc w:val="center"/>
      </w:pPr>
      <w:r w:rsidRPr="00365464">
        <w:rPr>
          <w:rFonts w:ascii="Arial" w:eastAsia="Arial" w:hAnsi="Arial" w:cs="Arial"/>
          <w:sz w:val="22"/>
          <w:szCs w:val="22"/>
        </w:rPr>
        <w:t>Universidad Nacional de Colombia, Sede Medellín (Facultad de Minas)</w:t>
      </w:r>
    </w:p>
    <w:p w14:paraId="5781F11B" w14:textId="77777777" w:rsidR="0049716D" w:rsidRPr="00365464" w:rsidRDefault="00365464">
      <w:pPr>
        <w:pStyle w:val="Heading1"/>
        <w:spacing w:before="140" w:after="80"/>
        <w:rPr>
          <w:lang w:val="es-CO"/>
        </w:rPr>
      </w:pPr>
      <w:r w:rsidRPr="00365464">
        <w:rPr>
          <w:rFonts w:ascii="Arial" w:eastAsia="Arial" w:hAnsi="Arial" w:cs="Arial"/>
          <w:b/>
          <w:bCs/>
          <w:sz w:val="26"/>
          <w:szCs w:val="26"/>
          <w:lang w:val="es-CO"/>
        </w:rPr>
        <w:t>1. Introducción</w:t>
      </w:r>
    </w:p>
    <w:p w14:paraId="5781F11C" w14:textId="303794C8" w:rsidR="0049716D" w:rsidRPr="00365464" w:rsidRDefault="004D7D35">
      <w:pPr>
        <w:spacing w:after="100"/>
        <w:jc w:val="both"/>
      </w:pPr>
      <w:r>
        <w:rPr>
          <w:rFonts w:ascii="Arial" w:eastAsia="Arial" w:hAnsi="Arial" w:cs="Arial"/>
          <w:sz w:val="24"/>
          <w:szCs w:val="24"/>
        </w:rPr>
        <w:t>La aplicación de estrategias bioclimáticas en la arquitectura continúa dependiendo, tanto en el ejercicio profesional como en la capacitación de nuevos diseñadores, de un sistema de comprobación tardía: la simulación del entorno se lleva a cabo tras tomar las decisiones formales fundamentales de orientación, volumetría y proporción. Este patrón, validado en Colombia a través de diecinueve entrevistas a asesores y diseñadores bioclimáticos (Volkmar Vélez, 2024) y corroborado de manera independiente en la literatura internacional (</w:t>
      </w:r>
      <w:proofErr w:type="spellStart"/>
      <w:r>
        <w:rPr>
          <w:rFonts w:ascii="Arial" w:eastAsia="Arial" w:hAnsi="Arial" w:cs="Arial"/>
          <w:sz w:val="24"/>
          <w:szCs w:val="24"/>
        </w:rPr>
        <w:t>Pompei</w:t>
      </w:r>
      <w:proofErr w:type="spellEnd"/>
      <w:r>
        <w:rPr>
          <w:rFonts w:ascii="Arial" w:eastAsia="Arial" w:hAnsi="Arial" w:cs="Arial"/>
          <w:sz w:val="24"/>
          <w:szCs w:val="24"/>
        </w:rPr>
        <w:t xml:space="preserve"> et al., 2019; </w:t>
      </w:r>
      <w:proofErr w:type="spellStart"/>
      <w:r>
        <w:rPr>
          <w:rFonts w:ascii="Arial" w:eastAsia="Arial" w:hAnsi="Arial" w:cs="Arial"/>
          <w:sz w:val="24"/>
          <w:szCs w:val="24"/>
        </w:rPr>
        <w:t>Elzeyadi</w:t>
      </w:r>
      <w:proofErr w:type="spellEnd"/>
      <w:r>
        <w:rPr>
          <w:rFonts w:ascii="Arial" w:eastAsia="Arial" w:hAnsi="Arial" w:cs="Arial"/>
          <w:sz w:val="24"/>
          <w:szCs w:val="24"/>
        </w:rPr>
        <w:t xml:space="preserve"> &amp; </w:t>
      </w:r>
      <w:proofErr w:type="spellStart"/>
      <w:r>
        <w:rPr>
          <w:rFonts w:ascii="Arial" w:eastAsia="Arial" w:hAnsi="Arial" w:cs="Arial"/>
          <w:sz w:val="24"/>
          <w:szCs w:val="24"/>
        </w:rPr>
        <w:t>Abboushi</w:t>
      </w:r>
      <w:proofErr w:type="spellEnd"/>
      <w:r>
        <w:rPr>
          <w:rFonts w:ascii="Arial" w:eastAsia="Arial" w:hAnsi="Arial" w:cs="Arial"/>
          <w:sz w:val="24"/>
          <w:szCs w:val="24"/>
        </w:rPr>
        <w:t>, 2020; Fernández-</w:t>
      </w:r>
      <w:proofErr w:type="spellStart"/>
      <w:r>
        <w:rPr>
          <w:rFonts w:ascii="Arial" w:eastAsia="Arial" w:hAnsi="Arial" w:cs="Arial"/>
          <w:sz w:val="24"/>
          <w:szCs w:val="24"/>
        </w:rPr>
        <w:t>Antolin</w:t>
      </w:r>
      <w:proofErr w:type="spellEnd"/>
      <w:r>
        <w:rPr>
          <w:rFonts w:ascii="Arial" w:eastAsia="Arial" w:hAnsi="Arial" w:cs="Arial"/>
          <w:sz w:val="24"/>
          <w:szCs w:val="24"/>
        </w:rPr>
        <w:t xml:space="preserve"> et al., 2022), obstaculiza la capacidad de aprovechar el momento de mayor impacto en el rendimiento ambiental del edificio, conforme a la curva de esfuerzo de diseño (</w:t>
      </w:r>
      <w:proofErr w:type="spellStart"/>
      <w:r>
        <w:rPr>
          <w:rFonts w:ascii="Arial" w:eastAsia="Arial" w:hAnsi="Arial" w:cs="Arial"/>
          <w:sz w:val="24"/>
          <w:szCs w:val="24"/>
        </w:rPr>
        <w:t>Construction</w:t>
      </w:r>
      <w:proofErr w:type="spellEnd"/>
      <w:r>
        <w:rPr>
          <w:rFonts w:ascii="Arial" w:eastAsia="Arial" w:hAnsi="Arial" w:cs="Arial"/>
          <w:sz w:val="24"/>
          <w:szCs w:val="24"/>
        </w:rPr>
        <w:t xml:space="preserve"> </w:t>
      </w:r>
      <w:proofErr w:type="spellStart"/>
      <w:r>
        <w:rPr>
          <w:rFonts w:ascii="Arial" w:eastAsia="Arial" w:hAnsi="Arial" w:cs="Arial"/>
          <w:sz w:val="24"/>
          <w:szCs w:val="24"/>
        </w:rPr>
        <w:t>Users</w:t>
      </w:r>
      <w:proofErr w:type="spellEnd"/>
      <w:r>
        <w:rPr>
          <w:rFonts w:ascii="Arial" w:eastAsia="Arial" w:hAnsi="Arial" w:cs="Arial"/>
          <w:sz w:val="24"/>
          <w:szCs w:val="24"/>
        </w:rPr>
        <w:t xml:space="preserve"> </w:t>
      </w:r>
      <w:proofErr w:type="spellStart"/>
      <w:r>
        <w:rPr>
          <w:rFonts w:ascii="Arial" w:eastAsia="Arial" w:hAnsi="Arial" w:cs="Arial"/>
          <w:sz w:val="24"/>
          <w:szCs w:val="24"/>
        </w:rPr>
        <w:t>Roundtable</w:t>
      </w:r>
      <w:proofErr w:type="spellEnd"/>
      <w:r>
        <w:rPr>
          <w:rFonts w:ascii="Arial" w:eastAsia="Arial" w:hAnsi="Arial" w:cs="Arial"/>
          <w:sz w:val="24"/>
          <w:szCs w:val="24"/>
        </w:rPr>
        <w:t xml:space="preserve"> [CURT], 2004). En Colombia, un 44,4 % de los arquitectos se dedica a temas bioclimáticos, mientras que un 20,0 % se dedica al BIM (Consejo Profesional Nacional de Arquitectura y sus Profesiones Auxiliares [CPNAA], 2018). En el contexto de la Estrategia Nacional BIM 2020-2026 (Gobierno de Colombia, 2020), la necesidad de cerrar esta brecha reviste una importancia particular</w:t>
      </w:r>
      <w:r w:rsidR="00365464" w:rsidRPr="00365464">
        <w:rPr>
          <w:rFonts w:ascii="Arial" w:eastAsia="Arial" w:hAnsi="Arial" w:cs="Arial"/>
          <w:sz w:val="24"/>
          <w:szCs w:val="24"/>
        </w:rPr>
        <w:t>.</w:t>
      </w:r>
    </w:p>
    <w:p w14:paraId="2821A9E4" w14:textId="77777777" w:rsidR="009B0B2B" w:rsidRPr="009B0B2B" w:rsidRDefault="009B0B2B" w:rsidP="009B0B2B">
      <w:pPr>
        <w:spacing w:after="100"/>
        <w:jc w:val="both"/>
        <w:rPr>
          <w:rFonts w:ascii="Arial" w:eastAsia="Arial" w:hAnsi="Arial" w:cs="Arial"/>
          <w:sz w:val="24"/>
          <w:szCs w:val="24"/>
        </w:rPr>
      </w:pPr>
      <w:r w:rsidRPr="009B0B2B">
        <w:rPr>
          <w:rFonts w:ascii="Arial" w:eastAsia="Arial" w:hAnsi="Arial" w:cs="Arial"/>
          <w:sz w:val="24"/>
          <w:szCs w:val="24"/>
        </w:rPr>
        <w:t>Esta desconexión no solo es sobre métodos, sino también sobre tecnología: las herramientas de modelado de información para la construcción (</w:t>
      </w:r>
      <w:proofErr w:type="spellStart"/>
      <w:r w:rsidRPr="009B0B2B">
        <w:rPr>
          <w:rFonts w:ascii="Arial" w:eastAsia="Arial" w:hAnsi="Arial" w:cs="Arial"/>
          <w:sz w:val="24"/>
          <w:szCs w:val="24"/>
        </w:rPr>
        <w:t>Building</w:t>
      </w:r>
      <w:proofErr w:type="spellEnd"/>
      <w:r w:rsidRPr="009B0B2B">
        <w:rPr>
          <w:rFonts w:ascii="Arial" w:eastAsia="Arial" w:hAnsi="Arial" w:cs="Arial"/>
          <w:sz w:val="24"/>
          <w:szCs w:val="24"/>
        </w:rPr>
        <w:t xml:space="preserve"> </w:t>
      </w:r>
      <w:proofErr w:type="spellStart"/>
      <w:r w:rsidRPr="009B0B2B">
        <w:rPr>
          <w:rFonts w:ascii="Arial" w:eastAsia="Arial" w:hAnsi="Arial" w:cs="Arial"/>
          <w:sz w:val="24"/>
          <w:szCs w:val="24"/>
        </w:rPr>
        <w:t>Information</w:t>
      </w:r>
      <w:proofErr w:type="spellEnd"/>
      <w:r w:rsidRPr="009B0B2B">
        <w:rPr>
          <w:rFonts w:ascii="Arial" w:eastAsia="Arial" w:hAnsi="Arial" w:cs="Arial"/>
          <w:sz w:val="24"/>
          <w:szCs w:val="24"/>
        </w:rPr>
        <w:t xml:space="preserve"> </w:t>
      </w:r>
      <w:proofErr w:type="spellStart"/>
      <w:r w:rsidRPr="009B0B2B">
        <w:rPr>
          <w:rFonts w:ascii="Arial" w:eastAsia="Arial" w:hAnsi="Arial" w:cs="Arial"/>
          <w:sz w:val="24"/>
          <w:szCs w:val="24"/>
        </w:rPr>
        <w:t>Modeling</w:t>
      </w:r>
      <w:proofErr w:type="spellEnd"/>
      <w:r w:rsidRPr="009B0B2B">
        <w:rPr>
          <w:rFonts w:ascii="Arial" w:eastAsia="Arial" w:hAnsi="Arial" w:cs="Arial"/>
          <w:sz w:val="24"/>
          <w:szCs w:val="24"/>
        </w:rPr>
        <w:t>, BIM) no proporcionan de manera directa un análisis bioclimático integrado. Por otro lado, las herramientas de simulación ambiental trabajan por separado y requieren que se reconstruya el modelo arquitectónico en cada revisión (Martín Dorta et al., 2014; Gao et al., 2019).</w:t>
      </w:r>
    </w:p>
    <w:p w14:paraId="485FC6B5" w14:textId="77777777" w:rsidR="009B0B2B" w:rsidRDefault="009B0B2B" w:rsidP="009B0B2B">
      <w:pPr>
        <w:spacing w:after="100"/>
        <w:jc w:val="both"/>
      </w:pPr>
      <w:r>
        <w:rPr>
          <w:rFonts w:ascii="Arial" w:eastAsia="Arial" w:hAnsi="Arial" w:cs="Arial"/>
          <w:sz w:val="24"/>
          <w:szCs w:val="24"/>
        </w:rPr>
        <w:t xml:space="preserve">El componente central de esta tesis doctoral no es una herramienta ni un puente técnico, sino un modelo de enseñanza-aprendizaje: BIOBIM. Su antecedente profesional (Volkmar Vélez, 2024) definió y validó, mediante un caso de estudio único (vivienda </w:t>
      </w:r>
      <w:proofErr w:type="spellStart"/>
      <w:r>
        <w:rPr>
          <w:rFonts w:ascii="Arial" w:eastAsia="Arial" w:hAnsi="Arial" w:cs="Arial"/>
          <w:sz w:val="24"/>
          <w:szCs w:val="24"/>
        </w:rPr>
        <w:t>Coocon</w:t>
      </w:r>
      <w:proofErr w:type="spellEnd"/>
      <w:r>
        <w:rPr>
          <w:rFonts w:ascii="Arial" w:eastAsia="Arial" w:hAnsi="Arial" w:cs="Arial"/>
          <w:sz w:val="24"/>
          <w:szCs w:val="24"/>
        </w:rPr>
        <w:t>, Guatapé), la estructura general de trabajo y la viabilidad de ajustar decisiones bioclimáticas sin reconstruir el modelo, pero esa validación fue exclusivamente técnica y profesional: no involucró estudiantes, no midió resultados de aprendizaje y no contó con grupo de control. Esta disertación toma ese modelo general como su núcleo y lo envuelve en un conjunto de herramientas de andamiaje cognitivo (</w:t>
      </w:r>
      <w:proofErr w:type="spellStart"/>
      <w:r w:rsidRPr="009B0B2B">
        <w:rPr>
          <w:rFonts w:ascii="Arial" w:eastAsia="Arial" w:hAnsi="Arial" w:cs="Arial"/>
          <w:b/>
          <w:bCs/>
          <w:sz w:val="24"/>
          <w:szCs w:val="24"/>
        </w:rPr>
        <w:t>scaffolding</w:t>
      </w:r>
      <w:proofErr w:type="spellEnd"/>
      <w:r>
        <w:rPr>
          <w:rFonts w:ascii="Arial" w:eastAsia="Arial" w:hAnsi="Arial" w:cs="Arial"/>
          <w:sz w:val="24"/>
          <w:szCs w:val="24"/>
        </w:rPr>
        <w:t xml:space="preserve">: el respaldo temporal y flexible que un mentor o una herramienta brinda al alumno mientras desarrolla una habilidad, retirándose gradualmente conforme se consolida) diseñadas específicamente para la </w:t>
      </w:r>
      <w:r>
        <w:rPr>
          <w:rFonts w:ascii="Arial" w:eastAsia="Arial" w:hAnsi="Arial" w:cs="Arial"/>
          <w:sz w:val="24"/>
          <w:szCs w:val="24"/>
        </w:rPr>
        <w:lastRenderedPageBreak/>
        <w:t xml:space="preserve">enseñanza, sometiéndolo a una validación </w:t>
      </w:r>
      <w:proofErr w:type="spellStart"/>
      <w:r>
        <w:rPr>
          <w:rFonts w:ascii="Arial" w:eastAsia="Arial" w:hAnsi="Arial" w:cs="Arial"/>
          <w:sz w:val="24"/>
          <w:szCs w:val="24"/>
        </w:rPr>
        <w:t>cuasi-experimental</w:t>
      </w:r>
      <w:proofErr w:type="spellEnd"/>
      <w:r>
        <w:rPr>
          <w:rFonts w:ascii="Arial" w:eastAsia="Arial" w:hAnsi="Arial" w:cs="Arial"/>
          <w:sz w:val="24"/>
          <w:szCs w:val="24"/>
        </w:rPr>
        <w:t xml:space="preserve"> con alumnos reales.</w:t>
      </w:r>
    </w:p>
    <w:p w14:paraId="378914E0" w14:textId="77777777" w:rsidR="009B0B2B" w:rsidRDefault="009B0B2B" w:rsidP="009B0B2B">
      <w:pPr>
        <w:spacing w:after="100"/>
        <w:jc w:val="both"/>
      </w:pPr>
      <w:r>
        <w:rPr>
          <w:rFonts w:ascii="Arial" w:eastAsia="Arial" w:hAnsi="Arial" w:cs="Arial"/>
          <w:sz w:val="24"/>
          <w:szCs w:val="24"/>
        </w:rPr>
        <w:t xml:space="preserve">BIOBIM organiza el proceso de diseño en tres etapas cíclicas, aplicadas a lo largo de las fases del proyecto arquitectónico (prefactibilidad, idea básica, anteproyecto y proyecto): Descripción del proyecto, formulación de estrategias y montaje y validación del proyecto. La Tabla 1 realiza una comparación etapa por etapa entre el diseño bioclimático tradicional y el diseño </w:t>
      </w:r>
      <w:proofErr w:type="spellStart"/>
      <w:r>
        <w:rPr>
          <w:rFonts w:ascii="Arial" w:eastAsia="Arial" w:hAnsi="Arial" w:cs="Arial"/>
          <w:sz w:val="24"/>
          <w:szCs w:val="24"/>
        </w:rPr>
        <w:t>bioBIM</w:t>
      </w:r>
      <w:proofErr w:type="spellEnd"/>
      <w:r>
        <w:rPr>
          <w:rFonts w:ascii="Arial" w:eastAsia="Arial" w:hAnsi="Arial" w:cs="Arial"/>
          <w:sz w:val="24"/>
          <w:szCs w:val="24"/>
        </w:rPr>
        <w:t>, indicando en qué momento se presenta cada tipo de herramienta de apoyo.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3"/>
        <w:gridCol w:w="3092"/>
        <w:gridCol w:w="3092"/>
      </w:tblGrid>
      <w:tr w:rsidR="0049716D" w:rsidRPr="00365464" w14:paraId="5781F123" w14:textId="77777777">
        <w:trPr>
          <w:tblHeader/>
        </w:trPr>
        <w:tc>
          <w:tcPr>
            <w:tcW w:w="1100" w:type="pct"/>
            <w:tcBorders>
              <w:top w:val="single" w:sz="4" w:space="0" w:color="999999"/>
              <w:left w:val="single" w:sz="4" w:space="0" w:color="999999"/>
              <w:bottom w:val="single" w:sz="4" w:space="0" w:color="999999"/>
              <w:right w:val="single" w:sz="4" w:space="0" w:color="999999"/>
            </w:tcBorders>
            <w:shd w:val="clear" w:color="auto" w:fill="E0E0E0"/>
            <w:tcMar>
              <w:top w:w="40" w:type="dxa"/>
              <w:left w:w="60" w:type="dxa"/>
              <w:bottom w:w="40" w:type="dxa"/>
              <w:right w:w="60" w:type="dxa"/>
            </w:tcMar>
            <w:vAlign w:val="center"/>
          </w:tcPr>
          <w:p w14:paraId="5781F120" w14:textId="77777777" w:rsidR="0049716D" w:rsidRPr="00365464" w:rsidRDefault="00365464">
            <w:pPr>
              <w:spacing w:after="40"/>
              <w:rPr>
                <w:sz w:val="16"/>
                <w:szCs w:val="16"/>
              </w:rPr>
            </w:pPr>
            <w:r w:rsidRPr="00365464">
              <w:rPr>
                <w:rFonts w:ascii="Arial" w:eastAsia="Arial" w:hAnsi="Arial" w:cs="Arial"/>
                <w:b/>
                <w:bCs/>
                <w:sz w:val="16"/>
                <w:szCs w:val="16"/>
              </w:rPr>
              <w:t>Etapa del proyecto</w:t>
            </w:r>
          </w:p>
        </w:tc>
        <w:tc>
          <w:tcPr>
            <w:tcW w:w="1950" w:type="pct"/>
            <w:tcBorders>
              <w:top w:val="single" w:sz="4" w:space="0" w:color="999999"/>
              <w:left w:val="single" w:sz="4" w:space="0" w:color="999999"/>
              <w:bottom w:val="single" w:sz="4" w:space="0" w:color="999999"/>
              <w:right w:val="single" w:sz="4" w:space="0" w:color="999999"/>
            </w:tcBorders>
            <w:shd w:val="clear" w:color="auto" w:fill="E0E0E0"/>
            <w:tcMar>
              <w:top w:w="40" w:type="dxa"/>
              <w:left w:w="60" w:type="dxa"/>
              <w:bottom w:w="40" w:type="dxa"/>
              <w:right w:w="60" w:type="dxa"/>
            </w:tcMar>
            <w:vAlign w:val="center"/>
          </w:tcPr>
          <w:p w14:paraId="5781F121" w14:textId="77777777" w:rsidR="0049716D" w:rsidRPr="00365464" w:rsidRDefault="00365464">
            <w:pPr>
              <w:spacing w:after="40"/>
              <w:rPr>
                <w:sz w:val="16"/>
                <w:szCs w:val="16"/>
              </w:rPr>
            </w:pPr>
            <w:r w:rsidRPr="00365464">
              <w:rPr>
                <w:rFonts w:ascii="Arial" w:eastAsia="Arial" w:hAnsi="Arial" w:cs="Arial"/>
                <w:b/>
                <w:bCs/>
                <w:sz w:val="16"/>
                <w:szCs w:val="16"/>
              </w:rPr>
              <w:t>Proceso tradicional (sin BIOBIM)</w:t>
            </w:r>
          </w:p>
        </w:tc>
        <w:tc>
          <w:tcPr>
            <w:tcW w:w="1950" w:type="pct"/>
            <w:tcBorders>
              <w:top w:val="single" w:sz="4" w:space="0" w:color="999999"/>
              <w:left w:val="single" w:sz="4" w:space="0" w:color="999999"/>
              <w:bottom w:val="single" w:sz="4" w:space="0" w:color="999999"/>
              <w:right w:val="single" w:sz="4" w:space="0" w:color="999999"/>
            </w:tcBorders>
            <w:shd w:val="clear" w:color="auto" w:fill="E0E0E0"/>
            <w:tcMar>
              <w:top w:w="40" w:type="dxa"/>
              <w:left w:w="60" w:type="dxa"/>
              <w:bottom w:w="40" w:type="dxa"/>
              <w:right w:w="60" w:type="dxa"/>
            </w:tcMar>
            <w:vAlign w:val="center"/>
          </w:tcPr>
          <w:p w14:paraId="5781F122" w14:textId="77777777" w:rsidR="0049716D" w:rsidRPr="00365464" w:rsidRDefault="00365464">
            <w:pPr>
              <w:spacing w:after="40"/>
              <w:rPr>
                <w:sz w:val="16"/>
                <w:szCs w:val="16"/>
              </w:rPr>
            </w:pPr>
            <w:r w:rsidRPr="00365464">
              <w:rPr>
                <w:rFonts w:ascii="Arial" w:eastAsia="Arial" w:hAnsi="Arial" w:cs="Arial"/>
                <w:b/>
                <w:bCs/>
                <w:sz w:val="16"/>
                <w:szCs w:val="16"/>
              </w:rPr>
              <w:t>Proceso con BIOBIM (herramientas y momento de aparición)</w:t>
            </w:r>
          </w:p>
        </w:tc>
      </w:tr>
      <w:tr w:rsidR="0049716D" w:rsidRPr="00365464" w14:paraId="5781F127" w14:textId="77777777">
        <w:tc>
          <w:tcPr>
            <w:tcW w:w="11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24" w14:textId="77777777" w:rsidR="0049716D" w:rsidRPr="00365464" w:rsidRDefault="00365464">
            <w:pPr>
              <w:spacing w:after="40"/>
              <w:rPr>
                <w:sz w:val="16"/>
                <w:szCs w:val="16"/>
              </w:rPr>
            </w:pPr>
            <w:r w:rsidRPr="00365464">
              <w:rPr>
                <w:rFonts w:ascii="Arial" w:eastAsia="Arial" w:hAnsi="Arial" w:cs="Arial"/>
                <w:sz w:val="16"/>
                <w:szCs w:val="16"/>
              </w:rPr>
              <w:t>1. Requerimientos del proyecto (Prefactibilidad)</w:t>
            </w:r>
          </w:p>
        </w:tc>
        <w:tc>
          <w:tcPr>
            <w:tcW w:w="195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25" w14:textId="77777777" w:rsidR="0049716D" w:rsidRPr="00365464" w:rsidRDefault="00365464">
            <w:pPr>
              <w:spacing w:after="40"/>
              <w:rPr>
                <w:sz w:val="16"/>
                <w:szCs w:val="16"/>
              </w:rPr>
            </w:pPr>
            <w:r w:rsidRPr="00365464">
              <w:rPr>
                <w:rFonts w:ascii="Arial" w:eastAsia="Arial" w:hAnsi="Arial" w:cs="Arial"/>
                <w:sz w:val="16"/>
                <w:szCs w:val="16"/>
              </w:rPr>
              <w:t>Se evalúa la ocupación del lote según normativa y criterio empírico del equipo; el clima se considera de forma general, sin un análisis climático sistemático del sitio.</w:t>
            </w:r>
          </w:p>
        </w:tc>
        <w:tc>
          <w:tcPr>
            <w:tcW w:w="195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26" w14:textId="77777777" w:rsidR="0049716D" w:rsidRPr="00365464" w:rsidRDefault="00365464">
            <w:pPr>
              <w:spacing w:after="40"/>
              <w:rPr>
                <w:sz w:val="16"/>
                <w:szCs w:val="16"/>
              </w:rPr>
            </w:pPr>
            <w:r w:rsidRPr="00365464">
              <w:rPr>
                <w:rFonts w:ascii="Arial" w:eastAsia="Arial" w:hAnsi="Arial" w:cs="Arial"/>
                <w:sz w:val="16"/>
                <w:szCs w:val="16"/>
              </w:rPr>
              <w:t>Se analiza el clima del sitio (temperatura, humedad, viento, radiación solar) de forma sistemática desde el inicio, mediante una herramienta de análisis climático, antes de definir la forma del proyecto.</w:t>
            </w:r>
          </w:p>
        </w:tc>
      </w:tr>
      <w:tr w:rsidR="0049716D" w:rsidRPr="00365464" w14:paraId="5781F12B" w14:textId="77777777">
        <w:tc>
          <w:tcPr>
            <w:tcW w:w="11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28" w14:textId="77777777" w:rsidR="0049716D" w:rsidRPr="00365464" w:rsidRDefault="00365464">
            <w:pPr>
              <w:spacing w:after="40"/>
              <w:rPr>
                <w:sz w:val="16"/>
                <w:szCs w:val="16"/>
              </w:rPr>
            </w:pPr>
            <w:r w:rsidRPr="00365464">
              <w:rPr>
                <w:rFonts w:ascii="Arial" w:eastAsia="Arial" w:hAnsi="Arial" w:cs="Arial"/>
                <w:sz w:val="16"/>
                <w:szCs w:val="16"/>
              </w:rPr>
              <w:t>2. Definición de estrategias (Idea básica)</w:t>
            </w:r>
          </w:p>
        </w:tc>
        <w:tc>
          <w:tcPr>
            <w:tcW w:w="195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29" w14:textId="77777777" w:rsidR="0049716D" w:rsidRPr="00365464" w:rsidRDefault="00365464">
            <w:pPr>
              <w:spacing w:after="40"/>
              <w:rPr>
                <w:sz w:val="16"/>
                <w:szCs w:val="16"/>
              </w:rPr>
            </w:pPr>
            <w:r w:rsidRPr="00365464">
              <w:rPr>
                <w:rFonts w:ascii="Arial" w:eastAsia="Arial" w:hAnsi="Arial" w:cs="Arial"/>
                <w:sz w:val="16"/>
                <w:szCs w:val="16"/>
              </w:rPr>
              <w:t>La volumetría y la orientación se definen por experiencia del diseñador y criterios formales; las estrategias bioclimáticas, si se consideran, se aplican de forma cualitativa, sin verificación cuantitativa.</w:t>
            </w:r>
          </w:p>
        </w:tc>
        <w:tc>
          <w:tcPr>
            <w:tcW w:w="195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2A" w14:textId="77777777" w:rsidR="0049716D" w:rsidRPr="00365464" w:rsidRDefault="00365464">
            <w:pPr>
              <w:spacing w:after="40"/>
              <w:rPr>
                <w:sz w:val="16"/>
                <w:szCs w:val="16"/>
              </w:rPr>
            </w:pPr>
            <w:r w:rsidRPr="00365464">
              <w:rPr>
                <w:rFonts w:ascii="Arial" w:eastAsia="Arial" w:hAnsi="Arial" w:cs="Arial"/>
                <w:sz w:val="16"/>
                <w:szCs w:val="16"/>
              </w:rPr>
              <w:t>Se priorizan las estrategias bioclimáticas según su exigencia técnica (desde la orientación, casi obligatoria, hasta estrategias que requieren simulación). Aparecen aquí una herramienta de radiación solar y una herramienta de análisis de viento que ajustan la volumetría inicial con datos.</w:t>
            </w:r>
          </w:p>
        </w:tc>
      </w:tr>
      <w:tr w:rsidR="0049716D" w:rsidRPr="00365464" w14:paraId="5781F12F" w14:textId="77777777">
        <w:tc>
          <w:tcPr>
            <w:tcW w:w="11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2C" w14:textId="77777777" w:rsidR="0049716D" w:rsidRPr="00365464" w:rsidRDefault="00365464">
            <w:pPr>
              <w:spacing w:after="40"/>
              <w:rPr>
                <w:sz w:val="16"/>
                <w:szCs w:val="16"/>
              </w:rPr>
            </w:pPr>
            <w:r w:rsidRPr="00365464">
              <w:rPr>
                <w:rFonts w:ascii="Arial" w:eastAsia="Arial" w:hAnsi="Arial" w:cs="Arial"/>
                <w:sz w:val="16"/>
                <w:szCs w:val="16"/>
              </w:rPr>
              <w:t>3. Montaje y validación del proyecto (Anteproyecto y Proyecto)</w:t>
            </w:r>
          </w:p>
        </w:tc>
        <w:tc>
          <w:tcPr>
            <w:tcW w:w="195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2D" w14:textId="77777777" w:rsidR="0049716D" w:rsidRPr="00365464" w:rsidRDefault="00365464">
            <w:pPr>
              <w:spacing w:after="40"/>
              <w:rPr>
                <w:sz w:val="16"/>
                <w:szCs w:val="16"/>
              </w:rPr>
            </w:pPr>
            <w:r w:rsidRPr="00365464">
              <w:rPr>
                <w:rFonts w:ascii="Arial" w:eastAsia="Arial" w:hAnsi="Arial" w:cs="Arial"/>
                <w:sz w:val="16"/>
                <w:szCs w:val="16"/>
              </w:rPr>
              <w:t>El proyecto se detalla en el software de diseño; la verificación bioclimática, cuando existe, se hace aparte, en un software de simulación distinto, lo que obliga a reconstruir el modelo en cada verificación y llega tarde para influir en decisiones de forma.</w:t>
            </w:r>
          </w:p>
        </w:tc>
        <w:tc>
          <w:tcPr>
            <w:tcW w:w="195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2E" w14:textId="77777777" w:rsidR="0049716D" w:rsidRPr="00365464" w:rsidRDefault="00365464">
            <w:pPr>
              <w:spacing w:after="40"/>
              <w:rPr>
                <w:sz w:val="16"/>
                <w:szCs w:val="16"/>
              </w:rPr>
            </w:pPr>
            <w:r w:rsidRPr="00365464">
              <w:rPr>
                <w:rFonts w:ascii="Arial" w:eastAsia="Arial" w:hAnsi="Arial" w:cs="Arial"/>
                <w:sz w:val="16"/>
                <w:szCs w:val="16"/>
              </w:rPr>
              <w:t>El proyecto se ajusta dentro del mismo flujo BIM; en cada ciclo aparecen las herramientas de verificación (radiación solar, viento, confort térmico) sin reconstruir el modelo, validando decisiones de forma ágil hasta el proyecto final.</w:t>
            </w:r>
          </w:p>
        </w:tc>
      </w:tr>
    </w:tbl>
    <w:p w14:paraId="5781F130" w14:textId="5AEA7D21" w:rsidR="0049716D" w:rsidRPr="00365464" w:rsidRDefault="00365464">
      <w:pPr>
        <w:spacing w:before="60" w:after="100"/>
        <w:jc w:val="both"/>
      </w:pPr>
      <w:r w:rsidRPr="00365464">
        <w:rPr>
          <w:rFonts w:ascii="Arial" w:eastAsia="Arial" w:hAnsi="Arial" w:cs="Arial"/>
          <w:i/>
          <w:iCs/>
          <w:sz w:val="18"/>
          <w:szCs w:val="18"/>
        </w:rPr>
        <w:t xml:space="preserve">Tabla 1. Comparación del proceso de diseño bioclimático tradicional frente al proceso bajo BIOBIM, por etapa del proyecto. Fuente: </w:t>
      </w:r>
      <w:r>
        <w:rPr>
          <w:rFonts w:ascii="Arial" w:eastAsia="Arial" w:hAnsi="Arial" w:cs="Arial"/>
          <w:i/>
          <w:iCs/>
          <w:sz w:val="18"/>
          <w:szCs w:val="18"/>
        </w:rPr>
        <w:t>Elaboración</w:t>
      </w:r>
      <w:r w:rsidRPr="00365464">
        <w:rPr>
          <w:rFonts w:ascii="Arial" w:eastAsia="Arial" w:hAnsi="Arial" w:cs="Arial"/>
          <w:i/>
          <w:iCs/>
          <w:sz w:val="18"/>
          <w:szCs w:val="18"/>
        </w:rPr>
        <w:t xml:space="preserve"> propia a partir de Volkmar Vélez (2024).</w:t>
      </w:r>
    </w:p>
    <w:p w14:paraId="5781F131" w14:textId="3B85EC6B" w:rsidR="0049716D" w:rsidRPr="00365464" w:rsidRDefault="00365464">
      <w:pPr>
        <w:spacing w:after="100"/>
        <w:jc w:val="both"/>
      </w:pPr>
      <w:r w:rsidRPr="00365464">
        <w:rPr>
          <w:rFonts w:ascii="Arial" w:eastAsia="Arial" w:hAnsi="Arial" w:cs="Arial"/>
          <w:sz w:val="24"/>
          <w:szCs w:val="24"/>
        </w:rPr>
        <w:t xml:space="preserve">Como instrumento de apoyo a esta metodología, y no como su aporte central, esta tesis emplea una capa de revisión bioclimática basada en el estándar abierto </w:t>
      </w:r>
      <w:r w:rsidRPr="00365464">
        <w:rPr>
          <w:rFonts w:ascii="Arial" w:eastAsia="Arial" w:hAnsi="Arial" w:cs="Arial"/>
          <w:b/>
          <w:bCs/>
          <w:sz w:val="24"/>
          <w:szCs w:val="24"/>
        </w:rPr>
        <w:t>IFC</w:t>
      </w:r>
      <w:r w:rsidRPr="00365464">
        <w:rPr>
          <w:rFonts w:ascii="Arial" w:eastAsia="Arial" w:hAnsi="Arial" w:cs="Arial"/>
          <w:sz w:val="24"/>
          <w:szCs w:val="24"/>
        </w:rPr>
        <w:t xml:space="preserve"> (</w:t>
      </w:r>
      <w:proofErr w:type="spellStart"/>
      <w:r w:rsidRPr="00365464">
        <w:rPr>
          <w:rFonts w:ascii="Arial" w:eastAsia="Arial" w:hAnsi="Arial" w:cs="Arial"/>
          <w:b/>
          <w:bCs/>
          <w:sz w:val="24"/>
          <w:szCs w:val="24"/>
        </w:rPr>
        <w:t>Industry</w:t>
      </w:r>
      <w:proofErr w:type="spellEnd"/>
      <w:r w:rsidRPr="00365464">
        <w:rPr>
          <w:rFonts w:ascii="Arial" w:eastAsia="Arial" w:hAnsi="Arial" w:cs="Arial"/>
          <w:b/>
          <w:bCs/>
          <w:sz w:val="24"/>
          <w:szCs w:val="24"/>
        </w:rPr>
        <w:t xml:space="preserve"> </w:t>
      </w:r>
      <w:proofErr w:type="spellStart"/>
      <w:r w:rsidRPr="00365464">
        <w:rPr>
          <w:rFonts w:ascii="Arial" w:eastAsia="Arial" w:hAnsi="Arial" w:cs="Arial"/>
          <w:b/>
          <w:bCs/>
          <w:sz w:val="24"/>
          <w:szCs w:val="24"/>
        </w:rPr>
        <w:t>Foundation</w:t>
      </w:r>
      <w:proofErr w:type="spellEnd"/>
      <w:r w:rsidRPr="00365464">
        <w:rPr>
          <w:rFonts w:ascii="Arial" w:eastAsia="Arial" w:hAnsi="Arial" w:cs="Arial"/>
          <w:b/>
          <w:bCs/>
          <w:sz w:val="24"/>
          <w:szCs w:val="24"/>
        </w:rPr>
        <w:t xml:space="preserve"> </w:t>
      </w:r>
      <w:proofErr w:type="spellStart"/>
      <w:r w:rsidRPr="00365464">
        <w:rPr>
          <w:rFonts w:ascii="Arial" w:eastAsia="Arial" w:hAnsi="Arial" w:cs="Arial"/>
          <w:b/>
          <w:bCs/>
          <w:sz w:val="24"/>
          <w:szCs w:val="24"/>
        </w:rPr>
        <w:t>Classes</w:t>
      </w:r>
      <w:proofErr w:type="spellEnd"/>
      <w:r w:rsidRPr="00365464">
        <w:rPr>
          <w:rFonts w:ascii="Arial" w:eastAsia="Arial" w:hAnsi="Arial" w:cs="Arial"/>
          <w:sz w:val="24"/>
          <w:szCs w:val="24"/>
        </w:rPr>
        <w:t xml:space="preserve">; International </w:t>
      </w:r>
      <w:proofErr w:type="spellStart"/>
      <w:r w:rsidRPr="00365464">
        <w:rPr>
          <w:rFonts w:ascii="Arial" w:eastAsia="Arial" w:hAnsi="Arial" w:cs="Arial"/>
          <w:sz w:val="24"/>
          <w:szCs w:val="24"/>
        </w:rPr>
        <w:t>Organization</w:t>
      </w:r>
      <w:proofErr w:type="spellEnd"/>
      <w:r w:rsidRPr="00365464">
        <w:rPr>
          <w:rFonts w:ascii="Arial" w:eastAsia="Arial" w:hAnsi="Arial" w:cs="Arial"/>
          <w:sz w:val="24"/>
          <w:szCs w:val="24"/>
        </w:rPr>
        <w:t xml:space="preserve"> </w:t>
      </w:r>
      <w:proofErr w:type="spellStart"/>
      <w:r w:rsidRPr="00365464">
        <w:rPr>
          <w:rFonts w:ascii="Arial" w:eastAsia="Arial" w:hAnsi="Arial" w:cs="Arial"/>
          <w:sz w:val="24"/>
          <w:szCs w:val="24"/>
        </w:rPr>
        <w:t>for</w:t>
      </w:r>
      <w:proofErr w:type="spellEnd"/>
      <w:r w:rsidRPr="00365464">
        <w:rPr>
          <w:rFonts w:ascii="Arial" w:eastAsia="Arial" w:hAnsi="Arial" w:cs="Arial"/>
          <w:sz w:val="24"/>
          <w:szCs w:val="24"/>
        </w:rPr>
        <w:t xml:space="preserve"> </w:t>
      </w:r>
      <w:proofErr w:type="spellStart"/>
      <w:r w:rsidRPr="00365464">
        <w:rPr>
          <w:rFonts w:ascii="Arial" w:eastAsia="Arial" w:hAnsi="Arial" w:cs="Arial"/>
          <w:sz w:val="24"/>
          <w:szCs w:val="24"/>
        </w:rPr>
        <w:t>Standardization</w:t>
      </w:r>
      <w:proofErr w:type="spellEnd"/>
      <w:r w:rsidRPr="00365464">
        <w:rPr>
          <w:rFonts w:ascii="Arial" w:eastAsia="Arial" w:hAnsi="Arial" w:cs="Arial"/>
          <w:sz w:val="24"/>
          <w:szCs w:val="24"/>
        </w:rPr>
        <w:t xml:space="preserve"> [ISO], 2024), en la que el modelo BIM se exporta y se lee directamente en ese formato mediante herramientas propias, sin depender del entorno paramétrico propietario usado en el antecedente. Esta decisión busca reducir la fricción técnica y de acceso que dicho entorno exige, facilitando tanto la enseñanza del modelo como su uso profesional; es, sin embargo, una implementación técnica propia de este doctorado, distinta de la usada en el antecedente y todavía sin validar de forma independiente.</w:t>
      </w:r>
    </w:p>
    <w:p w14:paraId="5781F132" w14:textId="77777777" w:rsidR="0049716D" w:rsidRPr="00365464" w:rsidRDefault="00365464">
      <w:pPr>
        <w:spacing w:after="100"/>
        <w:jc w:val="both"/>
      </w:pPr>
      <w:r w:rsidRPr="00365464">
        <w:rPr>
          <w:rFonts w:ascii="Arial" w:eastAsia="Arial" w:hAnsi="Arial" w:cs="Arial"/>
          <w:sz w:val="24"/>
          <w:szCs w:val="24"/>
        </w:rPr>
        <w:t xml:space="preserve">Esta dimensión pedagógica responde, además, a un vacío que la literatura especializada confirma desde otro ángulo: la investigación sobre BIM en la educación (p. ej., Wu &amp; </w:t>
      </w:r>
      <w:proofErr w:type="spellStart"/>
      <w:r w:rsidRPr="00365464">
        <w:rPr>
          <w:rFonts w:ascii="Arial" w:eastAsia="Arial" w:hAnsi="Arial" w:cs="Arial"/>
          <w:sz w:val="24"/>
          <w:szCs w:val="24"/>
        </w:rPr>
        <w:t>Luo</w:t>
      </w:r>
      <w:proofErr w:type="spellEnd"/>
      <w:r w:rsidRPr="00365464">
        <w:rPr>
          <w:rFonts w:ascii="Arial" w:eastAsia="Arial" w:hAnsi="Arial" w:cs="Arial"/>
          <w:sz w:val="24"/>
          <w:szCs w:val="24"/>
        </w:rPr>
        <w:t xml:space="preserve">, 2016; </w:t>
      </w:r>
      <w:proofErr w:type="spellStart"/>
      <w:r w:rsidRPr="00365464">
        <w:rPr>
          <w:rFonts w:ascii="Arial" w:eastAsia="Arial" w:hAnsi="Arial" w:cs="Arial"/>
          <w:sz w:val="24"/>
          <w:szCs w:val="24"/>
        </w:rPr>
        <w:t>Adamu</w:t>
      </w:r>
      <w:proofErr w:type="spellEnd"/>
      <w:r w:rsidRPr="00365464">
        <w:rPr>
          <w:rFonts w:ascii="Arial" w:eastAsia="Arial" w:hAnsi="Arial" w:cs="Arial"/>
          <w:sz w:val="24"/>
          <w:szCs w:val="24"/>
        </w:rPr>
        <w:t xml:space="preserve"> &amp; </w:t>
      </w:r>
      <w:proofErr w:type="spellStart"/>
      <w:r w:rsidRPr="00365464">
        <w:rPr>
          <w:rFonts w:ascii="Arial" w:eastAsia="Arial" w:hAnsi="Arial" w:cs="Arial"/>
          <w:sz w:val="24"/>
          <w:szCs w:val="24"/>
        </w:rPr>
        <w:t>Thorpe</w:t>
      </w:r>
      <w:proofErr w:type="spellEnd"/>
      <w:r w:rsidRPr="00365464">
        <w:rPr>
          <w:rFonts w:ascii="Arial" w:eastAsia="Arial" w:hAnsi="Arial" w:cs="Arial"/>
          <w:sz w:val="24"/>
          <w:szCs w:val="24"/>
        </w:rPr>
        <w:t xml:space="preserve">, 2016), sobre pedagogía del diseño bioclimático (p. ej., </w:t>
      </w:r>
      <w:proofErr w:type="spellStart"/>
      <w:r w:rsidRPr="00365464">
        <w:rPr>
          <w:rFonts w:ascii="Arial" w:eastAsia="Arial" w:hAnsi="Arial" w:cs="Arial"/>
          <w:sz w:val="24"/>
          <w:szCs w:val="24"/>
        </w:rPr>
        <w:t>Gottkehaskamp</w:t>
      </w:r>
      <w:proofErr w:type="spellEnd"/>
      <w:r w:rsidRPr="00365464">
        <w:rPr>
          <w:rFonts w:ascii="Arial" w:eastAsia="Arial" w:hAnsi="Arial" w:cs="Arial"/>
          <w:sz w:val="24"/>
          <w:szCs w:val="24"/>
        </w:rPr>
        <w:t xml:space="preserve"> &amp; Willmann, 2022; </w:t>
      </w:r>
      <w:proofErr w:type="spellStart"/>
      <w:r w:rsidRPr="00365464">
        <w:rPr>
          <w:rFonts w:ascii="Arial" w:eastAsia="Arial" w:hAnsi="Arial" w:cs="Arial"/>
          <w:sz w:val="24"/>
          <w:szCs w:val="24"/>
        </w:rPr>
        <w:t>Schiano-Phan</w:t>
      </w:r>
      <w:proofErr w:type="spellEnd"/>
      <w:r w:rsidRPr="00365464">
        <w:rPr>
          <w:rFonts w:ascii="Arial" w:eastAsia="Arial" w:hAnsi="Arial" w:cs="Arial"/>
          <w:sz w:val="24"/>
          <w:szCs w:val="24"/>
        </w:rPr>
        <w:t xml:space="preserve"> et al., 2022) y sobre herramientas de mediación tecnológica en la enseñanza del diseño (p. ej., </w:t>
      </w:r>
      <w:proofErr w:type="spellStart"/>
      <w:r w:rsidRPr="00365464">
        <w:rPr>
          <w:rFonts w:ascii="Arial" w:eastAsia="Arial" w:hAnsi="Arial" w:cs="Arial"/>
          <w:sz w:val="24"/>
          <w:szCs w:val="24"/>
        </w:rPr>
        <w:t>Süner</w:t>
      </w:r>
      <w:proofErr w:type="spellEnd"/>
      <w:r w:rsidRPr="00365464">
        <w:rPr>
          <w:rFonts w:ascii="Arial" w:eastAsia="Arial" w:hAnsi="Arial" w:cs="Arial"/>
          <w:sz w:val="24"/>
          <w:szCs w:val="24"/>
        </w:rPr>
        <w:t>-Pla-</w:t>
      </w:r>
      <w:proofErr w:type="spellStart"/>
      <w:r w:rsidRPr="00365464">
        <w:rPr>
          <w:rFonts w:ascii="Arial" w:eastAsia="Arial" w:hAnsi="Arial" w:cs="Arial"/>
          <w:sz w:val="24"/>
          <w:szCs w:val="24"/>
        </w:rPr>
        <w:t>Cerdà</w:t>
      </w:r>
      <w:proofErr w:type="spellEnd"/>
      <w:r w:rsidRPr="00365464">
        <w:rPr>
          <w:rFonts w:ascii="Arial" w:eastAsia="Arial" w:hAnsi="Arial" w:cs="Arial"/>
          <w:sz w:val="24"/>
          <w:szCs w:val="24"/>
        </w:rPr>
        <w:t xml:space="preserve"> et al., </w:t>
      </w:r>
      <w:r w:rsidRPr="00365464">
        <w:rPr>
          <w:rFonts w:ascii="Arial" w:eastAsia="Arial" w:hAnsi="Arial" w:cs="Arial"/>
          <w:sz w:val="24"/>
          <w:szCs w:val="24"/>
        </w:rPr>
        <w:lastRenderedPageBreak/>
        <w:t>2025; Barnes et al., 2011) constituyen, hasta la fecha, cuerpos de conocimiento prácticamente paralelos que rara vez se citan entre sí. Ningún estudio localizado combina la integración BIM-ambiental ágil con herramientas de andamiaje cognitivo evaluadas empíricamente frente a un grupo de comparación, aunque tres antecedentes recientes se aproximan parcialmente:</w:t>
      </w:r>
    </w:p>
    <w:p w14:paraId="5781F133" w14:textId="77777777" w:rsidR="0049716D" w:rsidRPr="00365464" w:rsidRDefault="00365464">
      <w:pPr>
        <w:spacing w:after="60"/>
        <w:ind w:left="431" w:hanging="215"/>
        <w:jc w:val="both"/>
      </w:pPr>
      <w:r w:rsidRPr="00365464">
        <w:rPr>
          <w:rFonts w:ascii="Arial" w:eastAsia="Arial" w:hAnsi="Arial" w:cs="Arial"/>
          <w:sz w:val="24"/>
          <w:szCs w:val="24"/>
        </w:rPr>
        <w:t xml:space="preserve">• </w:t>
      </w:r>
      <w:proofErr w:type="spellStart"/>
      <w:r w:rsidRPr="00365464">
        <w:rPr>
          <w:rFonts w:ascii="Arial" w:eastAsia="Arial" w:hAnsi="Arial" w:cs="Arial"/>
          <w:sz w:val="24"/>
          <w:szCs w:val="24"/>
        </w:rPr>
        <w:t>Shahverdi</w:t>
      </w:r>
      <w:proofErr w:type="spellEnd"/>
      <w:r w:rsidRPr="00365464">
        <w:rPr>
          <w:rFonts w:ascii="Arial" w:eastAsia="Arial" w:hAnsi="Arial" w:cs="Arial"/>
          <w:sz w:val="24"/>
          <w:szCs w:val="24"/>
        </w:rPr>
        <w:t xml:space="preserve"> et al. (2024) desarrollaron y probaron, en un estudio de caso experimental de un solo grupo, un marco pedagógico que integra BIM con un estudio de diseño de alto desempeño ambiental, sin grupo de comparación.</w:t>
      </w:r>
    </w:p>
    <w:p w14:paraId="5781F134" w14:textId="77777777" w:rsidR="0049716D" w:rsidRPr="00365464" w:rsidRDefault="00365464">
      <w:pPr>
        <w:spacing w:after="60"/>
        <w:ind w:left="431" w:hanging="215"/>
        <w:jc w:val="both"/>
      </w:pPr>
      <w:r w:rsidRPr="00365464">
        <w:rPr>
          <w:rFonts w:ascii="Arial" w:eastAsia="Arial" w:hAnsi="Arial" w:cs="Arial"/>
          <w:sz w:val="24"/>
          <w:szCs w:val="24"/>
        </w:rPr>
        <w:t xml:space="preserve">• </w:t>
      </w:r>
      <w:proofErr w:type="spellStart"/>
      <w:r w:rsidRPr="00365464">
        <w:rPr>
          <w:rFonts w:ascii="Arial" w:eastAsia="Arial" w:hAnsi="Arial" w:cs="Arial"/>
          <w:sz w:val="24"/>
          <w:szCs w:val="24"/>
        </w:rPr>
        <w:t>Gottkehaskamp</w:t>
      </w:r>
      <w:proofErr w:type="spellEnd"/>
      <w:r w:rsidRPr="00365464">
        <w:rPr>
          <w:rFonts w:ascii="Arial" w:eastAsia="Arial" w:hAnsi="Arial" w:cs="Arial"/>
          <w:sz w:val="24"/>
          <w:szCs w:val="24"/>
        </w:rPr>
        <w:t xml:space="preserve"> y Willmann (2022) enseñaron estrategias pasivas mediante el módulo EDDA, fuera del entorno BIM, sin integración BIM/</w:t>
      </w:r>
      <w:r w:rsidRPr="00365464">
        <w:rPr>
          <w:rFonts w:ascii="Arial" w:eastAsia="Arial" w:hAnsi="Arial" w:cs="Arial"/>
          <w:b/>
          <w:bCs/>
          <w:sz w:val="24"/>
          <w:szCs w:val="24"/>
        </w:rPr>
        <w:t>Revit</w:t>
      </w:r>
      <w:r w:rsidRPr="00365464">
        <w:rPr>
          <w:rFonts w:ascii="Arial" w:eastAsia="Arial" w:hAnsi="Arial" w:cs="Arial"/>
          <w:sz w:val="24"/>
          <w:szCs w:val="24"/>
        </w:rPr>
        <w:t xml:space="preserve"> ni validación controlada de resultados de aprendizaje.</w:t>
      </w:r>
    </w:p>
    <w:p w14:paraId="5781F135" w14:textId="77777777" w:rsidR="0049716D" w:rsidRPr="00365464" w:rsidRDefault="00365464">
      <w:pPr>
        <w:spacing w:after="60"/>
        <w:ind w:left="431" w:hanging="215"/>
        <w:jc w:val="both"/>
      </w:pPr>
      <w:r w:rsidRPr="00365464">
        <w:rPr>
          <w:rFonts w:ascii="Arial" w:eastAsia="Arial" w:hAnsi="Arial" w:cs="Arial"/>
          <w:sz w:val="24"/>
          <w:szCs w:val="24"/>
        </w:rPr>
        <w:t xml:space="preserve">• Méndez Garduño (2026) documentó un estudio de caso exploratorio en el que 19 estudiantes usaron Autodesk </w:t>
      </w:r>
      <w:r w:rsidRPr="00365464">
        <w:rPr>
          <w:rFonts w:ascii="Arial" w:eastAsia="Arial" w:hAnsi="Arial" w:cs="Arial"/>
          <w:b/>
          <w:bCs/>
          <w:sz w:val="24"/>
          <w:szCs w:val="24"/>
        </w:rPr>
        <w:t>Forma</w:t>
      </w:r>
      <w:r w:rsidRPr="00365464">
        <w:rPr>
          <w:rFonts w:ascii="Arial" w:eastAsia="Arial" w:hAnsi="Arial" w:cs="Arial"/>
          <w:sz w:val="24"/>
          <w:szCs w:val="24"/>
        </w:rPr>
        <w:t xml:space="preserve">, vinculado a </w:t>
      </w:r>
      <w:r w:rsidRPr="00365464">
        <w:rPr>
          <w:rFonts w:ascii="Arial" w:eastAsia="Arial" w:hAnsi="Arial" w:cs="Arial"/>
          <w:b/>
          <w:bCs/>
          <w:sz w:val="24"/>
          <w:szCs w:val="24"/>
        </w:rPr>
        <w:t>Revit</w:t>
      </w:r>
      <w:r w:rsidRPr="00365464">
        <w:rPr>
          <w:rFonts w:ascii="Arial" w:eastAsia="Arial" w:hAnsi="Arial" w:cs="Arial"/>
          <w:sz w:val="24"/>
          <w:szCs w:val="24"/>
        </w:rPr>
        <w:t xml:space="preserve">, sin grupo de control ni prueba </w:t>
      </w:r>
      <w:proofErr w:type="spellStart"/>
      <w:r w:rsidRPr="00365464">
        <w:rPr>
          <w:rFonts w:ascii="Arial" w:eastAsia="Arial" w:hAnsi="Arial" w:cs="Arial"/>
          <w:sz w:val="24"/>
          <w:szCs w:val="24"/>
        </w:rPr>
        <w:t>pre-post</w:t>
      </w:r>
      <w:proofErr w:type="spellEnd"/>
      <w:r w:rsidRPr="00365464">
        <w:rPr>
          <w:rFonts w:ascii="Arial" w:eastAsia="Arial" w:hAnsi="Arial" w:cs="Arial"/>
          <w:sz w:val="24"/>
          <w:szCs w:val="24"/>
        </w:rPr>
        <w:t>, y con codificación cualitativa sin validación entre jueces; sus hallazgos son evidencia exploratoria, no prueba generalizable.</w:t>
      </w:r>
    </w:p>
    <w:p w14:paraId="5781F136" w14:textId="77777777" w:rsidR="0049716D" w:rsidRPr="00365464" w:rsidRDefault="00365464">
      <w:pPr>
        <w:spacing w:after="100"/>
        <w:jc w:val="both"/>
      </w:pPr>
      <w:r w:rsidRPr="00365464">
        <w:rPr>
          <w:rFonts w:ascii="Arial" w:eastAsia="Arial" w:hAnsi="Arial" w:cs="Arial"/>
          <w:sz w:val="24"/>
          <w:szCs w:val="24"/>
        </w:rPr>
        <w:t>El aporte central de esta tesis doctoral es, por tanto, el modelo de enseñanza-aprendizaje BIOBIM y su validación empírica con estudiantes reales, algo que ni el antecedente profesional ni la literatura internacional revisada ofrecen juntos. La implementación técnica basada en IFC no es un fin en sí misma, sino el instrumento que permite enseñar y aplicar el modelo con menor barrera de acceso que la del antecedente; por la misma razón, las herramientas de andamiaje diseñadas en esta tesis no se limitan al ciclo pedagógico, sino que están concebidas para apoyar también la toma de decisiones en un proyecto profesional real, aunque esta aplicación profesional es una extensión propuesta por esta tesis y no una validación heredada del antecedente.</w:t>
      </w:r>
    </w:p>
    <w:p w14:paraId="5781F137" w14:textId="77777777" w:rsidR="0049716D" w:rsidRPr="00365464" w:rsidRDefault="00365464">
      <w:pPr>
        <w:pStyle w:val="Heading1"/>
        <w:spacing w:before="140" w:after="80"/>
        <w:rPr>
          <w:lang w:val="es-CO"/>
        </w:rPr>
      </w:pPr>
      <w:r w:rsidRPr="00365464">
        <w:rPr>
          <w:rFonts w:ascii="Arial" w:eastAsia="Arial" w:hAnsi="Arial" w:cs="Arial"/>
          <w:b/>
          <w:bCs/>
          <w:sz w:val="26"/>
          <w:szCs w:val="26"/>
          <w:lang w:val="es-CO"/>
        </w:rPr>
        <w:t>2. Problema de investigación e hipótesis</w:t>
      </w:r>
    </w:p>
    <w:p w14:paraId="5781F138" w14:textId="77777777" w:rsidR="0049716D" w:rsidRPr="00365464" w:rsidRDefault="00365464">
      <w:pPr>
        <w:spacing w:after="100"/>
        <w:jc w:val="both"/>
      </w:pPr>
      <w:r w:rsidRPr="00365464">
        <w:rPr>
          <w:rFonts w:ascii="Arial" w:eastAsia="Arial" w:hAnsi="Arial" w:cs="Arial"/>
          <w:b/>
          <w:bCs/>
          <w:sz w:val="24"/>
          <w:szCs w:val="24"/>
        </w:rPr>
        <w:t xml:space="preserve">Planteamiento del problema. </w:t>
      </w:r>
      <w:r w:rsidRPr="00365464">
        <w:rPr>
          <w:rFonts w:ascii="Arial" w:eastAsia="Arial" w:hAnsi="Arial" w:cs="Arial"/>
          <w:sz w:val="24"/>
          <w:szCs w:val="24"/>
        </w:rPr>
        <w:t>La desarticulación entre el proceso de diseño arquitectónico y la evaluación bioclimática limita la práctica profesional y la formación universitaria en tres frentes: (a) la pérdida de la oportunidad de diseño pasivo, que puede representar hasta un 20 % de ahorro energético cuando las decisiones ambientales se toman desde etapas iniciales (</w:t>
      </w:r>
      <w:proofErr w:type="spellStart"/>
      <w:r w:rsidRPr="00365464">
        <w:rPr>
          <w:rFonts w:ascii="Arial" w:eastAsia="Arial" w:hAnsi="Arial" w:cs="Arial"/>
          <w:sz w:val="24"/>
          <w:szCs w:val="24"/>
        </w:rPr>
        <w:t>Azhar</w:t>
      </w:r>
      <w:proofErr w:type="spellEnd"/>
      <w:r w:rsidRPr="00365464">
        <w:rPr>
          <w:rFonts w:ascii="Arial" w:eastAsia="Arial" w:hAnsi="Arial" w:cs="Arial"/>
          <w:sz w:val="24"/>
          <w:szCs w:val="24"/>
        </w:rPr>
        <w:t xml:space="preserve"> et al., 2010); (b) la ruptura del flujo de trabajo por la incompatibilidad entre el software de diseño y el de simulación, que obliga a reconstruir el modelo para cada verificación ambiental; y (c) el desfase respecto a la curva de esfuerzo de diseño, que hace que los ajustes bioclimáticos lleguen cuando el proyecto ya es costoso de modificar (CURT, 2004).</w:t>
      </w:r>
    </w:p>
    <w:p w14:paraId="5781F139" w14:textId="77777777" w:rsidR="0049716D" w:rsidRPr="00365464" w:rsidRDefault="00365464">
      <w:pPr>
        <w:spacing w:after="100"/>
        <w:jc w:val="both"/>
      </w:pPr>
      <w:r w:rsidRPr="00365464">
        <w:rPr>
          <w:rFonts w:ascii="Arial" w:eastAsia="Arial" w:hAnsi="Arial" w:cs="Arial"/>
          <w:sz w:val="24"/>
          <w:szCs w:val="24"/>
        </w:rPr>
        <w:t xml:space="preserve">Estos problemas técnicos tienen, además, una dimensión pedagógica no resuelta. La enseñanza convencional de la bioclimática, al no estar acompañada del manejo de herramientas de simulación integradas al </w:t>
      </w:r>
      <w:r w:rsidRPr="00365464">
        <w:rPr>
          <w:rFonts w:ascii="Arial" w:eastAsia="Arial" w:hAnsi="Arial" w:cs="Arial"/>
          <w:sz w:val="24"/>
          <w:szCs w:val="24"/>
        </w:rPr>
        <w:lastRenderedPageBreak/>
        <w:t>proceso de diseño, tiende a reducirse a contenidos teóricos que los estudiantes memorizan sin necesariamente desarrollar la capacidad de aplicarlos a un proyecto propio ni de transferir ese conocimiento a contextos y tipologías distintas (</w:t>
      </w:r>
      <w:proofErr w:type="spellStart"/>
      <w:r w:rsidRPr="00365464">
        <w:rPr>
          <w:rFonts w:ascii="Arial" w:eastAsia="Arial" w:hAnsi="Arial" w:cs="Arial"/>
          <w:sz w:val="24"/>
          <w:szCs w:val="24"/>
        </w:rPr>
        <w:t>Fernandez-Antolin</w:t>
      </w:r>
      <w:proofErr w:type="spellEnd"/>
      <w:r w:rsidRPr="00365464">
        <w:rPr>
          <w:rFonts w:ascii="Arial" w:eastAsia="Arial" w:hAnsi="Arial" w:cs="Arial"/>
          <w:sz w:val="24"/>
          <w:szCs w:val="24"/>
        </w:rPr>
        <w:t xml:space="preserve"> et al., 2022; </w:t>
      </w:r>
      <w:proofErr w:type="spellStart"/>
      <w:r w:rsidRPr="00365464">
        <w:rPr>
          <w:rFonts w:ascii="Arial" w:eastAsia="Arial" w:hAnsi="Arial" w:cs="Arial"/>
          <w:sz w:val="24"/>
          <w:szCs w:val="24"/>
        </w:rPr>
        <w:t>Süner</w:t>
      </w:r>
      <w:proofErr w:type="spellEnd"/>
      <w:r w:rsidRPr="00365464">
        <w:rPr>
          <w:rFonts w:ascii="Arial" w:eastAsia="Arial" w:hAnsi="Arial" w:cs="Arial"/>
          <w:sz w:val="24"/>
          <w:szCs w:val="24"/>
        </w:rPr>
        <w:t>-Pla-</w:t>
      </w:r>
      <w:proofErr w:type="spellStart"/>
      <w:r w:rsidRPr="00365464">
        <w:rPr>
          <w:rFonts w:ascii="Arial" w:eastAsia="Arial" w:hAnsi="Arial" w:cs="Arial"/>
          <w:sz w:val="24"/>
          <w:szCs w:val="24"/>
        </w:rPr>
        <w:t>Cerdà</w:t>
      </w:r>
      <w:proofErr w:type="spellEnd"/>
      <w:r w:rsidRPr="00365464">
        <w:rPr>
          <w:rFonts w:ascii="Arial" w:eastAsia="Arial" w:hAnsi="Arial" w:cs="Arial"/>
          <w:sz w:val="24"/>
          <w:szCs w:val="24"/>
        </w:rPr>
        <w:t xml:space="preserve"> et al., 2025). La ausencia de un modelo de enseñanza-aprendizaje que integre, de forma ágil y dentro de un único flujo BIM, la evaluación de estrategias bioclimáticas con herramientas que faciliten su aplicación, adaptación y absorción constituye el vacío que esta investigación busca cerrar.</w:t>
      </w:r>
    </w:p>
    <w:p w14:paraId="5781F13A" w14:textId="77777777" w:rsidR="0049716D" w:rsidRPr="00365464" w:rsidRDefault="00365464">
      <w:pPr>
        <w:spacing w:after="100"/>
        <w:jc w:val="both"/>
      </w:pPr>
      <w:r w:rsidRPr="00365464">
        <w:rPr>
          <w:rFonts w:ascii="Arial" w:eastAsia="Arial" w:hAnsi="Arial" w:cs="Arial"/>
          <w:b/>
          <w:bCs/>
          <w:sz w:val="24"/>
          <w:szCs w:val="24"/>
        </w:rPr>
        <w:t xml:space="preserve">Pregunta de investigación. </w:t>
      </w:r>
      <w:r w:rsidRPr="00365464">
        <w:rPr>
          <w:rFonts w:ascii="Arial" w:eastAsia="Arial" w:hAnsi="Arial" w:cs="Arial"/>
          <w:sz w:val="24"/>
          <w:szCs w:val="24"/>
        </w:rPr>
        <w:t>¿En qué medida un modelo de enseñanza-aprendizaje que integra estrategias bioclimáticas dentro de un flujo BIM continuo y ágil, apoyado en herramientas de andamiaje cognitivo (BIOBIM), mejora, frente a la enseñanza tradicional, (a) la velocidad de iteración de diseño, (b) la calidad de las decisiones de diseño pasivo y (c) la comprensión conceptual y la transferencia de la bioclimática en estudiantes de arquitectura e ingeniería? Las tres dimensiones son medibles cuantitativamente: (a) mediante el conteo de versiones/iteraciones del modelo, (b) mediante una rúbrica de evaluación aplicada por dos jueces, uno de ellos ciego a la condición experimental, y (c) mediante un instrumento de comprensión conceptual aplicado antes y después de la intervención (ver Metodología, sección 4.4).</w:t>
      </w:r>
    </w:p>
    <w:p w14:paraId="5781F13B" w14:textId="77777777" w:rsidR="0049716D" w:rsidRPr="00365464" w:rsidRDefault="00365464">
      <w:pPr>
        <w:spacing w:after="100"/>
        <w:jc w:val="both"/>
      </w:pPr>
      <w:r w:rsidRPr="00365464">
        <w:rPr>
          <w:rFonts w:ascii="Arial" w:eastAsia="Arial" w:hAnsi="Arial" w:cs="Arial"/>
          <w:b/>
          <w:bCs/>
          <w:sz w:val="24"/>
          <w:szCs w:val="24"/>
        </w:rPr>
        <w:t xml:space="preserve">Hipótesis. </w:t>
      </w:r>
      <w:r w:rsidRPr="00365464">
        <w:rPr>
          <w:rFonts w:ascii="Arial" w:eastAsia="Arial" w:hAnsi="Arial" w:cs="Arial"/>
          <w:sz w:val="24"/>
          <w:szCs w:val="24"/>
        </w:rPr>
        <w:t xml:space="preserve">La integración de un ecosistema de herramientas de mediación tecnológica de retroalimentación ágil reduce la brecha entre la intención de diseño y su retroalimentación ambiental, el denominado </w:t>
      </w:r>
      <w:proofErr w:type="spellStart"/>
      <w:r w:rsidRPr="00365464">
        <w:rPr>
          <w:rFonts w:ascii="Arial" w:eastAsia="Arial" w:hAnsi="Arial" w:cs="Arial"/>
          <w:b/>
          <w:bCs/>
          <w:sz w:val="24"/>
          <w:szCs w:val="24"/>
        </w:rPr>
        <w:t>gulf</w:t>
      </w:r>
      <w:proofErr w:type="spellEnd"/>
      <w:r w:rsidRPr="00365464">
        <w:rPr>
          <w:rFonts w:ascii="Arial" w:eastAsia="Arial" w:hAnsi="Arial" w:cs="Arial"/>
          <w:b/>
          <w:bCs/>
          <w:sz w:val="24"/>
          <w:szCs w:val="24"/>
        </w:rPr>
        <w:t xml:space="preserve"> </w:t>
      </w:r>
      <w:proofErr w:type="spellStart"/>
      <w:r w:rsidRPr="00365464">
        <w:rPr>
          <w:rFonts w:ascii="Arial" w:eastAsia="Arial" w:hAnsi="Arial" w:cs="Arial"/>
          <w:b/>
          <w:bCs/>
          <w:sz w:val="24"/>
          <w:szCs w:val="24"/>
        </w:rPr>
        <w:t>of</w:t>
      </w:r>
      <w:proofErr w:type="spellEnd"/>
      <w:r w:rsidRPr="00365464">
        <w:rPr>
          <w:rFonts w:ascii="Arial" w:eastAsia="Arial" w:hAnsi="Arial" w:cs="Arial"/>
          <w:b/>
          <w:bCs/>
          <w:sz w:val="24"/>
          <w:szCs w:val="24"/>
        </w:rPr>
        <w:t xml:space="preserve"> </w:t>
      </w:r>
      <w:proofErr w:type="spellStart"/>
      <w:r w:rsidRPr="00365464">
        <w:rPr>
          <w:rFonts w:ascii="Arial" w:eastAsia="Arial" w:hAnsi="Arial" w:cs="Arial"/>
          <w:b/>
          <w:bCs/>
          <w:sz w:val="24"/>
          <w:szCs w:val="24"/>
        </w:rPr>
        <w:t>execution</w:t>
      </w:r>
      <w:proofErr w:type="spellEnd"/>
      <w:r w:rsidRPr="00365464">
        <w:rPr>
          <w:rFonts w:ascii="Arial" w:eastAsia="Arial" w:hAnsi="Arial" w:cs="Arial"/>
          <w:sz w:val="24"/>
          <w:szCs w:val="24"/>
        </w:rPr>
        <w:t xml:space="preserve"> (Norman, 2013), es decir, la distancia entre lo que el usuario intenta lograr y las acciones que el sistema le permite ejecutar para conseguirlo, transformando la simulación bioclimática de una tarea de verificación diferida en un proceso de diseño exploratorio. Esta transformación, sostenida en el ciclo de aprendizaje experiencial de Kolb (1984), la teoría de la carga cognitiva de </w:t>
      </w:r>
      <w:proofErr w:type="spellStart"/>
      <w:r w:rsidRPr="00365464">
        <w:rPr>
          <w:rFonts w:ascii="Arial" w:eastAsia="Arial" w:hAnsi="Arial" w:cs="Arial"/>
          <w:sz w:val="24"/>
          <w:szCs w:val="24"/>
        </w:rPr>
        <w:t>Sweller</w:t>
      </w:r>
      <w:proofErr w:type="spellEnd"/>
      <w:r w:rsidRPr="00365464">
        <w:rPr>
          <w:rFonts w:ascii="Arial" w:eastAsia="Arial" w:hAnsi="Arial" w:cs="Arial"/>
          <w:sz w:val="24"/>
          <w:szCs w:val="24"/>
        </w:rPr>
        <w:t xml:space="preserve"> (1988) y el principio de andamiaje (</w:t>
      </w:r>
      <w:proofErr w:type="spellStart"/>
      <w:r w:rsidRPr="00365464">
        <w:rPr>
          <w:rFonts w:ascii="Arial" w:eastAsia="Arial" w:hAnsi="Arial" w:cs="Arial"/>
          <w:b/>
          <w:bCs/>
          <w:sz w:val="24"/>
          <w:szCs w:val="24"/>
        </w:rPr>
        <w:t>scaffolding</w:t>
      </w:r>
      <w:proofErr w:type="spellEnd"/>
      <w:r w:rsidRPr="00365464">
        <w:rPr>
          <w:rFonts w:ascii="Arial" w:eastAsia="Arial" w:hAnsi="Arial" w:cs="Arial"/>
          <w:sz w:val="24"/>
          <w:szCs w:val="24"/>
        </w:rPr>
        <w:t xml:space="preserve">: el mismo apoyo temporal y ajustable descrito en la Introducción) dentro de la zona de desarrollo próximo del estudiante (Vygotsky, 1978; </w:t>
      </w:r>
      <w:proofErr w:type="spellStart"/>
      <w:r w:rsidRPr="00365464">
        <w:rPr>
          <w:rFonts w:ascii="Arial" w:eastAsia="Arial" w:hAnsi="Arial" w:cs="Arial"/>
          <w:sz w:val="24"/>
          <w:szCs w:val="24"/>
        </w:rPr>
        <w:t>Jonassen</w:t>
      </w:r>
      <w:proofErr w:type="spellEnd"/>
      <w:r w:rsidRPr="00365464">
        <w:rPr>
          <w:rFonts w:ascii="Arial" w:eastAsia="Arial" w:hAnsi="Arial" w:cs="Arial"/>
          <w:sz w:val="24"/>
          <w:szCs w:val="24"/>
        </w:rPr>
        <w:t xml:space="preserve"> et al., 1998), incrementa la velocidad de iteración de diseño, lo que a su vez amplía la exploración de decisiones pasivas y profundiza la comprensión conceptual de los fenómenos bioclimáticos, en comparación con estudiantes expuestos a una enseñanza sin apoyo tecnológico integrado.</w:t>
      </w:r>
    </w:p>
    <w:p w14:paraId="5781F13C" w14:textId="77777777" w:rsidR="0049716D" w:rsidRPr="00365464" w:rsidRDefault="00365464">
      <w:pPr>
        <w:pStyle w:val="Heading1"/>
        <w:spacing w:before="140" w:after="80"/>
        <w:rPr>
          <w:lang w:val="es-CO"/>
        </w:rPr>
      </w:pPr>
      <w:r w:rsidRPr="00365464">
        <w:rPr>
          <w:rFonts w:ascii="Arial" w:eastAsia="Arial" w:hAnsi="Arial" w:cs="Arial"/>
          <w:b/>
          <w:bCs/>
          <w:sz w:val="26"/>
          <w:szCs w:val="26"/>
          <w:lang w:val="es-CO"/>
        </w:rPr>
        <w:t>3. Objetivos</w:t>
      </w:r>
    </w:p>
    <w:p w14:paraId="5781F13D" w14:textId="77777777" w:rsidR="0049716D" w:rsidRPr="00365464" w:rsidRDefault="00365464">
      <w:pPr>
        <w:pStyle w:val="Heading2"/>
        <w:spacing w:before="140" w:after="80"/>
        <w:rPr>
          <w:lang w:val="es-CO"/>
        </w:rPr>
      </w:pPr>
      <w:r w:rsidRPr="00365464">
        <w:rPr>
          <w:rFonts w:ascii="Arial" w:eastAsia="Arial" w:hAnsi="Arial" w:cs="Arial"/>
          <w:b/>
          <w:bCs/>
          <w:sz w:val="24"/>
          <w:szCs w:val="24"/>
          <w:lang w:val="es-CO"/>
        </w:rPr>
        <w:t>3.1 Objetivo general</w:t>
      </w:r>
    </w:p>
    <w:p w14:paraId="5781F13E" w14:textId="77777777" w:rsidR="0049716D" w:rsidRPr="00365464" w:rsidRDefault="00365464">
      <w:pPr>
        <w:spacing w:after="100"/>
        <w:jc w:val="both"/>
      </w:pPr>
      <w:r w:rsidRPr="00365464">
        <w:rPr>
          <w:rFonts w:ascii="Arial" w:eastAsia="Arial" w:hAnsi="Arial" w:cs="Arial"/>
          <w:sz w:val="24"/>
          <w:szCs w:val="24"/>
        </w:rPr>
        <w:t xml:space="preserve">Diseñar un modelo de enseñanza-aprendizaje que integra estrategias bioclimáticas dentro de un flujo de trabajo BIM continuo, apoyado en herramientas de andamiaje cognitivo, para determinar su efecto sobre la velocidad de iteración de diseño, la calidad de las decisiones de diseño </w:t>
      </w:r>
      <w:r w:rsidRPr="00365464">
        <w:rPr>
          <w:rFonts w:ascii="Arial" w:eastAsia="Arial" w:hAnsi="Arial" w:cs="Arial"/>
          <w:sz w:val="24"/>
          <w:szCs w:val="24"/>
        </w:rPr>
        <w:lastRenderedPageBreak/>
        <w:t>pasivo y la comprensión conceptual de la física bioclimática en estudiantes de arquitectura e ingeniería.</w:t>
      </w:r>
    </w:p>
    <w:p w14:paraId="5781F13F" w14:textId="77777777" w:rsidR="0049716D" w:rsidRPr="00365464" w:rsidRDefault="00365464">
      <w:pPr>
        <w:pStyle w:val="Heading2"/>
        <w:spacing w:before="140" w:after="80"/>
        <w:rPr>
          <w:lang w:val="es-CO"/>
        </w:rPr>
      </w:pPr>
      <w:r w:rsidRPr="00365464">
        <w:rPr>
          <w:rFonts w:ascii="Arial" w:eastAsia="Arial" w:hAnsi="Arial" w:cs="Arial"/>
          <w:b/>
          <w:bCs/>
          <w:sz w:val="24"/>
          <w:szCs w:val="24"/>
          <w:lang w:val="es-CO"/>
        </w:rPr>
        <w:t>3.2 Objetivos específicos</w:t>
      </w:r>
    </w:p>
    <w:p w14:paraId="5781F140" w14:textId="77777777" w:rsidR="0049716D" w:rsidRPr="00365464" w:rsidRDefault="00365464">
      <w:pPr>
        <w:spacing w:after="80"/>
        <w:jc w:val="both"/>
      </w:pPr>
      <w:r w:rsidRPr="00365464">
        <w:rPr>
          <w:rFonts w:ascii="Arial" w:eastAsia="Arial" w:hAnsi="Arial" w:cs="Arial"/>
          <w:sz w:val="24"/>
          <w:szCs w:val="24"/>
        </w:rPr>
        <w:t>1. Explorar el estado del arte en integración BIM-bioclimática, pedagogía del diseño bioclimático y herramientas de mediación tecnológica en la enseñanza del diseño, mediante una revisión sistemática de la literatura, con el fin de identificar el vacío que BIOBIM busca cerrar y fundamentar teóricamente su estructura de trabajo.</w:t>
      </w:r>
    </w:p>
    <w:p w14:paraId="5781F141" w14:textId="0212320B" w:rsidR="0049716D" w:rsidRPr="00365464" w:rsidRDefault="00365464">
      <w:pPr>
        <w:spacing w:after="80"/>
        <w:jc w:val="both"/>
      </w:pPr>
      <w:r w:rsidRPr="00365464">
        <w:rPr>
          <w:rFonts w:ascii="Arial" w:eastAsia="Arial" w:hAnsi="Arial" w:cs="Arial"/>
          <w:sz w:val="24"/>
          <w:szCs w:val="24"/>
        </w:rPr>
        <w:t xml:space="preserve">2. Analizar el modelo general y el diagnóstico ya </w:t>
      </w:r>
      <w:proofErr w:type="gramStart"/>
      <w:r w:rsidRPr="00365464">
        <w:rPr>
          <w:rFonts w:ascii="Arial" w:eastAsia="Arial" w:hAnsi="Arial" w:cs="Arial"/>
          <w:sz w:val="24"/>
          <w:szCs w:val="24"/>
        </w:rPr>
        <w:t>validados(</w:t>
      </w:r>
      <w:proofErr w:type="gramEnd"/>
      <w:r w:rsidRPr="00365464">
        <w:rPr>
          <w:rFonts w:ascii="Arial" w:eastAsia="Arial" w:hAnsi="Arial" w:cs="Arial"/>
          <w:sz w:val="24"/>
          <w:szCs w:val="24"/>
        </w:rPr>
        <w:t>Volkmar Vélez, 2024), así como las limitaciones de la enseñanza tradicional de la bioclimática y las barreras de acceso de las implementaciones técnicas existentes, a partir de los hallazgos de la exploración bibliográfica, con el fin de derivar los requisitos pedagógicos y técnicos del modelo BIOBIM.</w:t>
      </w:r>
    </w:p>
    <w:p w14:paraId="5781F142" w14:textId="77777777" w:rsidR="0049716D" w:rsidRPr="00365464" w:rsidRDefault="00365464">
      <w:pPr>
        <w:spacing w:after="80"/>
        <w:jc w:val="both"/>
      </w:pPr>
      <w:r w:rsidRPr="00365464">
        <w:rPr>
          <w:rFonts w:ascii="Arial" w:eastAsia="Arial" w:hAnsi="Arial" w:cs="Arial"/>
          <w:sz w:val="24"/>
          <w:szCs w:val="24"/>
        </w:rPr>
        <w:t>3. Diseñar las herramientas de andamiaje cognitivo de BIOBIM que acompañan al estudiante a través de sus tres etapas de trabajo (requerimientos del proyecto, definición de estrategias y montaje y validación del proyecto), fundamentadas en el aprendizaje experiencial, la teoría de la carga cognitiva y el principio de andamiaje dentro de la zona de desarrollo próximo, con el fin de facilitar la aplicación, adaptación y absorción de estrategias bioclimáticas dentro del flujo BIM, tanto en el contexto académico como en la práctica profesional.</w:t>
      </w:r>
    </w:p>
    <w:p w14:paraId="5781F143" w14:textId="77777777" w:rsidR="0049716D" w:rsidRPr="00365464" w:rsidRDefault="00365464">
      <w:pPr>
        <w:spacing w:after="100"/>
        <w:jc w:val="both"/>
      </w:pPr>
      <w:r w:rsidRPr="00365464">
        <w:rPr>
          <w:rFonts w:ascii="Arial" w:eastAsia="Arial" w:hAnsi="Arial" w:cs="Arial"/>
          <w:sz w:val="24"/>
          <w:szCs w:val="24"/>
        </w:rPr>
        <w:t xml:space="preserve">4. Implementar y validar BIOBIM frente a la enseñanza tradicional de la bioclimática, mediante un diseño </w:t>
      </w:r>
      <w:proofErr w:type="spellStart"/>
      <w:r w:rsidRPr="00365464">
        <w:rPr>
          <w:rFonts w:ascii="Arial" w:eastAsia="Arial" w:hAnsi="Arial" w:cs="Arial"/>
          <w:sz w:val="24"/>
          <w:szCs w:val="24"/>
        </w:rPr>
        <w:t>cuasi-experimental</w:t>
      </w:r>
      <w:proofErr w:type="spellEnd"/>
      <w:r w:rsidRPr="00365464">
        <w:rPr>
          <w:rFonts w:ascii="Arial" w:eastAsia="Arial" w:hAnsi="Arial" w:cs="Arial"/>
          <w:sz w:val="24"/>
          <w:szCs w:val="24"/>
        </w:rPr>
        <w:t xml:space="preserve"> de dos grupos en un curso universitario, con el fin de evaluar su efecto sobre la velocidad de iteración de diseño, la calidad de las decisiones de diseño pasivo y la comprensión conceptual, y de discutir sus implicaciones para la formación en diseño bioclimático asistido por BIM en el contexto colombiano.</w:t>
      </w:r>
    </w:p>
    <w:p w14:paraId="5781F144" w14:textId="77777777" w:rsidR="0049716D" w:rsidRPr="00365464" w:rsidRDefault="00365464">
      <w:pPr>
        <w:pStyle w:val="Heading1"/>
        <w:spacing w:before="140" w:after="80"/>
        <w:rPr>
          <w:lang w:val="es-CO"/>
        </w:rPr>
      </w:pPr>
      <w:r w:rsidRPr="00365464">
        <w:rPr>
          <w:rFonts w:ascii="Arial" w:eastAsia="Arial" w:hAnsi="Arial" w:cs="Arial"/>
          <w:b/>
          <w:bCs/>
          <w:sz w:val="26"/>
          <w:szCs w:val="26"/>
          <w:lang w:val="es-CO"/>
        </w:rPr>
        <w:t>4. Metodología</w:t>
      </w:r>
    </w:p>
    <w:p w14:paraId="5781F145" w14:textId="77777777" w:rsidR="0049716D" w:rsidRPr="00365464" w:rsidRDefault="00365464">
      <w:pPr>
        <w:spacing w:after="100"/>
        <w:jc w:val="both"/>
      </w:pPr>
      <w:r w:rsidRPr="00365464">
        <w:rPr>
          <w:rFonts w:ascii="Arial" w:eastAsia="Arial" w:hAnsi="Arial" w:cs="Arial"/>
          <w:sz w:val="24"/>
          <w:szCs w:val="24"/>
        </w:rPr>
        <w:t xml:space="preserve">La metodología de esta investigación se organiza en cuatro fases secuenciales, alineadas con los objetivos específicos: (1) Exploración, (2) Análisis, (3) Diseño y (4) Validación. Las primeras tres fases ya se encuentran en curso o completadas al momento de esta propuesta; la fase de Validación, el diseño </w:t>
      </w:r>
      <w:proofErr w:type="spellStart"/>
      <w:r w:rsidRPr="00365464">
        <w:rPr>
          <w:rFonts w:ascii="Arial" w:eastAsia="Arial" w:hAnsi="Arial" w:cs="Arial"/>
          <w:sz w:val="24"/>
          <w:szCs w:val="24"/>
        </w:rPr>
        <w:t>cuasi-experimental</w:t>
      </w:r>
      <w:proofErr w:type="spellEnd"/>
      <w:r w:rsidRPr="00365464">
        <w:rPr>
          <w:rFonts w:ascii="Arial" w:eastAsia="Arial" w:hAnsi="Arial" w:cs="Arial"/>
          <w:sz w:val="24"/>
          <w:szCs w:val="24"/>
        </w:rPr>
        <w:t xml:space="preserve"> que evalúa BIOBIM frente a la enseñanza tradicional, constituye el núcleo metodológico de la tesis doctoral y se describe en detalle en la sección 4.4.</w:t>
      </w:r>
    </w:p>
    <w:p w14:paraId="5781F146" w14:textId="77777777" w:rsidR="0049716D" w:rsidRPr="00365464" w:rsidRDefault="00365464">
      <w:pPr>
        <w:pStyle w:val="Heading2"/>
        <w:spacing w:before="140" w:after="80"/>
        <w:rPr>
          <w:lang w:val="es-CO"/>
        </w:rPr>
      </w:pPr>
      <w:r w:rsidRPr="00365464">
        <w:rPr>
          <w:rFonts w:ascii="Arial" w:eastAsia="Arial" w:hAnsi="Arial" w:cs="Arial"/>
          <w:b/>
          <w:bCs/>
          <w:sz w:val="24"/>
          <w:szCs w:val="24"/>
          <w:lang w:val="es-CO"/>
        </w:rPr>
        <w:t>4.1 Fase 1: Exploración</w:t>
      </w:r>
    </w:p>
    <w:p w14:paraId="5781F147" w14:textId="77777777" w:rsidR="0049716D" w:rsidRPr="00365464" w:rsidRDefault="00365464">
      <w:pPr>
        <w:spacing w:after="100"/>
        <w:jc w:val="both"/>
      </w:pPr>
      <w:r w:rsidRPr="00365464">
        <w:rPr>
          <w:rFonts w:ascii="Arial" w:eastAsia="Arial" w:hAnsi="Arial" w:cs="Arial"/>
          <w:sz w:val="24"/>
          <w:szCs w:val="24"/>
        </w:rPr>
        <w:t xml:space="preserve">Revisión de la literatura en tres ejes (BIM en la educación, pedagogía del diseño bioclimático y herramientas de mediación tecnológica en la enseñanza del diseño), complementada con una búsqueda dedicada de fuentes en español y portugués en bases regionales, y con el seguimiento de cadenas de citación de los antecedentes más cercanos. Cada fuente se clasifica según su proximidad temática a BIOBIM (escala de 1 a 5), lo que </w:t>
      </w:r>
      <w:r w:rsidRPr="00365464">
        <w:rPr>
          <w:rFonts w:ascii="Arial" w:eastAsia="Arial" w:hAnsi="Arial" w:cs="Arial"/>
          <w:sz w:val="24"/>
          <w:szCs w:val="24"/>
        </w:rPr>
        <w:lastRenderedPageBreak/>
        <w:t>permite ubicar con precisión el vacío que esta tesis busca cerrar y anticipar riesgos de solapamiento con trabajos ya publicados.</w:t>
      </w:r>
    </w:p>
    <w:p w14:paraId="5781F148" w14:textId="77777777" w:rsidR="0049716D" w:rsidRPr="00365464" w:rsidRDefault="00365464">
      <w:pPr>
        <w:pStyle w:val="Heading2"/>
        <w:spacing w:before="140" w:after="80"/>
        <w:rPr>
          <w:lang w:val="es-CO"/>
        </w:rPr>
      </w:pPr>
      <w:r w:rsidRPr="00365464">
        <w:rPr>
          <w:rFonts w:ascii="Arial" w:eastAsia="Arial" w:hAnsi="Arial" w:cs="Arial"/>
          <w:b/>
          <w:bCs/>
          <w:sz w:val="24"/>
          <w:szCs w:val="24"/>
          <w:lang w:val="es-CO"/>
        </w:rPr>
        <w:t>4.2 Fase 2: Análisis</w:t>
      </w:r>
    </w:p>
    <w:p w14:paraId="5781F149" w14:textId="77777777" w:rsidR="0049716D" w:rsidRPr="00365464" w:rsidRDefault="00365464">
      <w:pPr>
        <w:spacing w:after="100"/>
        <w:jc w:val="both"/>
      </w:pPr>
      <w:r w:rsidRPr="00365464">
        <w:rPr>
          <w:rFonts w:ascii="Arial" w:eastAsia="Arial" w:hAnsi="Arial" w:cs="Arial"/>
          <w:sz w:val="24"/>
          <w:szCs w:val="24"/>
        </w:rPr>
        <w:t>Análisis del modelo general y el diagnóstico ya validados por el investigador (Volkmar Vélez, 2024), y de las limitaciones de la enseñanza tradicional de la bioclimática identificadas en la Fase 1, para derivar los requisitos pedagógicos y técnicos que debe cumplir el modelo BIOBIM: retroalimentación ambiental ágil dentro del flujo BIM, baja fricción técnica y de acceso para el estudiante, y capacidad de medir resultados de aprendizaje en al menos tres dimensiones (velocidad de iteración, calidad de decisiones pasivas, comprensión conceptual).</w:t>
      </w:r>
    </w:p>
    <w:p w14:paraId="5781F14A" w14:textId="77777777" w:rsidR="0049716D" w:rsidRPr="00365464" w:rsidRDefault="00365464">
      <w:pPr>
        <w:pStyle w:val="Heading2"/>
        <w:spacing w:before="140" w:after="80"/>
        <w:rPr>
          <w:lang w:val="es-CO"/>
        </w:rPr>
      </w:pPr>
      <w:r w:rsidRPr="00365464">
        <w:rPr>
          <w:rFonts w:ascii="Arial" w:eastAsia="Arial" w:hAnsi="Arial" w:cs="Arial"/>
          <w:b/>
          <w:bCs/>
          <w:sz w:val="24"/>
          <w:szCs w:val="24"/>
          <w:lang w:val="es-CO"/>
        </w:rPr>
        <w:t>4.3 Fase 3: Diseño</w:t>
      </w:r>
    </w:p>
    <w:p w14:paraId="5781F14B" w14:textId="77777777" w:rsidR="0049716D" w:rsidRPr="00365464" w:rsidRDefault="00365464">
      <w:pPr>
        <w:spacing w:after="100"/>
        <w:jc w:val="both"/>
      </w:pPr>
      <w:r w:rsidRPr="00365464">
        <w:rPr>
          <w:rFonts w:ascii="Arial" w:eastAsia="Arial" w:hAnsi="Arial" w:cs="Arial"/>
          <w:sz w:val="24"/>
          <w:szCs w:val="24"/>
        </w:rPr>
        <w:t>Diseño de las herramientas de andamiaje cognitivo de BIOBIM a partir de los requisitos derivados en la Fase 2, una para cada una de las tres etapas de trabajo descritas en la Introducción: apoyos (</w:t>
      </w:r>
      <w:proofErr w:type="spellStart"/>
      <w:r w:rsidRPr="00365464">
        <w:rPr>
          <w:rFonts w:ascii="Arial" w:eastAsia="Arial" w:hAnsi="Arial" w:cs="Arial"/>
          <w:b/>
          <w:bCs/>
          <w:sz w:val="24"/>
          <w:szCs w:val="24"/>
        </w:rPr>
        <w:t>scaffolds</w:t>
      </w:r>
      <w:proofErr w:type="spellEnd"/>
      <w:r w:rsidRPr="00365464">
        <w:rPr>
          <w:rFonts w:ascii="Arial" w:eastAsia="Arial" w:hAnsi="Arial" w:cs="Arial"/>
          <w:sz w:val="24"/>
          <w:szCs w:val="24"/>
        </w:rPr>
        <w:t xml:space="preserve">, es decir, soportes temporales que se retiran a medida que el estudiante gana autonomía) para la etapa de Requerimientos del proyecto, para la etapa de Definición de estrategias, y para la etapa de Montaje y validación del proyecto dentro del entorno BIM. Esta fase incluye también el diseño del reto de diseño final compartido entre grupos y de los instrumentos de medición (rúbrica de evaluación, mecanismo de registro de iteraciones, prueba de comprensión conceptual, escala de motivación tipo </w:t>
      </w:r>
      <w:proofErr w:type="spellStart"/>
      <w:r w:rsidRPr="00365464">
        <w:rPr>
          <w:rFonts w:ascii="Arial" w:eastAsia="Arial" w:hAnsi="Arial" w:cs="Arial"/>
          <w:b/>
          <w:bCs/>
          <w:sz w:val="24"/>
          <w:szCs w:val="24"/>
        </w:rPr>
        <w:t>Intrinsic</w:t>
      </w:r>
      <w:proofErr w:type="spellEnd"/>
      <w:r w:rsidRPr="00365464">
        <w:rPr>
          <w:rFonts w:ascii="Arial" w:eastAsia="Arial" w:hAnsi="Arial" w:cs="Arial"/>
          <w:b/>
          <w:bCs/>
          <w:sz w:val="24"/>
          <w:szCs w:val="24"/>
        </w:rPr>
        <w:t xml:space="preserve"> </w:t>
      </w:r>
      <w:proofErr w:type="spellStart"/>
      <w:r w:rsidRPr="00365464">
        <w:rPr>
          <w:rFonts w:ascii="Arial" w:eastAsia="Arial" w:hAnsi="Arial" w:cs="Arial"/>
          <w:b/>
          <w:bCs/>
          <w:sz w:val="24"/>
          <w:szCs w:val="24"/>
        </w:rPr>
        <w:t>Motivation</w:t>
      </w:r>
      <w:proofErr w:type="spellEnd"/>
      <w:r w:rsidRPr="00365464">
        <w:rPr>
          <w:rFonts w:ascii="Arial" w:eastAsia="Arial" w:hAnsi="Arial" w:cs="Arial"/>
          <w:b/>
          <w:bCs/>
          <w:sz w:val="24"/>
          <w:szCs w:val="24"/>
        </w:rPr>
        <w:t xml:space="preserve"> </w:t>
      </w:r>
      <w:proofErr w:type="spellStart"/>
      <w:r w:rsidRPr="00365464">
        <w:rPr>
          <w:rFonts w:ascii="Arial" w:eastAsia="Arial" w:hAnsi="Arial" w:cs="Arial"/>
          <w:b/>
          <w:bCs/>
          <w:sz w:val="24"/>
          <w:szCs w:val="24"/>
        </w:rPr>
        <w:t>Inventory</w:t>
      </w:r>
      <w:proofErr w:type="spellEnd"/>
      <w:r w:rsidRPr="00365464">
        <w:rPr>
          <w:rFonts w:ascii="Arial" w:eastAsia="Arial" w:hAnsi="Arial" w:cs="Arial"/>
          <w:sz w:val="24"/>
          <w:szCs w:val="24"/>
        </w:rPr>
        <w:t>). Los instrumentos se someten a revisión de contenido por juicio de expertos antes de su implementación en la Fase 4. Estos apoyos se diseñan de manera que, más allá de su función pedagógica, puedan aplicarse también en el flujo de trabajo de un proyecto profesional real, aunque esta aplicación profesional es una extensión propuesta por este doctorado y no una validación heredada del antecedente.</w:t>
      </w:r>
    </w:p>
    <w:p w14:paraId="5781F14C" w14:textId="77777777" w:rsidR="0049716D" w:rsidRPr="00365464" w:rsidRDefault="00365464">
      <w:pPr>
        <w:pStyle w:val="Heading2"/>
        <w:spacing w:before="140" w:after="80"/>
        <w:rPr>
          <w:lang w:val="es-CO"/>
        </w:rPr>
      </w:pPr>
      <w:r w:rsidRPr="00365464">
        <w:rPr>
          <w:rFonts w:ascii="Arial" w:eastAsia="Arial" w:hAnsi="Arial" w:cs="Arial"/>
          <w:b/>
          <w:bCs/>
          <w:sz w:val="24"/>
          <w:szCs w:val="24"/>
          <w:lang w:val="es-CO"/>
        </w:rPr>
        <w:t>4.4 Fase 4: Validación</w:t>
      </w:r>
    </w:p>
    <w:p w14:paraId="5781F14D" w14:textId="77777777" w:rsidR="0049716D" w:rsidRPr="00365464" w:rsidRDefault="00365464">
      <w:pPr>
        <w:spacing w:after="100"/>
        <w:jc w:val="both"/>
      </w:pPr>
      <w:r w:rsidRPr="00365464">
        <w:rPr>
          <w:rFonts w:ascii="Arial" w:eastAsia="Arial" w:hAnsi="Arial" w:cs="Arial"/>
          <w:b/>
          <w:bCs/>
          <w:sz w:val="24"/>
          <w:szCs w:val="24"/>
        </w:rPr>
        <w:t xml:space="preserve">4.4.1 Diseño de investigación. </w:t>
      </w:r>
      <w:r w:rsidRPr="00365464">
        <w:rPr>
          <w:rFonts w:ascii="Arial" w:eastAsia="Arial" w:hAnsi="Arial" w:cs="Arial"/>
          <w:sz w:val="24"/>
          <w:szCs w:val="24"/>
        </w:rPr>
        <w:t xml:space="preserve">Diseño </w:t>
      </w:r>
      <w:proofErr w:type="spellStart"/>
      <w:r w:rsidRPr="00365464">
        <w:rPr>
          <w:rFonts w:ascii="Arial" w:eastAsia="Arial" w:hAnsi="Arial" w:cs="Arial"/>
          <w:sz w:val="24"/>
          <w:szCs w:val="24"/>
        </w:rPr>
        <w:t>cuasi-experimental</w:t>
      </w:r>
      <w:proofErr w:type="spellEnd"/>
      <w:r w:rsidRPr="00365464">
        <w:rPr>
          <w:rFonts w:ascii="Arial" w:eastAsia="Arial" w:hAnsi="Arial" w:cs="Arial"/>
          <w:sz w:val="24"/>
          <w:szCs w:val="24"/>
        </w:rPr>
        <w:t xml:space="preserve"> de métodos mixtos, apropiado para un contexto en el que la asignación aleatoria de estudiantes no es viable. El componente cuantitativo compara dos grupos intactos, Grupo Control (enseñanza tradicional) y Grupo Experimental (modelo BIOBIM), dentro de una misma asignatura, con el mismo docente y la misma rúbrica de evaluación, complementado con un componente cualitativo orientado a la triangulación e interpretación del mecanismo pedagógico.</w:t>
      </w:r>
    </w:p>
    <w:p w14:paraId="5781F14E" w14:textId="77777777" w:rsidR="0049716D" w:rsidRPr="00365464" w:rsidRDefault="00365464">
      <w:pPr>
        <w:spacing w:after="100"/>
        <w:jc w:val="both"/>
      </w:pPr>
      <w:r w:rsidRPr="00365464">
        <w:rPr>
          <w:rFonts w:ascii="Arial" w:eastAsia="Arial" w:hAnsi="Arial" w:cs="Arial"/>
          <w:b/>
          <w:bCs/>
          <w:sz w:val="24"/>
          <w:szCs w:val="24"/>
        </w:rPr>
        <w:t xml:space="preserve">4.4.2 Población y muestra. </w:t>
      </w:r>
      <w:r w:rsidRPr="00365464">
        <w:rPr>
          <w:rFonts w:ascii="Arial" w:eastAsia="Arial" w:hAnsi="Arial" w:cs="Arial"/>
          <w:sz w:val="24"/>
          <w:szCs w:val="24"/>
        </w:rPr>
        <w:t>Estudiantes de pregrado avanzado (semestres 7-9), en cohortes de 10 a 20 estudiantes por grupo, en al menos una institución de educación superior colombiana (gestión de acceso en curso, sujeta a aprobación del comité de ética y curricular correspondiente).</w:t>
      </w:r>
    </w:p>
    <w:p w14:paraId="5781F14F" w14:textId="77777777" w:rsidR="0049716D" w:rsidRPr="00365464" w:rsidRDefault="00365464">
      <w:pPr>
        <w:spacing w:after="100"/>
        <w:jc w:val="both"/>
      </w:pPr>
      <w:r w:rsidRPr="00365464">
        <w:rPr>
          <w:rFonts w:ascii="Arial" w:eastAsia="Arial" w:hAnsi="Arial" w:cs="Arial"/>
          <w:b/>
          <w:bCs/>
          <w:sz w:val="24"/>
          <w:szCs w:val="24"/>
        </w:rPr>
        <w:lastRenderedPageBreak/>
        <w:t xml:space="preserve">4.4.3 Variables de resultado y análisis estadístico. </w:t>
      </w:r>
      <w:r w:rsidRPr="00365464">
        <w:rPr>
          <w:rFonts w:ascii="Arial" w:eastAsia="Arial" w:hAnsi="Arial" w:cs="Arial"/>
          <w:sz w:val="24"/>
          <w:szCs w:val="24"/>
        </w:rPr>
        <w:t>Se evaluarán tres dimensiones, cada una con el modelo estadístico apropiado a su estructura de datos: (a) comprensión conceptual y transferencia, mediante ANCOVA que ajusta el puntaje posterior por un pretest y por covariables de línea base no equivalentes; (b) calidad de las decisiones de diseño pasivo, mediante ANCOVA con una tarea de boceto inicial como covariable, complementado con un segundo evaluador ciego sobre una submuestra; y (c) velocidad de iteración de diseño (variable de conteo), mediante una prueba de rangos ajustada por covariables (Mann-Whitney/permutación) como análisis principal y un modelo lineal generalizado binomial negativo como verificación de robustez. Se reportarán tamaños del efecto con sus intervalos de confianza, dado que el tamaño de muestra (n ≈ 10-20 por grupo) resulta insuficiente para detectar efectos pequeños o medianos con potencia adecuada.</w:t>
      </w:r>
    </w:p>
    <w:p w14:paraId="5781F150" w14:textId="77777777" w:rsidR="0049716D" w:rsidRPr="00365464" w:rsidRDefault="00365464">
      <w:pPr>
        <w:spacing w:after="100"/>
        <w:jc w:val="both"/>
      </w:pPr>
      <w:r w:rsidRPr="00365464">
        <w:rPr>
          <w:rFonts w:ascii="Arial" w:eastAsia="Arial" w:hAnsi="Arial" w:cs="Arial"/>
          <w:b/>
          <w:bCs/>
          <w:sz w:val="24"/>
          <w:szCs w:val="24"/>
        </w:rPr>
        <w:t xml:space="preserve">4.4.4 Control del efecto novedad/instructor. </w:t>
      </w:r>
      <w:r w:rsidRPr="00365464">
        <w:rPr>
          <w:rFonts w:ascii="Arial" w:eastAsia="Arial" w:hAnsi="Arial" w:cs="Arial"/>
          <w:sz w:val="24"/>
          <w:szCs w:val="24"/>
        </w:rPr>
        <w:t xml:space="preserve">Se aplicará a ambos grupos una escala de motivación e interés percibido de tipo </w:t>
      </w:r>
      <w:proofErr w:type="spellStart"/>
      <w:r w:rsidRPr="00365464">
        <w:rPr>
          <w:rFonts w:ascii="Arial" w:eastAsia="Arial" w:hAnsi="Arial" w:cs="Arial"/>
          <w:b/>
          <w:bCs/>
          <w:sz w:val="24"/>
          <w:szCs w:val="24"/>
        </w:rPr>
        <w:t>Intrinsic</w:t>
      </w:r>
      <w:proofErr w:type="spellEnd"/>
      <w:r w:rsidRPr="00365464">
        <w:rPr>
          <w:rFonts w:ascii="Arial" w:eastAsia="Arial" w:hAnsi="Arial" w:cs="Arial"/>
          <w:b/>
          <w:bCs/>
          <w:sz w:val="24"/>
          <w:szCs w:val="24"/>
        </w:rPr>
        <w:t xml:space="preserve"> </w:t>
      </w:r>
      <w:proofErr w:type="spellStart"/>
      <w:r w:rsidRPr="00365464">
        <w:rPr>
          <w:rFonts w:ascii="Arial" w:eastAsia="Arial" w:hAnsi="Arial" w:cs="Arial"/>
          <w:b/>
          <w:bCs/>
          <w:sz w:val="24"/>
          <w:szCs w:val="24"/>
        </w:rPr>
        <w:t>Motivation</w:t>
      </w:r>
      <w:proofErr w:type="spellEnd"/>
      <w:r w:rsidRPr="00365464">
        <w:rPr>
          <w:rFonts w:ascii="Arial" w:eastAsia="Arial" w:hAnsi="Arial" w:cs="Arial"/>
          <w:b/>
          <w:bCs/>
          <w:sz w:val="24"/>
          <w:szCs w:val="24"/>
        </w:rPr>
        <w:t xml:space="preserve"> </w:t>
      </w:r>
      <w:proofErr w:type="spellStart"/>
      <w:r w:rsidRPr="00365464">
        <w:rPr>
          <w:rFonts w:ascii="Arial" w:eastAsia="Arial" w:hAnsi="Arial" w:cs="Arial"/>
          <w:b/>
          <w:bCs/>
          <w:sz w:val="24"/>
          <w:szCs w:val="24"/>
        </w:rPr>
        <w:t>Inventory</w:t>
      </w:r>
      <w:proofErr w:type="spellEnd"/>
      <w:r w:rsidRPr="00365464">
        <w:rPr>
          <w:rFonts w:ascii="Arial" w:eastAsia="Arial" w:hAnsi="Arial" w:cs="Arial"/>
          <w:sz w:val="24"/>
          <w:szCs w:val="24"/>
        </w:rPr>
        <w:t xml:space="preserve"> (IMI). Si ambos grupos reportan niveles de motivación similares mientras el grupo experimental obtiene mejores resultados de aprendizaje, se interpretará que la diferencia responde al mecanismo pedagógico propuesto y no a la novedad de la intervención.</w:t>
      </w:r>
    </w:p>
    <w:p w14:paraId="5781F151" w14:textId="77777777" w:rsidR="0049716D" w:rsidRPr="00365464" w:rsidRDefault="00365464">
      <w:pPr>
        <w:spacing w:after="100"/>
        <w:jc w:val="both"/>
      </w:pPr>
      <w:r w:rsidRPr="00365464">
        <w:rPr>
          <w:rFonts w:ascii="Arial" w:eastAsia="Arial" w:hAnsi="Arial" w:cs="Arial"/>
          <w:b/>
          <w:bCs/>
          <w:sz w:val="24"/>
          <w:szCs w:val="24"/>
        </w:rPr>
        <w:t xml:space="preserve">4.4.5 Componente cualitativo. </w:t>
      </w:r>
      <w:r w:rsidRPr="00365464">
        <w:rPr>
          <w:rFonts w:ascii="Arial" w:eastAsia="Arial" w:hAnsi="Arial" w:cs="Arial"/>
          <w:sz w:val="24"/>
          <w:szCs w:val="24"/>
        </w:rPr>
        <w:t>Entrevistas semiestructuradas y bitácoras de proceso de diseño en ambos grupos, para triangular los hallazgos cuantitativos y documentar evidencia directa sobre el mecanismo pedagógico propuesto. El análisis seguirá un procedimiento de codificación temática, con categorías emergentes contrastadas frente a las categorías teóricas de la investigación.</w:t>
      </w:r>
    </w:p>
    <w:p w14:paraId="5781F152" w14:textId="77777777" w:rsidR="0049716D" w:rsidRPr="00365464" w:rsidRDefault="00365464">
      <w:pPr>
        <w:spacing w:after="100"/>
        <w:jc w:val="both"/>
      </w:pPr>
      <w:r w:rsidRPr="00365464">
        <w:rPr>
          <w:rFonts w:ascii="Arial" w:eastAsia="Arial" w:hAnsi="Arial" w:cs="Arial"/>
          <w:b/>
          <w:bCs/>
          <w:sz w:val="24"/>
          <w:szCs w:val="24"/>
        </w:rPr>
        <w:t xml:space="preserve">4.4.6 Limitación metodológica central. </w:t>
      </w:r>
      <w:r w:rsidRPr="00365464">
        <w:rPr>
          <w:rFonts w:ascii="Arial" w:eastAsia="Arial" w:hAnsi="Arial" w:cs="Arial"/>
          <w:sz w:val="24"/>
          <w:szCs w:val="24"/>
        </w:rPr>
        <w:t>Al contar con una única sección por condición, la variable "grupo" queda confundida con la variable "sección". Esta limitación se reconoce explícitamente: los resultados evitarán lenguaje causal en favor de formulaciones asociativas, y se propone como extensión una réplica contrabalanceada en cohortes sucesivas, compatible con un diseño de investigación basada en diseño (</w:t>
      </w:r>
      <w:proofErr w:type="spellStart"/>
      <w:r w:rsidRPr="00365464">
        <w:rPr>
          <w:rFonts w:ascii="Arial" w:eastAsia="Arial" w:hAnsi="Arial" w:cs="Arial"/>
          <w:sz w:val="24"/>
          <w:szCs w:val="24"/>
        </w:rPr>
        <w:t>Design-Based</w:t>
      </w:r>
      <w:proofErr w:type="spellEnd"/>
      <w:r w:rsidRPr="00365464">
        <w:rPr>
          <w:rFonts w:ascii="Arial" w:eastAsia="Arial" w:hAnsi="Arial" w:cs="Arial"/>
          <w:sz w:val="24"/>
          <w:szCs w:val="24"/>
        </w:rPr>
        <w:t xml:space="preserve"> </w:t>
      </w:r>
      <w:proofErr w:type="spellStart"/>
      <w:r w:rsidRPr="00365464">
        <w:rPr>
          <w:rFonts w:ascii="Arial" w:eastAsia="Arial" w:hAnsi="Arial" w:cs="Arial"/>
          <w:sz w:val="24"/>
          <w:szCs w:val="24"/>
        </w:rPr>
        <w:t>Research</w:t>
      </w:r>
      <w:proofErr w:type="spellEnd"/>
      <w:r w:rsidRPr="00365464">
        <w:rPr>
          <w:rFonts w:ascii="Arial" w:eastAsia="Arial" w:hAnsi="Arial" w:cs="Arial"/>
          <w:sz w:val="24"/>
          <w:szCs w:val="24"/>
        </w:rPr>
        <w:t xml:space="preserve"> </w:t>
      </w:r>
      <w:proofErr w:type="spellStart"/>
      <w:r w:rsidRPr="00365464">
        <w:rPr>
          <w:rFonts w:ascii="Arial" w:eastAsia="Arial" w:hAnsi="Arial" w:cs="Arial"/>
          <w:sz w:val="24"/>
          <w:szCs w:val="24"/>
        </w:rPr>
        <w:t>Collective</w:t>
      </w:r>
      <w:proofErr w:type="spellEnd"/>
      <w:r w:rsidRPr="00365464">
        <w:rPr>
          <w:rFonts w:ascii="Arial" w:eastAsia="Arial" w:hAnsi="Arial" w:cs="Arial"/>
          <w:sz w:val="24"/>
          <w:szCs w:val="24"/>
        </w:rPr>
        <w:t>, 2003).</w:t>
      </w:r>
    </w:p>
    <w:p w14:paraId="5781F153" w14:textId="77777777" w:rsidR="0049716D" w:rsidRPr="00365464" w:rsidRDefault="00365464">
      <w:pPr>
        <w:spacing w:after="100"/>
        <w:jc w:val="both"/>
      </w:pPr>
      <w:r w:rsidRPr="00365464">
        <w:rPr>
          <w:rFonts w:ascii="Arial" w:eastAsia="Arial" w:hAnsi="Arial" w:cs="Arial"/>
          <w:b/>
          <w:bCs/>
          <w:sz w:val="24"/>
          <w:szCs w:val="24"/>
        </w:rPr>
        <w:t xml:space="preserve">4.4.7 Consideraciones éticas. </w:t>
      </w:r>
      <w:r w:rsidRPr="00365464">
        <w:rPr>
          <w:rFonts w:ascii="Arial" w:eastAsia="Arial" w:hAnsi="Arial" w:cs="Arial"/>
          <w:sz w:val="24"/>
          <w:szCs w:val="24"/>
        </w:rPr>
        <w:t>La implementación está sujeta a la aprobación previa del comité de ética y del comité curricular de la institución participante; se garantizará el consentimiento informado de los estudiantes, la posibilidad de retiro sin afectar su evaluación académica regular, y la cobertura equivalente de los contenidos curriculares mínimos en ambos grupos.</w:t>
      </w:r>
    </w:p>
    <w:p w14:paraId="5781F154" w14:textId="77777777" w:rsidR="0049716D" w:rsidRPr="00365464" w:rsidRDefault="00365464">
      <w:pPr>
        <w:pStyle w:val="Heading1"/>
        <w:spacing w:before="140" w:after="80"/>
        <w:rPr>
          <w:lang w:val="es-CO"/>
        </w:rPr>
      </w:pPr>
      <w:r w:rsidRPr="00365464">
        <w:rPr>
          <w:rFonts w:ascii="Arial" w:eastAsia="Arial" w:hAnsi="Arial" w:cs="Arial"/>
          <w:b/>
          <w:bCs/>
          <w:sz w:val="26"/>
          <w:szCs w:val="26"/>
          <w:lang w:val="es-CO"/>
        </w:rPr>
        <w:t>5. Cronograma</w:t>
      </w:r>
    </w:p>
    <w:p w14:paraId="5781F155" w14:textId="451CE61E" w:rsidR="0049716D" w:rsidRPr="00365464" w:rsidRDefault="00365464">
      <w:pPr>
        <w:spacing w:after="100"/>
        <w:jc w:val="both"/>
      </w:pPr>
      <w:r w:rsidRPr="00365464">
        <w:rPr>
          <w:rFonts w:ascii="Arial" w:eastAsia="Arial" w:hAnsi="Arial" w:cs="Arial"/>
          <w:sz w:val="24"/>
          <w:szCs w:val="24"/>
        </w:rPr>
        <w:t xml:space="preserve">Esta investigación se plantea a seis semestres. La Tabla 2 distribuye las cuatro fases de la </w:t>
      </w:r>
      <w:r>
        <w:rPr>
          <w:rFonts w:ascii="Arial" w:eastAsia="Arial" w:hAnsi="Arial" w:cs="Arial"/>
          <w:sz w:val="24"/>
          <w:szCs w:val="24"/>
        </w:rPr>
        <w:t>metodología</w:t>
      </w:r>
      <w:r w:rsidRPr="00365464">
        <w:rPr>
          <w:rFonts w:ascii="Arial" w:eastAsia="Arial" w:hAnsi="Arial" w:cs="Arial"/>
          <w:sz w:val="24"/>
          <w:szCs w:val="24"/>
        </w:rPr>
        <w:t xml:space="preserve"> (sección 4) y sus principales actividades a lo largo de ese horizonte.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872"/>
        <w:gridCol w:w="872"/>
        <w:gridCol w:w="872"/>
        <w:gridCol w:w="872"/>
        <w:gridCol w:w="872"/>
        <w:gridCol w:w="872"/>
      </w:tblGrid>
      <w:tr w:rsidR="0049716D" w:rsidRPr="00365464" w14:paraId="5781F15D" w14:textId="77777777">
        <w:trPr>
          <w:tblHeader/>
        </w:trPr>
        <w:tc>
          <w:tcPr>
            <w:tcW w:w="1700" w:type="pct"/>
            <w:tcBorders>
              <w:top w:val="single" w:sz="4" w:space="0" w:color="999999"/>
              <w:left w:val="single" w:sz="4" w:space="0" w:color="999999"/>
              <w:bottom w:val="single" w:sz="4" w:space="0" w:color="999999"/>
              <w:right w:val="single" w:sz="4" w:space="0" w:color="999999"/>
            </w:tcBorders>
            <w:shd w:val="clear" w:color="auto" w:fill="E0E0E0"/>
            <w:tcMar>
              <w:top w:w="40" w:type="dxa"/>
              <w:left w:w="60" w:type="dxa"/>
              <w:bottom w:w="40" w:type="dxa"/>
              <w:right w:w="60" w:type="dxa"/>
            </w:tcMar>
            <w:vAlign w:val="center"/>
          </w:tcPr>
          <w:p w14:paraId="5781F156" w14:textId="77777777" w:rsidR="0049716D" w:rsidRPr="00365464" w:rsidRDefault="00365464">
            <w:pPr>
              <w:spacing w:after="40"/>
              <w:rPr>
                <w:sz w:val="16"/>
                <w:szCs w:val="16"/>
              </w:rPr>
            </w:pPr>
            <w:r w:rsidRPr="00365464">
              <w:rPr>
                <w:rFonts w:ascii="Arial" w:eastAsia="Arial" w:hAnsi="Arial" w:cs="Arial"/>
                <w:b/>
                <w:bCs/>
                <w:sz w:val="16"/>
                <w:szCs w:val="16"/>
              </w:rPr>
              <w:lastRenderedPageBreak/>
              <w:t>Actividad</w:t>
            </w:r>
          </w:p>
        </w:tc>
        <w:tc>
          <w:tcPr>
            <w:tcW w:w="550" w:type="pct"/>
            <w:tcBorders>
              <w:top w:val="single" w:sz="4" w:space="0" w:color="999999"/>
              <w:left w:val="single" w:sz="4" w:space="0" w:color="999999"/>
              <w:bottom w:val="single" w:sz="4" w:space="0" w:color="999999"/>
              <w:right w:val="single" w:sz="4" w:space="0" w:color="999999"/>
            </w:tcBorders>
            <w:shd w:val="clear" w:color="auto" w:fill="E0E0E0"/>
            <w:tcMar>
              <w:top w:w="40" w:type="dxa"/>
              <w:left w:w="60" w:type="dxa"/>
              <w:bottom w:w="40" w:type="dxa"/>
              <w:right w:w="60" w:type="dxa"/>
            </w:tcMar>
            <w:vAlign w:val="center"/>
          </w:tcPr>
          <w:p w14:paraId="5781F157" w14:textId="77777777" w:rsidR="0049716D" w:rsidRPr="00365464" w:rsidRDefault="00365464">
            <w:pPr>
              <w:spacing w:after="40"/>
              <w:rPr>
                <w:sz w:val="16"/>
                <w:szCs w:val="16"/>
              </w:rPr>
            </w:pPr>
            <w:r w:rsidRPr="00365464">
              <w:rPr>
                <w:rFonts w:ascii="Arial" w:eastAsia="Arial" w:hAnsi="Arial" w:cs="Arial"/>
                <w:b/>
                <w:bCs/>
                <w:sz w:val="16"/>
                <w:szCs w:val="16"/>
              </w:rPr>
              <w:t>S1</w:t>
            </w:r>
          </w:p>
        </w:tc>
        <w:tc>
          <w:tcPr>
            <w:tcW w:w="550" w:type="pct"/>
            <w:tcBorders>
              <w:top w:val="single" w:sz="4" w:space="0" w:color="999999"/>
              <w:left w:val="single" w:sz="4" w:space="0" w:color="999999"/>
              <w:bottom w:val="single" w:sz="4" w:space="0" w:color="999999"/>
              <w:right w:val="single" w:sz="4" w:space="0" w:color="999999"/>
            </w:tcBorders>
            <w:shd w:val="clear" w:color="auto" w:fill="E0E0E0"/>
            <w:tcMar>
              <w:top w:w="40" w:type="dxa"/>
              <w:left w:w="60" w:type="dxa"/>
              <w:bottom w:w="40" w:type="dxa"/>
              <w:right w:w="60" w:type="dxa"/>
            </w:tcMar>
            <w:vAlign w:val="center"/>
          </w:tcPr>
          <w:p w14:paraId="5781F158" w14:textId="77777777" w:rsidR="0049716D" w:rsidRPr="00365464" w:rsidRDefault="00365464">
            <w:pPr>
              <w:spacing w:after="40"/>
              <w:rPr>
                <w:sz w:val="16"/>
                <w:szCs w:val="16"/>
              </w:rPr>
            </w:pPr>
            <w:r w:rsidRPr="00365464">
              <w:rPr>
                <w:rFonts w:ascii="Arial" w:eastAsia="Arial" w:hAnsi="Arial" w:cs="Arial"/>
                <w:b/>
                <w:bCs/>
                <w:sz w:val="16"/>
                <w:szCs w:val="16"/>
              </w:rPr>
              <w:t>S2</w:t>
            </w:r>
          </w:p>
        </w:tc>
        <w:tc>
          <w:tcPr>
            <w:tcW w:w="550" w:type="pct"/>
            <w:tcBorders>
              <w:top w:val="single" w:sz="4" w:space="0" w:color="999999"/>
              <w:left w:val="single" w:sz="4" w:space="0" w:color="999999"/>
              <w:bottom w:val="single" w:sz="4" w:space="0" w:color="999999"/>
              <w:right w:val="single" w:sz="4" w:space="0" w:color="999999"/>
            </w:tcBorders>
            <w:shd w:val="clear" w:color="auto" w:fill="E0E0E0"/>
            <w:tcMar>
              <w:top w:w="40" w:type="dxa"/>
              <w:left w:w="60" w:type="dxa"/>
              <w:bottom w:w="40" w:type="dxa"/>
              <w:right w:w="60" w:type="dxa"/>
            </w:tcMar>
            <w:vAlign w:val="center"/>
          </w:tcPr>
          <w:p w14:paraId="5781F159" w14:textId="77777777" w:rsidR="0049716D" w:rsidRPr="00365464" w:rsidRDefault="00365464">
            <w:pPr>
              <w:spacing w:after="40"/>
              <w:rPr>
                <w:sz w:val="16"/>
                <w:szCs w:val="16"/>
              </w:rPr>
            </w:pPr>
            <w:r w:rsidRPr="00365464">
              <w:rPr>
                <w:rFonts w:ascii="Arial" w:eastAsia="Arial" w:hAnsi="Arial" w:cs="Arial"/>
                <w:b/>
                <w:bCs/>
                <w:sz w:val="16"/>
                <w:szCs w:val="16"/>
              </w:rPr>
              <w:t>S3</w:t>
            </w:r>
          </w:p>
        </w:tc>
        <w:tc>
          <w:tcPr>
            <w:tcW w:w="550" w:type="pct"/>
            <w:tcBorders>
              <w:top w:val="single" w:sz="4" w:space="0" w:color="999999"/>
              <w:left w:val="single" w:sz="4" w:space="0" w:color="999999"/>
              <w:bottom w:val="single" w:sz="4" w:space="0" w:color="999999"/>
              <w:right w:val="single" w:sz="4" w:space="0" w:color="999999"/>
            </w:tcBorders>
            <w:shd w:val="clear" w:color="auto" w:fill="E0E0E0"/>
            <w:tcMar>
              <w:top w:w="40" w:type="dxa"/>
              <w:left w:w="60" w:type="dxa"/>
              <w:bottom w:w="40" w:type="dxa"/>
              <w:right w:w="60" w:type="dxa"/>
            </w:tcMar>
            <w:vAlign w:val="center"/>
          </w:tcPr>
          <w:p w14:paraId="5781F15A" w14:textId="77777777" w:rsidR="0049716D" w:rsidRPr="00365464" w:rsidRDefault="00365464">
            <w:pPr>
              <w:spacing w:after="40"/>
              <w:rPr>
                <w:sz w:val="16"/>
                <w:szCs w:val="16"/>
              </w:rPr>
            </w:pPr>
            <w:r w:rsidRPr="00365464">
              <w:rPr>
                <w:rFonts w:ascii="Arial" w:eastAsia="Arial" w:hAnsi="Arial" w:cs="Arial"/>
                <w:b/>
                <w:bCs/>
                <w:sz w:val="16"/>
                <w:szCs w:val="16"/>
              </w:rPr>
              <w:t>S4</w:t>
            </w:r>
          </w:p>
        </w:tc>
        <w:tc>
          <w:tcPr>
            <w:tcW w:w="550" w:type="pct"/>
            <w:tcBorders>
              <w:top w:val="single" w:sz="4" w:space="0" w:color="999999"/>
              <w:left w:val="single" w:sz="4" w:space="0" w:color="999999"/>
              <w:bottom w:val="single" w:sz="4" w:space="0" w:color="999999"/>
              <w:right w:val="single" w:sz="4" w:space="0" w:color="999999"/>
            </w:tcBorders>
            <w:shd w:val="clear" w:color="auto" w:fill="E0E0E0"/>
            <w:tcMar>
              <w:top w:w="40" w:type="dxa"/>
              <w:left w:w="60" w:type="dxa"/>
              <w:bottom w:w="40" w:type="dxa"/>
              <w:right w:w="60" w:type="dxa"/>
            </w:tcMar>
            <w:vAlign w:val="center"/>
          </w:tcPr>
          <w:p w14:paraId="5781F15B" w14:textId="77777777" w:rsidR="0049716D" w:rsidRPr="00365464" w:rsidRDefault="00365464">
            <w:pPr>
              <w:spacing w:after="40"/>
              <w:rPr>
                <w:sz w:val="16"/>
                <w:szCs w:val="16"/>
              </w:rPr>
            </w:pPr>
            <w:r w:rsidRPr="00365464">
              <w:rPr>
                <w:rFonts w:ascii="Arial" w:eastAsia="Arial" w:hAnsi="Arial" w:cs="Arial"/>
                <w:b/>
                <w:bCs/>
                <w:sz w:val="16"/>
                <w:szCs w:val="16"/>
              </w:rPr>
              <w:t>S5</w:t>
            </w:r>
          </w:p>
        </w:tc>
        <w:tc>
          <w:tcPr>
            <w:tcW w:w="550" w:type="pct"/>
            <w:tcBorders>
              <w:top w:val="single" w:sz="4" w:space="0" w:color="999999"/>
              <w:left w:val="single" w:sz="4" w:space="0" w:color="999999"/>
              <w:bottom w:val="single" w:sz="4" w:space="0" w:color="999999"/>
              <w:right w:val="single" w:sz="4" w:space="0" w:color="999999"/>
            </w:tcBorders>
            <w:shd w:val="clear" w:color="auto" w:fill="E0E0E0"/>
            <w:tcMar>
              <w:top w:w="40" w:type="dxa"/>
              <w:left w:w="60" w:type="dxa"/>
              <w:bottom w:w="40" w:type="dxa"/>
              <w:right w:w="60" w:type="dxa"/>
            </w:tcMar>
            <w:vAlign w:val="center"/>
          </w:tcPr>
          <w:p w14:paraId="5781F15C" w14:textId="77777777" w:rsidR="0049716D" w:rsidRPr="00365464" w:rsidRDefault="00365464">
            <w:pPr>
              <w:spacing w:after="40"/>
              <w:rPr>
                <w:sz w:val="16"/>
                <w:szCs w:val="16"/>
              </w:rPr>
            </w:pPr>
            <w:r w:rsidRPr="00365464">
              <w:rPr>
                <w:rFonts w:ascii="Arial" w:eastAsia="Arial" w:hAnsi="Arial" w:cs="Arial"/>
                <w:b/>
                <w:bCs/>
                <w:sz w:val="16"/>
                <w:szCs w:val="16"/>
              </w:rPr>
              <w:t>S6</w:t>
            </w:r>
          </w:p>
        </w:tc>
      </w:tr>
      <w:tr w:rsidR="0049716D" w:rsidRPr="00365464" w14:paraId="5781F165" w14:textId="77777777">
        <w:tc>
          <w:tcPr>
            <w:tcW w:w="17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5E" w14:textId="69CD67F1" w:rsidR="0049716D" w:rsidRPr="00365464" w:rsidRDefault="00807F90">
            <w:pPr>
              <w:spacing w:after="40"/>
              <w:rPr>
                <w:sz w:val="16"/>
                <w:szCs w:val="16"/>
              </w:rPr>
            </w:pPr>
            <w:r w:rsidRPr="00365464">
              <w:rPr>
                <w:rFonts w:ascii="Arial" w:eastAsia="Arial" w:hAnsi="Arial" w:cs="Arial"/>
                <w:sz w:val="16"/>
                <w:szCs w:val="16"/>
              </w:rPr>
              <w:t>fase</w:t>
            </w:r>
            <w:r w:rsidR="00365464" w:rsidRPr="00365464">
              <w:rPr>
                <w:rFonts w:ascii="Arial" w:eastAsia="Arial" w:hAnsi="Arial" w:cs="Arial"/>
                <w:sz w:val="16"/>
                <w:szCs w:val="16"/>
              </w:rPr>
              <w:t xml:space="preserve"> 1: revisión de literatura (BIM-educación, pedagogía bioclimática, herramientas de mediación)</w:t>
            </w: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5F"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60"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61"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62"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63"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64" w14:textId="77777777" w:rsidR="0049716D" w:rsidRPr="00365464" w:rsidRDefault="0049716D">
            <w:pPr>
              <w:jc w:val="center"/>
              <w:rPr>
                <w:sz w:val="16"/>
                <w:szCs w:val="16"/>
              </w:rPr>
            </w:pPr>
          </w:p>
        </w:tc>
      </w:tr>
      <w:tr w:rsidR="0049716D" w:rsidRPr="00365464" w14:paraId="5781F16D" w14:textId="77777777">
        <w:tc>
          <w:tcPr>
            <w:tcW w:w="17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66" w14:textId="77777777" w:rsidR="0049716D" w:rsidRPr="00365464" w:rsidRDefault="00365464">
            <w:pPr>
              <w:spacing w:after="40"/>
              <w:rPr>
                <w:sz w:val="16"/>
                <w:szCs w:val="16"/>
              </w:rPr>
            </w:pPr>
            <w:r w:rsidRPr="00365464">
              <w:rPr>
                <w:rFonts w:ascii="Arial" w:eastAsia="Arial" w:hAnsi="Arial" w:cs="Arial"/>
                <w:sz w:val="16"/>
                <w:szCs w:val="16"/>
              </w:rPr>
              <w:t>Fase 2: análisis del modelo BIOBIM y del diagnóstico ya validados</w:t>
            </w: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67"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68"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69"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6A"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6B"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6C" w14:textId="77777777" w:rsidR="0049716D" w:rsidRPr="00365464" w:rsidRDefault="0049716D">
            <w:pPr>
              <w:jc w:val="center"/>
              <w:rPr>
                <w:sz w:val="16"/>
                <w:szCs w:val="16"/>
              </w:rPr>
            </w:pPr>
          </w:p>
        </w:tc>
      </w:tr>
      <w:tr w:rsidR="0049716D" w:rsidRPr="00365464" w14:paraId="5781F175" w14:textId="77777777">
        <w:tc>
          <w:tcPr>
            <w:tcW w:w="17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6E" w14:textId="77777777" w:rsidR="0049716D" w:rsidRPr="00365464" w:rsidRDefault="00365464">
            <w:pPr>
              <w:spacing w:after="40"/>
              <w:rPr>
                <w:sz w:val="16"/>
                <w:szCs w:val="16"/>
              </w:rPr>
            </w:pPr>
            <w:r w:rsidRPr="00365464">
              <w:rPr>
                <w:rFonts w:ascii="Arial" w:eastAsia="Arial" w:hAnsi="Arial" w:cs="Arial"/>
                <w:sz w:val="16"/>
                <w:szCs w:val="16"/>
              </w:rPr>
              <w:t>Fase 3: diseño de herramientas de andamiaje cognitivo e instrumentos de medición</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6F"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70"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71"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72"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73"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74" w14:textId="77777777" w:rsidR="0049716D" w:rsidRPr="00365464" w:rsidRDefault="0049716D">
            <w:pPr>
              <w:jc w:val="center"/>
              <w:rPr>
                <w:sz w:val="16"/>
                <w:szCs w:val="16"/>
              </w:rPr>
            </w:pPr>
          </w:p>
        </w:tc>
      </w:tr>
      <w:tr w:rsidR="0049716D" w:rsidRPr="00365464" w14:paraId="5781F17D" w14:textId="77777777">
        <w:tc>
          <w:tcPr>
            <w:tcW w:w="17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76" w14:textId="77777777" w:rsidR="0049716D" w:rsidRPr="00365464" w:rsidRDefault="00365464">
            <w:pPr>
              <w:spacing w:after="40"/>
              <w:rPr>
                <w:sz w:val="16"/>
                <w:szCs w:val="16"/>
              </w:rPr>
            </w:pPr>
            <w:r w:rsidRPr="00365464">
              <w:rPr>
                <w:rFonts w:ascii="Arial" w:eastAsia="Arial" w:hAnsi="Arial" w:cs="Arial"/>
                <w:sz w:val="16"/>
                <w:szCs w:val="16"/>
              </w:rPr>
              <w:t>Gestión de aprobación ética y curricular ante la institución participante</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77"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78"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79"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7A"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7B"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7C" w14:textId="77777777" w:rsidR="0049716D" w:rsidRPr="00365464" w:rsidRDefault="0049716D">
            <w:pPr>
              <w:jc w:val="center"/>
              <w:rPr>
                <w:sz w:val="16"/>
                <w:szCs w:val="16"/>
              </w:rPr>
            </w:pPr>
          </w:p>
        </w:tc>
      </w:tr>
      <w:tr w:rsidR="0049716D" w:rsidRPr="00365464" w14:paraId="5781F185" w14:textId="77777777">
        <w:tc>
          <w:tcPr>
            <w:tcW w:w="17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7E" w14:textId="77777777" w:rsidR="0049716D" w:rsidRPr="00365464" w:rsidRDefault="00365464">
            <w:pPr>
              <w:spacing w:after="40"/>
              <w:rPr>
                <w:sz w:val="16"/>
                <w:szCs w:val="16"/>
              </w:rPr>
            </w:pPr>
            <w:r w:rsidRPr="00365464">
              <w:rPr>
                <w:rFonts w:ascii="Arial" w:eastAsia="Arial" w:hAnsi="Arial" w:cs="Arial"/>
                <w:sz w:val="16"/>
                <w:szCs w:val="16"/>
              </w:rPr>
              <w:t>Validación de instrumentos por juicio de expertos</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7F"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80"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81"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82"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83"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84" w14:textId="77777777" w:rsidR="0049716D" w:rsidRPr="00365464" w:rsidRDefault="0049716D">
            <w:pPr>
              <w:jc w:val="center"/>
              <w:rPr>
                <w:sz w:val="16"/>
                <w:szCs w:val="16"/>
              </w:rPr>
            </w:pPr>
          </w:p>
        </w:tc>
      </w:tr>
      <w:tr w:rsidR="0049716D" w:rsidRPr="00365464" w14:paraId="5781F18D" w14:textId="77777777">
        <w:tc>
          <w:tcPr>
            <w:tcW w:w="17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86" w14:textId="77777777" w:rsidR="0049716D" w:rsidRPr="00365464" w:rsidRDefault="00365464">
            <w:pPr>
              <w:spacing w:after="40"/>
              <w:rPr>
                <w:sz w:val="16"/>
                <w:szCs w:val="16"/>
              </w:rPr>
            </w:pPr>
            <w:r w:rsidRPr="00365464">
              <w:rPr>
                <w:rFonts w:ascii="Arial" w:eastAsia="Arial" w:hAnsi="Arial" w:cs="Arial"/>
                <w:sz w:val="16"/>
                <w:szCs w:val="16"/>
              </w:rPr>
              <w:t xml:space="preserve">Fase 4: implementación </w:t>
            </w:r>
            <w:proofErr w:type="spellStart"/>
            <w:r w:rsidRPr="00365464">
              <w:rPr>
                <w:rFonts w:ascii="Arial" w:eastAsia="Arial" w:hAnsi="Arial" w:cs="Arial"/>
                <w:sz w:val="16"/>
                <w:szCs w:val="16"/>
              </w:rPr>
              <w:t>cuasi-experimental</w:t>
            </w:r>
            <w:proofErr w:type="spellEnd"/>
            <w:r w:rsidRPr="00365464">
              <w:rPr>
                <w:rFonts w:ascii="Arial" w:eastAsia="Arial" w:hAnsi="Arial" w:cs="Arial"/>
                <w:sz w:val="16"/>
                <w:szCs w:val="16"/>
              </w:rPr>
              <w:t xml:space="preserve"> (Grupo Control y Grupo Experimental)</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87"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88"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89"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8A"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8B"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8C" w14:textId="77777777" w:rsidR="0049716D" w:rsidRPr="00365464" w:rsidRDefault="0049716D">
            <w:pPr>
              <w:jc w:val="center"/>
              <w:rPr>
                <w:sz w:val="16"/>
                <w:szCs w:val="16"/>
              </w:rPr>
            </w:pPr>
          </w:p>
        </w:tc>
      </w:tr>
      <w:tr w:rsidR="0049716D" w:rsidRPr="00365464" w14:paraId="5781F195" w14:textId="77777777">
        <w:tc>
          <w:tcPr>
            <w:tcW w:w="17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8E" w14:textId="77777777" w:rsidR="0049716D" w:rsidRPr="00365464" w:rsidRDefault="00365464">
            <w:pPr>
              <w:spacing w:after="40"/>
              <w:rPr>
                <w:sz w:val="16"/>
                <w:szCs w:val="16"/>
              </w:rPr>
            </w:pPr>
            <w:r w:rsidRPr="00365464">
              <w:rPr>
                <w:rFonts w:ascii="Arial" w:eastAsia="Arial" w:hAnsi="Arial" w:cs="Arial"/>
                <w:sz w:val="16"/>
                <w:szCs w:val="16"/>
              </w:rPr>
              <w:t>Fase 4: recolección de datos cuantitativos y cualitativos</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8F"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90"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91"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92"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93"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94" w14:textId="77777777" w:rsidR="0049716D" w:rsidRPr="00365464" w:rsidRDefault="0049716D">
            <w:pPr>
              <w:jc w:val="center"/>
              <w:rPr>
                <w:sz w:val="16"/>
                <w:szCs w:val="16"/>
              </w:rPr>
            </w:pPr>
          </w:p>
        </w:tc>
      </w:tr>
      <w:tr w:rsidR="0049716D" w:rsidRPr="00365464" w14:paraId="5781F19D" w14:textId="77777777">
        <w:tc>
          <w:tcPr>
            <w:tcW w:w="17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96" w14:textId="77777777" w:rsidR="0049716D" w:rsidRPr="00365464" w:rsidRDefault="00365464">
            <w:pPr>
              <w:spacing w:after="40"/>
              <w:rPr>
                <w:sz w:val="16"/>
                <w:szCs w:val="16"/>
              </w:rPr>
            </w:pPr>
            <w:r w:rsidRPr="00365464">
              <w:rPr>
                <w:rFonts w:ascii="Arial" w:eastAsia="Arial" w:hAnsi="Arial" w:cs="Arial"/>
                <w:sz w:val="16"/>
                <w:szCs w:val="16"/>
              </w:rPr>
              <w:t>Fase 4: análisis estadístico (ANCOVA, Mann-Whitney/GLM) y codificación cualitativa</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97"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98"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99"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9A"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9B"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9C" w14:textId="77777777" w:rsidR="0049716D" w:rsidRPr="00365464" w:rsidRDefault="0049716D">
            <w:pPr>
              <w:jc w:val="center"/>
              <w:rPr>
                <w:sz w:val="16"/>
                <w:szCs w:val="16"/>
              </w:rPr>
            </w:pPr>
          </w:p>
        </w:tc>
      </w:tr>
      <w:tr w:rsidR="0049716D" w:rsidRPr="00365464" w14:paraId="5781F1A5" w14:textId="77777777">
        <w:tc>
          <w:tcPr>
            <w:tcW w:w="17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9E" w14:textId="77777777" w:rsidR="0049716D" w:rsidRPr="00365464" w:rsidRDefault="00365464">
            <w:pPr>
              <w:spacing w:after="40"/>
              <w:rPr>
                <w:sz w:val="16"/>
                <w:szCs w:val="16"/>
              </w:rPr>
            </w:pPr>
            <w:r w:rsidRPr="00365464">
              <w:rPr>
                <w:rFonts w:ascii="Arial" w:eastAsia="Arial" w:hAnsi="Arial" w:cs="Arial"/>
                <w:sz w:val="16"/>
                <w:szCs w:val="16"/>
              </w:rPr>
              <w:t>Triangulación de resultados y discusión</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9F"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A0"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A1"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A2"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A3"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A4" w14:textId="77777777" w:rsidR="0049716D" w:rsidRPr="00365464" w:rsidRDefault="00365464">
            <w:pPr>
              <w:jc w:val="center"/>
              <w:rPr>
                <w:sz w:val="16"/>
                <w:szCs w:val="16"/>
              </w:rPr>
            </w:pPr>
            <w:r w:rsidRPr="00365464">
              <w:rPr>
                <w:rFonts w:ascii="Arial" w:eastAsia="Arial" w:hAnsi="Arial" w:cs="Arial"/>
                <w:b/>
                <w:bCs/>
                <w:sz w:val="16"/>
                <w:szCs w:val="16"/>
              </w:rPr>
              <w:t>X</w:t>
            </w:r>
          </w:p>
        </w:tc>
      </w:tr>
      <w:tr w:rsidR="0049716D" w:rsidRPr="00365464" w14:paraId="5781F1AD" w14:textId="77777777">
        <w:tc>
          <w:tcPr>
            <w:tcW w:w="17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A6" w14:textId="77777777" w:rsidR="0049716D" w:rsidRPr="00365464" w:rsidRDefault="00365464">
            <w:pPr>
              <w:spacing w:after="40"/>
              <w:rPr>
                <w:sz w:val="16"/>
                <w:szCs w:val="16"/>
              </w:rPr>
            </w:pPr>
            <w:r w:rsidRPr="00365464">
              <w:rPr>
                <w:rFonts w:ascii="Arial" w:eastAsia="Arial" w:hAnsi="Arial" w:cs="Arial"/>
                <w:sz w:val="16"/>
                <w:szCs w:val="16"/>
              </w:rPr>
              <w:t>Redacción de la tesis y de artículos derivados</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A7"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A8"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A9"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AA"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AB" w14:textId="77777777" w:rsidR="0049716D" w:rsidRPr="00365464" w:rsidRDefault="00365464">
            <w:pPr>
              <w:jc w:val="center"/>
              <w:rPr>
                <w:sz w:val="16"/>
                <w:szCs w:val="16"/>
              </w:rPr>
            </w:pPr>
            <w:r w:rsidRPr="00365464">
              <w:rPr>
                <w:rFonts w:ascii="Arial" w:eastAsia="Arial" w:hAnsi="Arial" w:cs="Arial"/>
                <w:b/>
                <w:bCs/>
                <w:sz w:val="16"/>
                <w:szCs w:val="16"/>
              </w:rPr>
              <w:t>X</w:t>
            </w: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AC" w14:textId="77777777" w:rsidR="0049716D" w:rsidRPr="00365464" w:rsidRDefault="00365464">
            <w:pPr>
              <w:jc w:val="center"/>
              <w:rPr>
                <w:sz w:val="16"/>
                <w:szCs w:val="16"/>
              </w:rPr>
            </w:pPr>
            <w:r w:rsidRPr="00365464">
              <w:rPr>
                <w:rFonts w:ascii="Arial" w:eastAsia="Arial" w:hAnsi="Arial" w:cs="Arial"/>
                <w:b/>
                <w:bCs/>
                <w:sz w:val="16"/>
                <w:szCs w:val="16"/>
              </w:rPr>
              <w:t>X</w:t>
            </w:r>
          </w:p>
        </w:tc>
      </w:tr>
      <w:tr w:rsidR="0049716D" w:rsidRPr="00365464" w14:paraId="5781F1B5" w14:textId="77777777">
        <w:tc>
          <w:tcPr>
            <w:tcW w:w="1700" w:type="pct"/>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tcPr>
          <w:p w14:paraId="5781F1AE" w14:textId="77777777" w:rsidR="0049716D" w:rsidRPr="00365464" w:rsidRDefault="00365464">
            <w:pPr>
              <w:spacing w:after="40"/>
              <w:rPr>
                <w:sz w:val="16"/>
                <w:szCs w:val="16"/>
              </w:rPr>
            </w:pPr>
            <w:r w:rsidRPr="00365464">
              <w:rPr>
                <w:rFonts w:ascii="Arial" w:eastAsia="Arial" w:hAnsi="Arial" w:cs="Arial"/>
                <w:sz w:val="16"/>
                <w:szCs w:val="16"/>
              </w:rPr>
              <w:t>Sustentación</w:t>
            </w: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AF"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B0"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B1"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B2"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vAlign w:val="center"/>
          </w:tcPr>
          <w:p w14:paraId="5781F1B3" w14:textId="77777777" w:rsidR="0049716D" w:rsidRPr="00365464" w:rsidRDefault="0049716D">
            <w:pPr>
              <w:jc w:val="center"/>
              <w:rPr>
                <w:sz w:val="16"/>
                <w:szCs w:val="16"/>
              </w:rPr>
            </w:pPr>
          </w:p>
        </w:tc>
        <w:tc>
          <w:tcPr>
            <w:tcW w:w="550" w:type="pct"/>
            <w:tcBorders>
              <w:top w:val="single" w:sz="4" w:space="0" w:color="999999"/>
              <w:left w:val="single" w:sz="4" w:space="0" w:color="999999"/>
              <w:bottom w:val="single" w:sz="4" w:space="0" w:color="999999"/>
              <w:right w:val="single" w:sz="4" w:space="0" w:color="999999"/>
            </w:tcBorders>
            <w:shd w:val="clear" w:color="auto" w:fill="BFBFBF"/>
            <w:tcMar>
              <w:top w:w="40" w:type="dxa"/>
              <w:left w:w="40" w:type="dxa"/>
              <w:bottom w:w="40" w:type="dxa"/>
              <w:right w:w="40" w:type="dxa"/>
            </w:tcMar>
            <w:vAlign w:val="center"/>
          </w:tcPr>
          <w:p w14:paraId="5781F1B4" w14:textId="77777777" w:rsidR="0049716D" w:rsidRPr="00365464" w:rsidRDefault="00365464">
            <w:pPr>
              <w:jc w:val="center"/>
              <w:rPr>
                <w:sz w:val="16"/>
                <w:szCs w:val="16"/>
              </w:rPr>
            </w:pPr>
            <w:r w:rsidRPr="00365464">
              <w:rPr>
                <w:rFonts w:ascii="Arial" w:eastAsia="Arial" w:hAnsi="Arial" w:cs="Arial"/>
                <w:b/>
                <w:bCs/>
                <w:sz w:val="16"/>
                <w:szCs w:val="16"/>
              </w:rPr>
              <w:t>X</w:t>
            </w:r>
          </w:p>
        </w:tc>
      </w:tr>
    </w:tbl>
    <w:p w14:paraId="5781F1B6" w14:textId="60E2FF62" w:rsidR="0049716D" w:rsidRPr="00365464" w:rsidRDefault="00365464">
      <w:pPr>
        <w:spacing w:before="60" w:after="100"/>
        <w:jc w:val="both"/>
      </w:pPr>
      <w:r w:rsidRPr="00365464">
        <w:rPr>
          <w:rFonts w:ascii="Arial" w:eastAsia="Arial" w:hAnsi="Arial" w:cs="Arial"/>
          <w:i/>
          <w:iCs/>
          <w:sz w:val="18"/>
          <w:szCs w:val="18"/>
        </w:rPr>
        <w:t xml:space="preserve">Tabla 2. Cronograma propuesto a seis semestres (S1-S6). Las </w:t>
      </w:r>
      <w:r w:rsidR="00807F90" w:rsidRPr="00365464">
        <w:rPr>
          <w:rFonts w:ascii="Arial" w:eastAsia="Arial" w:hAnsi="Arial" w:cs="Arial"/>
          <w:i/>
          <w:iCs/>
          <w:sz w:val="18"/>
          <w:szCs w:val="18"/>
        </w:rPr>
        <w:t>fases</w:t>
      </w:r>
      <w:r w:rsidRPr="00365464">
        <w:rPr>
          <w:rFonts w:ascii="Arial" w:eastAsia="Arial" w:hAnsi="Arial" w:cs="Arial"/>
          <w:i/>
          <w:iCs/>
          <w:sz w:val="18"/>
          <w:szCs w:val="18"/>
        </w:rPr>
        <w:t xml:space="preserve"> 1 a 3 se traslapan entre sí porque ya se encuentran en curso o completadas al momento de esta propuesta (ver Metodología, sección 4); la Fase 4 (Validación) concentra el trabajo de campo de la tesis doctoral entre los semestres 3 y 6.</w:t>
      </w:r>
    </w:p>
    <w:p w14:paraId="5781F1B7" w14:textId="77777777" w:rsidR="0049716D" w:rsidRPr="00365464" w:rsidRDefault="00365464">
      <w:pPr>
        <w:pStyle w:val="Heading1"/>
        <w:spacing w:before="140" w:after="80"/>
        <w:rPr>
          <w:lang w:val="es-CO"/>
        </w:rPr>
      </w:pPr>
      <w:r w:rsidRPr="00365464">
        <w:rPr>
          <w:rFonts w:ascii="Arial" w:eastAsia="Arial" w:hAnsi="Arial" w:cs="Arial"/>
          <w:b/>
          <w:bCs/>
          <w:sz w:val="26"/>
          <w:szCs w:val="26"/>
          <w:lang w:val="es-CO"/>
        </w:rPr>
        <w:t>Referencias</w:t>
      </w:r>
    </w:p>
    <w:p w14:paraId="5781F1B8" w14:textId="77777777" w:rsidR="0049716D" w:rsidRPr="004D7D35" w:rsidRDefault="00365464">
      <w:pPr>
        <w:spacing w:after="60"/>
        <w:ind w:left="576" w:hanging="576"/>
        <w:jc w:val="both"/>
        <w:rPr>
          <w:sz w:val="18"/>
          <w:szCs w:val="18"/>
          <w:lang w:val="en-US"/>
        </w:rPr>
      </w:pPr>
      <w:proofErr w:type="spellStart"/>
      <w:r w:rsidRPr="00365464">
        <w:rPr>
          <w:rFonts w:ascii="Arial" w:eastAsia="Arial" w:hAnsi="Arial" w:cs="Arial"/>
          <w:sz w:val="16"/>
          <w:szCs w:val="16"/>
        </w:rPr>
        <w:t>Adamu</w:t>
      </w:r>
      <w:proofErr w:type="spellEnd"/>
      <w:r w:rsidRPr="00365464">
        <w:rPr>
          <w:rFonts w:ascii="Arial" w:eastAsia="Arial" w:hAnsi="Arial" w:cs="Arial"/>
          <w:sz w:val="16"/>
          <w:szCs w:val="16"/>
        </w:rPr>
        <w:t xml:space="preserve">, Z. A., &amp; </w:t>
      </w:r>
      <w:proofErr w:type="spellStart"/>
      <w:r w:rsidRPr="00365464">
        <w:rPr>
          <w:rFonts w:ascii="Arial" w:eastAsia="Arial" w:hAnsi="Arial" w:cs="Arial"/>
          <w:sz w:val="16"/>
          <w:szCs w:val="16"/>
        </w:rPr>
        <w:t>Thorpe</w:t>
      </w:r>
      <w:proofErr w:type="spellEnd"/>
      <w:r w:rsidRPr="00365464">
        <w:rPr>
          <w:rFonts w:ascii="Arial" w:eastAsia="Arial" w:hAnsi="Arial" w:cs="Arial"/>
          <w:sz w:val="16"/>
          <w:szCs w:val="16"/>
        </w:rPr>
        <w:t xml:space="preserve">, T. (2016). </w:t>
      </w:r>
      <w:r w:rsidRPr="004D7D35">
        <w:rPr>
          <w:rFonts w:ascii="Arial" w:eastAsia="Arial" w:hAnsi="Arial" w:cs="Arial"/>
          <w:sz w:val="16"/>
          <w:szCs w:val="16"/>
          <w:lang w:val="en-US"/>
        </w:rPr>
        <w:t>How universities are teaching BIM: A review and case study from the UK. Journal of Information Technology in Construction (</w:t>
      </w:r>
      <w:proofErr w:type="spellStart"/>
      <w:r w:rsidRPr="004D7D35">
        <w:rPr>
          <w:rFonts w:ascii="Arial" w:eastAsia="Arial" w:hAnsi="Arial" w:cs="Arial"/>
          <w:sz w:val="16"/>
          <w:szCs w:val="16"/>
          <w:lang w:val="en-US"/>
        </w:rPr>
        <w:t>ITcon</w:t>
      </w:r>
      <w:proofErr w:type="spellEnd"/>
      <w:r w:rsidRPr="004D7D35">
        <w:rPr>
          <w:rFonts w:ascii="Arial" w:eastAsia="Arial" w:hAnsi="Arial" w:cs="Arial"/>
          <w:sz w:val="16"/>
          <w:szCs w:val="16"/>
          <w:lang w:val="en-US"/>
        </w:rPr>
        <w:t>), 21, 119–139.</w:t>
      </w:r>
    </w:p>
    <w:p w14:paraId="5781F1B9" w14:textId="77777777" w:rsidR="0049716D" w:rsidRPr="004D7D35" w:rsidRDefault="00365464">
      <w:pPr>
        <w:spacing w:after="60"/>
        <w:ind w:left="576" w:hanging="576"/>
        <w:jc w:val="both"/>
        <w:rPr>
          <w:sz w:val="18"/>
          <w:szCs w:val="18"/>
          <w:lang w:val="en-US"/>
        </w:rPr>
      </w:pPr>
      <w:proofErr w:type="spellStart"/>
      <w:r w:rsidRPr="004D7D35">
        <w:rPr>
          <w:rFonts w:ascii="Arial" w:eastAsia="Arial" w:hAnsi="Arial" w:cs="Arial"/>
          <w:sz w:val="16"/>
          <w:szCs w:val="16"/>
          <w:lang w:val="en-US"/>
        </w:rPr>
        <w:t>Azhar</w:t>
      </w:r>
      <w:proofErr w:type="spellEnd"/>
      <w:r w:rsidRPr="004D7D35">
        <w:rPr>
          <w:rFonts w:ascii="Arial" w:eastAsia="Arial" w:hAnsi="Arial" w:cs="Arial"/>
          <w:sz w:val="16"/>
          <w:szCs w:val="16"/>
          <w:lang w:val="en-US"/>
        </w:rPr>
        <w:t xml:space="preserve">, S., Brown, J. W., &amp; </w:t>
      </w:r>
      <w:proofErr w:type="spellStart"/>
      <w:r w:rsidRPr="004D7D35">
        <w:rPr>
          <w:rFonts w:ascii="Arial" w:eastAsia="Arial" w:hAnsi="Arial" w:cs="Arial"/>
          <w:sz w:val="16"/>
          <w:szCs w:val="16"/>
          <w:lang w:val="en-US"/>
        </w:rPr>
        <w:t>Sattineni</w:t>
      </w:r>
      <w:proofErr w:type="spellEnd"/>
      <w:r w:rsidRPr="004D7D35">
        <w:rPr>
          <w:rFonts w:ascii="Arial" w:eastAsia="Arial" w:hAnsi="Arial" w:cs="Arial"/>
          <w:sz w:val="16"/>
          <w:szCs w:val="16"/>
          <w:lang w:val="en-US"/>
        </w:rPr>
        <w:t>, A. (2010). A case study of building performance analyses using building information modeling. 2010 27th International Symposium on Automation and Robotics in Construction (ISARC 2010), 213–222. https://doi.org/10.22260/isarc2010/0023</w:t>
      </w:r>
    </w:p>
    <w:p w14:paraId="5781F1BA" w14:textId="77777777" w:rsidR="0049716D" w:rsidRPr="00365464" w:rsidRDefault="00365464">
      <w:pPr>
        <w:spacing w:after="60"/>
        <w:ind w:left="576" w:hanging="576"/>
        <w:jc w:val="both"/>
        <w:rPr>
          <w:sz w:val="18"/>
          <w:szCs w:val="18"/>
        </w:rPr>
      </w:pPr>
      <w:r w:rsidRPr="004D7D35">
        <w:rPr>
          <w:rFonts w:ascii="Arial" w:eastAsia="Arial" w:hAnsi="Arial" w:cs="Arial"/>
          <w:sz w:val="16"/>
          <w:szCs w:val="16"/>
          <w:lang w:val="en-US"/>
        </w:rPr>
        <w:t xml:space="preserve">Barnes, J. E. E., Wiebe, E., &amp; </w:t>
      </w:r>
      <w:proofErr w:type="spellStart"/>
      <w:r w:rsidRPr="004D7D35">
        <w:rPr>
          <w:rFonts w:ascii="Arial" w:eastAsia="Arial" w:hAnsi="Arial" w:cs="Arial"/>
          <w:sz w:val="16"/>
          <w:szCs w:val="16"/>
          <w:lang w:val="en-US"/>
        </w:rPr>
        <w:t>Branoff</w:t>
      </w:r>
      <w:proofErr w:type="spellEnd"/>
      <w:r w:rsidRPr="004D7D35">
        <w:rPr>
          <w:rFonts w:ascii="Arial" w:eastAsia="Arial" w:hAnsi="Arial" w:cs="Arial"/>
          <w:sz w:val="16"/>
          <w:szCs w:val="16"/>
          <w:lang w:val="en-US"/>
        </w:rPr>
        <w:t xml:space="preserve">, T. (2011). The effects of worked examples on CAD performance: An application of the four-component instructional design model to CAD instruction. </w:t>
      </w:r>
      <w:r w:rsidRPr="00365464">
        <w:rPr>
          <w:rFonts w:ascii="Arial" w:eastAsia="Arial" w:hAnsi="Arial" w:cs="Arial"/>
          <w:sz w:val="16"/>
          <w:szCs w:val="16"/>
        </w:rPr>
        <w:t xml:space="preserve">ASEE </w:t>
      </w:r>
      <w:proofErr w:type="spellStart"/>
      <w:r w:rsidRPr="00365464">
        <w:rPr>
          <w:rFonts w:ascii="Arial" w:eastAsia="Arial" w:hAnsi="Arial" w:cs="Arial"/>
          <w:sz w:val="16"/>
          <w:szCs w:val="16"/>
        </w:rPr>
        <w:t>Annual</w:t>
      </w:r>
      <w:proofErr w:type="spellEnd"/>
      <w:r w:rsidRPr="00365464">
        <w:rPr>
          <w:rFonts w:ascii="Arial" w:eastAsia="Arial" w:hAnsi="Arial" w:cs="Arial"/>
          <w:sz w:val="16"/>
          <w:szCs w:val="16"/>
        </w:rPr>
        <w:t xml:space="preserve"> </w:t>
      </w:r>
      <w:proofErr w:type="spellStart"/>
      <w:r w:rsidRPr="00365464">
        <w:rPr>
          <w:rFonts w:ascii="Arial" w:eastAsia="Arial" w:hAnsi="Arial" w:cs="Arial"/>
          <w:sz w:val="16"/>
          <w:szCs w:val="16"/>
        </w:rPr>
        <w:t>Conference</w:t>
      </w:r>
      <w:proofErr w:type="spellEnd"/>
      <w:r w:rsidRPr="00365464">
        <w:rPr>
          <w:rFonts w:ascii="Arial" w:eastAsia="Arial" w:hAnsi="Arial" w:cs="Arial"/>
          <w:sz w:val="16"/>
          <w:szCs w:val="16"/>
        </w:rPr>
        <w:t xml:space="preserve"> </w:t>
      </w:r>
      <w:proofErr w:type="spellStart"/>
      <w:r w:rsidRPr="00365464">
        <w:rPr>
          <w:rFonts w:ascii="Arial" w:eastAsia="Arial" w:hAnsi="Arial" w:cs="Arial"/>
          <w:sz w:val="16"/>
          <w:szCs w:val="16"/>
        </w:rPr>
        <w:t>Proceedings</w:t>
      </w:r>
      <w:proofErr w:type="spellEnd"/>
      <w:r w:rsidRPr="00365464">
        <w:rPr>
          <w:rFonts w:ascii="Arial" w:eastAsia="Arial" w:hAnsi="Arial" w:cs="Arial"/>
          <w:sz w:val="16"/>
          <w:szCs w:val="16"/>
        </w:rPr>
        <w:t>.</w:t>
      </w:r>
    </w:p>
    <w:p w14:paraId="5781F1BB" w14:textId="77777777" w:rsidR="0049716D" w:rsidRPr="00365464" w:rsidRDefault="00365464">
      <w:pPr>
        <w:spacing w:after="60"/>
        <w:ind w:left="576" w:hanging="576"/>
        <w:jc w:val="both"/>
        <w:rPr>
          <w:sz w:val="18"/>
          <w:szCs w:val="18"/>
        </w:rPr>
      </w:pPr>
      <w:r w:rsidRPr="00365464">
        <w:rPr>
          <w:rFonts w:ascii="Arial" w:eastAsia="Arial" w:hAnsi="Arial" w:cs="Arial"/>
          <w:sz w:val="16"/>
          <w:szCs w:val="16"/>
        </w:rPr>
        <w:t>Consejo Profesional Nacional de Arquitectura y sus Profesiones Auxiliares (CPNAA). (2018). Estudio de caracterización del arquitecto colombiano.</w:t>
      </w:r>
    </w:p>
    <w:p w14:paraId="5781F1BC" w14:textId="77777777" w:rsidR="0049716D" w:rsidRPr="004D7D35" w:rsidRDefault="00365464">
      <w:pPr>
        <w:spacing w:after="60"/>
        <w:ind w:left="576" w:hanging="576"/>
        <w:jc w:val="both"/>
        <w:rPr>
          <w:sz w:val="18"/>
          <w:szCs w:val="18"/>
          <w:lang w:val="en-US"/>
        </w:rPr>
      </w:pPr>
      <w:proofErr w:type="spellStart"/>
      <w:r w:rsidRPr="00365464">
        <w:rPr>
          <w:rFonts w:ascii="Arial" w:eastAsia="Arial" w:hAnsi="Arial" w:cs="Arial"/>
          <w:sz w:val="16"/>
          <w:szCs w:val="16"/>
        </w:rPr>
        <w:t>Construction</w:t>
      </w:r>
      <w:proofErr w:type="spellEnd"/>
      <w:r w:rsidRPr="00365464">
        <w:rPr>
          <w:rFonts w:ascii="Arial" w:eastAsia="Arial" w:hAnsi="Arial" w:cs="Arial"/>
          <w:sz w:val="16"/>
          <w:szCs w:val="16"/>
        </w:rPr>
        <w:t xml:space="preserve"> </w:t>
      </w:r>
      <w:proofErr w:type="spellStart"/>
      <w:r w:rsidRPr="00365464">
        <w:rPr>
          <w:rFonts w:ascii="Arial" w:eastAsia="Arial" w:hAnsi="Arial" w:cs="Arial"/>
          <w:sz w:val="16"/>
          <w:szCs w:val="16"/>
        </w:rPr>
        <w:t>Users</w:t>
      </w:r>
      <w:proofErr w:type="spellEnd"/>
      <w:r w:rsidRPr="00365464">
        <w:rPr>
          <w:rFonts w:ascii="Arial" w:eastAsia="Arial" w:hAnsi="Arial" w:cs="Arial"/>
          <w:sz w:val="16"/>
          <w:szCs w:val="16"/>
        </w:rPr>
        <w:t xml:space="preserve"> </w:t>
      </w:r>
      <w:proofErr w:type="spellStart"/>
      <w:r w:rsidRPr="00365464">
        <w:rPr>
          <w:rFonts w:ascii="Arial" w:eastAsia="Arial" w:hAnsi="Arial" w:cs="Arial"/>
          <w:sz w:val="16"/>
          <w:szCs w:val="16"/>
        </w:rPr>
        <w:t>Roundtable</w:t>
      </w:r>
      <w:proofErr w:type="spellEnd"/>
      <w:r w:rsidRPr="00365464">
        <w:rPr>
          <w:rFonts w:ascii="Arial" w:eastAsia="Arial" w:hAnsi="Arial" w:cs="Arial"/>
          <w:sz w:val="16"/>
          <w:szCs w:val="16"/>
        </w:rPr>
        <w:t xml:space="preserve"> (CURT). </w:t>
      </w:r>
      <w:r w:rsidRPr="004D7D35">
        <w:rPr>
          <w:rFonts w:ascii="Arial" w:eastAsia="Arial" w:hAnsi="Arial" w:cs="Arial"/>
          <w:sz w:val="16"/>
          <w:szCs w:val="16"/>
          <w:lang w:val="en-US"/>
        </w:rPr>
        <w:t>(2004). Collaboration, integrated information, and the project lifecycle in building design, construction and operation (White Paper WP-1202).</w:t>
      </w:r>
    </w:p>
    <w:p w14:paraId="5781F1BD" w14:textId="77777777" w:rsidR="0049716D" w:rsidRPr="004D7D35" w:rsidRDefault="00365464">
      <w:pPr>
        <w:spacing w:after="60"/>
        <w:ind w:left="576" w:hanging="576"/>
        <w:jc w:val="both"/>
        <w:rPr>
          <w:sz w:val="18"/>
          <w:szCs w:val="18"/>
          <w:lang w:val="en-US"/>
        </w:rPr>
      </w:pPr>
      <w:r w:rsidRPr="004D7D35">
        <w:rPr>
          <w:rFonts w:ascii="Arial" w:eastAsia="Arial" w:hAnsi="Arial" w:cs="Arial"/>
          <w:sz w:val="16"/>
          <w:szCs w:val="16"/>
          <w:lang w:val="en-US"/>
        </w:rPr>
        <w:t>Design-Based Research Collective. (2003). Design-based research: An emerging paradigm for educational inquiry. Educational Researcher, 32(1), 5–8. https://doi.org/10.3102/0013189X032001005</w:t>
      </w:r>
    </w:p>
    <w:p w14:paraId="5781F1BE" w14:textId="77777777" w:rsidR="0049716D" w:rsidRPr="004D7D35" w:rsidRDefault="00365464">
      <w:pPr>
        <w:spacing w:after="60"/>
        <w:ind w:left="576" w:hanging="576"/>
        <w:jc w:val="both"/>
        <w:rPr>
          <w:sz w:val="18"/>
          <w:szCs w:val="18"/>
          <w:lang w:val="en-US"/>
        </w:rPr>
      </w:pPr>
      <w:proofErr w:type="spellStart"/>
      <w:r w:rsidRPr="004D7D35">
        <w:rPr>
          <w:rFonts w:ascii="Arial" w:eastAsia="Arial" w:hAnsi="Arial" w:cs="Arial"/>
          <w:sz w:val="16"/>
          <w:szCs w:val="16"/>
          <w:lang w:val="en-US"/>
        </w:rPr>
        <w:t>Elzeyadi</w:t>
      </w:r>
      <w:proofErr w:type="spellEnd"/>
      <w:r w:rsidRPr="004D7D35">
        <w:rPr>
          <w:rFonts w:ascii="Arial" w:eastAsia="Arial" w:hAnsi="Arial" w:cs="Arial"/>
          <w:sz w:val="16"/>
          <w:szCs w:val="16"/>
          <w:lang w:val="en-US"/>
        </w:rPr>
        <w:t xml:space="preserve">, I., &amp; </w:t>
      </w:r>
      <w:proofErr w:type="spellStart"/>
      <w:r w:rsidRPr="004D7D35">
        <w:rPr>
          <w:rFonts w:ascii="Arial" w:eastAsia="Arial" w:hAnsi="Arial" w:cs="Arial"/>
          <w:sz w:val="16"/>
          <w:szCs w:val="16"/>
          <w:lang w:val="en-US"/>
        </w:rPr>
        <w:t>Abboushi</w:t>
      </w:r>
      <w:proofErr w:type="spellEnd"/>
      <w:r w:rsidRPr="004D7D35">
        <w:rPr>
          <w:rFonts w:ascii="Arial" w:eastAsia="Arial" w:hAnsi="Arial" w:cs="Arial"/>
          <w:sz w:val="16"/>
          <w:szCs w:val="16"/>
          <w:lang w:val="en-US"/>
        </w:rPr>
        <w:t>, B. (2020). Mind the gap: Building simulation in the architectural design studio. 108th ACSA Annual Meeting Proceedings, Open. https://doi.org/10.35483/ACSA.AM.108.11</w:t>
      </w:r>
    </w:p>
    <w:p w14:paraId="5781F1BF" w14:textId="17C3F705" w:rsidR="0049716D" w:rsidRPr="004D7D35" w:rsidRDefault="00807F90">
      <w:pPr>
        <w:spacing w:after="60"/>
        <w:ind w:left="576" w:hanging="576"/>
        <w:jc w:val="both"/>
        <w:rPr>
          <w:sz w:val="18"/>
          <w:szCs w:val="18"/>
          <w:lang w:val="en-US"/>
        </w:rPr>
      </w:pPr>
      <w:r w:rsidRPr="00365464">
        <w:rPr>
          <w:rFonts w:ascii="Arial" w:eastAsia="Arial" w:hAnsi="Arial" w:cs="Arial"/>
          <w:sz w:val="16"/>
          <w:szCs w:val="16"/>
        </w:rPr>
        <w:t>Fernández</w:t>
      </w:r>
      <w:r w:rsidR="00365464" w:rsidRPr="00365464">
        <w:rPr>
          <w:rFonts w:ascii="Arial" w:eastAsia="Arial" w:hAnsi="Arial" w:cs="Arial"/>
          <w:sz w:val="16"/>
          <w:szCs w:val="16"/>
        </w:rPr>
        <w:t>-</w:t>
      </w:r>
      <w:proofErr w:type="spellStart"/>
      <w:r w:rsidR="00365464" w:rsidRPr="00365464">
        <w:rPr>
          <w:rFonts w:ascii="Arial" w:eastAsia="Arial" w:hAnsi="Arial" w:cs="Arial"/>
          <w:sz w:val="16"/>
          <w:szCs w:val="16"/>
        </w:rPr>
        <w:t>Antolin</w:t>
      </w:r>
      <w:proofErr w:type="spellEnd"/>
      <w:r w:rsidR="00365464" w:rsidRPr="00365464">
        <w:rPr>
          <w:rFonts w:ascii="Arial" w:eastAsia="Arial" w:hAnsi="Arial" w:cs="Arial"/>
          <w:sz w:val="16"/>
          <w:szCs w:val="16"/>
        </w:rPr>
        <w:t xml:space="preserve">, M.-M., del Río, J. M., &amp; </w:t>
      </w:r>
      <w:proofErr w:type="spellStart"/>
      <w:r w:rsidR="00365464" w:rsidRPr="00365464">
        <w:rPr>
          <w:rFonts w:ascii="Arial" w:eastAsia="Arial" w:hAnsi="Arial" w:cs="Arial"/>
          <w:sz w:val="16"/>
          <w:szCs w:val="16"/>
        </w:rPr>
        <w:t>Gonzalez</w:t>
      </w:r>
      <w:proofErr w:type="spellEnd"/>
      <w:r w:rsidR="00365464" w:rsidRPr="00365464">
        <w:rPr>
          <w:rFonts w:ascii="Arial" w:eastAsia="Arial" w:hAnsi="Arial" w:cs="Arial"/>
          <w:sz w:val="16"/>
          <w:szCs w:val="16"/>
        </w:rPr>
        <w:t xml:space="preserve">-Lezcano, R.-A. (2022). </w:t>
      </w:r>
      <w:r w:rsidR="00365464" w:rsidRPr="004D7D35">
        <w:rPr>
          <w:rFonts w:ascii="Arial" w:eastAsia="Arial" w:hAnsi="Arial" w:cs="Arial"/>
          <w:sz w:val="16"/>
          <w:szCs w:val="16"/>
          <w:lang w:val="en-US"/>
        </w:rPr>
        <w:t>Building performance simulation tools as part of architectural design: Breaking the gap through software simulation. International Journal of Technology and Design Education, 32(2), 1227–1245. https://doi.org/10.1007/s10798-020-09641-7</w:t>
      </w:r>
    </w:p>
    <w:p w14:paraId="5781F1C0" w14:textId="77777777" w:rsidR="0049716D" w:rsidRPr="00365464" w:rsidRDefault="00365464">
      <w:pPr>
        <w:spacing w:after="60"/>
        <w:ind w:left="576" w:hanging="576"/>
        <w:jc w:val="both"/>
        <w:rPr>
          <w:sz w:val="18"/>
          <w:szCs w:val="18"/>
        </w:rPr>
      </w:pPr>
      <w:r w:rsidRPr="00365464">
        <w:rPr>
          <w:rFonts w:ascii="Arial" w:eastAsia="Arial" w:hAnsi="Arial" w:cs="Arial"/>
          <w:sz w:val="16"/>
          <w:szCs w:val="16"/>
        </w:rPr>
        <w:t xml:space="preserve">Fuentes </w:t>
      </w:r>
      <w:proofErr w:type="spellStart"/>
      <w:r w:rsidRPr="00365464">
        <w:rPr>
          <w:rFonts w:ascii="Arial" w:eastAsia="Arial" w:hAnsi="Arial" w:cs="Arial"/>
          <w:sz w:val="16"/>
          <w:szCs w:val="16"/>
        </w:rPr>
        <w:t>Freixanet</w:t>
      </w:r>
      <w:proofErr w:type="spellEnd"/>
      <w:r w:rsidRPr="00365464">
        <w:rPr>
          <w:rFonts w:ascii="Arial" w:eastAsia="Arial" w:hAnsi="Arial" w:cs="Arial"/>
          <w:sz w:val="16"/>
          <w:szCs w:val="16"/>
        </w:rPr>
        <w:t>, V. A. (2002). Metodología de diseño bioclimático: El análisis climático. [Documento técnico; datos de publicación tomados tal como aparecen en Volkmar Vélez, 2024, sin verificación independiente adicional.]</w:t>
      </w:r>
    </w:p>
    <w:p w14:paraId="5781F1C1" w14:textId="77777777" w:rsidR="0049716D" w:rsidRPr="004D7D35" w:rsidRDefault="00365464">
      <w:pPr>
        <w:spacing w:after="60"/>
        <w:ind w:left="576" w:hanging="576"/>
        <w:jc w:val="both"/>
        <w:rPr>
          <w:sz w:val="18"/>
          <w:szCs w:val="18"/>
          <w:lang w:val="en-US"/>
        </w:rPr>
      </w:pPr>
      <w:r w:rsidRPr="004D7D35">
        <w:rPr>
          <w:rFonts w:ascii="Arial" w:eastAsia="Arial" w:hAnsi="Arial" w:cs="Arial"/>
          <w:sz w:val="16"/>
          <w:szCs w:val="16"/>
          <w:lang w:val="en-US"/>
        </w:rPr>
        <w:lastRenderedPageBreak/>
        <w:t>Gao, H., Koch, C., &amp; Wu, Y. (2019). Building information modelling based building energy modelling: A review. Applied Energy, 238, 320–343. https://doi.org/10.1016/j.apenergy.2019.01.032</w:t>
      </w:r>
    </w:p>
    <w:p w14:paraId="5781F1C2" w14:textId="77777777" w:rsidR="0049716D" w:rsidRPr="00365464" w:rsidRDefault="00365464">
      <w:pPr>
        <w:spacing w:after="60"/>
        <w:ind w:left="576" w:hanging="576"/>
        <w:jc w:val="both"/>
        <w:rPr>
          <w:sz w:val="18"/>
          <w:szCs w:val="18"/>
        </w:rPr>
      </w:pPr>
      <w:proofErr w:type="spellStart"/>
      <w:r w:rsidRPr="004D7D35">
        <w:rPr>
          <w:rFonts w:ascii="Arial" w:eastAsia="Arial" w:hAnsi="Arial" w:cs="Arial"/>
          <w:sz w:val="16"/>
          <w:szCs w:val="16"/>
          <w:lang w:val="en-US"/>
        </w:rPr>
        <w:t>Givoni</w:t>
      </w:r>
      <w:proofErr w:type="spellEnd"/>
      <w:r w:rsidRPr="004D7D35">
        <w:rPr>
          <w:rFonts w:ascii="Arial" w:eastAsia="Arial" w:hAnsi="Arial" w:cs="Arial"/>
          <w:sz w:val="16"/>
          <w:szCs w:val="16"/>
          <w:lang w:val="en-US"/>
        </w:rPr>
        <w:t xml:space="preserve">, B. (1969). Architectural design based on climate. In D. Watson (Ed.), Energy conservation through building design. </w:t>
      </w:r>
      <w:r w:rsidRPr="00365464">
        <w:rPr>
          <w:rFonts w:ascii="Arial" w:eastAsia="Arial" w:hAnsi="Arial" w:cs="Arial"/>
          <w:sz w:val="16"/>
          <w:szCs w:val="16"/>
        </w:rPr>
        <w:t>McGraw-Hill.</w:t>
      </w:r>
    </w:p>
    <w:p w14:paraId="5781F1C3" w14:textId="77777777" w:rsidR="0049716D" w:rsidRPr="00365464" w:rsidRDefault="00365464">
      <w:pPr>
        <w:spacing w:after="60"/>
        <w:ind w:left="576" w:hanging="576"/>
        <w:jc w:val="both"/>
        <w:rPr>
          <w:sz w:val="18"/>
          <w:szCs w:val="18"/>
        </w:rPr>
      </w:pPr>
      <w:r w:rsidRPr="00365464">
        <w:rPr>
          <w:rFonts w:ascii="Arial" w:eastAsia="Arial" w:hAnsi="Arial" w:cs="Arial"/>
          <w:sz w:val="16"/>
          <w:szCs w:val="16"/>
        </w:rPr>
        <w:t>Gobierno de Colombia. (2020). Estrategia Nacional BIM 2020-2026.</w:t>
      </w:r>
    </w:p>
    <w:p w14:paraId="5781F1C4" w14:textId="77777777" w:rsidR="0049716D" w:rsidRPr="004D7D35" w:rsidRDefault="00365464">
      <w:pPr>
        <w:spacing w:after="60"/>
        <w:ind w:left="576" w:hanging="576"/>
        <w:jc w:val="both"/>
        <w:rPr>
          <w:sz w:val="18"/>
          <w:szCs w:val="18"/>
          <w:lang w:val="en-US"/>
        </w:rPr>
      </w:pPr>
      <w:proofErr w:type="spellStart"/>
      <w:r w:rsidRPr="00365464">
        <w:rPr>
          <w:rFonts w:ascii="Arial" w:eastAsia="Arial" w:hAnsi="Arial" w:cs="Arial"/>
          <w:sz w:val="16"/>
          <w:szCs w:val="16"/>
        </w:rPr>
        <w:t>Gottkehaskamp</w:t>
      </w:r>
      <w:proofErr w:type="spellEnd"/>
      <w:r w:rsidRPr="00365464">
        <w:rPr>
          <w:rFonts w:ascii="Arial" w:eastAsia="Arial" w:hAnsi="Arial" w:cs="Arial"/>
          <w:sz w:val="16"/>
          <w:szCs w:val="16"/>
        </w:rPr>
        <w:t xml:space="preserve">, B., &amp; Willmann, A. (2022). </w:t>
      </w:r>
      <w:r w:rsidRPr="004D7D35">
        <w:rPr>
          <w:rFonts w:ascii="Arial" w:eastAsia="Arial" w:hAnsi="Arial" w:cs="Arial"/>
          <w:sz w:val="16"/>
          <w:szCs w:val="16"/>
          <w:lang w:val="en-US"/>
        </w:rPr>
        <w:t>Investigating passive strategies in a cold climate – teaching EDDA in architectural education. IOP Conference Series: Earth and Environmental Science, 1078(1), 012059.</w:t>
      </w:r>
    </w:p>
    <w:p w14:paraId="5781F1C5" w14:textId="77777777" w:rsidR="0049716D" w:rsidRPr="004D7D35" w:rsidRDefault="00365464">
      <w:pPr>
        <w:spacing w:after="60"/>
        <w:ind w:left="576" w:hanging="576"/>
        <w:jc w:val="both"/>
        <w:rPr>
          <w:sz w:val="18"/>
          <w:szCs w:val="18"/>
          <w:lang w:val="en-US"/>
        </w:rPr>
      </w:pPr>
      <w:r w:rsidRPr="004D7D35">
        <w:rPr>
          <w:rFonts w:ascii="Arial" w:eastAsia="Arial" w:hAnsi="Arial" w:cs="Arial"/>
          <w:sz w:val="16"/>
          <w:szCs w:val="16"/>
          <w:lang w:val="en-US"/>
        </w:rPr>
        <w:t>International Organization for Standardization (ISO). (2024). ISO 16739-1:2024. Industry Foundation Classes (IFC) for data sharing in the construction and facility management industries. Part 1: Data schema.</w:t>
      </w:r>
    </w:p>
    <w:p w14:paraId="5781F1C6" w14:textId="77777777" w:rsidR="0049716D" w:rsidRPr="00365464" w:rsidRDefault="00365464">
      <w:pPr>
        <w:spacing w:after="60"/>
        <w:ind w:left="576" w:hanging="576"/>
        <w:jc w:val="both"/>
        <w:rPr>
          <w:sz w:val="18"/>
          <w:szCs w:val="18"/>
        </w:rPr>
      </w:pPr>
      <w:r w:rsidRPr="004D7D35">
        <w:rPr>
          <w:rFonts w:ascii="Arial" w:eastAsia="Arial" w:hAnsi="Arial" w:cs="Arial"/>
          <w:sz w:val="16"/>
          <w:szCs w:val="16"/>
          <w:lang w:val="en-US"/>
        </w:rPr>
        <w:t xml:space="preserve">Jonassen, D. H., </w:t>
      </w:r>
      <w:proofErr w:type="spellStart"/>
      <w:r w:rsidRPr="004D7D35">
        <w:rPr>
          <w:rFonts w:ascii="Arial" w:eastAsia="Arial" w:hAnsi="Arial" w:cs="Arial"/>
          <w:sz w:val="16"/>
          <w:szCs w:val="16"/>
          <w:lang w:val="en-US"/>
        </w:rPr>
        <w:t>Carr</w:t>
      </w:r>
      <w:proofErr w:type="spellEnd"/>
      <w:r w:rsidRPr="004D7D35">
        <w:rPr>
          <w:rFonts w:ascii="Arial" w:eastAsia="Arial" w:hAnsi="Arial" w:cs="Arial"/>
          <w:sz w:val="16"/>
          <w:szCs w:val="16"/>
          <w:lang w:val="en-US"/>
        </w:rPr>
        <w:t xml:space="preserve">, C., &amp; Yueh, H. P. (1998). Computers as Mindtools for engaging learners in critical thinking. </w:t>
      </w:r>
      <w:proofErr w:type="spellStart"/>
      <w:r w:rsidRPr="00365464">
        <w:rPr>
          <w:rFonts w:ascii="Arial" w:eastAsia="Arial" w:hAnsi="Arial" w:cs="Arial"/>
          <w:sz w:val="16"/>
          <w:szCs w:val="16"/>
        </w:rPr>
        <w:t>TechTrends</w:t>
      </w:r>
      <w:proofErr w:type="spellEnd"/>
      <w:r w:rsidRPr="00365464">
        <w:rPr>
          <w:rFonts w:ascii="Arial" w:eastAsia="Arial" w:hAnsi="Arial" w:cs="Arial"/>
          <w:sz w:val="16"/>
          <w:szCs w:val="16"/>
        </w:rPr>
        <w:t>, 43(2), 24–32.</w:t>
      </w:r>
    </w:p>
    <w:p w14:paraId="5781F1C7" w14:textId="77777777" w:rsidR="0049716D" w:rsidRPr="004D7D35" w:rsidRDefault="00365464">
      <w:pPr>
        <w:spacing w:after="60"/>
        <w:ind w:left="576" w:hanging="576"/>
        <w:jc w:val="both"/>
        <w:rPr>
          <w:sz w:val="18"/>
          <w:szCs w:val="18"/>
          <w:lang w:val="en-US"/>
        </w:rPr>
      </w:pPr>
      <w:r w:rsidRPr="00365464">
        <w:rPr>
          <w:rFonts w:ascii="Arial" w:eastAsia="Arial" w:hAnsi="Arial" w:cs="Arial"/>
          <w:sz w:val="16"/>
          <w:szCs w:val="16"/>
        </w:rPr>
        <w:t xml:space="preserve">Jones, J. C. (1976). Métodos de diseño (M. L. López Sardá, Trad.). </w:t>
      </w:r>
      <w:r w:rsidRPr="004D7D35">
        <w:rPr>
          <w:rFonts w:ascii="Arial" w:eastAsia="Arial" w:hAnsi="Arial" w:cs="Arial"/>
          <w:sz w:val="16"/>
          <w:szCs w:val="16"/>
          <w:lang w:val="en-US"/>
        </w:rPr>
        <w:t>Gustavo Gili.</w:t>
      </w:r>
    </w:p>
    <w:p w14:paraId="5781F1C8" w14:textId="77777777" w:rsidR="0049716D" w:rsidRPr="00365464" w:rsidRDefault="00365464">
      <w:pPr>
        <w:spacing w:after="60"/>
        <w:ind w:left="576" w:hanging="576"/>
        <w:jc w:val="both"/>
        <w:rPr>
          <w:sz w:val="18"/>
          <w:szCs w:val="18"/>
        </w:rPr>
      </w:pPr>
      <w:r w:rsidRPr="004D7D35">
        <w:rPr>
          <w:rFonts w:ascii="Arial" w:eastAsia="Arial" w:hAnsi="Arial" w:cs="Arial"/>
          <w:sz w:val="16"/>
          <w:szCs w:val="16"/>
          <w:lang w:val="en-US"/>
        </w:rPr>
        <w:t xml:space="preserve">Kolb, D. A. (1984). Experiential learning: Experience as the source of learning and development. </w:t>
      </w:r>
      <w:r w:rsidRPr="00365464">
        <w:rPr>
          <w:rFonts w:ascii="Arial" w:eastAsia="Arial" w:hAnsi="Arial" w:cs="Arial"/>
          <w:sz w:val="16"/>
          <w:szCs w:val="16"/>
        </w:rPr>
        <w:t>Prentice-Hall.</w:t>
      </w:r>
    </w:p>
    <w:p w14:paraId="5781F1C9" w14:textId="77777777" w:rsidR="0049716D" w:rsidRPr="00365464" w:rsidRDefault="00365464">
      <w:pPr>
        <w:spacing w:after="60"/>
        <w:ind w:left="576" w:hanging="576"/>
        <w:jc w:val="both"/>
        <w:rPr>
          <w:sz w:val="18"/>
          <w:szCs w:val="18"/>
        </w:rPr>
      </w:pPr>
      <w:r w:rsidRPr="00365464">
        <w:rPr>
          <w:rFonts w:ascii="Arial" w:eastAsia="Arial" w:hAnsi="Arial" w:cs="Arial"/>
          <w:sz w:val="16"/>
          <w:szCs w:val="16"/>
        </w:rPr>
        <w:t xml:space="preserve">Martín Dorta, N., Franco Pérez, C., </w:t>
      </w:r>
      <w:proofErr w:type="spellStart"/>
      <w:r w:rsidRPr="00365464">
        <w:rPr>
          <w:rFonts w:ascii="Arial" w:eastAsia="Arial" w:hAnsi="Arial" w:cs="Arial"/>
          <w:sz w:val="16"/>
          <w:szCs w:val="16"/>
        </w:rPr>
        <w:t>Broock</w:t>
      </w:r>
      <w:proofErr w:type="spellEnd"/>
      <w:r w:rsidRPr="00365464">
        <w:rPr>
          <w:rFonts w:ascii="Arial" w:eastAsia="Arial" w:hAnsi="Arial" w:cs="Arial"/>
          <w:sz w:val="16"/>
          <w:szCs w:val="16"/>
        </w:rPr>
        <w:t xml:space="preserve"> </w:t>
      </w:r>
      <w:proofErr w:type="spellStart"/>
      <w:r w:rsidRPr="00365464">
        <w:rPr>
          <w:rFonts w:ascii="Arial" w:eastAsia="Arial" w:hAnsi="Arial" w:cs="Arial"/>
          <w:sz w:val="16"/>
          <w:szCs w:val="16"/>
        </w:rPr>
        <w:t>Hijar</w:t>
      </w:r>
      <w:proofErr w:type="spellEnd"/>
      <w:r w:rsidRPr="00365464">
        <w:rPr>
          <w:rFonts w:ascii="Arial" w:eastAsia="Arial" w:hAnsi="Arial" w:cs="Arial"/>
          <w:sz w:val="16"/>
          <w:szCs w:val="16"/>
        </w:rPr>
        <w:t xml:space="preserve">, D., &amp; González de Chaves y </w:t>
      </w:r>
      <w:proofErr w:type="spellStart"/>
      <w:r w:rsidRPr="00365464">
        <w:rPr>
          <w:rFonts w:ascii="Arial" w:eastAsia="Arial" w:hAnsi="Arial" w:cs="Arial"/>
          <w:sz w:val="16"/>
          <w:szCs w:val="16"/>
        </w:rPr>
        <w:t>Assef</w:t>
      </w:r>
      <w:proofErr w:type="spellEnd"/>
      <w:r w:rsidRPr="00365464">
        <w:rPr>
          <w:rFonts w:ascii="Arial" w:eastAsia="Arial" w:hAnsi="Arial" w:cs="Arial"/>
          <w:sz w:val="16"/>
          <w:szCs w:val="16"/>
        </w:rPr>
        <w:t xml:space="preserve">, P. (2014). Análisis de la integración de la tecnología BIM y los indicadores de sostenibilidad. </w:t>
      </w:r>
      <w:proofErr w:type="spellStart"/>
      <w:r w:rsidRPr="00365464">
        <w:rPr>
          <w:rFonts w:ascii="Arial" w:eastAsia="Arial" w:hAnsi="Arial" w:cs="Arial"/>
          <w:sz w:val="16"/>
          <w:szCs w:val="16"/>
        </w:rPr>
        <w:t>Universitat</w:t>
      </w:r>
      <w:proofErr w:type="spellEnd"/>
      <w:r w:rsidRPr="00365464">
        <w:rPr>
          <w:rFonts w:ascii="Arial" w:eastAsia="Arial" w:hAnsi="Arial" w:cs="Arial"/>
          <w:sz w:val="16"/>
          <w:szCs w:val="16"/>
        </w:rPr>
        <w:t xml:space="preserve"> </w:t>
      </w:r>
      <w:proofErr w:type="spellStart"/>
      <w:r w:rsidRPr="00365464">
        <w:rPr>
          <w:rFonts w:ascii="Arial" w:eastAsia="Arial" w:hAnsi="Arial" w:cs="Arial"/>
          <w:sz w:val="16"/>
          <w:szCs w:val="16"/>
        </w:rPr>
        <w:t>Politècnica</w:t>
      </w:r>
      <w:proofErr w:type="spellEnd"/>
      <w:r w:rsidRPr="00365464">
        <w:rPr>
          <w:rFonts w:ascii="Arial" w:eastAsia="Arial" w:hAnsi="Arial" w:cs="Arial"/>
          <w:sz w:val="16"/>
          <w:szCs w:val="16"/>
        </w:rPr>
        <w:t xml:space="preserve"> de València. www.lalibreria.upv.es</w:t>
      </w:r>
    </w:p>
    <w:p w14:paraId="5781F1CA" w14:textId="77777777" w:rsidR="0049716D" w:rsidRPr="00365464" w:rsidRDefault="00365464">
      <w:pPr>
        <w:spacing w:after="60"/>
        <w:ind w:left="576" w:hanging="576"/>
        <w:jc w:val="both"/>
        <w:rPr>
          <w:sz w:val="18"/>
          <w:szCs w:val="18"/>
        </w:rPr>
      </w:pPr>
      <w:r w:rsidRPr="00365464">
        <w:rPr>
          <w:rFonts w:ascii="Arial" w:eastAsia="Arial" w:hAnsi="Arial" w:cs="Arial"/>
          <w:sz w:val="16"/>
          <w:szCs w:val="16"/>
        </w:rPr>
        <w:t xml:space="preserve">Méndez Garduño, J. I. (2026). </w:t>
      </w:r>
      <w:r w:rsidRPr="004D7D35">
        <w:rPr>
          <w:rFonts w:ascii="Arial" w:eastAsia="Arial" w:hAnsi="Arial" w:cs="Arial"/>
          <w:sz w:val="16"/>
          <w:szCs w:val="16"/>
          <w:lang w:val="en-US"/>
        </w:rPr>
        <w:t xml:space="preserve">Autodesk Forma site design as a pedagogical tool for bioclimatic analysis: A residential subdivision case study. </w:t>
      </w:r>
      <w:r w:rsidRPr="00365464">
        <w:rPr>
          <w:rFonts w:ascii="Arial" w:eastAsia="Arial" w:hAnsi="Arial" w:cs="Arial"/>
          <w:sz w:val="16"/>
          <w:szCs w:val="16"/>
        </w:rPr>
        <w:t>Innovare Revista de Ciencia y Tecnología, 15(1), 1–10. https://doi.org/10.69845/innovare.v15i1.633</w:t>
      </w:r>
    </w:p>
    <w:p w14:paraId="5781F1CB" w14:textId="77777777" w:rsidR="0049716D" w:rsidRPr="004D7D35" w:rsidRDefault="00365464">
      <w:pPr>
        <w:spacing w:after="60"/>
        <w:ind w:left="576" w:hanging="576"/>
        <w:jc w:val="both"/>
        <w:rPr>
          <w:sz w:val="18"/>
          <w:szCs w:val="18"/>
          <w:lang w:val="en-US"/>
        </w:rPr>
      </w:pPr>
      <w:r w:rsidRPr="004D7D35">
        <w:rPr>
          <w:rFonts w:ascii="Arial" w:eastAsia="Arial" w:hAnsi="Arial" w:cs="Arial"/>
          <w:sz w:val="16"/>
          <w:szCs w:val="16"/>
          <w:lang w:val="en-US"/>
        </w:rPr>
        <w:t>Norman, D. A. (2013). The design of everyday things (Rev. and expanded ed.). Basic Books.</w:t>
      </w:r>
    </w:p>
    <w:p w14:paraId="5781F1CC" w14:textId="77777777" w:rsidR="0049716D" w:rsidRPr="00365464" w:rsidRDefault="00365464">
      <w:pPr>
        <w:spacing w:after="60"/>
        <w:ind w:left="576" w:hanging="576"/>
        <w:jc w:val="both"/>
        <w:rPr>
          <w:sz w:val="18"/>
          <w:szCs w:val="18"/>
        </w:rPr>
      </w:pPr>
      <w:proofErr w:type="spellStart"/>
      <w:r w:rsidRPr="004D7D35">
        <w:rPr>
          <w:rFonts w:ascii="Arial" w:eastAsia="Arial" w:hAnsi="Arial" w:cs="Arial"/>
          <w:sz w:val="16"/>
          <w:szCs w:val="16"/>
          <w:lang w:val="en-US"/>
        </w:rPr>
        <w:t>Olgyay</w:t>
      </w:r>
      <w:proofErr w:type="spellEnd"/>
      <w:r w:rsidRPr="004D7D35">
        <w:rPr>
          <w:rFonts w:ascii="Arial" w:eastAsia="Arial" w:hAnsi="Arial" w:cs="Arial"/>
          <w:sz w:val="16"/>
          <w:szCs w:val="16"/>
          <w:lang w:val="en-US"/>
        </w:rPr>
        <w:t xml:space="preserve">, V. (2015). Design with climate: Bioclimatic approach to architectural regionalism. </w:t>
      </w:r>
      <w:r w:rsidRPr="00365464">
        <w:rPr>
          <w:rFonts w:ascii="Arial" w:eastAsia="Arial" w:hAnsi="Arial" w:cs="Arial"/>
          <w:sz w:val="16"/>
          <w:szCs w:val="16"/>
        </w:rPr>
        <w:t xml:space="preserve">[Datos de publicación tomados tal como aparecen en Volkmar Vélez, 2024; edición original de 1963, Princeton </w:t>
      </w:r>
      <w:proofErr w:type="spellStart"/>
      <w:r w:rsidRPr="00365464">
        <w:rPr>
          <w:rFonts w:ascii="Arial" w:eastAsia="Arial" w:hAnsi="Arial" w:cs="Arial"/>
          <w:sz w:val="16"/>
          <w:szCs w:val="16"/>
        </w:rPr>
        <w:t>University</w:t>
      </w:r>
      <w:proofErr w:type="spellEnd"/>
      <w:r w:rsidRPr="00365464">
        <w:rPr>
          <w:rFonts w:ascii="Arial" w:eastAsia="Arial" w:hAnsi="Arial" w:cs="Arial"/>
          <w:sz w:val="16"/>
          <w:szCs w:val="16"/>
        </w:rPr>
        <w:t xml:space="preserve"> </w:t>
      </w:r>
      <w:proofErr w:type="spellStart"/>
      <w:r w:rsidRPr="00365464">
        <w:rPr>
          <w:rFonts w:ascii="Arial" w:eastAsia="Arial" w:hAnsi="Arial" w:cs="Arial"/>
          <w:sz w:val="16"/>
          <w:szCs w:val="16"/>
        </w:rPr>
        <w:t>Press</w:t>
      </w:r>
      <w:proofErr w:type="spellEnd"/>
      <w:r w:rsidRPr="00365464">
        <w:rPr>
          <w:rFonts w:ascii="Arial" w:eastAsia="Arial" w:hAnsi="Arial" w:cs="Arial"/>
          <w:sz w:val="16"/>
          <w:szCs w:val="16"/>
        </w:rPr>
        <w:t>, no verificada independientemente en esta versión.]</w:t>
      </w:r>
    </w:p>
    <w:p w14:paraId="5781F1CD" w14:textId="77777777" w:rsidR="0049716D" w:rsidRPr="004D7D35" w:rsidRDefault="00365464">
      <w:pPr>
        <w:spacing w:after="60"/>
        <w:ind w:left="576" w:hanging="576"/>
        <w:jc w:val="both"/>
        <w:rPr>
          <w:sz w:val="18"/>
          <w:szCs w:val="18"/>
          <w:lang w:val="en-US"/>
        </w:rPr>
      </w:pPr>
      <w:proofErr w:type="spellStart"/>
      <w:r w:rsidRPr="00365464">
        <w:rPr>
          <w:rFonts w:ascii="Arial" w:eastAsia="Arial" w:hAnsi="Arial" w:cs="Arial"/>
          <w:sz w:val="16"/>
          <w:szCs w:val="16"/>
        </w:rPr>
        <w:t>Pompei</w:t>
      </w:r>
      <w:proofErr w:type="spellEnd"/>
      <w:r w:rsidRPr="00365464">
        <w:rPr>
          <w:rFonts w:ascii="Arial" w:eastAsia="Arial" w:hAnsi="Arial" w:cs="Arial"/>
          <w:sz w:val="16"/>
          <w:szCs w:val="16"/>
        </w:rPr>
        <w:t xml:space="preserve">, L., </w:t>
      </w:r>
      <w:proofErr w:type="spellStart"/>
      <w:r w:rsidRPr="00365464">
        <w:rPr>
          <w:rFonts w:ascii="Arial" w:eastAsia="Arial" w:hAnsi="Arial" w:cs="Arial"/>
          <w:sz w:val="16"/>
          <w:szCs w:val="16"/>
        </w:rPr>
        <w:t>Spiridigliozzi</w:t>
      </w:r>
      <w:proofErr w:type="spellEnd"/>
      <w:r w:rsidRPr="00365464">
        <w:rPr>
          <w:rFonts w:ascii="Arial" w:eastAsia="Arial" w:hAnsi="Arial" w:cs="Arial"/>
          <w:sz w:val="16"/>
          <w:szCs w:val="16"/>
        </w:rPr>
        <w:t xml:space="preserve">, G., De </w:t>
      </w:r>
      <w:proofErr w:type="spellStart"/>
      <w:r w:rsidRPr="00365464">
        <w:rPr>
          <w:rFonts w:ascii="Arial" w:eastAsia="Arial" w:hAnsi="Arial" w:cs="Arial"/>
          <w:sz w:val="16"/>
          <w:szCs w:val="16"/>
        </w:rPr>
        <w:t>Santoli</w:t>
      </w:r>
      <w:proofErr w:type="spellEnd"/>
      <w:r w:rsidRPr="00365464">
        <w:rPr>
          <w:rFonts w:ascii="Arial" w:eastAsia="Arial" w:hAnsi="Arial" w:cs="Arial"/>
          <w:sz w:val="16"/>
          <w:szCs w:val="16"/>
        </w:rPr>
        <w:t xml:space="preserve">, L., Cornaro, C., &amp; </w:t>
      </w:r>
      <w:proofErr w:type="spellStart"/>
      <w:r w:rsidRPr="00365464">
        <w:rPr>
          <w:rFonts w:ascii="Arial" w:eastAsia="Arial" w:hAnsi="Arial" w:cs="Arial"/>
          <w:sz w:val="16"/>
          <w:szCs w:val="16"/>
        </w:rPr>
        <w:t>Bisegna</w:t>
      </w:r>
      <w:proofErr w:type="spellEnd"/>
      <w:r w:rsidRPr="00365464">
        <w:rPr>
          <w:rFonts w:ascii="Arial" w:eastAsia="Arial" w:hAnsi="Arial" w:cs="Arial"/>
          <w:sz w:val="16"/>
          <w:szCs w:val="16"/>
        </w:rPr>
        <w:t xml:space="preserve">, F. (2019). </w:t>
      </w:r>
      <w:r w:rsidRPr="004D7D35">
        <w:rPr>
          <w:rFonts w:ascii="Arial" w:eastAsia="Arial" w:hAnsi="Arial" w:cs="Arial"/>
          <w:sz w:val="16"/>
          <w:szCs w:val="16"/>
          <w:lang w:val="en-US"/>
        </w:rPr>
        <w:t>Testing the BIM-Ladybug tools interoperability: A daylighting simulation workflow. Building Simulation Applications (BSA2019).</w:t>
      </w:r>
    </w:p>
    <w:p w14:paraId="5781F1CE" w14:textId="77777777" w:rsidR="0049716D" w:rsidRPr="004D7D35" w:rsidRDefault="00365464">
      <w:pPr>
        <w:spacing w:after="60"/>
        <w:ind w:left="576" w:hanging="576"/>
        <w:jc w:val="both"/>
        <w:rPr>
          <w:sz w:val="18"/>
          <w:szCs w:val="18"/>
          <w:lang w:val="en-US"/>
        </w:rPr>
      </w:pPr>
      <w:r w:rsidRPr="004D7D35">
        <w:rPr>
          <w:rFonts w:ascii="Arial" w:eastAsia="Arial" w:hAnsi="Arial" w:cs="Arial"/>
          <w:sz w:val="16"/>
          <w:szCs w:val="16"/>
          <w:lang w:val="en-US"/>
        </w:rPr>
        <w:t>Schiano-Phan, R., Gonçalves, J. C. S., &amp; Vallejo, J. A. (2022). Pedagogy pro-design and climate literacy: Teaching methods and research approaches for sustainable architecture. Sustainability, 14(11), 6791. https://doi.org/10.3390/su14116791</w:t>
      </w:r>
    </w:p>
    <w:p w14:paraId="5781F1CF" w14:textId="77777777" w:rsidR="0049716D" w:rsidRPr="004D7D35" w:rsidRDefault="00365464">
      <w:pPr>
        <w:spacing w:after="60"/>
        <w:ind w:left="576" w:hanging="576"/>
        <w:jc w:val="both"/>
        <w:rPr>
          <w:sz w:val="18"/>
          <w:szCs w:val="18"/>
          <w:lang w:val="en-US"/>
        </w:rPr>
      </w:pPr>
      <w:proofErr w:type="spellStart"/>
      <w:r w:rsidRPr="004D7D35">
        <w:rPr>
          <w:rFonts w:ascii="Arial" w:eastAsia="Arial" w:hAnsi="Arial" w:cs="Arial"/>
          <w:sz w:val="16"/>
          <w:szCs w:val="16"/>
          <w:lang w:val="en-US"/>
        </w:rPr>
        <w:t>Shahverdi</w:t>
      </w:r>
      <w:proofErr w:type="spellEnd"/>
      <w:r w:rsidRPr="004D7D35">
        <w:rPr>
          <w:rFonts w:ascii="Arial" w:eastAsia="Arial" w:hAnsi="Arial" w:cs="Arial"/>
          <w:sz w:val="16"/>
          <w:szCs w:val="16"/>
          <w:lang w:val="en-US"/>
        </w:rPr>
        <w:t xml:space="preserve">, A. F., </w:t>
      </w:r>
      <w:proofErr w:type="spellStart"/>
      <w:r w:rsidRPr="004D7D35">
        <w:rPr>
          <w:rFonts w:ascii="Arial" w:eastAsia="Arial" w:hAnsi="Arial" w:cs="Arial"/>
          <w:sz w:val="16"/>
          <w:szCs w:val="16"/>
          <w:lang w:val="en-US"/>
        </w:rPr>
        <w:t>Mostafavi</w:t>
      </w:r>
      <w:proofErr w:type="spellEnd"/>
      <w:r w:rsidRPr="004D7D35">
        <w:rPr>
          <w:rFonts w:ascii="Arial" w:eastAsia="Arial" w:hAnsi="Arial" w:cs="Arial"/>
          <w:sz w:val="16"/>
          <w:szCs w:val="16"/>
          <w:lang w:val="en-US"/>
        </w:rPr>
        <w:t xml:space="preserve">, F., </w:t>
      </w:r>
      <w:proofErr w:type="spellStart"/>
      <w:r w:rsidRPr="004D7D35">
        <w:rPr>
          <w:rFonts w:ascii="Arial" w:eastAsia="Arial" w:hAnsi="Arial" w:cs="Arial"/>
          <w:sz w:val="16"/>
          <w:szCs w:val="16"/>
          <w:lang w:val="en-US"/>
        </w:rPr>
        <w:t>Haghighat</w:t>
      </w:r>
      <w:proofErr w:type="spellEnd"/>
      <w:r w:rsidRPr="004D7D35">
        <w:rPr>
          <w:rFonts w:ascii="Arial" w:eastAsia="Arial" w:hAnsi="Arial" w:cs="Arial"/>
          <w:sz w:val="16"/>
          <w:szCs w:val="16"/>
          <w:lang w:val="en-US"/>
        </w:rPr>
        <w:t xml:space="preserve"> </w:t>
      </w:r>
      <w:proofErr w:type="spellStart"/>
      <w:r w:rsidRPr="004D7D35">
        <w:rPr>
          <w:rFonts w:ascii="Arial" w:eastAsia="Arial" w:hAnsi="Arial" w:cs="Arial"/>
          <w:sz w:val="16"/>
          <w:szCs w:val="16"/>
          <w:lang w:val="en-US"/>
        </w:rPr>
        <w:t>Roodkoly</w:t>
      </w:r>
      <w:proofErr w:type="spellEnd"/>
      <w:r w:rsidRPr="004D7D35">
        <w:rPr>
          <w:rFonts w:ascii="Arial" w:eastAsia="Arial" w:hAnsi="Arial" w:cs="Arial"/>
          <w:sz w:val="16"/>
          <w:szCs w:val="16"/>
          <w:lang w:val="en-US"/>
        </w:rPr>
        <w:t xml:space="preserve">, S., </w:t>
      </w:r>
      <w:proofErr w:type="spellStart"/>
      <w:r w:rsidRPr="004D7D35">
        <w:rPr>
          <w:rFonts w:ascii="Arial" w:eastAsia="Arial" w:hAnsi="Arial" w:cs="Arial"/>
          <w:sz w:val="16"/>
          <w:szCs w:val="16"/>
          <w:lang w:val="en-US"/>
        </w:rPr>
        <w:t>Zomorodian</w:t>
      </w:r>
      <w:proofErr w:type="spellEnd"/>
      <w:r w:rsidRPr="004D7D35">
        <w:rPr>
          <w:rFonts w:ascii="Arial" w:eastAsia="Arial" w:hAnsi="Arial" w:cs="Arial"/>
          <w:sz w:val="16"/>
          <w:szCs w:val="16"/>
          <w:lang w:val="en-US"/>
        </w:rPr>
        <w:t xml:space="preserve">, Z. S., &amp; </w:t>
      </w:r>
      <w:proofErr w:type="spellStart"/>
      <w:r w:rsidRPr="004D7D35">
        <w:rPr>
          <w:rFonts w:ascii="Arial" w:eastAsia="Arial" w:hAnsi="Arial" w:cs="Arial"/>
          <w:sz w:val="16"/>
          <w:szCs w:val="16"/>
          <w:lang w:val="en-US"/>
        </w:rPr>
        <w:t>Homayouni</w:t>
      </w:r>
      <w:proofErr w:type="spellEnd"/>
      <w:r w:rsidRPr="004D7D35">
        <w:rPr>
          <w:rFonts w:ascii="Arial" w:eastAsia="Arial" w:hAnsi="Arial" w:cs="Arial"/>
          <w:sz w:val="16"/>
          <w:szCs w:val="16"/>
          <w:lang w:val="en-US"/>
        </w:rPr>
        <w:t>, H. (2024). Developing a pedagogical framework for an integrated and BIM-based high-performance design studio: Experimental case study. Journal of Architectural Engineering, 30(1). https://doi.org/10.1061/JAEIED.AEENG-1550</w:t>
      </w:r>
    </w:p>
    <w:p w14:paraId="5781F1D0" w14:textId="77777777" w:rsidR="0049716D" w:rsidRPr="004D7D35" w:rsidRDefault="00365464">
      <w:pPr>
        <w:spacing w:after="60"/>
        <w:ind w:left="576" w:hanging="576"/>
        <w:jc w:val="both"/>
        <w:rPr>
          <w:sz w:val="18"/>
          <w:szCs w:val="18"/>
          <w:lang w:val="en-US"/>
        </w:rPr>
      </w:pPr>
      <w:proofErr w:type="spellStart"/>
      <w:r w:rsidRPr="004D7D35">
        <w:rPr>
          <w:rFonts w:ascii="Arial" w:eastAsia="Arial" w:hAnsi="Arial" w:cs="Arial"/>
          <w:sz w:val="16"/>
          <w:szCs w:val="16"/>
          <w:lang w:val="en-US"/>
        </w:rPr>
        <w:t>Süner-Pla-Cerdà</w:t>
      </w:r>
      <w:proofErr w:type="spellEnd"/>
      <w:r w:rsidRPr="004D7D35">
        <w:rPr>
          <w:rFonts w:ascii="Arial" w:eastAsia="Arial" w:hAnsi="Arial" w:cs="Arial"/>
          <w:sz w:val="16"/>
          <w:szCs w:val="16"/>
          <w:lang w:val="en-US"/>
        </w:rPr>
        <w:t xml:space="preserve">, S., </w:t>
      </w:r>
      <w:proofErr w:type="spellStart"/>
      <w:r w:rsidRPr="004D7D35">
        <w:rPr>
          <w:rFonts w:ascii="Arial" w:eastAsia="Arial" w:hAnsi="Arial" w:cs="Arial"/>
          <w:sz w:val="16"/>
          <w:szCs w:val="16"/>
          <w:lang w:val="en-US"/>
        </w:rPr>
        <w:t>Yazirlıoğlu</w:t>
      </w:r>
      <w:proofErr w:type="spellEnd"/>
      <w:r w:rsidRPr="004D7D35">
        <w:rPr>
          <w:rFonts w:ascii="Arial" w:eastAsia="Arial" w:hAnsi="Arial" w:cs="Arial"/>
          <w:sz w:val="16"/>
          <w:szCs w:val="16"/>
          <w:lang w:val="en-US"/>
        </w:rPr>
        <w:t xml:space="preserve">, L., &amp; </w:t>
      </w:r>
      <w:proofErr w:type="spellStart"/>
      <w:r w:rsidRPr="004D7D35">
        <w:rPr>
          <w:rFonts w:ascii="Arial" w:eastAsia="Arial" w:hAnsi="Arial" w:cs="Arial"/>
          <w:sz w:val="16"/>
          <w:szCs w:val="16"/>
          <w:lang w:val="en-US"/>
        </w:rPr>
        <w:t>Güzeller</w:t>
      </w:r>
      <w:proofErr w:type="spellEnd"/>
      <w:r w:rsidRPr="004D7D35">
        <w:rPr>
          <w:rFonts w:ascii="Arial" w:eastAsia="Arial" w:hAnsi="Arial" w:cs="Arial"/>
          <w:sz w:val="16"/>
          <w:szCs w:val="16"/>
          <w:lang w:val="en-US"/>
        </w:rPr>
        <w:t>, G. (2025). Technology-enhanced learning practices in studio pedagogy: A scoping review. International Journal of Technology and Design Education. https://doi.org/10.1007/s10798-024-09924-3</w:t>
      </w:r>
    </w:p>
    <w:p w14:paraId="5781F1D1" w14:textId="77777777" w:rsidR="0049716D" w:rsidRPr="00365464" w:rsidRDefault="00365464">
      <w:pPr>
        <w:spacing w:after="60"/>
        <w:ind w:left="576" w:hanging="576"/>
        <w:jc w:val="both"/>
        <w:rPr>
          <w:sz w:val="18"/>
          <w:szCs w:val="18"/>
        </w:rPr>
      </w:pPr>
      <w:proofErr w:type="spellStart"/>
      <w:r w:rsidRPr="004D7D35">
        <w:rPr>
          <w:rFonts w:ascii="Arial" w:eastAsia="Arial" w:hAnsi="Arial" w:cs="Arial"/>
          <w:sz w:val="16"/>
          <w:szCs w:val="16"/>
          <w:lang w:val="en-US"/>
        </w:rPr>
        <w:t>Sweller</w:t>
      </w:r>
      <w:proofErr w:type="spellEnd"/>
      <w:r w:rsidRPr="004D7D35">
        <w:rPr>
          <w:rFonts w:ascii="Arial" w:eastAsia="Arial" w:hAnsi="Arial" w:cs="Arial"/>
          <w:sz w:val="16"/>
          <w:szCs w:val="16"/>
          <w:lang w:val="en-US"/>
        </w:rPr>
        <w:t xml:space="preserve">, J. (1988). Cognitive load during problem solving: Effects on learning. </w:t>
      </w:r>
      <w:r w:rsidRPr="00365464">
        <w:rPr>
          <w:rFonts w:ascii="Arial" w:eastAsia="Arial" w:hAnsi="Arial" w:cs="Arial"/>
          <w:sz w:val="16"/>
          <w:szCs w:val="16"/>
        </w:rPr>
        <w:t xml:space="preserve">Cognitive </w:t>
      </w:r>
      <w:proofErr w:type="spellStart"/>
      <w:r w:rsidRPr="00365464">
        <w:rPr>
          <w:rFonts w:ascii="Arial" w:eastAsia="Arial" w:hAnsi="Arial" w:cs="Arial"/>
          <w:sz w:val="16"/>
          <w:szCs w:val="16"/>
        </w:rPr>
        <w:t>Science</w:t>
      </w:r>
      <w:proofErr w:type="spellEnd"/>
      <w:r w:rsidRPr="00365464">
        <w:rPr>
          <w:rFonts w:ascii="Arial" w:eastAsia="Arial" w:hAnsi="Arial" w:cs="Arial"/>
          <w:sz w:val="16"/>
          <w:szCs w:val="16"/>
        </w:rPr>
        <w:t>, 12(2), 257–285. https://doi.org/10.1016/0364-0213(88)90023-7</w:t>
      </w:r>
    </w:p>
    <w:p w14:paraId="5781F1D2" w14:textId="77777777" w:rsidR="0049716D" w:rsidRPr="00365464" w:rsidRDefault="00365464">
      <w:pPr>
        <w:spacing w:after="60"/>
        <w:ind w:left="576" w:hanging="576"/>
        <w:jc w:val="both"/>
        <w:rPr>
          <w:sz w:val="18"/>
          <w:szCs w:val="18"/>
        </w:rPr>
      </w:pPr>
      <w:r w:rsidRPr="00365464">
        <w:rPr>
          <w:rFonts w:ascii="Arial" w:eastAsia="Arial" w:hAnsi="Arial" w:cs="Arial"/>
          <w:sz w:val="16"/>
          <w:szCs w:val="16"/>
        </w:rPr>
        <w:t>Volkmar Vélez, D. (2024). Ensayo de una metodología de integración de estrategias bioclimática en el proceso de diseño arquitectónico a través de BIM [Tesis de maestría, Universidad de San Buenaventura, Medellín].</w:t>
      </w:r>
    </w:p>
    <w:p w14:paraId="5781F1D3" w14:textId="77777777" w:rsidR="0049716D" w:rsidRPr="00365464" w:rsidRDefault="00365464">
      <w:pPr>
        <w:spacing w:after="60"/>
        <w:ind w:left="576" w:hanging="576"/>
        <w:jc w:val="both"/>
        <w:rPr>
          <w:sz w:val="18"/>
          <w:szCs w:val="18"/>
        </w:rPr>
      </w:pPr>
      <w:r w:rsidRPr="004D7D35">
        <w:rPr>
          <w:rFonts w:ascii="Arial" w:eastAsia="Arial" w:hAnsi="Arial" w:cs="Arial"/>
          <w:sz w:val="16"/>
          <w:szCs w:val="16"/>
          <w:lang w:val="en-US"/>
        </w:rPr>
        <w:t xml:space="preserve">Vygotsky, L. S. (1978). Mind in society: The development of higher psychological processes. </w:t>
      </w:r>
      <w:r w:rsidRPr="00365464">
        <w:rPr>
          <w:rFonts w:ascii="Arial" w:eastAsia="Arial" w:hAnsi="Arial" w:cs="Arial"/>
          <w:sz w:val="16"/>
          <w:szCs w:val="16"/>
        </w:rPr>
        <w:t xml:space="preserve">Harvard </w:t>
      </w:r>
      <w:proofErr w:type="spellStart"/>
      <w:r w:rsidRPr="00365464">
        <w:rPr>
          <w:rFonts w:ascii="Arial" w:eastAsia="Arial" w:hAnsi="Arial" w:cs="Arial"/>
          <w:sz w:val="16"/>
          <w:szCs w:val="16"/>
        </w:rPr>
        <w:t>University</w:t>
      </w:r>
      <w:proofErr w:type="spellEnd"/>
      <w:r w:rsidRPr="00365464">
        <w:rPr>
          <w:rFonts w:ascii="Arial" w:eastAsia="Arial" w:hAnsi="Arial" w:cs="Arial"/>
          <w:sz w:val="16"/>
          <w:szCs w:val="16"/>
        </w:rPr>
        <w:t xml:space="preserve"> </w:t>
      </w:r>
      <w:proofErr w:type="spellStart"/>
      <w:r w:rsidRPr="00365464">
        <w:rPr>
          <w:rFonts w:ascii="Arial" w:eastAsia="Arial" w:hAnsi="Arial" w:cs="Arial"/>
          <w:sz w:val="16"/>
          <w:szCs w:val="16"/>
        </w:rPr>
        <w:t>Press</w:t>
      </w:r>
      <w:proofErr w:type="spellEnd"/>
      <w:r w:rsidRPr="00365464">
        <w:rPr>
          <w:rFonts w:ascii="Arial" w:eastAsia="Arial" w:hAnsi="Arial" w:cs="Arial"/>
          <w:sz w:val="16"/>
          <w:szCs w:val="16"/>
        </w:rPr>
        <w:t>.</w:t>
      </w:r>
    </w:p>
    <w:p w14:paraId="5781F1D4" w14:textId="6CF7C657" w:rsidR="0049716D" w:rsidRPr="00365464" w:rsidRDefault="0049716D">
      <w:pPr>
        <w:spacing w:after="80"/>
        <w:jc w:val="both"/>
      </w:pPr>
    </w:p>
    <w:sectPr w:rsidR="0049716D" w:rsidRPr="00365464">
      <w:pgSz w:w="11905" w:h="16837"/>
      <w:pgMar w:top="1984" w:right="1984" w:bottom="1984" w:left="19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0A4BBC"/>
    <w:multiLevelType w:val="hybridMultilevel"/>
    <w:tmpl w:val="59E07634"/>
    <w:lvl w:ilvl="0" w:tplc="2AAED668">
      <w:start w:val="1"/>
      <w:numFmt w:val="bullet"/>
      <w:lvlText w:val="●"/>
      <w:lvlJc w:val="left"/>
      <w:pPr>
        <w:ind w:left="720" w:hanging="360"/>
      </w:pPr>
    </w:lvl>
    <w:lvl w:ilvl="1" w:tplc="0EAC2484">
      <w:start w:val="1"/>
      <w:numFmt w:val="bullet"/>
      <w:lvlText w:val="○"/>
      <w:lvlJc w:val="left"/>
      <w:pPr>
        <w:ind w:left="1440" w:hanging="360"/>
      </w:pPr>
    </w:lvl>
    <w:lvl w:ilvl="2" w:tplc="35E89360">
      <w:start w:val="1"/>
      <w:numFmt w:val="bullet"/>
      <w:lvlText w:val="■"/>
      <w:lvlJc w:val="left"/>
      <w:pPr>
        <w:ind w:left="2160" w:hanging="360"/>
      </w:pPr>
    </w:lvl>
    <w:lvl w:ilvl="3" w:tplc="596AB7AE">
      <w:start w:val="1"/>
      <w:numFmt w:val="bullet"/>
      <w:lvlText w:val="●"/>
      <w:lvlJc w:val="left"/>
      <w:pPr>
        <w:ind w:left="2880" w:hanging="360"/>
      </w:pPr>
    </w:lvl>
    <w:lvl w:ilvl="4" w:tplc="41246984">
      <w:start w:val="1"/>
      <w:numFmt w:val="bullet"/>
      <w:lvlText w:val="○"/>
      <w:lvlJc w:val="left"/>
      <w:pPr>
        <w:ind w:left="3600" w:hanging="360"/>
      </w:pPr>
    </w:lvl>
    <w:lvl w:ilvl="5" w:tplc="7D2EB798">
      <w:start w:val="1"/>
      <w:numFmt w:val="bullet"/>
      <w:lvlText w:val="■"/>
      <w:lvlJc w:val="left"/>
      <w:pPr>
        <w:ind w:left="4320" w:hanging="360"/>
      </w:pPr>
    </w:lvl>
    <w:lvl w:ilvl="6" w:tplc="B12A1640">
      <w:start w:val="1"/>
      <w:numFmt w:val="bullet"/>
      <w:lvlText w:val="●"/>
      <w:lvlJc w:val="left"/>
      <w:pPr>
        <w:ind w:left="5040" w:hanging="360"/>
      </w:pPr>
    </w:lvl>
    <w:lvl w:ilvl="7" w:tplc="071652EA">
      <w:start w:val="1"/>
      <w:numFmt w:val="bullet"/>
      <w:lvlText w:val="●"/>
      <w:lvlJc w:val="left"/>
      <w:pPr>
        <w:ind w:left="5760" w:hanging="360"/>
      </w:pPr>
    </w:lvl>
    <w:lvl w:ilvl="8" w:tplc="5A8635A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16D"/>
    <w:rsid w:val="00012BA7"/>
    <w:rsid w:val="00094B17"/>
    <w:rsid w:val="00365464"/>
    <w:rsid w:val="0049716D"/>
    <w:rsid w:val="004D7D35"/>
    <w:rsid w:val="00807F90"/>
    <w:rsid w:val="0086074B"/>
    <w:rsid w:val="009248C5"/>
    <w:rsid w:val="00964435"/>
    <w:rsid w:val="009B0B2B"/>
    <w:rsid w:val="00A27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1F116"/>
  <w15:docId w15:val="{C4C17067-C81C-4F3D-94D8-22BB0BDC4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37105">
      <w:bodyDiv w:val="1"/>
      <w:marLeft w:val="0"/>
      <w:marRight w:val="0"/>
      <w:marTop w:val="0"/>
      <w:marBottom w:val="0"/>
      <w:divBdr>
        <w:top w:val="none" w:sz="0" w:space="0" w:color="auto"/>
        <w:left w:val="none" w:sz="0" w:space="0" w:color="auto"/>
        <w:bottom w:val="none" w:sz="0" w:space="0" w:color="auto"/>
        <w:right w:val="none" w:sz="0" w:space="0" w:color="auto"/>
      </w:divBdr>
    </w:div>
    <w:div w:id="905073606">
      <w:bodyDiv w:val="1"/>
      <w:marLeft w:val="0"/>
      <w:marRight w:val="0"/>
      <w:marTop w:val="0"/>
      <w:marBottom w:val="0"/>
      <w:divBdr>
        <w:top w:val="none" w:sz="0" w:space="0" w:color="auto"/>
        <w:left w:val="none" w:sz="0" w:space="0" w:color="auto"/>
        <w:bottom w:val="none" w:sz="0" w:space="0" w:color="auto"/>
        <w:right w:val="none" w:sz="0" w:space="0" w:color="auto"/>
      </w:divBdr>
    </w:div>
    <w:div w:id="1343556214">
      <w:bodyDiv w:val="1"/>
      <w:marLeft w:val="0"/>
      <w:marRight w:val="0"/>
      <w:marTop w:val="0"/>
      <w:marBottom w:val="0"/>
      <w:divBdr>
        <w:top w:val="none" w:sz="0" w:space="0" w:color="auto"/>
        <w:left w:val="none" w:sz="0" w:space="0" w:color="auto"/>
        <w:bottom w:val="none" w:sz="0" w:space="0" w:color="auto"/>
        <w:right w:val="none" w:sz="0" w:space="0" w:color="auto"/>
      </w:divBdr>
    </w:div>
    <w:div w:id="1449272925">
      <w:bodyDiv w:val="1"/>
      <w:marLeft w:val="0"/>
      <w:marRight w:val="0"/>
      <w:marTop w:val="0"/>
      <w:marBottom w:val="0"/>
      <w:divBdr>
        <w:top w:val="none" w:sz="0" w:space="0" w:color="auto"/>
        <w:left w:val="none" w:sz="0" w:space="0" w:color="auto"/>
        <w:bottom w:val="none" w:sz="0" w:space="0" w:color="auto"/>
        <w:right w:val="none" w:sz="0" w:space="0" w:color="auto"/>
      </w:divBdr>
    </w:div>
    <w:div w:id="18156401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9</Pages>
  <Words>3969</Words>
  <Characters>22625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Volkmar</cp:lastModifiedBy>
  <cp:revision>11</cp:revision>
  <dcterms:created xsi:type="dcterms:W3CDTF">2026-09-22T00:57:00Z</dcterms:created>
  <dcterms:modified xsi:type="dcterms:W3CDTF">2026-09-23T12:23:00Z</dcterms:modified>
</cp:coreProperties>
</file>