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8BCA" w14:textId="66153B34" w:rsidR="0019094A" w:rsidRPr="0019094A" w:rsidRDefault="0019094A" w:rsidP="0019094A">
      <w:pPr>
        <w:jc w:val="center"/>
        <w:rPr>
          <w:rStyle w:val="Style13ptBold"/>
          <w:sz w:val="44"/>
          <w:szCs w:val="40"/>
        </w:rPr>
      </w:pPr>
      <w:hyperlink r:id="rId8" w:history="1">
        <w:r w:rsidRPr="0019094A">
          <w:rPr>
            <w:rStyle w:val="Style13ptBold"/>
            <w:sz w:val="44"/>
            <w:szCs w:val="40"/>
          </w:rPr>
          <w:t>[</w:t>
        </w:r>
        <w:r w:rsidR="00B64007">
          <w:rPr>
            <w:rStyle w:val="Style13ptBold"/>
            <w:sz w:val="44"/>
            <w:szCs w:val="40"/>
          </w:rPr>
          <w:t>mythos</w:t>
        </w:r>
        <w:r w:rsidRPr="0019094A">
          <w:rPr>
            <w:rStyle w:val="Style13ptBold"/>
            <w:sz w:val="44"/>
            <w:szCs w:val="40"/>
          </w:rPr>
          <w:t>]</w:t>
        </w:r>
      </w:hyperlink>
    </w:p>
    <w:p w14:paraId="44E99B14" w14:textId="07B55F60" w:rsidR="00CA7C44" w:rsidRDefault="00CA7C44" w:rsidP="008A235D">
      <w:pPr>
        <w:rPr>
          <w:rStyle w:val="Style13ptBold"/>
        </w:rPr>
      </w:pPr>
      <w:r w:rsidRPr="008A235D">
        <w:rPr>
          <w:rStyle w:val="Style13ptBold"/>
        </w:rPr>
        <w:t xml:space="preserve">I know what I know because </w:t>
      </w:r>
      <w:r w:rsidR="00984918" w:rsidRPr="008A235D">
        <w:rPr>
          <w:rStyle w:val="Style13ptBold"/>
        </w:rPr>
        <w:t>I am</w:t>
      </w:r>
      <w:r w:rsidRPr="008A235D">
        <w:rPr>
          <w:rStyle w:val="Style13ptBold"/>
        </w:rPr>
        <w:t xml:space="preserve"> the ones before me. </w:t>
      </w:r>
    </w:p>
    <w:p w14:paraId="670B0BF7" w14:textId="77777777" w:rsidR="008A235D" w:rsidRPr="008A235D" w:rsidRDefault="008A235D" w:rsidP="008A235D">
      <w:pPr>
        <w:rPr>
          <w:rStyle w:val="Style13ptBold"/>
        </w:rPr>
      </w:pPr>
    </w:p>
    <w:p w14:paraId="45EA3178" w14:textId="664B16E7" w:rsidR="00800440" w:rsidRDefault="00800440" w:rsidP="008A235D">
      <w:pPr>
        <w:rPr>
          <w:rStyle w:val="Style13ptBold"/>
        </w:rPr>
      </w:pPr>
      <w:r w:rsidRPr="008A235D">
        <w:rPr>
          <w:rStyle w:val="Style13ptBold"/>
        </w:rPr>
        <w:t xml:space="preserve">We are not the same because I’m brown and that means I’m built to work. </w:t>
      </w:r>
      <w:r w:rsidR="00984918" w:rsidRPr="008A235D">
        <w:rPr>
          <w:rStyle w:val="Style13ptBold"/>
        </w:rPr>
        <w:t xml:space="preserve">I could read </w:t>
      </w:r>
      <w:r w:rsidR="00F25D26" w:rsidRPr="008A235D">
        <w:rPr>
          <w:rStyle w:val="Style13ptBold"/>
        </w:rPr>
        <w:t xml:space="preserve">you </w:t>
      </w:r>
      <w:r w:rsidR="00984918" w:rsidRPr="008A235D">
        <w:rPr>
          <w:rStyle w:val="Style13ptBold"/>
        </w:rPr>
        <w:t>all the cards telling you this is true or you can you listen to my history.</w:t>
      </w:r>
    </w:p>
    <w:p w14:paraId="278AD6B2" w14:textId="77777777" w:rsidR="008A235D" w:rsidRPr="008A235D" w:rsidRDefault="008A235D" w:rsidP="008A235D">
      <w:pPr>
        <w:rPr>
          <w:rStyle w:val="Style13ptBold"/>
        </w:rPr>
      </w:pPr>
    </w:p>
    <w:p w14:paraId="3AE9B142" w14:textId="1867D2B6" w:rsidR="00CA7C44" w:rsidRDefault="00C533F3" w:rsidP="008A235D">
      <w:pPr>
        <w:rPr>
          <w:rStyle w:val="Style13ptBold"/>
        </w:rPr>
      </w:pPr>
      <w:r w:rsidRPr="008A235D">
        <w:rPr>
          <w:rStyle w:val="Style13ptBold"/>
        </w:rPr>
        <w:t>Mi</w:t>
      </w:r>
      <w:r w:rsidR="00CA7C44" w:rsidRPr="008A235D">
        <w:rPr>
          <w:rStyle w:val="Style13ptBold"/>
        </w:rPr>
        <w:t xml:space="preserve"> abuelo Miguel </w:t>
      </w:r>
      <w:r w:rsidR="00800440" w:rsidRPr="008A235D">
        <w:rPr>
          <w:rStyle w:val="Style13ptBold"/>
        </w:rPr>
        <w:t xml:space="preserve">was a bracero </w:t>
      </w:r>
      <w:r w:rsidR="00451B92" w:rsidRPr="008A235D">
        <w:rPr>
          <w:rStyle w:val="Style13ptBold"/>
        </w:rPr>
        <w:t xml:space="preserve">who got shipped to Michigan </w:t>
      </w:r>
      <w:r w:rsidR="00312B3A">
        <w:rPr>
          <w:rStyle w:val="Style13ptBold"/>
        </w:rPr>
        <w:t xml:space="preserve">to </w:t>
      </w:r>
      <w:r w:rsidR="00451B92" w:rsidRPr="008A235D">
        <w:rPr>
          <w:rStyle w:val="Style13ptBold"/>
        </w:rPr>
        <w:t xml:space="preserve">work the fields and chop trees </w:t>
      </w:r>
      <w:r w:rsidR="00800440" w:rsidRPr="008A235D">
        <w:rPr>
          <w:rStyle w:val="Style13ptBold"/>
        </w:rPr>
        <w:t xml:space="preserve">but then he got a bad back </w:t>
      </w:r>
      <w:r w:rsidR="003C3CFA">
        <w:rPr>
          <w:rStyle w:val="Style13ptBold"/>
        </w:rPr>
        <w:t>and</w:t>
      </w:r>
      <w:r w:rsidR="00800440" w:rsidRPr="008A235D">
        <w:rPr>
          <w:rStyle w:val="Style13ptBold"/>
        </w:rPr>
        <w:t xml:space="preserve"> </w:t>
      </w:r>
      <w:r w:rsidR="00BF71DA">
        <w:rPr>
          <w:rStyle w:val="Style13ptBold"/>
        </w:rPr>
        <w:t xml:space="preserve">he </w:t>
      </w:r>
      <w:r w:rsidR="00800440" w:rsidRPr="008A235D">
        <w:rPr>
          <w:rStyle w:val="Style13ptBold"/>
        </w:rPr>
        <w:t xml:space="preserve">died. No workers comp, no </w:t>
      </w:r>
      <w:r w:rsidR="00BF71DA">
        <w:rPr>
          <w:rStyle w:val="Style13ptBold"/>
        </w:rPr>
        <w:t>health</w:t>
      </w:r>
      <w:r w:rsidR="00800440" w:rsidRPr="008A235D">
        <w:rPr>
          <w:rStyle w:val="Style13ptBold"/>
        </w:rPr>
        <w:t xml:space="preserve"> insurance, no union to back him up and enough stolen labor to build this country.</w:t>
      </w:r>
    </w:p>
    <w:p w14:paraId="08830707" w14:textId="77777777" w:rsidR="008A235D" w:rsidRPr="008A235D" w:rsidRDefault="008A235D" w:rsidP="008A235D">
      <w:pPr>
        <w:rPr>
          <w:rStyle w:val="Style13ptBold"/>
        </w:rPr>
      </w:pPr>
    </w:p>
    <w:p w14:paraId="0294E216" w14:textId="7799B7A6" w:rsidR="00800440" w:rsidRDefault="00800440" w:rsidP="008A235D">
      <w:pPr>
        <w:rPr>
          <w:rStyle w:val="Style13ptBold"/>
        </w:rPr>
      </w:pPr>
      <w:r w:rsidRPr="008A235D">
        <w:rPr>
          <w:rStyle w:val="Style13ptBold"/>
        </w:rPr>
        <w:t xml:space="preserve">My pops didn’t fare any better. He came here on a train </w:t>
      </w:r>
      <w:r w:rsidR="00984918" w:rsidRPr="008A235D">
        <w:rPr>
          <w:rStyle w:val="Style13ptBold"/>
        </w:rPr>
        <w:t xml:space="preserve">with </w:t>
      </w:r>
      <w:r w:rsidRPr="008A235D">
        <w:rPr>
          <w:rStyle w:val="Style13ptBold"/>
        </w:rPr>
        <w:t>cargo like him – raw material that would become a construction worker</w:t>
      </w:r>
      <w:r w:rsidR="00984918" w:rsidRPr="008A235D">
        <w:rPr>
          <w:rStyle w:val="Style13ptBold"/>
        </w:rPr>
        <w:t xml:space="preserve">, prisoner, and deportee. Another brown man victim to a system functioning exactly how it’s supposed to. </w:t>
      </w:r>
    </w:p>
    <w:p w14:paraId="1D41945F" w14:textId="77777777" w:rsidR="008A235D" w:rsidRPr="008A235D" w:rsidRDefault="008A235D" w:rsidP="008A235D">
      <w:pPr>
        <w:rPr>
          <w:rStyle w:val="Style13ptBold"/>
        </w:rPr>
      </w:pPr>
    </w:p>
    <w:p w14:paraId="2B4B9C20" w14:textId="2245F832" w:rsidR="008A235D" w:rsidRDefault="00984918" w:rsidP="008A235D">
      <w:pPr>
        <w:rPr>
          <w:rStyle w:val="Style13ptBold"/>
        </w:rPr>
      </w:pPr>
      <w:r w:rsidRPr="008A235D">
        <w:rPr>
          <w:rStyle w:val="Style13ptBold"/>
        </w:rPr>
        <w:t>When my mom and her migas tried to unionize at the sandwich shop they were threatened with you know what</w:t>
      </w:r>
      <w:r w:rsidR="00324331">
        <w:rPr>
          <w:rStyle w:val="Style13ptBold"/>
        </w:rPr>
        <w:t xml:space="preserve">, </w:t>
      </w:r>
      <w:r w:rsidRPr="008A235D">
        <w:rPr>
          <w:rStyle w:val="Style13ptBold"/>
        </w:rPr>
        <w:t>and for twice the labor accepted less money than you’ll ever get paid.</w:t>
      </w:r>
    </w:p>
    <w:p w14:paraId="0A52E40C" w14:textId="77777777" w:rsidR="006E01FA" w:rsidRPr="008A235D" w:rsidRDefault="006E01FA" w:rsidP="008A235D">
      <w:pPr>
        <w:rPr>
          <w:rStyle w:val="Style13ptBold"/>
        </w:rPr>
      </w:pPr>
    </w:p>
    <w:p w14:paraId="406FF7DB" w14:textId="487DF606" w:rsidR="008A235D" w:rsidRPr="008A235D" w:rsidRDefault="00F25D26" w:rsidP="008A235D">
      <w:pPr>
        <w:rPr>
          <w:rStyle w:val="Style13ptBold"/>
        </w:rPr>
      </w:pPr>
      <w:r w:rsidRPr="008A235D">
        <w:rPr>
          <w:rStyle w:val="Style13ptBold"/>
        </w:rPr>
        <w:t xml:space="preserve">White people work or they die. </w:t>
      </w:r>
      <w:r w:rsidR="006E6513" w:rsidRPr="008A235D">
        <w:rPr>
          <w:rStyle w:val="Style13ptBold"/>
        </w:rPr>
        <w:t>In contrast, w</w:t>
      </w:r>
      <w:r w:rsidRPr="008A235D">
        <w:rPr>
          <w:rStyle w:val="Style13ptBold"/>
        </w:rPr>
        <w:t xml:space="preserve">e’re </w:t>
      </w:r>
      <w:r w:rsidR="006E6513" w:rsidRPr="008A235D">
        <w:rPr>
          <w:rStyle w:val="Style13ptBold"/>
        </w:rPr>
        <w:t xml:space="preserve">stuck with </w:t>
      </w:r>
      <w:r w:rsidRPr="008A235D">
        <w:rPr>
          <w:rStyle w:val="Style13ptBold"/>
        </w:rPr>
        <w:t>a life sentence where we work and we die.</w:t>
      </w:r>
      <w:r w:rsidR="00984918" w:rsidRPr="008A235D">
        <w:rPr>
          <w:rStyle w:val="Style13ptBold"/>
        </w:rPr>
        <w:t xml:space="preserve"> </w:t>
      </w:r>
    </w:p>
    <w:p w14:paraId="5D9921C1" w14:textId="41E0E1D7" w:rsidR="001E605B" w:rsidRDefault="001E605B" w:rsidP="001E605B">
      <w:pPr>
        <w:pStyle w:val="Heading4"/>
      </w:pPr>
      <w:r>
        <w:t>Th</w:t>
      </w:r>
      <w:r w:rsidR="00A00C18">
        <w:t>e</w:t>
      </w:r>
      <w:r>
        <w:t xml:space="preserve"> </w:t>
      </w:r>
      <w:r w:rsidR="00187043">
        <w:t xml:space="preserve">ghosts of our past haunt the </w:t>
      </w:r>
      <w:r>
        <w:t xml:space="preserve">racialized </w:t>
      </w:r>
      <w:r w:rsidR="00A00C18">
        <w:t>nature</w:t>
      </w:r>
      <w:r>
        <w:t xml:space="preserve"> of labor law </w:t>
      </w:r>
      <w:r w:rsidR="00187043">
        <w:rPr>
          <w:u w:val="single"/>
        </w:rPr>
        <w:t>as</w:t>
      </w:r>
      <w:r w:rsidRPr="00C42037">
        <w:rPr>
          <w:u w:val="single"/>
        </w:rPr>
        <w:t xml:space="preserve"> a feature</w:t>
      </w:r>
      <w:r w:rsidR="005C3DC4">
        <w:rPr>
          <w:u w:val="single"/>
        </w:rPr>
        <w:t xml:space="preserve"> </w:t>
      </w:r>
      <w:r w:rsidR="005C3DC4" w:rsidRPr="005C3DC4">
        <w:t>required</w:t>
      </w:r>
      <w:r>
        <w:t xml:space="preserve"> </w:t>
      </w:r>
      <w:r w:rsidR="000454CF">
        <w:t>to sustain</w:t>
      </w:r>
      <w:r>
        <w:t xml:space="preserve"> capitalism – by universalizing the right to unionize</w:t>
      </w:r>
      <w:r w:rsidR="00187043">
        <w:t xml:space="preserve">, </w:t>
      </w:r>
      <w:r>
        <w:t xml:space="preserve">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w:t>
      </w:r>
      <w:r w:rsidR="000454CF">
        <w:t xml:space="preserve"> – this </w:t>
      </w:r>
      <w:r w:rsidR="000454CF" w:rsidRPr="00D949DC">
        <w:rPr>
          <w:u w:val="single"/>
        </w:rPr>
        <w:t>revolving door of exploitable labor</w:t>
      </w:r>
      <w:r w:rsidR="000454CF">
        <w:t xml:space="preserve"> makes labor law </w:t>
      </w:r>
      <w:r w:rsidR="000454CF" w:rsidRPr="000454CF">
        <w:rPr>
          <w:u w:val="single"/>
        </w:rPr>
        <w:t>inseparable</w:t>
      </w:r>
      <w:r w:rsidR="000454CF">
        <w:t xml:space="preserve"> from </w:t>
      </w:r>
      <w:r w:rsidR="000454CF" w:rsidRPr="00D949DC">
        <w:rPr>
          <w:u w:val="single"/>
        </w:rPr>
        <w:t>white nationalist carceral logic</w:t>
      </w:r>
      <w:r>
        <w:t>.</w:t>
      </w:r>
    </w:p>
    <w:p w14:paraId="56B0E15F" w14:textId="77777777" w:rsidR="001E605B" w:rsidRPr="00337CB3" w:rsidRDefault="001E605B" w:rsidP="001E605B">
      <w:pPr>
        <w:rPr>
          <w:lang w:val="es-ES"/>
        </w:rPr>
      </w:pPr>
      <w:r w:rsidRPr="00D126FB">
        <w:rPr>
          <w:rStyle w:val="Heading4Char"/>
        </w:rPr>
        <w:t>Souza Máximo Pereira</w:t>
      </w:r>
      <w:r w:rsidRPr="00D126FB">
        <w:t>, F. (20</w:t>
      </w:r>
      <w:r w:rsidRPr="00D126FB">
        <w:rPr>
          <w:rStyle w:val="Style13ptBold"/>
        </w:rPr>
        <w:t>22</w:t>
      </w:r>
      <w:r w:rsidRPr="00D126FB">
        <w:t xml:space="preserve">). Labour, Love and (de)coloniality in the Employment Relationship. </w:t>
      </w:r>
      <w:r w:rsidRPr="00337CB3">
        <w:rPr>
          <w:lang w:val="es-ES"/>
        </w:rPr>
        <w:t xml:space="preserve">RED, 4(1), 99-104. </w:t>
      </w:r>
      <w:hyperlink r:id="rId9" w:history="1">
        <w:r w:rsidRPr="00337CB3">
          <w:rPr>
            <w:rStyle w:val="Hyperlink"/>
            <w:lang w:val="es-ES"/>
          </w:rPr>
          <w:t>https://shs.cairn.info/journal-red-2022-1-page-99?lang=en</w:t>
        </w:r>
      </w:hyperlink>
      <w:r w:rsidRPr="00337CB3">
        <w:rPr>
          <w:lang w:val="es-ES"/>
        </w:rPr>
        <w:t>.//Miguel etc.</w:t>
      </w:r>
    </w:p>
    <w:p w14:paraId="5AC2E7CE" w14:textId="0785A9F1" w:rsidR="001E605B" w:rsidRDefault="001E605B" w:rsidP="001E605B">
      <w:pPr>
        <w:rPr>
          <w:sz w:val="16"/>
        </w:rPr>
      </w:pPr>
      <w:r w:rsidRPr="00B0012F">
        <w:rPr>
          <w:sz w:val="16"/>
        </w:rPr>
        <w:t xml:space="preserve">I need to understand why Labour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protection of Labour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r w:rsidRPr="00B0012F">
        <w:rPr>
          <w:rStyle w:val="StyleUnderline"/>
          <w:highlight w:val="green"/>
        </w:rPr>
        <w:t>Labour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Labour Law’s epistemology and the experience of workers accidental, or is it a deliberate project? Who loves must tell the truth. So, listen to me. There is a legal coloniality in Labour Law. [20] </w:t>
      </w:r>
      <w:r w:rsidRPr="008026C0">
        <w:rPr>
          <w:rStyle w:val="StyleUnderline"/>
        </w:rPr>
        <w:t>Labour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labour,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r w:rsidRPr="00B0012F">
        <w:rPr>
          <w:rStyle w:val="StyleUnderline"/>
          <w:highlight w:val="green"/>
        </w:rPr>
        <w:t>labour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 xml:space="preserve">The </w:t>
      </w:r>
      <w:r w:rsidRPr="00E130FC">
        <w:rPr>
          <w:rStyle w:val="StyleUnderline"/>
          <w:highlight w:val="green"/>
        </w:rPr>
        <w:t>decolonial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[34] Therefore, democratizing work relations necessarily involves decolonizing Labour Law’s knowledge production.</w:t>
      </w:r>
      <w:r>
        <w:rPr>
          <w:rStyle w:val="StyleUnderline"/>
        </w:rPr>
        <w:t xml:space="preserve"> </w:t>
      </w:r>
      <w:r w:rsidRPr="00B0012F">
        <w:rPr>
          <w:sz w:val="16"/>
        </w:rPr>
        <w:t xml:space="preserve">We know that decolonizing Labour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Labour Law is a difficult and painful wager because it involves letting go of categories that captivated us and brought us here. If we are here, it is because our affection has brought us to the territory of Labour Law. However, who loves must tell the truth. So, listen to me. The concrete subjection of bodies that is afforded by the legal coloniality in Labour Law must be denounced. </w:t>
      </w:r>
      <w:r w:rsidRPr="00B0012F">
        <w:rPr>
          <w:rStyle w:val="StyleUnderline"/>
          <w:highlight w:val="green"/>
        </w:rPr>
        <w:t xml:space="preserve">Through legal subordination, Labour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labouring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labour relations differentiation arises. </w:t>
      </w:r>
      <w:r w:rsidRPr="00D23E2D">
        <w:rPr>
          <w:rStyle w:val="StyleUnderline"/>
          <w:highlight w:val="green"/>
        </w:rPr>
        <w:t>Free</w:t>
      </w:r>
      <w:r w:rsidRPr="008026C0">
        <w:rPr>
          <w:rStyle w:val="StyleUnderline"/>
        </w:rPr>
        <w:t xml:space="preserve"> and subordinated </w:t>
      </w:r>
      <w:r w:rsidRPr="00D23E2D">
        <w:rPr>
          <w:rStyle w:val="StyleUnderline"/>
          <w:highlight w:val="green"/>
        </w:rPr>
        <w:t>labour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labour is also exalted as a form of resistance to the idea of pure autonomy of will, embodied in Civil Law: </w:t>
      </w:r>
      <w:r w:rsidRPr="008026C0">
        <w:rPr>
          <w:rStyle w:val="StyleUnderline"/>
        </w:rPr>
        <w:t>Labour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r w:rsidRPr="00D23E2D">
        <w:rPr>
          <w:rStyle w:val="StyleUnderline"/>
          <w:highlight w:val="green"/>
        </w:rPr>
        <w:t>labour</w:t>
      </w:r>
      <w:r w:rsidRPr="008026C0">
        <w:rPr>
          <w:rStyle w:val="StyleUnderline"/>
        </w:rPr>
        <w:t>.</w:t>
      </w:r>
      <w:r w:rsidRPr="00B0012F">
        <w:rPr>
          <w:sz w:val="16"/>
        </w:rPr>
        <w:t xml:space="preserve"> [44] 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labour control did not emerge from this historical sequence. None of them were a mere extension of old pre–capitalist forms. They were not incompatible with capitalism. </w:t>
      </w:r>
      <w:r w:rsidRPr="00D23E2D">
        <w:rPr>
          <w:rStyle w:val="StyleUnderline"/>
          <w:highlight w:val="green"/>
        </w:rPr>
        <w:t>Servitude, slavery, and free labour</w:t>
      </w:r>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naturalizing inferior functions in the social division of labour</w:t>
      </w:r>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 xml:space="preserve">The </w:t>
      </w:r>
      <w:r w:rsidRPr="00F00A21">
        <w:rPr>
          <w:rStyle w:val="StyleUnderline"/>
          <w:highlight w:val="green"/>
        </w:rPr>
        <w:t>latter had no right to choose</w:t>
      </w:r>
      <w:r w:rsidRPr="00B0012F">
        <w:rPr>
          <w:rStyle w:val="StyleUnderline"/>
        </w:rPr>
        <w:t xml:space="preserve">, to feel, to think, to breathe or to love, because </w:t>
      </w:r>
      <w:r w:rsidRPr="00F00A21">
        <w:rPr>
          <w:rStyle w:val="StyleUnderline"/>
          <w:highlight w:val="green"/>
        </w:rPr>
        <w:t>they were just flesh</w:t>
      </w:r>
      <w:r w:rsidRPr="00B0012F">
        <w:rPr>
          <w:rStyle w:val="StyleUnderline"/>
        </w:rPr>
        <w:t>.</w:t>
      </w:r>
      <w:r>
        <w:rPr>
          <w:rStyle w:val="StyleUnderline"/>
        </w:rPr>
        <w:t xml:space="preserve"> </w:t>
      </w:r>
      <w:r w:rsidRPr="00F00A21">
        <w:rPr>
          <w:u w:val="single"/>
        </w:rPr>
        <w:t>The ‘</w:t>
      </w:r>
      <w:r w:rsidRPr="00F00A21">
        <w:rPr>
          <w:highlight w:val="green"/>
          <w:u w:val="single"/>
        </w:rPr>
        <w:t>indigenous’ </w:t>
      </w:r>
      <w:r w:rsidRPr="00F00A21">
        <w:rPr>
          <w:u w:val="single"/>
        </w:rPr>
        <w:t xml:space="preserve">[47] were </w:t>
      </w:r>
      <w:r w:rsidRPr="00F00A21">
        <w:rPr>
          <w:highlight w:val="green"/>
          <w:u w:val="single"/>
        </w:rPr>
        <w:t>confined to servitude</w:t>
      </w:r>
      <w:r w:rsidRPr="00F00A21">
        <w:rPr>
          <w:u w:val="single"/>
        </w:rPr>
        <w:t xml:space="preserve">, </w:t>
      </w:r>
      <w:r w:rsidRPr="00F00A21">
        <w:rPr>
          <w:strike/>
          <w:u w:val="single"/>
        </w:rPr>
        <w:t>‘</w:t>
      </w:r>
      <w:r w:rsidRPr="00F00A21">
        <w:rPr>
          <w:strike/>
          <w:highlight w:val="green"/>
          <w:u w:val="single"/>
        </w:rPr>
        <w:t>blacks’</w:t>
      </w:r>
      <w:r w:rsidRPr="00F00A21">
        <w:rPr>
          <w:highlight w:val="green"/>
          <w:u w:val="single"/>
        </w:rPr>
        <w:t> </w:t>
      </w:r>
      <w:r w:rsidR="00F00A21" w:rsidRPr="00F00A21">
        <w:rPr>
          <w:highlight w:val="green"/>
          <w:u w:val="single"/>
        </w:rPr>
        <w:t>black people</w:t>
      </w:r>
      <w:r w:rsidRPr="00F00A21">
        <w:rPr>
          <w:u w:val="single"/>
        </w:rPr>
        <w:t xml:space="preserve">[48] were </w:t>
      </w:r>
      <w:r w:rsidRPr="00F00A21">
        <w:rPr>
          <w:highlight w:val="green"/>
          <w:u w:val="single"/>
        </w:rPr>
        <w:t>enslaved</w:t>
      </w:r>
      <w:r w:rsidRPr="00F00A21">
        <w:rPr>
          <w:u w:val="single"/>
        </w:rPr>
        <w:t>; European white women were imprisoned in reproductive work; ‘</w:t>
      </w:r>
      <w:r w:rsidRPr="00F00A21">
        <w:rPr>
          <w:highlight w:val="green"/>
          <w:u w:val="single"/>
        </w:rPr>
        <w:t>black’ and ‘indigenous’ women</w:t>
      </w:r>
      <w:r w:rsidRPr="00F00A21">
        <w:rPr>
          <w:u w:val="single"/>
        </w:rPr>
        <w:t xml:space="preserve"> were </w:t>
      </w:r>
      <w:r w:rsidRPr="00F00A21">
        <w:rPr>
          <w:highlight w:val="green"/>
          <w:u w:val="single"/>
        </w:rPr>
        <w:t>sexually objectified</w:t>
      </w:r>
      <w:r w:rsidRPr="00F00A21">
        <w:rPr>
          <w:u w:val="single"/>
        </w:rPr>
        <w:t>, r*ped and exploited in domestic enslavement; ‘black’ women were mortified in rural slavery and in mining. </w:t>
      </w:r>
      <w:r w:rsidRPr="00B0012F">
        <w:rPr>
          <w:sz w:val="16"/>
        </w:rPr>
        <w:t xml:space="preserve">[49] </w:t>
      </w:r>
      <w:r w:rsidRPr="00D23E2D">
        <w:rPr>
          <w:rStyle w:val="StyleUnderline"/>
          <w:highlight w:val="green"/>
        </w:rPr>
        <w:t>Only white European men could perform free labour</w:t>
      </w:r>
      <w:r w:rsidRPr="00B0012F">
        <w:rPr>
          <w:rStyle w:val="StyleUnderline"/>
        </w:rPr>
        <w:t>.</w:t>
      </w:r>
      <w:r w:rsidRPr="00B0012F">
        <w:rPr>
          <w:sz w:val="16"/>
        </w:rPr>
        <w:t xml:space="preserve"> This means that in the colonization of Latin America there was an exclusive association of male whiteness with free and paid–for labour.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r w:rsidRPr="00D23E2D">
        <w:rPr>
          <w:rStyle w:val="StyleUnderline"/>
          <w:highlight w:val="green"/>
        </w:rPr>
        <w:t>labour</w:t>
      </w:r>
      <w:r w:rsidRPr="00B0012F">
        <w:rPr>
          <w:rStyle w:val="StyleUnderline"/>
        </w:rPr>
        <w:t xml:space="preserve">, which is </w:t>
      </w:r>
      <w:r w:rsidRPr="00D23E2D">
        <w:rPr>
          <w:rStyle w:val="StyleUnderline"/>
          <w:highlight w:val="green"/>
        </w:rPr>
        <w:t xml:space="preserve">at the heart of Labour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Labour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Labour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division of Labour</w:t>
      </w:r>
      <w:r w:rsidRPr="00B0012F">
        <w:rPr>
          <w:rStyle w:val="StyleUnderline"/>
        </w:rPr>
        <w:t xml:space="preserve"> in the world and in Latin America, </w:t>
      </w:r>
      <w:r w:rsidRPr="00D23E2D">
        <w:rPr>
          <w:rStyle w:val="StyleUnderline"/>
          <w:highlight w:val="green"/>
        </w:rPr>
        <w:t>through Labour Law itself</w:t>
      </w:r>
      <w:r w:rsidRPr="00B0012F">
        <w:rPr>
          <w:rStyle w:val="StyleUnderline"/>
        </w:rPr>
        <w:t>.</w:t>
      </w:r>
      <w:r>
        <w:rPr>
          <w:rStyle w:val="StyleUnderline"/>
        </w:rPr>
        <w:t xml:space="preserve"> </w:t>
      </w:r>
      <w:r w:rsidRPr="00B0012F">
        <w:rPr>
          <w:sz w:val="16"/>
        </w:rPr>
        <w:t xml:space="preserve">The Labour norm has colour, it has an origin and it is gendered. [51] </w:t>
      </w:r>
      <w:r w:rsidRPr="00B0012F">
        <w:rPr>
          <w:rStyle w:val="StyleUnderline"/>
        </w:rPr>
        <w:t>The Labour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Labour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Labour Law and the epistemic subject in Labour Law, about silent ontological Labour,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 xml:space="preserve">Nevertheless, most workers in the Global South, especially those ‘non–white’,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Labour Law apparent is not an easy one, as we do not know what the limit of radical critique is. Nonetheless, it is not enough to denounce the complicity of Labour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Labour Law. Therefore, it is crucial to decolonize its epistemic subject, its modern concept of time and value, based on merely mercantile criteria. We must shift its productive labour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r w:rsidRPr="00A01502">
        <w:rPr>
          <w:rStyle w:val="StyleUnderline"/>
          <w:highlight w:val="green"/>
        </w:rPr>
        <w:t>labour</w:t>
      </w:r>
      <w:r w:rsidRPr="00B0012F">
        <w:rPr>
          <w:rStyle w:val="StyleUnderline"/>
        </w:rPr>
        <w:t xml:space="preserve"> should be entitled to a minimum income. </w:t>
      </w:r>
      <w:r w:rsidRPr="00B0012F">
        <w:rPr>
          <w:sz w:val="16"/>
        </w:rPr>
        <w:t xml:space="preserve">[64] </w:t>
      </w:r>
    </w:p>
    <w:p w14:paraId="52E96638" w14:textId="77777777" w:rsidR="00FC40F6" w:rsidRPr="00B0012F" w:rsidRDefault="00FC40F6" w:rsidP="001E605B">
      <w:pPr>
        <w:rPr>
          <w:sz w:val="16"/>
        </w:rPr>
      </w:pPr>
    </w:p>
    <w:p w14:paraId="57B056CB" w14:textId="7EF73F15" w:rsidR="00087199" w:rsidRPr="008C262B" w:rsidRDefault="002F62A0" w:rsidP="00087199">
      <w:pPr>
        <w:pStyle w:val="Heading4"/>
      </w:pPr>
      <w:r>
        <w:t xml:space="preserve">Resolutional discourse is </w:t>
      </w:r>
      <w:r w:rsidRPr="00D949DC">
        <w:rPr>
          <w:u w:val="single"/>
        </w:rPr>
        <w:t xml:space="preserve">interest convergence </w:t>
      </w:r>
      <w:r w:rsidR="005725C0">
        <w:t xml:space="preserve">-- </w:t>
      </w:r>
      <w:r>
        <w:t>t</w:t>
      </w:r>
      <w:r w:rsidR="00087199">
        <w:t xml:space="preserve">he American Empire’s labor regime </w:t>
      </w:r>
      <w:r>
        <w:t xml:space="preserve">is </w:t>
      </w:r>
      <w:r w:rsidRPr="00D949DC">
        <w:rPr>
          <w:u w:val="single"/>
        </w:rPr>
        <w:t>always</w:t>
      </w:r>
      <w:r>
        <w:t xml:space="preserve"> a </w:t>
      </w:r>
      <w:r w:rsidRPr="00BB77D7">
        <w:rPr>
          <w:u w:val="single"/>
        </w:rPr>
        <w:t>zero-sum game</w:t>
      </w:r>
      <w:r w:rsidR="00BB77D7">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w:t>
      </w:r>
      <w:r w:rsidR="00A01502">
        <w:t xml:space="preserve">to serve </w:t>
      </w:r>
      <w:r>
        <w:t>Amerikkka</w:t>
      </w:r>
      <w:r w:rsidR="00EA64E5">
        <w:t xml:space="preserve"> – it’s a mythos reliant on </w:t>
      </w:r>
      <w:r w:rsidR="00EA64E5" w:rsidRPr="00EA64E5">
        <w:rPr>
          <w:u w:val="single"/>
        </w:rPr>
        <w:t>accumulating</w:t>
      </w:r>
      <w:r w:rsidR="00EA64E5">
        <w:t xml:space="preserve"> and </w:t>
      </w:r>
      <w:r w:rsidR="00EA64E5" w:rsidRPr="00EA64E5">
        <w:rPr>
          <w:u w:val="single"/>
        </w:rPr>
        <w:t>exorcising</w:t>
      </w:r>
      <w:r w:rsidR="00EA64E5">
        <w:t xml:space="preserve"> our spirits.</w:t>
      </w:r>
      <w:r>
        <w:t xml:space="preserve"> </w:t>
      </w:r>
    </w:p>
    <w:p w14:paraId="22FE878F" w14:textId="77777777" w:rsidR="00087199" w:rsidRDefault="00087199" w:rsidP="00087199">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10" w:history="1">
        <w:r w:rsidRPr="00E15EB5">
          <w:rPr>
            <w:rStyle w:val="Hyperlink"/>
          </w:rPr>
          <w:t>https://link-gale-com.proxy.wichita.edu/apps/doc/A724354463/AONE?u=ksstate_wichita&amp;sid=summon&amp;xid=d4a7d308</w:t>
        </w:r>
      </w:hyperlink>
      <w:r>
        <w:t>//Miguel etc</w:t>
      </w:r>
    </w:p>
    <w:p w14:paraId="0F967B54" w14:textId="2653B164" w:rsidR="00844143" w:rsidRDefault="00087199" w:rsidP="00087199">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nexi."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w:t>
      </w:r>
      <w:r w:rsidRPr="00E130FC">
        <w:rPr>
          <w:u w:val="single"/>
        </w:rPr>
        <w:t>in the words of author Saidiya Hartman. (31) I do not focus on the naming of new rights (32) as much as I do on identifying anti-racist democracy and how abolition and new law might fortify and protect it.</w:t>
      </w:r>
      <w:r w:rsidRPr="005D0876">
        <w:rPr>
          <w:sz w:val="13"/>
          <w:szCs w:val="13"/>
        </w:rPr>
        <w:t xml:space="preserve">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w:t>
      </w:r>
      <w:r w:rsidRPr="00E130FC">
        <w:rPr>
          <w:rStyle w:val="StyleUnderline"/>
        </w:rPr>
        <w:t>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w:t>
      </w:r>
      <w:r w:rsidRPr="005D0876">
        <w:rPr>
          <w:sz w:val="13"/>
          <w:szCs w:val="13"/>
        </w:rPr>
        <w:t xml:space="preserve">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w:t>
      </w:r>
      <w:r w:rsidRPr="00E130FC">
        <w:rPr>
          <w:rStyle w:val="StyleUnderline"/>
        </w:rPr>
        <w:t>I conclude by reflecting on how we might build citizenship abolition from the bottom-up.</w:t>
      </w:r>
      <w:r w:rsidRPr="005D0876">
        <w:rPr>
          <w:sz w:val="13"/>
          <w:szCs w:val="13"/>
        </w:rPr>
        <w:t xml:space="preserve">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w:t>
      </w:r>
      <w:r w:rsidRPr="00E130FC">
        <w:rPr>
          <w:rStyle w:val="StyleUnderline"/>
        </w:rPr>
        <w:t>citizenship and racism are one in the same, which forces the conclusion that anti-racist democracy is impossible without the abolition of citizenship.</w:t>
      </w:r>
      <w:r w:rsidRPr="005D0876">
        <w:rPr>
          <w:sz w:val="16"/>
        </w:rPr>
        <w:t xml:space="preserve">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w:t>
      </w:r>
      <w:r w:rsidRPr="00F00A21">
        <w:rPr>
          <w:rStyle w:val="StyleUnderline"/>
        </w:rPr>
        <w:t>Law Professor Rhonda V. Magee describes slavery as "our nation's first system of 'immigration law'" (72) because it "laid a foundation for both a racially segmented, labor-based immigration system... and a racially hier-archical[] 'nation of immigrants.'" (73) It was under slavery that anti-Black laws restricted the movement of Black people between and within states through curfews, "slave patrols," and segregated roads, excluding their entry into, (74) and deporting them from, (75) many states.</w:t>
      </w:r>
      <w:r w:rsidRPr="005D0876">
        <w:rPr>
          <w:sz w:val="13"/>
          <w:szCs w:val="13"/>
        </w:rPr>
        <w:t xml:space="preserve">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w:t>
      </w:r>
      <w:r w:rsidRPr="00F00A21">
        <w:rPr>
          <w:rStyle w:val="StyleUnderline"/>
        </w:rPr>
        <w:t xml:space="preserve">From the beginning, U.S. citizenship was a synonym for whiteness. </w:t>
      </w:r>
      <w:r w:rsidRPr="005D0876">
        <w:rPr>
          <w:sz w:val="13"/>
          <w:szCs w:val="13"/>
        </w:rPr>
        <w:t xml:space="preserve">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w:t>
      </w:r>
      <w:r w:rsidRPr="00F00A21">
        <w:rPr>
          <w:rStyle w:val="StyleUnderline"/>
        </w:rPr>
        <w:t xml:space="preserve">Every U.S. immigration law has prioritized the exclusion and subordination of nonwhite people. </w:t>
      </w:r>
      <w:r w:rsidRPr="005D0876">
        <w:rPr>
          <w:sz w:val="13"/>
          <w:szCs w:val="13"/>
        </w:rPr>
        <w:t xml:space="preserve">In 1924, eugenics-inspired (112) laws were passed to enforce "national origins" numerical limitations (called "quotas") for each country. (113) </w:t>
      </w:r>
      <w:r w:rsidRPr="00F00A21">
        <w:rPr>
          <w:rStyle w:val="StyleUnderline"/>
        </w:rPr>
        <w:t>Their goal,</w:t>
      </w:r>
      <w:r w:rsidRPr="005D0876">
        <w:rPr>
          <w:sz w:val="13"/>
          <w:szCs w:val="13"/>
        </w:rPr>
        <w:t xml:space="preserve"> as U.S. Senator David Reed explained, </w:t>
      </w:r>
      <w:r w:rsidRPr="00F00A21">
        <w:rPr>
          <w:rStyle w:val="StyleUnderline"/>
        </w:rPr>
        <w:t>was that "[t]he racial composition of America at the present time [] is made permanent," (114) by keeping out (115) people then racialized as nonwhite.</w:t>
      </w:r>
      <w:r w:rsidRPr="005D0876">
        <w:rPr>
          <w:sz w:val="13"/>
          <w:szCs w:val="13"/>
        </w:rPr>
        <w:t xml:space="preserve"> (116) Various pretextual conditions like English literacy tests (117) and one's future likelihood of dependency on public assistance (becoming a "public charge"), (118) as well as border-crossing without a visa, (119) were deployed with the </w:t>
      </w:r>
      <w:r w:rsidRPr="00F00A21">
        <w:rPr>
          <w:rStyle w:val="StyleUnderline"/>
        </w:rPr>
        <w:t>intention of further winnowing down nonwhite entry.</w:t>
      </w:r>
      <w:r w:rsidRPr="005D0876">
        <w:rPr>
          <w:sz w:val="13"/>
          <w:szCs w:val="13"/>
        </w:rPr>
        <w:t xml:space="preserve">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its felt neutrality."</w:t>
      </w:r>
      <w:r w:rsidRPr="005D0876">
        <w:rPr>
          <w:sz w:val="16"/>
        </w:rPr>
        <w:t xml:space="preserve"> (143) </w:t>
      </w:r>
      <w:r w:rsidRPr="00FD7D06">
        <w:rPr>
          <w:sz w:val="13"/>
          <w:szCs w:val="13"/>
        </w:rPr>
        <w:t>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Eugenically-inspired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converges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Visas and work permits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 xml:space="preserve">Thus, </w:t>
      </w:r>
      <w:r w:rsidRPr="00A84351">
        <w:rPr>
          <w:rStyle w:val="StyleUnderline"/>
          <w:highlight w:val="green"/>
        </w:rPr>
        <w:t>forcibly removing and warehousing unwanted people sustains the U</w:t>
      </w:r>
      <w:r w:rsidRPr="005D0876">
        <w:rPr>
          <w:rStyle w:val="StyleUnderline"/>
        </w:rPr>
        <w:t xml:space="preserve">nited </w:t>
      </w:r>
      <w:r w:rsidRPr="00A84351">
        <w:rPr>
          <w:rStyle w:val="StyleUnderline"/>
          <w:highlight w:val="green"/>
        </w:rPr>
        <w:t>S</w:t>
      </w:r>
      <w:r w:rsidRPr="005D0876">
        <w:rPr>
          <w:rStyle w:val="StyleUnderline"/>
        </w:rPr>
        <w:t>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798F602D" w14:textId="7731A277" w:rsidR="004563D9" w:rsidRPr="00F527CC" w:rsidRDefault="004563D9" w:rsidP="004563D9">
      <w:pPr>
        <w:pStyle w:val="Heading4"/>
      </w:pPr>
      <w:r>
        <w:t>Debates over collective bargaining rights are grounded in European metrics of valid knowledge production</w:t>
      </w:r>
      <w:r w:rsidR="00BB77D7">
        <w:t xml:space="preserve"> </w:t>
      </w:r>
      <w:r>
        <w:t xml:space="preserve">– these debates rely on class as the battleground for </w:t>
      </w:r>
      <w:r w:rsidR="00BB77D7">
        <w:t>strengthening rights</w:t>
      </w:r>
      <w:r>
        <w:t xml:space="preserve"> for subjects valued in a colonial paradigm – that requires </w:t>
      </w:r>
      <w:r w:rsidRPr="00CD3A5C">
        <w:rPr>
          <w:u w:val="single"/>
        </w:rPr>
        <w:t>violent suppression</w:t>
      </w:r>
      <w:r>
        <w:t xml:space="preserve"> of the </w:t>
      </w:r>
      <w:r w:rsidR="006F7E0F">
        <w:t xml:space="preserve">racialized </w:t>
      </w:r>
      <w:r>
        <w:t>underclass</w:t>
      </w:r>
      <w:r w:rsidR="00EA64E5">
        <w:t xml:space="preserve"> and their ghosts that must exist</w:t>
      </w:r>
      <w:r>
        <w:t xml:space="preserve"> to maintain European modernity.</w:t>
      </w:r>
    </w:p>
    <w:p w14:paraId="0C698D8B" w14:textId="77777777" w:rsidR="004563D9" w:rsidRDefault="004563D9" w:rsidP="004563D9">
      <w:r w:rsidRPr="00337CB3">
        <w:rPr>
          <w:rStyle w:val="Style13ptBold"/>
          <w:lang w:val="es-ES"/>
        </w:rPr>
        <w:t>Nicoli</w:t>
      </w:r>
      <w:r w:rsidRPr="00337CB3">
        <w:rPr>
          <w:lang w:val="es-ES"/>
        </w:rPr>
        <w:t xml:space="preserve">, Pedro Augusto Gravatá, </w:t>
      </w:r>
      <w:r w:rsidRPr="00337CB3">
        <w:rPr>
          <w:rStyle w:val="Style13ptBold"/>
          <w:lang w:val="es-ES"/>
        </w:rPr>
        <w:t>and</w:t>
      </w:r>
      <w:r w:rsidRPr="00337CB3">
        <w:rPr>
          <w:lang w:val="es-ES"/>
        </w:rPr>
        <w:t xml:space="preserve"> Flávia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Direito e Práxis, Universidade do Estado do Rio de Janeiro, </w:t>
      </w:r>
      <w:hyperlink r:id="rId11" w:history="1">
        <w:r w:rsidRPr="00337CB3">
          <w:rPr>
            <w:rStyle w:val="Hyperlink"/>
            <w:lang w:val="es-ES"/>
          </w:rPr>
          <w:t>www.scielo.br/j/rdp/a/zkgwYTcHcBJd8KhLkC4XBrQ/abstract/?format=html&amp;lang=en</w:t>
        </w:r>
      </w:hyperlink>
      <w:r w:rsidRPr="00337CB3">
        <w:rPr>
          <w:lang w:val="es-ES"/>
        </w:rPr>
        <w:t xml:space="preserve">. </w:t>
      </w:r>
      <w:r>
        <w:t>(translated from Portuguese to English using Google Translate’s file translate function). Miguel etc</w:t>
      </w:r>
    </w:p>
    <w:p w14:paraId="1B4FCF53" w14:textId="5FD16C81" w:rsidR="00BF76F7" w:rsidRPr="00BF76F7" w:rsidRDefault="004563D9" w:rsidP="00BF76F7">
      <w:pPr>
        <w:rPr>
          <w:sz w:val="16"/>
        </w:rPr>
      </w:pPr>
      <w:r w:rsidRPr="00327D27">
        <w:rPr>
          <w:sz w:val="16"/>
        </w:rPr>
        <w:t xml:space="preserve">2. Labor law between the limits and potential of criticism In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patrimonialist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a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existed,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underestimated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Marxisms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Pachukanis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Aldacy Rachid Coutinho (1999), Sayonara Grillo Coutinho Leonardo da Silva (2008), Felipe Santos (2015), Juliana Teixeira Esteves (2015), Valdete Souto Severo (2016), Daniela Muradas (2017), Maíra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It simplifies the</w:t>
      </w:r>
      <w:r>
        <w:rPr>
          <w:rStyle w:val="StyleUnderline"/>
        </w:rPr>
        <w:t xml:space="preserve"> </w:t>
      </w:r>
      <w:r w:rsidRPr="00327D27">
        <w:rPr>
          <w:rStyle w:val="StyleUnderline"/>
        </w:rPr>
        <w:t>our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How do they relate to the horizons of labor law?</w:t>
      </w:r>
    </w:p>
    <w:p w14:paraId="49DB96EF" w14:textId="11CAA2B5" w:rsidR="004D6E96" w:rsidRDefault="004D6E96" w:rsidP="004D6E96">
      <w:pPr>
        <w:pStyle w:val="Heading4"/>
      </w:pPr>
      <w:r w:rsidRPr="00D56A81">
        <w:rPr>
          <w:u w:val="single"/>
        </w:rPr>
        <w:t>Every</w:t>
      </w:r>
      <w:r>
        <w:t xml:space="preserve"> topical debate contributes to white supremacy’s </w:t>
      </w:r>
      <w:r w:rsidRPr="006E01FA">
        <w:rPr>
          <w:u w:val="single"/>
        </w:rPr>
        <w:t>mystification of knowledge</w:t>
      </w:r>
      <w:r>
        <w:t xml:space="preserve"> surrounding collective bargaining and carcerality – if archives are the lever of power, then resistance </w:t>
      </w:r>
      <w:r w:rsidRPr="006E01FA">
        <w:rPr>
          <w:u w:val="single"/>
        </w:rPr>
        <w:t>must begin</w:t>
      </w:r>
      <w:r>
        <w:t xml:space="preserve"> in revaluating our relationship to the terms and conditions of archival </w:t>
      </w:r>
      <w:r w:rsidR="00D56A81">
        <w:t>production</w:t>
      </w:r>
      <w:r>
        <w:t>.</w:t>
      </w:r>
    </w:p>
    <w:p w14:paraId="38351991" w14:textId="06C9819E" w:rsidR="004D6E96" w:rsidRPr="0050649B" w:rsidRDefault="004D6E96" w:rsidP="004D6E96">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606906C2" w14:textId="6432AAA6" w:rsidR="004D6E96" w:rsidRPr="004D6E96" w:rsidRDefault="004D6E96" w:rsidP="004D6E96">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D31B9A">
        <w:rPr>
          <w:rStyle w:val="StyleUnderline"/>
          <w:highlight w:val="green"/>
        </w:rPr>
        <w:t>is</w:t>
      </w:r>
      <w:r w:rsidRPr="00B33CF5">
        <w:rPr>
          <w:rStyle w:val="StyleUnderline"/>
        </w:rPr>
        <w:t xml:space="preserve"> the </w:t>
      </w:r>
      <w:r w:rsidRPr="00D31B9A">
        <w:rPr>
          <w:rStyle w:val="StyleUnderline"/>
          <w:highlight w:val="green"/>
        </w:rPr>
        <w:t>fourth and 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punishment paradigm foregrounds control of bodies and capitalization from their labour</w:t>
      </w:r>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Mau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D31B9A">
        <w:rPr>
          <w:rStyle w:val="StyleUnderline"/>
          <w:highlight w:val="green"/>
        </w:rPr>
        <w:t>British 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centres on the British government’s destruction of assumedly accurate records, the anthropologist Christine Folch narrates how </w:t>
      </w:r>
      <w:r w:rsidRPr="00D31B9A">
        <w:rPr>
          <w:rStyle w:val="StyleUnderline"/>
          <w:highlight w:val="green"/>
        </w:rPr>
        <w:t>police agencies</w:t>
      </w:r>
      <w:r w:rsidRPr="0050649B">
        <w:rPr>
          <w:sz w:val="16"/>
        </w:rPr>
        <w:t xml:space="preserve"> under the dictatorship of Alfredo Stroessner </w:t>
      </w:r>
      <w:r w:rsidRPr="0082020E">
        <w:rPr>
          <w:rStyle w:val="StyleUnderline"/>
          <w:highlight w:val="green"/>
        </w:rPr>
        <w:t>in P</w:t>
      </w:r>
      <w:r w:rsidRPr="00D31B9A">
        <w:rPr>
          <w:rStyle w:val="StyleUnderline"/>
          <w:highlight w:val="green"/>
        </w:rPr>
        <w:t>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Itaipú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D31B9A">
        <w:rPr>
          <w:rStyle w:val="StyleUnderline"/>
          <w:highlight w:val="green"/>
        </w:rPr>
        <w:t>Guatemala</w:t>
      </w:r>
      <w:r w:rsidRPr="00930CB2">
        <w:rPr>
          <w:rStyle w:val="StyleUnderline"/>
        </w:rPr>
        <w:t xml:space="preserve"> Nation Police Archive illuminates </w:t>
      </w:r>
      <w:r w:rsidRPr="00D31B9A">
        <w:rPr>
          <w:rStyle w:val="StyleUnderline"/>
          <w:highlight w:val="green"/>
        </w:rPr>
        <w:t>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behaviour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4933D301" w14:textId="77777777" w:rsidR="004D6E96" w:rsidRDefault="004D6E96" w:rsidP="004D6E96"/>
    <w:p w14:paraId="731951BA" w14:textId="14A58287" w:rsidR="004428C4" w:rsidRDefault="006A3998" w:rsidP="004428C4">
      <w:pPr>
        <w:pStyle w:val="Heading4"/>
      </w:pPr>
      <w:r>
        <w:t>Archives</w:t>
      </w:r>
      <w:r w:rsidR="004428C4">
        <w:t xml:space="preserve"> </w:t>
      </w:r>
      <w:r w:rsidR="00A84351">
        <w:t>inform</w:t>
      </w:r>
      <w:r w:rsidR="004428C4">
        <w:t xml:space="preserve"> </w:t>
      </w:r>
      <w:r w:rsidR="004428C4" w:rsidRPr="00356C0F">
        <w:rPr>
          <w:u w:val="single"/>
        </w:rPr>
        <w:t>every</w:t>
      </w:r>
      <w:r w:rsidR="004428C4">
        <w:t xml:space="preserve"> political action -- disrupting citizenship through counter-pedagogical discourse exposes the </w:t>
      </w:r>
      <w:r w:rsidR="004428C4" w:rsidRPr="00356C0F">
        <w:rPr>
          <w:u w:val="single"/>
        </w:rPr>
        <w:t>violent structuring components</w:t>
      </w:r>
      <w:r w:rsidR="004428C4">
        <w:t xml:space="preserve"> of debates under the resolution whose </w:t>
      </w:r>
      <w:r w:rsidR="004428C4" w:rsidRPr="00356C0F">
        <w:rPr>
          <w:u w:val="single"/>
        </w:rPr>
        <w:t>starting points</w:t>
      </w:r>
      <w:r w:rsidR="004428C4" w:rsidRPr="00356C0F">
        <w:t xml:space="preserve"> </w:t>
      </w:r>
      <w:r w:rsidR="004428C4">
        <w:t xml:space="preserve">justify the </w:t>
      </w:r>
      <w:r w:rsidR="00A84351">
        <w:t>carceral logics</w:t>
      </w:r>
      <w:r w:rsidR="00D206A7">
        <w:t xml:space="preserve"> and spiritual disposession</w:t>
      </w:r>
      <w:r w:rsidR="004428C4">
        <w:t>.</w:t>
      </w:r>
    </w:p>
    <w:p w14:paraId="2D61541E" w14:textId="77777777" w:rsidR="004428C4" w:rsidRPr="00B951A2" w:rsidRDefault="004428C4" w:rsidP="004428C4">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09E4CD02" w14:textId="77777777" w:rsidR="004428C4" w:rsidRPr="00B951A2" w:rsidRDefault="004428C4" w:rsidP="004428C4">
      <w:r w:rsidRPr="00B951A2">
        <w:t>DOI: https://doi.org/10.60082/0829-3929.1489</w:t>
      </w:r>
    </w:p>
    <w:p w14:paraId="29996B7E" w14:textId="77777777" w:rsidR="004428C4" w:rsidRDefault="004428C4" w:rsidP="004428C4">
      <w:r w:rsidRPr="00545723">
        <w:t>https://digitalcommons.osgoode.yorku.ca/jlsp/vol37/iss1/3//Miguel</w:t>
      </w:r>
      <w:r>
        <w:t xml:space="preserve"> etc</w:t>
      </w:r>
    </w:p>
    <w:p w14:paraId="41BC6271" w14:textId="6B4668B5" w:rsidR="004428C4" w:rsidRDefault="004428C4" w:rsidP="004428C4">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Agriculturalists form a strong lobby group advocating for their corporatized industry to be subsidized through cheap and unfree labour,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r w:rsidRPr="003512C6">
        <w:rPr>
          <w:rStyle w:val="StyleUnderline"/>
          <w:highlight w:val="green"/>
        </w:rPr>
        <w:t>labour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r w:rsidRPr="003512C6">
        <w:rPr>
          <w:rStyle w:val="StyleUnderline"/>
          <w:highlight w:val="green"/>
        </w:rPr>
        <w:t xml:space="preserve">serves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Grosfoguel, Oso and Christou note, focussing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resistance.”137 In general, workers in remote farms rely on others for news. J4MW plays an important 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 xml:space="preserve">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colour through slavery and programs of indentured servitude ... </w:t>
      </w:r>
      <w:r w:rsidRPr="00623391">
        <w:rPr>
          <w:rStyle w:val="StyleUnderline"/>
        </w:rPr>
        <w:t>The unfree nature of the labour—that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“infrapolitics,” or the hidden transcripts of resistance, that diagnostics of power can be understood.149 </w:t>
      </w:r>
      <w:r w:rsidRPr="00623391">
        <w:rPr>
          <w:rStyle w:val="StyleUnderline"/>
        </w:rPr>
        <w:t xml:space="preserve">By revealing the legal infrapolitics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0AC08720" w14:textId="77777777" w:rsidR="003074A5" w:rsidRDefault="003074A5" w:rsidP="003074A5">
      <w:pPr>
        <w:pStyle w:val="Heading4"/>
      </w:pPr>
      <w:r>
        <w:t xml:space="preserve">The affirmative is haunting as a framework to unfinish western knowledge production – our collective responsibility is to </w:t>
      </w:r>
      <w:r w:rsidRPr="00EA64E5">
        <w:rPr>
          <w:u w:val="single"/>
        </w:rPr>
        <w:t>start again</w:t>
      </w:r>
      <w:r>
        <w:t xml:space="preserve"> and </w:t>
      </w:r>
      <w:r w:rsidRPr="00EA64E5">
        <w:rPr>
          <w:u w:val="single"/>
        </w:rPr>
        <w:t>refuse reconciliation</w:t>
      </w:r>
      <w:r>
        <w:t xml:space="preserve"> – that </w:t>
      </w:r>
      <w:r w:rsidRPr="00187713">
        <w:t xml:space="preserve">demythologizes the resolution’s epistemological violence that </w:t>
      </w:r>
      <w:r w:rsidRPr="006F7E0F">
        <w:rPr>
          <w:u w:val="single"/>
        </w:rPr>
        <w:t>forecloses redress</w:t>
      </w:r>
      <w:r w:rsidRPr="00187713">
        <w:t xml:space="preserve"> for black and brown people</w:t>
      </w:r>
    </w:p>
    <w:p w14:paraId="170C7E44" w14:textId="77777777" w:rsidR="003074A5" w:rsidRPr="00E20698" w:rsidRDefault="003074A5" w:rsidP="003074A5">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2" w:history="1"/>
      <w:r>
        <w:t xml:space="preserve"> </w:t>
      </w:r>
      <w:hyperlink r:id="rId13" w:history="1">
        <w:r w:rsidRPr="003A6042">
          <w:rPr>
            <w:rStyle w:val="Hyperlink"/>
          </w:rPr>
          <w:t>https://journals.sagepub.com/doi/10.1177/17506980251334975?int.sj-full-text.similar-articles.2</w:t>
        </w:r>
      </w:hyperlink>
      <w:r>
        <w:t>, accessed on 9-26-2025, wsumg]</w:t>
      </w:r>
    </w:p>
    <w:p w14:paraId="6CCCE029" w14:textId="2C92D291" w:rsidR="003074A5" w:rsidRPr="003074A5" w:rsidRDefault="003074A5" w:rsidP="003074A5">
      <w:pPr>
        <w:rPr>
          <w:sz w:val="16"/>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BB17B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implicatedness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Peeren,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BB17B1">
        <w:rPr>
          <w:highlight w:val="green"/>
          <w:u w:val="single"/>
        </w:rPr>
        <w:t>ghosts are</w:t>
      </w:r>
      <w:r w:rsidRPr="00D93F5A">
        <w:rPr>
          <w:u w:val="single"/>
        </w:rPr>
        <w:t xml:space="preserve"> very much </w:t>
      </w:r>
      <w:r w:rsidRPr="00BB17B1">
        <w:rPr>
          <w:highlight w:val="green"/>
          <w:u w:val="single"/>
        </w:rPr>
        <w:t>a feature of</w:t>
      </w:r>
      <w:r w:rsidRPr="00D93F5A">
        <w:rPr>
          <w:u w:val="single"/>
        </w:rPr>
        <w:t xml:space="preserve"> everyday </w:t>
      </w:r>
      <w:r w:rsidRPr="00BB17B1">
        <w:rPr>
          <w:highlight w:val="green"/>
          <w:u w:val="single"/>
        </w:rPr>
        <w:t>life and</w:t>
      </w:r>
      <w:r w:rsidRPr="00D93F5A">
        <w:rPr>
          <w:u w:val="single"/>
        </w:rPr>
        <w:t xml:space="preserve"> may even be </w:t>
      </w:r>
      <w:r w:rsidRPr="00BB17B1">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temporally-embedded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inanimacy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BB17B1">
        <w:rPr>
          <w:highlight w:val="green"/>
          <w:u w:val="single"/>
        </w:rPr>
        <w:t>Once perceived, the haunting forces us to pause, to re-trace our steps, to understand</w:t>
      </w:r>
      <w:r w:rsidRPr="001B0D72">
        <w:rPr>
          <w:u w:val="single"/>
        </w:rPr>
        <w:t xml:space="preserve"> </w:t>
      </w:r>
      <w:r w:rsidRPr="00BB17B1">
        <w:rPr>
          <w:highlight w:val="green"/>
          <w:u w:val="single"/>
        </w:rPr>
        <w:t>something differently, and</w:t>
      </w:r>
      <w:r w:rsidRPr="001B0D72">
        <w:rPr>
          <w:u w:val="single"/>
        </w:rPr>
        <w:t xml:space="preserve"> very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Mr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Mr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BB17B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(Unangax̂)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“fill[ing] in the content differently” (p. 19). In their work on haunting visitations</w:t>
      </w:r>
      <w:r w:rsidRPr="008C6F56">
        <w:rPr>
          <w:sz w:val="16"/>
        </w:rPr>
        <w:t>, Tuck and Recollet (2017) assert</w:t>
      </w:r>
      <w:r w:rsidRPr="00BB17B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(Mignolo,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4BDF7260" w14:textId="7D873777" w:rsidR="006A3998" w:rsidRDefault="006A3998" w:rsidP="006A3998">
      <w:pPr>
        <w:pStyle w:val="Heading4"/>
      </w:pPr>
      <w:r>
        <w:t xml:space="preserve">Thus, </w:t>
      </w:r>
      <w:r w:rsidR="00A84351">
        <w:t xml:space="preserve">we </w:t>
      </w:r>
      <w:r>
        <w:t xml:space="preserve">affirm archival abolition as </w:t>
      </w:r>
      <w:r w:rsidR="00A84351">
        <w:t>a bridge between our counter-historical analysis and material strategy that overcomes carcerality</w:t>
      </w:r>
      <w:r w:rsidR="00EA64E5">
        <w:t xml:space="preserve"> through spiritual agency.</w:t>
      </w:r>
    </w:p>
    <w:p w14:paraId="56339CD3" w14:textId="77777777" w:rsidR="006A3998" w:rsidRPr="00EA37BF" w:rsidRDefault="006A3998" w:rsidP="006A3998">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15141D3A" w14:textId="77777777" w:rsidR="006A3998" w:rsidRDefault="006A3998" w:rsidP="006A3998">
      <w:pPr>
        <w:rPr>
          <w:sz w:val="16"/>
        </w:rPr>
      </w:pPr>
    </w:p>
    <w:p w14:paraId="59DE9AA4" w14:textId="455D3E45" w:rsidR="006A3998" w:rsidRPr="006A3998" w:rsidRDefault="006A3998" w:rsidP="006A3998">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2F18BF">
        <w:rPr>
          <w:rStyle w:val="StyleUnderline"/>
          <w:highlight w:val="green"/>
        </w:rPr>
        <w:t xml:space="preserve">interviews, poetry, artwork, and other 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circulates back inside to foster communication, community, and learning among people incarcerated in conditions explicitly aimed at suppressing all three</w:t>
      </w:r>
      <w:r w:rsidRPr="002F18BF">
        <w:rPr>
          <w:rStyle w:val="StyleUnderline"/>
        </w:rPr>
        <w:t>.</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abolitionist archives both converge and diverge with traditional archival practice. As these projects show, they converge </w:t>
      </w:r>
      <w:r w:rsidRPr="00531D41">
        <w:rPr>
          <w:rStyle w:val="StyleUnderline"/>
        </w:rPr>
        <w:t xml:space="preserve">by compiling </w:t>
      </w:r>
      <w:r w:rsidRPr="00531D41">
        <w:rPr>
          <w:rStyle w:val="StyleUnderline"/>
          <w:highlight w:val="green"/>
        </w:rPr>
        <w:t>primary source information and records of human activity</w:t>
      </w:r>
      <w:r w:rsidRPr="00531D41">
        <w:rPr>
          <w:rStyle w:val="StyleUnderline"/>
        </w:rPr>
        <w:t xml:space="preserve"> and subsequently provisioning public access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organizations </w:t>
      </w:r>
      <w:r w:rsidRPr="002F18BF">
        <w:rPr>
          <w:rStyle w:val="StyleUnderline"/>
          <w:highlight w:val="green"/>
        </w:rPr>
        <w:t>or state agen</w:t>
      </w:r>
      <w:r w:rsidRPr="00531D41">
        <w:rPr>
          <w:rStyle w:val="StyleUnderline"/>
          <w:highlight w:val="green"/>
        </w:rPr>
        <w:t>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reform’ </w:t>
      </w:r>
      <w:r w:rsidRPr="00531D41">
        <w:rPr>
          <w:rStyle w:val="StyleUnderline"/>
          <w:highlight w:val="green"/>
        </w:rPr>
        <w:t xml:space="preserve">due </w:t>
      </w:r>
      <w:r w:rsidRPr="002F18BF">
        <w:rPr>
          <w:rStyle w:val="StyleUnderline"/>
          <w:highlight w:val="green"/>
        </w:rPr>
        <w:t>to</w:t>
      </w:r>
      <w:r w:rsidRPr="002F18BF">
        <w:rPr>
          <w:rStyle w:val="StyleUnderline"/>
        </w:rPr>
        <w:t xml:space="preserve"> its</w:t>
      </w:r>
      <w:r w:rsidRPr="00531D41">
        <w:rPr>
          <w:rStyle w:val="StyleUnderline"/>
        </w:rPr>
        <w:t xml:space="preserve"> </w:t>
      </w:r>
      <w:r w:rsidRPr="00531D41">
        <w:rPr>
          <w:rStyle w:val="StyleUnderline"/>
          <w:highlight w:val="green"/>
        </w:rPr>
        <w:t>attack at</w:t>
      </w:r>
      <w:r w:rsidRPr="00531D41">
        <w:rPr>
          <w:rStyle w:val="StyleUnderline"/>
        </w:rPr>
        <w:t xml:space="preserve"> the very </w:t>
      </w:r>
      <w:r w:rsidRPr="00531D41">
        <w:rPr>
          <w:rStyle w:val="StyleUnderline"/>
          <w:highlight w:val="green"/>
        </w:rPr>
        <w:t>root of</w:t>
      </w:r>
      <w:r w:rsidRPr="00531D41">
        <w:rPr>
          <w:rStyle w:val="StyleUnderline"/>
        </w:rPr>
        <w:t xml:space="preserve"> the </w:t>
      </w:r>
      <w:r w:rsidRPr="00531D41">
        <w:rPr>
          <w:rStyle w:val="StyleUnderline"/>
          <w:highlight w:val="green"/>
        </w:rPr>
        <w:t>punishment paradigm</w:t>
      </w:r>
      <w:r w:rsidRPr="00E155A3">
        <w:rPr>
          <w:sz w:val="16"/>
        </w:rPr>
        <w:t xml:space="preserve">.43 Second, abolitionist archives do not, as traditional archives do, emphasize the acquisition and long-term preservation concerns so much as they focus on the activation of materials already in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xml:space="preserve">; its concentration, its control, </w:t>
      </w:r>
      <w:r w:rsidRPr="00531D41">
        <w:rPr>
          <w:rStyle w:val="StyleUnderline"/>
          <w:highlight w:val="green"/>
        </w:rPr>
        <w:t>and its codification</w:t>
      </w:r>
      <w:r w:rsidRPr="00E155A3">
        <w:rPr>
          <w:sz w:val="16"/>
        </w:rPr>
        <w:t xml:space="preserve">. </w:t>
      </w:r>
      <w:r w:rsidRPr="00531D41">
        <w:rPr>
          <w:rStyle w:val="StyleUnderline"/>
        </w:rPr>
        <w:t xml:space="preserve">Archives, then, do not merely reflect ambitions of larger political projects but rather actively participate in the construction of those ambitions by </w:t>
      </w:r>
      <w:r w:rsidRPr="00531D41">
        <w:rPr>
          <w:rStyle w:val="StyleUnderline"/>
          <w:highlight w:val="green"/>
        </w:rPr>
        <w:t>rendering time and space as dimensions that can be captured, circumscribed, and 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indispensability of records and documents 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lending legitimacy to supranational efforts that aim to contain particular persons to</w:t>
      </w:r>
      <w:r w:rsidRPr="00531D41">
        <w:rPr>
          <w:rStyle w:val="StyleUnderline"/>
        </w:rPr>
        <w:t xml:space="preserve"> particular localities and thereby bound them to </w:t>
      </w:r>
      <w:r w:rsidRPr="00531D41">
        <w:rPr>
          <w:rStyle w:val="StyleUnderline"/>
          <w:highlight w:val="green"/>
        </w:rPr>
        <w:t>spaces</w:t>
      </w:r>
      <w:r w:rsidRPr="00531D41">
        <w:rPr>
          <w:rStyle w:val="StyleUnderline"/>
        </w:rPr>
        <w:t xml:space="preserve">, </w:t>
      </w:r>
      <w:r w:rsidRPr="00531D41">
        <w:rPr>
          <w:rStyle w:val="StyleUnderline"/>
          <w:highlight w:val="green"/>
        </w:rPr>
        <w:t>increasingly poisoned by capitalism’s</w:t>
      </w:r>
      <w:r w:rsidRPr="00531D41">
        <w:rPr>
          <w:rStyle w:val="StyleUnderline"/>
        </w:rPr>
        <w:t xml:space="preserve"> spear of environmental </w:t>
      </w:r>
      <w:r w:rsidRPr="00531D41">
        <w:rPr>
          <w:rStyle w:val="StyleUnderline"/>
          <w:highlight w:val="green"/>
        </w:rPr>
        <w:t>destruction</w:t>
      </w:r>
      <w:r w:rsidRPr="00531D41">
        <w:rPr>
          <w:rStyle w:val="StyleUnderline"/>
        </w:rPr>
        <w:t xml:space="preserve">, in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22083B10" w14:textId="77777777" w:rsidR="00926866" w:rsidRPr="00AD1407" w:rsidRDefault="00926866" w:rsidP="00926866">
      <w:pPr>
        <w:pStyle w:val="Heading4"/>
      </w:pPr>
      <w:bookmarkStart w:id="0" w:name="_Hlk212728064"/>
      <w:r>
        <w:t xml:space="preserve">Colonial interpretation will always appear content neutral, and even natural – Refuse the logic of guardianship and be willing to take up our ideas on their own terms, anything else forces students into a double consciousness that makes engagement both impossible and undesirable </w:t>
      </w:r>
    </w:p>
    <w:p w14:paraId="30CE9806" w14:textId="77777777" w:rsidR="00926866" w:rsidRDefault="00926866" w:rsidP="00926866">
      <w:r w:rsidRPr="006700CA">
        <w:rPr>
          <w:rStyle w:val="Style13ptBold"/>
        </w:rPr>
        <w:t>Burkhart 19</w:t>
      </w:r>
      <w:r>
        <w:t xml:space="preserve"> (Brian Yazzie Burkhart - University of Indiana Associate Professor Affiliate Faculty, Native American Studies Native American Philosophy, Philosophy of Race, Latinx philosophy, 2019, "The Groundedness of Normativity or Indigenous Normativity Through the Land", Taylor &amp; Francis, https://www.taylorfrancis.com/chapters/edit/10.4324/9780429435164-3/groundedness-normativity-indigenous-normativity-land-brian-yazzie-burkhart)//bp</w:t>
      </w:r>
    </w:p>
    <w:p w14:paraId="3DDCEE38" w14:textId="5CD9BEDF" w:rsidR="003E46F6" w:rsidRPr="00926866" w:rsidRDefault="00926866" w:rsidP="00926866">
      <w:pPr>
        <w:rPr>
          <w:sz w:val="14"/>
        </w:rPr>
      </w:pPr>
      <w:r w:rsidRPr="00827013">
        <w:rPr>
          <w:sz w:val="14"/>
        </w:rPr>
        <w:t xml:space="preserve">Decolonial Methodologies Indigenous philosophy as decolonial philosophy confronts the settler philosophical guardianship principle. </w:t>
      </w:r>
      <w:r w:rsidRPr="00827013">
        <w:rPr>
          <w:rStyle w:val="StyleUnderline"/>
          <w:highlight w:val="green"/>
        </w:rPr>
        <w:t>The guardianship principle in</w:t>
      </w:r>
      <w:r w:rsidRPr="002151D3">
        <w:rPr>
          <w:rStyle w:val="StyleUnderline"/>
        </w:rPr>
        <w:t xml:space="preserve"> settler societie</w:t>
      </w:r>
      <w:r w:rsidRPr="00827013">
        <w:rPr>
          <w:sz w:val="14"/>
        </w:rPr>
        <w:t xml:space="preserve">s, quite generally, </w:t>
      </w:r>
      <w:r w:rsidRPr="002151D3">
        <w:rPr>
          <w:rStyle w:val="StyleUnderline"/>
        </w:rPr>
        <w:t xml:space="preserve">is </w:t>
      </w:r>
      <w:r w:rsidRPr="00827013">
        <w:rPr>
          <w:rStyle w:val="StyleUnderline"/>
          <w:highlight w:val="green"/>
        </w:rPr>
        <w:t>the</w:t>
      </w:r>
      <w:r w:rsidRPr="002151D3">
        <w:rPr>
          <w:rStyle w:val="StyleUnderline"/>
        </w:rPr>
        <w:t xml:space="preserve"> legal and political </w:t>
      </w:r>
      <w:r w:rsidRPr="00827013">
        <w:rPr>
          <w:rStyle w:val="StyleUnderline"/>
          <w:highlight w:val="green"/>
        </w:rPr>
        <w:t>doctrine that settler states have the</w:t>
      </w:r>
      <w:r w:rsidRPr="002151D3">
        <w:rPr>
          <w:rStyle w:val="StyleUnderline"/>
        </w:rPr>
        <w:t xml:space="preserve"> right and </w:t>
      </w:r>
      <w:r w:rsidRPr="00827013">
        <w:rPr>
          <w:rStyle w:val="StyleUnderline"/>
          <w:highlight w:val="green"/>
        </w:rPr>
        <w:t>obligation to protect Native people</w:t>
      </w:r>
      <w:r w:rsidRPr="002151D3">
        <w:rPr>
          <w:rStyle w:val="StyleUnderline"/>
        </w:rPr>
        <w:t xml:space="preserve"> and Native</w:t>
      </w:r>
      <w:r>
        <w:rPr>
          <w:rStyle w:val="StyleUnderline"/>
        </w:rPr>
        <w:t xml:space="preserve"> </w:t>
      </w:r>
      <w:r w:rsidRPr="002151D3">
        <w:rPr>
          <w:rStyle w:val="StyleUnderline"/>
        </w:rPr>
        <w:t xml:space="preserve">tribes, </w:t>
      </w:r>
      <w:r w:rsidRPr="002151D3">
        <w:rPr>
          <w:rStyle w:val="Emphasis"/>
        </w:rPr>
        <w:t xml:space="preserve">particularly </w:t>
      </w:r>
      <w:r w:rsidRPr="00827013">
        <w:rPr>
          <w:rStyle w:val="Emphasis"/>
          <w:highlight w:val="green"/>
        </w:rPr>
        <w:t>from themselves</w:t>
      </w:r>
      <w:r w:rsidRPr="002151D3">
        <w:rPr>
          <w:rStyle w:val="StyleUnderline"/>
        </w:rPr>
        <w:t>.</w:t>
      </w:r>
      <w:r w:rsidRPr="00827013">
        <w:rPr>
          <w:sz w:val="14"/>
        </w:rPr>
        <w:t xml:space="preserve"> </w:t>
      </w:r>
      <w:r w:rsidRPr="002151D3">
        <w:rPr>
          <w:rStyle w:val="StyleUnderline"/>
        </w:rPr>
        <w:t xml:space="preserve">This has been </w:t>
      </w:r>
      <w:r w:rsidRPr="00827013">
        <w:rPr>
          <w:rStyle w:val="StyleUnderline"/>
          <w:highlight w:val="green"/>
        </w:rPr>
        <w:t>seen</w:t>
      </w:r>
      <w:r w:rsidRPr="002151D3">
        <w:rPr>
          <w:rStyle w:val="StyleUnderline"/>
        </w:rPr>
        <w:t xml:space="preserve"> historically </w:t>
      </w:r>
      <w:r w:rsidRPr="00827013">
        <w:rPr>
          <w:rStyle w:val="StyleUnderline"/>
          <w:highlight w:val="green"/>
        </w:rPr>
        <w:t>in the outlawing</w:t>
      </w:r>
      <w:r w:rsidRPr="002151D3">
        <w:rPr>
          <w:rStyle w:val="StyleUnderline"/>
        </w:rPr>
        <w:t xml:space="preserve"> of traditional political, cultural, or </w:t>
      </w:r>
      <w:r w:rsidRPr="00827013">
        <w:rPr>
          <w:rStyle w:val="Emphasis"/>
          <w:highlight w:val="green"/>
        </w:rPr>
        <w:t>religious</w:t>
      </w:r>
      <w:r w:rsidRPr="00827013">
        <w:rPr>
          <w:rStyle w:val="StyleUnderline"/>
          <w:highlight w:val="green"/>
        </w:rPr>
        <w:t xml:space="preserve"> practices</w:t>
      </w:r>
      <w:r w:rsidRPr="00827013">
        <w:rPr>
          <w:sz w:val="14"/>
        </w:rPr>
        <w:t xml:space="preserve"> that were seen as </w:t>
      </w:r>
      <w:r w:rsidRPr="00827013">
        <w:rPr>
          <w:strike/>
          <w:sz w:val="14"/>
        </w:rPr>
        <w:t>retarding</w:t>
      </w:r>
      <w:r w:rsidRPr="00827013">
        <w:rPr>
          <w:sz w:val="14"/>
        </w:rPr>
        <w:t xml:space="preserve"> (inhibiting) the necessary progression of Native people and Native tribes from savagery to civilization, </w:t>
      </w:r>
      <w:r w:rsidRPr="002151D3">
        <w:rPr>
          <w:rStyle w:val="StyleUnderline"/>
        </w:rPr>
        <w:t xml:space="preserve">necessary </w:t>
      </w:r>
      <w:r w:rsidRPr="007C3BCD">
        <w:rPr>
          <w:rStyle w:val="StyleUnderline"/>
        </w:rPr>
        <w:t>in</w:t>
      </w:r>
      <w:r w:rsidRPr="002151D3">
        <w:rPr>
          <w:rStyle w:val="StyleUnderline"/>
        </w:rPr>
        <w:t xml:space="preserve"> part </w:t>
      </w:r>
      <w:r w:rsidRPr="00827013">
        <w:rPr>
          <w:rStyle w:val="StyleUnderline"/>
          <w:highlight w:val="green"/>
        </w:rPr>
        <w:t>in order to allow Native people</w:t>
      </w:r>
      <w:r w:rsidRPr="002151D3">
        <w:rPr>
          <w:rStyle w:val="StyleUnderline"/>
        </w:rPr>
        <w:t xml:space="preserve"> and Native tribes </w:t>
      </w:r>
      <w:r w:rsidRPr="00827013">
        <w:rPr>
          <w:rStyle w:val="StyleUnderline"/>
          <w:highlight w:val="green"/>
        </w:rPr>
        <w:t>to participate in civilized</w:t>
      </w:r>
      <w:r w:rsidRPr="002151D3">
        <w:rPr>
          <w:rStyle w:val="StyleUnderline"/>
        </w:rPr>
        <w:t xml:space="preserve"> settler </w:t>
      </w:r>
      <w:r w:rsidRPr="00827013">
        <w:rPr>
          <w:rStyle w:val="StyleUnderline"/>
          <w:highlight w:val="green"/>
        </w:rPr>
        <w:t>society</w:t>
      </w:r>
      <w:r w:rsidRPr="00827013">
        <w:rPr>
          <w:sz w:val="14"/>
        </w:rPr>
        <w:t xml:space="preserve">. In historical times, </w:t>
      </w:r>
      <w:r w:rsidRPr="002151D3">
        <w:rPr>
          <w:rStyle w:val="StyleUnderline"/>
        </w:rPr>
        <w:t>the guardianship principle was used to</w:t>
      </w:r>
      <w:r>
        <w:rPr>
          <w:rStyle w:val="StyleUnderline"/>
        </w:rPr>
        <w:t xml:space="preserve"> </w:t>
      </w:r>
      <w:r w:rsidRPr="002151D3">
        <w:rPr>
          <w:rStyle w:val="StyleUnderline"/>
        </w:rPr>
        <w:t xml:space="preserve">justify </w:t>
      </w:r>
      <w:r w:rsidRPr="00827013">
        <w:rPr>
          <w:rStyle w:val="StyleUnderline"/>
          <w:highlight w:val="green"/>
        </w:rPr>
        <w:t>the outlawing of the potlach</w:t>
      </w:r>
      <w:r w:rsidRPr="002151D3">
        <w:rPr>
          <w:rStyle w:val="StyleUnderline"/>
        </w:rPr>
        <w:t xml:space="preserve"> ceremony, the </w:t>
      </w:r>
      <w:r w:rsidRPr="00827013">
        <w:rPr>
          <w:rStyle w:val="StyleUnderline"/>
          <w:highlight w:val="green"/>
        </w:rPr>
        <w:t>sundance</w:t>
      </w:r>
      <w:r w:rsidRPr="002151D3">
        <w:rPr>
          <w:rStyle w:val="StyleUnderline"/>
        </w:rPr>
        <w:t xml:space="preserve"> ceremony,</w:t>
      </w:r>
      <w:r>
        <w:rPr>
          <w:rStyle w:val="StyleUnderline"/>
        </w:rPr>
        <w:t xml:space="preserve"> </w:t>
      </w:r>
      <w:r w:rsidRPr="002151D3">
        <w:rPr>
          <w:rStyle w:val="StyleUnderline"/>
        </w:rPr>
        <w:t xml:space="preserve">the gourd dance ceremony, </w:t>
      </w:r>
      <w:r w:rsidRPr="00827013">
        <w:rPr>
          <w:rStyle w:val="StyleUnderline"/>
          <w:highlight w:val="green"/>
        </w:rPr>
        <w:t>and</w:t>
      </w:r>
      <w:r w:rsidRPr="002151D3">
        <w:rPr>
          <w:rStyle w:val="StyleUnderline"/>
        </w:rPr>
        <w:t xml:space="preserve"> the removal of </w:t>
      </w:r>
      <w:r w:rsidRPr="00827013">
        <w:rPr>
          <w:rStyle w:val="StyleUnderline"/>
          <w:highlight w:val="green"/>
        </w:rPr>
        <w:t>commonly held</w:t>
      </w:r>
      <w:r w:rsidRPr="002151D3">
        <w:rPr>
          <w:rStyle w:val="StyleUnderline"/>
        </w:rPr>
        <w:t xml:space="preserve"> tribal</w:t>
      </w:r>
      <w:r>
        <w:rPr>
          <w:rStyle w:val="StyleUnderline"/>
        </w:rPr>
        <w:t xml:space="preserve"> </w:t>
      </w:r>
      <w:r w:rsidRPr="00827013">
        <w:rPr>
          <w:rStyle w:val="StyleUnderline"/>
          <w:highlight w:val="green"/>
        </w:rPr>
        <w:t>land</w:t>
      </w:r>
      <w:r w:rsidRPr="002151D3">
        <w:rPr>
          <w:rStyle w:val="StyleUnderline"/>
        </w:rPr>
        <w:t xml:space="preserve"> in favor of individual allotment as private property</w:t>
      </w:r>
      <w:r w:rsidRPr="00827013">
        <w:rPr>
          <w:sz w:val="14"/>
        </w:rPr>
        <w:t xml:space="preserve">. In more recent times the guardianship principles is used to justify the outlawing of traditional tribal systems of government and land management as well as the removal of tribal jurisdiction over violence against Native women on tribal land when the perpetrator is non-Native (but letting tribes retained jurisdiction over such violence if the perpetrator is a tribal citizen or Native from another Indian tribe). Even the prosecutorial power over tribal citizens was radically curtailed, using guardianship principles, in </w:t>
      </w:r>
      <w:r w:rsidRPr="00827013">
        <w:rPr>
          <w:rStyle w:val="StyleUnderline"/>
          <w:highlight w:val="green"/>
        </w:rPr>
        <w:t>the</w:t>
      </w:r>
      <w:r w:rsidRPr="002151D3">
        <w:rPr>
          <w:rStyle w:val="StyleUnderline"/>
        </w:rPr>
        <w:t xml:space="preserve"> 1968 </w:t>
      </w:r>
      <w:r w:rsidRPr="00827013">
        <w:rPr>
          <w:rStyle w:val="StyleUnderline"/>
          <w:highlight w:val="green"/>
        </w:rPr>
        <w:t>Indian Civil Rights Act</w:t>
      </w:r>
      <w:r w:rsidRPr="002151D3">
        <w:rPr>
          <w:rStyle w:val="StyleUnderline"/>
        </w:rPr>
        <w:t xml:space="preserve">, which </w:t>
      </w:r>
      <w:r w:rsidRPr="00827013">
        <w:rPr>
          <w:rStyle w:val="StyleUnderline"/>
          <w:highlight w:val="green"/>
        </w:rPr>
        <w:t>limited the punishments tribes could impose</w:t>
      </w:r>
      <w:r w:rsidRPr="002151D3">
        <w:rPr>
          <w:rStyle w:val="StyleUnderline"/>
        </w:rPr>
        <w:t xml:space="preserve"> in criminal cases</w:t>
      </w:r>
      <w:r w:rsidRPr="00827013">
        <w:rPr>
          <w:sz w:val="14"/>
        </w:rPr>
        <w:t xml:space="preserve">, even felonies, to six months imprisonment and a fine of $500. In the context of settler philosophy, </w:t>
      </w:r>
      <w:r w:rsidRPr="00827013">
        <w:rPr>
          <w:rStyle w:val="StyleUnderline"/>
          <w:highlight w:val="green"/>
        </w:rPr>
        <w:t>articulations of Indigenous philosophy</w:t>
      </w:r>
      <w:r w:rsidRPr="002151D3">
        <w:rPr>
          <w:rStyle w:val="StyleUnderline"/>
        </w:rPr>
        <w:t xml:space="preserve"> often </w:t>
      </w:r>
      <w:r w:rsidRPr="00827013">
        <w:rPr>
          <w:rStyle w:val="StyleUnderline"/>
          <w:highlight w:val="green"/>
        </w:rPr>
        <w:t>trigger</w:t>
      </w:r>
      <w:r w:rsidRPr="002151D3">
        <w:rPr>
          <w:rStyle w:val="StyleUnderline"/>
        </w:rPr>
        <w:t xml:space="preserve"> the operations of philosophical </w:t>
      </w:r>
      <w:r w:rsidRPr="00827013">
        <w:rPr>
          <w:rStyle w:val="StyleUnderline"/>
          <w:highlight w:val="green"/>
        </w:rPr>
        <w:t>guardianship</w:t>
      </w:r>
      <w:r w:rsidRPr="002151D3">
        <w:rPr>
          <w:rStyle w:val="StyleUnderline"/>
        </w:rPr>
        <w:t xml:space="preserve"> that</w:t>
      </w:r>
      <w:r>
        <w:rPr>
          <w:rStyle w:val="StyleUnderline"/>
        </w:rPr>
        <w:t xml:space="preserve"> </w:t>
      </w:r>
      <w:r w:rsidRPr="002151D3">
        <w:rPr>
          <w:rStyle w:val="StyleUnderline"/>
        </w:rPr>
        <w:t xml:space="preserve">force Indigenous philosophical articulations into appropriate guardianship forms, or forms </w:t>
      </w:r>
      <w:r w:rsidRPr="00827013">
        <w:rPr>
          <w:rStyle w:val="StyleUnderline"/>
          <w:highlight w:val="green"/>
        </w:rPr>
        <w:t>that are assimilated to the dominant paradigm</w:t>
      </w:r>
      <w:r w:rsidRPr="002151D3">
        <w:rPr>
          <w:rStyle w:val="StyleUnderline"/>
        </w:rPr>
        <w:t xml:space="preserve"> or</w:t>
      </w:r>
      <w:r>
        <w:rPr>
          <w:rStyle w:val="StyleUnderline"/>
        </w:rPr>
        <w:t xml:space="preserve"> </w:t>
      </w:r>
      <w:r w:rsidRPr="002151D3">
        <w:rPr>
          <w:rStyle w:val="StyleUnderline"/>
        </w:rPr>
        <w:t>at least translatable to or consistent with views of knowledge, morality,</w:t>
      </w:r>
      <w:r>
        <w:rPr>
          <w:rStyle w:val="StyleUnderline"/>
        </w:rPr>
        <w:t xml:space="preserve"> </w:t>
      </w:r>
      <w:r w:rsidRPr="002151D3">
        <w:rPr>
          <w:rStyle w:val="StyleUnderline"/>
        </w:rPr>
        <w:t>and the like that are generally acceptable within the dominant paradigm.</w:t>
      </w:r>
      <w:r>
        <w:rPr>
          <w:rStyle w:val="StyleUnderline"/>
        </w:rPr>
        <w:t xml:space="preserve"> </w:t>
      </w:r>
      <w:r w:rsidRPr="002151D3">
        <w:rPr>
          <w:rStyle w:val="StyleUnderline"/>
        </w:rPr>
        <w:t xml:space="preserve">This is often </w:t>
      </w:r>
      <w:r w:rsidRPr="00827013">
        <w:rPr>
          <w:rStyle w:val="StyleUnderline"/>
          <w:highlight w:val="green"/>
        </w:rPr>
        <w:t>done</w:t>
      </w:r>
      <w:r w:rsidRPr="00827013">
        <w:rPr>
          <w:sz w:val="14"/>
        </w:rPr>
        <w:t xml:space="preserve">, as with guardianship in general, </w:t>
      </w:r>
      <w:r w:rsidRPr="00827013">
        <w:rPr>
          <w:rStyle w:val="Emphasis"/>
          <w:highlight w:val="green"/>
        </w:rPr>
        <w:t>with good intentions</w:t>
      </w:r>
      <w:r w:rsidRPr="00827013">
        <w:rPr>
          <w:sz w:val="14"/>
        </w:rPr>
        <w:t xml:space="preserve">. </w:t>
      </w:r>
      <w:r w:rsidRPr="002151D3">
        <w:rPr>
          <w:rStyle w:val="StyleUnderline"/>
        </w:rPr>
        <w:t>The purpose of guardianship</w:t>
      </w:r>
      <w:r w:rsidRPr="00827013">
        <w:rPr>
          <w:sz w:val="14"/>
        </w:rPr>
        <w:t xml:space="preserve"> in the context of philosophy </w:t>
      </w:r>
      <w:r w:rsidRPr="002151D3">
        <w:rPr>
          <w:rStyle w:val="StyleUnderline"/>
        </w:rPr>
        <w:t>is to bring</w:t>
      </w:r>
      <w:r>
        <w:rPr>
          <w:rStyle w:val="StyleUnderline"/>
        </w:rPr>
        <w:t xml:space="preserve"> </w:t>
      </w:r>
      <w:r w:rsidRPr="002151D3">
        <w:rPr>
          <w:rStyle w:val="StyleUnderline"/>
        </w:rPr>
        <w:t>Indigenous philosophy into the realm of proper civilized philosophy in</w:t>
      </w:r>
      <w:r>
        <w:rPr>
          <w:rStyle w:val="StyleUnderline"/>
        </w:rPr>
        <w:t xml:space="preserve"> </w:t>
      </w:r>
      <w:r w:rsidRPr="002151D3">
        <w:rPr>
          <w:rStyle w:val="StyleUnderline"/>
        </w:rPr>
        <w:t xml:space="preserve">contrast to what is seen as mere </w:t>
      </w:r>
      <w:r w:rsidRPr="002151D3">
        <w:rPr>
          <w:rStyle w:val="Emphasis"/>
        </w:rPr>
        <w:t>religious thought or mythopoetics</w:t>
      </w:r>
      <w:r w:rsidRPr="00827013">
        <w:rPr>
          <w:sz w:val="14"/>
        </w:rPr>
        <w:t xml:space="preserve">. The topic of settler philosophical guardianship for Indigenous philosophy has been studied extensively by Vine Deloria Jr. and features prominently in Indigenizing Philosophy through the Land and much of my other work. Here I only want to mention the topic of settler philosophical guardianship in order to describe one of the methods I employ for circumnavigating it. It should be clear from what I present here that I think much is lost regarding Indigenous philosophy and even regarding philosophy more generally when Indigenous philosophy is so constrained. The question is, though, how to avoid settler philosophical guardianship in a broader cultural context where this guardianship is seen as quite natural and even necessary. Some of the tools of decolonial resistance that I employ in the context of my practice of Indigenous philosophy are trickster hermeneutics, something that features conspicuously as the trickster methodology in Indigenizing Philosophy through the Land and decolonial phenomenology. Here I want to say a bit more about the nature and use of decolonial phenomenology Decolonial phenomenology is described by Nelson Maldonado-Torres as </w:t>
      </w:r>
      <w:r w:rsidRPr="00827013">
        <w:rPr>
          <w:rStyle w:val="StyleUnderline"/>
          <w:highlight w:val="green"/>
        </w:rPr>
        <w:t>a method that brackets</w:t>
      </w:r>
      <w:r w:rsidRPr="002151D3">
        <w:rPr>
          <w:rStyle w:val="StyleUnderline"/>
        </w:rPr>
        <w:t xml:space="preserve"> “</w:t>
      </w:r>
      <w:r w:rsidRPr="00827013">
        <w:rPr>
          <w:rStyle w:val="StyleUnderline"/>
          <w:highlight w:val="green"/>
        </w:rPr>
        <w:t>the assumed validity</w:t>
      </w:r>
      <w:r w:rsidRPr="002151D3">
        <w:rPr>
          <w:rStyle w:val="StyleUnderline"/>
        </w:rPr>
        <w:t xml:space="preserve"> and</w:t>
      </w:r>
      <w:r>
        <w:rPr>
          <w:rStyle w:val="StyleUnderline"/>
        </w:rPr>
        <w:t xml:space="preserve"> </w:t>
      </w:r>
      <w:r w:rsidRPr="002151D3">
        <w:rPr>
          <w:rStyle w:val="StyleUnderline"/>
        </w:rPr>
        <w:t xml:space="preserve">general legitimacy </w:t>
      </w:r>
      <w:r w:rsidRPr="00827013">
        <w:rPr>
          <w:rStyle w:val="StyleUnderline"/>
          <w:highlight w:val="green"/>
        </w:rPr>
        <w:t>of European traditions of thought</w:t>
      </w:r>
      <w:r w:rsidRPr="00827013">
        <w:rPr>
          <w:sz w:val="14"/>
        </w:rPr>
        <w:t xml:space="preserve">” (Maldonado-Torres 11). </w:t>
      </w:r>
      <w:r w:rsidRPr="002151D3">
        <w:rPr>
          <w:rStyle w:val="StyleUnderline"/>
        </w:rPr>
        <w:t xml:space="preserve">This bracketing of European traditions of thought </w:t>
      </w:r>
      <w:r w:rsidRPr="00827013">
        <w:rPr>
          <w:rStyle w:val="StyleUnderline"/>
          <w:highlight w:val="green"/>
        </w:rPr>
        <w:t>opens a space for Indigenous philosophy</w:t>
      </w:r>
      <w:r w:rsidRPr="002151D3">
        <w:rPr>
          <w:rStyle w:val="StyleUnderline"/>
        </w:rPr>
        <w:t xml:space="preserve"> to show up in a way that is not always overdetermined by the assumed validity and legitimacy of European traditions of</w:t>
      </w:r>
      <w:r>
        <w:rPr>
          <w:rStyle w:val="StyleUnderline"/>
        </w:rPr>
        <w:t xml:space="preserve"> </w:t>
      </w:r>
      <w:r w:rsidRPr="002151D3">
        <w:rPr>
          <w:rStyle w:val="StyleUnderline"/>
        </w:rPr>
        <w:t>thought</w:t>
      </w:r>
      <w:r w:rsidRPr="00827013">
        <w:rPr>
          <w:sz w:val="14"/>
        </w:rPr>
        <w:t xml:space="preserve"> and the settler guardianship function of those traditions in relation to Indigenous traditions. In this way, </w:t>
      </w:r>
      <w:r w:rsidRPr="00827013">
        <w:rPr>
          <w:rStyle w:val="StyleUnderline"/>
          <w:highlight w:val="green"/>
        </w:rPr>
        <w:t>Indigenous concepts are</w:t>
      </w:r>
      <w:r w:rsidRPr="002151D3">
        <w:rPr>
          <w:rStyle w:val="StyleUnderline"/>
        </w:rPr>
        <w:t xml:space="preserve"> foregrounded and </w:t>
      </w:r>
      <w:r w:rsidRPr="00827013">
        <w:rPr>
          <w:rStyle w:val="Emphasis"/>
          <w:highlight w:val="green"/>
        </w:rPr>
        <w:t>taken as given rather than always under suspicion</w:t>
      </w:r>
      <w:r w:rsidRPr="002151D3">
        <w:rPr>
          <w:rStyle w:val="StyleUnderline"/>
        </w:rPr>
        <w:t>, as they</w:t>
      </w:r>
      <w:r>
        <w:rPr>
          <w:rStyle w:val="StyleUnderline"/>
        </w:rPr>
        <w:t xml:space="preserve"> </w:t>
      </w:r>
      <w:r w:rsidRPr="002151D3">
        <w:rPr>
          <w:rStyle w:val="StyleUnderline"/>
        </w:rPr>
        <w:t>always are under settler philosophical guardianship</w:t>
      </w:r>
      <w:r w:rsidRPr="00827013">
        <w:rPr>
          <w:sz w:val="14"/>
        </w:rPr>
        <w:t xml:space="preserve">. Decolonial phenomenology removes part of the power of the guardianship function </w:t>
      </w:r>
      <w:r w:rsidRPr="00827013">
        <w:rPr>
          <w:rStyle w:val="StyleUnderline"/>
          <w:highlight w:val="green"/>
        </w:rPr>
        <w:t>without trying to reject European traditions</w:t>
      </w:r>
      <w:r w:rsidRPr="002151D3">
        <w:rPr>
          <w:rStyle w:val="StyleUnderline"/>
        </w:rPr>
        <w:t xml:space="preserve"> of thought </w:t>
      </w:r>
      <w:r w:rsidRPr="00827013">
        <w:rPr>
          <w:rStyle w:val="Emphasis"/>
          <w:highlight w:val="green"/>
        </w:rPr>
        <w:t>on their own terms</w:t>
      </w:r>
      <w:r w:rsidRPr="002151D3">
        <w:rPr>
          <w:rStyle w:val="StyleUnderline"/>
        </w:rPr>
        <w:t xml:space="preserve">, </w:t>
      </w:r>
      <w:r w:rsidRPr="00827013">
        <w:rPr>
          <w:rStyle w:val="StyleUnderline"/>
          <w:highlight w:val="green"/>
        </w:rPr>
        <w:t>where</w:t>
      </w:r>
      <w:r w:rsidRPr="002151D3">
        <w:rPr>
          <w:rStyle w:val="StyleUnderline"/>
        </w:rPr>
        <w:t>,</w:t>
      </w:r>
      <w:r>
        <w:rPr>
          <w:rStyle w:val="StyleUnderline"/>
        </w:rPr>
        <w:t xml:space="preserve"> </w:t>
      </w:r>
      <w:r w:rsidRPr="002151D3">
        <w:rPr>
          <w:rStyle w:val="StyleUnderline"/>
        </w:rPr>
        <w:t xml:space="preserve">just like in the political context of the settler state, </w:t>
      </w:r>
      <w:r w:rsidRPr="00827013">
        <w:rPr>
          <w:rStyle w:val="StyleUnderline"/>
          <w:highlight w:val="green"/>
        </w:rPr>
        <w:t>they have all the power</w:t>
      </w:r>
      <w:r w:rsidRPr="002151D3">
        <w:rPr>
          <w:rStyle w:val="StyleUnderline"/>
        </w:rPr>
        <w:t>,</w:t>
      </w:r>
      <w:r>
        <w:rPr>
          <w:rStyle w:val="StyleUnderline"/>
        </w:rPr>
        <w:t xml:space="preserve"> </w:t>
      </w:r>
      <w:r w:rsidRPr="00827013">
        <w:rPr>
          <w:sz w:val="14"/>
        </w:rPr>
        <w:t xml:space="preserve">which in the case of the political or legal power of the settler state is plenary or absolute. Part of </w:t>
      </w:r>
      <w:r w:rsidRPr="002151D3">
        <w:rPr>
          <w:rStyle w:val="StyleUnderline"/>
        </w:rPr>
        <w:t>the function of philosophical guardianship</w:t>
      </w:r>
      <w:r w:rsidRPr="00827013">
        <w:rPr>
          <w:sz w:val="14"/>
        </w:rPr>
        <w:t xml:space="preserve"> in a settler philosophical context, just as with political or legal guardianship in a settler state context, </w:t>
      </w:r>
      <w:r w:rsidRPr="002151D3">
        <w:rPr>
          <w:rStyle w:val="StyleUnderline"/>
        </w:rPr>
        <w:t xml:space="preserve">is to hide or even erase the experiences and perspectives of Indigenous people. </w:t>
      </w:r>
      <w:r w:rsidRPr="00827013">
        <w:rPr>
          <w:rStyle w:val="Emphasis"/>
          <w:highlight w:val="green"/>
        </w:rPr>
        <w:t>Indigenous experiences</w:t>
      </w:r>
      <w:r w:rsidRPr="002151D3">
        <w:rPr>
          <w:rStyle w:val="Emphasis"/>
        </w:rPr>
        <w:t xml:space="preserve"> and perspectives</w:t>
      </w:r>
      <w:r>
        <w:rPr>
          <w:rStyle w:val="Emphasis"/>
        </w:rPr>
        <w:t xml:space="preserve"> </w:t>
      </w:r>
      <w:r w:rsidRPr="00827013">
        <w:rPr>
          <w:rStyle w:val="Emphasis"/>
          <w:highlight w:val="green"/>
        </w:rPr>
        <w:t>are deemed relevant or even meaningful only in so far as they assimilate</w:t>
      </w:r>
      <w:r>
        <w:rPr>
          <w:rStyle w:val="Emphasis"/>
        </w:rPr>
        <w:t xml:space="preserve"> </w:t>
      </w:r>
      <w:r w:rsidRPr="002151D3">
        <w:rPr>
          <w:rStyle w:val="Emphasis"/>
        </w:rPr>
        <w:t>to or are translatable to dominant settler philosophical paradigms</w:t>
      </w:r>
      <w:r w:rsidRPr="00827013">
        <w:rPr>
          <w:sz w:val="14"/>
        </w:rPr>
        <w:t xml:space="preserve">. </w:t>
      </w:r>
      <w:r w:rsidRPr="00827013">
        <w:rPr>
          <w:rStyle w:val="StyleUnderline"/>
          <w:highlight w:val="green"/>
        </w:rPr>
        <w:t>This serves to</w:t>
      </w:r>
      <w:r w:rsidRPr="002151D3">
        <w:rPr>
          <w:rStyle w:val="StyleUnderline"/>
        </w:rPr>
        <w:t xml:space="preserve"> hide or even </w:t>
      </w:r>
      <w:r w:rsidRPr="00827013">
        <w:rPr>
          <w:rStyle w:val="StyleUnderline"/>
          <w:highlight w:val="green"/>
        </w:rPr>
        <w:t>erase</w:t>
      </w:r>
      <w:r w:rsidRPr="002151D3">
        <w:rPr>
          <w:rStyle w:val="StyleUnderline"/>
        </w:rPr>
        <w:t xml:space="preserve"> Indigenous experiences </w:t>
      </w:r>
      <w:r w:rsidRPr="0040779B">
        <w:rPr>
          <w:rStyle w:val="Emphasis"/>
        </w:rPr>
        <w:t>and</w:t>
      </w:r>
      <w:r w:rsidRPr="002151D3">
        <w:rPr>
          <w:rStyle w:val="StyleUnderline"/>
        </w:rPr>
        <w:t xml:space="preserve"> </w:t>
      </w:r>
      <w:r w:rsidRPr="0040779B">
        <w:rPr>
          <w:rStyle w:val="Emphasis"/>
        </w:rPr>
        <w:t xml:space="preserve">perspectives </w:t>
      </w:r>
      <w:r w:rsidRPr="00827013">
        <w:rPr>
          <w:rStyle w:val="Emphasis"/>
          <w:highlight w:val="green"/>
        </w:rPr>
        <w:t>in</w:t>
      </w:r>
      <w:r w:rsidRPr="0040779B">
        <w:rPr>
          <w:rStyle w:val="Emphasis"/>
        </w:rPr>
        <w:t xml:space="preserve"> general in </w:t>
      </w:r>
      <w:r w:rsidRPr="00827013">
        <w:rPr>
          <w:rStyle w:val="Emphasis"/>
          <w:highlight w:val="green"/>
        </w:rPr>
        <w:t>the process of creating an Indigenous double-consciousnes</w:t>
      </w:r>
      <w:r w:rsidRPr="00827013">
        <w:rPr>
          <w:rStyle w:val="StyleUnderline"/>
          <w:highlight w:val="green"/>
        </w:rPr>
        <w:t>s</w:t>
      </w:r>
      <w:r w:rsidRPr="00827013">
        <w:rPr>
          <w:sz w:val="14"/>
        </w:rPr>
        <w:t xml:space="preserve"> (to use Duboisian terminology</w:t>
      </w:r>
      <w:r w:rsidRPr="0040779B">
        <w:rPr>
          <w:rStyle w:val="StyleUnderline"/>
        </w:rPr>
        <w:t xml:space="preserve">), which exists as </w:t>
      </w:r>
      <w:r w:rsidRPr="00827013">
        <w:rPr>
          <w:rStyle w:val="StyleUnderline"/>
          <w:highlight w:val="green"/>
        </w:rPr>
        <w:t>the felt transparency of Indigenous reality to settler consciousness</w:t>
      </w:r>
      <w:r w:rsidRPr="0040779B">
        <w:rPr>
          <w:rStyle w:val="StyleUnderline"/>
        </w:rPr>
        <w:t xml:space="preserve"> that exists </w:t>
      </w:r>
      <w:r w:rsidRPr="00827013">
        <w:rPr>
          <w:rStyle w:val="StyleUnderline"/>
          <w:highlight w:val="green"/>
        </w:rPr>
        <w:t>against a radical lack of consciousness</w:t>
      </w:r>
      <w:r w:rsidRPr="0040779B">
        <w:rPr>
          <w:rStyle w:val="StyleUnderline"/>
        </w:rPr>
        <w:t xml:space="preserve"> or lived experience </w:t>
      </w:r>
      <w:r w:rsidRPr="00827013">
        <w:rPr>
          <w:rStyle w:val="StyleUnderline"/>
          <w:highlight w:val="green"/>
        </w:rPr>
        <w:t>for Indigenous people</w:t>
      </w:r>
      <w:r w:rsidRPr="0040779B">
        <w:rPr>
          <w:rStyle w:val="StyleUnderline"/>
        </w:rPr>
        <w:t xml:space="preserve"> as </w:t>
      </w:r>
      <w:r w:rsidRPr="00827013">
        <w:rPr>
          <w:rStyle w:val="StyleUnderline"/>
          <w:highlight w:val="green"/>
        </w:rPr>
        <w:t>framed by</w:t>
      </w:r>
      <w:r w:rsidRPr="0040779B">
        <w:rPr>
          <w:rStyle w:val="StyleUnderline"/>
        </w:rPr>
        <w:t xml:space="preserve"> the context of </w:t>
      </w:r>
      <w:r w:rsidRPr="00827013">
        <w:rPr>
          <w:rStyle w:val="StyleUnderline"/>
          <w:highlight w:val="green"/>
        </w:rPr>
        <w:t>settler interpretation</w:t>
      </w:r>
      <w:r w:rsidRPr="00827013">
        <w:rPr>
          <w:sz w:val="14"/>
        </w:rPr>
        <w:t>. In other words</w:t>
      </w:r>
      <w:r w:rsidRPr="002151D3">
        <w:rPr>
          <w:rStyle w:val="StyleUnderline"/>
        </w:rPr>
        <w:t>, Indigenous people are</w:t>
      </w:r>
      <w:r>
        <w:rPr>
          <w:rStyle w:val="StyleUnderline"/>
        </w:rPr>
        <w:t xml:space="preserve"> </w:t>
      </w:r>
      <w:r w:rsidRPr="002151D3">
        <w:rPr>
          <w:rStyle w:val="StyleUnderline"/>
        </w:rPr>
        <w:t>transparent to settler consciousness because Indigenous reality is devoid</w:t>
      </w:r>
      <w:r>
        <w:rPr>
          <w:rStyle w:val="StyleUnderline"/>
        </w:rPr>
        <w:t xml:space="preserve"> </w:t>
      </w:r>
      <w:r w:rsidRPr="002151D3">
        <w:rPr>
          <w:rStyle w:val="StyleUnderline"/>
        </w:rPr>
        <w:t xml:space="preserve">of </w:t>
      </w:r>
      <w:r w:rsidRPr="00827013">
        <w:rPr>
          <w:sz w:val="14"/>
        </w:rPr>
        <w:t xml:space="preserve">consciousness or the </w:t>
      </w:r>
      <w:r w:rsidRPr="002151D3">
        <w:rPr>
          <w:rStyle w:val="StyleUnderline"/>
        </w:rPr>
        <w:t>lived experience that would outstrip the external projections of settler consciousness</w:t>
      </w:r>
      <w:r w:rsidRPr="00827013">
        <w:rPr>
          <w:sz w:val="14"/>
        </w:rPr>
        <w:t>. Vine Deloria Jr., in his classic Custer Died for Your Sins: An Indian Manifesto, begins with the problem of transparency. He opens that book with the line “</w:t>
      </w:r>
      <w:r w:rsidRPr="0040779B">
        <w:rPr>
          <w:rStyle w:val="StyleUnderline"/>
        </w:rPr>
        <w:t>Indians are like the weather. Everyone knows all about the weather</w:t>
      </w:r>
      <w:r w:rsidRPr="00827013">
        <w:rPr>
          <w:sz w:val="14"/>
        </w:rPr>
        <w:t xml:space="preserve">” ( Deloria 1969 , 1). </w:t>
      </w:r>
      <w:r w:rsidRPr="0040779B">
        <w:rPr>
          <w:rStyle w:val="StyleUnderline"/>
        </w:rPr>
        <w:t>The problem that we face as Native people in the context of our struggle is “our transparency”, Deloria continues. “People can tell just by looking at us what we want, what should be done to help us, how we feel, and what a ‘real’ Indian is really like” (Ibid.). “Because people can see right through us</w:t>
      </w:r>
      <w:r w:rsidRPr="004653C4">
        <w:rPr>
          <w:rStyle w:val="StyleUnderline"/>
        </w:rPr>
        <w:t>”, he continues, “it becomes impossible to tell truth from fiction or fact from mythology</w:t>
      </w:r>
      <w:r w:rsidRPr="00827013">
        <w:rPr>
          <w:sz w:val="14"/>
        </w:rPr>
        <w:t xml:space="preserve">. </w:t>
      </w:r>
      <w:r w:rsidRPr="004653C4">
        <w:rPr>
          <w:rStyle w:val="Emphasis"/>
        </w:rPr>
        <w:t>Experts paint us as they would like us to be. Often we paint ourselves as we wish we were</w:t>
      </w:r>
      <w:r w:rsidRPr="00827013">
        <w:rPr>
          <w:sz w:val="14"/>
        </w:rPr>
        <w:t xml:space="preserve">” ( Deloria 1969 , 2). “To be an Indian” in settler America, he concludes, “is in a very real sense to be unreal” (Ibid.). </w:t>
      </w:r>
      <w:r w:rsidRPr="007C3BCD">
        <w:rPr>
          <w:rStyle w:val="StyleUnderline"/>
        </w:rPr>
        <w:t xml:space="preserve">Decolonial phenomenology explicitly rejects our transparency to the settler gaze. It begins with the position that </w:t>
      </w:r>
      <w:r w:rsidRPr="00827013">
        <w:rPr>
          <w:rStyle w:val="Emphasis"/>
          <w:highlight w:val="green"/>
        </w:rPr>
        <w:t>we as Indigenous people will tell you</w:t>
      </w:r>
      <w:r w:rsidRPr="007C3BCD">
        <w:rPr>
          <w:rStyle w:val="Emphasis"/>
        </w:rPr>
        <w:t xml:space="preserve"> </w:t>
      </w:r>
      <w:r w:rsidRPr="00827013">
        <w:rPr>
          <w:sz w:val="14"/>
        </w:rPr>
        <w:t xml:space="preserve">(settler philosophy and the settler state) </w:t>
      </w:r>
      <w:r w:rsidRPr="00827013">
        <w:rPr>
          <w:rStyle w:val="Emphasis"/>
          <w:highlight w:val="green"/>
        </w:rPr>
        <w:t>what we are experiencing</w:t>
      </w:r>
      <w:r w:rsidRPr="00827013">
        <w:rPr>
          <w:sz w:val="14"/>
        </w:rPr>
        <w:t xml:space="preserve">, as seen in the title of another of Deloria’s classic works We Talk, You Listen ( 1970 ). </w:t>
      </w:r>
      <w:r w:rsidRPr="007C3BCD">
        <w:rPr>
          <w:rStyle w:val="StyleUnderline"/>
        </w:rPr>
        <w:t>This methodology takes Indigenous experience</w:t>
      </w:r>
      <w:r>
        <w:rPr>
          <w:rStyle w:val="StyleUnderline"/>
        </w:rPr>
        <w:t xml:space="preserve"> </w:t>
      </w:r>
      <w:r w:rsidRPr="007C3BCD">
        <w:rPr>
          <w:rStyle w:val="StyleUnderline"/>
        </w:rPr>
        <w:t>of the world in general as well as Indigenous experience of settler reality</w:t>
      </w:r>
      <w:r>
        <w:rPr>
          <w:rStyle w:val="StyleUnderline"/>
        </w:rPr>
        <w:t xml:space="preserve"> </w:t>
      </w:r>
      <w:r w:rsidRPr="007C3BCD">
        <w:rPr>
          <w:rStyle w:val="StyleUnderline"/>
        </w:rPr>
        <w:t xml:space="preserve">in particular as given </w:t>
      </w:r>
      <w:r w:rsidRPr="00827013">
        <w:rPr>
          <w:rStyle w:val="StyleUnderline"/>
          <w:highlight w:val="green"/>
        </w:rPr>
        <w:t xml:space="preserve">against the bracketed </w:t>
      </w:r>
      <w:r w:rsidRPr="00827013">
        <w:rPr>
          <w:rStyle w:val="Emphasis"/>
          <w:highlight w:val="green"/>
        </w:rPr>
        <w:t>settler framework of</w:t>
      </w:r>
      <w:r w:rsidRPr="007C3BCD">
        <w:rPr>
          <w:rStyle w:val="Emphasis"/>
        </w:rPr>
        <w:t xml:space="preserve"> </w:t>
      </w:r>
      <w:r w:rsidRPr="007C3BCD">
        <w:rPr>
          <w:rStyle w:val="StyleUnderline"/>
        </w:rPr>
        <w:t>value,</w:t>
      </w:r>
      <w:r>
        <w:rPr>
          <w:rStyle w:val="StyleUnderline"/>
        </w:rPr>
        <w:t xml:space="preserve"> </w:t>
      </w:r>
      <w:r w:rsidRPr="007C3BCD">
        <w:rPr>
          <w:rStyle w:val="StyleUnderline"/>
        </w:rPr>
        <w:t xml:space="preserve">truth, and </w:t>
      </w:r>
      <w:r w:rsidRPr="00827013">
        <w:rPr>
          <w:rStyle w:val="Emphasis"/>
          <w:highlight w:val="green"/>
        </w:rPr>
        <w:t>interpretation</w:t>
      </w:r>
      <w:r w:rsidRPr="00827013">
        <w:rPr>
          <w:sz w:val="14"/>
        </w:rPr>
        <w:t>. In doing so</w:t>
      </w:r>
      <w:r w:rsidRPr="007C3BCD">
        <w:rPr>
          <w:rStyle w:val="Emphasis"/>
        </w:rPr>
        <w:t xml:space="preserve">, </w:t>
      </w:r>
      <w:r w:rsidRPr="00827013">
        <w:rPr>
          <w:rStyle w:val="Emphasis"/>
          <w:highlight w:val="green"/>
        </w:rPr>
        <w:t>it refuses to negotiate or assimilate</w:t>
      </w:r>
      <w:r w:rsidRPr="007C3BCD">
        <w:rPr>
          <w:rStyle w:val="Emphasis"/>
        </w:rPr>
        <w:t xml:space="preserve"> Indigenous experience </w:t>
      </w:r>
      <w:r w:rsidRPr="00827013">
        <w:rPr>
          <w:rStyle w:val="Emphasis"/>
          <w:highlight w:val="green"/>
        </w:rPr>
        <w:t>to the dominant framework</w:t>
      </w:r>
      <w:r w:rsidRPr="007C3BCD">
        <w:rPr>
          <w:rStyle w:val="Emphasis"/>
        </w:rPr>
        <w:t>s or perspectives of</w:t>
      </w:r>
      <w:r>
        <w:rPr>
          <w:rStyle w:val="Emphasis"/>
        </w:rPr>
        <w:t xml:space="preserve"> </w:t>
      </w:r>
      <w:r w:rsidRPr="007C3BCD">
        <w:rPr>
          <w:rStyle w:val="Emphasis"/>
        </w:rPr>
        <w:t>settler philosophy or the settler state</w:t>
      </w:r>
      <w:r w:rsidRPr="00827013">
        <w:rPr>
          <w:sz w:val="14"/>
        </w:rPr>
        <w:t xml:space="preserve">. Of course, Deloria’s We Talk, You Listen is written in the English language rather than in Lakota, and this chapter is written in English rather than Cherokee ( Jaligi Gawonihisdi) or Navajo ( Diné bizaad). Deloria’s work (and I intentionally follow his path) is methodologically composed and stylistically written so as to expose and unsettle the implicit guardianship function of writing what is called “philosophy”, and in particular, writing it in the English language. Deloria’s “Red Power” (a term first used by Deloria during the 1966 convention of the National Congress of the American Indians and the name given to the 1970s Indian activist movement) method explicitly empowers Indigenous agency through the activation of Indigenous consciousness, which then inverts the transparency of Indigenous people by </w:t>
      </w:r>
      <w:r w:rsidRPr="006700CA">
        <w:rPr>
          <w:rStyle w:val="Emphasis"/>
        </w:rPr>
        <w:t>confronting</w:t>
      </w:r>
      <w:r w:rsidRPr="007C3BCD">
        <w:rPr>
          <w:rStyle w:val="Emphasis"/>
        </w:rPr>
        <w:t xml:space="preserve"> settler perceptions </w:t>
      </w:r>
      <w:r w:rsidRPr="006700CA">
        <w:rPr>
          <w:rStyle w:val="Emphasis"/>
        </w:rPr>
        <w:t>with</w:t>
      </w:r>
      <w:r w:rsidRPr="007C3BCD">
        <w:rPr>
          <w:rStyle w:val="Emphasis"/>
        </w:rPr>
        <w:t xml:space="preserve"> concrete and lived Indigenous experience in such a way that</w:t>
      </w:r>
      <w:r>
        <w:rPr>
          <w:rStyle w:val="Emphasis"/>
        </w:rPr>
        <w:t xml:space="preserve"> </w:t>
      </w:r>
      <w:r w:rsidRPr="00827013">
        <w:rPr>
          <w:rStyle w:val="Emphasis"/>
          <w:highlight w:val="green"/>
        </w:rPr>
        <w:t>those</w:t>
      </w:r>
      <w:r w:rsidRPr="007C3BCD">
        <w:rPr>
          <w:rStyle w:val="Emphasis"/>
        </w:rPr>
        <w:t xml:space="preserve"> lived </w:t>
      </w:r>
      <w:r w:rsidRPr="00827013">
        <w:rPr>
          <w:rStyle w:val="Emphasis"/>
          <w:highlight w:val="green"/>
        </w:rPr>
        <w:t>experiences cannot be ignored or subsumed under</w:t>
      </w:r>
      <w:r w:rsidRPr="007C3BCD">
        <w:rPr>
          <w:rStyle w:val="Emphasis"/>
        </w:rPr>
        <w:t xml:space="preserve"> the settler</w:t>
      </w:r>
      <w:r>
        <w:rPr>
          <w:rStyle w:val="Emphasis"/>
        </w:rPr>
        <w:t xml:space="preserve"> </w:t>
      </w:r>
      <w:r w:rsidRPr="007C3BCD">
        <w:rPr>
          <w:rStyle w:val="Emphasis"/>
        </w:rPr>
        <w:t xml:space="preserve">guardianship </w:t>
      </w:r>
      <w:r w:rsidRPr="00827013">
        <w:rPr>
          <w:rStyle w:val="Emphasis"/>
          <w:highlight w:val="green"/>
        </w:rPr>
        <w:t>framework</w:t>
      </w:r>
      <w:r w:rsidRPr="00827013">
        <w:rPr>
          <w:sz w:val="14"/>
        </w:rPr>
        <w:t xml:space="preserve"> ( Josephy et al. 1971 , 13). </w:t>
      </w:r>
      <w:r w:rsidRPr="007C3BCD">
        <w:rPr>
          <w:rStyle w:val="StyleUnderline"/>
        </w:rPr>
        <w:t>The point</w:t>
      </w:r>
      <w:r w:rsidRPr="00827013">
        <w:rPr>
          <w:sz w:val="14"/>
        </w:rPr>
        <w:t xml:space="preserve"> of decolonial phenomenology, trickster hermeneutics, and Deloria’s Red Power methodology </w:t>
      </w:r>
      <w:r w:rsidRPr="007C3BCD">
        <w:rPr>
          <w:rStyle w:val="StyleUnderline"/>
        </w:rPr>
        <w:t>is</w:t>
      </w:r>
      <w:r w:rsidRPr="00827013">
        <w:rPr>
          <w:sz w:val="14"/>
        </w:rPr>
        <w:t xml:space="preserve"> not to end communication between Indigenous people and settlers or the settler state but simply </w:t>
      </w:r>
      <w:r w:rsidRPr="007C3BCD">
        <w:rPr>
          <w:rStyle w:val="StyleUnderline"/>
        </w:rPr>
        <w:t>to transform the landscape of</w:t>
      </w:r>
      <w:r>
        <w:rPr>
          <w:rStyle w:val="StyleUnderline"/>
        </w:rPr>
        <w:t xml:space="preserve"> </w:t>
      </w:r>
      <w:r w:rsidRPr="007C3BCD">
        <w:rPr>
          <w:rStyle w:val="StyleUnderline"/>
        </w:rPr>
        <w:t xml:space="preserve">these conversations by </w:t>
      </w:r>
      <w:r w:rsidRPr="00827013">
        <w:rPr>
          <w:rStyle w:val="StyleUnderline"/>
          <w:highlight w:val="green"/>
        </w:rPr>
        <w:t>forcing an acknowledgment of and conversation around Indigenous lived experience on its own terms before the broader conversation is allowed to continue</w:t>
      </w:r>
      <w:r w:rsidRPr="007C3BCD">
        <w:rPr>
          <w:rStyle w:val="StyleUnderline"/>
        </w:rPr>
        <w:t>.</w:t>
      </w:r>
      <w:r>
        <w:rPr>
          <w:rStyle w:val="StyleUnderline"/>
        </w:rPr>
        <w:t xml:space="preserve"> </w:t>
      </w:r>
      <w:r w:rsidRPr="00827013">
        <w:rPr>
          <w:sz w:val="14"/>
        </w:rPr>
        <w:t xml:space="preserve">This foregrounding of Indigenous experience and rejecting of settler interpretation removes the possibility of transparency as well as settler guardianship. The force of decolonial phenomenology upon settler philosophical guardianship is immediate and complete, in that from the perspective of decolonial phenomenology I can refuse to assimilate the meaning of the settler guardianship principle to the intended meaning that settler thinking and settler history have put upon it or may want to put upon it, which means that not only can I reject the application of the settler guardianship principle, I can also frame the meaning of the settler guardianship principle from within my own lived experience of its articulation and application. </w:t>
      </w:r>
      <w:r w:rsidRPr="007C3BCD">
        <w:rPr>
          <w:rStyle w:val="StyleUnderline"/>
        </w:rPr>
        <w:t>The forced assimilation of Indigenous</w:t>
      </w:r>
      <w:r>
        <w:rPr>
          <w:rStyle w:val="StyleUnderline"/>
        </w:rPr>
        <w:t xml:space="preserve"> </w:t>
      </w:r>
      <w:r w:rsidRPr="007C3BCD">
        <w:rPr>
          <w:rStyle w:val="StyleUnderline"/>
        </w:rPr>
        <w:t>concerns with settler principles to the meanings that settler thinking and</w:t>
      </w:r>
      <w:r>
        <w:rPr>
          <w:rStyle w:val="StyleUnderline"/>
        </w:rPr>
        <w:t xml:space="preserve"> </w:t>
      </w:r>
      <w:r w:rsidRPr="007C3BCD">
        <w:rPr>
          <w:rStyle w:val="StyleUnderline"/>
        </w:rPr>
        <w:t>settler history give to these principles is a classic example of the settler</w:t>
      </w:r>
      <w:r>
        <w:rPr>
          <w:rStyle w:val="StyleUnderline"/>
        </w:rPr>
        <w:t xml:space="preserve"> </w:t>
      </w:r>
      <w:r w:rsidRPr="007C3BCD">
        <w:rPr>
          <w:rStyle w:val="StyleUnderline"/>
        </w:rPr>
        <w:t>guardianship principle itself</w:t>
      </w:r>
      <w:r w:rsidRPr="00827013">
        <w:rPr>
          <w:sz w:val="14"/>
        </w:rPr>
        <w:t xml:space="preserve">. Thus, a rejection of settler guardianship must also reject the settler guardianship meaning given to settler guardianship as the highest level of the framework of double consciousness for Indigenous people who live under settler rule and settler principles. The doubling of double-consciousness works like this: as Indigenous people </w:t>
      </w:r>
      <w:r w:rsidRPr="007C3BCD">
        <w:rPr>
          <w:rStyle w:val="StyleUnderline"/>
        </w:rPr>
        <w:t>we have experience and understanding of the world and experience and</w:t>
      </w:r>
      <w:r>
        <w:rPr>
          <w:rStyle w:val="StyleUnderline"/>
        </w:rPr>
        <w:t xml:space="preserve"> </w:t>
      </w:r>
      <w:r w:rsidRPr="007C3BCD">
        <w:rPr>
          <w:rStyle w:val="StyleUnderline"/>
        </w:rPr>
        <w:t xml:space="preserve">understanding of the settler world, but </w:t>
      </w:r>
      <w:r w:rsidRPr="006700CA">
        <w:rPr>
          <w:rStyle w:val="StyleUnderline"/>
        </w:rPr>
        <w:t xml:space="preserve">the </w:t>
      </w:r>
      <w:r w:rsidRPr="00827013">
        <w:rPr>
          <w:rStyle w:val="StyleUnderline"/>
          <w:highlight w:val="green"/>
        </w:rPr>
        <w:t>settler framework</w:t>
      </w:r>
      <w:r w:rsidRPr="00827013">
        <w:rPr>
          <w:sz w:val="14"/>
        </w:rPr>
        <w:t xml:space="preserve"> coupled with the settler guardianship principle </w:t>
      </w:r>
      <w:r w:rsidRPr="00827013">
        <w:rPr>
          <w:rStyle w:val="Emphasis"/>
          <w:highlight w:val="green"/>
        </w:rPr>
        <w:t>forces a rejection</w:t>
      </w:r>
      <w:r w:rsidRPr="00827013">
        <w:rPr>
          <w:sz w:val="14"/>
        </w:rPr>
        <w:t xml:space="preserve"> of both, as </w:t>
      </w:r>
      <w:r w:rsidRPr="004653C4">
        <w:rPr>
          <w:rStyle w:val="StyleUnderline"/>
        </w:rPr>
        <w:t>we are forced to act and speak in the ways that the settler world finds acceptable of us or to attempt to translate our experiences and understandings into words and actions that the settler world finds acceptable</w:t>
      </w:r>
      <w:r w:rsidRPr="00827013">
        <w:rPr>
          <w:sz w:val="14"/>
        </w:rPr>
        <w:t xml:space="preserve">. </w:t>
      </w:r>
      <w:r w:rsidRPr="004653C4">
        <w:rPr>
          <w:rStyle w:val="Emphasis"/>
        </w:rPr>
        <w:t>This rejection of Indigenous experience and</w:t>
      </w:r>
      <w:r w:rsidRPr="007C3BCD">
        <w:rPr>
          <w:rStyle w:val="Emphasis"/>
        </w:rPr>
        <w:t xml:space="preserve"> understanding is made so complete</w:t>
      </w:r>
      <w:r w:rsidRPr="00827013">
        <w:rPr>
          <w:sz w:val="14"/>
        </w:rPr>
        <w:t xml:space="preserve"> through the settler guardianship principle </w:t>
      </w:r>
      <w:r w:rsidRPr="007C3BCD">
        <w:rPr>
          <w:rStyle w:val="Emphasis"/>
        </w:rPr>
        <w:t>that we must finally translate</w:t>
      </w:r>
      <w:r>
        <w:rPr>
          <w:rStyle w:val="Emphasis"/>
        </w:rPr>
        <w:t xml:space="preserve"> </w:t>
      </w:r>
      <w:r w:rsidRPr="007C3BCD">
        <w:rPr>
          <w:rStyle w:val="Emphasis"/>
        </w:rPr>
        <w:t>even our experience and understanding of the settler world itself into</w:t>
      </w:r>
      <w:r>
        <w:rPr>
          <w:rStyle w:val="Emphasis"/>
        </w:rPr>
        <w:t xml:space="preserve"> </w:t>
      </w:r>
      <w:r w:rsidRPr="007C3BCD">
        <w:rPr>
          <w:rStyle w:val="Emphasis"/>
        </w:rPr>
        <w:t>terms the settler world finds appropriate for us to speak about it from</w:t>
      </w:r>
      <w:r>
        <w:rPr>
          <w:rStyle w:val="Emphasis"/>
        </w:rPr>
        <w:t xml:space="preserve"> </w:t>
      </w:r>
      <w:r w:rsidRPr="007C3BCD">
        <w:rPr>
          <w:rStyle w:val="Emphasis"/>
        </w:rPr>
        <w:t>our lived experience</w:t>
      </w:r>
      <w:r w:rsidRPr="00827013">
        <w:rPr>
          <w:sz w:val="14"/>
        </w:rPr>
        <w:t xml:space="preserve">. </w:t>
      </w:r>
      <w:r w:rsidRPr="00827013">
        <w:rPr>
          <w:rStyle w:val="StyleUnderline"/>
          <w:highlight w:val="green"/>
        </w:rPr>
        <w:t xml:space="preserve">This creates </w:t>
      </w:r>
      <w:r w:rsidRPr="00827013">
        <w:rPr>
          <w:rStyle w:val="Emphasis"/>
          <w:highlight w:val="green"/>
        </w:rPr>
        <w:t>epistemic closure</w:t>
      </w:r>
      <w:r w:rsidRPr="007C3BCD">
        <w:rPr>
          <w:rStyle w:val="StyleUnderline"/>
        </w:rPr>
        <w:t xml:space="preserve"> for settler supremacy</w:t>
      </w:r>
      <w:r w:rsidRPr="00827013">
        <w:rPr>
          <w:sz w:val="14"/>
        </w:rPr>
        <w:t xml:space="preserve"> under the settler guardianship principle. Put another way, it folds settler supremacy into itself so as to close off any critique. Thus, </w:t>
      </w:r>
      <w:r w:rsidRPr="007C3BCD">
        <w:rPr>
          <w:rStyle w:val="StyleUnderline"/>
        </w:rPr>
        <w:t xml:space="preserve">in order </w:t>
      </w:r>
      <w:r w:rsidRPr="00827013">
        <w:rPr>
          <w:rStyle w:val="Emphasis"/>
          <w:highlight w:val="green"/>
        </w:rPr>
        <w:t>to even begin</w:t>
      </w:r>
      <w:r w:rsidRPr="007C3BCD">
        <w:rPr>
          <w:rStyle w:val="StyleUnderline"/>
        </w:rPr>
        <w:t xml:space="preserve"> to </w:t>
      </w:r>
      <w:r w:rsidRPr="00827013">
        <w:rPr>
          <w:rStyle w:val="Emphasis"/>
          <w:highlight w:val="green"/>
        </w:rPr>
        <w:t>critique</w:t>
      </w:r>
      <w:r w:rsidRPr="007C3BCD">
        <w:rPr>
          <w:rStyle w:val="StyleUnderline"/>
        </w:rPr>
        <w:t xml:space="preserve"> settler supremacy, the settler </w:t>
      </w:r>
      <w:r w:rsidRPr="00827013">
        <w:rPr>
          <w:rStyle w:val="StyleUnderline"/>
          <w:highlight w:val="green"/>
        </w:rPr>
        <w:t>guardianship principle must first be</w:t>
      </w:r>
      <w:r w:rsidRPr="007C3BCD">
        <w:rPr>
          <w:rStyle w:val="StyleUnderline"/>
        </w:rPr>
        <w:t xml:space="preserve"> wholly </w:t>
      </w:r>
      <w:r w:rsidRPr="00827013">
        <w:rPr>
          <w:rStyle w:val="StyleUnderline"/>
          <w:highlight w:val="green"/>
        </w:rPr>
        <w:t>rejected</w:t>
      </w:r>
      <w:r w:rsidRPr="00827013">
        <w:rPr>
          <w:sz w:val="14"/>
        </w:rPr>
        <w:t xml:space="preserve">. </w:t>
      </w:r>
      <w:r w:rsidRPr="00827013">
        <w:rPr>
          <w:rStyle w:val="Emphasis"/>
        </w:rPr>
        <w:t>To reject the settler interpretation</w:t>
      </w:r>
      <w:r w:rsidRPr="00827013">
        <w:rPr>
          <w:sz w:val="14"/>
        </w:rPr>
        <w:t xml:space="preserve"> even of the guardianship principle and instead express its meaning through Indigenous lived experience is to reject the guardianship principle </w:t>
      </w:r>
      <w:r w:rsidRPr="00827013">
        <w:rPr>
          <w:rStyle w:val="Emphasis"/>
          <w:highlight w:val="green"/>
        </w:rPr>
        <w:t>before it has the power to act upon and close off Indigenous reality</w:t>
      </w:r>
      <w:r w:rsidRPr="007C3BCD">
        <w:rPr>
          <w:rStyle w:val="Emphasis"/>
        </w:rPr>
        <w:t>, thought,</w:t>
      </w:r>
      <w:r>
        <w:rPr>
          <w:rStyle w:val="Emphasis"/>
        </w:rPr>
        <w:t xml:space="preserve"> </w:t>
      </w:r>
      <w:r w:rsidRPr="007C3BCD">
        <w:rPr>
          <w:rStyle w:val="Emphasis"/>
        </w:rPr>
        <w:t>and experience</w:t>
      </w:r>
      <w:r w:rsidRPr="00827013">
        <w:rPr>
          <w:sz w:val="14"/>
        </w:rPr>
        <w:t xml:space="preserve">. This forestalls the possibility for Indigenous philosophy to, even accidentally, fall back into the trap of transparency and settler guardianship. In addition, as will become clear, the groundedness of grounded normativity generates the refusal to assimilate experience into any kind of abstract or universal framework. Therefore, without explicitly rejecting the assimilation requirement of settler guardianship and the transparency of Indigenous experience from the start, there would be no meaningful way of getting an Indigenous theory of normativity and knowledge off the ground. </w:t>
      </w:r>
      <w:bookmarkEnd w:id="0"/>
    </w:p>
    <w:sectPr w:rsidR="003E46F6" w:rsidRPr="00926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D11F" w14:textId="77777777" w:rsidR="00CC4B12" w:rsidRDefault="00CC4B12" w:rsidP="00066D2C">
      <w:r>
        <w:separator/>
      </w:r>
    </w:p>
  </w:endnote>
  <w:endnote w:type="continuationSeparator" w:id="0">
    <w:p w14:paraId="6E111007" w14:textId="77777777" w:rsidR="00CC4B12" w:rsidRDefault="00CC4B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4852" w14:textId="77777777" w:rsidR="00CC4B12" w:rsidRDefault="00CC4B12" w:rsidP="00066D2C">
      <w:r>
        <w:separator/>
      </w:r>
    </w:p>
  </w:footnote>
  <w:footnote w:type="continuationSeparator" w:id="0">
    <w:p w14:paraId="553DB7D4" w14:textId="77777777" w:rsidR="00CC4B12" w:rsidRDefault="00CC4B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2210424032640"/>
    <w:docVar w:name="Team" w:val="Wichita State University"/>
    <w:docVar w:name="VerbatimVersion" w:val="6.0.0"/>
    <w:docVar w:name="WordVersion" w:val="16.0"/>
  </w:docVars>
  <w:rsids>
    <w:rsidRoot w:val="00D26837"/>
    <w:rsid w:val="00001C7E"/>
    <w:rsid w:val="0000487C"/>
    <w:rsid w:val="00011FEF"/>
    <w:rsid w:val="00013AF0"/>
    <w:rsid w:val="00013C8B"/>
    <w:rsid w:val="0002094B"/>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726"/>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65838"/>
    <w:rsid w:val="00170A72"/>
    <w:rsid w:val="00171A2A"/>
    <w:rsid w:val="001723BA"/>
    <w:rsid w:val="00175A0C"/>
    <w:rsid w:val="00180A4E"/>
    <w:rsid w:val="00181F58"/>
    <w:rsid w:val="001857D8"/>
    <w:rsid w:val="00186B65"/>
    <w:rsid w:val="00187043"/>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F45"/>
    <w:rsid w:val="001B7FD1"/>
    <w:rsid w:val="001C0A69"/>
    <w:rsid w:val="001C48D7"/>
    <w:rsid w:val="001D1994"/>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3CC5"/>
    <w:rsid w:val="00271866"/>
    <w:rsid w:val="00276E12"/>
    <w:rsid w:val="00277BB1"/>
    <w:rsid w:val="00280895"/>
    <w:rsid w:val="00281B05"/>
    <w:rsid w:val="00282932"/>
    <w:rsid w:val="00282FFC"/>
    <w:rsid w:val="002878D0"/>
    <w:rsid w:val="00290F1B"/>
    <w:rsid w:val="00291C09"/>
    <w:rsid w:val="00294ED7"/>
    <w:rsid w:val="002A3018"/>
    <w:rsid w:val="002A4DA5"/>
    <w:rsid w:val="002A57B1"/>
    <w:rsid w:val="002B2116"/>
    <w:rsid w:val="002B3050"/>
    <w:rsid w:val="002B5F0C"/>
    <w:rsid w:val="002C0731"/>
    <w:rsid w:val="002C0B33"/>
    <w:rsid w:val="002C13E8"/>
    <w:rsid w:val="002C30D9"/>
    <w:rsid w:val="002C607B"/>
    <w:rsid w:val="002C6C7D"/>
    <w:rsid w:val="002C769C"/>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4A5"/>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56C0F"/>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56F"/>
    <w:rsid w:val="003E46F6"/>
    <w:rsid w:val="003F3920"/>
    <w:rsid w:val="003F4D5F"/>
    <w:rsid w:val="00405AD7"/>
    <w:rsid w:val="004127EF"/>
    <w:rsid w:val="00414EB4"/>
    <w:rsid w:val="004208C6"/>
    <w:rsid w:val="00421D12"/>
    <w:rsid w:val="00422D6D"/>
    <w:rsid w:val="0042359E"/>
    <w:rsid w:val="00425531"/>
    <w:rsid w:val="00425A83"/>
    <w:rsid w:val="00426CC6"/>
    <w:rsid w:val="0042747C"/>
    <w:rsid w:val="00431905"/>
    <w:rsid w:val="004326E6"/>
    <w:rsid w:val="00432F5F"/>
    <w:rsid w:val="00433873"/>
    <w:rsid w:val="0043419E"/>
    <w:rsid w:val="0043450D"/>
    <w:rsid w:val="004348C6"/>
    <w:rsid w:val="00434BCC"/>
    <w:rsid w:val="004350BF"/>
    <w:rsid w:val="00435588"/>
    <w:rsid w:val="004418EB"/>
    <w:rsid w:val="004428C4"/>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27C9"/>
    <w:rsid w:val="0048556E"/>
    <w:rsid w:val="00486F5E"/>
    <w:rsid w:val="004875B9"/>
    <w:rsid w:val="00491C5F"/>
    <w:rsid w:val="0049341D"/>
    <w:rsid w:val="00493AA8"/>
    <w:rsid w:val="004A14D2"/>
    <w:rsid w:val="004A2B4E"/>
    <w:rsid w:val="004A40AB"/>
    <w:rsid w:val="004A539A"/>
    <w:rsid w:val="004A74B8"/>
    <w:rsid w:val="004B1747"/>
    <w:rsid w:val="004B3C97"/>
    <w:rsid w:val="004B4D3B"/>
    <w:rsid w:val="004B5436"/>
    <w:rsid w:val="004C01B7"/>
    <w:rsid w:val="004C2990"/>
    <w:rsid w:val="004C5E96"/>
    <w:rsid w:val="004C7B42"/>
    <w:rsid w:val="004D05AA"/>
    <w:rsid w:val="004D14C3"/>
    <w:rsid w:val="004D2C8F"/>
    <w:rsid w:val="004D43AE"/>
    <w:rsid w:val="004D5EAC"/>
    <w:rsid w:val="004D6E96"/>
    <w:rsid w:val="004D6EEE"/>
    <w:rsid w:val="004D73E6"/>
    <w:rsid w:val="004D7907"/>
    <w:rsid w:val="004E513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1524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A8F"/>
    <w:rsid w:val="006633F4"/>
    <w:rsid w:val="00666202"/>
    <w:rsid w:val="0066638E"/>
    <w:rsid w:val="00666CC0"/>
    <w:rsid w:val="00673C22"/>
    <w:rsid w:val="0067482D"/>
    <w:rsid w:val="0067732F"/>
    <w:rsid w:val="00681007"/>
    <w:rsid w:val="0068122B"/>
    <w:rsid w:val="00681DD9"/>
    <w:rsid w:val="00682252"/>
    <w:rsid w:val="00682E10"/>
    <w:rsid w:val="00682F5C"/>
    <w:rsid w:val="00687555"/>
    <w:rsid w:val="00687FF1"/>
    <w:rsid w:val="00690E39"/>
    <w:rsid w:val="00691FF9"/>
    <w:rsid w:val="0069285F"/>
    <w:rsid w:val="0069752C"/>
    <w:rsid w:val="006A0DE5"/>
    <w:rsid w:val="006A0F5C"/>
    <w:rsid w:val="006A3677"/>
    <w:rsid w:val="006A3998"/>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57B8"/>
    <w:rsid w:val="006E6513"/>
    <w:rsid w:val="006F3768"/>
    <w:rsid w:val="006F71DE"/>
    <w:rsid w:val="006F7BF6"/>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11B7"/>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3822"/>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26866"/>
    <w:rsid w:val="00930B2A"/>
    <w:rsid w:val="00936F03"/>
    <w:rsid w:val="0094018B"/>
    <w:rsid w:val="009418E3"/>
    <w:rsid w:val="00941CDC"/>
    <w:rsid w:val="009435BB"/>
    <w:rsid w:val="00943B02"/>
    <w:rsid w:val="009454B6"/>
    <w:rsid w:val="009510FF"/>
    <w:rsid w:val="00952AD8"/>
    <w:rsid w:val="00953429"/>
    <w:rsid w:val="009539A4"/>
    <w:rsid w:val="009564BF"/>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D"/>
    <w:rsid w:val="00A81524"/>
    <w:rsid w:val="00A81D60"/>
    <w:rsid w:val="00A82525"/>
    <w:rsid w:val="00A84351"/>
    <w:rsid w:val="00A84AAF"/>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35929"/>
    <w:rsid w:val="00B4181B"/>
    <w:rsid w:val="00B41D37"/>
    <w:rsid w:val="00B45128"/>
    <w:rsid w:val="00B460C0"/>
    <w:rsid w:val="00B460F0"/>
    <w:rsid w:val="00B50C76"/>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B7A4F"/>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E7F16"/>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C4B12"/>
    <w:rsid w:val="00CC59F6"/>
    <w:rsid w:val="00CD105E"/>
    <w:rsid w:val="00CD3A5C"/>
    <w:rsid w:val="00CD4AE6"/>
    <w:rsid w:val="00CD5211"/>
    <w:rsid w:val="00CD57F9"/>
    <w:rsid w:val="00CD5CD1"/>
    <w:rsid w:val="00CD6ADF"/>
    <w:rsid w:val="00CE0BB8"/>
    <w:rsid w:val="00CE54E0"/>
    <w:rsid w:val="00CE5835"/>
    <w:rsid w:val="00CE6FA1"/>
    <w:rsid w:val="00CE7C53"/>
    <w:rsid w:val="00CF1938"/>
    <w:rsid w:val="00CF24CD"/>
    <w:rsid w:val="00CF7551"/>
    <w:rsid w:val="00D00989"/>
    <w:rsid w:val="00D01F0A"/>
    <w:rsid w:val="00D13012"/>
    <w:rsid w:val="00D14159"/>
    <w:rsid w:val="00D14990"/>
    <w:rsid w:val="00D206A7"/>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A81"/>
    <w:rsid w:val="00D56B6F"/>
    <w:rsid w:val="00D57878"/>
    <w:rsid w:val="00D60AB7"/>
    <w:rsid w:val="00D6226F"/>
    <w:rsid w:val="00D70AAD"/>
    <w:rsid w:val="00D70E15"/>
    <w:rsid w:val="00D714E5"/>
    <w:rsid w:val="00D7546D"/>
    <w:rsid w:val="00D75C54"/>
    <w:rsid w:val="00D839C5"/>
    <w:rsid w:val="00D84043"/>
    <w:rsid w:val="00D86EFB"/>
    <w:rsid w:val="00D91348"/>
    <w:rsid w:val="00D949DC"/>
    <w:rsid w:val="00D9566D"/>
    <w:rsid w:val="00DA0EF7"/>
    <w:rsid w:val="00DA4B3F"/>
    <w:rsid w:val="00DA4EB6"/>
    <w:rsid w:val="00DA5F0C"/>
    <w:rsid w:val="00DB20EB"/>
    <w:rsid w:val="00DB33F6"/>
    <w:rsid w:val="00DB38CC"/>
    <w:rsid w:val="00DB7B29"/>
    <w:rsid w:val="00DC08B6"/>
    <w:rsid w:val="00DC277F"/>
    <w:rsid w:val="00DC39DA"/>
    <w:rsid w:val="00DC5681"/>
    <w:rsid w:val="00DD0950"/>
    <w:rsid w:val="00DD0BFE"/>
    <w:rsid w:val="00DD29B1"/>
    <w:rsid w:val="00DD3908"/>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30FC"/>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4E5"/>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21"/>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4FA8"/>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5FFB"/>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7A4F"/>
    <w:pPr>
      <w:spacing w:after="0" w:line="240" w:lineRule="auto"/>
    </w:pPr>
    <w:rPr>
      <w:rFonts w:ascii="Calibri" w:hAnsi="Calibri" w:cs="Calibri"/>
    </w:rPr>
  </w:style>
  <w:style w:type="paragraph" w:styleId="Heading1">
    <w:name w:val="heading 1"/>
    <w:aliases w:val="Pocket"/>
    <w:basedOn w:val="Normal"/>
    <w:next w:val="Normal"/>
    <w:link w:val="Heading1Char"/>
    <w:qFormat/>
    <w:rsid w:val="00BB7A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7A4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BB7A4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BB7A4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7A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BB7A4F"/>
    <w:rPr>
      <w:rFonts w:ascii="Calibri" w:hAnsi="Calibri" w:cs="Calibri"/>
      <w:b/>
      <w:iCs/>
      <w:u w:val="single"/>
    </w:rPr>
  </w:style>
  <w:style w:type="character" w:styleId="FollowedHyperlink">
    <w:name w:val="FollowedHyperlink"/>
    <w:basedOn w:val="DefaultParagraphFont"/>
    <w:uiPriority w:val="99"/>
    <w:semiHidden/>
    <w:unhideWhenUsed/>
    <w:rsid w:val="00BB7A4F"/>
    <w:rPr>
      <w:color w:val="auto"/>
      <w:u w:val="none"/>
    </w:rPr>
  </w:style>
  <w:style w:type="character" w:customStyle="1" w:styleId="Heading1Char">
    <w:name w:val="Heading 1 Char"/>
    <w:aliases w:val="Pocket Char"/>
    <w:basedOn w:val="DefaultParagraphFont"/>
    <w:link w:val="Heading1"/>
    <w:rsid w:val="00BB7A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7A4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BB7A4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B7A4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B7A4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BB7A4F"/>
    <w:rPr>
      <w:b w:val="0"/>
      <w:sz w:val="22"/>
      <w:u w:val="single"/>
    </w:rPr>
  </w:style>
  <w:style w:type="character" w:styleId="Strong">
    <w:name w:val="Strong"/>
    <w:basedOn w:val="DefaultParagraphFont"/>
    <w:uiPriority w:val="22"/>
    <w:semiHidden/>
    <w:qFormat/>
    <w:rsid w:val="00BB7A4F"/>
    <w:rPr>
      <w:b/>
      <w:bCs/>
    </w:rPr>
  </w:style>
  <w:style w:type="character" w:styleId="BookTitle">
    <w:name w:val="Book Title"/>
    <w:basedOn w:val="DefaultParagraphFont"/>
    <w:uiPriority w:val="33"/>
    <w:semiHidden/>
    <w:qFormat/>
    <w:rsid w:val="00BB7A4F"/>
    <w:rPr>
      <w:b/>
      <w:bCs/>
      <w:i/>
      <w:iCs/>
      <w:spacing w:val="5"/>
    </w:rPr>
  </w:style>
  <w:style w:type="character" w:customStyle="1" w:styleId="Heading5Char">
    <w:name w:val="Heading 5 Char"/>
    <w:basedOn w:val="DefaultParagraphFont"/>
    <w:link w:val="Heading5"/>
    <w:uiPriority w:val="9"/>
    <w:semiHidden/>
    <w:rsid w:val="00BB7A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7A4F"/>
  </w:style>
  <w:style w:type="paragraph" w:styleId="Header">
    <w:name w:val="header"/>
    <w:basedOn w:val="Normal"/>
    <w:link w:val="HeaderChar"/>
    <w:uiPriority w:val="99"/>
    <w:semiHidden/>
    <w:rsid w:val="00BB7A4F"/>
    <w:pPr>
      <w:tabs>
        <w:tab w:val="center" w:pos="4680"/>
        <w:tab w:val="right" w:pos="9360"/>
      </w:tabs>
    </w:pPr>
  </w:style>
  <w:style w:type="character" w:customStyle="1" w:styleId="HeaderChar">
    <w:name w:val="Header Char"/>
    <w:basedOn w:val="DefaultParagraphFont"/>
    <w:link w:val="Header"/>
    <w:uiPriority w:val="99"/>
    <w:semiHidden/>
    <w:rsid w:val="00BB7A4F"/>
    <w:rPr>
      <w:rFonts w:ascii="Calibri" w:hAnsi="Calibri" w:cs="Calibri"/>
    </w:rPr>
  </w:style>
  <w:style w:type="paragraph" w:styleId="Footer">
    <w:name w:val="footer"/>
    <w:basedOn w:val="Normal"/>
    <w:link w:val="FooterChar"/>
    <w:uiPriority w:val="99"/>
    <w:semiHidden/>
    <w:rsid w:val="00BB7A4F"/>
    <w:pPr>
      <w:tabs>
        <w:tab w:val="center" w:pos="4680"/>
        <w:tab w:val="right" w:pos="9360"/>
      </w:tabs>
    </w:pPr>
  </w:style>
  <w:style w:type="character" w:customStyle="1" w:styleId="FooterChar">
    <w:name w:val="Footer Char"/>
    <w:basedOn w:val="DefaultParagraphFont"/>
    <w:link w:val="Footer"/>
    <w:uiPriority w:val="99"/>
    <w:semiHidden/>
    <w:rsid w:val="00BB7A4F"/>
    <w:rPr>
      <w:rFonts w:ascii="Calibri" w:hAnsi="Calibri" w:cs="Calibri"/>
    </w:rPr>
  </w:style>
  <w:style w:type="paragraph" w:styleId="BodyText">
    <w:name w:val="Body Text"/>
    <w:basedOn w:val="Normal"/>
    <w:link w:val="BodyTextChar"/>
    <w:uiPriority w:val="99"/>
    <w:semiHidden/>
    <w:unhideWhenUsed/>
    <w:rsid w:val="00BB7A4F"/>
    <w:pPr>
      <w:spacing w:after="120"/>
    </w:pPr>
  </w:style>
  <w:style w:type="character" w:customStyle="1" w:styleId="BodyTextChar">
    <w:name w:val="Body Text Char"/>
    <w:basedOn w:val="DefaultParagraphFont"/>
    <w:link w:val="BodyText"/>
    <w:uiPriority w:val="99"/>
    <w:semiHidden/>
    <w:rsid w:val="00BB7A4F"/>
    <w:rPr>
      <w:rFonts w:ascii="Calibri" w:hAnsi="Calibri" w:cs="Calibri"/>
    </w:rPr>
  </w:style>
  <w:style w:type="paragraph" w:styleId="NoSpacing">
    <w:name w:val="No Spacing"/>
    <w:link w:val="NoSpacingChar"/>
    <w:uiPriority w:val="99"/>
    <w:semiHidden/>
    <w:unhideWhenUsed/>
    <w:qFormat/>
    <w:rsid w:val="00BB7A4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7A4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B7A4F"/>
    <w:rPr>
      <w:color w:val="0563C1" w:themeColor="hyperlink"/>
      <w:u w:val="single"/>
    </w:rPr>
  </w:style>
  <w:style w:type="character" w:styleId="UnresolvedMention">
    <w:name w:val="Unresolved Mention"/>
    <w:basedOn w:val="DefaultParagraphFont"/>
    <w:uiPriority w:val="99"/>
    <w:semiHidden/>
    <w:unhideWhenUsed/>
    <w:rsid w:val="00BB7A4F"/>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BB7A4F"/>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B7A4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B7A4F"/>
    <w:rPr>
      <w:u w:val="single"/>
    </w:rPr>
  </w:style>
  <w:style w:type="paragraph" w:styleId="Title">
    <w:name w:val="Title"/>
    <w:aliases w:val="UNDERLINE,Cites and Cards,Bold Underlined,title,Block Heading,Read This"/>
    <w:basedOn w:val="Normal"/>
    <w:next w:val="Normal"/>
    <w:link w:val="TitleChar"/>
    <w:uiPriority w:val="6"/>
    <w:qFormat/>
    <w:rsid w:val="00BB7A4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B7A4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13" Type="http://schemas.openxmlformats.org/officeDocument/2006/relationships/hyperlink" Target="https://journals.sagepub.com/doi/10.1177/17506980251334975?int.sj-full-text.similar-articles.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10.1177/17506980251334975?int.sj-full-text.similar-articles.2,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lo.br/j/rdp/a/zkgwYTcHcBJd8KhLkC4XBrQ/abstract/?format=html&amp;lang=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nk-gale-com.proxy.wichita.edu/apps/doc/A724354463/AONE?u=ksstate_wichita&amp;sid=summon&amp;xid=d4a7d308" TargetMode="External"/><Relationship Id="rId4" Type="http://schemas.openxmlformats.org/officeDocument/2006/relationships/settings" Target="settings.xml"/><Relationship Id="rId9" Type="http://schemas.openxmlformats.org/officeDocument/2006/relationships/hyperlink" Target="https://shs.cairn.info/journal-red-2022-1-page-99?lang=e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18860</Words>
  <Characters>107504</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2</cp:revision>
  <dcterms:created xsi:type="dcterms:W3CDTF">2025-11-01T20:03:00Z</dcterms:created>
  <dcterms:modified xsi:type="dcterms:W3CDTF">2025-11-01T20:03:00Z</dcterms:modified>
</cp:coreProperties>
</file>