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132EC" w14:textId="095402B1" w:rsidR="00DD5CA8" w:rsidRDefault="00DD5CA8" w:rsidP="00DD5CA8">
      <w:pPr>
        <w:pStyle w:val="Heading1"/>
      </w:pPr>
      <w:r>
        <w:t xml:space="preserve">1ac Collective Ignorance </w:t>
      </w:r>
    </w:p>
    <w:p w14:paraId="0E9E72A2" w14:textId="77777777" w:rsidR="00E648DF" w:rsidRDefault="00E648DF" w:rsidP="00E648DF">
      <w:pPr>
        <w:keepNext/>
        <w:keepLines/>
        <w:spacing w:before="40" w:after="0"/>
        <w:outlineLvl w:val="3"/>
        <w:rPr>
          <w:rFonts w:eastAsia="SimSun" w:cs="Times New Roman"/>
          <w:b/>
          <w:iCs/>
          <w:sz w:val="26"/>
        </w:rPr>
      </w:pPr>
    </w:p>
    <w:p w14:paraId="69D83608" w14:textId="44586DA6" w:rsidR="00D60C8F" w:rsidRDefault="00A74F6C" w:rsidP="00E648DF">
      <w:pPr>
        <w:pStyle w:val="Heading4"/>
      </w:pPr>
      <w:r>
        <w:t>Testimoni</w:t>
      </w:r>
      <w:r w:rsidR="00E644F8">
        <w:t>o</w:t>
      </w:r>
      <w:r>
        <w:t xml:space="preserve"> </w:t>
      </w:r>
      <w:r w:rsidR="00E644F8">
        <w:t xml:space="preserve">Principia </w:t>
      </w:r>
      <w:r>
        <w:t xml:space="preserve"> </w:t>
      </w:r>
    </w:p>
    <w:p w14:paraId="6FA06EAB" w14:textId="0B201BD3" w:rsidR="00E648DF" w:rsidRDefault="00E648DF" w:rsidP="00E648DF">
      <w:pPr>
        <w:pStyle w:val="Heading4"/>
      </w:pPr>
      <w:r>
        <w:t xml:space="preserve">We come from nowhere, places broken unstable, traces of survival beyond those fallen women who </w:t>
      </w:r>
      <w:r>
        <w:rPr>
          <w:i/>
        </w:rPr>
        <w:t xml:space="preserve">didn’t </w:t>
      </w:r>
      <w:r>
        <w:t xml:space="preserve">make it past the frontier littering the arguments of conquerors. </w:t>
      </w:r>
    </w:p>
    <w:p w14:paraId="78C278B4" w14:textId="77777777" w:rsidR="00E648DF" w:rsidRDefault="00E648DF" w:rsidP="00E648DF">
      <w:pPr>
        <w:pStyle w:val="Heading4"/>
      </w:pPr>
      <w:r>
        <w:t xml:space="preserve">As judges and disciples of truth whose only acceptance of those darker, distinct, from another land came through coercive intimacies, contacts, and rehabilitations into their imagined communities. </w:t>
      </w:r>
    </w:p>
    <w:p w14:paraId="579D9AE2" w14:textId="77777777" w:rsidR="00E648DF" w:rsidRDefault="00E648DF" w:rsidP="00E648DF">
      <w:pPr>
        <w:pStyle w:val="Heading4"/>
      </w:pPr>
      <w:r>
        <w:t>This was the path to labor, to a Christened society, the type where speech was confirmation of reality but the dead were left to weep as their spirits were reduced to traces, lines who could only be investigated and conferred recognition, a proper advocacy, and a final burial as the next body followed course in the quest to satisfy the economic needs of our vital northern compatriots.</w:t>
      </w:r>
    </w:p>
    <w:p w14:paraId="1F4724C1" w14:textId="127A3117" w:rsidR="005B724F" w:rsidRDefault="005B724F" w:rsidP="005B724F">
      <w:pPr>
        <w:pStyle w:val="Heading4"/>
        <w:rPr>
          <w:rFonts w:eastAsia="SimSun" w:cs="Times New Roman"/>
        </w:rPr>
      </w:pPr>
    </w:p>
    <w:p w14:paraId="196B5F3B" w14:textId="5AD555CD" w:rsidR="00A74F6C" w:rsidRPr="00A74F6C" w:rsidRDefault="007612EA" w:rsidP="007612EA">
      <w:pPr>
        <w:pStyle w:val="Heading4"/>
      </w:pPr>
      <w:r>
        <w:t xml:space="preserve">Interrogating cruelty in Latin </w:t>
      </w:r>
      <w:r w:rsidR="00870721">
        <w:t>America shifts</w:t>
      </w:r>
      <w:r>
        <w:t xml:space="preserve"> the debate into </w:t>
      </w:r>
      <w:r w:rsidR="00A266B5">
        <w:t xml:space="preserve">a </w:t>
      </w:r>
      <w:r>
        <w:t>conquest of femicide that deliberately kills women and trans-people.</w:t>
      </w:r>
      <w:r w:rsidR="00205814">
        <w:t xml:space="preserve"> </w:t>
      </w:r>
      <w:r w:rsidR="0085018D">
        <w:t>Discourses</w:t>
      </w:r>
      <w:r w:rsidR="00192A5B">
        <w:t xml:space="preserve"> rely on a taboo </w:t>
      </w:r>
      <w:r w:rsidR="00D06712">
        <w:t>understanding</w:t>
      </w:r>
      <w:r w:rsidR="00192A5B">
        <w:t xml:space="preserve"> of this violence further perpetuating the war on women that is ongoing. </w:t>
      </w:r>
    </w:p>
    <w:p w14:paraId="0759D59C" w14:textId="77777777" w:rsidR="005B724F" w:rsidRPr="00C475A1" w:rsidRDefault="005B724F" w:rsidP="005B724F">
      <w:pPr>
        <w:rPr>
          <w:rFonts w:eastAsia="Calibri"/>
        </w:rPr>
      </w:pPr>
      <w:r w:rsidRPr="00C475A1">
        <w:rPr>
          <w:rFonts w:eastAsia="Calibri"/>
          <w:b/>
          <w:bCs/>
          <w:sz w:val="26"/>
        </w:rPr>
        <w:t>Fregoso 23</w:t>
      </w:r>
      <w:r w:rsidRPr="00C475A1">
        <w:rPr>
          <w:rFonts w:eastAsia="Calibri"/>
        </w:rPr>
        <w:t xml:space="preserve">, ROSA-LINDA FREGOSO, 2023, </w:t>
      </w:r>
      <w:r w:rsidRPr="00C475A1">
        <w:rPr>
          <w:rFonts w:eastAsia="Calibri"/>
          <w:i/>
          <w:iCs/>
        </w:rPr>
        <w:t>CONTRA FEMINICIDE: THE FORCE OF WITNESS</w:t>
      </w:r>
      <w:r w:rsidRPr="00C475A1">
        <w:rPr>
          <w:rFonts w:eastAsia="Calibri"/>
        </w:rPr>
        <w:t>, “Interlude 1: Re-memory for the Dead,” Duke University Press, Durham and London, p. 63-70 // ~kwudjwa~</w:t>
      </w:r>
    </w:p>
    <w:p w14:paraId="1C647ED1" w14:textId="77777777" w:rsidR="005B724F" w:rsidRPr="00C475A1" w:rsidRDefault="005B724F" w:rsidP="005B724F">
      <w:pPr>
        <w:rPr>
          <w:rFonts w:eastAsia="Calibri"/>
          <w:u w:val="single"/>
        </w:rPr>
      </w:pPr>
      <w:r w:rsidRPr="00C475A1">
        <w:rPr>
          <w:rFonts w:eastAsia="Calibri"/>
        </w:rPr>
        <w:t xml:space="preserve">At the end of 2009, we were reviewing the page proofs for Terrorizing Women when the Centro de Derechos Humanos de las </w:t>
      </w:r>
      <w:r w:rsidRPr="0085018D">
        <w:rPr>
          <w:rFonts w:eastAsia="Calibri"/>
        </w:rPr>
        <w:t>Mujeres sent</w:t>
      </w:r>
      <w:r w:rsidRPr="00C475A1">
        <w:rPr>
          <w:rFonts w:eastAsia="Calibri"/>
        </w:rPr>
        <w:t xml:space="preserve"> out an e-blast announcing yet another feminicide victim in Chihuahua: Flor Alicia Gómez. The latest victim was a teacher in the rural town of Tomochi, Chihuahua. Flor Alicia had been accompanying a group of friends to a meeting when they were assaulted and beaten by an armed commando. Flor Alicia’s body was found the next day. She had been abducted, sexually assaulted, and killed by a gunshot to the head. The other occupants in the vehicle were released. Since the completion of our edited book (Fregoso and Bejarano, Terrorizing Women), </w:t>
      </w:r>
      <w:r w:rsidRPr="004B580A">
        <w:rPr>
          <w:rFonts w:eastAsia="Calibri"/>
          <w:u w:val="single"/>
        </w:rPr>
        <w:t>violence against women who defend human rights has grown at an alarming rate</w:t>
      </w:r>
      <w:r w:rsidRPr="004B580A">
        <w:rPr>
          <w:rFonts w:eastAsia="Calibri"/>
        </w:rPr>
        <w:t>. Flor Alicia’s is one of many cases of relatives threatened or murdered for the human rights activities</w:t>
      </w:r>
      <w:r w:rsidRPr="00C475A1">
        <w:rPr>
          <w:rFonts w:eastAsia="Calibri"/>
        </w:rPr>
        <w:t xml:space="preserve"> of their family members. Several of Flor Alicia’s relatives, including her mother, are well-known human rights defenders in Chihuahua. Her aunt, Alma Gómez, is a longtime women’s rights advocate, former state senator, and cofounder of Centro de Derechos Humanos de las Mujeres and Justicia para Nuestras Hijas in Chihuahua.1 Alma Gómez coauthored one of the chapters in our book. Despite the surge in violence against women in Mexico, government officials continue to characterize the abductions, murders, disappearances, and threats against women as “social violence” and as “collateral damage” in the war between criminal organizations. This foza común (common grave) mentality about gendered and sexual violence diminishes assaults against women and trans people as much as it distorts its distinctive traits. </w:t>
      </w:r>
      <w:r w:rsidRPr="00C475A1">
        <w:rPr>
          <w:rFonts w:eastAsia="Calibri"/>
          <w:highlight w:val="green"/>
          <w:u w:val="single"/>
        </w:rPr>
        <w:t>Referring to violence against women and trans people as social or criminal</w:t>
      </w:r>
      <w:r w:rsidRPr="00C475A1">
        <w:rPr>
          <w:rFonts w:eastAsia="Calibri"/>
          <w:u w:val="single"/>
        </w:rPr>
        <w:t xml:space="preserve"> violence </w:t>
      </w:r>
      <w:r w:rsidRPr="00C475A1">
        <w:rPr>
          <w:rFonts w:eastAsia="Calibri"/>
          <w:highlight w:val="green"/>
          <w:u w:val="single"/>
        </w:rPr>
        <w:t>depoliticizes their killing and obscures its colonialist, heteropatriarchal, and capitalist foundations</w:t>
      </w:r>
      <w:r w:rsidRPr="00C475A1">
        <w:rPr>
          <w:rFonts w:eastAsia="Calibri"/>
        </w:rPr>
        <w:t xml:space="preserve">. In Mexico, there is no single cause behind the ceaseless and senseless killing of women and trans people. Females are not killed and disappeared only because they are “women in a women-hating world,” to quote Jane Caputi.2 As in most areas of the world, heteropatriarchal ideology is surely a determining factor. </w:t>
      </w:r>
      <w:r w:rsidRPr="00C475A1">
        <w:rPr>
          <w:rFonts w:eastAsia="Calibri"/>
          <w:u w:val="single"/>
        </w:rPr>
        <w:t xml:space="preserve">The persistence of </w:t>
      </w:r>
      <w:r w:rsidRPr="00C475A1">
        <w:rPr>
          <w:rFonts w:eastAsia="Calibri"/>
          <w:highlight w:val="green"/>
          <w:u w:val="single"/>
        </w:rPr>
        <w:t>the war on women and gendernonconforming people requires a multicausal explanation</w:t>
      </w:r>
      <w:r w:rsidRPr="00C475A1">
        <w:rPr>
          <w:rFonts w:eastAsia="Calibri"/>
          <w:u w:val="single"/>
        </w:rPr>
        <w:t xml:space="preserve">, one </w:t>
      </w:r>
      <w:r w:rsidRPr="00C475A1">
        <w:rPr>
          <w:rFonts w:eastAsia="Calibri"/>
          <w:highlight w:val="green"/>
          <w:u w:val="single"/>
        </w:rPr>
        <w:t>that accounts for the</w:t>
      </w:r>
      <w:r w:rsidRPr="00C475A1">
        <w:rPr>
          <w:rFonts w:eastAsia="Calibri"/>
          <w:u w:val="single"/>
        </w:rPr>
        <w:t xml:space="preserve"> patriarchal legacy of colonial modernity that philosopher Maria Lugones calls “the </w:t>
      </w:r>
      <w:r w:rsidRPr="00C475A1">
        <w:rPr>
          <w:rFonts w:eastAsia="Calibri"/>
          <w:highlight w:val="green"/>
          <w:u w:val="single"/>
        </w:rPr>
        <w:t>coloniality of gender</w:t>
      </w:r>
      <w:r w:rsidRPr="00C475A1">
        <w:rPr>
          <w:rFonts w:eastAsia="Calibri"/>
          <w:u w:val="single"/>
        </w:rPr>
        <w:t>” and Jean Franco terms “cruel modernity,” as she explains: “</w:t>
      </w:r>
      <w:r w:rsidRPr="00C475A1">
        <w:rPr>
          <w:rFonts w:eastAsia="Calibri"/>
          <w:b/>
          <w:iCs/>
          <w:sz w:val="26"/>
          <w:szCs w:val="26"/>
          <w:highlight w:val="green"/>
          <w:u w:val="single"/>
        </w:rPr>
        <w:t xml:space="preserve">To consider the exercise of cruelty in Latin America </w:t>
      </w:r>
      <w:r w:rsidRPr="0085018D">
        <w:rPr>
          <w:rFonts w:eastAsia="Calibri"/>
          <w:b/>
          <w:iCs/>
          <w:sz w:val="26"/>
          <w:szCs w:val="26"/>
          <w:u w:val="single"/>
        </w:rPr>
        <w:t xml:space="preserve">moves </w:t>
      </w:r>
      <w:r w:rsidRPr="00C475A1">
        <w:rPr>
          <w:rFonts w:eastAsia="Calibri"/>
          <w:b/>
          <w:iCs/>
          <w:sz w:val="26"/>
          <w:szCs w:val="26"/>
          <w:highlight w:val="green"/>
          <w:u w:val="single"/>
        </w:rPr>
        <w:t xml:space="preserve">the </w:t>
      </w:r>
      <w:r w:rsidRPr="00C475A1">
        <w:rPr>
          <w:rFonts w:eastAsia="Calibri"/>
          <w:b/>
          <w:iCs/>
          <w:sz w:val="32"/>
          <w:szCs w:val="32"/>
          <w:highlight w:val="green"/>
          <w:u w:val="single"/>
        </w:rPr>
        <w:t xml:space="preserve">debate </w:t>
      </w:r>
      <w:r w:rsidRPr="0085018D">
        <w:rPr>
          <w:rFonts w:eastAsia="Calibri"/>
          <w:b/>
          <w:iCs/>
          <w:sz w:val="26"/>
          <w:szCs w:val="26"/>
          <w:u w:val="single"/>
        </w:rPr>
        <w:t>into a dif</w:t>
      </w:r>
      <w:r w:rsidRPr="0085018D">
        <w:rPr>
          <w:rFonts w:eastAsia="Calibri"/>
          <w:b/>
          <w:iCs/>
          <w:sz w:val="26"/>
          <w:szCs w:val="26"/>
          <w:u w:val="single"/>
        </w:rPr>
        <w:softHyphen/>
        <w:t xml:space="preserve">ferent and complex terrain that </w:t>
      </w:r>
      <w:r w:rsidRPr="00C475A1">
        <w:rPr>
          <w:rFonts w:eastAsia="Calibri"/>
          <w:b/>
          <w:iCs/>
          <w:sz w:val="26"/>
          <w:szCs w:val="26"/>
          <w:highlight w:val="green"/>
          <w:u w:val="single"/>
        </w:rPr>
        <w:t xml:space="preserve">links the conquest to feminicide, </w:t>
      </w:r>
      <w:r w:rsidRPr="0085018D">
        <w:rPr>
          <w:rFonts w:eastAsia="Calibri"/>
          <w:b/>
          <w:iCs/>
          <w:sz w:val="26"/>
          <w:szCs w:val="26"/>
          <w:u w:val="single"/>
        </w:rPr>
        <w:t>the war on communism to genocide and neoliberalism</w:t>
      </w:r>
      <w:r w:rsidRPr="00C475A1">
        <w:rPr>
          <w:rFonts w:eastAsia="Calibri"/>
          <w:b/>
          <w:iCs/>
          <w:sz w:val="26"/>
          <w:szCs w:val="26"/>
          <w:highlight w:val="green"/>
          <w:u w:val="single"/>
        </w:rPr>
        <w:t xml:space="preserve"> to casual violence without limits.</w:t>
      </w:r>
      <w:r w:rsidRPr="00C475A1">
        <w:rPr>
          <w:rFonts w:eastAsia="Calibri"/>
          <w:u w:val="single"/>
        </w:rPr>
        <w:t>”</w:t>
      </w:r>
      <w:r w:rsidRPr="00C475A1">
        <w:rPr>
          <w:rFonts w:eastAsia="Calibri"/>
        </w:rPr>
        <w:t xml:space="preserve">3 Feminicide in Mexico is rooted in a conjuncture of multiple </w:t>
      </w:r>
      <w:r w:rsidRPr="00C475A1">
        <w:rPr>
          <w:rFonts w:eastAsia="Calibri"/>
        </w:rPr>
        <w:lastRenderedPageBreak/>
        <w:t xml:space="preserve">structures and technologies that solidified what years ago I called an emerging “necropolitical order” on the globalized world of the Mexico-US border—a politics based on death.4 </w:t>
      </w:r>
      <w:r w:rsidRPr="00C475A1">
        <w:rPr>
          <w:rFonts w:eastAsia="Calibri"/>
          <w:highlight w:val="green"/>
          <w:u w:val="single"/>
        </w:rPr>
        <w:t>Contra-feminicide involves bearing witness to the structures behind colonialist heteropatriarchal violence</w:t>
      </w:r>
      <w:r w:rsidRPr="00C475A1">
        <w:rPr>
          <w:rFonts w:eastAsia="Calibri"/>
        </w:rPr>
        <w:t xml:space="preserve">. Mexico is a patriarchal society, designed to protect men and their privilege. Like most countries in the Western Hemisphere, Mexico was methodically built on a legacy of genocide, slavery, and colonialism. It is a racist society designed to protect the rights of the white and lighter-skinned mestizx elite over those of Indigenous, darker mestizxs, and Afro-descendant peoples. Media, security, criminal justice, the police, and the judiciary are all institutions inscribed by heteropatriarchal ideology and the nation’s colonialist legacy. Most analysts attribute the upsurge of violence in Mexico to the conjuncture of neoliberal reforms, the militarization of policing and security, and the penetration of drug cartels into an existing corrupt government. In the late twentieth century, as violence against women grew at an alarming rate, the government signed the North American Free Trade Agreement (nafta), consolidating the expansion of neoliberal capitalist development that began in the 1960s with the Border Industrialization Program (bip) and ushering in the growth of the global assembly line.5 The bip was part the global project of developmentalism in the twentieth </w:t>
      </w:r>
      <w:r w:rsidRPr="0085018D">
        <w:rPr>
          <w:rFonts w:eastAsia="Calibri"/>
        </w:rPr>
        <w:t>century: “</w:t>
      </w:r>
      <w:r w:rsidRPr="0085018D">
        <w:rPr>
          <w:rFonts w:eastAsia="Calibri"/>
          <w:u w:val="single"/>
        </w:rPr>
        <w:t>Under the hegemony of the United States, the goal of developmentalism was to remove opposition to the world system</w:t>
      </w:r>
      <w:r w:rsidRPr="0085018D">
        <w:rPr>
          <w:rFonts w:eastAsia="Calibri"/>
        </w:rPr>
        <w:t xml:space="preserve">.”6 </w:t>
      </w:r>
      <w:r w:rsidRPr="0085018D">
        <w:rPr>
          <w:rFonts w:eastAsia="Calibri"/>
          <w:u w:val="single"/>
        </w:rPr>
        <w:t>Ciudad Juárez was then the largest export-processing zone on the border, with 350 maquiladoras</w:t>
      </w:r>
      <w:r w:rsidRPr="0085018D">
        <w:rPr>
          <w:rFonts w:eastAsia="Calibri"/>
        </w:rPr>
        <w:t xml:space="preserve"> (assembly plants) </w:t>
      </w:r>
      <w:r w:rsidRPr="0085018D">
        <w:rPr>
          <w:rFonts w:eastAsia="Calibri"/>
          <w:u w:val="single"/>
        </w:rPr>
        <w:t>owned by transnational corporations</w:t>
      </w:r>
      <w:r w:rsidRPr="0085018D">
        <w:rPr>
          <w:rFonts w:eastAsia="Calibri"/>
        </w:rPr>
        <w:t xml:space="preserve">. </w:t>
      </w:r>
      <w:r w:rsidRPr="0085018D">
        <w:rPr>
          <w:rFonts w:eastAsia="Calibri"/>
          <w:u w:val="single"/>
        </w:rPr>
        <w:t>Thousands of female workers</w:t>
      </w:r>
      <w:r w:rsidRPr="0085018D">
        <w:rPr>
          <w:rFonts w:eastAsia="Calibri"/>
        </w:rPr>
        <w:t xml:space="preserve">, </w:t>
      </w:r>
      <w:r w:rsidRPr="0085018D">
        <w:rPr>
          <w:rFonts w:eastAsia="Calibri"/>
          <w:u w:val="single"/>
        </w:rPr>
        <w:t>mostly migrants</w:t>
      </w:r>
      <w:r w:rsidRPr="0085018D">
        <w:rPr>
          <w:rFonts w:eastAsia="Calibri"/>
        </w:rPr>
        <w:t xml:space="preserve"> from the southern region, </w:t>
      </w:r>
      <w:r w:rsidRPr="0085018D">
        <w:rPr>
          <w:rFonts w:eastAsia="Calibri"/>
          <w:u w:val="single"/>
        </w:rPr>
        <w:t>were recruited</w:t>
      </w:r>
      <w:r w:rsidRPr="0085018D">
        <w:rPr>
          <w:rFonts w:eastAsia="Calibri"/>
        </w:rPr>
        <w:t xml:space="preserve">. </w:t>
      </w:r>
      <w:r w:rsidRPr="0085018D">
        <w:rPr>
          <w:rFonts w:eastAsia="Calibri"/>
          <w:u w:val="single"/>
        </w:rPr>
        <w:t>The young women labored nearly fifty hours per week, soldering electronic boards, sewing surgical gowns, wiring car</w:t>
      </w:r>
      <w:r w:rsidRPr="00C475A1">
        <w:rPr>
          <w:rFonts w:eastAsia="Calibri"/>
          <w:u w:val="single"/>
        </w:rPr>
        <w:t xml:space="preserve"> dashboards, receiving a non–living wage of US$4 per day while working under precarious conditions, with little or no social benefits</w:t>
      </w:r>
      <w:r w:rsidRPr="00C475A1">
        <w:rPr>
          <w:rFonts w:eastAsia="Calibri"/>
        </w:rPr>
        <w:t xml:space="preserve">. </w:t>
      </w:r>
      <w:r w:rsidRPr="00C475A1">
        <w:rPr>
          <w:rFonts w:eastAsia="Calibri"/>
          <w:b/>
          <w:iCs/>
          <w:highlight w:val="green"/>
          <w:u w:val="single"/>
        </w:rPr>
        <w:t>Feminists called this new international division of labor under neoliberal capitalism “global gendered apartheid.”</w:t>
      </w:r>
      <w:r w:rsidRPr="00C475A1">
        <w:rPr>
          <w:rFonts w:eastAsia="Calibri"/>
        </w:rPr>
        <w:t xml:space="preserve">7 </w:t>
      </w:r>
      <w:r w:rsidRPr="00C475A1">
        <w:rPr>
          <w:rFonts w:eastAsia="Calibri"/>
          <w:u w:val="single"/>
        </w:rPr>
        <w:t>Ciudad Juárez was also at the crossroads of the militarization of border security. The integration of military and border policing on the Mexico-US border has been a cornerstone of US policy designed to reduce unauthorized border crossings.</w:t>
      </w:r>
      <w:r w:rsidRPr="00C475A1">
        <w:rPr>
          <w:rFonts w:eastAsia="Calibri"/>
        </w:rPr>
        <w:t xml:space="preserve"> </w:t>
      </w:r>
      <w:r w:rsidRPr="00C475A1">
        <w:rPr>
          <w:rFonts w:eastAsia="Calibri"/>
          <w:highlight w:val="green"/>
          <w:u w:val="single"/>
        </w:rPr>
        <w:t>Policy initiatives</w:t>
      </w:r>
      <w:r w:rsidRPr="00C475A1">
        <w:rPr>
          <w:rFonts w:eastAsia="Calibri"/>
          <w:u w:val="single"/>
        </w:rPr>
        <w:t xml:space="preserve"> such as Operation Safeguard and Operation Gatekeeper </w:t>
      </w:r>
      <w:r w:rsidRPr="00C475A1">
        <w:rPr>
          <w:rFonts w:eastAsia="Calibri"/>
          <w:highlight w:val="green"/>
          <w:u w:val="single"/>
        </w:rPr>
        <w:t>transformed the border into a war zone and created a graveyard for migrants</w:t>
      </w:r>
      <w:r w:rsidRPr="00C475A1">
        <w:rPr>
          <w:rFonts w:eastAsia="Calibri"/>
          <w:u w:val="single"/>
        </w:rPr>
        <w:t xml:space="preserve"> from the global South. </w:t>
      </w:r>
      <w:r w:rsidRPr="00C475A1">
        <w:rPr>
          <w:rFonts w:eastAsia="Calibri"/>
          <w:highlight w:val="green"/>
          <w:u w:val="single"/>
        </w:rPr>
        <w:t>The militarization</w:t>
      </w:r>
      <w:r w:rsidRPr="00C475A1">
        <w:rPr>
          <w:rFonts w:eastAsia="Calibri"/>
          <w:u w:val="single"/>
        </w:rPr>
        <w:t xml:space="preserve"> of the borderland </w:t>
      </w:r>
      <w:r w:rsidRPr="00C475A1">
        <w:rPr>
          <w:rFonts w:eastAsia="Calibri"/>
          <w:highlight w:val="green"/>
          <w:u w:val="single"/>
        </w:rPr>
        <w:t>was also due</w:t>
      </w:r>
      <w:r w:rsidRPr="00C475A1">
        <w:rPr>
          <w:rFonts w:eastAsia="Calibri"/>
          <w:u w:val="single"/>
        </w:rPr>
        <w:t xml:space="preserve"> in large measure </w:t>
      </w:r>
      <w:r w:rsidRPr="00C475A1">
        <w:rPr>
          <w:rFonts w:eastAsia="Calibri"/>
          <w:highlight w:val="green"/>
          <w:u w:val="single"/>
        </w:rPr>
        <w:t>to the</w:t>
      </w:r>
      <w:r w:rsidRPr="00C475A1">
        <w:rPr>
          <w:rFonts w:eastAsia="Calibri"/>
          <w:u w:val="single"/>
        </w:rPr>
        <w:t xml:space="preserve"> so-called </w:t>
      </w:r>
      <w:r w:rsidRPr="00C475A1">
        <w:rPr>
          <w:rFonts w:eastAsia="Calibri"/>
          <w:highlight w:val="green"/>
          <w:u w:val="single"/>
        </w:rPr>
        <w:t>war on drugs</w:t>
      </w:r>
      <w:r w:rsidRPr="00C475A1">
        <w:rPr>
          <w:rFonts w:eastAsia="Calibri"/>
          <w:u w:val="single"/>
        </w:rPr>
        <w:t xml:space="preserve"> instituted first under the Nixon administration, continuing through the tenure of six US presidents.</w:t>
      </w:r>
      <w:r w:rsidRPr="00C475A1">
        <w:rPr>
          <w:rFonts w:eastAsia="Calibri"/>
        </w:rPr>
        <w:t xml:space="preserve"> </w:t>
      </w:r>
      <w:r w:rsidRPr="00C475A1">
        <w:rPr>
          <w:rFonts w:eastAsia="Calibri"/>
          <w:highlight w:val="green"/>
          <w:u w:val="single"/>
        </w:rPr>
        <w:t xml:space="preserve">In conjunction with the </w:t>
      </w:r>
      <w:r w:rsidRPr="00C475A1">
        <w:rPr>
          <w:rFonts w:eastAsia="Calibri"/>
          <w:u w:val="single"/>
        </w:rPr>
        <w:t xml:space="preserve">post 9/11 </w:t>
      </w:r>
      <w:r w:rsidRPr="00C475A1">
        <w:rPr>
          <w:rFonts w:eastAsia="Calibri"/>
          <w:highlight w:val="green"/>
          <w:u w:val="single"/>
        </w:rPr>
        <w:t>“war on terror”</w:t>
      </w:r>
      <w:r w:rsidRPr="00C475A1">
        <w:rPr>
          <w:rFonts w:eastAsia="Calibri"/>
          <w:u w:val="single"/>
        </w:rPr>
        <w:t xml:space="preserve"> during President George W. Bush’s tenure, the war on drugs expanded with the Mérida Initiative (a.k.a. Plan México), a 2007 binational accord that has had devastating consequences for the border region</w:t>
      </w:r>
      <w:r w:rsidRPr="00C475A1">
        <w:rPr>
          <w:rFonts w:eastAsia="Calibri"/>
        </w:rPr>
        <w:t xml:space="preserve">. In 2008, President Felipe Calderón exacerbated the bloody conflict when he militarized the fight against select drug cartels operating in Mexico. Funded by the United States through the Mérida Initiative, Calderón’s Operación Chihuahua involved the deployment of thousands of soldiers and military police to the border region. Violence and criminality reached pandemic proportions, alongside a disturbing trend of human rights violations committed by the very same security forces sent to restore order. As a result, Chihuahua became home to two of the fifty most dangerous cities in the world: Chihuahua City and Ciudad Juárez.8 </w:t>
      </w:r>
      <w:r w:rsidRPr="00C475A1">
        <w:rPr>
          <w:rFonts w:eastAsia="Calibri"/>
          <w:u w:val="single"/>
        </w:rPr>
        <w:t>The murder and disappearance of women and girls is thus rooted in the legacy of heteropatriarchal colonial modernity, neoliberal capitalism, and the so-called war on drugs, as well as what Héctor Domínguez and Patricia Ravelo term the war economy in Mexico, “the official one against crime and the war among mafias, in which the government has played a major role, as the most interested in occupying the streets of Juárez</w:t>
      </w:r>
      <w:r w:rsidRPr="00C475A1">
        <w:rPr>
          <w:rFonts w:eastAsia="Calibri"/>
        </w:rPr>
        <w:t xml:space="preserve">. It all demonstrates that the violation of citizens’ rights, from security to freedom of movement, to enjoyment and economic activity, are substantial elements of the economy of death.”9 </w:t>
      </w:r>
      <w:r w:rsidRPr="00C475A1">
        <w:rPr>
          <w:rFonts w:eastAsia="Calibri"/>
          <w:highlight w:val="green"/>
          <w:u w:val="single"/>
        </w:rPr>
        <w:t>Feminicide is also a reflection of an “absent”</w:t>
      </w:r>
      <w:r w:rsidRPr="00C475A1">
        <w:rPr>
          <w:rFonts w:eastAsia="Calibri"/>
          <w:u w:val="single"/>
        </w:rPr>
        <w:t xml:space="preserve"> or “failed </w:t>
      </w:r>
      <w:r w:rsidRPr="00C475A1">
        <w:rPr>
          <w:rFonts w:eastAsia="Calibri"/>
          <w:highlight w:val="green"/>
          <w:u w:val="single"/>
        </w:rPr>
        <w:t>state</w:t>
      </w:r>
      <w:r w:rsidRPr="00C475A1">
        <w:rPr>
          <w:rFonts w:eastAsia="Calibri"/>
          <w:u w:val="single"/>
        </w:rPr>
        <w:t>,” according to María Guadalupe Huacuz, “</w:t>
      </w:r>
      <w:r w:rsidRPr="00C475A1">
        <w:rPr>
          <w:rFonts w:eastAsia="Calibri"/>
          <w:highlight w:val="green"/>
          <w:u w:val="single"/>
        </w:rPr>
        <w:t>which impedes</w:t>
      </w:r>
      <w:r w:rsidRPr="00C475A1">
        <w:rPr>
          <w:rFonts w:eastAsia="Calibri"/>
          <w:u w:val="single"/>
        </w:rPr>
        <w:t xml:space="preserve"> the </w:t>
      </w:r>
      <w:r w:rsidRPr="00C475A1">
        <w:rPr>
          <w:rFonts w:eastAsia="Calibri"/>
          <w:highlight w:val="green"/>
          <w:u w:val="single"/>
        </w:rPr>
        <w:t>access to justice</w:t>
      </w:r>
      <w:r w:rsidRPr="00C475A1">
        <w:rPr>
          <w:rFonts w:eastAsia="Calibri"/>
          <w:u w:val="single"/>
        </w:rPr>
        <w:t xml:space="preserve"> for those persons whose ‘precarious lives’ impede their exercise of citizenship within an armed conflict that began with the appearance of murdered and mutilated female bodies, suffering bodies that constitute ‘disposable bodies,’ in the face of a state that systematically violates the individual rights of the population</w:t>
      </w:r>
      <w:r w:rsidRPr="00C475A1">
        <w:rPr>
          <w:rFonts w:eastAsia="Calibri"/>
        </w:rPr>
        <w:t>.”10 Domínguez and Ravelo cite two reasons for this “absent state.” The first pertains to the “agreement or pact” between the government and organized crime, undertaken by the administration of Miguel de la Madrid in 1982 to alleviate Mexico’s financial crisis. They state: “</w:t>
      </w:r>
      <w:r w:rsidRPr="00C475A1">
        <w:rPr>
          <w:rFonts w:eastAsia="Calibri"/>
          <w:u w:val="single"/>
        </w:rPr>
        <w:t>Since then, the criminal networks have expanded and operated with a free reign, establishing a monopoly that controls all the drug trafficking routes into the United States, with guarantees that their earnings are totally protected.” The second reason involves the intimate connection between politicians and cartels, due to the financing of political campaigns by the organized crime network:</w:t>
      </w:r>
      <w:r w:rsidRPr="00C475A1">
        <w:rPr>
          <w:rFonts w:eastAsia="Calibri"/>
        </w:rPr>
        <w:t xml:space="preserve"> “In that sense, </w:t>
      </w:r>
      <w:r w:rsidRPr="004B580A">
        <w:rPr>
          <w:rFonts w:eastAsia="Calibri"/>
          <w:b/>
          <w:iCs/>
          <w:u w:val="single"/>
        </w:rPr>
        <w:t>organized c</w:t>
      </w:r>
      <w:r w:rsidRPr="004B580A">
        <w:rPr>
          <w:rFonts w:eastAsia="Calibri"/>
          <w:u w:val="single"/>
        </w:rPr>
        <w:t>rime</w:t>
      </w:r>
      <w:r w:rsidRPr="004B580A">
        <w:rPr>
          <w:rFonts w:eastAsia="Calibri"/>
        </w:rPr>
        <w:t xml:space="preserve">, besides being a threat to security, </w:t>
      </w:r>
      <w:r w:rsidRPr="004B580A">
        <w:rPr>
          <w:rFonts w:eastAsia="Calibri"/>
          <w:b/>
          <w:iCs/>
          <w:u w:val="single"/>
        </w:rPr>
        <w:t>is an economic force that has become indispensable for a large sector of the economy</w:t>
      </w:r>
      <w:r w:rsidRPr="004B580A">
        <w:rPr>
          <w:rFonts w:eastAsia="Calibri"/>
        </w:rPr>
        <w:t>, difficult to quantify.”11 It is the confluence of these systemic structures that consolidated a necropolitical</w:t>
      </w:r>
      <w:r w:rsidRPr="00C475A1">
        <w:rPr>
          <w:rFonts w:eastAsia="Calibri"/>
        </w:rPr>
        <w:t xml:space="preserve"> order in the country and </w:t>
      </w:r>
      <w:r w:rsidRPr="00C475A1">
        <w:rPr>
          <w:rFonts w:eastAsia="Calibri"/>
        </w:rPr>
        <w:lastRenderedPageBreak/>
        <w:t>explains the significance of feminicide as a new epistemic category for naming extreme forms of violence. Feminicide in Mexico makes evident the exercise of power across the social spectrum: the power of the state over civil society; the white elite over racialized people; men over women and trans people. It is a novel kind of Dirty War, one waged by multiple forces over disposable female and feminized bodies. “</w:t>
      </w:r>
      <w:r w:rsidRPr="00C475A1">
        <w:rPr>
          <w:rFonts w:eastAsia="Calibri"/>
          <w:highlight w:val="green"/>
          <w:u w:val="single"/>
        </w:rPr>
        <w:t>I</w:t>
      </w:r>
      <w:r w:rsidRPr="004B580A">
        <w:rPr>
          <w:rFonts w:eastAsia="Calibri"/>
          <w:u w:val="single"/>
        </w:rPr>
        <w:t>t has been called and still is, the drug war, the war on drugs</w:t>
      </w:r>
      <w:r w:rsidRPr="004B580A">
        <w:rPr>
          <w:rFonts w:eastAsia="Calibri"/>
        </w:rPr>
        <w:t>,” writes author and critic Cristina Rivera</w:t>
      </w:r>
      <w:r w:rsidRPr="00C475A1">
        <w:rPr>
          <w:rFonts w:eastAsia="Calibri"/>
        </w:rPr>
        <w:t xml:space="preserve"> Garza, “</w:t>
      </w:r>
      <w:r w:rsidRPr="00C475A1">
        <w:rPr>
          <w:rFonts w:eastAsia="Calibri"/>
          <w:highlight w:val="green"/>
          <w:u w:val="single"/>
        </w:rPr>
        <w:t>but we know other more truthful names: the war against the Mexican people, the war against women</w:t>
      </w:r>
      <w:r w:rsidRPr="00C475A1">
        <w:rPr>
          <w:rFonts w:eastAsia="Calibri"/>
        </w:rPr>
        <w:t xml:space="preserve">.”12 Mexico’s so-called war on drugs exacerbated the war against women and transformed the countryside into a land of mass graves. Feminicide stands as one of the “mass homicides” Cavarero warns is prevalent today: “The kind of war that matured in the twentieth century and looms over the new millennium is not only asymmetric as were and are all colonial wars, but, like them, consists predominantly of the homicide, unilateral and sometimes planned, of the defenseless.”13 The violence that 68 escalated with Felipe Calderón’s national war on drugs grew to unprecedented heights under Enrique Peña Nieto’s government. In assessing Peña Nieto’s deplorable human rights record, Erika Guevara Rosas, Americas director at Amnesty International, reports on the “multiple incidents of extrajudicial executions carried out by security forces; and the widespread practice of torture, including sexual torture, as a standard procedure in the justice system.”14 Mexico’s war against its own people has resulted in over 100,000 deaths and an equal number of people disappeared, most of them since 2006, according to Karla Quintana, director of the country’s Comisión Nacional de Búsqueda de Personas (National Search Commission).15 From 2006 to June 30, 2021, 87,855 persons were disappeared, compared with 1,633 during the earlier four decades (1964–2005). </w:t>
      </w:r>
      <w:r w:rsidRPr="00C475A1">
        <w:rPr>
          <w:rFonts w:eastAsia="Calibri"/>
          <w:u w:val="single"/>
        </w:rPr>
        <w:t>Women and girls represent 25 percent of the total disappeared, and of these, girls and adolescent women under the age of eighteen make up 55.3 percent, the majority between the ages of ten and seventeen</w:t>
      </w:r>
      <w:r w:rsidRPr="00C475A1">
        <w:rPr>
          <w:rFonts w:eastAsia="Calibri"/>
        </w:rPr>
        <w:t xml:space="preserve">.16 “It’s the worst crisis of the disappeared in Latin America since the Cold War, when military-backed governments kidnapped and secretly killed their leftist opponents—an estimated 45,000 in Guatemala, up to 30,000 in Argentina, as many as 3,400 in Chile. And Mexico’s numbers keep rising. Last year saw a record. </w:t>
      </w:r>
      <w:r w:rsidRPr="00C475A1">
        <w:rPr>
          <w:rFonts w:eastAsia="Calibri"/>
          <w:u w:val="single"/>
        </w:rPr>
        <w:t>Mexicans are uncovering two clandestine graves a day, on average</w:t>
      </w:r>
      <w:r w:rsidRPr="00C475A1">
        <w:rPr>
          <w:rFonts w:eastAsia="Calibri"/>
        </w:rPr>
        <w:t xml:space="preserve">.”17 </w:t>
      </w:r>
      <w:r w:rsidRPr="00C475A1">
        <w:rPr>
          <w:rFonts w:eastAsia="Calibri"/>
          <w:u w:val="single"/>
        </w:rPr>
        <w:t>In Ciudad Juárez alone, from the 137 cases of feminicide between 1993 and 1998, the number of cases grew to 265 in 2003, then to 1,850 by August 2018, the final year of Peña Nieto’s presidency. Of the latter figure, 1,043 cases occurred after the beginning of Calderón’s disastrous war on drugs</w:t>
      </w:r>
      <w:r w:rsidRPr="00C475A1">
        <w:rPr>
          <w:rFonts w:eastAsia="Calibri"/>
        </w:rPr>
        <w:t>. “</w:t>
      </w:r>
      <w:r w:rsidRPr="00C475A1">
        <w:rPr>
          <w:rFonts w:eastAsia="Calibri"/>
          <w:u w:val="single"/>
        </w:rPr>
        <w:t>The extermination of women continues</w:t>
      </w:r>
      <w:r w:rsidRPr="00C475A1">
        <w:rPr>
          <w:rFonts w:eastAsia="Calibri"/>
        </w:rPr>
        <w:t>,” writes Patricia Ravelo, “</w:t>
      </w:r>
      <w:r w:rsidRPr="00C475A1">
        <w:rPr>
          <w:rFonts w:eastAsia="Calibri"/>
          <w:u w:val="single"/>
        </w:rPr>
        <w:t>and has become more acute with the war on drugs, since violence and death have increased with this senseless war.</w:t>
      </w:r>
      <w:r w:rsidRPr="00C475A1">
        <w:rPr>
          <w:rFonts w:eastAsia="Calibri"/>
        </w:rPr>
        <w:t>”18 As sociologist Julia Monárrez adds, “</w:t>
      </w:r>
      <w:r w:rsidRPr="00C475A1">
        <w:rPr>
          <w:rFonts w:eastAsia="Calibri"/>
          <w:b/>
          <w:iCs/>
          <w:highlight w:val="green"/>
          <w:u w:val="single"/>
        </w:rPr>
        <w:t>With the war came new forms of violence against the population: enforced disappearance, sexual torture, youthicide [</w:t>
      </w:r>
      <w:r w:rsidRPr="004B580A">
        <w:rPr>
          <w:rFonts w:eastAsia="Calibri"/>
          <w:b/>
          <w:iCs/>
          <w:u w:val="single"/>
        </w:rPr>
        <w:t>juvenicid</w:t>
      </w:r>
      <w:r w:rsidRPr="00C475A1">
        <w:rPr>
          <w:rFonts w:eastAsia="Calibri"/>
          <w:b/>
          <w:iCs/>
          <w:highlight w:val="green"/>
          <w:u w:val="single"/>
        </w:rPr>
        <w:t>io] and the recrudescence of feminicide.</w:t>
      </w:r>
      <w:r w:rsidRPr="00C475A1">
        <w:rPr>
          <w:rFonts w:eastAsia="Calibri"/>
        </w:rPr>
        <w:t xml:space="preserve">”19 Of the 1,850 cases of feminicide, Monárrez identifies 154 cases as “victims of systemic sexual feminicide,” which she defines as sexual crimes with systematic methods and a high level of impunity.20 As the killings and disappearances of women continued into the new millennium, spreading throughout the region and to other parts of Mexico, it became apparent that </w:t>
      </w:r>
      <w:r w:rsidRPr="00CC13F9">
        <w:rPr>
          <w:rStyle w:val="Emphasis"/>
          <w:highlight w:val="green"/>
        </w:rPr>
        <w:t>impunity</w:t>
      </w:r>
      <w:r w:rsidRPr="00CC13F9">
        <w:rPr>
          <w:rStyle w:val="Emphasis"/>
        </w:rPr>
        <w:t xml:space="preserve"> for the assassinations of women </w:t>
      </w:r>
      <w:r w:rsidRPr="00CC13F9">
        <w:rPr>
          <w:rStyle w:val="Emphasis"/>
          <w:highlight w:val="green"/>
        </w:rPr>
        <w:t>was both a consequence and</w:t>
      </w:r>
      <w:r w:rsidRPr="00CC13F9">
        <w:rPr>
          <w:rStyle w:val="Emphasis"/>
        </w:rPr>
        <w:t xml:space="preserve"> an </w:t>
      </w:r>
      <w:r w:rsidRPr="00CC13F9">
        <w:rPr>
          <w:rStyle w:val="Emphasis"/>
          <w:highlight w:val="green"/>
        </w:rPr>
        <w:t>incitement for further feminicide and other forms of violence against women and trans people</w:t>
      </w:r>
      <w:r w:rsidRPr="00CC13F9">
        <w:rPr>
          <w:rStyle w:val="Emphasis"/>
        </w:rPr>
        <w:t>.</w:t>
      </w:r>
      <w:r w:rsidRPr="00C475A1">
        <w:rPr>
          <w:rFonts w:eastAsia="Calibri"/>
        </w:rPr>
        <w:t xml:space="preserve"> To this day, Mexico is a state where its deficiencies exacerbate impunity and violence. Before delving into the genealogy of feminicide in Mexico, </w:t>
      </w:r>
      <w:r w:rsidRPr="00C475A1">
        <w:rPr>
          <w:rFonts w:eastAsia="Calibri"/>
          <w:u w:val="single"/>
        </w:rPr>
        <w:t>it is important that we address the colonialist spectacle of Latino males as inherently violent and degenerate.</w:t>
      </w:r>
      <w:r w:rsidRPr="00C475A1">
        <w:rPr>
          <w:rFonts w:eastAsia="Calibri"/>
        </w:rPr>
        <w:t xml:space="preserve"> This colonialist trope haunted my service as an expert witness for gender asylum in the United States. In one </w:t>
      </w:r>
      <w:proofErr w:type="gramStart"/>
      <w:r w:rsidRPr="00C475A1">
        <w:rPr>
          <w:rFonts w:eastAsia="Calibri"/>
        </w:rPr>
        <w:t>particular case</w:t>
      </w:r>
      <w:proofErr w:type="gramEnd"/>
      <w:r w:rsidRPr="00C475A1">
        <w:rPr>
          <w:rFonts w:eastAsia="Calibri"/>
        </w:rPr>
        <w:t xml:space="preserve">, I had to contend with the legal defense team of an undocumented woman petitioning for asylum, specifically the petitioner’s attorney, who requested that I frame my expert opinion in terms of inherent machismo in Mexican culture, which I refused to do. The challenge many of us face whenever we investigate or write (or in my case, provide expert testimony) about violence in Latin America is how to avoid reproducing the stereotype of human rights violations as cultural pathologies. This is both a challenge and a burden, given the long-standing colonialist stereotype about the biological predisposition of Latinxs to violence.21 The biological determinism behind the notion of gender violence as inherent to Latin culture fuels the notion of Latin America specifically (and other countries of the global South, more generally), as the “face of human rights violations rather than the voice of criticism.”22 </w:t>
      </w:r>
      <w:r w:rsidRPr="00CC13F9">
        <w:rPr>
          <w:rStyle w:val="Emphasis"/>
          <w:highlight w:val="green"/>
        </w:rPr>
        <w:t>Legal scholars underscore the “‘cultural arrogance’ in those human rights discourses that characterize violations as discrimination</w:t>
      </w:r>
      <w:r w:rsidRPr="00CC13F9">
        <w:rPr>
          <w:rStyle w:val="Emphasis"/>
        </w:rPr>
        <w:t xml:space="preserve"> (</w:t>
      </w:r>
      <w:r w:rsidRPr="00CC13F9">
        <w:rPr>
          <w:rStyle w:val="Emphasis"/>
          <w:highlight w:val="green"/>
        </w:rPr>
        <w:t>US/here</w:t>
      </w:r>
      <w:r w:rsidRPr="00CC13F9">
        <w:rPr>
          <w:rStyle w:val="Emphasis"/>
        </w:rPr>
        <w:t xml:space="preserve">) </w:t>
      </w:r>
      <w:r w:rsidRPr="00CC13F9">
        <w:rPr>
          <w:rStyle w:val="Emphasis"/>
          <w:highlight w:val="green"/>
        </w:rPr>
        <w:t>and persecution (over/there</w:t>
      </w:r>
      <w:r w:rsidRPr="00CC13F9">
        <w:rPr>
          <w:rStyle w:val="Emphasis"/>
        </w:rPr>
        <w:t xml:space="preserve">).”23 </w:t>
      </w:r>
      <w:r w:rsidRPr="00CC13F9">
        <w:rPr>
          <w:rStyle w:val="Emphasis"/>
          <w:highlight w:val="green"/>
        </w:rPr>
        <w:t>The colonialist stereotype</w:t>
      </w:r>
      <w:r w:rsidRPr="00CC13F9">
        <w:rPr>
          <w:rStyle w:val="Emphasis"/>
        </w:rPr>
        <w:t xml:space="preserve"> about violence as rooted in cultural traditions of the global South—also known as the “</w:t>
      </w:r>
      <w:r w:rsidRPr="00CC13F9">
        <w:rPr>
          <w:rStyle w:val="Emphasis"/>
          <w:highlight w:val="green"/>
        </w:rPr>
        <w:t>death by culture</w:t>
      </w:r>
      <w:r w:rsidRPr="00CC13F9">
        <w:rPr>
          <w:rStyle w:val="Emphasis"/>
        </w:rPr>
        <w:t>” metaphor—</w:t>
      </w:r>
      <w:r w:rsidRPr="00CC13F9">
        <w:rPr>
          <w:rStyle w:val="Emphasis"/>
          <w:highlight w:val="green"/>
        </w:rPr>
        <w:t>uses culture “to explain the dif</w:t>
      </w:r>
      <w:r w:rsidRPr="00CC13F9">
        <w:rPr>
          <w:rStyle w:val="Emphasis"/>
          <w:highlight w:val="green"/>
        </w:rPr>
        <w:softHyphen/>
        <w:t>ferent forms and shapes violence against women takes,”</w:t>
      </w:r>
      <w:r w:rsidRPr="00CC13F9">
        <w:rPr>
          <w:rStyle w:val="Emphasis"/>
        </w:rPr>
        <w:t xml:space="preserve"> as Uma Narayna so aptly put it.24 The “death by culture” metaphor promotes the idea that the subordination of women happens in other cultures or that it is intrinsic to societies of the global South</w:t>
      </w:r>
      <w:r w:rsidRPr="00C475A1">
        <w:rPr>
          <w:rFonts w:eastAsia="Calibri"/>
          <w:u w:val="single"/>
        </w:rPr>
        <w:t>.</w:t>
      </w:r>
      <w:r w:rsidRPr="00C475A1">
        <w:rPr>
          <w:rFonts w:eastAsia="Calibri"/>
        </w:rPr>
        <w:t xml:space="preserve"> Even the Mexican government invoked </w:t>
      </w:r>
      <w:r w:rsidRPr="00C475A1">
        <w:rPr>
          <w:rFonts w:eastAsia="Calibri"/>
        </w:rPr>
        <w:lastRenderedPageBreak/>
        <w:t>this metaphor. During Amnesty International’s visit to Ciudad Juárez in 2003, one Mexican government official told Amnesty’s representatives that violence against women would be difficult to stop because “machismo” is an “essential element of Mexican culture.”25 Challenging this cultural explanation is complicated by the enormous historic weight of symbolic and discursive structures that are largely instrumental in entrenching the stereotype of violence as genetically ingrained in some monolithic Latin culture</w:t>
      </w:r>
      <w:r w:rsidRPr="00CC13F9">
        <w:rPr>
          <w:rStyle w:val="Emphasis"/>
        </w:rPr>
        <w:t xml:space="preserve">. </w:t>
      </w:r>
      <w:r w:rsidRPr="00CC13F9">
        <w:rPr>
          <w:rStyle w:val="Emphasis"/>
          <w:highlight w:val="green"/>
        </w:rPr>
        <w:t>Chief among these is the linguistic symbolism of the Spanish term machismo</w:t>
      </w:r>
      <w:r w:rsidRPr="00CC13F9">
        <w:rPr>
          <w:rStyle w:val="Emphasis"/>
        </w:rPr>
        <w:t xml:space="preserve"> (pronounced “makismo” in some English-language circles) </w:t>
      </w:r>
      <w:r w:rsidRPr="00CC13F9">
        <w:rPr>
          <w:rStyle w:val="Emphasis"/>
          <w:highlight w:val="green"/>
        </w:rPr>
        <w:t xml:space="preserve">as the most favored English synonym for </w:t>
      </w:r>
      <w:r w:rsidRPr="00CC13F9">
        <w:rPr>
          <w:rStyle w:val="Emphasis"/>
        </w:rPr>
        <w:t xml:space="preserve">exaggerated </w:t>
      </w:r>
      <w:r w:rsidRPr="00CC13F9">
        <w:rPr>
          <w:rStyle w:val="Emphasis"/>
          <w:highlight w:val="green"/>
        </w:rPr>
        <w:t>or toxic masculinity</w:t>
      </w:r>
      <w:r w:rsidRPr="00CC13F9">
        <w:rPr>
          <w:rStyle w:val="Emphasis"/>
        </w:rPr>
        <w:t>.</w:t>
      </w:r>
      <w:r w:rsidRPr="00C475A1">
        <w:rPr>
          <w:rFonts w:eastAsia="Calibri"/>
        </w:rPr>
        <w:t xml:space="preserve"> 70 The cultural explanation presupposes a static, reified and homogeneous view of culture, one that ignores the vast diversity and heterogeneity throughout the Americas. There is not one monolithic Latin culture, but dynamic, fluid, and pluriversal cultures throughout the region. Rather than an ingrained cultural predisposition, it is the colonialist legacy of socially constructed gender norms of male domination/superiority and female submission/inferiority that are at stake. These </w:t>
      </w:r>
      <w:r w:rsidRPr="00CC13F9">
        <w:rPr>
          <w:rStyle w:val="Emphasis"/>
          <w:highlight w:val="green"/>
        </w:rPr>
        <w:t xml:space="preserve">gender norms are </w:t>
      </w:r>
      <w:r w:rsidRPr="00CC13F9">
        <w:rPr>
          <w:rStyle w:val="Emphasis"/>
        </w:rPr>
        <w:t xml:space="preserve">not natural, cultural, or essential, but rather </w:t>
      </w:r>
      <w:r w:rsidRPr="00CC13F9">
        <w:rPr>
          <w:rStyle w:val="Emphasis"/>
          <w:highlight w:val="green"/>
        </w:rPr>
        <w:t>are sustained by an assemblage of colonialist heteropatriarchal institutions and transphobic and misogynist practices</w:t>
      </w:r>
      <w:r w:rsidRPr="00C475A1">
        <w:rPr>
          <w:rFonts w:eastAsia="Calibri"/>
          <w:u w:val="single"/>
        </w:rPr>
        <w:t xml:space="preserve"> embedded in liberal law, the family, religion, education, media, the criminal justice system, and corporate culture</w:t>
      </w:r>
      <w:r w:rsidRPr="00C475A1">
        <w:rPr>
          <w:rFonts w:eastAsia="Calibri"/>
        </w:rPr>
        <w:t xml:space="preserve">. Even further, this understanding of violence does not render obsolete male victims, since they too are subjected to gendered forms of domination; nor does it absolve women from perpetuating violence. The cultural assumption about violence as rooted in a machismo inherent to Mexican culture discounts the long historic resistance to violence, particularly the plethora of antiviolence activism in communities throughout the region. </w:t>
      </w:r>
      <w:r w:rsidRPr="00C475A1">
        <w:rPr>
          <w:rFonts w:eastAsia="Calibri"/>
          <w:u w:val="single"/>
        </w:rPr>
        <w:t>Ultimately, the cultural explanation ignores the colonialist/modernist traces of violence against human and nonhuman lives.</w:t>
      </w:r>
    </w:p>
    <w:p w14:paraId="5661D3CB" w14:textId="77777777" w:rsidR="005B724F" w:rsidRPr="00C475A1" w:rsidRDefault="005B724F" w:rsidP="005B724F">
      <w:pPr>
        <w:keepNext/>
        <w:keepLines/>
        <w:spacing w:before="40" w:after="0"/>
        <w:outlineLvl w:val="3"/>
        <w:rPr>
          <w:rFonts w:eastAsia="SimSun" w:cs="Times New Roman"/>
          <w:b/>
          <w:iCs/>
          <w:u w:val="single"/>
        </w:rPr>
      </w:pPr>
      <w:r w:rsidRPr="00C475A1">
        <w:rPr>
          <w:rFonts w:eastAsia="SimSun" w:cs="Times New Roman"/>
          <w:b/>
          <w:iCs/>
          <w:highlight w:val="green"/>
          <w:u w:val="single"/>
        </w:rPr>
        <w:t xml:space="preserve">“This nation-state is constructed on forgetfulness </w:t>
      </w:r>
      <w:r w:rsidRPr="004B580A">
        <w:rPr>
          <w:rFonts w:eastAsia="SimSun" w:cs="Times New Roman"/>
          <w:b/>
          <w:iCs/>
          <w:u w:val="single"/>
        </w:rPr>
        <w:t xml:space="preserve">and the trauma of invasion, while further acts of invasion are daily perpetrated to throw more d is pl aced bodies between remembering and </w:t>
      </w:r>
      <w:proofErr w:type="gramStart"/>
      <w:r w:rsidRPr="004B580A">
        <w:rPr>
          <w:rFonts w:eastAsia="SimSun" w:cs="Times New Roman"/>
          <w:b/>
          <w:iCs/>
          <w:u w:val="single"/>
        </w:rPr>
        <w:t>ourselves</w:t>
      </w:r>
      <w:proofErr w:type="gramEnd"/>
      <w:r w:rsidRPr="004B580A">
        <w:rPr>
          <w:rFonts w:eastAsia="SimSun" w:cs="Times New Roman"/>
          <w:b/>
          <w:iCs/>
          <w:u w:val="single"/>
        </w:rPr>
        <w:t>. Sanctions against a dissident America are</w:t>
      </w:r>
      <w:r w:rsidRPr="00C475A1">
        <w:rPr>
          <w:rFonts w:eastAsia="SimSun" w:cs="Times New Roman"/>
          <w:b/>
          <w:iCs/>
          <w:highlight w:val="green"/>
          <w:u w:val="single"/>
        </w:rPr>
        <w:t xml:space="preserve"> imposed </w:t>
      </w:r>
      <w:r w:rsidRPr="004B580A">
        <w:rPr>
          <w:rFonts w:eastAsia="SimSun" w:cs="Times New Roman"/>
          <w:b/>
          <w:iCs/>
          <w:u w:val="single"/>
        </w:rPr>
        <w:t xml:space="preserve">to such a degree that it is </w:t>
      </w:r>
      <w:r w:rsidRPr="00C475A1">
        <w:rPr>
          <w:rFonts w:eastAsia="SimSun" w:cs="Times New Roman"/>
          <w:b/>
          <w:iCs/>
          <w:highlight w:val="green"/>
          <w:u w:val="single"/>
        </w:rPr>
        <w:t xml:space="preserve">“taboo” </w:t>
      </w:r>
      <w:r w:rsidRPr="004B580A">
        <w:rPr>
          <w:rFonts w:eastAsia="SimSun" w:cs="Times New Roman"/>
          <w:b/>
          <w:iCs/>
          <w:u w:val="single"/>
        </w:rPr>
        <w:t>to even say aloud that we do not stand “united” as every billboard, new car sales lot, dry cleaners and auto repair shop attest</w:t>
      </w:r>
      <w:r w:rsidRPr="00C475A1">
        <w:rPr>
          <w:rFonts w:eastAsia="SimSun" w:cs="Times New Roman"/>
          <w:b/>
          <w:iCs/>
          <w:highlight w:val="green"/>
          <w:u w:val="single"/>
        </w:rPr>
        <w:t>.</w:t>
      </w:r>
      <w:r w:rsidRPr="004B580A">
        <w:rPr>
          <w:rFonts w:eastAsia="SimSun" w:cs="Times New Roman"/>
          <w:b/>
          <w:iCs/>
          <w:u w:val="single"/>
        </w:rPr>
        <w:t xml:space="preserve"> But </w:t>
      </w:r>
      <w:r w:rsidRPr="00C475A1">
        <w:rPr>
          <w:rFonts w:eastAsia="SimSun" w:cs="Times New Roman"/>
          <w:b/>
          <w:iCs/>
          <w:highlight w:val="green"/>
          <w:u w:val="single"/>
        </w:rPr>
        <w:t>we do not stand united.”</w:t>
      </w:r>
    </w:p>
    <w:p w14:paraId="003F11E7" w14:textId="77777777" w:rsidR="00E648DF" w:rsidRDefault="00E648DF" w:rsidP="00C475A1">
      <w:pPr>
        <w:keepNext/>
        <w:keepLines/>
        <w:spacing w:before="40" w:after="0"/>
        <w:outlineLvl w:val="3"/>
        <w:rPr>
          <w:rFonts w:eastAsia="SimSun" w:cs="Times New Roman"/>
          <w:b/>
          <w:iCs/>
          <w:sz w:val="26"/>
        </w:rPr>
      </w:pPr>
    </w:p>
    <w:p w14:paraId="08D6ACBE" w14:textId="3DC66C8C" w:rsidR="008D0E58" w:rsidRDefault="00C475A1" w:rsidP="00C475A1">
      <w:pPr>
        <w:keepNext/>
        <w:keepLines/>
        <w:spacing w:before="40" w:after="0"/>
        <w:outlineLvl w:val="3"/>
        <w:rPr>
          <w:rFonts w:eastAsia="SimSun" w:cs="Times New Roman"/>
          <w:b/>
          <w:iCs/>
          <w:sz w:val="26"/>
        </w:rPr>
      </w:pPr>
      <w:r w:rsidRPr="00C475A1">
        <w:rPr>
          <w:rFonts w:eastAsia="SimSun" w:cs="Times New Roman"/>
          <w:b/>
          <w:iCs/>
          <w:sz w:val="26"/>
        </w:rPr>
        <w:t xml:space="preserve">Collective </w:t>
      </w:r>
      <w:r w:rsidR="005E0E34">
        <w:rPr>
          <w:rFonts w:eastAsia="SimSun" w:cs="Times New Roman"/>
          <w:b/>
          <w:iCs/>
          <w:sz w:val="26"/>
        </w:rPr>
        <w:t>Ignorance</w:t>
      </w:r>
      <w:r w:rsidR="008D0E58">
        <w:rPr>
          <w:rFonts w:eastAsia="SimSun" w:cs="Times New Roman"/>
          <w:b/>
          <w:iCs/>
          <w:sz w:val="26"/>
        </w:rPr>
        <w:t>, ‘business as usual</w:t>
      </w:r>
      <w:r w:rsidR="005A5F77">
        <w:rPr>
          <w:rFonts w:eastAsia="SimSun" w:cs="Times New Roman"/>
          <w:b/>
          <w:iCs/>
          <w:sz w:val="26"/>
        </w:rPr>
        <w:t>’,</w:t>
      </w:r>
      <w:r w:rsidR="008D0E58">
        <w:rPr>
          <w:rFonts w:eastAsia="SimSun" w:cs="Times New Roman"/>
          <w:b/>
          <w:iCs/>
          <w:sz w:val="26"/>
        </w:rPr>
        <w:t xml:space="preserve"> always attempting to </w:t>
      </w:r>
      <w:r w:rsidR="00414A16">
        <w:rPr>
          <w:rFonts w:eastAsia="SimSun" w:cs="Times New Roman"/>
          <w:b/>
          <w:iCs/>
          <w:sz w:val="26"/>
        </w:rPr>
        <w:t>state things have ended</w:t>
      </w:r>
      <w:r w:rsidR="008F019F">
        <w:rPr>
          <w:rFonts w:eastAsia="SimSun" w:cs="Times New Roman"/>
          <w:b/>
          <w:iCs/>
          <w:sz w:val="26"/>
        </w:rPr>
        <w:t xml:space="preserve">, </w:t>
      </w:r>
      <w:r w:rsidR="00414A16">
        <w:rPr>
          <w:rFonts w:eastAsia="SimSun" w:cs="Times New Roman"/>
          <w:b/>
          <w:iCs/>
          <w:sz w:val="26"/>
        </w:rPr>
        <w:t xml:space="preserve">when they have truly just </w:t>
      </w:r>
      <w:r w:rsidR="00DD5CA8">
        <w:rPr>
          <w:rFonts w:eastAsia="SimSun" w:cs="Times New Roman"/>
          <w:b/>
          <w:iCs/>
          <w:sz w:val="26"/>
        </w:rPr>
        <w:t>begun</w:t>
      </w:r>
      <w:r w:rsidR="00414A16">
        <w:rPr>
          <w:rFonts w:eastAsia="SimSun" w:cs="Times New Roman"/>
          <w:b/>
          <w:iCs/>
          <w:sz w:val="26"/>
        </w:rPr>
        <w:t>.</w:t>
      </w:r>
    </w:p>
    <w:p w14:paraId="0A83A99D" w14:textId="749931AA" w:rsidR="00EB1BBB" w:rsidRDefault="00EB1BBB" w:rsidP="00EB1BBB">
      <w:pPr>
        <w:rPr>
          <w:rFonts w:eastAsiaTheme="majorEastAsia" w:cstheme="majorBidi"/>
          <w:b/>
          <w:iCs/>
          <w:sz w:val="26"/>
        </w:rPr>
      </w:pPr>
      <w:r>
        <w:rPr>
          <w:rFonts w:eastAsiaTheme="majorEastAsia" w:cstheme="majorBidi"/>
          <w:b/>
          <w:iCs/>
          <w:sz w:val="26"/>
        </w:rPr>
        <w:t xml:space="preserve">Ignorance is learned and entrapped in a refusal to acknowledge racism. When we rely on this ignorance we maintain a </w:t>
      </w:r>
      <w:r w:rsidR="005A5F77">
        <w:rPr>
          <w:rFonts w:eastAsiaTheme="majorEastAsia" w:cstheme="majorBidi"/>
          <w:b/>
          <w:iCs/>
          <w:sz w:val="26"/>
        </w:rPr>
        <w:t>structure of white supremacy.</w:t>
      </w:r>
      <w:r w:rsidR="0074336D">
        <w:rPr>
          <w:rFonts w:eastAsiaTheme="majorEastAsia" w:cstheme="majorBidi"/>
          <w:b/>
          <w:iCs/>
          <w:sz w:val="26"/>
        </w:rPr>
        <w:t xml:space="preserve"> This ignorance recreated in the resolution.</w:t>
      </w:r>
      <w:r w:rsidR="009F31F2">
        <w:rPr>
          <w:rFonts w:eastAsiaTheme="majorEastAsia" w:cstheme="majorBidi"/>
          <w:b/>
          <w:iCs/>
          <w:sz w:val="26"/>
        </w:rPr>
        <w:t xml:space="preserve"> </w:t>
      </w:r>
      <w:r w:rsidR="009F31F2">
        <w:rPr>
          <w:rFonts w:eastAsiaTheme="majorEastAsia" w:cstheme="majorBidi"/>
          <w:b/>
          <w:iCs/>
          <w:sz w:val="26"/>
        </w:rPr>
        <w:tab/>
      </w:r>
      <w:r w:rsidR="009F31F2">
        <w:rPr>
          <w:rFonts w:eastAsiaTheme="majorEastAsia" w:cstheme="majorBidi"/>
          <w:b/>
          <w:iCs/>
          <w:sz w:val="26"/>
        </w:rPr>
        <w:tab/>
      </w:r>
      <w:r w:rsidR="009F31F2">
        <w:rPr>
          <w:rFonts w:eastAsiaTheme="majorEastAsia" w:cstheme="majorBidi"/>
          <w:b/>
          <w:iCs/>
          <w:sz w:val="26"/>
        </w:rPr>
        <w:tab/>
      </w:r>
      <w:r w:rsidR="009F31F2">
        <w:rPr>
          <w:rFonts w:eastAsiaTheme="majorEastAsia" w:cstheme="majorBidi"/>
          <w:b/>
          <w:iCs/>
          <w:sz w:val="26"/>
        </w:rPr>
        <w:tab/>
      </w:r>
      <w:r w:rsidR="009F31F2">
        <w:rPr>
          <w:rFonts w:eastAsiaTheme="majorEastAsia" w:cstheme="majorBidi"/>
          <w:b/>
          <w:iCs/>
          <w:sz w:val="26"/>
        </w:rPr>
        <w:tab/>
      </w:r>
      <w:r w:rsidR="009F31F2">
        <w:rPr>
          <w:rFonts w:eastAsiaTheme="majorEastAsia" w:cstheme="majorBidi"/>
          <w:b/>
          <w:iCs/>
          <w:sz w:val="26"/>
        </w:rPr>
        <w:tab/>
      </w:r>
      <w:r w:rsidR="009F31F2">
        <w:rPr>
          <w:rFonts w:eastAsiaTheme="majorEastAsia" w:cstheme="majorBidi"/>
          <w:b/>
          <w:iCs/>
          <w:sz w:val="26"/>
        </w:rPr>
        <w:tab/>
      </w:r>
      <w:r w:rsidR="009F31F2">
        <w:rPr>
          <w:rFonts w:eastAsiaTheme="majorEastAsia" w:cstheme="majorBidi"/>
          <w:b/>
          <w:iCs/>
          <w:sz w:val="26"/>
        </w:rPr>
        <w:tab/>
      </w:r>
      <w:r w:rsidR="009F31F2">
        <w:rPr>
          <w:rFonts w:eastAsiaTheme="majorEastAsia" w:cstheme="majorBidi"/>
          <w:b/>
          <w:iCs/>
          <w:sz w:val="26"/>
        </w:rPr>
        <w:tab/>
      </w:r>
      <w:r w:rsidR="009F31F2">
        <w:rPr>
          <w:rFonts w:eastAsiaTheme="majorEastAsia" w:cstheme="majorBidi"/>
          <w:b/>
          <w:iCs/>
          <w:sz w:val="26"/>
        </w:rPr>
        <w:tab/>
      </w:r>
      <w:r w:rsidR="009F31F2">
        <w:rPr>
          <w:rFonts w:eastAsiaTheme="majorEastAsia" w:cstheme="majorBidi"/>
          <w:b/>
          <w:iCs/>
          <w:sz w:val="26"/>
        </w:rPr>
        <w:tab/>
      </w:r>
      <w:r w:rsidR="009F31F2">
        <w:rPr>
          <w:rFonts w:eastAsiaTheme="majorEastAsia" w:cstheme="majorBidi"/>
          <w:b/>
          <w:iCs/>
          <w:sz w:val="26"/>
        </w:rPr>
        <w:tab/>
      </w:r>
      <w:r w:rsidR="009F31F2">
        <w:rPr>
          <w:rFonts w:eastAsiaTheme="majorEastAsia" w:cstheme="majorBidi"/>
          <w:b/>
          <w:iCs/>
          <w:sz w:val="26"/>
        </w:rPr>
        <w:tab/>
        <w:t xml:space="preserve">    </w:t>
      </w:r>
      <w:r w:rsidRPr="00E476F3">
        <w:rPr>
          <w:rFonts w:eastAsiaTheme="majorEastAsia" w:cstheme="majorBidi"/>
          <w:b/>
          <w:iCs/>
          <w:sz w:val="26"/>
        </w:rPr>
        <w:t>Dull et al 25</w:t>
      </w:r>
      <w:r>
        <w:t xml:space="preserve"> </w:t>
      </w:r>
      <w:r w:rsidRPr="00E476F3">
        <w:rPr>
          <w:sz w:val="16"/>
        </w:rPr>
        <w:t xml:space="preserve">(Brandon D Dull Department of Comparative Human Development, University of Chicago, Chicago, Illinois, USA, Leonandra Onnie Rogers Department of Comparative Human Development, University of Chicago, Chicago, Illinois, USA, &amp; Jade Ross </w:t>
      </w:r>
      <w:r w:rsidRPr="00E476F3">
        <w:rPr>
          <w:sz w:val="16"/>
          <w:lang w:val="en-GB"/>
        </w:rPr>
        <w:t>Department of Psychology, Northwestern University, Evanston, Illinois, USA</w:t>
      </w:r>
      <w:r w:rsidRPr="00E476F3">
        <w:rPr>
          <w:sz w:val="16"/>
        </w:rPr>
        <w:t xml:space="preserve">“Learning (Not) to Know: Examining How White Ignorance Manifests and Functions in White Adolescents' Racial Identity Narratives” </w:t>
      </w:r>
      <w:hyperlink r:id="rId8" w:history="1">
        <w:r w:rsidRPr="00906675">
          <w:rPr>
            <w:rStyle w:val="Hyperlink"/>
          </w:rPr>
          <w:t>https://srcd.onlinelibrary.wiley.com/doi/10.1111/cdev.14215?af=R</w:t>
        </w:r>
      </w:hyperlink>
      <w:r>
        <w:t xml:space="preserve">  </w:t>
      </w:r>
      <w:r w:rsidRPr="00E476F3">
        <w:rPr>
          <w:sz w:val="16"/>
        </w:rPr>
        <w:t>23 January 2025 Catbunnyae).</w:t>
      </w:r>
      <w:r w:rsidRPr="00A377D1">
        <w:rPr>
          <w:sz w:val="14"/>
        </w:rPr>
        <w:t>In critical approaches to the study of whiteness</w:t>
      </w:r>
      <w:r w:rsidRPr="00EB1BBB">
        <w:rPr>
          <w:highlight w:val="green"/>
        </w:rPr>
        <w:t>,</w:t>
      </w:r>
      <w:r w:rsidRPr="00EB1BBB">
        <w:rPr>
          <w:rStyle w:val="Emphasis"/>
          <w:highlight w:val="green"/>
        </w:rPr>
        <w:t>white ignorance refers to systematic and intentional ways of (not) knowing that function to perpetuate racism</w:t>
      </w:r>
      <w:r w:rsidRPr="00E476F3">
        <w:t xml:space="preserve">. </w:t>
      </w:r>
      <w:r w:rsidRPr="00A377D1">
        <w:rPr>
          <w:sz w:val="14"/>
        </w:rPr>
        <w:t xml:space="preserve">The current critical qualitative analysis examines how </w:t>
      </w:r>
      <w:r w:rsidRPr="00EB1BBB">
        <w:rPr>
          <w:rStyle w:val="Emphasis"/>
          <w:highlight w:val="green"/>
        </w:rPr>
        <w:t>white ignorance surfaces</w:t>
      </w:r>
      <w:r w:rsidRPr="00E476F3">
        <w:rPr>
          <w:rStyle w:val="Emphasis"/>
        </w:rPr>
        <w:t xml:space="preserve"> in the </w:t>
      </w:r>
      <w:r w:rsidRPr="00EB1BBB">
        <w:rPr>
          <w:rStyle w:val="Emphasis"/>
          <w:highlight w:val="green"/>
        </w:rPr>
        <w:t>racial identity narratives</w:t>
      </w:r>
      <w:r w:rsidRPr="00EB1BBB">
        <w:rPr>
          <w:rStyle w:val="Emphasis"/>
        </w:rPr>
        <w:t xml:space="preserve"> </w:t>
      </w:r>
      <w:r w:rsidRPr="00A377D1">
        <w:rPr>
          <w:sz w:val="14"/>
        </w:rPr>
        <w:t xml:space="preserve">of white </w:t>
      </w:r>
      <w:proofErr w:type="gramStart"/>
      <w:r w:rsidRPr="00A377D1">
        <w:rPr>
          <w:sz w:val="14"/>
        </w:rPr>
        <w:t>adolescents  (</w:t>
      </w:r>
      <w:proofErr w:type="gramEnd"/>
      <w:r w:rsidRPr="00A377D1">
        <w:rPr>
          <w:sz w:val="14"/>
        </w:rPr>
        <w:t xml:space="preserve">N = 69, Mage = 15.91, SD = 0.49, data collected 2017–2019). Using semi-structured interview data, we identified three manifestations of accommodation to </w:t>
      </w:r>
      <w:r w:rsidRPr="00EB1BBB">
        <w:rPr>
          <w:rStyle w:val="Emphasis"/>
          <w:highlight w:val="green"/>
        </w:rPr>
        <w:t>white ignorance: constructing white as</w:t>
      </w:r>
      <w:r w:rsidRPr="00EB1BBB">
        <w:rPr>
          <w:sz w:val="14"/>
          <w:highlight w:val="green"/>
        </w:rPr>
        <w:t xml:space="preserve"> </w:t>
      </w:r>
      <w:r w:rsidRPr="00EB1BBB">
        <w:rPr>
          <w:rStyle w:val="Emphasis"/>
          <w:highlight w:val="green"/>
        </w:rPr>
        <w:t>disadvantaged, framing race(ism)</w:t>
      </w:r>
      <w:r w:rsidRPr="00A377D1">
        <w:rPr>
          <w:rStyle w:val="Emphasis"/>
        </w:rPr>
        <w:t xml:space="preserve"> </w:t>
      </w:r>
      <w:r w:rsidRPr="00EB1BBB">
        <w:rPr>
          <w:rStyle w:val="Emphasis"/>
          <w:highlight w:val="green"/>
        </w:rPr>
        <w:t>as unimportant</w:t>
      </w:r>
      <w:r w:rsidRPr="00A377D1">
        <w:rPr>
          <w:sz w:val="14"/>
        </w:rPr>
        <w:t xml:space="preserve"> and elsewhere, </w:t>
      </w:r>
      <w:r w:rsidRPr="00EB1BBB">
        <w:rPr>
          <w:rStyle w:val="Emphasis"/>
          <w:highlight w:val="green"/>
        </w:rPr>
        <w:t>and</w:t>
      </w:r>
      <w:r w:rsidRPr="00A377D1">
        <w:rPr>
          <w:rStyle w:val="Emphasis"/>
        </w:rPr>
        <w:t> </w:t>
      </w:r>
      <w:r w:rsidRPr="00A377D1">
        <w:rPr>
          <w:sz w:val="14"/>
        </w:rPr>
        <w:t xml:space="preserve">the active </w:t>
      </w:r>
      <w:r w:rsidRPr="00EB1BBB">
        <w:rPr>
          <w:rStyle w:val="Emphasis"/>
          <w:highlight w:val="green"/>
        </w:rPr>
        <w:t>refusal to know</w:t>
      </w:r>
      <w:r w:rsidRPr="00A377D1">
        <w:rPr>
          <w:sz w:val="14"/>
        </w:rPr>
        <w:t xml:space="preserve"> or imagine </w:t>
      </w:r>
      <w:r w:rsidRPr="00EB1BBB">
        <w:rPr>
          <w:rStyle w:val="Emphasis"/>
          <w:highlight w:val="green"/>
        </w:rPr>
        <w:t>racial oppression</w:t>
      </w:r>
      <w:r w:rsidRPr="00E476F3">
        <w:t xml:space="preserve">. </w:t>
      </w:r>
      <w:r w:rsidRPr="00A377D1">
        <w:rPr>
          <w:sz w:val="12"/>
        </w:rPr>
        <w:t xml:space="preserve">Alongside this accommodation we also observed a less common but important thread of resistance to white ignorance: seeing (and naming) systemic racism. The findings reveal how white ignorance as a macrosystemic cultural practice becomes embedded in, and strengthened through, the micro-level racial identities of white adolescents. Implications </w:t>
      </w:r>
      <w:proofErr w:type="gramStart"/>
      <w:r w:rsidRPr="00A377D1">
        <w:rPr>
          <w:sz w:val="12"/>
        </w:rPr>
        <w:t>for  conceptualizing</w:t>
      </w:r>
      <w:proofErr w:type="gramEnd"/>
      <w:r w:rsidRPr="00A377D1">
        <w:rPr>
          <w:sz w:val="12"/>
        </w:rPr>
        <w:t xml:space="preserve"> and contextualizing white racial identity in developmental science are discussed. There has been increased attention in developmental science to confronting whiteness, evident by the number of special issues focused on fostering anti-racism in childhood and adolescence (Cooper, Hurd, and Loyd </w:t>
      </w:r>
      <w:hyperlink r:id="rId9" w:anchor="cdev14215-bib-0013" w:history="1">
        <w:r w:rsidRPr="00E476F3">
          <w:rPr>
            <w:rStyle w:val="Hyperlink"/>
          </w:rPr>
          <w:t>2022</w:t>
        </w:r>
      </w:hyperlink>
      <w:r w:rsidRPr="00A377D1">
        <w:rPr>
          <w:sz w:val="12"/>
        </w:rPr>
        <w:t>; Kornbluh, Rogers, and Williams </w:t>
      </w:r>
      <w:hyperlink r:id="rId10" w:anchor="cdev14215-bib-0030" w:history="1">
        <w:r w:rsidRPr="00E476F3">
          <w:rPr>
            <w:rStyle w:val="Hyperlink"/>
          </w:rPr>
          <w:t>2021</w:t>
        </w:r>
      </w:hyperlink>
      <w:r w:rsidRPr="00A377D1">
        <w:rPr>
          <w:sz w:val="12"/>
        </w:rPr>
        <w:t>; Spanierman </w:t>
      </w:r>
      <w:hyperlink r:id="rId11" w:anchor="cdev14215-bib-0057" w:history="1">
        <w:r w:rsidRPr="00E476F3">
          <w:rPr>
            <w:rStyle w:val="Hyperlink"/>
          </w:rPr>
          <w:t>2022</w:t>
        </w:r>
      </w:hyperlink>
      <w:r w:rsidRPr="00A377D1">
        <w:rPr>
          <w:sz w:val="12"/>
        </w:rPr>
        <w:t>). While these efforts are not limited to studies of white children, developmental scholars have increasingly turned to studying race among white youth and families examining micro-level processes of white identity development (e.g., Grossman and Charmaraman </w:t>
      </w:r>
      <w:hyperlink r:id="rId12" w:anchor="cdev14215-bib-0020" w:history="1">
        <w:r w:rsidRPr="00E476F3">
          <w:rPr>
            <w:rStyle w:val="Hyperlink"/>
          </w:rPr>
          <w:t>2009</w:t>
        </w:r>
      </w:hyperlink>
      <w:r w:rsidRPr="00A377D1">
        <w:rPr>
          <w:sz w:val="12"/>
        </w:rPr>
        <w:t>; Satterthwaite-Freiman et al. </w:t>
      </w:r>
      <w:hyperlink r:id="rId13" w:anchor="cdev14215-bib-0055" w:history="1">
        <w:r w:rsidRPr="00E476F3">
          <w:rPr>
            <w:rStyle w:val="Hyperlink"/>
          </w:rPr>
          <w:t>2023</w:t>
        </w:r>
      </w:hyperlink>
      <w:r w:rsidRPr="00A377D1">
        <w:rPr>
          <w:sz w:val="12"/>
        </w:rPr>
        <w:t>), individual racial attitudes and biases (e.g., Rizzo, Britton, and Rhodes </w:t>
      </w:r>
      <w:hyperlink r:id="rId14" w:anchor="cdev14215-bib-0047" w:history="1">
        <w:r w:rsidRPr="00E476F3">
          <w:rPr>
            <w:rStyle w:val="Hyperlink"/>
          </w:rPr>
          <w:t>2022</w:t>
        </w:r>
      </w:hyperlink>
      <w:r w:rsidRPr="00A377D1">
        <w:rPr>
          <w:sz w:val="12"/>
        </w:rPr>
        <w:t>; Pahlke, Bigler, and Suizzo </w:t>
      </w:r>
      <w:hyperlink r:id="rId15" w:anchor="cdev14215-bib-0045" w:history="1">
        <w:r w:rsidRPr="00E476F3">
          <w:rPr>
            <w:rStyle w:val="Hyperlink"/>
          </w:rPr>
          <w:t>2012</w:t>
        </w:r>
      </w:hyperlink>
      <w:r w:rsidRPr="00A377D1">
        <w:rPr>
          <w:sz w:val="12"/>
        </w:rPr>
        <w:t>), and racial socialization beliefs and practices (e.g., Abaied and Perry </w:t>
      </w:r>
      <w:hyperlink r:id="rId16" w:anchor="cdev14215-bib-0001" w:history="1">
        <w:r w:rsidRPr="00E476F3">
          <w:rPr>
            <w:rStyle w:val="Hyperlink"/>
          </w:rPr>
          <w:t>2021</w:t>
        </w:r>
      </w:hyperlink>
      <w:r w:rsidRPr="00A377D1">
        <w:rPr>
          <w:sz w:val="12"/>
        </w:rPr>
        <w:t>; Zucker and Patterson </w:t>
      </w:r>
      <w:hyperlink r:id="rId17" w:anchor="cdev14215-bib-0066" w:history="1">
        <w:r w:rsidRPr="00E476F3">
          <w:rPr>
            <w:rStyle w:val="Hyperlink"/>
          </w:rPr>
          <w:t>2018</w:t>
        </w:r>
      </w:hyperlink>
      <w:r w:rsidRPr="00A377D1">
        <w:rPr>
          <w:sz w:val="12"/>
        </w:rPr>
        <w:t>). These studies are important for informing how white children and adolescents perceive, learn about, and negotiate racism within their micro-systems of development. However, such micro processes are embedded within the broader macrosystem of a racial hierarchy organized by white supremacy, and yet this macrosystem and its material effects have been un(der)examined or relegated as secondary in developmental studies of whiteness. Rogers et al. (</w:t>
      </w:r>
      <w:hyperlink r:id="rId18" w:anchor="cdev14215-bib-0053" w:history="1">
        <w:r w:rsidRPr="00E476F3">
          <w:rPr>
            <w:rStyle w:val="Hyperlink"/>
          </w:rPr>
          <w:t>2021</w:t>
        </w:r>
      </w:hyperlink>
      <w:r w:rsidRPr="00A377D1">
        <w:rPr>
          <w:sz w:val="12"/>
        </w:rPr>
        <w:t>) introduced the m(ai)cro framework to make explicit the inextricable and recursive nature through which the macro- and micro-systems shape each other in human development. M(ai)cro flips the starting point, centering the racial macrosystem of white supremacy and anti-Blackness in developmental studies in an effort to reveal how racial domination and power are implicated in, and never separate from, micro-level processes (Rogers et al. </w:t>
      </w:r>
      <w:hyperlink r:id="rId19" w:anchor="cdev14215-bib-0053" w:history="1">
        <w:r w:rsidRPr="00E476F3">
          <w:rPr>
            <w:rStyle w:val="Hyperlink"/>
          </w:rPr>
          <w:t>2021</w:t>
        </w:r>
      </w:hyperlink>
      <w:r w:rsidRPr="00E476F3">
        <w:t>).</w:t>
      </w:r>
      <w:r w:rsidRPr="00A377D1">
        <w:rPr>
          <w:sz w:val="14"/>
        </w:rPr>
        <w:t xml:space="preserve">In the current paper, we take a m(ai)cro developmental lens to investigate the macro and micro dynamics of white ignorance during </w:t>
      </w:r>
      <w:r>
        <w:rPr>
          <w:sz w:val="14"/>
        </w:rPr>
        <w:t xml:space="preserve"> </w:t>
      </w:r>
      <w:r w:rsidRPr="00A377D1">
        <w:rPr>
          <w:sz w:val="14"/>
        </w:rPr>
        <w:t>adolescence</w:t>
      </w:r>
      <w:r w:rsidRPr="00E476F3">
        <w:t xml:space="preserve">. </w:t>
      </w:r>
      <w:r w:rsidRPr="00EB1BBB">
        <w:rPr>
          <w:rStyle w:val="Emphasis"/>
          <w:highlight w:val="green"/>
        </w:rPr>
        <w:t>White ignorance is the epistemic</w:t>
      </w:r>
      <w:r w:rsidRPr="00A377D1">
        <w:rPr>
          <w:rStyle w:val="Emphasis"/>
        </w:rPr>
        <w:t xml:space="preserve"> dimension </w:t>
      </w:r>
      <w:r w:rsidRPr="00EB1BBB">
        <w:rPr>
          <w:rStyle w:val="Emphasis"/>
          <w:highlight w:val="green"/>
        </w:rPr>
        <w:t>of structural white supremacy and systemic racism</w:t>
      </w:r>
      <w:r w:rsidRPr="00A377D1">
        <w:rPr>
          <w:rStyle w:val="Emphasis"/>
        </w:rPr>
        <w:t xml:space="preserve"> (Boodman </w:t>
      </w:r>
      <w:hyperlink r:id="rId20" w:anchor="cdev14215-bib-0009" w:history="1">
        <w:r w:rsidRPr="00A377D1">
          <w:rPr>
            <w:rStyle w:val="Emphasis"/>
          </w:rPr>
          <w:t>2022</w:t>
        </w:r>
      </w:hyperlink>
      <w:r w:rsidRPr="00A377D1">
        <w:rPr>
          <w:rStyle w:val="Emphasis"/>
        </w:rPr>
        <w:t>; Mills </w:t>
      </w:r>
      <w:hyperlink r:id="rId21" w:anchor="cdev14215-bib-0040" w:history="1">
        <w:r w:rsidRPr="00A377D1">
          <w:rPr>
            <w:rStyle w:val="Emphasis"/>
          </w:rPr>
          <w:t>2007</w:t>
        </w:r>
      </w:hyperlink>
      <w:r w:rsidRPr="00A377D1">
        <w:rPr>
          <w:rStyle w:val="Emphasis"/>
        </w:rPr>
        <w:t xml:space="preserve">). </w:t>
      </w:r>
      <w:r w:rsidRPr="00EB1BBB">
        <w:rPr>
          <w:rStyle w:val="Emphasis"/>
          <w:highlight w:val="green"/>
        </w:rPr>
        <w:t>It is a collective  epistemology of erasure, a distorted way of (not) knowing that is rooted in violent histories of colonialism, anti-Blackness, and anti-Indigeneity</w:t>
      </w:r>
      <w:r w:rsidRPr="00E476F3">
        <w:t xml:space="preserve"> </w:t>
      </w:r>
      <w:r w:rsidRPr="00FE342B">
        <w:rPr>
          <w:sz w:val="14"/>
        </w:rPr>
        <w:t>(Foste and Tevis </w:t>
      </w:r>
      <w:hyperlink r:id="rId22" w:anchor="cdev14215-bib-0019" w:history="1">
        <w:r w:rsidRPr="00E476F3">
          <w:rPr>
            <w:rStyle w:val="Hyperlink"/>
          </w:rPr>
          <w:t>2023</w:t>
        </w:r>
      </w:hyperlink>
      <w:r w:rsidRPr="00FE342B">
        <w:rPr>
          <w:sz w:val="14"/>
        </w:rPr>
        <w:t xml:space="preserve">; </w:t>
      </w:r>
      <w:r w:rsidRPr="00FE342B">
        <w:rPr>
          <w:sz w:val="14"/>
        </w:rPr>
        <w:lastRenderedPageBreak/>
        <w:t>Roberts </w:t>
      </w:r>
      <w:hyperlink r:id="rId23" w:anchor="cdev14215-bib-0048" w:history="1">
        <w:r w:rsidRPr="00E476F3">
          <w:rPr>
            <w:rStyle w:val="Hyperlink"/>
          </w:rPr>
          <w:t>2011</w:t>
        </w:r>
      </w:hyperlink>
      <w:r w:rsidRPr="00FE342B">
        <w:rPr>
          <w:sz w:val="14"/>
        </w:rPr>
        <w:t xml:space="preserve">). To date, white ignorance has not been an explicit point of study in the developmental literature, however, </w:t>
      </w:r>
      <w:r w:rsidRPr="00EB1BBB">
        <w:rPr>
          <w:rStyle w:val="Emphasis"/>
          <w:highlight w:val="green"/>
        </w:rPr>
        <w:t>making known the specific ways</w:t>
      </w:r>
      <w:r w:rsidRPr="00FE342B">
        <w:rPr>
          <w:sz w:val="14"/>
        </w:rPr>
        <w:t xml:space="preserve"> that </w:t>
      </w:r>
      <w:r w:rsidRPr="00EB1BBB">
        <w:rPr>
          <w:rStyle w:val="Emphasis"/>
        </w:rPr>
        <w:t>white i</w:t>
      </w:r>
      <w:r w:rsidRPr="00EB1BBB">
        <w:rPr>
          <w:rStyle w:val="Emphasis"/>
          <w:highlight w:val="green"/>
        </w:rPr>
        <w:t>gnorance manifests</w:t>
      </w:r>
      <w:r w:rsidRPr="00FE342B">
        <w:rPr>
          <w:rStyle w:val="Emphasis"/>
        </w:rPr>
        <w:t xml:space="preserve"> </w:t>
      </w:r>
      <w:r w:rsidRPr="00FE342B">
        <w:rPr>
          <w:sz w:val="14"/>
        </w:rPr>
        <w:t xml:space="preserve">during adolescence can </w:t>
      </w:r>
      <w:r w:rsidRPr="00EB1BBB">
        <w:rPr>
          <w:rStyle w:val="Emphasis"/>
          <w:highlight w:val="green"/>
        </w:rPr>
        <w:t>provide insight into how to dismantle, dislodge, and deconstruct</w:t>
      </w:r>
      <w:r w:rsidRPr="00FE342B">
        <w:rPr>
          <w:rStyle w:val="Emphasis"/>
        </w:rPr>
        <w:t xml:space="preserve"> the </w:t>
      </w:r>
      <w:r w:rsidRPr="00EB1BBB">
        <w:rPr>
          <w:rStyle w:val="Emphasis"/>
          <w:highlight w:val="green"/>
        </w:rPr>
        <w:t>cultural practices that (re)produce white racial domination</w:t>
      </w:r>
      <w:r w:rsidRPr="00EB1BBB">
        <w:rPr>
          <w:highlight w:val="green"/>
        </w:rPr>
        <w:t xml:space="preserve">. </w:t>
      </w:r>
      <w:r w:rsidRPr="00FE342B">
        <w:rPr>
          <w:sz w:val="14"/>
        </w:rPr>
        <w:t>In the present analysis, we use a m(ai)cro white ignorance lens to examine qualitative interviews with white adolescents (15–16 years old) to listen for how the macrosystem of white supremacy surfaces in white adolescent racial identity development.1.1 A M(ai)cro Developmental Lens to Epistemologies of White Ignorance. Epistemology  refers to knowledge and conceptions of truth; our ways of knowing about and understanding the world (Sullivan and Tuana </w:t>
      </w:r>
      <w:hyperlink r:id="rId24" w:anchor="cdev14215-bib-0060" w:history="1">
        <w:r w:rsidRPr="00E476F3">
          <w:rPr>
            <w:rStyle w:val="Hyperlink"/>
          </w:rPr>
          <w:t>2007</w:t>
        </w:r>
      </w:hyperlink>
      <w:r w:rsidRPr="00FE342B">
        <w:rPr>
          <w:sz w:val="14"/>
        </w:rPr>
        <w:t xml:space="preserve">). </w:t>
      </w:r>
      <w:r w:rsidRPr="00FE342B">
        <w:rPr>
          <w:rStyle w:val="Emphasis"/>
        </w:rPr>
        <w:t>The concept of white ignorance as epistemology emerges from Charles Mills's work on the Racial Contract, wherein he describes ignorance as an “inverted epistemology” characterized by “pervasive patterns of not-seeing and not- knowing”</w:t>
      </w:r>
      <w:r w:rsidRPr="00E476F3">
        <w:t xml:space="preserve"> (Mills </w:t>
      </w:r>
      <w:hyperlink r:id="rId25" w:anchor="cdev14215-bib-0038" w:history="1">
        <w:r w:rsidRPr="00E476F3">
          <w:rPr>
            <w:rStyle w:val="Hyperlink"/>
          </w:rPr>
          <w:t>1997</w:t>
        </w:r>
      </w:hyperlink>
      <w:r w:rsidRPr="00E476F3">
        <w:t>, </w:t>
      </w:r>
      <w:hyperlink r:id="rId26" w:anchor="cdev14215-bib-0039" w:history="1">
        <w:r w:rsidRPr="00E476F3">
          <w:rPr>
            <w:rStyle w:val="Hyperlink"/>
          </w:rPr>
          <w:t>2003</w:t>
        </w:r>
      </w:hyperlink>
      <w:r w:rsidRPr="00E476F3">
        <w:t>, p. 46). Applebaum (</w:t>
      </w:r>
      <w:hyperlink r:id="rId27" w:anchor="cdev14215-bib-0005" w:history="1">
        <w:r w:rsidRPr="00E476F3">
          <w:rPr>
            <w:rStyle w:val="Hyperlink"/>
          </w:rPr>
          <w:t>2010</w:t>
        </w:r>
      </w:hyperlink>
      <w:r w:rsidRPr="00E476F3">
        <w:t xml:space="preserve">) similarly defines </w:t>
      </w:r>
      <w:r w:rsidRPr="00EB1BBB">
        <w:rPr>
          <w:rStyle w:val="Emphasis"/>
          <w:highlight w:val="green"/>
        </w:rPr>
        <w:t>white ignorance</w:t>
      </w:r>
      <w:r w:rsidRPr="00BF2E30">
        <w:rPr>
          <w:rStyle w:val="Emphasis"/>
        </w:rPr>
        <w:t xml:space="preserve"> as </w:t>
      </w:r>
      <w:r w:rsidRPr="00EB1BBB">
        <w:rPr>
          <w:rStyle w:val="Emphasis"/>
          <w:highlight w:val="green"/>
        </w:rPr>
        <w:t>a “pattern of (mis)understanding the world that is connected to and works to sustain systems of oppression and privilege</w:t>
      </w:r>
      <w:r>
        <w:t xml:space="preserve"> </w:t>
      </w:r>
      <w:r w:rsidRPr="00A17029">
        <w:rPr>
          <w:sz w:val="14"/>
        </w:rPr>
        <w:t xml:space="preserve">” (p. 37). In other words, </w:t>
      </w:r>
      <w:r w:rsidRPr="00BF2E30">
        <w:rPr>
          <w:rStyle w:val="Emphasis"/>
        </w:rPr>
        <w:t>white ignorance does not refer to a mere absence of knowledge but rather is in and of itself a particular way of knowing and being in the world that is deliberate and available because social structures support and endorse white ignorance as a form of knowledge</w:t>
      </w:r>
      <w:r w:rsidRPr="00A17029">
        <w:rPr>
          <w:sz w:val="14"/>
        </w:rPr>
        <w:t xml:space="preserve">  (Applebaum </w:t>
      </w:r>
      <w:hyperlink r:id="rId28" w:anchor="cdev14215-bib-0005" w:history="1">
        <w:r w:rsidRPr="00E476F3">
          <w:rPr>
            <w:rStyle w:val="Hyperlink"/>
          </w:rPr>
          <w:t>2010</w:t>
        </w:r>
      </w:hyperlink>
      <w:r w:rsidRPr="00A17029">
        <w:rPr>
          <w:sz w:val="14"/>
        </w:rPr>
        <w:t>). For instance, Mills (</w:t>
      </w:r>
      <w:hyperlink r:id="rId29" w:anchor="cdev14215-bib-0039" w:history="1">
        <w:r w:rsidRPr="00E476F3">
          <w:rPr>
            <w:rStyle w:val="Hyperlink"/>
          </w:rPr>
          <w:t>2003</w:t>
        </w:r>
      </w:hyperlink>
      <w:r w:rsidRPr="00A17029">
        <w:rPr>
          <w:sz w:val="14"/>
        </w:rPr>
        <w:t xml:space="preserve">) describes </w:t>
      </w:r>
      <w:r w:rsidRPr="00EB1BBB">
        <w:rPr>
          <w:rStyle w:val="Emphasis"/>
          <w:highlight w:val="green"/>
        </w:rPr>
        <w:t>white ignorance</w:t>
      </w:r>
      <w:r w:rsidRPr="00BF2E30">
        <w:rPr>
          <w:rStyle w:val="Emphasis"/>
        </w:rPr>
        <w:t xml:space="preserve"> as a “nonknowing which is not the innocent unawareness of truths to which there is no access but a self-and social shielding from racial realities” that </w:t>
      </w:r>
      <w:r w:rsidRPr="00EB1BBB">
        <w:rPr>
          <w:rStyle w:val="Emphasis"/>
          <w:highlight w:val="green"/>
        </w:rPr>
        <w:t>is made possible in a</w:t>
      </w:r>
      <w:r w:rsidRPr="00BF2E30">
        <w:rPr>
          <w:rStyle w:val="Emphasis"/>
        </w:rPr>
        <w:t xml:space="preserve"> white  </w:t>
      </w:r>
      <w:r w:rsidRPr="00EB1BBB">
        <w:rPr>
          <w:rStyle w:val="Emphasis"/>
          <w:highlight w:val="green"/>
        </w:rPr>
        <w:t>supremacist racial system</w:t>
      </w:r>
      <w:r w:rsidRPr="00A17029">
        <w:rPr>
          <w:sz w:val="14"/>
        </w:rPr>
        <w:t xml:space="preserve"> (p. 45). This particular form of </w:t>
      </w:r>
      <w:r w:rsidRPr="00EB1BBB">
        <w:rPr>
          <w:rStyle w:val="Emphasis"/>
          <w:highlight w:val="green"/>
        </w:rPr>
        <w:t>racial (not) knowing</w:t>
      </w:r>
      <w:r w:rsidRPr="00A17029">
        <w:rPr>
          <w:sz w:val="14"/>
        </w:rPr>
        <w:t xml:space="preserve"> avoids, distances, and </w:t>
      </w:r>
      <w:r w:rsidRPr="00EB1BBB">
        <w:rPr>
          <w:rStyle w:val="Emphasis"/>
          <w:highlight w:val="green"/>
        </w:rPr>
        <w:t>downplays</w:t>
      </w:r>
      <w:r w:rsidRPr="00A17029">
        <w:rPr>
          <w:rStyle w:val="Emphasis"/>
        </w:rPr>
        <w:t xml:space="preserve"> the </w:t>
      </w:r>
      <w:r w:rsidRPr="00EB1BBB">
        <w:rPr>
          <w:rStyle w:val="Emphasis"/>
          <w:highlight w:val="green"/>
        </w:rPr>
        <w:t>oppressive realities of white supremacy</w:t>
      </w:r>
      <w:r w:rsidRPr="00A17029">
        <w:rPr>
          <w:rStyle w:val="Emphasis"/>
        </w:rPr>
        <w:t xml:space="preserve"> </w:t>
      </w:r>
      <w:r w:rsidRPr="00EB1BBB">
        <w:rPr>
          <w:rStyle w:val="Emphasis"/>
          <w:highlight w:val="green"/>
        </w:rPr>
        <w:t>at</w:t>
      </w:r>
      <w:r w:rsidRPr="00A17029">
        <w:rPr>
          <w:rStyle w:val="Emphasis"/>
        </w:rPr>
        <w:t xml:space="preserve"> </w:t>
      </w:r>
      <w:r w:rsidRPr="00A17029">
        <w:rPr>
          <w:sz w:val="14"/>
        </w:rPr>
        <w:t>both the macro-level of</w:t>
      </w:r>
      <w:r w:rsidRPr="00A17029">
        <w:rPr>
          <w:rStyle w:val="Emphasis"/>
          <w:sz w:val="14"/>
        </w:rPr>
        <w:t xml:space="preserve"> </w:t>
      </w:r>
      <w:r w:rsidRPr="00EB1BBB">
        <w:rPr>
          <w:rStyle w:val="Emphasis"/>
          <w:highlight w:val="green"/>
        </w:rPr>
        <w:t>politics, social  institutions, and cultural practices</w:t>
      </w:r>
      <w:r w:rsidRPr="00EB1BBB">
        <w:rPr>
          <w:highlight w:val="green"/>
        </w:rPr>
        <w:t xml:space="preserve">, </w:t>
      </w:r>
      <w:r w:rsidRPr="00A17029">
        <w:t>and the micro-level of identity, attitudes, and behaviors (Coleman</w:t>
      </w:r>
      <w:r w:rsidRPr="00E476F3">
        <w:t>, Collins, and Bonam </w:t>
      </w:r>
      <w:hyperlink r:id="rId30" w:anchor="cdev14215-bib-0012" w:history="1">
        <w:r w:rsidRPr="00E476F3">
          <w:rPr>
            <w:rStyle w:val="Hyperlink"/>
          </w:rPr>
          <w:t>2021</w:t>
        </w:r>
      </w:hyperlink>
      <w:r w:rsidRPr="00E476F3">
        <w:t>; Leonardo </w:t>
      </w:r>
      <w:hyperlink r:id="rId31" w:anchor="cdev14215-bib-0033" w:history="1">
        <w:r w:rsidRPr="00E476F3">
          <w:rPr>
            <w:rStyle w:val="Hyperlink"/>
          </w:rPr>
          <w:t>2009</w:t>
        </w:r>
      </w:hyperlink>
      <w:r w:rsidRPr="00E476F3">
        <w:t>). In this way</w:t>
      </w:r>
      <w:r w:rsidRPr="00C304E5">
        <w:rPr>
          <w:rStyle w:val="Emphasis"/>
        </w:rPr>
        <w:t xml:space="preserve">,  </w:t>
      </w:r>
      <w:r w:rsidRPr="00EB1BBB">
        <w:rPr>
          <w:rStyle w:val="Emphasis"/>
          <w:highlight w:val="green"/>
        </w:rPr>
        <w:t>white</w:t>
      </w:r>
      <w:r w:rsidRPr="00EB1BBB">
        <w:rPr>
          <w:highlight w:val="green"/>
        </w:rPr>
        <w:t xml:space="preserve"> </w:t>
      </w:r>
      <w:r w:rsidRPr="00EB1BBB">
        <w:rPr>
          <w:rStyle w:val="Emphasis"/>
          <w:highlight w:val="green"/>
        </w:rPr>
        <w:t>ignorance is not a passive individual process but structural and intentional</w:t>
      </w:r>
      <w:r w:rsidRPr="00A17029">
        <w:rPr>
          <w:rStyle w:val="Emphasis"/>
        </w:rPr>
        <w:t xml:space="preserve"> (Corces-Zimmerman and Guida </w:t>
      </w:r>
      <w:hyperlink r:id="rId32" w:anchor="cdev14215-bib-0014" w:history="1">
        <w:r w:rsidRPr="00A17029">
          <w:rPr>
            <w:rStyle w:val="Emphasis"/>
          </w:rPr>
          <w:t>2023</w:t>
        </w:r>
      </w:hyperlink>
      <w:r w:rsidRPr="00A17029">
        <w:rPr>
          <w:rStyle w:val="Emphasis"/>
        </w:rPr>
        <w:t xml:space="preserve">). In sum, </w:t>
      </w:r>
      <w:r w:rsidRPr="00EB1BBB">
        <w:rPr>
          <w:rStyle w:val="Emphasis"/>
          <w:highlight w:val="green"/>
        </w:rPr>
        <w:t xml:space="preserve">an epistemology of white ignorance </w:t>
      </w:r>
      <w:r w:rsidRPr="00A17029">
        <w:rPr>
          <w:rStyle w:val="Emphasis"/>
        </w:rPr>
        <w:t xml:space="preserve">actively </w:t>
      </w:r>
      <w:r w:rsidRPr="00EB1BBB">
        <w:rPr>
          <w:rStyle w:val="Emphasis"/>
          <w:highlight w:val="green"/>
        </w:rPr>
        <w:t xml:space="preserve">maintains </w:t>
      </w:r>
      <w:r w:rsidRPr="00A17029">
        <w:rPr>
          <w:rStyle w:val="Emphasis"/>
        </w:rPr>
        <w:t>certain</w:t>
      </w:r>
      <w:r w:rsidRPr="00EB1BBB">
        <w:rPr>
          <w:rStyle w:val="Emphasis"/>
          <w:highlight w:val="green"/>
        </w:rPr>
        <w:t xml:space="preserve"> ways of knowing and seeing the self and society that are in </w:t>
      </w:r>
      <w:r w:rsidRPr="00A17029">
        <w:rPr>
          <w:rStyle w:val="Emphasis"/>
        </w:rPr>
        <w:t xml:space="preserve">service of </w:t>
      </w:r>
      <w:r w:rsidRPr="00EB1BBB">
        <w:rPr>
          <w:rStyle w:val="Emphasis"/>
          <w:highlight w:val="green"/>
        </w:rPr>
        <w:t>justif</w:t>
      </w:r>
      <w:r w:rsidRPr="00A17029">
        <w:rPr>
          <w:rStyle w:val="Emphasis"/>
        </w:rPr>
        <w:t>ying,</w:t>
      </w:r>
      <w:r w:rsidRPr="00A17029">
        <w:rPr>
          <w:rStyle w:val="Emphasis"/>
          <w:highlight w:val="yellow"/>
        </w:rPr>
        <w:t xml:space="preserve"> </w:t>
      </w:r>
      <w:r w:rsidRPr="00EB1BBB">
        <w:rPr>
          <w:rStyle w:val="Emphasis"/>
        </w:rPr>
        <w:t>up</w:t>
      </w:r>
      <w:r w:rsidRPr="00EB1BBB">
        <w:rPr>
          <w:rStyle w:val="Emphasis"/>
          <w:highlight w:val="green"/>
        </w:rPr>
        <w:t>holding, and (re)producing white racial domination</w:t>
      </w:r>
      <w:r>
        <w:t xml:space="preserve"> </w:t>
      </w:r>
      <w:r w:rsidRPr="00E476F3">
        <w:t xml:space="preserve"> (Mills </w:t>
      </w:r>
      <w:hyperlink r:id="rId33" w:anchor="cdev14215-bib-0040" w:history="1">
        <w:r w:rsidRPr="00E476F3">
          <w:rPr>
            <w:rStyle w:val="Hyperlink"/>
          </w:rPr>
          <w:t>2007</w:t>
        </w:r>
      </w:hyperlink>
      <w:r w:rsidRPr="00E476F3">
        <w:t xml:space="preserve">).In the current study, we bring the concept of white ignorance into conversation with developmental science to examine how the </w:t>
      </w:r>
      <w:r w:rsidRPr="00EB1BBB">
        <w:rPr>
          <w:rStyle w:val="Emphasis"/>
          <w:highlight w:val="green"/>
        </w:rPr>
        <w:t>structural practice of white ignorance  is learned</w:t>
      </w:r>
      <w:r w:rsidRPr="00E476F3">
        <w:t xml:space="preserve">, </w:t>
      </w:r>
      <w:r w:rsidRPr="00A17029">
        <w:rPr>
          <w:sz w:val="12"/>
        </w:rPr>
        <w:t>refashioned, and potentially resisted during adolescence. To do so, we apply a critical developmental lens (e.g., the m(ai)cro model of human development) that positions systems of power not as distant or distal in development, but as close and proximal, intimately experienced and negotiated in identity development (Rogers et al. </w:t>
      </w:r>
      <w:hyperlink r:id="rId34" w:anchor="cdev14215-bib-0053" w:history="1">
        <w:r w:rsidRPr="00E476F3">
          <w:rPr>
            <w:rStyle w:val="Hyperlink"/>
          </w:rPr>
          <w:t>2021</w:t>
        </w:r>
      </w:hyperlink>
      <w:r w:rsidRPr="00A17029">
        <w:rPr>
          <w:sz w:val="12"/>
        </w:rPr>
        <w:t xml:space="preserve">). The m(ai)cro model of human development situates all aspects of development in the macrosystem of white supremacy and anti-Blackness. In doing so, m(ai)cro demands simultaneous attention to the macro- and micro-systems </w:t>
      </w:r>
      <w:proofErr w:type="gramStart"/>
      <w:r w:rsidRPr="00A17029">
        <w:rPr>
          <w:sz w:val="12"/>
        </w:rPr>
        <w:t>in order to</w:t>
      </w:r>
      <w:proofErr w:type="gramEnd"/>
      <w:r w:rsidRPr="00A17029">
        <w:rPr>
          <w:sz w:val="12"/>
        </w:rPr>
        <w:t xml:space="preserve"> make visible how power and hierarchy surface in developmental processes, while at the same time underscoring the agency that individuals possess to respond, challenge, or resist dehumanizing systems. M(ai)cro also frames the racial macrosystem itself as a source of socialization, meaning that by virtue of children's development in a white supremacist society, they learn, encounter, and negotiate dominant racial scripts and ideologies that inform how they make meaning of themselves and others (Rogers et al. </w:t>
      </w:r>
      <w:hyperlink r:id="rId35" w:anchor="cdev14215-bib-0053" w:history="1">
        <w:r w:rsidRPr="00E476F3">
          <w:rPr>
            <w:rStyle w:val="Hyperlink"/>
          </w:rPr>
          <w:t>2021</w:t>
        </w:r>
      </w:hyperlink>
      <w:r w:rsidRPr="00A17029">
        <w:rPr>
          <w:sz w:val="12"/>
        </w:rPr>
        <w:t>; Rogers, Rosario, et al. </w:t>
      </w:r>
      <w:hyperlink r:id="rId36" w:anchor="cdev14215-bib-0067" w:history="1">
        <w:r w:rsidRPr="00E476F3">
          <w:rPr>
            <w:rStyle w:val="Hyperlink"/>
          </w:rPr>
          <w:t>2021</w:t>
        </w:r>
      </w:hyperlink>
      <w:r w:rsidRPr="00866579">
        <w:rPr>
          <w:sz w:val="12"/>
        </w:rPr>
        <w:t>).In the context of whiteness, a m(ai)cro white  ignorance lens is distinct from psychological approaches to studying white identity (Helms </w:t>
      </w:r>
      <w:hyperlink r:id="rId37" w:anchor="cdev14215-bib-0025" w:history="1">
        <w:r w:rsidRPr="00E476F3">
          <w:rPr>
            <w:rStyle w:val="Hyperlink"/>
          </w:rPr>
          <w:t>1995</w:t>
        </w:r>
      </w:hyperlink>
      <w:r w:rsidRPr="00866579">
        <w:rPr>
          <w:sz w:val="12"/>
        </w:rPr>
        <w:t>) and anti-racism (Hazelbaker et al. </w:t>
      </w:r>
      <w:hyperlink r:id="rId38" w:anchor="cdev14215-bib-0022" w:history="1">
        <w:r w:rsidRPr="00E476F3">
          <w:rPr>
            <w:rStyle w:val="Hyperlink"/>
          </w:rPr>
          <w:t>2022</w:t>
        </w:r>
      </w:hyperlink>
      <w:r w:rsidRPr="00866579">
        <w:rPr>
          <w:sz w:val="12"/>
        </w:rPr>
        <w:t>; Woolverton and Marks </w:t>
      </w:r>
      <w:hyperlink r:id="rId39" w:anchor="cdev14215-bib-0065" w:history="1">
        <w:r w:rsidRPr="00E476F3">
          <w:rPr>
            <w:rStyle w:val="Hyperlink"/>
          </w:rPr>
          <w:t>2024</w:t>
        </w:r>
      </w:hyperlink>
      <w:r w:rsidRPr="00866579">
        <w:rPr>
          <w:sz w:val="12"/>
        </w:rPr>
        <w:t>) because the individual is not the sole unit of analysis nor the starting point for interpretation (Rogers </w:t>
      </w:r>
      <w:hyperlink r:id="rId40" w:anchor="cdev14215-bib-0049" w:history="1">
        <w:r w:rsidRPr="00E476F3">
          <w:rPr>
            <w:rStyle w:val="Hyperlink"/>
          </w:rPr>
          <w:t>2018</w:t>
        </w:r>
      </w:hyperlink>
      <w:r w:rsidRPr="00866579">
        <w:rPr>
          <w:sz w:val="12"/>
        </w:rPr>
        <w:t>). In traditional developmental models, the white person's racial narrative or location on their journey toward anti-racism is the primary focus (Dull, Rogers, and Charlson </w:t>
      </w:r>
      <w:hyperlink r:id="rId41" w:anchor="cdev14215-bib-0017" w:history="1">
        <w:r w:rsidRPr="00E476F3">
          <w:rPr>
            <w:rStyle w:val="Hyperlink"/>
          </w:rPr>
          <w:t>2024</w:t>
        </w:r>
      </w:hyperlink>
      <w:r w:rsidRPr="00866579">
        <w:rPr>
          <w:sz w:val="12"/>
        </w:rPr>
        <w:t>). A m(ai)cro approach to studying whiteness differs in that it does not seek to demarcate “where” a white person is on a developmental set of stages or statuses, but rather the nature through which the macrosystem of white supremacy is (re)produced, maintained, and challenged within the micro-system. By doing so,  m(ai)cro is explicitly transactional in that it views self and society as “actively and jointly (re)constructed” making visible the recursive nature through which the macro and micro shape each other (Rogers </w:t>
      </w:r>
      <w:hyperlink r:id="rId42" w:anchor="cdev14215-bib-0049" w:history="1">
        <w:r w:rsidRPr="00E476F3">
          <w:rPr>
            <w:rStyle w:val="Hyperlink"/>
          </w:rPr>
          <w:t>2018</w:t>
        </w:r>
      </w:hyperlink>
      <w:r w:rsidRPr="00866579">
        <w:rPr>
          <w:sz w:val="12"/>
        </w:rPr>
        <w:t>, p. 2). Thus, taking a m(ai)cro perspective to white ignorance identifies the macrosystem of white supremacy as a central object of study and critique when investigating micro-level narratives of white identity (Rogers et al. </w:t>
      </w:r>
      <w:hyperlink r:id="rId43" w:anchor="cdev14215-bib-0053" w:history="1">
        <w:r w:rsidRPr="00E476F3">
          <w:rPr>
            <w:rStyle w:val="Hyperlink"/>
          </w:rPr>
          <w:t>2021</w:t>
        </w:r>
      </w:hyperlink>
      <w:r w:rsidRPr="00E476F3">
        <w:t>).</w:t>
      </w:r>
      <w:r>
        <w:t xml:space="preserve"> </w:t>
      </w:r>
      <w:r w:rsidRPr="00866579">
        <w:rPr>
          <w:sz w:val="12"/>
        </w:rPr>
        <w:t xml:space="preserve">1.2 </w:t>
      </w:r>
      <w:r w:rsidRPr="00EB1BBB">
        <w:rPr>
          <w:rStyle w:val="Emphasis"/>
          <w:highlight w:val="green"/>
        </w:rPr>
        <w:t>The Development of White Ignorance</w:t>
      </w:r>
      <w:r w:rsidRPr="00866579">
        <w:rPr>
          <w:sz w:val="12"/>
        </w:rPr>
        <w:t xml:space="preserve"> and White Identity During Adolescence </w:t>
      </w:r>
      <w:r w:rsidRPr="00EB1BBB">
        <w:rPr>
          <w:rStyle w:val="Emphasis"/>
          <w:highlight w:val="green"/>
        </w:rPr>
        <w:t>Foregroundin</w:t>
      </w:r>
      <w:r w:rsidRPr="00866579">
        <w:rPr>
          <w:sz w:val="12"/>
        </w:rPr>
        <w:t xml:space="preserve">g a m(ai)cro </w:t>
      </w:r>
      <w:r w:rsidRPr="00EB1BBB">
        <w:rPr>
          <w:rStyle w:val="Emphasis"/>
          <w:highlight w:val="green"/>
        </w:rPr>
        <w:t>white ignorance</w:t>
      </w:r>
      <w:r w:rsidRPr="00866579">
        <w:rPr>
          <w:rStyle w:val="Emphasis"/>
        </w:rPr>
        <w:t xml:space="preserve"> lens </w:t>
      </w:r>
      <w:r w:rsidRPr="00EB1BBB">
        <w:rPr>
          <w:rStyle w:val="Emphasis"/>
          <w:highlight w:val="green"/>
        </w:rPr>
        <w:t>in studies</w:t>
      </w:r>
      <w:r w:rsidRPr="00866579">
        <w:rPr>
          <w:sz w:val="12"/>
        </w:rPr>
        <w:t xml:space="preserve"> of white child and adolescent development </w:t>
      </w:r>
      <w:r w:rsidRPr="00EB1BBB">
        <w:rPr>
          <w:rStyle w:val="Emphasis"/>
          <w:highlight w:val="green"/>
        </w:rPr>
        <w:t>disrupts the notion of a “neutral” racial development</w:t>
      </w:r>
      <w:r w:rsidRPr="00866579">
        <w:rPr>
          <w:sz w:val="12"/>
        </w:rPr>
        <w:t>.  As opposed  to becoming more knowledgeable about racism and one's own racial identity (as is most often the case with children of color; Rogers et al. </w:t>
      </w:r>
      <w:hyperlink r:id="rId44" w:anchor="cdev14215-bib-0053" w:history="1">
        <w:r w:rsidRPr="00E476F3">
          <w:rPr>
            <w:rStyle w:val="Hyperlink"/>
          </w:rPr>
          <w:t>2021</w:t>
        </w:r>
      </w:hyperlink>
      <w:r w:rsidRPr="00866579">
        <w:rPr>
          <w:sz w:val="12"/>
        </w:rPr>
        <w:t>; Umaña-Taylor et al. </w:t>
      </w:r>
      <w:hyperlink r:id="rId45" w:anchor="cdev14215-bib-0061" w:history="1">
        <w:r w:rsidRPr="00E476F3">
          <w:rPr>
            <w:rStyle w:val="Hyperlink"/>
          </w:rPr>
          <w:t>2014</w:t>
        </w:r>
      </w:hyperlink>
      <w:r w:rsidRPr="00866579">
        <w:rPr>
          <w:sz w:val="12"/>
        </w:rPr>
        <w:t>), considerable research has shown that the normative trajectory for white children is learning to not know and not see the racial realities that shape themselves and society (e.g., Perry </w:t>
      </w:r>
      <w:hyperlink r:id="rId46" w:anchor="cdev14215-bib-0068" w:history="1">
        <w:r w:rsidRPr="00E476F3">
          <w:rPr>
            <w:rStyle w:val="Hyperlink"/>
          </w:rPr>
          <w:t>2002</w:t>
        </w:r>
      </w:hyperlink>
      <w:r w:rsidRPr="00866579">
        <w:rPr>
          <w:sz w:val="12"/>
        </w:rPr>
        <w:t>; Hagerman </w:t>
      </w:r>
      <w:hyperlink r:id="rId47" w:anchor="cdev14215-bib-0021" w:history="1">
        <w:r w:rsidRPr="00E476F3">
          <w:rPr>
            <w:rStyle w:val="Hyperlink"/>
          </w:rPr>
          <w:t>2018</w:t>
        </w:r>
      </w:hyperlink>
      <w:r w:rsidRPr="00866579">
        <w:rPr>
          <w:sz w:val="12"/>
        </w:rPr>
        <w:t>; Rogers, Moffitt, and Foo </w:t>
      </w:r>
      <w:hyperlink r:id="rId48" w:anchor="cdev14215-bib-0050" w:history="1">
        <w:r w:rsidRPr="00E476F3">
          <w:rPr>
            <w:rStyle w:val="Hyperlink"/>
          </w:rPr>
          <w:t>2021</w:t>
        </w:r>
      </w:hyperlink>
      <w:r w:rsidRPr="00866579">
        <w:rPr>
          <w:sz w:val="12"/>
        </w:rPr>
        <w:t>; Moffitt, Rogers, and Dastrup </w:t>
      </w:r>
      <w:hyperlink r:id="rId49" w:anchor="cdev14215-bib-0043" w:history="1">
        <w:r w:rsidRPr="00E476F3">
          <w:rPr>
            <w:rStyle w:val="Hyperlink"/>
          </w:rPr>
          <w:t>2021</w:t>
        </w:r>
      </w:hyperlink>
      <w:r w:rsidRPr="00866579">
        <w:rPr>
          <w:sz w:val="12"/>
        </w:rPr>
        <w:t>; Wray-Lake et al. </w:t>
      </w:r>
      <w:hyperlink r:id="rId50" w:anchor="cdev14215-bib-0069" w:history="1">
        <w:r w:rsidRPr="00E476F3">
          <w:rPr>
            <w:rStyle w:val="Hyperlink"/>
          </w:rPr>
          <w:t>2023</w:t>
        </w:r>
      </w:hyperlink>
      <w:r w:rsidRPr="00866579">
        <w:rPr>
          <w:sz w:val="12"/>
        </w:rPr>
        <w:t>; Dull, Rogers, and Charlson </w:t>
      </w:r>
      <w:hyperlink r:id="rId51" w:anchor="cdev14215-bib-0017" w:history="1">
        <w:r w:rsidRPr="00E476F3">
          <w:rPr>
            <w:rStyle w:val="Hyperlink"/>
          </w:rPr>
          <w:t>2024</w:t>
        </w:r>
      </w:hyperlink>
      <w:r w:rsidRPr="00866579">
        <w:rPr>
          <w:sz w:val="12"/>
        </w:rPr>
        <w:t>). For instance, Apfelbaum et al.'s (</w:t>
      </w:r>
      <w:hyperlink r:id="rId52" w:anchor="cdev14215-bib-0004" w:history="1">
        <w:r w:rsidRPr="00E476F3">
          <w:rPr>
            <w:rStyle w:val="Hyperlink"/>
          </w:rPr>
          <w:t>2008</w:t>
        </w:r>
      </w:hyperlink>
      <w:r w:rsidRPr="00866579">
        <w:rPr>
          <w:sz w:val="12"/>
        </w:rPr>
        <w:t xml:space="preserve">) experimental study speaks to the process through which (mostly white) children learn to “not” talk about race. The authors find that 8–9-year-old children outperform 10–11-year-old children on a task wherein naming and acknowledging racial differences facilitates one's performance. Though the authors describe this as a “developmental anomaly,” </w:t>
      </w:r>
      <w:r w:rsidRPr="00EB1BBB">
        <w:rPr>
          <w:rStyle w:val="Emphasis"/>
          <w:highlight w:val="green"/>
        </w:rPr>
        <w:t>a white ignorance lens interprets</w:t>
      </w:r>
      <w:r w:rsidRPr="00866579">
        <w:rPr>
          <w:sz w:val="12"/>
        </w:rPr>
        <w:t xml:space="preserve"> this as a predictable pattern given one's socialization into a </w:t>
      </w:r>
      <w:r w:rsidRPr="00EB1BBB">
        <w:rPr>
          <w:rStyle w:val="Emphasis"/>
          <w:highlight w:val="green"/>
        </w:rPr>
        <w:t>racial system</w:t>
      </w:r>
      <w:r w:rsidRPr="00EB1BBB">
        <w:rPr>
          <w:sz w:val="12"/>
          <w:highlight w:val="green"/>
        </w:rPr>
        <w:t xml:space="preserve"> </w:t>
      </w:r>
      <w:r w:rsidRPr="00EB1BBB">
        <w:rPr>
          <w:rStyle w:val="Emphasis"/>
          <w:highlight w:val="green"/>
        </w:rPr>
        <w:t>that encourages and rewards racial not knowing.</w:t>
      </w:r>
      <w:r w:rsidRPr="00E476F3">
        <w:t xml:space="preserve"> </w:t>
      </w:r>
    </w:p>
    <w:p w14:paraId="6E2E2C0A" w14:textId="77777777" w:rsidR="005E0E34" w:rsidRDefault="005E0E34" w:rsidP="00C475A1">
      <w:pPr>
        <w:pStyle w:val="Heading4"/>
      </w:pPr>
    </w:p>
    <w:p w14:paraId="1923CFA5" w14:textId="0098A8E6" w:rsidR="00C475A1" w:rsidRPr="00FA5AF3" w:rsidRDefault="006D5B83" w:rsidP="00C475A1">
      <w:pPr>
        <w:pStyle w:val="Heading4"/>
      </w:pPr>
      <w:r>
        <w:t xml:space="preserve"> </w:t>
      </w:r>
    </w:p>
    <w:p w14:paraId="4B25D77B" w14:textId="77777777" w:rsidR="00C475A1" w:rsidRPr="00C475A1" w:rsidRDefault="00C475A1" w:rsidP="00C475A1">
      <w:pPr>
        <w:rPr>
          <w:rFonts w:eastAsia="Calibri"/>
        </w:rPr>
      </w:pPr>
    </w:p>
    <w:p w14:paraId="740DE13B" w14:textId="3DDB489D" w:rsidR="00413A56" w:rsidRDefault="0074336D" w:rsidP="00C475A1">
      <w:pPr>
        <w:pStyle w:val="Heading4"/>
      </w:pPr>
      <w:r>
        <w:t>Maquiladoras</w:t>
      </w:r>
      <w:r w:rsidR="00C475A1">
        <w:t xml:space="preserve"> are the shadows of the resolution, </w:t>
      </w:r>
      <w:r w:rsidR="00413A56">
        <w:t>hidden under NAFTA</w:t>
      </w:r>
      <w:r w:rsidR="00AC7482">
        <w:t xml:space="preserve"> and US labor conditions for the drive of economic growth.</w:t>
      </w:r>
    </w:p>
    <w:p w14:paraId="75F7A252" w14:textId="39D37359" w:rsidR="00C475A1" w:rsidRPr="00C475A1" w:rsidRDefault="00C475A1" w:rsidP="00C475A1">
      <w:pPr>
        <w:keepNext/>
        <w:keepLines/>
        <w:spacing w:before="40" w:after="0"/>
        <w:outlineLvl w:val="3"/>
        <w:rPr>
          <w:rFonts w:eastAsia="SimSun" w:cs="Times New Roman"/>
          <w:b/>
          <w:i/>
          <w:sz w:val="26"/>
        </w:rPr>
      </w:pPr>
      <w:r w:rsidRPr="00C475A1">
        <w:rPr>
          <w:rFonts w:eastAsia="SimSun" w:cs="Times New Roman"/>
          <w:b/>
          <w:iCs/>
          <w:sz w:val="26"/>
        </w:rPr>
        <w:t xml:space="preserve">Refusing </w:t>
      </w:r>
      <w:proofErr w:type="gramStart"/>
      <w:r w:rsidRPr="00C475A1">
        <w:rPr>
          <w:rFonts w:eastAsia="SimSun" w:cs="Times New Roman"/>
          <w:b/>
          <w:iCs/>
          <w:sz w:val="26"/>
          <w:u w:val="single"/>
        </w:rPr>
        <w:t>mis</w:t>
      </w:r>
      <w:r w:rsidRPr="00C475A1">
        <w:rPr>
          <w:rFonts w:eastAsia="SimSun" w:cs="Times New Roman"/>
          <w:b/>
          <w:iCs/>
          <w:sz w:val="26"/>
        </w:rPr>
        <w:t>-recognition</w:t>
      </w:r>
      <w:proofErr w:type="gramEnd"/>
      <w:r w:rsidR="00AA5549">
        <w:rPr>
          <w:rFonts w:eastAsia="SimSun" w:cs="Times New Roman"/>
          <w:b/>
          <w:iCs/>
          <w:sz w:val="26"/>
        </w:rPr>
        <w:t xml:space="preserve"> </w:t>
      </w:r>
      <w:r w:rsidRPr="00C475A1">
        <w:rPr>
          <w:rFonts w:eastAsia="SimSun" w:cs="Times New Roman"/>
          <w:b/>
          <w:iCs/>
          <w:sz w:val="26"/>
        </w:rPr>
        <w:t>from the state in favor of embodied recognitions of femicide is a catalyst necessary for collective liberation</w:t>
      </w:r>
      <w:r w:rsidR="00AA5549">
        <w:rPr>
          <w:rFonts w:eastAsia="SimSun" w:cs="Times New Roman"/>
          <w:b/>
          <w:iCs/>
          <w:sz w:val="26"/>
        </w:rPr>
        <w:t xml:space="preserve"> and erotics </w:t>
      </w:r>
      <w:r w:rsidR="00DE64B2" w:rsidRPr="00DE64B2">
        <w:rPr>
          <w:rFonts w:eastAsiaTheme="majorEastAsia" w:cstheme="majorBidi"/>
          <w:b/>
          <w:iCs/>
          <w:sz w:val="26"/>
        </w:rPr>
        <w:t>of hard work and gendered labor into the reproduction and division of mind, body, soul and spirit, life and death</w:t>
      </w:r>
      <w:r w:rsidR="00DE64B2">
        <w:rPr>
          <w:rFonts w:eastAsiaTheme="majorEastAsia" w:cstheme="majorBidi"/>
          <w:b/>
          <w:iCs/>
          <w:sz w:val="26"/>
        </w:rPr>
        <w:t>.</w:t>
      </w:r>
    </w:p>
    <w:p w14:paraId="381B123C" w14:textId="144D5716" w:rsidR="00C475A1" w:rsidRPr="00C475A1" w:rsidRDefault="00C475A1" w:rsidP="00C475A1">
      <w:pPr>
        <w:rPr>
          <w:rFonts w:eastAsia="Calibri"/>
        </w:rPr>
      </w:pPr>
      <w:r w:rsidRPr="00C475A1">
        <w:rPr>
          <w:rFonts w:eastAsia="Calibri"/>
          <w:b/>
          <w:bCs/>
          <w:sz w:val="26"/>
        </w:rPr>
        <w:t>Pangol 21</w:t>
      </w:r>
      <w:r w:rsidRPr="00C475A1">
        <w:rPr>
          <w:rFonts w:eastAsia="Calibri"/>
        </w:rPr>
        <w:t>, Pangol, Melanie, "Colonial/Modern Gender System &amp; Femicides" (2021). Student Publications. 919. https://cupola.gettysburg.edu/student_scholarship/919 // ~kwudjwa~</w:t>
      </w:r>
      <w:r w:rsidR="00723DE7">
        <w:rPr>
          <w:rFonts w:eastAsia="Calibri"/>
        </w:rPr>
        <w:t xml:space="preserve"> replaced </w:t>
      </w:r>
      <w:r w:rsidR="00F77093">
        <w:rPr>
          <w:rFonts w:eastAsia="Calibri"/>
        </w:rPr>
        <w:t>abelist langauge with Ignorance</w:t>
      </w:r>
    </w:p>
    <w:p w14:paraId="019757C0" w14:textId="1EFDB24A" w:rsidR="00C475A1" w:rsidRPr="00C475A1" w:rsidRDefault="00C475A1" w:rsidP="00C475A1">
      <w:pPr>
        <w:rPr>
          <w:rFonts w:eastAsia="Calibri"/>
          <w:u w:val="single"/>
        </w:rPr>
      </w:pPr>
      <w:r w:rsidRPr="00C475A1">
        <w:rPr>
          <w:rFonts w:eastAsia="Calibri"/>
        </w:rPr>
        <w:lastRenderedPageBreak/>
        <w:t xml:space="preserve">to Gloria Anzaldua, “By the end of the nineteenth century, powerful landowners in Mexico, in partnership with U.S. colonizing companies, had dispossessed millions of indigenous nations out of their lands--- The Mexican government and wealthy growers are inpartnership with American industries which own factories known as maquiladoras. One-fourth of all Mexicans work at the maquiladoras and most happen to be young women”16. </w:t>
      </w:r>
      <w:r w:rsidRPr="00C475A1">
        <w:rPr>
          <w:rFonts w:eastAsia="Calibri"/>
          <w:u w:val="single"/>
        </w:rPr>
        <w:t>In a world reconfigured by the colonial project, the foundations of Latin American and Latinx feminist claims are found in feminist reflections on gender and differenc</w:t>
      </w:r>
      <w:r w:rsidRPr="00C475A1">
        <w:rPr>
          <w:rFonts w:eastAsia="Calibri"/>
        </w:rPr>
        <w:t>e17. Since colonialism required the invention of race, gender, and the regulation of sexuality to produce capitalist modernity</w:t>
      </w:r>
      <w:proofErr w:type="gramStart"/>
      <w:r w:rsidRPr="00C475A1">
        <w:rPr>
          <w:rFonts w:eastAsia="Calibri"/>
        </w:rPr>
        <w:t>18 ,</w:t>
      </w:r>
      <w:proofErr w:type="gramEnd"/>
      <w:r w:rsidRPr="00C475A1">
        <w:rPr>
          <w:rFonts w:eastAsia="Calibri"/>
        </w:rPr>
        <w:t xml:space="preserve"> </w:t>
      </w:r>
      <w:r w:rsidRPr="00C475A1">
        <w:rPr>
          <w:rFonts w:eastAsia="Calibri"/>
          <w:u w:val="single"/>
        </w:rPr>
        <w:t>the story of Latin America and the Caribbean cannot be understood outside the context of U.S. interventionism, which undergirds the production of empire initiated by the seizure of Native lands and the project of slaver</w:t>
      </w:r>
      <w:r w:rsidRPr="00C475A1">
        <w:rPr>
          <w:rFonts w:eastAsia="Calibri"/>
        </w:rPr>
        <w:t>y</w:t>
      </w:r>
      <w:r w:rsidR="00740F1A">
        <w:rPr>
          <w:rFonts w:eastAsia="Calibri"/>
        </w:rPr>
        <w:t xml:space="preserve"> </w:t>
      </w:r>
      <w:r w:rsidRPr="00C475A1">
        <w:rPr>
          <w:rFonts w:eastAsia="Calibri"/>
        </w:rPr>
        <w:t xml:space="preserve">19. Hence, </w:t>
      </w:r>
      <w:r w:rsidRPr="00C475A1">
        <w:rPr>
          <w:rFonts w:eastAsia="Calibri"/>
          <w:u w:val="single"/>
        </w:rPr>
        <w:t>the role of the U.S. in Latin American and Caribbean politics exemplifies the shift of power dynamics from models of colonialism to imperialism, which continue to characterize U.S. involvement in the region to this day</w:t>
      </w:r>
      <w:r w:rsidRPr="00C475A1">
        <w:rPr>
          <w:rFonts w:eastAsia="Calibri"/>
        </w:rPr>
        <w:t xml:space="preserve">. The colonial models of property were legitimized by Aristotle's concept of “natural slave.”21 </w:t>
      </w:r>
      <w:r w:rsidRPr="00C475A1">
        <w:rPr>
          <w:rFonts w:eastAsia="Calibri"/>
          <w:u w:val="single"/>
        </w:rPr>
        <w:t>In the Americas, the concept of the natural slave transformed into Sepulveda’s “natural law”; at the same time, the concept developed beyond the systems of trans-Atlantic colonial modernity and into the contemporary system through which the United States has been the neoimperial power and where its intervention with Latin America has been displacing indigenous nations for the sake neoliberal globalization</w:t>
      </w:r>
      <w:r w:rsidRPr="00C475A1">
        <w:rPr>
          <w:rFonts w:eastAsia="Calibri"/>
        </w:rPr>
        <w:t xml:space="preserve"> . </w:t>
      </w:r>
      <w:r w:rsidRPr="00413A56">
        <w:rPr>
          <w:rStyle w:val="Emphasis"/>
          <w:highlight w:val="green"/>
        </w:rPr>
        <w:t>Anti-femicide scholars</w:t>
      </w:r>
      <w:r w:rsidRPr="00413A56">
        <w:rPr>
          <w:rStyle w:val="Emphasis"/>
        </w:rPr>
        <w:t xml:space="preserve"> have </w:t>
      </w:r>
      <w:r w:rsidRPr="00413A56">
        <w:rPr>
          <w:rStyle w:val="Emphasis"/>
          <w:highlight w:val="green"/>
        </w:rPr>
        <w:t>linked</w:t>
      </w:r>
      <w:r w:rsidRPr="00413A56">
        <w:rPr>
          <w:rStyle w:val="Emphasis"/>
        </w:rPr>
        <w:t xml:space="preserve"> the </w:t>
      </w:r>
      <w:r w:rsidRPr="00413A56">
        <w:rPr>
          <w:rStyle w:val="Emphasis"/>
          <w:highlight w:val="green"/>
        </w:rPr>
        <w:t>femicides to</w:t>
      </w:r>
      <w:r w:rsidRPr="00C475A1">
        <w:rPr>
          <w:rFonts w:eastAsia="Calibri"/>
        </w:rPr>
        <w:t xml:space="preserve"> the inauguration of the North American Free Trade Agreement </w:t>
      </w:r>
      <w:r w:rsidRPr="00413A56">
        <w:rPr>
          <w:rStyle w:val="Emphasis"/>
          <w:highlight w:val="green"/>
        </w:rPr>
        <w:t>(NAFTA)</w:t>
      </w:r>
      <w:r w:rsidRPr="00C475A1">
        <w:rPr>
          <w:rFonts w:eastAsia="Calibri"/>
        </w:rPr>
        <w:t xml:space="preserve"> in 1994 among theUnited States, Canada, and Mexico24. After the </w:t>
      </w:r>
      <w:r w:rsidRPr="00413A56">
        <w:rPr>
          <w:rStyle w:val="Emphasis"/>
          <w:highlight w:val="green"/>
        </w:rPr>
        <w:t>NAFTA trade</w:t>
      </w:r>
      <w:r w:rsidRPr="00C475A1">
        <w:rPr>
          <w:rFonts w:eastAsia="Calibri"/>
        </w:rPr>
        <w:t xml:space="preserve"> was signed, many </w:t>
      </w:r>
      <w:r w:rsidRPr="00413A56">
        <w:rPr>
          <w:rStyle w:val="Emphasis"/>
          <w:highlight w:val="green"/>
        </w:rPr>
        <w:t>U.S.</w:t>
      </w:r>
      <w:r w:rsidRPr="00413A56">
        <w:rPr>
          <w:rStyle w:val="Emphasis"/>
        </w:rPr>
        <w:t xml:space="preserve"> technology </w:t>
      </w:r>
      <w:r w:rsidRPr="00413A56">
        <w:rPr>
          <w:rStyle w:val="Emphasis"/>
          <w:highlight w:val="green"/>
        </w:rPr>
        <w:t>companies set up a series of assembly plants called maquiladoras at Mexico’s northern border</w:t>
      </w:r>
      <w:r w:rsidRPr="00413A56">
        <w:rPr>
          <w:rStyle w:val="Emphasis"/>
        </w:rPr>
        <w:t xml:space="preserve">. </w:t>
      </w:r>
      <w:r w:rsidRPr="00413A56">
        <w:rPr>
          <w:rStyle w:val="Emphasis"/>
          <w:highlight w:val="green"/>
        </w:rPr>
        <w:t>The products</w:t>
      </w:r>
      <w:r w:rsidRPr="00413A56">
        <w:rPr>
          <w:rStyle w:val="Emphasis"/>
        </w:rPr>
        <w:t xml:space="preserve"> manufactured in countries outside of the American continent </w:t>
      </w:r>
      <w:r w:rsidRPr="00413A56">
        <w:rPr>
          <w:rStyle w:val="Emphasis"/>
          <w:highlight w:val="green"/>
        </w:rPr>
        <w:t>are taken to the maquiladoras to be assembled</w:t>
      </w:r>
      <w:r w:rsidRPr="00413A56">
        <w:rPr>
          <w:rStyle w:val="Emphasis"/>
        </w:rPr>
        <w:t>—</w:t>
      </w:r>
      <w:r w:rsidRPr="00413A56">
        <w:rPr>
          <w:rStyle w:val="Emphasis"/>
          <w:highlight w:val="green"/>
        </w:rPr>
        <w:t>with low labor costs</w:t>
      </w:r>
      <w:r w:rsidRPr="00413A56">
        <w:rPr>
          <w:rStyle w:val="Emphasis"/>
        </w:rPr>
        <w:t>—</w:t>
      </w:r>
      <w:r w:rsidRPr="00413A56">
        <w:rPr>
          <w:rStyle w:val="Emphasis"/>
          <w:highlight w:val="green"/>
        </w:rPr>
        <w:t>and then transported to the United State</w:t>
      </w:r>
      <w:r w:rsidRPr="00C475A1">
        <w:rPr>
          <w:rFonts w:eastAsia="Calibri"/>
          <w:highlight w:val="green"/>
          <w:u w:val="single"/>
        </w:rPr>
        <w:t>s</w:t>
      </w:r>
      <w:r w:rsidRPr="00C475A1">
        <w:rPr>
          <w:rFonts w:eastAsia="Calibri"/>
        </w:rPr>
        <w:t xml:space="preserve">25. </w:t>
      </w:r>
      <w:r w:rsidRPr="00846C92">
        <w:rPr>
          <w:rStyle w:val="Emphasis"/>
        </w:rPr>
        <w:t xml:space="preserve">The ramifications of </w:t>
      </w:r>
      <w:r w:rsidRPr="002D0ED5">
        <w:rPr>
          <w:rStyle w:val="Emphasis"/>
          <w:highlight w:val="green"/>
        </w:rPr>
        <w:t>NAFTA signi</w:t>
      </w:r>
      <w:r w:rsidRPr="00846C92">
        <w:rPr>
          <w:rStyle w:val="Emphasis"/>
        </w:rPr>
        <w:t xml:space="preserve">fied a </w:t>
      </w:r>
      <w:r w:rsidRPr="002D0ED5">
        <w:rPr>
          <w:rStyle w:val="Emphasis"/>
          <w:highlight w:val="green"/>
        </w:rPr>
        <w:t>hegemonic racist</w:t>
      </w:r>
      <w:r w:rsidRPr="00846C92">
        <w:rPr>
          <w:rStyle w:val="Emphasis"/>
        </w:rPr>
        <w:t xml:space="preserve"> </w:t>
      </w:r>
      <w:r w:rsidRPr="002D0ED5">
        <w:rPr>
          <w:rStyle w:val="Emphasis"/>
          <w:highlight w:val="green"/>
        </w:rPr>
        <w:t>colonial and gender system</w:t>
      </w:r>
      <w:r w:rsidRPr="00846C92">
        <w:rPr>
          <w:rStyle w:val="Emphasis"/>
        </w:rPr>
        <w:t xml:space="preserve"> th</w:t>
      </w:r>
      <w:r w:rsidRPr="002D0ED5">
        <w:rPr>
          <w:rStyle w:val="Emphasis"/>
          <w:highlight w:val="green"/>
        </w:rPr>
        <w:t>at has</w:t>
      </w:r>
      <w:r w:rsidRPr="00846C92">
        <w:rPr>
          <w:rStyle w:val="Emphasis"/>
        </w:rPr>
        <w:t xml:space="preserve"> had </w:t>
      </w:r>
      <w:r w:rsidRPr="002D0ED5">
        <w:rPr>
          <w:rStyle w:val="Emphasis"/>
          <w:highlight w:val="green"/>
        </w:rPr>
        <w:t>an impact on t</w:t>
      </w:r>
      <w:r w:rsidRPr="002D0ED5">
        <w:rPr>
          <w:rStyle w:val="Emphasis"/>
        </w:rPr>
        <w:t>he</w:t>
      </w:r>
      <w:r w:rsidRPr="00846C92">
        <w:rPr>
          <w:rStyle w:val="Emphasis"/>
        </w:rPr>
        <w:t xml:space="preserve"> </w:t>
      </w:r>
      <w:r w:rsidRPr="002D0ED5">
        <w:rPr>
          <w:rStyle w:val="Emphasis"/>
          <w:highlight w:val="green"/>
        </w:rPr>
        <w:t>labor</w:t>
      </w:r>
      <w:r w:rsidRPr="00846C92">
        <w:rPr>
          <w:rStyle w:val="Emphasis"/>
        </w:rPr>
        <w:t xml:space="preserve"> system</w:t>
      </w:r>
      <w:r w:rsidRPr="002D0ED5">
        <w:rPr>
          <w:rStyle w:val="Emphasis"/>
          <w:highlight w:val="green"/>
        </w:rPr>
        <w:t xml:space="preserve">, </w:t>
      </w:r>
      <w:proofErr w:type="gramStart"/>
      <w:r w:rsidRPr="002D0ED5">
        <w:rPr>
          <w:rStyle w:val="Emphasis"/>
          <w:highlight w:val="green"/>
        </w:rPr>
        <w:t>in particular</w:t>
      </w:r>
      <w:r w:rsidRPr="00846C92">
        <w:rPr>
          <w:rStyle w:val="Emphasis"/>
        </w:rPr>
        <w:t xml:space="preserve"> how</w:t>
      </w:r>
      <w:proofErr w:type="gramEnd"/>
      <w:r w:rsidRPr="00846C92">
        <w:rPr>
          <w:rStyle w:val="Emphasis"/>
        </w:rPr>
        <w:t xml:space="preserve"> the </w:t>
      </w:r>
      <w:r w:rsidRPr="002D0ED5">
        <w:rPr>
          <w:rStyle w:val="Emphasis"/>
          <w:highlight w:val="green"/>
        </w:rPr>
        <w:t>labor</w:t>
      </w:r>
      <w:r w:rsidRPr="00846C92">
        <w:rPr>
          <w:rStyle w:val="Emphasis"/>
        </w:rPr>
        <w:t xml:space="preserve"> is </w:t>
      </w:r>
      <w:r w:rsidRPr="002D0ED5">
        <w:rPr>
          <w:rStyle w:val="Emphasis"/>
          <w:highlight w:val="green"/>
        </w:rPr>
        <w:t>structured</w:t>
      </w:r>
      <w:r w:rsidRPr="00846C92">
        <w:rPr>
          <w:rStyle w:val="Emphasis"/>
        </w:rPr>
        <w:t xml:space="preserve"> to disproportionately put at-risk black and brown female bodies in relation to hegemonic notions of private and public spheres26 </w:t>
      </w:r>
      <w:r w:rsidRPr="002D0ED5">
        <w:rPr>
          <w:rStyle w:val="Emphasis"/>
          <w:highlight w:val="green"/>
        </w:rPr>
        <w:t>that encompass femicide</w:t>
      </w:r>
      <w:r w:rsidRPr="00846C92">
        <w:rPr>
          <w:rStyle w:val="Emphasis"/>
        </w:rPr>
        <w:t>. As a result, to analyze from the standpoint of intersectionality theory</w:t>
      </w:r>
      <w:r w:rsidRPr="00C475A1">
        <w:rPr>
          <w:rFonts w:eastAsia="Calibri"/>
          <w:u w:val="single"/>
        </w:rPr>
        <w:t xml:space="preserve"> </w:t>
      </w:r>
      <w:r w:rsidRPr="00C475A1">
        <w:rPr>
          <w:rFonts w:eastAsia="Calibri"/>
          <w:b/>
          <w:iCs/>
          <w:highlight w:val="green"/>
          <w:u w:val="single"/>
        </w:rPr>
        <w:t>to understand the labor market experience of black and brown women, it is essential to address</w:t>
      </w:r>
      <w:r w:rsidRPr="00C475A1">
        <w:rPr>
          <w:rFonts w:eastAsia="Calibri"/>
          <w:b/>
          <w:iCs/>
          <w:u w:val="single"/>
        </w:rPr>
        <w:t xml:space="preserve"> both </w:t>
      </w:r>
      <w:r w:rsidRPr="00C475A1">
        <w:rPr>
          <w:rFonts w:eastAsia="Calibri"/>
          <w:b/>
          <w:iCs/>
          <w:highlight w:val="green"/>
          <w:u w:val="single"/>
        </w:rPr>
        <w:t>the maquiladora</w:t>
      </w:r>
      <w:r w:rsidRPr="00C475A1">
        <w:rPr>
          <w:rFonts w:eastAsia="Calibri"/>
          <w:b/>
          <w:iCs/>
          <w:u w:val="single"/>
        </w:rPr>
        <w:t xml:space="preserve"> space </w:t>
      </w:r>
      <w:r w:rsidRPr="00C475A1">
        <w:rPr>
          <w:rFonts w:eastAsia="Calibri"/>
          <w:b/>
          <w:iCs/>
          <w:highlight w:val="green"/>
          <w:u w:val="single"/>
        </w:rPr>
        <w:t>as a site where the construction and reproduction of race/ethnicity, gender, and class takes place</w:t>
      </w:r>
      <w:r w:rsidRPr="00C475A1">
        <w:rPr>
          <w:rFonts w:eastAsia="Calibri"/>
          <w:u w:val="single"/>
        </w:rPr>
        <w:t xml:space="preserve">, and how the </w:t>
      </w:r>
      <w:r w:rsidRPr="00C475A1">
        <w:rPr>
          <w:rFonts w:eastAsia="Calibri"/>
          <w:b/>
          <w:iCs/>
          <w:highlight w:val="green"/>
          <w:u w:val="single"/>
        </w:rPr>
        <w:t>recognition of interconnected marginalizing systems can lead to the collective liberation and destruction of</w:t>
      </w:r>
      <w:r w:rsidRPr="00C475A1">
        <w:rPr>
          <w:rFonts w:eastAsia="Calibri"/>
          <w:u w:val="single"/>
        </w:rPr>
        <w:t xml:space="preserve"> the political-economic system of </w:t>
      </w:r>
      <w:r w:rsidRPr="00C475A1">
        <w:rPr>
          <w:rFonts w:eastAsia="Calibri"/>
          <w:b/>
          <w:iCs/>
          <w:highlight w:val="green"/>
          <w:u w:val="single"/>
        </w:rPr>
        <w:t>capitalism, imperialism, and patriarchy</w:t>
      </w:r>
      <w:r w:rsidRPr="00C475A1">
        <w:rPr>
          <w:rFonts w:eastAsia="Calibri"/>
        </w:rPr>
        <w:t xml:space="preserve"> . According to Rita Laura Segato’s theory of race, race amounts to a certificate of origin that individuals carry on their bodies. It is in this sense that </w:t>
      </w:r>
      <w:r w:rsidRPr="00C475A1">
        <w:rPr>
          <w:rFonts w:eastAsia="Calibri"/>
          <w:highlight w:val="green"/>
          <w:u w:val="single"/>
        </w:rPr>
        <w:t>Latin Americans are embodied landscapes</w:t>
      </w:r>
      <w:r w:rsidRPr="00C475A1">
        <w:rPr>
          <w:rFonts w:eastAsia="Calibri"/>
        </w:rPr>
        <w:t xml:space="preserve">: people </w:t>
      </w:r>
      <w:r w:rsidRPr="00C475A1">
        <w:rPr>
          <w:rFonts w:eastAsia="Calibri"/>
          <w:highlight w:val="green"/>
          <w:u w:val="single"/>
        </w:rPr>
        <w:t>who carry the historical mark of conquest, defeat, and colonization on their bodies</w:t>
      </w:r>
      <w:r w:rsidRPr="00C475A1">
        <w:rPr>
          <w:rFonts w:eastAsia="Calibri"/>
        </w:rPr>
        <w:t xml:space="preserve">. Furthermore, in the construction of race as a bodily mark that projects the colonized landscape onto the body, it is possible to assert that </w:t>
      </w:r>
      <w:r w:rsidRPr="00C475A1">
        <w:rPr>
          <w:rFonts w:eastAsia="Calibri"/>
          <w:u w:val="single"/>
        </w:rPr>
        <w:t>the hegemonic gender system adds an additional mark to women’s bodies that establish their captivity</w:t>
      </w:r>
      <w:r w:rsidRPr="00C475A1">
        <w:rPr>
          <w:rFonts w:eastAsia="Calibri"/>
        </w:rPr>
        <w:t xml:space="preserve">. Particularly, the </w:t>
      </w:r>
      <w:r w:rsidRPr="0038412F">
        <w:rPr>
          <w:rStyle w:val="Emphasis"/>
          <w:highlight w:val="green"/>
        </w:rPr>
        <w:t>creation of antagonistic relations between black and brown people tapped into existing myths that recalled women’s supposedly inherent flaws to justify their punishment, disciplining, and captivity</w:t>
      </w:r>
      <w:r w:rsidRPr="0038412F">
        <w:rPr>
          <w:rStyle w:val="Emphasis"/>
        </w:rPr>
        <w:t>.</w:t>
      </w:r>
      <w:r w:rsidRPr="00C475A1">
        <w:rPr>
          <w:rFonts w:eastAsia="Calibri"/>
        </w:rPr>
        <w:t xml:space="preserve"> </w:t>
      </w:r>
      <w:r w:rsidRPr="00C475A1">
        <w:rPr>
          <w:rFonts w:eastAsia="Calibri"/>
          <w:u w:val="single"/>
        </w:rPr>
        <w:t xml:space="preserve">Therefore, </w:t>
      </w:r>
      <w:r w:rsidRPr="0086764F">
        <w:rPr>
          <w:rStyle w:val="Emphasis"/>
        </w:rPr>
        <w:t>the separation of public and domestic space both privatized and minoritized indigenous and black women, making them extremely vulnerable to masculine violence. In</w:t>
      </w:r>
      <w:r w:rsidRPr="00C475A1">
        <w:rPr>
          <w:rFonts w:eastAsia="Calibri"/>
          <w:u w:val="single"/>
        </w:rPr>
        <w:t xml:space="preserve"> Ciudad Juárez, economic prosperity became highly concentrated around industrial parks and the city center, both of which gained better services, tax cuts, and land concessions in return for their investment</w:t>
      </w:r>
      <w:r w:rsidRPr="00C475A1">
        <w:rPr>
          <w:rFonts w:eastAsia="Calibri"/>
        </w:rPr>
        <w:t xml:space="preserve">. In contrast, </w:t>
      </w:r>
      <w:proofErr w:type="gramStart"/>
      <w:r w:rsidRPr="00C475A1">
        <w:rPr>
          <w:rFonts w:eastAsia="Calibri"/>
          <w:u w:val="single"/>
        </w:rPr>
        <w:t>the majority of</w:t>
      </w:r>
      <w:proofErr w:type="gramEnd"/>
      <w:r w:rsidRPr="00C475A1">
        <w:rPr>
          <w:rFonts w:eastAsia="Calibri"/>
          <w:u w:val="single"/>
        </w:rPr>
        <w:t xml:space="preserve"> the maquiladora workforce live in slums located in the city’s outskirts. Slums feature poorly finished brick houses and dwelling spaces built out of discarded and shoddy materials</w:t>
      </w:r>
      <w:r w:rsidRPr="00C475A1">
        <w:rPr>
          <w:rFonts w:eastAsia="Calibri"/>
        </w:rPr>
        <w:t xml:space="preserve">. Neighborhoods lack paved roads and basic services, including clean water, electricity, sewage, garbage collection, and efficient public transportation. In fact, the point about the stark contrast between industrial parks and slums is not merely that one is rich and the other poor, but rather that the city’s spatial arrangements are designed to make industrial parks thrive while the material environments available for workers and average people imperil their subsistence36. Therefore, </w:t>
      </w:r>
      <w:r w:rsidRPr="00C475A1">
        <w:rPr>
          <w:rFonts w:eastAsia="Calibri"/>
          <w:u w:val="single"/>
        </w:rPr>
        <w:t>the existing spatial arrangement in Juárez reinforces the dehumanization of racialized, gendered, and sexualized peoples and reduces them to being one more cog in an enormous production machine: the ultra-capitalist city</w:t>
      </w:r>
      <w:r w:rsidRPr="00C475A1">
        <w:rPr>
          <w:rFonts w:eastAsia="Calibri"/>
        </w:rPr>
        <w:t>. Moreover, the contrast between these two public spaces demonstrates that neoliberal and neo-imperial policies of capitalism create violence not only on human beings but on ecosystems. The plantation monoculture system, as the provenance of capitalism as the world economic system38, addresses how the economy system of the plantation has aligned and transformed into the economy of the urban landscape</w:t>
      </w:r>
      <w:proofErr w:type="gramStart"/>
      <w:r w:rsidRPr="00C475A1">
        <w:rPr>
          <w:rFonts w:eastAsia="Calibri"/>
        </w:rPr>
        <w:t>39 .</w:t>
      </w:r>
      <w:proofErr w:type="gramEnd"/>
      <w:r w:rsidRPr="00C475A1">
        <w:rPr>
          <w:rFonts w:eastAsia="Calibri"/>
        </w:rPr>
        <w:t xml:space="preserve"> One transformation has been the transfer of violence against black bodies from the plantation to the urban setting. Additionally, in the border having a trajectory of displacing indigenous nations, the </w:t>
      </w:r>
      <w:r w:rsidRPr="00C475A1">
        <w:rPr>
          <w:rFonts w:eastAsia="Calibri"/>
          <w:highlight w:val="green"/>
          <w:u w:val="single"/>
        </w:rPr>
        <w:t xml:space="preserve">violence </w:t>
      </w:r>
      <w:r w:rsidRPr="00C475A1">
        <w:t>is</w:t>
      </w:r>
      <w:r w:rsidRPr="00C475A1">
        <w:rPr>
          <w:rFonts w:eastAsia="Calibri"/>
          <w:highlight w:val="green"/>
          <w:u w:val="single"/>
        </w:rPr>
        <w:t xml:space="preserve"> </w:t>
      </w:r>
      <w:r w:rsidRPr="00C475A1">
        <w:rPr>
          <w:rFonts w:eastAsia="Calibri"/>
          <w:highlight w:val="green"/>
          <w:u w:val="single"/>
        </w:rPr>
        <w:lastRenderedPageBreak/>
        <w:t xml:space="preserve">transformed into the industrial labor system where </w:t>
      </w:r>
      <w:r w:rsidRPr="00DB7158">
        <w:rPr>
          <w:rFonts w:eastAsia="Calibri"/>
          <w:u w:val="single"/>
        </w:rPr>
        <w:t xml:space="preserve">the presence of the </w:t>
      </w:r>
      <w:r w:rsidRPr="00C475A1">
        <w:rPr>
          <w:rFonts w:eastAsia="Calibri"/>
          <w:highlight w:val="green"/>
          <w:u w:val="single"/>
        </w:rPr>
        <w:t xml:space="preserve">maquiladoras </w:t>
      </w:r>
      <w:r w:rsidRPr="00AB446F">
        <w:rPr>
          <w:rFonts w:eastAsia="Calibri"/>
          <w:u w:val="single"/>
        </w:rPr>
        <w:t>has</w:t>
      </w:r>
      <w:r w:rsidRPr="00C475A1">
        <w:rPr>
          <w:rFonts w:eastAsia="Calibri"/>
          <w:highlight w:val="green"/>
          <w:u w:val="single"/>
        </w:rPr>
        <w:t xml:space="preserve"> </w:t>
      </w:r>
      <w:r w:rsidRPr="00C475A1">
        <w:rPr>
          <w:rStyle w:val="Emphasis"/>
        </w:rPr>
        <w:t>not only</w:t>
      </w:r>
      <w:r w:rsidRPr="00C475A1">
        <w:rPr>
          <w:rFonts w:eastAsia="Calibri"/>
          <w:highlight w:val="green"/>
          <w:u w:val="single"/>
        </w:rPr>
        <w:t xml:space="preserve"> displaced and restricted people to assigned locations but has also perpetuated violence against dark and brown women.</w:t>
      </w:r>
      <w:r w:rsidRPr="00C475A1">
        <w:rPr>
          <w:rFonts w:eastAsia="Calibri"/>
        </w:rPr>
        <w:t xml:space="preserve"> Therefore, the dichotomous hierarchies that became woven into the historicity of relationships between people are a product of the global plantation monoculture and as a result, such a system not only imposes binary structures but is a threat to life itself. According to Yomaira Figueroa </w:t>
      </w:r>
      <w:r w:rsidRPr="00C475A1">
        <w:rPr>
          <w:rFonts w:eastAsia="Calibri"/>
          <w:u w:val="single"/>
        </w:rPr>
        <w:t>the concept of destierro captures the complex and multiple forms of dispossession of home for Afro- and indigenous-descended people in the modern world, and in the global system of the plantation monoculture hierarchies of gender and race are contingent on the dispossession of people and the disposal of bodies in the urban spaces</w:t>
      </w:r>
      <w:r w:rsidRPr="00C475A1">
        <w:rPr>
          <w:rFonts w:eastAsia="Calibri"/>
        </w:rPr>
        <w:t>. In addressing that the exploitation of people and the ecosystem maintains capitalism as the world economic system</w:t>
      </w:r>
      <w:proofErr w:type="gramStart"/>
      <w:r w:rsidRPr="00C475A1">
        <w:rPr>
          <w:rFonts w:eastAsia="Calibri"/>
        </w:rPr>
        <w:t>44 ,</w:t>
      </w:r>
      <w:proofErr w:type="gramEnd"/>
      <w:r w:rsidRPr="00C475A1">
        <w:rPr>
          <w:rFonts w:eastAsia="Calibri"/>
        </w:rPr>
        <w:t xml:space="preserve"> it is essential to take an interdependent humanity approach centered around the concept that anything that threatens human interdependence is an ecological threat45. As result, to create ecologically viable, inclusive and interdependent societies, we must create social movements that include all humans. Additionally, the </w:t>
      </w:r>
      <w:r w:rsidRPr="00C475A1">
        <w:rPr>
          <w:rFonts w:eastAsia="Calibri"/>
          <w:u w:val="single"/>
        </w:rPr>
        <w:t>plantation monoculture has also perpetuated hierarchies of knowledge that center around the absence of sensation, resulting in the suppression of the erotic as a source of power</w:t>
      </w:r>
      <w:r w:rsidRPr="00C475A1">
        <w:rPr>
          <w:rFonts w:eastAsia="Calibri"/>
        </w:rPr>
        <w:t>. Hence</w:t>
      </w:r>
      <w:r w:rsidRPr="00C12A47">
        <w:rPr>
          <w:rFonts w:eastAsiaTheme="majorEastAsia" w:cstheme="majorBidi"/>
          <w:b/>
          <w:iCs/>
          <w:sz w:val="26"/>
        </w:rPr>
        <w:t xml:space="preserve">, </w:t>
      </w:r>
      <w:r w:rsidRPr="00C12A47">
        <w:rPr>
          <w:rFonts w:eastAsiaTheme="majorEastAsia" w:cstheme="majorBidi"/>
          <w:b/>
          <w:iCs/>
          <w:sz w:val="26"/>
          <w:highlight w:val="green"/>
          <w:u w:val="single"/>
        </w:rPr>
        <w:t>the chasm between the spiritual, the psychic and the emotional leads to the epistemologies of knowledge imposing the objective, reason and mind as male, while the subjective, feeling and nature are female, so that the division of emotional and intellectual labor maintains women as the protectors of the emotional and the men as the rational</w:t>
      </w:r>
      <w:r w:rsidRPr="00C475A1">
        <w:rPr>
          <w:rFonts w:eastAsia="Calibri"/>
        </w:rPr>
        <w:t xml:space="preserve">. As a result, </w:t>
      </w:r>
      <w:r w:rsidRPr="00C475A1">
        <w:rPr>
          <w:rFonts w:eastAsia="Calibri"/>
          <w:u w:val="single"/>
        </w:rPr>
        <w:t>decolonial attitude centers around love, creating a decolonial aesthetic that keeps the body and mind open and connected, keeping the senses sharpened in ways to respond critically to separation</w:t>
      </w:r>
      <w:r w:rsidRPr="00C475A1">
        <w:rPr>
          <w:rFonts w:eastAsia="Calibri"/>
        </w:rPr>
        <w:t xml:space="preserve">. The coloniality of gender lies at the intersection of gender/class/race as central constructs of the capitalist world system of power50. As a result, the surplus group that have been occupying the place of the dehumanized and inferior51 at the maquiladoras have been dark-skinned ethnicized women from indigenous and mestizo origins that have migrated to the northern part of Mexico searching for a way to survive. </w:t>
      </w:r>
      <w:r w:rsidRPr="00C475A1">
        <w:rPr>
          <w:rFonts w:eastAsia="Calibri"/>
          <w:highlight w:val="green"/>
          <w:u w:val="single"/>
        </w:rPr>
        <w:t xml:space="preserve">In the maquiladora industry, female subjects ceased to be human beings </w:t>
      </w:r>
      <w:proofErr w:type="gramStart"/>
      <w:r w:rsidRPr="00C475A1">
        <w:rPr>
          <w:rFonts w:eastAsia="Calibri"/>
          <w:highlight w:val="green"/>
          <w:u w:val="single"/>
        </w:rPr>
        <w:t>so as to</w:t>
      </w:r>
      <w:proofErr w:type="gramEnd"/>
      <w:r w:rsidRPr="00C475A1">
        <w:rPr>
          <w:rFonts w:eastAsia="Calibri"/>
          <w:highlight w:val="green"/>
          <w:u w:val="single"/>
        </w:rPr>
        <w:t xml:space="preserve"> become objects of consumption whose value is related to profit; therefore, the oppression of the ethnicized woman needs to be maintained </w:t>
      </w:r>
      <w:proofErr w:type="gramStart"/>
      <w:r w:rsidRPr="00C475A1">
        <w:rPr>
          <w:rFonts w:eastAsia="Calibri"/>
          <w:highlight w:val="green"/>
          <w:u w:val="single"/>
        </w:rPr>
        <w:t>in order for</w:t>
      </w:r>
      <w:proofErr w:type="gramEnd"/>
      <w:r w:rsidRPr="00C475A1">
        <w:rPr>
          <w:rFonts w:eastAsia="Calibri"/>
          <w:highlight w:val="green"/>
          <w:u w:val="single"/>
        </w:rPr>
        <w:t xml:space="preserve"> globalization to exist</w:t>
      </w:r>
      <w:r w:rsidRPr="00C475A1">
        <w:rPr>
          <w:rFonts w:eastAsia="Calibri"/>
        </w:rPr>
        <w:t>. From the modernity/coloniality perspective, the differential access to justice represents an effect of the coloniality of power and gender. The hegemonic gender system introduced since the colonization of the Americas intensified existing hierarchical relations between colonized peoples, which resulted in the creation of antagonistic social relations between colonized women and men, especially through women’s social, political, and spatial confinement, and the cruelty and indifference that colonized men show toward women54. Therefore</w:t>
      </w:r>
      <w:r w:rsidRPr="00FD36CD">
        <w:rPr>
          <w:rStyle w:val="Emphasis"/>
        </w:rPr>
        <w:t xml:space="preserve">, </w:t>
      </w:r>
      <w:r w:rsidRPr="00FD36CD">
        <w:rPr>
          <w:rStyle w:val="Emphasis"/>
          <w:highlight w:val="green"/>
        </w:rPr>
        <w:t>the lack of institutional involvement to prevent, investigate, and prosecute extreme gender violence is what scholars and activists describe as impunity.</w:t>
      </w:r>
      <w:r w:rsidRPr="00FD36CD">
        <w:rPr>
          <w:rStyle w:val="Emphasis"/>
        </w:rPr>
        <w:t xml:space="preserve"> In this view, </w:t>
      </w:r>
      <w:r w:rsidRPr="00FD36CD">
        <w:rPr>
          <w:rStyle w:val="Emphasis"/>
          <w:highlight w:val="green"/>
        </w:rPr>
        <w:t>impunity from the law and femicide go hand in hand</w:t>
      </w:r>
      <w:r w:rsidRPr="00FD36CD">
        <w:rPr>
          <w:rStyle w:val="Emphasis"/>
        </w:rPr>
        <w:t>. The politics of recognition in this case within the space of Ciudad Juarez is about erased landscapes where public officials are denying that femicides are a real problem. Therefore,</w:t>
      </w:r>
      <w:r w:rsidRPr="00C475A1">
        <w:rPr>
          <w:rFonts w:eastAsia="Calibri"/>
        </w:rPr>
        <w:t xml:space="preserve"> </w:t>
      </w:r>
      <w:r w:rsidRPr="00C475A1">
        <w:rPr>
          <w:rFonts w:eastAsia="Calibri"/>
          <w:u w:val="single"/>
        </w:rPr>
        <w:t>Mexico, as a settler colonial state that is in alliance with a neo-imperial power is reproducing configurations of colonial power through which the recognition of femicides systematically is determined by the colonial stat</w:t>
      </w:r>
      <w:r w:rsidRPr="00C475A1">
        <w:rPr>
          <w:rFonts w:eastAsia="Calibri"/>
        </w:rPr>
        <w:t xml:space="preserve">8. </w:t>
      </w:r>
      <w:r w:rsidRPr="00C475A1">
        <w:rPr>
          <w:rFonts w:eastAsia="Calibri"/>
          <w:b/>
          <w:iCs/>
          <w:u w:val="single"/>
        </w:rPr>
        <w:t xml:space="preserve">Recognition from the state towards the realities of women is an unequal power balance; therefore, </w:t>
      </w:r>
      <w:r w:rsidRPr="00C475A1">
        <w:rPr>
          <w:rFonts w:eastAsia="Calibri"/>
          <w:b/>
          <w:iCs/>
          <w:highlight w:val="green"/>
          <w:u w:val="single"/>
        </w:rPr>
        <w:t xml:space="preserve">women in depending on </w:t>
      </w:r>
      <w:r w:rsidRPr="00C475A1">
        <w:rPr>
          <w:rFonts w:eastAsia="Calibri"/>
          <w:b/>
          <w:iCs/>
          <w:u w:val="single"/>
        </w:rPr>
        <w:t xml:space="preserve">their </w:t>
      </w:r>
      <w:r w:rsidRPr="00C475A1">
        <w:rPr>
          <w:rFonts w:eastAsia="Calibri"/>
          <w:b/>
          <w:iCs/>
          <w:highlight w:val="green"/>
          <w:u w:val="single"/>
        </w:rPr>
        <w:t xml:space="preserve">recognition and institutional accommodation, have faced </w:t>
      </w:r>
      <w:r w:rsidRPr="00C475A1">
        <w:rPr>
          <w:rFonts w:eastAsia="Calibri"/>
          <w:b/>
          <w:iCs/>
          <w:sz w:val="26"/>
          <w:szCs w:val="26"/>
          <w:highlight w:val="green"/>
          <w:u w:val="single"/>
        </w:rPr>
        <w:t xml:space="preserve">misrecognition </w:t>
      </w:r>
      <w:r w:rsidRPr="00C475A1">
        <w:rPr>
          <w:rFonts w:eastAsia="Calibri"/>
          <w:b/>
          <w:iCs/>
          <w:highlight w:val="green"/>
          <w:u w:val="single"/>
        </w:rPr>
        <w:t xml:space="preserve">that </w:t>
      </w:r>
      <w:r w:rsidRPr="00C475A1">
        <w:rPr>
          <w:rStyle w:val="StyleUnderline"/>
        </w:rPr>
        <w:t>has</w:t>
      </w:r>
      <w:r w:rsidRPr="00C475A1">
        <w:rPr>
          <w:rFonts w:eastAsia="Calibri"/>
          <w:b/>
          <w:iCs/>
          <w:highlight w:val="green"/>
          <w:u w:val="single"/>
        </w:rPr>
        <w:t xml:space="preserve"> led to a distorted version of women being blamed for their own deaths based on the ways that they perhaps “provoked” the heterosexual patriarchy to generate violence against their poor, dark and brown skinned bodies.</w:t>
      </w:r>
      <w:r w:rsidRPr="00C475A1">
        <w:rPr>
          <w:rFonts w:eastAsia="Calibri"/>
        </w:rPr>
        <w:t xml:space="preserve"> Therefore, </w:t>
      </w:r>
      <w:r w:rsidRPr="00C475A1">
        <w:rPr>
          <w:rFonts w:eastAsia="Calibri"/>
          <w:u w:val="single"/>
        </w:rPr>
        <w:t xml:space="preserve">the transformation of people into objects </w:t>
      </w:r>
      <w:proofErr w:type="gramStart"/>
      <w:r w:rsidRPr="00C475A1">
        <w:rPr>
          <w:rFonts w:eastAsia="Calibri"/>
          <w:u w:val="single"/>
        </w:rPr>
        <w:t>still continues</w:t>
      </w:r>
      <w:proofErr w:type="gramEnd"/>
      <w:r w:rsidRPr="00C475A1">
        <w:rPr>
          <w:rFonts w:eastAsia="Calibri"/>
          <w:u w:val="single"/>
        </w:rPr>
        <w:t xml:space="preserve"> through the unequal exchange of institutionalized and interpersonal patterns of recognition in which people internalize the derogatory images of being objects, demonstrating how the settler gaze can inflict damage on colonized women</w:t>
      </w:r>
      <w:r w:rsidRPr="00C475A1">
        <w:rPr>
          <w:rFonts w:eastAsia="Calibri"/>
        </w:rPr>
        <w:t xml:space="preserve">. </w:t>
      </w:r>
      <w:r w:rsidRPr="00C475A1">
        <w:rPr>
          <w:rFonts w:eastAsia="Calibri"/>
          <w:b/>
          <w:iCs/>
          <w:sz w:val="26"/>
          <w:szCs w:val="26"/>
          <w:highlight w:val="green"/>
          <w:u w:val="single"/>
        </w:rPr>
        <w:t xml:space="preserve">Since the U.S.-Mexico border will only recognize femicides </w:t>
      </w:r>
      <w:r w:rsidRPr="00C475A1">
        <w:rPr>
          <w:rStyle w:val="StyleUnderline"/>
        </w:rPr>
        <w:t>insofar</w:t>
      </w:r>
      <w:r w:rsidRPr="00C475A1">
        <w:rPr>
          <w:rFonts w:eastAsia="Calibri"/>
          <w:b/>
          <w:iCs/>
          <w:sz w:val="26"/>
          <w:szCs w:val="26"/>
          <w:highlight w:val="green"/>
          <w:u w:val="single"/>
        </w:rPr>
        <w:t xml:space="preserve"> as </w:t>
      </w:r>
      <w:r w:rsidRPr="00C475A1">
        <w:rPr>
          <w:rStyle w:val="StyleUnderline"/>
        </w:rPr>
        <w:t>this</w:t>
      </w:r>
      <w:r w:rsidRPr="00C475A1">
        <w:rPr>
          <w:rFonts w:eastAsia="Calibri"/>
          <w:b/>
          <w:iCs/>
          <w:sz w:val="26"/>
          <w:szCs w:val="26"/>
          <w:highlight w:val="green"/>
          <w:u w:val="single"/>
        </w:rPr>
        <w:t xml:space="preserve"> recognition does not question the political and economic framework of the colonial status quo, personal and collective self-affirmation has manifested in the form of an anti-feminicide approach and funeralizing the landscape of Ciudad Juarez.</w:t>
      </w:r>
      <w:r w:rsidRPr="00C475A1">
        <w:rPr>
          <w:rFonts w:eastAsia="Calibri"/>
          <w:sz w:val="26"/>
          <w:szCs w:val="26"/>
        </w:rPr>
        <w:t xml:space="preserve"> </w:t>
      </w:r>
      <w:r w:rsidRPr="00C475A1">
        <w:rPr>
          <w:rFonts w:eastAsia="Calibri"/>
          <w:u w:val="single"/>
        </w:rPr>
        <w:t xml:space="preserve">Therefore, </w:t>
      </w:r>
      <w:r w:rsidRPr="00C475A1">
        <w:rPr>
          <w:rFonts w:eastAsia="Calibri"/>
          <w:highlight w:val="green"/>
          <w:u w:val="single"/>
        </w:rPr>
        <w:t xml:space="preserve">mapping violence </w:t>
      </w:r>
      <w:r w:rsidRPr="001C2F8D">
        <w:rPr>
          <w:rFonts w:eastAsia="Calibri"/>
          <w:u w:val="single"/>
        </w:rPr>
        <w:t xml:space="preserve">and utilizing Ciudad Juarez </w:t>
      </w:r>
      <w:r w:rsidRPr="00C475A1">
        <w:rPr>
          <w:rFonts w:eastAsia="Calibri"/>
          <w:highlight w:val="green"/>
          <w:u w:val="single"/>
        </w:rPr>
        <w:t>to visibly vocalize t</w:t>
      </w:r>
      <w:r w:rsidRPr="001C2F8D">
        <w:rPr>
          <w:rFonts w:eastAsia="Calibri"/>
          <w:u w:val="single"/>
        </w:rPr>
        <w:t xml:space="preserve">he </w:t>
      </w:r>
      <w:r w:rsidRPr="00C475A1">
        <w:rPr>
          <w:rFonts w:eastAsia="Calibri"/>
          <w:highlight w:val="green"/>
          <w:u w:val="single"/>
        </w:rPr>
        <w:t xml:space="preserve">femicides exposes </w:t>
      </w:r>
      <w:r w:rsidRPr="001C2F8D">
        <w:rPr>
          <w:rFonts w:eastAsia="Calibri"/>
          <w:u w:val="single"/>
        </w:rPr>
        <w:t>the how</w:t>
      </w:r>
      <w:r w:rsidRPr="00C475A1">
        <w:rPr>
          <w:rFonts w:eastAsia="Calibri"/>
          <w:highlight w:val="green"/>
          <w:u w:val="single"/>
        </w:rPr>
        <w:t xml:space="preserve"> the neo-colonial state </w:t>
      </w:r>
      <w:r w:rsidRPr="001C2F8D">
        <w:rPr>
          <w:rFonts w:eastAsia="Calibri"/>
          <w:u w:val="single"/>
        </w:rPr>
        <w:t xml:space="preserve">to continue </w:t>
      </w:r>
      <w:r w:rsidRPr="001C2F8D">
        <w:t>to</w:t>
      </w:r>
      <w:r w:rsidRPr="00C475A1">
        <w:t xml:space="preserve"> exercise</w:t>
      </w:r>
      <w:r w:rsidRPr="00C475A1">
        <w:rPr>
          <w:rFonts w:eastAsia="Calibri"/>
          <w:highlight w:val="green"/>
          <w:u w:val="single"/>
        </w:rPr>
        <w:t xml:space="preserve"> violence</w:t>
      </w:r>
      <w:r w:rsidRPr="001C2F8D">
        <w:rPr>
          <w:rFonts w:eastAsia="Calibri"/>
          <w:u w:val="single"/>
        </w:rPr>
        <w:t xml:space="preserve"> especially </w:t>
      </w:r>
      <w:r w:rsidRPr="00C475A1">
        <w:rPr>
          <w:rFonts w:eastAsia="Calibri"/>
          <w:highlight w:val="green"/>
          <w:u w:val="single"/>
        </w:rPr>
        <w:t>against dark and brown female bodies.</w:t>
      </w:r>
      <w:r w:rsidRPr="00C475A1">
        <w:rPr>
          <w:rFonts w:eastAsia="Calibri"/>
          <w:u w:val="single"/>
        </w:rPr>
        <w:t xml:space="preserve"> </w:t>
      </w:r>
    </w:p>
    <w:p w14:paraId="260E0CF6" w14:textId="7280AAE6" w:rsidR="00C475A1" w:rsidRPr="00C475A1" w:rsidRDefault="00C475A1" w:rsidP="00C475A1">
      <w:pPr>
        <w:keepNext/>
        <w:keepLines/>
        <w:spacing w:before="40" w:after="0"/>
        <w:outlineLvl w:val="3"/>
        <w:rPr>
          <w:rFonts w:eastAsia="SimSun" w:cs="Times New Roman"/>
          <w:b/>
          <w:iCs/>
          <w:u w:val="single"/>
        </w:rPr>
      </w:pPr>
      <w:r w:rsidRPr="00C475A1">
        <w:rPr>
          <w:rFonts w:eastAsia="SimSun" w:cs="Times New Roman"/>
          <w:b/>
          <w:iCs/>
          <w:u w:val="single"/>
        </w:rPr>
        <w:lastRenderedPageBreak/>
        <w:t xml:space="preserve">“Writer-activist, </w:t>
      </w:r>
      <w:r w:rsidRPr="00A90552">
        <w:rPr>
          <w:rFonts w:eastAsia="SimSun" w:cs="Times New Roman"/>
          <w:b/>
          <w:iCs/>
          <w:u w:val="single"/>
        </w:rPr>
        <w:t>Toni Cade Bambara, who</w:t>
      </w:r>
      <w:r w:rsidRPr="00C475A1">
        <w:rPr>
          <w:rFonts w:eastAsia="SimSun" w:cs="Times New Roman"/>
          <w:b/>
          <w:iCs/>
          <w:u w:val="single"/>
        </w:rPr>
        <w:t xml:space="preserve"> first introduced This Bridge Called My Back twenty years ago, countered institutionalized amnesia in her own dangerous writings before her untimely death in 1995. She </w:t>
      </w:r>
      <w:r w:rsidRPr="00A90552">
        <w:rPr>
          <w:rFonts w:eastAsia="SimSun" w:cs="Times New Roman"/>
          <w:b/>
          <w:iCs/>
          <w:u w:val="single"/>
        </w:rPr>
        <w:t xml:space="preserve">writes: </w:t>
      </w:r>
      <w:r w:rsidRPr="00A90552">
        <w:rPr>
          <w:rFonts w:eastAsia="SimSun" w:cs="Times New Roman"/>
          <w:b/>
          <w:iCs/>
          <w:strike/>
          <w:u w:val="single"/>
        </w:rPr>
        <w:t>“Amnesia</w:t>
      </w:r>
      <w:r w:rsidR="00723DE7" w:rsidRPr="00A90552">
        <w:rPr>
          <w:rFonts w:eastAsia="SimSun" w:cs="Times New Roman"/>
          <w:b/>
          <w:iCs/>
          <w:u w:val="single"/>
        </w:rPr>
        <w:t xml:space="preserve"> </w:t>
      </w:r>
      <w:r w:rsidR="00723DE7">
        <w:rPr>
          <w:rFonts w:eastAsia="SimSun" w:cs="Times New Roman"/>
          <w:b/>
          <w:iCs/>
          <w:highlight w:val="green"/>
          <w:u w:val="single"/>
        </w:rPr>
        <w:t>Ignorance</w:t>
      </w:r>
      <w:r w:rsidRPr="00C475A1">
        <w:rPr>
          <w:rFonts w:eastAsia="SimSun" w:cs="Times New Roman"/>
          <w:b/>
          <w:iCs/>
          <w:highlight w:val="green"/>
          <w:u w:val="single"/>
        </w:rPr>
        <w:t xml:space="preserve">: the inability or unwillingness to recall due to </w:t>
      </w:r>
      <w:r w:rsidRPr="001C2F8D">
        <w:rPr>
          <w:rFonts w:eastAsia="SimSun" w:cs="Times New Roman"/>
          <w:b/>
          <w:iCs/>
          <w:u w:val="single"/>
        </w:rPr>
        <w:t xml:space="preserve">trauma or </w:t>
      </w:r>
      <w:r w:rsidRPr="00C475A1">
        <w:rPr>
          <w:rFonts w:eastAsia="SimSun" w:cs="Times New Roman"/>
          <w:b/>
          <w:iCs/>
          <w:highlight w:val="green"/>
          <w:u w:val="single"/>
        </w:rPr>
        <w:t xml:space="preserve">enforced taboo." </w:t>
      </w:r>
      <w:r w:rsidRPr="001C2F8D">
        <w:rPr>
          <w:rFonts w:eastAsia="SimSun" w:cs="Times New Roman"/>
          <w:b/>
          <w:iCs/>
          <w:u w:val="single"/>
        </w:rPr>
        <w:t>Is there any better way to descri</w:t>
      </w:r>
      <w:r w:rsidRPr="00C475A1">
        <w:rPr>
          <w:rFonts w:eastAsia="SimSun" w:cs="Times New Roman"/>
          <w:b/>
          <w:iCs/>
          <w:highlight w:val="green"/>
          <w:u w:val="single"/>
        </w:rPr>
        <w:t xml:space="preserve">be our shared resistance </w:t>
      </w:r>
      <w:r w:rsidRPr="001C2F8D">
        <w:rPr>
          <w:rFonts w:eastAsia="SimSun" w:cs="Times New Roman"/>
          <w:b/>
          <w:iCs/>
          <w:u w:val="single"/>
        </w:rPr>
        <w:t xml:space="preserve">mission as writers and activistas residing inside the numbing disgrace of this occupied America? We </w:t>
      </w:r>
      <w:r w:rsidRPr="00C475A1">
        <w:rPr>
          <w:rFonts w:eastAsia="SimSun" w:cs="Times New Roman"/>
          <w:b/>
          <w:iCs/>
          <w:highlight w:val="green"/>
          <w:u w:val="single"/>
        </w:rPr>
        <w:t xml:space="preserve">must insist on </w:t>
      </w:r>
      <w:r w:rsidRPr="001C2F8D">
        <w:rPr>
          <w:rFonts w:eastAsia="SimSun" w:cs="Times New Roman"/>
          <w:b/>
          <w:iCs/>
          <w:u w:val="single"/>
        </w:rPr>
        <w:t xml:space="preserve">what we remember to be </w:t>
      </w:r>
      <w:r w:rsidRPr="00C475A1">
        <w:rPr>
          <w:rFonts w:eastAsia="SimSun" w:cs="Times New Roman"/>
          <w:b/>
          <w:iCs/>
          <w:highlight w:val="green"/>
          <w:u w:val="single"/>
        </w:rPr>
        <w:t xml:space="preserve">true. History </w:t>
      </w:r>
      <w:r w:rsidRPr="001C2F8D">
        <w:rPr>
          <w:rFonts w:eastAsia="SimSun" w:cs="Times New Roman"/>
          <w:b/>
          <w:iCs/>
          <w:u w:val="single"/>
        </w:rPr>
        <w:t xml:space="preserve">precludes false loyalties to the conqueror nationstate and prescribes renewed loyalty to the work of a reconstituted America. This most recent “invasion" of the continental United States is nothing less than the product of a </w:t>
      </w:r>
      <w:proofErr w:type="gramStart"/>
      <w:r w:rsidRPr="001C2F8D">
        <w:rPr>
          <w:rFonts w:eastAsia="SimSun" w:cs="Times New Roman"/>
          <w:b/>
          <w:iCs/>
          <w:u w:val="single"/>
        </w:rPr>
        <w:t>five-hundred year</w:t>
      </w:r>
      <w:proofErr w:type="gramEnd"/>
      <w:r w:rsidRPr="001C2F8D">
        <w:rPr>
          <w:rFonts w:eastAsia="SimSun" w:cs="Times New Roman"/>
          <w:b/>
          <w:iCs/>
          <w:u w:val="single"/>
        </w:rPr>
        <w:t xml:space="preserve"> history of invasion, beginning with the first European colonizer-settlers and their wholesale theft of Native lands in the Americas</w:t>
      </w:r>
      <w:r w:rsidRPr="00C475A1">
        <w:rPr>
          <w:rFonts w:eastAsia="SimSun" w:cs="Times New Roman"/>
          <w:b/>
          <w:iCs/>
          <w:highlight w:val="green"/>
          <w:u w:val="single"/>
        </w:rPr>
        <w:t>. We don't forget.</w:t>
      </w:r>
      <w:r w:rsidRPr="00C475A1">
        <w:rPr>
          <w:rFonts w:eastAsia="SimSun" w:cs="Times New Roman"/>
          <w:b/>
          <w:iCs/>
          <w:u w:val="single"/>
        </w:rPr>
        <w:t>”</w:t>
      </w:r>
      <w:r w:rsidRPr="00C475A1">
        <w:rPr>
          <w:rFonts w:eastAsia="SimSun" w:cs="Times New Roman"/>
          <w:b/>
          <w:iCs/>
          <w:u w:val="single"/>
          <w:vertAlign w:val="superscript"/>
        </w:rPr>
        <w:footnoteReference w:id="1"/>
      </w:r>
    </w:p>
    <w:p w14:paraId="0413F34B" w14:textId="37CED501" w:rsidR="00C475A1" w:rsidRDefault="00C475A1" w:rsidP="00C475A1">
      <w:pPr>
        <w:keepNext/>
        <w:keepLines/>
        <w:spacing w:before="40" w:after="0"/>
        <w:outlineLvl w:val="3"/>
        <w:rPr>
          <w:rFonts w:eastAsia="SimSun" w:cs="Times New Roman"/>
          <w:b/>
          <w:iCs/>
          <w:sz w:val="26"/>
        </w:rPr>
      </w:pPr>
      <w:r w:rsidRPr="00C475A1">
        <w:rPr>
          <w:rFonts w:eastAsia="SimSun" w:cs="Times New Roman"/>
          <w:b/>
          <w:iCs/>
          <w:sz w:val="26"/>
        </w:rPr>
        <w:t>.</w:t>
      </w:r>
      <w:r w:rsidR="001C2F8D">
        <w:rPr>
          <w:rFonts w:eastAsia="SimSun" w:cs="Times New Roman"/>
          <w:b/>
          <w:iCs/>
          <w:sz w:val="26"/>
        </w:rPr>
        <w:t xml:space="preserve"> </w:t>
      </w:r>
    </w:p>
    <w:p w14:paraId="6B1B7369" w14:textId="77777777" w:rsidR="00C475A1" w:rsidRPr="00C475A1" w:rsidRDefault="00C475A1" w:rsidP="00C475A1">
      <w:pPr>
        <w:rPr>
          <w:rFonts w:eastAsia="Calibri"/>
          <w:highlight w:val="green"/>
        </w:rPr>
      </w:pPr>
    </w:p>
    <w:p w14:paraId="551F07FF" w14:textId="196DA51A" w:rsidR="00470B87" w:rsidRPr="00710A39" w:rsidRDefault="00710A39" w:rsidP="00710A39">
      <w:pPr>
        <w:pStyle w:val="Heading4"/>
      </w:pPr>
      <w:r>
        <w:t xml:space="preserve">The grotesque violence of </w:t>
      </w:r>
      <w:r w:rsidR="00921D95">
        <w:t>these</w:t>
      </w:r>
      <w:r>
        <w:t xml:space="preserve"> maqui workers reflect the past that is </w:t>
      </w:r>
      <w:r w:rsidR="00921D95">
        <w:t>never challenged. By refusing to hide the taboo we must walk through the graves of families who have suffered at the border.</w:t>
      </w:r>
      <w:r w:rsidR="00921D95" w:rsidRPr="00921D95">
        <w:t xml:space="preserve"> </w:t>
      </w:r>
    </w:p>
    <w:p w14:paraId="74558A76" w14:textId="1E94FF9E" w:rsidR="00C475A1" w:rsidRPr="00C475A1" w:rsidRDefault="00C475A1" w:rsidP="00C475A1">
      <w:pPr>
        <w:rPr>
          <w:rFonts w:eastAsia="Calibri"/>
        </w:rPr>
      </w:pPr>
      <w:r w:rsidRPr="00C475A1">
        <w:rPr>
          <w:rFonts w:eastAsia="Calibri"/>
          <w:b/>
          <w:bCs/>
          <w:sz w:val="26"/>
        </w:rPr>
        <w:t>Zavala 24</w:t>
      </w:r>
      <w:r w:rsidRPr="00C475A1">
        <w:rPr>
          <w:rFonts w:eastAsia="Calibri"/>
        </w:rPr>
        <w:t>, Zavala, P. (2024). Maquila Hauntings: Maquilapolis: City of Factories, Global Capitalism, and Spectrality in the Maquiladora Industry on the Mexican Border. </w:t>
      </w:r>
      <w:r w:rsidRPr="00C475A1">
        <w:rPr>
          <w:rFonts w:eastAsia="Calibri"/>
          <w:i/>
          <w:iCs/>
        </w:rPr>
        <w:t>A Contracorriente: Una Revista De Estudios Latinoamericanos</w:t>
      </w:r>
      <w:r w:rsidRPr="00C475A1">
        <w:rPr>
          <w:rFonts w:eastAsia="Calibri"/>
        </w:rPr>
        <w:t>, </w:t>
      </w:r>
      <w:r w:rsidRPr="00C475A1">
        <w:rPr>
          <w:rFonts w:eastAsia="Calibri"/>
          <w:i/>
          <w:iCs/>
        </w:rPr>
        <w:t>22</w:t>
      </w:r>
      <w:r w:rsidRPr="00C475A1">
        <w:rPr>
          <w:rFonts w:eastAsia="Calibri"/>
        </w:rPr>
        <w:t>(1), 213–235. Retrieved from https://acontracorriente.chass.ncsu.edu/index.php/acontracorriente/article/view/2157 // ~kwudjwa~</w:t>
      </w:r>
    </w:p>
    <w:p w14:paraId="57BE1D82" w14:textId="0EDE1B69" w:rsidR="00C475A1" w:rsidRPr="00344888" w:rsidRDefault="00C475A1" w:rsidP="00344888">
      <w:pPr>
        <w:rPr>
          <w:rFonts w:eastAsia="Calibri"/>
        </w:rPr>
      </w:pPr>
      <w:r w:rsidRPr="00C475A1">
        <w:rPr>
          <w:rFonts w:eastAsia="Calibri"/>
        </w:rPr>
        <w:t xml:space="preserve">Spectral criticism has been fertile theoretical ground with which to reflect on fragmented pasts; for instance, on the violence experienced by Central American female migrant bodies in contemporary Mexican films (Cosentino 2019), or on the hauntings in Latin American cultural productions dealing with authoritarian regimes (Ribas-Casasayas 2015). In “Life, Sovereignty, and Terror in the Fiction of Amos Tutuola” (2003), </w:t>
      </w:r>
      <w:r w:rsidRPr="00C475A1">
        <w:rPr>
          <w:rFonts w:eastAsia="Calibri"/>
          <w:u w:val="single"/>
        </w:rPr>
        <w:t>Achille Mbembe discusses “</w:t>
      </w:r>
      <w:r w:rsidRPr="00C475A1">
        <w:rPr>
          <w:rFonts w:eastAsia="Calibri"/>
          <w:highlight w:val="green"/>
          <w:u w:val="single"/>
        </w:rPr>
        <w:t>forms of existence</w:t>
      </w:r>
      <w:r w:rsidRPr="00C475A1">
        <w:rPr>
          <w:rFonts w:eastAsia="Calibri"/>
          <w:u w:val="single"/>
        </w:rPr>
        <w:t xml:space="preserve">” that </w:t>
      </w:r>
      <w:r w:rsidRPr="00C475A1">
        <w:rPr>
          <w:rFonts w:eastAsia="Calibri"/>
          <w:highlight w:val="green"/>
          <w:u w:val="single"/>
        </w:rPr>
        <w:t>are rendered “extreme forms of human life” and “death-worlds” in which certain populations are forced to live such miserable lives that they are made to be “living dead (ghosts)</w:t>
      </w:r>
      <w:r w:rsidRPr="00C475A1">
        <w:rPr>
          <w:rFonts w:eastAsia="Calibri"/>
          <w:highlight w:val="green"/>
        </w:rPr>
        <w:t>”</w:t>
      </w:r>
      <w:r w:rsidRPr="00C475A1">
        <w:rPr>
          <w:rFonts w:eastAsia="Calibri"/>
        </w:rPr>
        <w:t xml:space="preserve"> (1).</w:t>
      </w:r>
      <w:r w:rsidRPr="00C475A1">
        <w:rPr>
          <w:rFonts w:eastAsia="Calibri"/>
          <w:u w:val="single"/>
        </w:rPr>
        <w:t xml:space="preserve">The extreme forms of human existence and </w:t>
      </w:r>
      <w:r w:rsidRPr="00C475A1">
        <w:rPr>
          <w:rFonts w:eastAsia="Calibri"/>
          <w:highlight w:val="green"/>
          <w:u w:val="single"/>
        </w:rPr>
        <w:t>the corresponding terror</w:t>
      </w:r>
      <w:r w:rsidRPr="00C475A1">
        <w:rPr>
          <w:rFonts w:eastAsia="Calibri"/>
          <w:u w:val="single"/>
        </w:rPr>
        <w:t xml:space="preserve"> are brought on by a tenuous control that </w:t>
      </w:r>
      <w:r w:rsidRPr="00C475A1">
        <w:rPr>
          <w:rFonts w:eastAsia="Calibri"/>
          <w:highlight w:val="green"/>
          <w:u w:val="single"/>
        </w:rPr>
        <w:t>partly causes wars</w:t>
      </w:r>
      <w:r w:rsidRPr="00C475A1">
        <w:rPr>
          <w:rFonts w:eastAsia="Calibri"/>
          <w:u w:val="single"/>
        </w:rPr>
        <w:t xml:space="preserve">: “ghostly power is its encircling of the subject, surrounding it on all sides, </w:t>
      </w:r>
      <w:r w:rsidRPr="00C475A1">
        <w:rPr>
          <w:rFonts w:eastAsia="Calibri"/>
          <w:highlight w:val="green"/>
          <w:u w:val="single"/>
        </w:rPr>
        <w:t>investing it and tightening around it to the point that it cracks</w:t>
      </w:r>
      <w:r w:rsidRPr="00C475A1">
        <w:rPr>
          <w:rFonts w:eastAsia="Calibri"/>
          <w:u w:val="single"/>
        </w:rPr>
        <w:t>”</w:t>
      </w:r>
      <w:r w:rsidRPr="00C475A1">
        <w:rPr>
          <w:rFonts w:eastAsia="Calibri"/>
        </w:rPr>
        <w:t xml:space="preserve"> (9-10). According to Mbembe, </w:t>
      </w:r>
      <w:r w:rsidRPr="00C475A1">
        <w:rPr>
          <w:rFonts w:eastAsia="Calibri"/>
          <w:highlight w:val="green"/>
          <w:u w:val="single"/>
        </w:rPr>
        <w:t>ghostly violence manifests itself in different forms</w:t>
      </w:r>
      <w:r w:rsidRPr="00C475A1">
        <w:rPr>
          <w:rFonts w:eastAsia="Calibri"/>
          <w:u w:val="single"/>
        </w:rPr>
        <w:t xml:space="preserve"> upon its victims, physically, murdering, capturing, etc</w:t>
      </w:r>
      <w:r w:rsidRPr="00C475A1">
        <w:rPr>
          <w:rFonts w:eastAsia="Calibri"/>
        </w:rPr>
        <w:t xml:space="preserve">. </w:t>
      </w:r>
      <w:r w:rsidRPr="00C475A1">
        <w:rPr>
          <w:rFonts w:eastAsia="Calibri"/>
          <w:highlight w:val="green"/>
          <w:u w:val="single"/>
        </w:rPr>
        <w:t>Power is</w:t>
      </w:r>
      <w:r w:rsidRPr="00C475A1">
        <w:rPr>
          <w:rFonts w:eastAsia="Calibri"/>
          <w:u w:val="single"/>
        </w:rPr>
        <w:t xml:space="preserve"> conceptualized as ghostly and spectral, i.e., inconclusive and amorphous, and therefore </w:t>
      </w:r>
      <w:r w:rsidRPr="00C475A1">
        <w:rPr>
          <w:rFonts w:eastAsia="Calibri"/>
          <w:highlight w:val="green"/>
          <w:u w:val="single"/>
        </w:rPr>
        <w:t>extremely difficult to challenge.</w:t>
      </w:r>
      <w:r w:rsidRPr="00C475A1">
        <w:rPr>
          <w:rFonts w:eastAsia="Calibri"/>
          <w:u w:val="single"/>
        </w:rPr>
        <w:t xml:space="preserve"> It controls who must die, and who may live</w:t>
      </w:r>
      <w:r w:rsidRPr="00C475A1">
        <w:rPr>
          <w:rFonts w:eastAsia="Calibri"/>
        </w:rPr>
        <w:t xml:space="preserve">. Moreover, </w:t>
      </w:r>
      <w:r w:rsidRPr="00C475A1">
        <w:rPr>
          <w:rFonts w:eastAsia="Calibri"/>
          <w:b/>
          <w:iCs/>
          <w:highlight w:val="green"/>
          <w:u w:val="single"/>
        </w:rPr>
        <w:t>it is helpful in the present context to think of this ghostly power vis-à-vis globalization</w:t>
      </w:r>
      <w:r w:rsidRPr="00C475A1">
        <w:rPr>
          <w:rFonts w:eastAsia="Calibri"/>
        </w:rPr>
        <w:t xml:space="preserve">. María del Pilar Blanco and Esther Peeren (2013) have defined spectropolitics as the following: “an attempt to mobilize spectrality to more precisely designate the diffuse operations and effects of present-day globalization, as well as to critique the way its processes produce certain subjects as consistently disenfranchised” (93). They go on to specify the relationship between the spectral global forces and the victim-subjects on the other end: […] </w:t>
      </w:r>
      <w:r w:rsidRPr="00C475A1">
        <w:rPr>
          <w:rFonts w:eastAsia="Calibri"/>
          <w:highlight w:val="green"/>
          <w:u w:val="single"/>
        </w:rPr>
        <w:t>the processes associated with the present-day spread of particular economic models</w:t>
      </w:r>
      <w:r w:rsidRPr="00C475A1">
        <w:rPr>
          <w:rFonts w:eastAsia="Calibri"/>
        </w:rPr>
        <w:t xml:space="preserve"> (most prominently, neoliberal capitalism) </w:t>
      </w:r>
      <w:r w:rsidRPr="00C475A1">
        <w:rPr>
          <w:rFonts w:eastAsia="Calibri"/>
          <w:highlight w:val="green"/>
          <w:u w:val="single"/>
        </w:rPr>
        <w:t>and new</w:t>
      </w:r>
      <w:r w:rsidRPr="00C475A1">
        <w:rPr>
          <w:rFonts w:eastAsia="Calibri"/>
          <w:u w:val="single"/>
        </w:rPr>
        <w:t xml:space="preserve"> (social) </w:t>
      </w:r>
      <w:r w:rsidRPr="00C475A1">
        <w:rPr>
          <w:rFonts w:eastAsia="Calibri"/>
          <w:highlight w:val="green"/>
          <w:u w:val="single"/>
        </w:rPr>
        <w:t>media</w:t>
      </w:r>
      <w:r w:rsidRPr="00C475A1">
        <w:rPr>
          <w:rFonts w:eastAsia="Calibri"/>
          <w:u w:val="single"/>
        </w:rPr>
        <w:t xml:space="preserve">, which reconfigure the world as one of inescapable interconnection, </w:t>
      </w:r>
      <w:r w:rsidRPr="00C475A1">
        <w:rPr>
          <w:rFonts w:eastAsia="Calibri"/>
          <w:highlight w:val="green"/>
          <w:u w:val="single"/>
        </w:rPr>
        <w:t>have been conceived as</w:t>
      </w:r>
      <w:r w:rsidRPr="00C475A1">
        <w:rPr>
          <w:rFonts w:eastAsia="Calibri"/>
          <w:u w:val="single"/>
        </w:rPr>
        <w:t xml:space="preserve"> spectral (ungraspably complex, </w:t>
      </w:r>
      <w:r w:rsidRPr="00C475A1">
        <w:rPr>
          <w:rFonts w:eastAsia="Calibri"/>
          <w:b/>
          <w:iCs/>
          <w:sz w:val="24"/>
          <w:szCs w:val="24"/>
          <w:highlight w:val="green"/>
          <w:u w:val="single"/>
        </w:rPr>
        <w:t>only partially material</w:t>
      </w:r>
      <w:r w:rsidRPr="00C475A1">
        <w:rPr>
          <w:rFonts w:eastAsia="Calibri"/>
          <w:u w:val="single"/>
        </w:rPr>
        <w:t xml:space="preserve">, accelerated to the point of disappearance, </w:t>
      </w:r>
      <w:r w:rsidRPr="00C475A1">
        <w:rPr>
          <w:rFonts w:eastAsia="Calibri"/>
          <w:highlight w:val="green"/>
          <w:u w:val="single"/>
        </w:rPr>
        <w:t>capable of occupying multiple spaces at once</w:t>
      </w:r>
      <w:r w:rsidRPr="00C475A1">
        <w:rPr>
          <w:rFonts w:eastAsia="Calibri"/>
          <w:u w:val="single"/>
        </w:rPr>
        <w:t xml:space="preserve">) </w:t>
      </w:r>
      <w:r w:rsidRPr="00C475A1">
        <w:rPr>
          <w:rFonts w:eastAsia="Calibri"/>
          <w:highlight w:val="green"/>
          <w:u w:val="single"/>
        </w:rPr>
        <w:t>and spectralizing</w:t>
      </w:r>
      <w:r w:rsidRPr="00C475A1">
        <w:rPr>
          <w:rFonts w:eastAsia="Calibri"/>
          <w:u w:val="single"/>
        </w:rPr>
        <w:t xml:space="preserve"> (producing subjects that stand apart from the rest of society, either, at the top, as unaccountable or, at the bottom, as expendable).</w:t>
      </w:r>
      <w:r w:rsidRPr="00C475A1">
        <w:rPr>
          <w:rFonts w:eastAsia="Calibri"/>
        </w:rPr>
        <w:t xml:space="preserve"> (93; my emphases) </w:t>
      </w:r>
      <w:r w:rsidRPr="00C475A1">
        <w:rPr>
          <w:rFonts w:eastAsia="Calibri"/>
          <w:u w:val="single"/>
        </w:rPr>
        <w:t xml:space="preserve">In other words, </w:t>
      </w:r>
      <w:r w:rsidRPr="00C475A1">
        <w:rPr>
          <w:rFonts w:eastAsia="Calibri"/>
          <w:b/>
          <w:iCs/>
          <w:sz w:val="26"/>
          <w:szCs w:val="26"/>
          <w:highlight w:val="green"/>
          <w:u w:val="single"/>
        </w:rPr>
        <w:t>it is a top-down influence within geopolitical ecosystems that comprise different ideological state apparatuses</w:t>
      </w:r>
      <w:r w:rsidRPr="00C475A1">
        <w:rPr>
          <w:rFonts w:eastAsia="Calibri"/>
          <w:b/>
          <w:iCs/>
          <w:sz w:val="26"/>
          <w:szCs w:val="26"/>
          <w:u w:val="single"/>
        </w:rPr>
        <w:t xml:space="preserve"> </w:t>
      </w:r>
      <w:r w:rsidRPr="00C475A1">
        <w:rPr>
          <w:rFonts w:eastAsia="Calibri"/>
          <w:b/>
          <w:iCs/>
          <w:u w:val="single"/>
        </w:rPr>
        <w:t>that exert terror upon their victims</w:t>
      </w:r>
      <w:r w:rsidRPr="00C475A1">
        <w:rPr>
          <w:rFonts w:eastAsia="Calibri"/>
          <w:u w:val="single"/>
        </w:rPr>
        <w:t>.</w:t>
      </w:r>
      <w:r w:rsidRPr="00C475A1">
        <w:rPr>
          <w:rFonts w:eastAsia="Calibri"/>
        </w:rPr>
        <w:t xml:space="preserve"> </w:t>
      </w:r>
      <w:r w:rsidRPr="00C475A1">
        <w:rPr>
          <w:rFonts w:eastAsia="Calibri"/>
          <w:b/>
          <w:iCs/>
          <w:highlight w:val="green"/>
          <w:u w:val="single"/>
        </w:rPr>
        <w:t xml:space="preserve">The workers of the maquiladoras along Mexican border towns, as well as victims of feminicides, bear the brunt of neoliberalism’s ghostly violence. </w:t>
      </w:r>
      <w:r w:rsidRPr="00C475A1">
        <w:rPr>
          <w:rFonts w:eastAsia="Calibri"/>
          <w:b/>
          <w:i/>
          <w:sz w:val="28"/>
          <w:szCs w:val="28"/>
          <w:highlight w:val="green"/>
          <w:u w:val="single"/>
        </w:rPr>
        <w:t>Indeed, maquilas haunt.</w:t>
      </w:r>
      <w:r w:rsidRPr="00C475A1">
        <w:rPr>
          <w:rFonts w:eastAsia="Calibri"/>
        </w:rPr>
        <w:t xml:space="preserve">5 </w:t>
      </w:r>
      <w:r w:rsidRPr="00C475A1">
        <w:rPr>
          <w:rFonts w:eastAsia="Calibri"/>
          <w:u w:val="single"/>
        </w:rPr>
        <w:t>The fact that the maquiladora industry has survived the precariousness of the global economic ups and downs (discussed in the previous section) evinces its persistence, its ghostliness</w:t>
      </w:r>
      <w:r w:rsidRPr="00C475A1">
        <w:rPr>
          <w:rFonts w:eastAsia="Calibri"/>
        </w:rPr>
        <w:t xml:space="preserve">. Funari and de la Torre’s documentary is as timely today as it was upon its release. The film documents a socioeconomic phenomenon that is not going away anytime soon. The COVID-19 disease started exponentially spreading at the beginning of 2020, and by March of that same year, </w:t>
      </w:r>
      <w:r w:rsidRPr="00C475A1">
        <w:rPr>
          <w:rFonts w:eastAsia="Calibri"/>
          <w:highlight w:val="green"/>
          <w:u w:val="single"/>
        </w:rPr>
        <w:t>economies in both the U.S. and Mexico began shutting down</w:t>
      </w:r>
      <w:r w:rsidRPr="00C475A1">
        <w:rPr>
          <w:rFonts w:eastAsia="Calibri"/>
        </w:rPr>
        <w:t xml:space="preserve">, causing layoffs in local, national, and </w:t>
      </w:r>
      <w:r w:rsidRPr="00C475A1">
        <w:rPr>
          <w:rFonts w:eastAsia="Calibri"/>
        </w:rPr>
        <w:lastRenderedPageBreak/>
        <w:t xml:space="preserve">internationalbusinesses that were seeing a slowdown in their revenues. </w:t>
      </w:r>
      <w:r w:rsidRPr="00C475A1">
        <w:rPr>
          <w:rFonts w:eastAsia="Calibri"/>
          <w:highlight w:val="green"/>
          <w:u w:val="single"/>
        </w:rPr>
        <w:t>However</w:t>
      </w:r>
      <w:r w:rsidRPr="00C475A1">
        <w:rPr>
          <w:rFonts w:eastAsia="Calibri"/>
        </w:rPr>
        <w:t xml:space="preserve">, in terms of operations, </w:t>
      </w:r>
      <w:r w:rsidRPr="00C475A1">
        <w:rPr>
          <w:rFonts w:eastAsia="Calibri"/>
          <w:highlight w:val="green"/>
          <w:u w:val="single"/>
        </w:rPr>
        <w:t>the maquiladora industry seems to be largely</w:t>
      </w:r>
      <w:r w:rsidRPr="00C475A1">
        <w:rPr>
          <w:rFonts w:eastAsia="Calibri"/>
        </w:rPr>
        <w:t xml:space="preserve"> </w:t>
      </w:r>
      <w:r w:rsidRPr="00C475A1">
        <w:rPr>
          <w:rFonts w:eastAsia="Calibri"/>
          <w:highlight w:val="green"/>
          <w:u w:val="single"/>
        </w:rPr>
        <w:t>unaffected</w:t>
      </w:r>
      <w:r w:rsidRPr="00C475A1">
        <w:rPr>
          <w:rFonts w:eastAsia="Calibri"/>
        </w:rPr>
        <w:t xml:space="preserve">. Nationally, as we saw earlier in this article how the number of workers employed at each manufacturing plant only slightly decreased in the immediate aftermath of the pandemic, but already near the end of 2020 seemed to be getting closer to pre-pandemic digits. </w:t>
      </w:r>
      <w:r w:rsidRPr="00C475A1">
        <w:rPr>
          <w:rFonts w:eastAsia="Calibri"/>
          <w:highlight w:val="green"/>
          <w:u w:val="single"/>
        </w:rPr>
        <w:t>Ciudad Juárez</w:t>
      </w:r>
      <w:r w:rsidRPr="00C475A1">
        <w:rPr>
          <w:rFonts w:eastAsia="Calibri"/>
          <w:u w:val="single"/>
        </w:rPr>
        <w:t xml:space="preserve"> bears similar tendencies with an interesting and important difference: after June of 2020, the </w:t>
      </w:r>
      <w:r w:rsidRPr="00C475A1">
        <w:rPr>
          <w:rFonts w:eastAsia="Calibri"/>
          <w:highlight w:val="green"/>
          <w:u w:val="single"/>
        </w:rPr>
        <w:t>numbers jumped drastically</w:t>
      </w:r>
      <w:r w:rsidRPr="00C475A1">
        <w:rPr>
          <w:rFonts w:eastAsia="Calibri"/>
          <w:u w:val="single"/>
        </w:rPr>
        <w:t>, to such an extent that in September of that same year there were 294,786 employees, the most the city has ever seen</w:t>
      </w:r>
      <w:r w:rsidRPr="00C475A1">
        <w:rPr>
          <w:rFonts w:eastAsia="Calibri"/>
        </w:rPr>
        <w:t xml:space="preserve"> (“Estadística Manufacturera…” 2021).6 I argue that </w:t>
      </w:r>
      <w:r w:rsidRPr="00C475A1">
        <w:rPr>
          <w:rFonts w:eastAsia="Calibri"/>
          <w:highlight w:val="green"/>
          <w:u w:val="single"/>
        </w:rPr>
        <w:t>the maquiladora industry</w:t>
      </w:r>
      <w:r w:rsidRPr="00C475A1">
        <w:rPr>
          <w:rFonts w:eastAsia="Calibri"/>
          <w:u w:val="single"/>
        </w:rPr>
        <w:t xml:space="preserve">, as metonymy for neoliberalism, </w:t>
      </w:r>
      <w:r w:rsidRPr="00C475A1">
        <w:rPr>
          <w:rFonts w:eastAsia="Calibri"/>
          <w:highlight w:val="green"/>
          <w:u w:val="single"/>
        </w:rPr>
        <w:t>represents</w:t>
      </w:r>
      <w:r w:rsidRPr="00C475A1">
        <w:rPr>
          <w:rFonts w:eastAsia="Calibri"/>
          <w:u w:val="single"/>
        </w:rPr>
        <w:t xml:space="preserve"> a </w:t>
      </w:r>
      <w:r w:rsidRPr="00C475A1">
        <w:rPr>
          <w:rFonts w:eastAsia="Calibri"/>
          <w:highlight w:val="green"/>
          <w:u w:val="single"/>
        </w:rPr>
        <w:t>ghostly power</w:t>
      </w:r>
      <w:r w:rsidRPr="00C475A1">
        <w:rPr>
          <w:rFonts w:eastAsia="Calibri"/>
        </w:rPr>
        <w:t xml:space="preserve"> whose violence is represented in the documentary Maquilapolis: City of Factories (2006).7</w:t>
      </w:r>
      <w:r w:rsidRPr="00344888">
        <w:rPr>
          <w:rFonts w:eastAsia="SimSun" w:cs="Times New Roman"/>
          <w:b/>
          <w:iCs/>
          <w:u w:val="single"/>
        </w:rPr>
        <w:t xml:space="preserve">Maria Elena sits among two-dozen or so of us around the circlee of the fire. With full conviction, she states: “I am an Indian. This is not my country, but it is my land.” </w:t>
      </w:r>
    </w:p>
    <w:p w14:paraId="337EEB8E" w14:textId="77777777" w:rsidR="00C475A1" w:rsidRPr="00344888" w:rsidRDefault="00C475A1" w:rsidP="00C475A1">
      <w:pPr>
        <w:keepNext/>
        <w:keepLines/>
        <w:spacing w:before="40" w:after="0"/>
        <w:outlineLvl w:val="3"/>
        <w:rPr>
          <w:rFonts w:eastAsia="SimSun" w:cs="Times New Roman"/>
          <w:b/>
          <w:iCs/>
          <w:u w:val="single"/>
        </w:rPr>
      </w:pPr>
      <w:r w:rsidRPr="00344888">
        <w:rPr>
          <w:rFonts w:eastAsia="SimSun" w:cs="Times New Roman"/>
          <w:b/>
          <w:iCs/>
          <w:u w:val="single"/>
        </w:rPr>
        <w:t xml:space="preserve">Myrtha, puertorriquena, cries full-bodied tears: “I hate this country. I want to bum down every American flag I see.” When the Cuban Missile Crisis occurred in 1962, she packed it up and left for Puerto Rico. She did not want to die on US soil, she told me. Nearly forty years later and Puerto Rico is still not a free and sovereign nation. </w:t>
      </w:r>
    </w:p>
    <w:p w14:paraId="271F6C92" w14:textId="77777777" w:rsidR="00C475A1" w:rsidRPr="00C475A1" w:rsidRDefault="00C475A1" w:rsidP="00C475A1">
      <w:pPr>
        <w:keepNext/>
        <w:keepLines/>
        <w:spacing w:before="40" w:after="0"/>
        <w:outlineLvl w:val="3"/>
        <w:rPr>
          <w:rFonts w:eastAsia="SimSun" w:cs="Times New Roman"/>
          <w:b/>
          <w:iCs/>
          <w:u w:val="single"/>
        </w:rPr>
      </w:pPr>
      <w:r w:rsidRPr="00344888">
        <w:rPr>
          <w:rFonts w:eastAsia="SimSun" w:cs="Times New Roman"/>
          <w:b/>
          <w:iCs/>
          <w:u w:val="single"/>
        </w:rPr>
        <w:t>Millicent got ancestors calling to her in her dreams. They urge her to come on home with them, this slavery has been a long enough deadly enterprise.”</w:t>
      </w:r>
      <w:r w:rsidRPr="00344888">
        <w:rPr>
          <w:rFonts w:eastAsia="SimSun" w:cs="Times New Roman"/>
          <w:b/>
          <w:iCs/>
          <w:u w:val="single"/>
          <w:vertAlign w:val="superscript"/>
        </w:rPr>
        <w:footnoteReference w:id="2"/>
      </w:r>
    </w:p>
    <w:p w14:paraId="7B94E98A" w14:textId="77777777" w:rsidR="00C475A1" w:rsidRPr="00C475A1" w:rsidRDefault="00C475A1" w:rsidP="00C475A1">
      <w:pPr>
        <w:keepNext/>
        <w:keepLines/>
        <w:spacing w:before="40" w:after="0"/>
        <w:outlineLvl w:val="3"/>
        <w:rPr>
          <w:rFonts w:eastAsia="SimSun" w:cs="Times New Roman"/>
          <w:b/>
          <w:iCs/>
          <w:sz w:val="26"/>
        </w:rPr>
      </w:pPr>
    </w:p>
    <w:p w14:paraId="61A9ED80" w14:textId="5763D84B" w:rsidR="006B491D" w:rsidRDefault="00C475A1" w:rsidP="00C475A1">
      <w:pPr>
        <w:keepNext/>
        <w:keepLines/>
        <w:spacing w:before="40" w:after="0"/>
        <w:outlineLvl w:val="3"/>
        <w:rPr>
          <w:rFonts w:eastAsia="SimSun" w:cs="Times New Roman"/>
          <w:b/>
          <w:iCs/>
          <w:sz w:val="26"/>
        </w:rPr>
      </w:pPr>
      <w:r w:rsidRPr="00C475A1">
        <w:rPr>
          <w:rFonts w:eastAsia="SimSun" w:cs="Times New Roman"/>
          <w:b/>
          <w:iCs/>
          <w:sz w:val="26"/>
        </w:rPr>
        <w:t xml:space="preserve">Thus, vote affirmative to harness the force of witness to the testimonies </w:t>
      </w:r>
      <w:r w:rsidR="007D2F0C">
        <w:rPr>
          <w:rFonts w:eastAsia="SimSun" w:cs="Times New Roman"/>
          <w:b/>
          <w:iCs/>
          <w:sz w:val="26"/>
        </w:rPr>
        <w:t>and sp</w:t>
      </w:r>
      <w:r w:rsidR="00B552E3">
        <w:rPr>
          <w:rFonts w:eastAsia="SimSun" w:cs="Times New Roman"/>
          <w:b/>
          <w:iCs/>
          <w:sz w:val="26"/>
        </w:rPr>
        <w:t>iri</w:t>
      </w:r>
      <w:r w:rsidR="007D2F0C">
        <w:rPr>
          <w:rFonts w:eastAsia="SimSun" w:cs="Times New Roman"/>
          <w:b/>
          <w:iCs/>
          <w:sz w:val="26"/>
        </w:rPr>
        <w:t xml:space="preserve">ts </w:t>
      </w:r>
      <w:r w:rsidRPr="00C475A1">
        <w:rPr>
          <w:rFonts w:eastAsia="SimSun" w:cs="Times New Roman"/>
          <w:b/>
          <w:iCs/>
          <w:sz w:val="26"/>
        </w:rPr>
        <w:t>of</w:t>
      </w:r>
      <w:r w:rsidR="00227126">
        <w:rPr>
          <w:rFonts w:eastAsia="SimSun" w:cs="Times New Roman"/>
          <w:b/>
          <w:iCs/>
          <w:sz w:val="26"/>
        </w:rPr>
        <w:t xml:space="preserve"> </w:t>
      </w:r>
      <w:r w:rsidR="00B617F0" w:rsidRPr="00C475A1">
        <w:rPr>
          <w:rFonts w:eastAsia="SimSun" w:cs="Times New Roman"/>
          <w:b/>
          <w:iCs/>
          <w:sz w:val="26"/>
        </w:rPr>
        <w:t>maquiladora</w:t>
      </w:r>
      <w:r w:rsidRPr="00C475A1">
        <w:rPr>
          <w:rFonts w:eastAsia="SimSun" w:cs="Times New Roman"/>
          <w:b/>
          <w:iCs/>
          <w:sz w:val="26"/>
        </w:rPr>
        <w:t xml:space="preserve"> workers</w:t>
      </w:r>
      <w:r w:rsidR="007D2F0C">
        <w:rPr>
          <w:rFonts w:eastAsia="SimSun" w:cs="Times New Roman"/>
          <w:b/>
          <w:iCs/>
          <w:sz w:val="26"/>
        </w:rPr>
        <w:t xml:space="preserve">. The reading of the 1ac composes the education and connection to </w:t>
      </w:r>
      <w:r w:rsidR="00CA5FAA">
        <w:rPr>
          <w:rFonts w:eastAsia="SimSun" w:cs="Times New Roman"/>
          <w:b/>
          <w:iCs/>
          <w:sz w:val="26"/>
        </w:rPr>
        <w:t xml:space="preserve">maquiladora workers who are otherwise invisible by the resolution. </w:t>
      </w:r>
      <w:r w:rsidR="00B552E3">
        <w:rPr>
          <w:rFonts w:eastAsia="SimSun" w:cs="Times New Roman"/>
          <w:b/>
          <w:iCs/>
          <w:sz w:val="26"/>
        </w:rPr>
        <w:t xml:space="preserve">Our own testimonies are a refusal </w:t>
      </w:r>
      <w:r w:rsidR="00C14045">
        <w:rPr>
          <w:rFonts w:eastAsia="SimSun" w:cs="Times New Roman"/>
          <w:b/>
          <w:iCs/>
          <w:sz w:val="26"/>
        </w:rPr>
        <w:t>to forget</w:t>
      </w:r>
      <w:r w:rsidR="006B491D">
        <w:rPr>
          <w:rFonts w:eastAsia="SimSun" w:cs="Times New Roman"/>
          <w:b/>
          <w:iCs/>
          <w:sz w:val="26"/>
        </w:rPr>
        <w:t xml:space="preserve"> which </w:t>
      </w:r>
    </w:p>
    <w:p w14:paraId="57166DD5" w14:textId="41291684" w:rsidR="007D2F0C" w:rsidRDefault="00C14045" w:rsidP="00C475A1">
      <w:pPr>
        <w:keepNext/>
        <w:keepLines/>
        <w:spacing w:before="40" w:after="0"/>
        <w:outlineLvl w:val="3"/>
        <w:rPr>
          <w:rFonts w:eastAsia="SimSun" w:cs="Times New Roman"/>
          <w:b/>
          <w:iCs/>
          <w:sz w:val="26"/>
        </w:rPr>
      </w:pPr>
      <w:r>
        <w:rPr>
          <w:rFonts w:eastAsia="SimSun" w:cs="Times New Roman"/>
          <w:b/>
          <w:iCs/>
          <w:sz w:val="26"/>
        </w:rPr>
        <w:t xml:space="preserve">femicide to the forefront, not as violence we can solve, but as </w:t>
      </w:r>
      <w:r w:rsidR="00ED6D96">
        <w:rPr>
          <w:rFonts w:eastAsia="SimSun" w:cs="Times New Roman"/>
          <w:b/>
          <w:iCs/>
          <w:sz w:val="26"/>
        </w:rPr>
        <w:t>a rejection of binaries that normalize work.</w:t>
      </w:r>
    </w:p>
    <w:p w14:paraId="2952E2BA" w14:textId="77777777" w:rsidR="00C11F89" w:rsidRDefault="00C475A1" w:rsidP="00C475A1">
      <w:pPr>
        <w:keepNext/>
        <w:keepLines/>
        <w:spacing w:before="40" w:after="0"/>
        <w:outlineLvl w:val="3"/>
        <w:rPr>
          <w:rFonts w:eastAsia="SimSun" w:cs="Times New Roman"/>
          <w:b/>
          <w:iCs/>
          <w:sz w:val="26"/>
        </w:rPr>
      </w:pPr>
      <w:r w:rsidRPr="00C475A1">
        <w:rPr>
          <w:rFonts w:eastAsia="SimSun" w:cs="Times New Roman"/>
          <w:b/>
          <w:iCs/>
          <w:sz w:val="26"/>
        </w:rPr>
        <w:t xml:space="preserve">You should act as a witness to the witness, a tribunal judge whose role is not simply to decide the value of the 1AC but the value of your presence here in the circuit of remembering knowing that in your absence or rejection, the circuit does not disappear but simply gets </w:t>
      </w:r>
      <w:r w:rsidR="00C11F89" w:rsidRPr="00C475A1">
        <w:rPr>
          <w:rFonts w:eastAsia="SimSun" w:cs="Times New Roman"/>
          <w:b/>
          <w:iCs/>
          <w:sz w:val="26"/>
        </w:rPr>
        <w:t>bloodier</w:t>
      </w:r>
      <w:r w:rsidRPr="00C475A1">
        <w:rPr>
          <w:rFonts w:eastAsia="SimSun" w:cs="Times New Roman"/>
          <w:b/>
          <w:iCs/>
          <w:sz w:val="26"/>
        </w:rPr>
        <w:t xml:space="preserve"> in the closure of our presence.</w:t>
      </w:r>
      <w:r w:rsidR="00BF229D">
        <w:rPr>
          <w:rFonts w:eastAsia="SimSun" w:cs="Times New Roman"/>
          <w:b/>
          <w:iCs/>
          <w:sz w:val="26"/>
        </w:rPr>
        <w:t xml:space="preserve"> </w:t>
      </w:r>
    </w:p>
    <w:p w14:paraId="1AD03E6F" w14:textId="071E1D33" w:rsidR="00C475A1" w:rsidRPr="00C475A1" w:rsidRDefault="00BF229D" w:rsidP="00C475A1">
      <w:pPr>
        <w:keepNext/>
        <w:keepLines/>
        <w:spacing w:before="40" w:after="0"/>
        <w:outlineLvl w:val="3"/>
        <w:rPr>
          <w:rFonts w:eastAsia="SimSun" w:cs="Times New Roman"/>
          <w:b/>
          <w:iCs/>
          <w:sz w:val="26"/>
        </w:rPr>
      </w:pPr>
      <w:r>
        <w:rPr>
          <w:rFonts w:eastAsia="SimSun" w:cs="Times New Roman"/>
          <w:b/>
          <w:iCs/>
          <w:sz w:val="26"/>
        </w:rPr>
        <w:t xml:space="preserve">We must recognize </w:t>
      </w:r>
      <w:r w:rsidR="00C11F89">
        <w:rPr>
          <w:rFonts w:eastAsia="SimSun" w:cs="Times New Roman"/>
          <w:b/>
          <w:iCs/>
          <w:sz w:val="26"/>
        </w:rPr>
        <w:t>the</w:t>
      </w:r>
      <w:r>
        <w:rPr>
          <w:rFonts w:eastAsia="SimSun" w:cs="Times New Roman"/>
          <w:b/>
          <w:iCs/>
          <w:sz w:val="26"/>
        </w:rPr>
        <w:t xml:space="preserve"> debate space as a </w:t>
      </w:r>
      <w:r w:rsidR="00C11F89">
        <w:rPr>
          <w:rFonts w:eastAsia="SimSun" w:cs="Times New Roman"/>
          <w:b/>
          <w:iCs/>
          <w:sz w:val="26"/>
        </w:rPr>
        <w:t>maquiladora</w:t>
      </w:r>
      <w:r>
        <w:rPr>
          <w:rFonts w:eastAsia="SimSun" w:cs="Times New Roman"/>
          <w:b/>
          <w:iCs/>
          <w:sz w:val="26"/>
        </w:rPr>
        <w:t xml:space="preserve"> su</w:t>
      </w:r>
      <w:r w:rsidR="00C11F89">
        <w:rPr>
          <w:rFonts w:eastAsia="SimSun" w:cs="Times New Roman"/>
          <w:b/>
          <w:iCs/>
          <w:sz w:val="26"/>
        </w:rPr>
        <w:t xml:space="preserve">ite that coerces, uses </w:t>
      </w:r>
      <w:proofErr w:type="gramStart"/>
      <w:r w:rsidR="00C11F89">
        <w:rPr>
          <w:rFonts w:eastAsia="SimSun" w:cs="Times New Roman"/>
          <w:b/>
          <w:iCs/>
          <w:sz w:val="26"/>
        </w:rPr>
        <w:t>And</w:t>
      </w:r>
      <w:proofErr w:type="gramEnd"/>
      <w:r w:rsidR="00C11F89">
        <w:rPr>
          <w:rFonts w:eastAsia="SimSun" w:cs="Times New Roman"/>
          <w:b/>
          <w:iCs/>
          <w:sz w:val="26"/>
        </w:rPr>
        <w:t xml:space="preserve"> marginalizes black and brown latines.</w:t>
      </w:r>
    </w:p>
    <w:p w14:paraId="41F7DFFF" w14:textId="77777777" w:rsidR="00C475A1" w:rsidRPr="00C475A1" w:rsidRDefault="00C475A1" w:rsidP="00C475A1">
      <w:pPr>
        <w:rPr>
          <w:rFonts w:eastAsia="Calibri"/>
        </w:rPr>
      </w:pPr>
      <w:r w:rsidRPr="00C475A1">
        <w:rPr>
          <w:rFonts w:eastAsia="Calibri"/>
          <w:b/>
          <w:bCs/>
          <w:sz w:val="26"/>
        </w:rPr>
        <w:t>Fregoso 23</w:t>
      </w:r>
      <w:r w:rsidRPr="00C475A1">
        <w:rPr>
          <w:rFonts w:eastAsia="Calibri"/>
        </w:rPr>
        <w:t xml:space="preserve">, ROSA-LINDA FREGOSO, 2023, </w:t>
      </w:r>
      <w:r w:rsidRPr="00C475A1">
        <w:rPr>
          <w:rFonts w:eastAsia="Calibri"/>
          <w:i/>
          <w:iCs/>
        </w:rPr>
        <w:t>CONTRA FEMINICIDE: THE FORCE OF WITNESS</w:t>
      </w:r>
      <w:r w:rsidRPr="00C475A1">
        <w:rPr>
          <w:rFonts w:eastAsia="Calibri"/>
        </w:rPr>
        <w:t>, “Prelude,” Duke University Press, Durham and London, p. 2-11 // ~kwudjwa~</w:t>
      </w:r>
    </w:p>
    <w:p w14:paraId="426539F6" w14:textId="6E152C3A" w:rsidR="00C475A1" w:rsidRPr="00C475A1" w:rsidRDefault="00C475A1" w:rsidP="00E644F8">
      <w:pPr>
        <w:rPr>
          <w:rFonts w:eastAsia="SimSun" w:cs="Times New Roman"/>
          <w:b/>
          <w:iCs/>
          <w:highlight w:val="green"/>
          <w:u w:val="single"/>
        </w:rPr>
      </w:pPr>
      <w:r w:rsidRPr="00C475A1">
        <w:rPr>
          <w:rFonts w:eastAsia="Calibri"/>
        </w:rPr>
        <w:t xml:space="preserve">In social theory, </w:t>
      </w:r>
      <w:r w:rsidRPr="00C475A1">
        <w:rPr>
          <w:rFonts w:eastAsia="Calibri"/>
          <w:highlight w:val="green"/>
          <w:u w:val="single"/>
        </w:rPr>
        <w:t>to witness is both ethereal and tangible</w:t>
      </w:r>
      <w:r w:rsidRPr="00C475A1">
        <w:rPr>
          <w:rFonts w:eastAsia="Calibri"/>
          <w:u w:val="single"/>
        </w:rPr>
        <w:t>, abstract and substantial</w:t>
      </w:r>
      <w:r w:rsidRPr="00C475A1">
        <w:rPr>
          <w:rFonts w:eastAsia="Calibri"/>
        </w:rPr>
        <w:t xml:space="preserve">. </w:t>
      </w:r>
      <w:r w:rsidRPr="00C475A1">
        <w:rPr>
          <w:rFonts w:eastAsia="Calibri"/>
          <w:u w:val="single"/>
        </w:rPr>
        <w:t xml:space="preserve">Each </w:t>
      </w:r>
      <w:r w:rsidRPr="00C475A1">
        <w:rPr>
          <w:rFonts w:eastAsia="Calibri"/>
          <w:highlight w:val="green"/>
          <w:u w:val="single"/>
        </w:rPr>
        <w:t>form is context</w:t>
      </w:r>
      <w:r w:rsidRPr="00C475A1">
        <w:rPr>
          <w:rFonts w:eastAsia="Calibri"/>
          <w:u w:val="single"/>
        </w:rPr>
        <w:t xml:space="preserve"> specific.</w:t>
      </w:r>
      <w:r w:rsidRPr="00C475A1">
        <w:rPr>
          <w:rFonts w:eastAsia="Calibri"/>
        </w:rPr>
        <w:t xml:space="preserve"> Witness is a term of law and religion, history and psychoanalysis, conscious and unconscious processes. </w:t>
      </w:r>
      <w:r w:rsidRPr="00C475A1">
        <w:rPr>
          <w:rFonts w:eastAsia="Calibri"/>
          <w:highlight w:val="green"/>
          <w:u w:val="single"/>
        </w:rPr>
        <w:t>In law</w:t>
      </w:r>
      <w:r w:rsidRPr="00C475A1">
        <w:rPr>
          <w:rFonts w:eastAsia="Calibri"/>
          <w:u w:val="single"/>
        </w:rPr>
        <w:t xml:space="preserve">, philosophy, and epistemology, </w:t>
      </w:r>
      <w:r w:rsidRPr="00C475A1">
        <w:rPr>
          <w:rFonts w:eastAsia="Calibri"/>
          <w:highlight w:val="green"/>
          <w:u w:val="single"/>
        </w:rPr>
        <w:t>the eyewitness is privileged as the purveyor of “</w:t>
      </w:r>
      <w:r w:rsidRPr="00C475A1">
        <w:rPr>
          <w:rFonts w:eastAsia="Calibri"/>
          <w:b/>
          <w:iCs/>
          <w:highlight w:val="green"/>
          <w:u w:val="single"/>
        </w:rPr>
        <w:t>the most decisive proof of evidence in courtrooms</w:t>
      </w:r>
      <w:r w:rsidRPr="00C475A1">
        <w:rPr>
          <w:rFonts w:eastAsia="Calibri"/>
          <w:u w:val="single"/>
        </w:rPr>
        <w:t>,” Shoshana Felman tells us.</w:t>
      </w:r>
      <w:r w:rsidRPr="00C475A1">
        <w:rPr>
          <w:rFonts w:eastAsia="Calibri"/>
        </w:rPr>
        <w:t xml:space="preserve">4 </w:t>
      </w:r>
      <w:r w:rsidRPr="00C475A1">
        <w:rPr>
          <w:rFonts w:eastAsia="Calibri"/>
          <w:highlight w:val="green"/>
          <w:u w:val="single"/>
        </w:rPr>
        <w:t>This</w:t>
      </w:r>
      <w:r w:rsidRPr="00C475A1">
        <w:rPr>
          <w:rFonts w:eastAsia="Calibri"/>
          <w:u w:val="single"/>
        </w:rPr>
        <w:t xml:space="preserve"> modernist, ocular-centric </w:t>
      </w:r>
      <w:r w:rsidRPr="00C475A1">
        <w:rPr>
          <w:rFonts w:eastAsia="Calibri"/>
          <w:highlight w:val="green"/>
          <w:u w:val="single"/>
        </w:rPr>
        <w:t>notion of firsthand seeing forms the basis</w:t>
      </w:r>
      <w:r w:rsidRPr="00C475A1">
        <w:rPr>
          <w:rFonts w:eastAsia="Calibri"/>
          <w:u w:val="single"/>
        </w:rPr>
        <w:t xml:space="preserve"> </w:t>
      </w:r>
      <w:r w:rsidRPr="00C475A1">
        <w:rPr>
          <w:rFonts w:eastAsia="Calibri"/>
          <w:highlight w:val="green"/>
          <w:u w:val="single"/>
        </w:rPr>
        <w:t>of</w:t>
      </w:r>
      <w:r w:rsidRPr="00C475A1">
        <w:rPr>
          <w:rFonts w:eastAsia="Calibri"/>
          <w:u w:val="single"/>
        </w:rPr>
        <w:t xml:space="preserve"> a </w:t>
      </w:r>
      <w:r w:rsidRPr="00C475A1">
        <w:rPr>
          <w:rFonts w:eastAsia="Calibri"/>
          <w:highlight w:val="green"/>
          <w:u w:val="single"/>
        </w:rPr>
        <w:t>truth</w:t>
      </w:r>
      <w:r w:rsidRPr="00C475A1">
        <w:rPr>
          <w:rFonts w:eastAsia="Calibri"/>
          <w:u w:val="single"/>
        </w:rPr>
        <w:t xml:space="preserve"> known and </w:t>
      </w:r>
      <w:r w:rsidRPr="00C475A1">
        <w:rPr>
          <w:rFonts w:eastAsia="Calibri"/>
          <w:b/>
          <w:iCs/>
          <w:highlight w:val="green"/>
          <w:u w:val="single"/>
        </w:rPr>
        <w:t>remembered by the witness in a legal or juridical context</w:t>
      </w:r>
      <w:r w:rsidRPr="00C475A1">
        <w:rPr>
          <w:rFonts w:eastAsia="Calibri"/>
        </w:rPr>
        <w:t xml:space="preserve">. The witness as eyewitness is also central to the discursive realm of journalism and academic disciplines that rely on firsthand knowledge through experience as evidentiary basis for news stories, factual claims, and findings.5 </w:t>
      </w:r>
      <w:r w:rsidRPr="00C475A1">
        <w:rPr>
          <w:rFonts w:eastAsia="Calibri"/>
          <w:u w:val="single"/>
        </w:rPr>
        <w:t xml:space="preserve">But just </w:t>
      </w:r>
      <w:r w:rsidRPr="00C475A1">
        <w:rPr>
          <w:rFonts w:eastAsia="Calibri"/>
          <w:highlight w:val="green"/>
          <w:u w:val="single"/>
        </w:rPr>
        <w:t>how reliable is the eyewitness</w:t>
      </w:r>
      <w:r w:rsidRPr="00C475A1">
        <w:rPr>
          <w:rFonts w:eastAsia="Calibri"/>
        </w:rPr>
        <w:t>? Does the witness testify to a truth recognizable as verifiable and factual? Or is there something unavailable as facts, inaccessible to verification, to her testimony? “</w:t>
      </w:r>
      <w:r w:rsidRPr="00C475A1">
        <w:rPr>
          <w:rFonts w:eastAsia="Calibri"/>
          <w:u w:val="single"/>
        </w:rPr>
        <w:t xml:space="preserve">Some </w:t>
      </w:r>
      <w:r w:rsidRPr="00C475A1">
        <w:rPr>
          <w:rFonts w:eastAsia="Calibri"/>
          <w:highlight w:val="green"/>
          <w:u w:val="single"/>
        </w:rPr>
        <w:t>legal proof</w:t>
      </w:r>
      <w:r w:rsidRPr="00C475A1">
        <w:rPr>
          <w:rFonts w:eastAsia="Calibri"/>
          <w:u w:val="single"/>
        </w:rPr>
        <w:t xml:space="preserve"> or the display of an object [this ‘thing’] produced in evidence” </w:t>
      </w:r>
      <w:r w:rsidRPr="00C475A1">
        <w:rPr>
          <w:rFonts w:eastAsia="Calibri"/>
          <w:highlight w:val="green"/>
          <w:u w:val="single"/>
        </w:rPr>
        <w:t>is</w:t>
      </w:r>
      <w:r w:rsidRPr="00C475A1">
        <w:rPr>
          <w:rFonts w:eastAsia="Calibri"/>
          <w:u w:val="single"/>
        </w:rPr>
        <w:t xml:space="preserve"> </w:t>
      </w:r>
      <w:r w:rsidRPr="00C475A1">
        <w:rPr>
          <w:rFonts w:eastAsia="Calibri"/>
          <w:highlight w:val="green"/>
          <w:u w:val="single"/>
        </w:rPr>
        <w:t>fraught</w:t>
      </w:r>
      <w:r w:rsidRPr="00C475A1">
        <w:rPr>
          <w:rFonts w:eastAsia="Calibri"/>
          <w:u w:val="single"/>
        </w:rPr>
        <w:t xml:space="preserve">, facilitated and </w:t>
      </w:r>
      <w:r w:rsidRPr="00C475A1">
        <w:rPr>
          <w:rFonts w:eastAsia="Calibri"/>
          <w:highlight w:val="green"/>
          <w:u w:val="single"/>
        </w:rPr>
        <w:t>complicated by</w:t>
      </w:r>
      <w:r w:rsidRPr="00C475A1">
        <w:rPr>
          <w:rFonts w:eastAsia="Calibri"/>
          <w:u w:val="single"/>
        </w:rPr>
        <w:t xml:space="preserve"> the vicissitudes and oscillations of </w:t>
      </w:r>
      <w:r w:rsidRPr="00C475A1">
        <w:rPr>
          <w:rFonts w:eastAsia="Calibri"/>
          <w:highlight w:val="green"/>
          <w:u w:val="single"/>
        </w:rPr>
        <w:t>memory</w:t>
      </w:r>
      <w:r w:rsidRPr="00C475A1">
        <w:rPr>
          <w:rFonts w:eastAsia="Calibri"/>
        </w:rPr>
        <w:t xml:space="preserve">. As Jacques Derrida suggests, “This ‘thing’ is no longer present to him, of course, in the mode of perception </w:t>
      </w:r>
      <w:proofErr w:type="gramStart"/>
      <w:r w:rsidRPr="00C475A1">
        <w:rPr>
          <w:rFonts w:eastAsia="Calibri"/>
        </w:rPr>
        <w:t>at the moment</w:t>
      </w:r>
      <w:proofErr w:type="gramEnd"/>
      <w:r w:rsidRPr="00C475A1">
        <w:rPr>
          <w:rFonts w:eastAsia="Calibri"/>
        </w:rPr>
        <w:t xml:space="preserve"> when the attestation happens; but it is present to him, if he alleges this presence, as re-presented in the present of memory.”6 </w:t>
      </w:r>
      <w:r w:rsidRPr="00C475A1">
        <w:rPr>
          <w:rFonts w:eastAsia="Calibri"/>
          <w:u w:val="single"/>
        </w:rPr>
        <w:t>The witness’s oath is for the truth as re-membered</w:t>
      </w:r>
      <w:r w:rsidRPr="00C475A1">
        <w:rPr>
          <w:rFonts w:eastAsia="Calibri"/>
        </w:rPr>
        <w:t xml:space="preserve">. In his work as a psychoanalyst with Holocaust survivors, Dori Laub points us to the psychoanalytic context of the unconscious, to the realm of she who bears witness to a truth unavailable to its own </w:t>
      </w:r>
      <w:r w:rsidRPr="00C475A1">
        <w:rPr>
          <w:rFonts w:eastAsia="Calibri"/>
        </w:rPr>
        <w:lastRenderedPageBreak/>
        <w:t xml:space="preserve">speaker. He recounts the story of a survivor-witness to the uprising at Auschwitz who testified incorrectly before historians about the events of the day that Jewish prisoners blew up “three chimneys.” The historians dismissed the woman as an unreliable witness (there was in fact only “one” chimney), yet for Laub the Auschwitz survivor bears witness to a “thing” unfamiliar: the unconscious truth and conditions of possibility of Jewish resistance. “She was testifying not simply to empirical historical facts,” Laub explains, “but to the very secret of [ Jewish] survival and of resistance to extermination.”7 </w:t>
      </w:r>
      <w:r w:rsidRPr="00C475A1">
        <w:rPr>
          <w:rFonts w:eastAsia="Calibri"/>
          <w:highlight w:val="green"/>
          <w:u w:val="single"/>
        </w:rPr>
        <w:t>She bears witness to</w:t>
      </w:r>
      <w:r w:rsidRPr="00C475A1">
        <w:rPr>
          <w:rFonts w:eastAsia="Calibri"/>
          <w:u w:val="single"/>
        </w:rPr>
        <w:t xml:space="preserve"> “agency and resistance”8 —to something that </w:t>
      </w:r>
      <w:proofErr w:type="gramStart"/>
      <w:r w:rsidRPr="00C475A1">
        <w:rPr>
          <w:rFonts w:eastAsia="Calibri"/>
          <w:u w:val="single"/>
        </w:rPr>
        <w:t>cannot be seen,</w:t>
      </w:r>
      <w:proofErr w:type="gramEnd"/>
      <w:r w:rsidRPr="00C475A1">
        <w:rPr>
          <w:rFonts w:eastAsia="Calibri"/>
          <w:u w:val="single"/>
        </w:rPr>
        <w:t xml:space="preserve"> to </w:t>
      </w:r>
      <w:r w:rsidRPr="00C475A1">
        <w:rPr>
          <w:rFonts w:eastAsia="Calibri"/>
          <w:b/>
          <w:iCs/>
          <w:highlight w:val="green"/>
          <w:u w:val="single"/>
        </w:rPr>
        <w:t>what James Baldwin calls “evidence of things not seen.”</w:t>
      </w:r>
      <w:r w:rsidRPr="00C475A1">
        <w:rPr>
          <w:rFonts w:eastAsia="Calibri"/>
        </w:rPr>
        <w:t xml:space="preserve"> On this basis, Kelly Oliver identifies the double sense of the term witness: “It is important to note that witnessing has both the juridical connotation of seeing with one’s own eyes [the eyewitness] and the religious or now political connotation of testifying to that which cannot be seen, or bearing witness.”9 In relation to the Holocaust experience, Laub identifies three distinct levels of witnessing: (1) “the level of being witness to oneself in the experience”; (2) “the level of being a witness to the testimony of others”; and (3) “the level of being a witness to the witnessing process.”10 In each of these instances, to witness is not an autonomous or stand-alone act but a “bonding” involving an interlocutor, a connection with (an)other: “</w:t>
      </w:r>
      <w:r w:rsidRPr="00C475A1">
        <w:rPr>
          <w:rFonts w:eastAsia="Calibri"/>
          <w:b/>
          <w:iCs/>
          <w:sz w:val="26"/>
          <w:szCs w:val="26"/>
          <w:highlight w:val="green"/>
          <w:u w:val="single"/>
        </w:rPr>
        <w:t>Testimonies are not monologues</w:t>
      </w:r>
      <w:r w:rsidRPr="00C475A1">
        <w:rPr>
          <w:rFonts w:eastAsia="Calibri"/>
        </w:rPr>
        <w:t xml:space="preserve">,” Laub continues; “they cannot take place in solitude. The </w:t>
      </w:r>
      <w:r w:rsidRPr="00C475A1">
        <w:rPr>
          <w:rFonts w:eastAsia="Calibri"/>
          <w:u w:val="single"/>
        </w:rPr>
        <w:t>witness is talking to somebody: to somebody they have been waiting for a long time</w:t>
      </w:r>
      <w:r w:rsidRPr="00C475A1">
        <w:rPr>
          <w:rFonts w:eastAsia="Calibri"/>
        </w:rPr>
        <w:t xml:space="preserve">.”11 Oliver builds on this typology and connects the witnessing process to the formation of subjectivity. </w:t>
      </w:r>
      <w:r w:rsidRPr="00C475A1">
        <w:rPr>
          <w:rFonts w:eastAsia="Calibri"/>
          <w:u w:val="single"/>
        </w:rPr>
        <w:t>Witnessing is at the core of subjectivity, according to Oliver</w:t>
      </w:r>
      <w:r w:rsidRPr="00C475A1">
        <w:rPr>
          <w:rFonts w:eastAsia="Calibri"/>
        </w:rPr>
        <w:t xml:space="preserve">. But </w:t>
      </w:r>
      <w:r w:rsidRPr="00C475A1">
        <w:rPr>
          <w:rFonts w:eastAsia="Calibri"/>
          <w:b/>
          <w:iCs/>
          <w:highlight w:val="green"/>
          <w:u w:val="single"/>
        </w:rPr>
        <w:t xml:space="preserve">rather than conceive of subjectivity as a demand for “recognition and visibility,” Oliver embraces </w:t>
      </w:r>
      <w:r w:rsidRPr="00C475A1">
        <w:rPr>
          <w:rFonts w:eastAsia="Calibri"/>
          <w:b/>
          <w:iCs/>
          <w:u w:val="single"/>
        </w:rPr>
        <w:t xml:space="preserve">a notion of </w:t>
      </w:r>
      <w:r w:rsidRPr="00C475A1">
        <w:rPr>
          <w:rFonts w:eastAsia="Calibri"/>
          <w:b/>
          <w:iCs/>
          <w:highlight w:val="green"/>
          <w:u w:val="single"/>
        </w:rPr>
        <w:t>“dis-identification”</w:t>
      </w:r>
      <w:r w:rsidRPr="00C475A1">
        <w:rPr>
          <w:rFonts w:eastAsia="Calibri"/>
        </w:rPr>
        <w:t xml:space="preserve"> (</w:t>
      </w:r>
      <w:r w:rsidRPr="00C475A1">
        <w:rPr>
          <w:rFonts w:eastAsia="Calibri"/>
          <w:u w:val="single"/>
        </w:rPr>
        <w:t>to use José Muñoz’s term</w:t>
      </w:r>
      <w:r w:rsidRPr="00C475A1">
        <w:rPr>
          <w:rFonts w:eastAsia="Calibri"/>
        </w:rPr>
        <w:t xml:space="preserve">).12 As Oliver suggests, subjectivity is “relational and formed and sustained by address-ability (the ability to address others and be addressed by them) and response-ability (the ability to respond to others and oneself).”13 How to build on these understandings of witness in critical social theory, while at the same time going beyond the implied protagonist of the witness based on individual subjectivity? In light of the fact that in these cases, </w:t>
      </w:r>
      <w:r w:rsidRPr="00C475A1">
        <w:rPr>
          <w:rFonts w:eastAsia="Calibri"/>
          <w:u w:val="single"/>
        </w:rPr>
        <w:t xml:space="preserve">the witnessing process involves a restoration of “self-respect and a sense of one’s self as an agent or a self,” </w:t>
      </w:r>
      <w:r w:rsidRPr="00C475A1">
        <w:rPr>
          <w:rFonts w:eastAsia="Calibri"/>
          <w:highlight w:val="green"/>
          <w:u w:val="single"/>
        </w:rPr>
        <w:t>how do we</w:t>
      </w:r>
      <w:r w:rsidRPr="00C475A1">
        <w:rPr>
          <w:rFonts w:eastAsia="Calibri"/>
          <w:u w:val="single"/>
        </w:rPr>
        <w:t xml:space="preserve"> contemplate its social relatedness</w:t>
      </w:r>
      <w:r w:rsidRPr="00C475A1">
        <w:rPr>
          <w:rFonts w:eastAsia="Calibri"/>
        </w:rPr>
        <w:t xml:space="preserve">?14 In other words, </w:t>
      </w:r>
      <w:r w:rsidRPr="00C475A1">
        <w:rPr>
          <w:rFonts w:eastAsia="Calibri"/>
          <w:u w:val="single"/>
        </w:rPr>
        <w:t xml:space="preserve">how to </w:t>
      </w:r>
      <w:r w:rsidRPr="00C475A1">
        <w:rPr>
          <w:rFonts w:eastAsia="Calibri"/>
          <w:highlight w:val="green"/>
          <w:u w:val="single"/>
        </w:rPr>
        <w:t xml:space="preserve">envision </w:t>
      </w:r>
      <w:r w:rsidRPr="00C475A1">
        <w:rPr>
          <w:rFonts w:eastAsia="Calibri"/>
          <w:b/>
          <w:iCs/>
          <w:highlight w:val="green"/>
          <w:u w:val="single"/>
        </w:rPr>
        <w:t>witnessing beyond the logics of law</w:t>
      </w:r>
      <w:r w:rsidRPr="00C475A1">
        <w:rPr>
          <w:rFonts w:eastAsia="Calibri"/>
          <w:b/>
          <w:iCs/>
          <w:u w:val="single"/>
        </w:rPr>
        <w:t xml:space="preserve"> and the modern state</w:t>
      </w:r>
      <w:r w:rsidRPr="00C475A1">
        <w:rPr>
          <w:rFonts w:eastAsia="Calibri"/>
        </w:rPr>
        <w:t>, and as dif</w:t>
      </w:r>
      <w:r w:rsidRPr="00C475A1">
        <w:rPr>
          <w:rFonts w:eastAsia="Calibri"/>
        </w:rPr>
        <w:softHyphen/>
        <w:t xml:space="preserve">ferent from a category, an identity, a subject, and its embeddedness in liberalism and the autonomous individual of Western humanism? </w:t>
      </w:r>
      <w:r w:rsidRPr="00C475A1">
        <w:rPr>
          <w:rFonts w:eastAsia="Calibri"/>
          <w:u w:val="single"/>
        </w:rPr>
        <w:t>How do we imagine witnessing as a pluriversal endeavor and presence?</w:t>
      </w:r>
      <w:r w:rsidRPr="00C475A1">
        <w:rPr>
          <w:rFonts w:eastAsia="Calibri"/>
        </w:rPr>
        <w:t xml:space="preserve"> The witness I write about in these pages figures as a countervailing force to the necropolitics or death force that for decades has brutalized the MexicoUS border region and spread to other parts of the hemisphere. </w:t>
      </w:r>
      <w:r w:rsidRPr="00C475A1">
        <w:rPr>
          <w:rFonts w:eastAsia="Calibri"/>
          <w:b/>
          <w:iCs/>
          <w:highlight w:val="green"/>
          <w:u w:val="single"/>
        </w:rPr>
        <w:t>The force of witness represents a collectivity that counters</w:t>
      </w:r>
      <w:r w:rsidRPr="00C475A1">
        <w:rPr>
          <w:rFonts w:eastAsia="Calibri"/>
          <w:b/>
          <w:iCs/>
          <w:u w:val="single"/>
        </w:rPr>
        <w:t xml:space="preserve"> this </w:t>
      </w:r>
      <w:r w:rsidRPr="00C475A1">
        <w:rPr>
          <w:rFonts w:eastAsia="Calibri"/>
          <w:b/>
          <w:iCs/>
          <w:highlight w:val="green"/>
          <w:u w:val="single"/>
        </w:rPr>
        <w:t>death force with</w:t>
      </w:r>
      <w:r w:rsidRPr="00C475A1">
        <w:rPr>
          <w:rFonts w:eastAsia="Calibri"/>
          <w:b/>
          <w:iCs/>
          <w:u w:val="single"/>
        </w:rPr>
        <w:t xml:space="preserve"> life, with </w:t>
      </w:r>
      <w:r w:rsidRPr="00C475A1">
        <w:rPr>
          <w:rFonts w:eastAsia="Calibri"/>
          <w:b/>
          <w:iCs/>
          <w:highlight w:val="green"/>
          <w:u w:val="single"/>
        </w:rPr>
        <w:t xml:space="preserve">the vitality of a life force </w:t>
      </w:r>
      <w:r w:rsidRPr="00C475A1">
        <w:rPr>
          <w:rFonts w:eastAsia="Calibri"/>
          <w:b/>
          <w:iCs/>
          <w:u w:val="single"/>
        </w:rPr>
        <w:t xml:space="preserve">of human and multispecies existence, and </w:t>
      </w:r>
      <w:r w:rsidRPr="00C475A1">
        <w:rPr>
          <w:rFonts w:eastAsia="Calibri"/>
          <w:b/>
          <w:iCs/>
          <w:highlight w:val="green"/>
          <w:u w:val="single"/>
        </w:rPr>
        <w:t xml:space="preserve">with </w:t>
      </w:r>
      <w:r w:rsidRPr="00C475A1">
        <w:rPr>
          <w:rFonts w:eastAsia="Calibri"/>
          <w:b/>
          <w:iCs/>
          <w:u w:val="single"/>
        </w:rPr>
        <w:t xml:space="preserve">the </w:t>
      </w:r>
      <w:r w:rsidRPr="00C475A1">
        <w:rPr>
          <w:rFonts w:eastAsia="Calibri"/>
          <w:b/>
          <w:iCs/>
          <w:highlight w:val="green"/>
          <w:u w:val="single"/>
        </w:rPr>
        <w:t>demands for life</w:t>
      </w:r>
      <w:r w:rsidRPr="00C475A1">
        <w:rPr>
          <w:rFonts w:eastAsia="Calibri"/>
          <w:b/>
          <w:iCs/>
          <w:u w:val="single"/>
        </w:rPr>
        <w:t>.</w:t>
      </w:r>
      <w:r w:rsidRPr="00C475A1">
        <w:rPr>
          <w:rFonts w:eastAsia="Calibri"/>
        </w:rPr>
        <w:t xml:space="preserve"> </w:t>
      </w:r>
      <w:r w:rsidRPr="00C475A1">
        <w:rPr>
          <w:rFonts w:eastAsia="Calibri"/>
          <w:b/>
          <w:iCs/>
          <w:sz w:val="28"/>
          <w:szCs w:val="28"/>
          <w:highlight w:val="green"/>
          <w:u w:val="single"/>
        </w:rPr>
        <w:t xml:space="preserve">“¡vivas las </w:t>
      </w:r>
      <w:proofErr w:type="gramStart"/>
      <w:r w:rsidRPr="00C475A1">
        <w:rPr>
          <w:rFonts w:eastAsia="Calibri"/>
          <w:b/>
          <w:iCs/>
          <w:sz w:val="28"/>
          <w:szCs w:val="28"/>
          <w:highlight w:val="green"/>
          <w:u w:val="single"/>
        </w:rPr>
        <w:t>queremos!</w:t>
      </w:r>
      <w:r w:rsidRPr="00C475A1">
        <w:rPr>
          <w:rFonts w:eastAsia="Calibri"/>
          <w:b/>
          <w:iCs/>
          <w:sz w:val="28"/>
          <w:szCs w:val="28"/>
          <w:u w:val="single"/>
        </w:rPr>
        <w:t>/</w:t>
      </w:r>
      <w:proofErr w:type="gramEnd"/>
      <w:r w:rsidRPr="00C475A1">
        <w:rPr>
          <w:rFonts w:eastAsia="Calibri"/>
          <w:b/>
          <w:iCs/>
          <w:u w:val="single"/>
        </w:rPr>
        <w:t>we want them alive!”</w:t>
      </w:r>
      <w:r w:rsidRPr="00C475A1">
        <w:rPr>
          <w:rFonts w:eastAsia="Calibri"/>
        </w:rPr>
        <w:t xml:space="preserve"> </w:t>
      </w:r>
      <w:r w:rsidRPr="00C475A1">
        <w:rPr>
          <w:rFonts w:eastAsia="Calibri"/>
          <w:b/>
          <w:iCs/>
          <w:highlight w:val="green"/>
          <w:u w:val="single"/>
        </w:rPr>
        <w:t>the mothers and their allies in the contra-feminicide movement chanted during the protest marches of the early twenty-first century</w:t>
      </w:r>
      <w:r w:rsidRPr="00C475A1">
        <w:rPr>
          <w:rFonts w:eastAsia="Calibri"/>
        </w:rPr>
        <w:t xml:space="preserve">. As a countervailing force to the destruction of life, to witness involves an embodied form of resistance and refusal to the disciplining, symbolic and material annihilation, and objectifying logic of the “feminicide machine.”15 </w:t>
      </w:r>
      <w:r w:rsidRPr="00C475A1">
        <w:rPr>
          <w:rFonts w:eastAsia="Calibri"/>
          <w:b/>
          <w:iCs/>
          <w:sz w:val="28"/>
          <w:szCs w:val="28"/>
          <w:highlight w:val="green"/>
          <w:u w:val="single"/>
        </w:rPr>
        <w:t>The force of witness counters the dehumanization of women’s and feminized bodies, the extermination of poor, mestiza, Indigenous, Afrodescendant, and trans people</w:t>
      </w:r>
      <w:r w:rsidRPr="00C475A1">
        <w:rPr>
          <w:rFonts w:eastAsia="Calibri"/>
          <w:u w:val="single"/>
        </w:rPr>
        <w:t xml:space="preserve">. As an embodied form of resistance and refusal constituted by social relatedness, the force of witness affirms and maintains a pluriversal, heterogenous stance contingent on events and circumstances. </w:t>
      </w:r>
      <w:r w:rsidRPr="00C475A1">
        <w:rPr>
          <w:rFonts w:eastAsia="Calibri"/>
        </w:rPr>
        <w:t xml:space="preserve">Unlike Western universalism, the theory of </w:t>
      </w:r>
      <w:r w:rsidRPr="00C475A1">
        <w:rPr>
          <w:rFonts w:eastAsia="Calibri"/>
          <w:u w:val="single"/>
        </w:rPr>
        <w:t>pluriversality opens our worldview to other possibilities for the human, ethics, and divergent imaginaries.1</w:t>
      </w:r>
      <w:r w:rsidRPr="00C475A1">
        <w:rPr>
          <w:rFonts w:eastAsia="Calibri"/>
        </w:rPr>
        <w:t>6 Drawing from the contemplative traditions of Hinduism and Buddhism, historian and cultural critic Lata Mani considers witnessing to be a pluralistic and dynamic practice that can potentially expand our sensual engagement with the world: “</w:t>
      </w:r>
      <w:r w:rsidRPr="00C475A1">
        <w:rPr>
          <w:rFonts w:eastAsia="Calibri"/>
          <w:u w:val="single"/>
        </w:rPr>
        <w:t>Witnessing brings our attention to the inherently relational nature of existence and perception. It helps us to actively experience the fact that the world is not external to us and discontinuous to us; we discover that the world is in us and we are of it</w:t>
      </w:r>
      <w:r w:rsidRPr="00C475A1">
        <w:rPr>
          <w:rFonts w:eastAsia="Calibri"/>
        </w:rPr>
        <w:t xml:space="preserve">.”17 The force of witness involves a “letting go of the body as a ‘unit’” (to quote Judith Butler) and putting aside an identity-based approach to the individual subjectivity of the witness, for an “interbeing” understanding of the human.18 </w:t>
      </w:r>
      <w:r w:rsidRPr="00C475A1">
        <w:rPr>
          <w:rFonts w:eastAsia="Calibri"/>
          <w:u w:val="single"/>
        </w:rPr>
        <w:t>The subjectivity of interbeing is grounded in relations of solidarity, just as the act of bearing witness is anchored in interbeing relations</w:t>
      </w:r>
      <w:r w:rsidRPr="00C475A1">
        <w:rPr>
          <w:rFonts w:eastAsia="Calibri"/>
        </w:rPr>
        <w:t xml:space="preserve">. Interbeing is an/other version of the human distinct from the self-reliant individual of Western humanism; it is a relational being: the Mayan concept of In’Laketch—“you are my other self.”19 To witness under countervailing forces, then, is not solely an individual act but an expansive orientation beyond human agency and species provincialism.20 </w:t>
      </w:r>
      <w:r w:rsidRPr="00C475A1">
        <w:rPr>
          <w:rFonts w:eastAsia="Calibri"/>
          <w:highlight w:val="green"/>
          <w:u w:val="single"/>
        </w:rPr>
        <w:t>The force of witness connects</w:t>
      </w:r>
      <w:r w:rsidRPr="00C475A1">
        <w:rPr>
          <w:rFonts w:eastAsia="Calibri"/>
        </w:rPr>
        <w:t xml:space="preserve"> with the feature that Cindy Holder and Jeff Corntassel refer </w:t>
      </w:r>
      <w:r w:rsidRPr="00C475A1">
        <w:rPr>
          <w:rFonts w:eastAsia="Calibri"/>
          <w:highlight w:val="green"/>
          <w:u w:val="single"/>
        </w:rPr>
        <w:t>to</w:t>
      </w:r>
      <w:r w:rsidRPr="00C475A1">
        <w:rPr>
          <w:rFonts w:eastAsia="Calibri"/>
        </w:rPr>
        <w:t xml:space="preserve"> as “universal kinship”—</w:t>
      </w:r>
      <w:r w:rsidRPr="00C475A1">
        <w:rPr>
          <w:rFonts w:eastAsia="Calibri"/>
          <w:highlight w:val="green"/>
          <w:u w:val="single"/>
        </w:rPr>
        <w:t xml:space="preserve">an interrelatedness of humans to all other </w:t>
      </w:r>
      <w:r w:rsidRPr="00C475A1">
        <w:rPr>
          <w:rFonts w:eastAsia="Calibri"/>
          <w:highlight w:val="green"/>
          <w:u w:val="single"/>
        </w:rPr>
        <w:lastRenderedPageBreak/>
        <w:t>elements of the cosmos, living and nonliving beings, in the material and spirit worlds</w:t>
      </w:r>
      <w:r w:rsidRPr="00C475A1">
        <w:rPr>
          <w:rFonts w:eastAsia="Calibri"/>
        </w:rPr>
        <w:t xml:space="preserve">.21 As members of complex kinship networks and clan affiliations, one’s interrelatedness and sense of belonging entail a multiplicity of duties and obligations to the social/collective. The force of witness involves an ethics of reciprocity, a “response-ability” (to use Oliver’s formulation) whereby every human being (each of us) is obliged to contemplate and regard with compassion the suffering of others. The ethical, engaged labor of pluriversal witnessing entails planetary obligations and duties to something greater than the self. In formulating an insurgent theory of communitarian feminism, Aymara feminist Julieta Paredes posits the dialectic between the individual and the collective, defined by social kinship network—“el ser humano es relacional.”22 This relational orientation of human life is central to Mesoamerican thinking of “the interconnectedness of everyone and everything in the universe, the intersubjective nature of men and women, interconnected with the earth, sky, plants, and planets.”23 Let us replace individuality with a “poetics of communality,” to borrow from author and critic Cristina Rivera Garza.24 In The Restless Dead, Rivera Garza makes use of </w:t>
      </w:r>
      <w:r w:rsidRPr="00C475A1">
        <w:rPr>
          <w:rFonts w:eastAsia="Calibri"/>
          <w:highlight w:val="green"/>
          <w:u w:val="single"/>
        </w:rPr>
        <w:t xml:space="preserve">the Mesoamerican concept of communality vis-à-vis writing and </w:t>
      </w:r>
      <w:r w:rsidRPr="00C475A1">
        <w:rPr>
          <w:rFonts w:eastAsia="Calibri"/>
          <w:b/>
          <w:iCs/>
          <w:sz w:val="30"/>
          <w:szCs w:val="30"/>
          <w:highlight w:val="green"/>
          <w:u w:val="single"/>
        </w:rPr>
        <w:t>other forms of labor</w:t>
      </w:r>
      <w:r w:rsidRPr="00C475A1">
        <w:rPr>
          <w:rFonts w:eastAsia="Calibri"/>
        </w:rPr>
        <w:t xml:space="preserve">.25 This understanding of communality </w:t>
      </w:r>
      <w:r w:rsidRPr="00C475A1">
        <w:rPr>
          <w:rFonts w:eastAsia="Calibri"/>
          <w:b/>
          <w:iCs/>
          <w:sz w:val="26"/>
          <w:szCs w:val="26"/>
          <w:highlight w:val="green"/>
          <w:u w:val="single"/>
        </w:rPr>
        <w:t>entails thinking beyond oneself and abandoning the notion of the individual</w:t>
      </w:r>
      <w:r w:rsidRPr="00C475A1">
        <w:rPr>
          <w:rFonts w:eastAsia="Calibri"/>
        </w:rPr>
        <w:t>. Building on the work of Mixe anthropologist Floriberto Díaz, Rivera Garza details how “</w:t>
      </w:r>
      <w:r w:rsidRPr="00C475A1">
        <w:rPr>
          <w:rFonts w:eastAsia="Calibri"/>
          <w:b/>
          <w:iCs/>
          <w:highlight w:val="green"/>
          <w:u w:val="single"/>
        </w:rPr>
        <w:t>shared labor, material reciprocity, and a relationship of mutual belonging with the earth are basic components of survival</w:t>
      </w:r>
      <w:r w:rsidRPr="00C475A1">
        <w:rPr>
          <w:rFonts w:eastAsia="Calibri"/>
        </w:rPr>
        <w:t xml:space="preserve">” in Mesoamerican thinking on communality.26 In the Mixe conception and experience of communality, “tequio” in particular is a “practice of reciprocity based on forms of unpaid, obligatory service labor” that “connects nature with human beings in contexts of mutual belonging that radically oppose notions of property and dominion.”27 For Indigenous communities throughout the Américas, claims on earth are situated in an epistemology grounded in the interconnectedness of all beings. These accounts of the complex interdependencies that allow the human to exist are central to Indigenousness as a worldview or way of relating to the cosmos as a living being with consciousness, including multispecies spirits who, as Susan A. Miller writes, “are real and powerful within the material world.”28 In an interconnected pluriverse, anchored in collective kinship and presumptive care for all things, witnessing is a life force inseparable from our duties, obligations, and response-ability to the community of interrelated beings. Witnessing expands our comprehension of interrelatedness. Documentary filmmaker Lourdes Portillo brings this interrelatedness to bear in Señorita Extraviada (see chapter 3). The documentary’s </w:t>
      </w:r>
      <w:r w:rsidRPr="00C475A1">
        <w:rPr>
          <w:rFonts w:eastAsia="Calibri"/>
          <w:b/>
          <w:iCs/>
          <w:highlight w:val="green"/>
          <w:u w:val="single"/>
        </w:rPr>
        <w:t>poetics</w:t>
      </w:r>
      <w:r w:rsidRPr="00C475A1">
        <w:rPr>
          <w:rFonts w:eastAsia="Calibri"/>
        </w:rPr>
        <w:t xml:space="preserve"> at one level </w:t>
      </w:r>
      <w:r w:rsidRPr="00C475A1">
        <w:rPr>
          <w:rFonts w:eastAsia="Calibri"/>
          <w:b/>
          <w:iCs/>
          <w:highlight w:val="green"/>
          <w:u w:val="single"/>
        </w:rPr>
        <w:t>affirm</w:t>
      </w:r>
      <w:r w:rsidRPr="00C475A1">
        <w:rPr>
          <w:rFonts w:eastAsia="Calibri"/>
        </w:rPr>
        <w:t xml:space="preserve">s </w:t>
      </w:r>
      <w:r w:rsidRPr="00C475A1">
        <w:rPr>
          <w:rFonts w:eastAsia="Calibri"/>
          <w:b/>
          <w:iCs/>
          <w:highlight w:val="green"/>
          <w:u w:val="single"/>
        </w:rPr>
        <w:t>a form of witnessing based on documenting the social suffering of feminicide and the force of resistance and agency on the part of mothers and families of the women and girls who were murdered and disappeare</w:t>
      </w:r>
      <w:r w:rsidRPr="00C475A1">
        <w:rPr>
          <w:rFonts w:eastAsia="Calibri"/>
        </w:rPr>
        <w:t xml:space="preserve">d. At another level, witnessing in Señorita Extraviada is not just vision centered but multisensual, “part of a system of sensation and a space filled with the flesh of the world.”29 The documentary weaves together metaphorical images (storm clouds, desert landscapes, discarded shoes) with material (eyewitness) ones, touching visuality with musicality (and not simply soundtrack), into a multisensory poetics of witnessing whereby the interconnection of the senses creates a distinct conception of vision and space. Portillo bears witness to the witnessing process. With Señorita Extraviada she connects the living and the dead through scenes of singular, stand-alone testimonial of a mother followed by a montage of photos of the dead and disappeared women and girls. </w:t>
      </w:r>
      <w:r w:rsidRPr="00C475A1">
        <w:rPr>
          <w:rFonts w:eastAsia="Calibri"/>
          <w:b/>
          <w:iCs/>
          <w:highlight w:val="green"/>
          <w:u w:val="single"/>
        </w:rPr>
        <w:t>Her imaging strategy conjures up their spirits and in so doing anchors the act of bearing witness in interbeing relations.</w:t>
      </w:r>
      <w:r w:rsidRPr="00C475A1">
        <w:rPr>
          <w:rFonts w:eastAsia="Calibri"/>
        </w:rPr>
        <w:t xml:space="preserve"> </w:t>
      </w:r>
      <w:r w:rsidRPr="00C475A1">
        <w:rPr>
          <w:rFonts w:eastAsia="Calibri"/>
          <w:b/>
          <w:iCs/>
          <w:highlight w:val="green"/>
          <w:u w:val="single"/>
        </w:rPr>
        <w:t>This</w:t>
      </w:r>
      <w:r w:rsidRPr="00C475A1">
        <w:rPr>
          <w:rFonts w:eastAsia="Calibri"/>
          <w:u w:val="single"/>
        </w:rPr>
        <w:t xml:space="preserve"> appearance of the living and the dead and disappeared as interconnected in a social kinship network composed of the dialectic between the individual and the collective </w:t>
      </w:r>
      <w:r w:rsidRPr="00C475A1">
        <w:rPr>
          <w:rFonts w:eastAsia="Calibri"/>
          <w:b/>
          <w:iCs/>
          <w:highlight w:val="green"/>
          <w:u w:val="single"/>
        </w:rPr>
        <w:t>creates a space for intersubjectivity</w:t>
      </w:r>
      <w:r w:rsidRPr="00C475A1">
        <w:rPr>
          <w:rFonts w:eastAsia="Calibri"/>
        </w:rPr>
        <w:t xml:space="preserve">. The documentary is not just a portal for the experience of witnessing trauma. Bearing witness in this sense means more than what the eyes can see, beyond an image-based process, but is grounded in a communality of kinship and care. </w:t>
      </w:r>
      <w:r w:rsidRPr="00C475A1">
        <w:rPr>
          <w:rFonts w:eastAsia="Calibri"/>
          <w:u w:val="single"/>
        </w:rPr>
        <w:t>As witnesses to the witnesses, we (viewers) are all implicated in planetary kinship obligations and duties to something greater than the self.</w:t>
      </w:r>
      <w:r w:rsidRPr="00C475A1">
        <w:rPr>
          <w:rFonts w:eastAsia="Calibri"/>
        </w:rPr>
        <w:t xml:space="preserve"> In inscribing this communality, Señorita Extraviada transforms viewers into a life force of witnesses who must now bear part of the burden of responding to feminicidal atrocities and demanding justice on the borderlands. Prelude 7 Felman and Laub called the Holocaust “an event without a witness,” for the extermination of voices produced a “crisis of witnessing.”30 As a survivor of Auschwitz, Primo Levi asserts that he cannot be “one of the true witnesses” of the Holocaust: “The only real witness, whom Levi calls the integral witness, is he who has gone to the heart of horror.”31 Just as one cannot bear witness from inside the Holocaust, one cannot bear witness from inside feminicide and disappearance. </w:t>
      </w:r>
      <w:r w:rsidRPr="00C475A1">
        <w:rPr>
          <w:rFonts w:eastAsia="Calibri"/>
          <w:highlight w:val="green"/>
          <w:u w:val="single"/>
        </w:rPr>
        <w:t>One can bear witness to its tribulations and militant force of action—the vulnerability, agency, embodied forms of resistance and refusal on the part of the contra-feminicide/gender violence movement</w:t>
      </w:r>
      <w:r w:rsidRPr="00C475A1">
        <w:rPr>
          <w:rFonts w:eastAsia="Calibri"/>
        </w:rPr>
        <w:t xml:space="preserve">. </w:t>
      </w:r>
      <w:r w:rsidRPr="00C475A1">
        <w:rPr>
          <w:rFonts w:eastAsia="Calibri"/>
          <w:b/>
          <w:iCs/>
          <w:sz w:val="26"/>
          <w:szCs w:val="26"/>
          <w:highlight w:val="green"/>
          <w:u w:val="single"/>
        </w:rPr>
        <w:t>Witnessing</w:t>
      </w:r>
      <w:r w:rsidRPr="00C475A1">
        <w:rPr>
          <w:rFonts w:eastAsia="Calibri"/>
        </w:rPr>
        <w:t xml:space="preserve">, then, </w:t>
      </w:r>
      <w:r w:rsidRPr="00C475A1">
        <w:rPr>
          <w:rFonts w:eastAsia="Calibri"/>
          <w:b/>
          <w:iCs/>
          <w:sz w:val="26"/>
          <w:szCs w:val="26"/>
          <w:highlight w:val="green"/>
          <w:u w:val="single"/>
        </w:rPr>
        <w:t xml:space="preserve">is not simply an identity or a category but a ground for critical solidarity and </w:t>
      </w:r>
      <w:r w:rsidRPr="00C475A1">
        <w:rPr>
          <w:rFonts w:eastAsia="Calibri"/>
          <w:b/>
          <w:iCs/>
          <w:sz w:val="26"/>
          <w:szCs w:val="26"/>
          <w:highlight w:val="green"/>
          <w:u w:val="single"/>
        </w:rPr>
        <w:lastRenderedPageBreak/>
        <w:t>transformational alliances</w:t>
      </w:r>
      <w:r w:rsidRPr="00C475A1">
        <w:rPr>
          <w:rFonts w:eastAsia="Calibri"/>
        </w:rPr>
        <w:t xml:space="preserve">. In Bearing Witness While Black, Alissa V. Richardson defines Black witnessing as a “style of protest journalism” that serves “to document the human rights injustices against black people.”32 This form of “sousveillance” or reporting from below (as opposed to “surveillance”) embodies a life force inspired by the claim to humanity: “Bearing witness while black is, after all, an act that is borne of a desire to be seen as human.”33 In documenting the multiply overlapping struggles of the contrafeminicide movement in chapters 1 and 4, </w:t>
      </w:r>
      <w:r w:rsidRPr="00C475A1">
        <w:rPr>
          <w:rFonts w:eastAsia="Calibri"/>
          <w:b/>
          <w:iCs/>
          <w:highlight w:val="green"/>
          <w:u w:val="single"/>
        </w:rPr>
        <w:t>bearing witness exemplifies a potential antidote to the war on women and feminized bodies on the borderland.</w:t>
      </w:r>
      <w:r w:rsidRPr="00C475A1">
        <w:rPr>
          <w:rFonts w:eastAsia="Calibri"/>
        </w:rPr>
        <w:t xml:space="preserve"> </w:t>
      </w:r>
      <w:r w:rsidRPr="00C475A1">
        <w:rPr>
          <w:rFonts w:eastAsia="Calibri"/>
          <w:u w:val="single"/>
        </w:rPr>
        <w:t>Just as Black witnessing makes an enduring claim “to be seen as human,” so too does feminist witnessing on the border represent a countervailing force to the necropolitical targeting, objectification, and dehumanization of poor women and girls.</w:t>
      </w:r>
      <w:r w:rsidRPr="00C475A1">
        <w:rPr>
          <w:rFonts w:eastAsia="Calibri"/>
        </w:rPr>
        <w:t xml:space="preserve"> </w:t>
      </w:r>
      <w:r w:rsidRPr="00C475A1">
        <w:rPr>
          <w:rFonts w:eastAsia="Calibri"/>
          <w:highlight w:val="green"/>
          <w:u w:val="single"/>
        </w:rPr>
        <w:t>Feminist border witnessing takes the form of accompaniment, an act embedded in social relatedness</w:t>
      </w:r>
      <w:r w:rsidRPr="00C475A1">
        <w:rPr>
          <w:rFonts w:eastAsia="Calibri"/>
        </w:rPr>
        <w:t xml:space="preserve"> (see chapter 4). In their inspiring book Insubordinate Spaces, Barbara Tomlinson and George Lipsitz define accompaniment as “a disposition, a sensibility, and a pattern of behavior . . . a commitment based on the cultivated capacity for making connections with others, identifying with them, and helping them.”</w:t>
      </w:r>
      <w:r w:rsidRPr="00C475A1">
        <w:rPr>
          <w:rFonts w:eastAsia="Calibri"/>
          <w:u w:val="single"/>
        </w:rPr>
        <w:t>34 The Latin roots of accompaniment “combine ‘bringing together’ (com) with ‘breaking bread’ (panis), connecting physical proximity, shared sustenance and reciprocity</w:t>
      </w:r>
      <w:r w:rsidRPr="00C475A1">
        <w:rPr>
          <w:rFonts w:eastAsia="Calibri"/>
        </w:rPr>
        <w:t xml:space="preserve">.”35 For Tomlinson and Lipsitz, accompaniment is an endeavor and an alliance based on informal networks of solidarity. Their formulation of accompaniment differs sharply from the paternalistic logic of “protective accompaniment” that has been “popularized by human rights discourse.”36 </w:t>
      </w:r>
      <w:r w:rsidRPr="00C475A1">
        <w:rPr>
          <w:rFonts w:eastAsia="Calibri"/>
          <w:b/>
          <w:iCs/>
          <w:highlight w:val="green"/>
          <w:u w:val="single"/>
        </w:rPr>
        <w:t>We heard their screams of personal pain and their calls for solidarity, and so many of us came from elsewhere to accompany the activist-mothers on the border</w:t>
      </w:r>
      <w:r w:rsidRPr="00C475A1">
        <w:rPr>
          <w:rFonts w:eastAsia="Calibri"/>
        </w:rPr>
        <w:t xml:space="preserve">. As I detail in chapter 4, we did not come as the “unarmed bodyguards” that Mahoney and Eguren write about.37 We did not come to monitor human rights violations and to protect the activist-mothers and human rights defenders, as in the paternalistic tradition of “protective accompaniment.” </w:t>
      </w:r>
      <w:r w:rsidRPr="00C475A1">
        <w:rPr>
          <w:rFonts w:eastAsia="Calibri"/>
          <w:highlight w:val="green"/>
          <w:u w:val="single"/>
        </w:rPr>
        <w:t>Those who traveled to the border from the global North, global South, and from other parts of Mexico did not come as neutral, detached, and disinterested witnesses</w:t>
      </w:r>
      <w:r w:rsidRPr="00C475A1">
        <w:rPr>
          <w:rFonts w:eastAsia="Calibri"/>
        </w:rPr>
        <w:t xml:space="preserve">. We came to bear witness, as committed and engaged participants. We came to accompany and connect with the activists in Ciudad Juárez, to find common ground, and unite in their struggle for social change. Bearing witness as accompaniment is a form of entering into a relationship with the other, as Aymara people would say. </w:t>
      </w:r>
      <w:proofErr w:type="gramStart"/>
      <w:r w:rsidRPr="00C475A1">
        <w:rPr>
          <w:rFonts w:eastAsia="Calibri"/>
        </w:rPr>
        <w:t>With regard to</w:t>
      </w:r>
      <w:proofErr w:type="gramEnd"/>
      <w:r w:rsidRPr="00C475A1">
        <w:rPr>
          <w:rFonts w:eastAsia="Calibri"/>
        </w:rPr>
        <w:t xml:space="preserve"> the both/and (rather than either/or) interpretation of its dif</w:t>
      </w:r>
      <w:r w:rsidRPr="00C475A1">
        <w:rPr>
          <w:rFonts w:eastAsia="Calibri"/>
        </w:rPr>
        <w:softHyphen/>
        <w:t xml:space="preserve">ferent modalities, witness is a term of the legal realm (to testify; to give evidence) as much as it is of politics (obligations; response-ability) or aesthetics (utopian, artistic imaginaries). Witnessing occurs in the social, cultural, and spiritual realms, so too in the space of law and the state. Two chapters (5 and 6) deal with witnessing in the conjuncture of legalism (state-centric justice) and politics (social justice). Each of these cases—the tribunal (chapter 5) and the expert witness (chapter 6)—bears witness to individual and collective trauma, as “witness to the trauma witness.” It is “impossible to testify from inside death,” Felman reminds us. Like the Holocaust, feminicide and disappearance represent an “event-withouta-witness.”38 The women murdered and disappeared may have been annihilated as witnesses; however, their mothers and advocates took their place and testified before the Permanent Peoples’ Tribunal (ppt). The mothers became speakers for the dead. In contrast to official courtrooms, the quasi-juridical context of the ppt facilitates a space for an expanded discursive mode of witnessing, first in terms of an official, juridical mode of testifying to the facts of a historical occurrence (the details of the atrocity) and second, a personal, intimate mode of testifying to the truth of the mother/activist/witness’s own suffering, trauma, and spirited resistance. In the expanded modality of testimonial discourse, the speaker provides verbal witness to the empirical/ material annihilation of the witness (dead) and to the accumulated devastation and living pain of their loved ones, who call themselves the “living dead” (see chapter 5). The judges of the tribunal are not neutral, detached, or unconcerned observers of the witnessing process but rather engaged and resolute participants in the struggle for human rights. Characterized as an innovation in law and politics, the ppt’s vision of justice is a socially constituted one, emanating from popular consciousness, not from institutional, state-centric power. The tribunal affirms a moral and ethical obligation to the rights of people rather than a purely legalistic one. As committed and obliged witnesses to the witnesses, </w:t>
      </w:r>
      <w:r w:rsidRPr="00C475A1">
        <w:rPr>
          <w:rFonts w:eastAsia="Calibri"/>
          <w:highlight w:val="green"/>
          <w:u w:val="single"/>
        </w:rPr>
        <w:t>tribunal judges subvert the normative discourse and official context of the court of law, and in so doing affirm witnessing as a life force for the restoration of humanity and claims for social justice.</w:t>
      </w:r>
      <w:r w:rsidRPr="00C475A1">
        <w:rPr>
          <w:rFonts w:eastAsia="Calibri"/>
          <w:u w:val="single"/>
        </w:rPr>
        <w:t xml:space="preserve"> </w:t>
      </w:r>
      <w:r w:rsidRPr="00C475A1">
        <w:rPr>
          <w:rFonts w:eastAsia="Calibri"/>
        </w:rPr>
        <w:t xml:space="preserve">The process of witnessing within the confines of state-centric rights occurred in my role as an expert witness in gender asylum cases (see chapters 1 and 6). Here, too, </w:t>
      </w:r>
      <w:r w:rsidRPr="00C475A1">
        <w:rPr>
          <w:rFonts w:eastAsia="Calibri"/>
          <w:highlight w:val="green"/>
          <w:u w:val="single"/>
        </w:rPr>
        <w:t xml:space="preserve">the modality of “witness to the witness” </w:t>
      </w:r>
      <w:proofErr w:type="gramStart"/>
      <w:r w:rsidRPr="00C475A1">
        <w:rPr>
          <w:rFonts w:eastAsia="Calibri"/>
          <w:highlight w:val="green"/>
          <w:u w:val="single"/>
        </w:rPr>
        <w:t>opened up</w:t>
      </w:r>
      <w:proofErr w:type="gramEnd"/>
      <w:r w:rsidRPr="00C475A1">
        <w:rPr>
          <w:rFonts w:eastAsia="Calibri"/>
          <w:highlight w:val="green"/>
          <w:u w:val="single"/>
        </w:rPr>
        <w:t xml:space="preserve"> a space for alleviating the suffering of survivors of patriarchal violence</w:t>
      </w:r>
      <w:r w:rsidRPr="00C475A1">
        <w:rPr>
          <w:rFonts w:eastAsia="Calibri"/>
        </w:rPr>
        <w:t xml:space="preserve">. Rather than eschewing any association with the legal system, I learned from attorneys in gender asylum cases how to bear witness before a court of law in ways that did not compromise my feminist politics. In petitions for gender asylum, </w:t>
      </w:r>
      <w:r w:rsidRPr="00C475A1">
        <w:rPr>
          <w:rFonts w:eastAsia="Calibri"/>
        </w:rPr>
        <w:lastRenderedPageBreak/>
        <w:t xml:space="preserve">the survivor bears witness through testimony (affidavit) to her own experience of trauma. As witness to the witness-survivor the role of the expert witness is to evaluate and attest to the veracity of the testimony and then determine the level of vulnerability (persecution) that the survivor faces if she were to return to her home country. This situation raises the paradoxical nature of bearing witness within the discursive framework of law in general and asylum petitions in particular. The expert witness must attest to, evaluate, and interpret the testimony of the witness-survivor to trauma while simultaneously portraying the survivor as vulnerable victim. At first glance, this discursive strategy seems problematic because it appears to reinforce a paternalistic logic of passive women in need of protection, and, as Butler writes in another context, images of vulnerability and victimhood fix women “in a position of powerlessness and lack of agency.”39 Even so, in the ten years of working with legal teams for gender asylum, it became clear that attorneys are deploying vulnerability as a strategic concept and mobilizing it in the service of a greater political good, namely that of securing the right to existence for the petitioners and in some cases for their children. Attorneys for gender asylum witnesses-survivors cleverly addressed, engaged, and confronted the legal system and, in the process, insisted on social justice in the normative context of law and the state while they embraced an ethical response-ability to the suffering of witnesses-survivors of gender violence. In their affidavits, the witnesses-survivors of gender violence testify with memories of pain, torture, and their abjection. The survivor thus assumes 10 Prelude the position that Laub terms a “witness to [her]self,” to her own experience of trauma.40 If it is difficult for the listener (the witness of the witness) to hear or read the painful recollections, it can be even more harrowing for the survivor to recall her own experience of oppression and dehumanization. “The act of telling,” writes Dori Laub, “might itself become severely traumatizing, if the price of speaking is re-living; not relief, but further retraumatization.”41 It is in this context that Laub’s words provide some comfort for, as the psychoanalyst explains, through the act of testifying, survivors of atrocities reclaim their “position as a witness,” their agency as subject rather than object. As Laub suggests, “repossessing one’s life story through testimony is a form of action, of charge, which [one] has to actually pass through, in order to continue and complete the process of survival after liberation.”42 Bearing witness, in other words, can potentially serve to repair the inner witness, heal, and rebuild one’s humanity, self-respect, and a sense of oneself as agent. “The act of testifying restores subjectivity to the experience of objectification.”43 Bearing witness to oneself or to one’s inner self is not a solo act but is constituted through interconnection and social relatedness. There is, </w:t>
      </w:r>
      <w:proofErr w:type="gramStart"/>
      <w:r w:rsidRPr="00C475A1">
        <w:rPr>
          <w:rFonts w:eastAsia="Calibri"/>
        </w:rPr>
        <w:t>first of all</w:t>
      </w:r>
      <w:proofErr w:type="gramEnd"/>
      <w:r w:rsidRPr="00C475A1">
        <w:rPr>
          <w:rFonts w:eastAsia="Calibri"/>
        </w:rPr>
        <w:t xml:space="preserve">, a relationship between the witness-survivor of gender violence and her interlocutor-witness who may be a therapist, a rights advocate, an attorney, or an expert witness. The witnessing process can, in addition, potentially constitute more than a dialogic encounter between the witness and an empathetic listener, the witness to the witness. </w:t>
      </w:r>
      <w:r w:rsidRPr="00C475A1">
        <w:rPr>
          <w:rFonts w:eastAsia="Calibri"/>
          <w:highlight w:val="green"/>
          <w:u w:val="single"/>
        </w:rPr>
        <w:t>If we envision the witnessing process as a form of “tequio”—a “practice of reciprocity” or “reciprocal help”44—then new possibilities emerge that transform the witness herself into a portal for solidarity, into a subject who avows her (our) planetary obligations and interdependency</w:t>
      </w:r>
      <w:r w:rsidRPr="00C475A1">
        <w:rPr>
          <w:rFonts w:eastAsia="Calibri"/>
        </w:rPr>
        <w:t xml:space="preserve"> (see chapter 1). We gathered as border witnesses and participants in the political mobilization contra-feminicide. Some brought their expertise in grassroots modes of </w:t>
      </w:r>
      <w:proofErr w:type="gramStart"/>
      <w:r w:rsidRPr="00C475A1">
        <w:rPr>
          <w:rFonts w:eastAsia="Calibri"/>
        </w:rPr>
        <w:t>organizing;</w:t>
      </w:r>
      <w:proofErr w:type="gramEnd"/>
      <w:r w:rsidRPr="00C475A1">
        <w:rPr>
          <w:rFonts w:eastAsia="Calibri"/>
        </w:rPr>
        <w:t xml:space="preserve"> others their support and shelter for survivors of gender violence. Feminist researchers contributed their scholarship; journalists observed and documented the protests; artists depicted the unbearable violence and evoked utopian imaginaries of love, abolition, and nonviolence. We all arrived to honor the dead. </w:t>
      </w:r>
      <w:r w:rsidRPr="00C475A1">
        <w:rPr>
          <w:rFonts w:eastAsia="Calibri"/>
          <w:b/>
          <w:iCs/>
          <w:highlight w:val="green"/>
          <w:u w:val="single"/>
        </w:rPr>
        <w:t xml:space="preserve">Some among us are witnesses to ourselves: survivors of gender violence; artists with childhood memories of sexual assault; </w:t>
      </w:r>
      <w:r w:rsidRPr="00C475A1">
        <w:rPr>
          <w:rFonts w:eastAsia="Calibri"/>
          <w:b/>
          <w:iCs/>
          <w:sz w:val="28"/>
          <w:szCs w:val="28"/>
          <w:highlight w:val="green"/>
          <w:u w:val="single"/>
        </w:rPr>
        <w:t>activists who endured workplace harassment</w:t>
      </w:r>
      <w:r w:rsidRPr="00C475A1">
        <w:rPr>
          <w:rFonts w:eastAsia="Calibri"/>
          <w:b/>
          <w:iCs/>
          <w:highlight w:val="green"/>
          <w:u w:val="single"/>
        </w:rPr>
        <w:t>; males concerned about violence inflicted on their female kin.</w:t>
      </w:r>
      <w:r w:rsidRPr="00C475A1">
        <w:rPr>
          <w:rFonts w:eastAsia="Calibri"/>
          <w:b/>
          <w:iCs/>
          <w:u w:val="single"/>
        </w:rPr>
        <w:t xml:space="preserve"> </w:t>
      </w:r>
      <w:r w:rsidRPr="00C475A1">
        <w:rPr>
          <w:rFonts w:eastAsia="Calibri"/>
        </w:rPr>
        <w:t>The life force of solidarity and resistance is often interconnected with one’s own vulnerability, one’s autobiographical encounter with the death force of violence</w:t>
      </w:r>
      <w:r w:rsidRPr="00C475A1">
        <w:rPr>
          <w:rFonts w:eastAsia="Calibri"/>
          <w:u w:val="single"/>
        </w:rPr>
        <w:t>. We came in the spirit of solidarity and communality, forging intersubjective relations that ground the act of bearing witness in human connections</w:t>
      </w:r>
      <w:r w:rsidRPr="00C475A1">
        <w:rPr>
          <w:rFonts w:eastAsia="Calibri"/>
        </w:rPr>
        <w:t xml:space="preserve">. The force of witness. We are living in a world cleaved </w:t>
      </w:r>
      <w:r w:rsidRPr="00A868A6">
        <w:rPr>
          <w:rFonts w:eastAsia="Calibri"/>
        </w:rPr>
        <w:t>by multiple atrocities and senseless death. “</w:t>
      </w:r>
      <w:r w:rsidRPr="00A868A6">
        <w:rPr>
          <w:rFonts w:eastAsia="Calibri"/>
          <w:u w:val="single"/>
        </w:rPr>
        <w:t>We chant once more, the names of the dead and bear witness again and again, deeper and deeper, to the anguish and sorrow of that terrible place</w:t>
      </w:r>
      <w:r w:rsidRPr="00A868A6">
        <w:rPr>
          <w:rFonts w:eastAsia="Calibri"/>
        </w:rPr>
        <w:t>,” Bernie Glassman declares.45 We bear witness, not as a self-contained individual identity or body but as an embodied</w:t>
      </w:r>
      <w:r w:rsidRPr="00C475A1">
        <w:rPr>
          <w:rFonts w:eastAsia="Calibri"/>
        </w:rPr>
        <w:t xml:space="preserve"> enactment of kinship obligations and response-ability to others. Multiply situated to dissolve individual subjectivity, witnessing is an act in which the body is “bound up and dependent on other bodies and networks of support.”46 </w:t>
      </w:r>
      <w:r w:rsidRPr="00C475A1">
        <w:rPr>
          <w:rFonts w:eastAsia="Calibri"/>
          <w:u w:val="single"/>
        </w:rPr>
        <w:t>We arrive as active, engaged, and committed participants in the struggle for social change. We step into someone else’s footprints, walk beside them, nearby, alongside. The force of witness. Never alone.</w:t>
      </w:r>
    </w:p>
    <w:p w14:paraId="7254FAAF" w14:textId="77777777" w:rsidR="00470B87" w:rsidRDefault="00470B87" w:rsidP="00470B87">
      <w:pPr>
        <w:keepNext/>
        <w:keepLines/>
        <w:spacing w:before="40" w:after="0"/>
        <w:outlineLvl w:val="3"/>
        <w:rPr>
          <w:rFonts w:eastAsia="SimSun" w:cs="Times New Roman"/>
          <w:b/>
          <w:iCs/>
          <w:sz w:val="26"/>
        </w:rPr>
      </w:pPr>
    </w:p>
    <w:p w14:paraId="412212E5" w14:textId="4906E8D8" w:rsidR="00470B87" w:rsidRDefault="00B617F0" w:rsidP="00470B87">
      <w:pPr>
        <w:keepNext/>
        <w:keepLines/>
        <w:spacing w:before="40" w:after="0"/>
        <w:outlineLvl w:val="3"/>
        <w:rPr>
          <w:rFonts w:eastAsia="SimSun" w:cs="Times New Roman"/>
          <w:b/>
          <w:iCs/>
          <w:sz w:val="26"/>
        </w:rPr>
      </w:pPr>
      <w:r>
        <w:rPr>
          <w:rFonts w:eastAsia="SimSun" w:cs="Times New Roman"/>
          <w:b/>
          <w:iCs/>
          <w:sz w:val="26"/>
        </w:rPr>
        <w:t>Our r</w:t>
      </w:r>
      <w:r w:rsidR="00470B87">
        <w:rPr>
          <w:rFonts w:eastAsia="SimSun" w:cs="Times New Roman"/>
          <w:b/>
          <w:iCs/>
          <w:sz w:val="26"/>
        </w:rPr>
        <w:t>eturn to the resolution and status quo asks us to disentangle the presence of femicide and racialized cheap labor.</w:t>
      </w:r>
    </w:p>
    <w:p w14:paraId="533BB6AE" w14:textId="6960E9EE" w:rsidR="00470B87" w:rsidRDefault="00470B87" w:rsidP="00470B87">
      <w:pPr>
        <w:keepNext/>
        <w:keepLines/>
        <w:spacing w:before="40" w:after="0"/>
        <w:outlineLvl w:val="3"/>
        <w:rPr>
          <w:rFonts w:eastAsia="SimSun" w:cs="Times New Roman"/>
          <w:b/>
          <w:iCs/>
          <w:sz w:val="26"/>
        </w:rPr>
      </w:pPr>
      <w:r>
        <w:rPr>
          <w:rFonts w:eastAsia="SimSun" w:cs="Times New Roman"/>
          <w:b/>
          <w:iCs/>
          <w:sz w:val="26"/>
        </w:rPr>
        <w:t xml:space="preserve">Femicide stabilizes and preserves individualism and deportation as a mechanism to sustain labor violence and preclude collective bargaining. </w:t>
      </w:r>
    </w:p>
    <w:p w14:paraId="34DC02BC" w14:textId="77777777" w:rsidR="00470B87" w:rsidRDefault="00470B87" w:rsidP="00470B87">
      <w:pPr>
        <w:keepNext/>
        <w:keepLines/>
        <w:spacing w:before="40" w:after="0"/>
        <w:outlineLvl w:val="3"/>
        <w:rPr>
          <w:rFonts w:eastAsia="SimSun" w:cs="Times New Roman"/>
          <w:b/>
          <w:iCs/>
          <w:sz w:val="26"/>
        </w:rPr>
      </w:pPr>
      <w:r>
        <w:rPr>
          <w:rFonts w:eastAsia="SimSun" w:cs="Times New Roman"/>
          <w:b/>
          <w:iCs/>
          <w:sz w:val="26"/>
        </w:rPr>
        <w:t>W</w:t>
      </w:r>
      <w:r w:rsidRPr="00C475A1">
        <w:rPr>
          <w:rFonts w:eastAsia="SimSun" w:cs="Times New Roman"/>
          <w:b/>
          <w:iCs/>
          <w:sz w:val="26"/>
        </w:rPr>
        <w:t xml:space="preserve">e must question dichotomies within the law that give way to the elimination of criminalized bodies as a condition for narrative coherence within contemporary debate. </w:t>
      </w:r>
      <w:r>
        <w:rPr>
          <w:rFonts w:eastAsia="SimSun" w:cs="Times New Roman"/>
          <w:b/>
          <w:iCs/>
          <w:sz w:val="26"/>
        </w:rPr>
        <w:t xml:space="preserve"> </w:t>
      </w:r>
    </w:p>
    <w:p w14:paraId="7761B1BF" w14:textId="77777777" w:rsidR="00470B87" w:rsidRPr="00C475A1" w:rsidRDefault="00470B87" w:rsidP="00470B87">
      <w:pPr>
        <w:rPr>
          <w:rFonts w:eastAsia="Calibri"/>
        </w:rPr>
      </w:pPr>
      <w:r w:rsidRPr="00C475A1">
        <w:rPr>
          <w:rFonts w:eastAsia="Calibri"/>
          <w:b/>
          <w:bCs/>
          <w:sz w:val="26"/>
        </w:rPr>
        <w:t>Cohen 13</w:t>
      </w:r>
      <w:r w:rsidRPr="00C475A1">
        <w:rPr>
          <w:rFonts w:eastAsia="Calibri"/>
        </w:rPr>
        <w:t>, Cohen, M. M. (2013). Labor, Love, and Murder in the Americas: Decolonizing the Human in Chicana/o Literature. </w:t>
      </w:r>
      <w:r w:rsidRPr="00C475A1">
        <w:rPr>
          <w:rFonts w:eastAsia="Calibri"/>
          <w:i/>
          <w:iCs/>
        </w:rPr>
        <w:t>UC Berkeley</w:t>
      </w:r>
      <w:r w:rsidRPr="00C475A1">
        <w:rPr>
          <w:rFonts w:eastAsia="Calibri"/>
        </w:rPr>
        <w:t xml:space="preserve">. ProQuest ID: Cohen_berkeley_0028E_13500. Merritt ID: ark:/13030/m58s9bsn. Retrieved from </w:t>
      </w:r>
      <w:proofErr w:type="gramStart"/>
      <w:r w:rsidRPr="00C475A1">
        <w:rPr>
          <w:rFonts w:eastAsia="Calibri"/>
        </w:rPr>
        <w:t>https://escholarship.org/uc/item/2v54r3x0  /</w:t>
      </w:r>
      <w:proofErr w:type="gramEnd"/>
      <w:r w:rsidRPr="00C475A1">
        <w:rPr>
          <w:rFonts w:eastAsia="Calibri"/>
        </w:rPr>
        <w:t>/ ~kwudjwa~</w:t>
      </w:r>
    </w:p>
    <w:p w14:paraId="79ECE937" w14:textId="77777777" w:rsidR="00470B87" w:rsidRPr="00C475A1" w:rsidRDefault="00470B87" w:rsidP="00470B87">
      <w:pPr>
        <w:rPr>
          <w:rFonts w:eastAsia="Calibri"/>
        </w:rPr>
      </w:pPr>
      <w:r w:rsidRPr="00C475A1">
        <w:rPr>
          <w:rFonts w:eastAsia="Calibri"/>
        </w:rPr>
        <w:t xml:space="preserve">The great </w:t>
      </w:r>
      <w:r w:rsidRPr="00C475A1">
        <w:rPr>
          <w:rFonts w:eastAsia="Calibri"/>
          <w:highlight w:val="green"/>
          <w:u w:val="single"/>
        </w:rPr>
        <w:t>gains made by</w:t>
      </w:r>
      <w:r w:rsidRPr="00C475A1">
        <w:rPr>
          <w:rFonts w:eastAsia="Calibri"/>
        </w:rPr>
        <w:t xml:space="preserve"> the </w:t>
      </w:r>
      <w:r w:rsidRPr="00C475A1">
        <w:rPr>
          <w:rFonts w:eastAsia="Calibri"/>
          <w:highlight w:val="green"/>
          <w:u w:val="single"/>
        </w:rPr>
        <w:t>U.S. labor activism</w:t>
      </w:r>
      <w:r w:rsidRPr="00C475A1">
        <w:rPr>
          <w:rFonts w:eastAsia="Calibri"/>
        </w:rPr>
        <w:t xml:space="preserve"> of the 1930s and 1940s </w:t>
      </w:r>
      <w:r w:rsidRPr="00C475A1">
        <w:rPr>
          <w:rFonts w:eastAsia="Calibri"/>
          <w:highlight w:val="green"/>
          <w:u w:val="single"/>
        </w:rPr>
        <w:t>were undermined by</w:t>
      </w:r>
      <w:r w:rsidRPr="00C475A1">
        <w:rPr>
          <w:rFonts w:eastAsia="Calibri"/>
        </w:rPr>
        <w:t xml:space="preserve"> what Justin Chacón describes as “</w:t>
      </w:r>
      <w:r w:rsidRPr="00C475A1">
        <w:rPr>
          <w:rFonts w:eastAsia="Calibri"/>
          <w:highlight w:val="green"/>
          <w:u w:val="single"/>
        </w:rPr>
        <w:t>the creation of a differentiated urban-rural workforce</w:t>
      </w:r>
      <w:r w:rsidRPr="00C475A1">
        <w:rPr>
          <w:rFonts w:eastAsia="Calibri"/>
        </w:rPr>
        <w:t xml:space="preserve">” in which </w:t>
      </w:r>
      <w:r w:rsidRPr="00C475A1">
        <w:rPr>
          <w:rFonts w:eastAsia="Calibri"/>
          <w:u w:val="single"/>
        </w:rPr>
        <w:t>a “virtual union-free zone” was created in “one of the most significant sectors of the US economy”—agriculture</w:t>
      </w:r>
      <w:r w:rsidRPr="00C475A1">
        <w:rPr>
          <w:rFonts w:eastAsia="Calibri"/>
        </w:rPr>
        <w:t xml:space="preserve"> (140). Introduced in 1942 during World War II, the Bracero Program was justified as “a ‘wartime expediency’ plan to ease a labor shortage in agriculture” (Chacón, 140). However, the </w:t>
      </w:r>
      <w:r w:rsidRPr="00C475A1">
        <w:rPr>
          <w:rFonts w:eastAsia="Calibri"/>
          <w:highlight w:val="green"/>
          <w:u w:val="single"/>
        </w:rPr>
        <w:t>shortage of</w:t>
      </w:r>
      <w:r w:rsidRPr="00C475A1">
        <w:rPr>
          <w:rFonts w:eastAsia="Calibri"/>
          <w:u w:val="single"/>
        </w:rPr>
        <w:t xml:space="preserve"> agricultural </w:t>
      </w:r>
      <w:r w:rsidRPr="00C475A1">
        <w:rPr>
          <w:rFonts w:eastAsia="Calibri"/>
          <w:highlight w:val="green"/>
          <w:u w:val="single"/>
        </w:rPr>
        <w:t>workers was</w:t>
      </w:r>
      <w:r w:rsidRPr="00C475A1">
        <w:rPr>
          <w:rFonts w:eastAsia="Calibri"/>
        </w:rPr>
        <w:t xml:space="preserve"> less </w:t>
      </w:r>
      <w:r w:rsidRPr="00C475A1">
        <w:rPr>
          <w:rFonts w:eastAsia="Calibri"/>
          <w:highlight w:val="green"/>
          <w:u w:val="single"/>
        </w:rPr>
        <w:t>the result of</w:t>
      </w:r>
      <w:r w:rsidRPr="00C475A1">
        <w:rPr>
          <w:rFonts w:eastAsia="Calibri"/>
        </w:rPr>
        <w:t xml:space="preserve"> patriotic farmworkers leaving the fields to take up arms as soldiers and more a kind of </w:t>
      </w:r>
      <w:r w:rsidRPr="00C475A1">
        <w:rPr>
          <w:rFonts w:eastAsia="Calibri"/>
          <w:highlight w:val="green"/>
          <w:u w:val="single"/>
        </w:rPr>
        <w:t>“white- flight” from non-unionized labor</w:t>
      </w:r>
      <w:r w:rsidRPr="00C475A1">
        <w:rPr>
          <w:rFonts w:eastAsia="Calibri"/>
        </w:rPr>
        <w:t xml:space="preserve">. Chacón explains, “As white, native-born workers fled the low wages, grueling conditions, and totalitarian structure of work in the fields in favor of urban union jobs, a shortage of ‘exploitable’ labor did truly arise, from the vantage point </w:t>
      </w:r>
      <w:proofErr w:type="gramStart"/>
      <w:r w:rsidRPr="00C475A1">
        <w:rPr>
          <w:rFonts w:eastAsia="Calibri"/>
        </w:rPr>
        <w:t>of  100</w:t>
      </w:r>
      <w:proofErr w:type="gramEnd"/>
      <w:r w:rsidRPr="00C475A1">
        <w:rPr>
          <w:rFonts w:eastAsia="Calibri"/>
        </w:rPr>
        <w:t xml:space="preserve"> </w:t>
      </w:r>
      <w:proofErr w:type="gramStart"/>
      <w:r w:rsidRPr="00C475A1">
        <w:rPr>
          <w:rFonts w:eastAsia="Calibri"/>
        </w:rPr>
        <w:t>growers”(</w:t>
      </w:r>
      <w:proofErr w:type="gramEnd"/>
      <w:r w:rsidRPr="00C475A1">
        <w:rPr>
          <w:rFonts w:eastAsia="Calibri"/>
        </w:rPr>
        <w:t xml:space="preserve">Chacón, 140). Reminiscent of nineteenth-century agricultural work by Asian immigrant labor, </w:t>
      </w:r>
      <w:r w:rsidRPr="00C475A1">
        <w:rPr>
          <w:rFonts w:eastAsia="Calibri"/>
          <w:highlight w:val="green"/>
          <w:u w:val="single"/>
        </w:rPr>
        <w:t>the Bracero Program recruited an entirely male labor force</w:t>
      </w:r>
      <w:r w:rsidRPr="00C475A1">
        <w:rPr>
          <w:rFonts w:eastAsia="Calibri"/>
          <w:u w:val="single"/>
        </w:rPr>
        <w:t xml:space="preserve">, a restriction that emphasized the temporary nature of guest work insofar as the guest was to return to his national homeland where wives and families would faithfully wait for him until the completion of his labor </w:t>
      </w:r>
      <w:r w:rsidRPr="00C475A1">
        <w:rPr>
          <w:rFonts w:eastAsia="Calibri"/>
          <w:highlight w:val="green"/>
          <w:u w:val="single"/>
        </w:rPr>
        <w:t xml:space="preserve">contract. As a form of bonded labor, </w:t>
      </w:r>
      <w:proofErr w:type="gramStart"/>
      <w:r w:rsidRPr="00C475A1">
        <w:rPr>
          <w:rFonts w:eastAsia="Calibri"/>
          <w:b/>
          <w:iCs/>
          <w:highlight w:val="green"/>
          <w:u w:val="single"/>
        </w:rPr>
        <w:t>Any</w:t>
      </w:r>
      <w:proofErr w:type="gramEnd"/>
      <w:r w:rsidRPr="00C475A1">
        <w:rPr>
          <w:rFonts w:eastAsia="Calibri"/>
          <w:b/>
          <w:iCs/>
          <w:highlight w:val="green"/>
          <w:u w:val="single"/>
        </w:rPr>
        <w:t xml:space="preserve"> “breach”</w:t>
      </w:r>
      <w:r w:rsidRPr="00893FB6">
        <w:rPr>
          <w:rStyle w:val="Emphasis"/>
        </w:rPr>
        <w:t xml:space="preserve"> of the contract by the individual, such as stopping work, leaving, or otherwise “willfully refusing” to carry out the agreement, </w:t>
      </w:r>
      <w:r w:rsidRPr="00C475A1">
        <w:rPr>
          <w:rFonts w:eastAsia="Calibri"/>
          <w:b/>
          <w:iCs/>
          <w:highlight w:val="green"/>
          <w:u w:val="single"/>
        </w:rPr>
        <w:t>resulted in deportation</w:t>
      </w:r>
      <w:r w:rsidRPr="00C475A1">
        <w:rPr>
          <w:rFonts w:eastAsia="Calibri"/>
        </w:rPr>
        <w:t xml:space="preserve">. </w:t>
      </w:r>
      <w:r w:rsidRPr="00C475A1">
        <w:rPr>
          <w:rFonts w:eastAsia="Calibri"/>
          <w:b/>
          <w:iCs/>
          <w:sz w:val="30"/>
          <w:szCs w:val="30"/>
          <w:highlight w:val="green"/>
          <w:u w:val="single"/>
        </w:rPr>
        <w:t>By individualizing the contract, collective bargaining was precluded</w:t>
      </w:r>
      <w:r w:rsidRPr="00C475A1">
        <w:rPr>
          <w:rFonts w:eastAsia="Calibri"/>
        </w:rPr>
        <w:t xml:space="preserve">. </w:t>
      </w:r>
      <w:r w:rsidRPr="00C475A1">
        <w:rPr>
          <w:rFonts w:eastAsia="Calibri"/>
          <w:u w:val="single"/>
        </w:rPr>
        <w:t>This secured a way to detach bracero labor from the rest of the working class and legally redefined temporary workers as the virtual property of the growers</w:t>
      </w:r>
      <w:r w:rsidRPr="00C475A1">
        <w:rPr>
          <w:rFonts w:eastAsia="Calibri"/>
        </w:rPr>
        <w:t xml:space="preserve">. (140) Of the millions of workers that traveled from all over Mexico to the recruitment cites along the border, the Bracero Program accepted one out of six. Those who were denied Bracero status were encouraged to cross the border without proper documentation. The undocumented worked side by side with the Bracero, sometimes outnumbering those who were temporarily invited. As such, it can be argued that </w:t>
      </w:r>
      <w:r w:rsidRPr="00937D48">
        <w:rPr>
          <w:rStyle w:val="Emphasis"/>
        </w:rPr>
        <w:t>the greatest profits</w:t>
      </w:r>
      <w:r w:rsidRPr="00C475A1">
        <w:rPr>
          <w:rFonts w:eastAsia="Calibri"/>
        </w:rPr>
        <w:t xml:space="preserve"> reaped by the legalization of temporary guest worker was in fact the creation of an even more vulnerable labor force, that of </w:t>
      </w:r>
      <w:r w:rsidRPr="00937D48">
        <w:rPr>
          <w:rStyle w:val="Emphasis"/>
        </w:rPr>
        <w:t>undocumented workers.</w:t>
      </w:r>
      <w:r w:rsidRPr="00C475A1">
        <w:rPr>
          <w:rFonts w:eastAsia="Calibri"/>
        </w:rPr>
        <w:t xml:space="preserve"> From Chacón’s account of the Bracero labor contract w</w:t>
      </w:r>
      <w:r w:rsidRPr="000D0524">
        <w:rPr>
          <w:rFonts w:eastAsia="Calibri"/>
        </w:rPr>
        <w:t xml:space="preserve">e should note the ways in which </w:t>
      </w:r>
      <w:r w:rsidRPr="000D0524">
        <w:rPr>
          <w:rFonts w:eastAsia="Calibri"/>
          <w:u w:val="single"/>
        </w:rPr>
        <w:t>the justification of the “wartime expedience” of Mexican labor disavows</w:t>
      </w:r>
      <w:r w:rsidRPr="000D0524">
        <w:rPr>
          <w:rFonts w:eastAsia="Calibri"/>
        </w:rPr>
        <w:t xml:space="preserve"> 1) the </w:t>
      </w:r>
      <w:r w:rsidRPr="000D0524">
        <w:rPr>
          <w:rFonts w:eastAsia="Calibri"/>
          <w:u w:val="single"/>
        </w:rPr>
        <w:t>racialization</w:t>
      </w:r>
      <w:r w:rsidRPr="000D0524">
        <w:rPr>
          <w:rFonts w:eastAsia="Calibri"/>
        </w:rPr>
        <w:t xml:space="preserve"> of agricultural  work 2) the </w:t>
      </w:r>
      <w:r w:rsidRPr="000D0524">
        <w:rPr>
          <w:rFonts w:eastAsia="Calibri"/>
          <w:u w:val="single"/>
        </w:rPr>
        <w:t>gendering of the international division of labor in which social reproduction and production are coded female and male, Mexican and U.S. respectively and</w:t>
      </w:r>
      <w:r w:rsidRPr="000D0524">
        <w:rPr>
          <w:rFonts w:eastAsia="Calibri"/>
        </w:rPr>
        <w:t xml:space="preserve"> 3) </w:t>
      </w:r>
      <w:r w:rsidRPr="000D0524">
        <w:rPr>
          <w:rFonts w:eastAsia="Calibri"/>
          <w:u w:val="single"/>
        </w:rPr>
        <w:t>the ways in which criminalization</w:t>
      </w:r>
      <w:r w:rsidRPr="000D0524">
        <w:rPr>
          <w:rFonts w:eastAsia="Calibri"/>
        </w:rPr>
        <w:t>, that</w:t>
      </w:r>
      <w:r w:rsidRPr="00C475A1">
        <w:rPr>
          <w:rFonts w:eastAsia="Calibri"/>
        </w:rPr>
        <w:t xml:space="preserve"> is, </w:t>
      </w:r>
      <w:r w:rsidRPr="00C475A1">
        <w:rPr>
          <w:rFonts w:eastAsia="Calibri"/>
          <w:b/>
          <w:iCs/>
          <w:highlight w:val="green"/>
          <w:u w:val="single"/>
        </w:rPr>
        <w:t>the distinction between illegal and legal immigration</w:t>
      </w:r>
      <w:r w:rsidRPr="00C475A1">
        <w:rPr>
          <w:rFonts w:eastAsia="Calibri"/>
        </w:rPr>
        <w:t xml:space="preserve">, </w:t>
      </w:r>
      <w:r w:rsidRPr="00C475A1">
        <w:rPr>
          <w:rFonts w:eastAsia="Calibri"/>
          <w:highlight w:val="green"/>
          <w:u w:val="single"/>
        </w:rPr>
        <w:t>plays a vital role in the management of exploitable labor</w:t>
      </w:r>
      <w:r w:rsidRPr="00C475A1">
        <w:rPr>
          <w:rFonts w:eastAsia="Calibri"/>
        </w:rPr>
        <w:t xml:space="preserve">. The end of the Bracero Program in 1964 signaled the beginning of Mexico’s transition from a state-led program of industrialization to a market-led program of industrialization. </w:t>
      </w:r>
      <w:r w:rsidRPr="00C475A1">
        <w:rPr>
          <w:rFonts w:eastAsia="Calibri"/>
          <w:u w:val="single"/>
        </w:rPr>
        <w:t>This shift was characterized by the dissolution of the social pact between labor and the state, the geographical relocation of leading factories from the central parts of Mexico to the U.S. border, a predominantly female workforce, and a change from the business of producing primary products such as mineral and agricultural commodities to the maquiladoras, foreign owned assembly plants</w:t>
      </w:r>
      <w:r w:rsidRPr="00C475A1">
        <w:rPr>
          <w:rFonts w:eastAsia="Calibri"/>
        </w:rPr>
        <w:t xml:space="preserve">. Following the demise of the Bracero Program, the 1965 Border Industrialization Program facilitated the growth of these bordertown maquiladoras and was the model for the 1994 North American Free Trade Agreement.42 </w:t>
      </w:r>
      <w:r w:rsidRPr="00C475A1">
        <w:rPr>
          <w:rFonts w:eastAsia="Calibri"/>
          <w:u w:val="single"/>
        </w:rPr>
        <w:t xml:space="preserve">From the perspective of the Mexican state, </w:t>
      </w:r>
      <w:r w:rsidRPr="00C475A1">
        <w:rPr>
          <w:rFonts w:eastAsia="Calibri"/>
          <w:b/>
          <w:iCs/>
          <w:sz w:val="30"/>
          <w:szCs w:val="30"/>
          <w:highlight w:val="green"/>
          <w:u w:val="single"/>
        </w:rPr>
        <w:t xml:space="preserve">the maquiladoras </w:t>
      </w:r>
      <w:r w:rsidRPr="000D0524">
        <w:rPr>
          <w:rFonts w:eastAsia="Calibri"/>
          <w:b/>
          <w:iCs/>
          <w:sz w:val="30"/>
          <w:szCs w:val="30"/>
          <w:u w:val="single"/>
        </w:rPr>
        <w:t>were</w:t>
      </w:r>
      <w:r w:rsidRPr="00C475A1">
        <w:rPr>
          <w:rFonts w:eastAsia="Calibri"/>
          <w:b/>
          <w:iCs/>
          <w:sz w:val="30"/>
          <w:szCs w:val="30"/>
          <w:highlight w:val="green"/>
          <w:u w:val="single"/>
        </w:rPr>
        <w:t xml:space="preserve"> introduced as a </w:t>
      </w:r>
      <w:r w:rsidRPr="000D0524">
        <w:rPr>
          <w:rFonts w:eastAsia="Calibri"/>
          <w:b/>
          <w:iCs/>
          <w:sz w:val="30"/>
          <w:szCs w:val="30"/>
          <w:u w:val="single"/>
        </w:rPr>
        <w:t>temporary</w:t>
      </w:r>
      <w:r w:rsidRPr="00C475A1">
        <w:rPr>
          <w:rFonts w:eastAsia="Calibri"/>
          <w:b/>
          <w:iCs/>
          <w:sz w:val="30"/>
          <w:szCs w:val="30"/>
          <w:highlight w:val="green"/>
          <w:u w:val="single"/>
        </w:rPr>
        <w:t xml:space="preserve"> solution to the U.S. shifting demands for a legal and exploitable labor force</w:t>
      </w:r>
      <w:r w:rsidRPr="00C475A1">
        <w:rPr>
          <w:rFonts w:eastAsia="Calibri"/>
        </w:rPr>
        <w:t xml:space="preserve">. </w:t>
      </w:r>
      <w:r w:rsidRPr="00C475A1">
        <w:rPr>
          <w:rFonts w:eastAsia="Calibri"/>
          <w:highlight w:val="green"/>
          <w:u w:val="single"/>
        </w:rPr>
        <w:t>From the perspective of U.S. organized labor</w:t>
      </w:r>
      <w:r w:rsidRPr="00C475A1">
        <w:rPr>
          <w:rFonts w:eastAsia="Calibri"/>
        </w:rPr>
        <w:t xml:space="preserve">, however, the termination of the Bracero labor contract held a different meaning. </w:t>
      </w:r>
      <w:r w:rsidRPr="00C475A1">
        <w:rPr>
          <w:rFonts w:eastAsia="Calibri"/>
          <w:highlight w:val="green"/>
          <w:u w:val="single"/>
        </w:rPr>
        <w:t>It was viewed as “the first significant victory for</w:t>
      </w:r>
      <w:r w:rsidRPr="00C475A1">
        <w:rPr>
          <w:rFonts w:eastAsia="Calibri"/>
        </w:rPr>
        <w:t xml:space="preserve"> </w:t>
      </w:r>
      <w:r w:rsidRPr="00C475A1">
        <w:rPr>
          <w:rFonts w:eastAsia="Calibri"/>
          <w:u w:val="single"/>
        </w:rPr>
        <w:t xml:space="preserve">[Cesar] Chávez and the new generation of </w:t>
      </w:r>
      <w:r w:rsidRPr="00C475A1">
        <w:rPr>
          <w:rFonts w:eastAsia="Calibri"/>
          <w:highlight w:val="green"/>
          <w:u w:val="single"/>
        </w:rPr>
        <w:t>farm worker advocates</w:t>
      </w:r>
      <w:r w:rsidRPr="00C475A1">
        <w:rPr>
          <w:rFonts w:eastAsia="Calibri"/>
          <w:u w:val="single"/>
        </w:rPr>
        <w:t xml:space="preserve">, later organized into the </w:t>
      </w:r>
      <w:r w:rsidRPr="00C475A1">
        <w:rPr>
          <w:rFonts w:eastAsia="Calibri"/>
          <w:u w:val="single"/>
        </w:rPr>
        <w:lastRenderedPageBreak/>
        <w:t>United Farm Workers</w:t>
      </w:r>
      <w:r w:rsidRPr="00C475A1">
        <w:rPr>
          <w:rFonts w:eastAsia="Calibri"/>
        </w:rPr>
        <w:t>” (Chacón, 280). As such, it can be argued that the end of a guest worker program marked an important beginning for the UFW and its important influence on Chicana/o aesthetics and civil rights activism. It is precisely this historical narrative of Mexican labor which highlights the complicit legislation of immigration and multinational capitalism that the Chicana/o detective novel documents. Susan Baker Sotelo and Ralph E. Rodriguez agree that Chicana/o “whodunits” concern themselves with historicizing the effects of migrant labor. This historical project, moreover, subverts the traditional genre insofar that “</w:t>
      </w:r>
      <w:r w:rsidRPr="00C475A1">
        <w:rPr>
          <w:rFonts w:eastAsia="Calibri"/>
          <w:b/>
          <w:iCs/>
          <w:sz w:val="30"/>
          <w:szCs w:val="30"/>
          <w:highlight w:val="green"/>
          <w:u w:val="single"/>
        </w:rPr>
        <w:t>we are not led to a traditional follow-up, resolution and return to status quo</w:t>
      </w:r>
      <w:r w:rsidRPr="00C475A1">
        <w:rPr>
          <w:rFonts w:eastAsia="Calibri"/>
        </w:rPr>
        <w:t xml:space="preserve">” (Sotelo, 79). Instead, </w:t>
      </w:r>
      <w:r w:rsidRPr="00C475A1">
        <w:rPr>
          <w:rFonts w:eastAsia="Calibri"/>
          <w:highlight w:val="green"/>
          <w:u w:val="single"/>
        </w:rPr>
        <w:t xml:space="preserve">Chicana/o </w:t>
      </w:r>
      <w:r w:rsidRPr="00C475A1">
        <w:rPr>
          <w:rFonts w:eastAsia="Calibri"/>
          <w:u w:val="single"/>
        </w:rPr>
        <w:t xml:space="preserve">detective </w:t>
      </w:r>
      <w:r w:rsidRPr="00C475A1">
        <w:rPr>
          <w:rFonts w:eastAsia="Calibri"/>
          <w:highlight w:val="green"/>
          <w:u w:val="single"/>
        </w:rPr>
        <w:t>fiction is characterized by a f</w:t>
      </w:r>
      <w:r w:rsidRPr="000D0524">
        <w:rPr>
          <w:rFonts w:eastAsia="Calibri"/>
          <w:u w:val="single"/>
        </w:rPr>
        <w:t>undamenta</w:t>
      </w:r>
      <w:r w:rsidRPr="00C475A1">
        <w:rPr>
          <w:rFonts w:eastAsia="Calibri"/>
          <w:highlight w:val="green"/>
          <w:u w:val="single"/>
        </w:rPr>
        <w:t>l rejection of absolute truth, a skepticism whose failed quest for truth functions as a narrative of historicization and call for social justice.</w:t>
      </w:r>
      <w:r w:rsidRPr="00C475A1">
        <w:rPr>
          <w:rFonts w:eastAsia="Calibri"/>
        </w:rPr>
        <w:t xml:space="preserve"> Rodriguez explains the ways in which Chicana/o noir rejects the following ontological and epistemological niceties which traditionally inform the genre. Detective novels, then, combine epistemology and ontology in the following fashion: </w:t>
      </w:r>
      <w:r w:rsidRPr="00C475A1">
        <w:rPr>
          <w:rFonts w:eastAsia="Calibri"/>
          <w:highlight w:val="green"/>
          <w:u w:val="single"/>
        </w:rPr>
        <w:t>the driving force behind</w:t>
      </w:r>
      <w:r w:rsidRPr="00C475A1">
        <w:rPr>
          <w:rFonts w:eastAsia="Calibri"/>
          <w:u w:val="single"/>
        </w:rPr>
        <w:t xml:space="preserve"> </w:t>
      </w:r>
      <w:r w:rsidRPr="00C475A1">
        <w:rPr>
          <w:rFonts w:eastAsia="Calibri"/>
        </w:rPr>
        <w:t xml:space="preserve">the </w:t>
      </w:r>
      <w:r w:rsidRPr="00C475A1">
        <w:rPr>
          <w:rFonts w:eastAsia="Calibri"/>
          <w:highlight w:val="green"/>
          <w:u w:val="single"/>
        </w:rPr>
        <w:t>narratives is a quest for knowledge.</w:t>
      </w:r>
      <w:r w:rsidRPr="00C475A1">
        <w:rPr>
          <w:rFonts w:eastAsia="Calibri"/>
        </w:rPr>
        <w:t xml:space="preserve"> </w:t>
      </w:r>
      <w:proofErr w:type="gramStart"/>
      <w:r w:rsidRPr="00C475A1">
        <w:rPr>
          <w:rFonts w:eastAsia="Calibri"/>
        </w:rPr>
        <w:t>Indeed</w:t>
      </w:r>
      <w:proofErr w:type="gramEnd"/>
      <w:r w:rsidRPr="00C475A1">
        <w:rPr>
          <w:rFonts w:eastAsia="Calibri"/>
        </w:rPr>
        <w:t xml:space="preserve"> the successful detective enlists and combines multiple ways of knowing the world—interviews, rational deduction, empirical data (su</w:t>
      </w:r>
      <w:r>
        <w:rPr>
          <w:rFonts w:eastAsia="Calibri"/>
        </w:rPr>
        <w:t xml:space="preserve"> =</w:t>
      </w:r>
      <w:r w:rsidRPr="00C475A1">
        <w:rPr>
          <w:rFonts w:eastAsia="Calibri"/>
        </w:rPr>
        <w:t>ch as fingerprints, photographs, time of death, etc.), and very often intuition or hunches—</w:t>
      </w:r>
      <w:proofErr w:type="gramStart"/>
      <w:r w:rsidRPr="00C475A1">
        <w:rPr>
          <w:rFonts w:eastAsia="Calibri"/>
        </w:rPr>
        <w:t>in order to</w:t>
      </w:r>
      <w:proofErr w:type="gramEnd"/>
      <w:r w:rsidRPr="00C475A1">
        <w:rPr>
          <w:rFonts w:eastAsia="Calibri"/>
        </w:rPr>
        <w:t xml:space="preserve"> solve the crime or crimes under investigation. In working through these epistemological concerns—</w:t>
      </w:r>
      <w:r w:rsidRPr="00A11D70">
        <w:rPr>
          <w:rFonts w:eastAsia="Calibri"/>
          <w:u w:val="single"/>
        </w:rPr>
        <w:t>How do I know what I know? How do I know what I know is true?</w:t>
      </w:r>
      <w:r w:rsidRPr="00A11D70">
        <w:rPr>
          <w:rFonts w:eastAsia="Calibri"/>
        </w:rPr>
        <w:t xml:space="preserve"> </w:t>
      </w:r>
      <w:r w:rsidRPr="00A11D70">
        <w:rPr>
          <w:rFonts w:eastAsia="Calibri"/>
          <w:u w:val="single"/>
        </w:rPr>
        <w:t xml:space="preserve">How do I use this knowledge to apprehend the </w:t>
      </w:r>
      <w:proofErr w:type="gramStart"/>
      <w:r w:rsidRPr="00A11D70">
        <w:rPr>
          <w:rFonts w:eastAsia="Calibri"/>
          <w:u w:val="single"/>
        </w:rPr>
        <w:t>criminal?—</w:t>
      </w:r>
      <w:proofErr w:type="gramEnd"/>
      <w:r w:rsidRPr="00A11D70">
        <w:rPr>
          <w:rFonts w:eastAsia="Calibri"/>
          <w:u w:val="single"/>
        </w:rPr>
        <w:t xml:space="preserve">the detective invariably </w:t>
      </w:r>
      <w:proofErr w:type="gramStart"/>
      <w:r w:rsidRPr="00A11D70">
        <w:rPr>
          <w:rFonts w:eastAsia="Calibri"/>
          <w:u w:val="single"/>
        </w:rPr>
        <w:t>enters into</w:t>
      </w:r>
      <w:proofErr w:type="gramEnd"/>
      <w:r w:rsidRPr="00A11D70">
        <w:rPr>
          <w:rFonts w:eastAsia="Calibri"/>
          <w:u w:val="single"/>
        </w:rPr>
        <w:t xml:space="preserve"> an ontological query into his/her own sense of being in the world</w:t>
      </w:r>
      <w:r w:rsidRPr="00A11D70">
        <w:rPr>
          <w:rFonts w:eastAsia="Calibri"/>
        </w:rPr>
        <w:t>. (8)</w:t>
      </w:r>
      <w:r w:rsidRPr="00C475A1">
        <w:rPr>
          <w:rFonts w:eastAsia="Calibri"/>
        </w:rPr>
        <w:t xml:space="preserve"> </w:t>
      </w:r>
    </w:p>
    <w:p w14:paraId="10BBD45A" w14:textId="77777777" w:rsidR="00470B87" w:rsidRPr="00C475A1" w:rsidRDefault="00470B87" w:rsidP="00470B87">
      <w:pPr>
        <w:keepNext/>
        <w:keepLines/>
        <w:spacing w:before="40" w:after="0"/>
        <w:outlineLvl w:val="3"/>
        <w:rPr>
          <w:rFonts w:eastAsia="SimSun" w:cs="Times New Roman"/>
          <w:b/>
          <w:iCs/>
          <w:highlight w:val="green"/>
          <w:u w:val="single"/>
        </w:rPr>
      </w:pPr>
      <w:r w:rsidRPr="00A11D70">
        <w:rPr>
          <w:rFonts w:eastAsia="SimSun" w:cs="Times New Roman"/>
          <w:b/>
          <w:iCs/>
          <w:u w:val="single"/>
        </w:rPr>
        <w:t>“A</w:t>
      </w:r>
      <w:r w:rsidRPr="00C475A1">
        <w:rPr>
          <w:rFonts w:eastAsia="SimSun" w:cs="Times New Roman"/>
          <w:b/>
          <w:iCs/>
          <w:highlight w:val="green"/>
          <w:u w:val="single"/>
        </w:rPr>
        <w:t xml:space="preserve">s the Palestinians don’t forget the illegal and brutal occupation of their lands, supported by US funds and weaponry since 1967. </w:t>
      </w:r>
    </w:p>
    <w:p w14:paraId="10CE2D6E" w14:textId="77777777" w:rsidR="00470B87" w:rsidRPr="00A11D70" w:rsidRDefault="00470B87" w:rsidP="00470B87">
      <w:r w:rsidRPr="00A11D70">
        <w:t xml:space="preserve">As the Maya turned </w:t>
      </w:r>
      <w:proofErr w:type="gramStart"/>
      <w:r w:rsidRPr="00A11D70">
        <w:t>Zapatistas  remember</w:t>
      </w:r>
      <w:proofErr w:type="gramEnd"/>
      <w:r w:rsidRPr="00A11D70">
        <w:t xml:space="preserve"> through armed struggle a forever-history as the original inhabitants of the territory of Chiapas. </w:t>
      </w:r>
    </w:p>
    <w:p w14:paraId="50B1994B" w14:textId="77777777" w:rsidR="00470B87" w:rsidRPr="00C475A1" w:rsidRDefault="00470B87" w:rsidP="00470B87">
      <w:pPr>
        <w:keepNext/>
        <w:keepLines/>
        <w:spacing w:before="40" w:after="0"/>
        <w:outlineLvl w:val="3"/>
        <w:rPr>
          <w:rFonts w:eastAsia="SimSun" w:cs="Times New Roman"/>
          <w:b/>
          <w:iCs/>
          <w:highlight w:val="green"/>
          <w:u w:val="single"/>
        </w:rPr>
      </w:pPr>
      <w:r w:rsidRPr="00C475A1">
        <w:rPr>
          <w:rFonts w:eastAsia="SimSun" w:cs="Times New Roman"/>
          <w:b/>
          <w:iCs/>
          <w:highlight w:val="green"/>
          <w:u w:val="single"/>
        </w:rPr>
        <w:t xml:space="preserve">As the women of Afghanistan do not forget who trained the "terrorists” whom the US now calls “enemy.” </w:t>
      </w:r>
    </w:p>
    <w:p w14:paraId="4852C543" w14:textId="77777777" w:rsidR="00470B87" w:rsidRPr="00C475A1" w:rsidRDefault="00470B87" w:rsidP="00470B87">
      <w:pPr>
        <w:keepNext/>
        <w:keepLines/>
        <w:spacing w:before="40" w:after="0"/>
        <w:outlineLvl w:val="3"/>
        <w:rPr>
          <w:rFonts w:eastAsia="SimSun" w:cs="Times New Roman"/>
          <w:b/>
          <w:iCs/>
          <w:highlight w:val="green"/>
          <w:u w:val="single"/>
        </w:rPr>
      </w:pPr>
      <w:r w:rsidRPr="00C475A1">
        <w:rPr>
          <w:rFonts w:eastAsia="SimSun" w:cs="Times New Roman"/>
          <w:b/>
          <w:iCs/>
          <w:highlight w:val="green"/>
          <w:u w:val="single"/>
        </w:rPr>
        <w:t xml:space="preserve">I remember. </w:t>
      </w:r>
    </w:p>
    <w:p w14:paraId="2A666E36" w14:textId="77777777" w:rsidR="00470B87" w:rsidRPr="00C475A1" w:rsidRDefault="00470B87" w:rsidP="00470B87">
      <w:pPr>
        <w:keepNext/>
        <w:keepLines/>
        <w:spacing w:before="40" w:after="0"/>
        <w:outlineLvl w:val="3"/>
        <w:rPr>
          <w:rFonts w:eastAsia="SimSun" w:cs="Times New Roman"/>
          <w:b/>
          <w:iCs/>
          <w:u w:val="single"/>
        </w:rPr>
      </w:pPr>
      <w:r w:rsidRPr="00A11D70">
        <w:rPr>
          <w:rFonts w:eastAsia="SimSun" w:cs="Times New Roman"/>
          <w:b/>
          <w:iCs/>
          <w:u w:val="single"/>
        </w:rPr>
        <w:t xml:space="preserve">In my lifetime . . . Should I start the list? In my lifetime my comadre, una mestiza lesbiana, was killed by her only son, my sister in indigenism was kidnapped and executed by the US aggravated civil war in Colombia. Numerous friends have died from breast cancer and AIDS. I have witnessed the CIA's overthrow of Allende and ten years later, the usurpation of the Sandinista Revolution in Nicaragua. In my </w:t>
      </w:r>
      <w:proofErr w:type="gramStart"/>
      <w:r w:rsidRPr="00A11D70">
        <w:rPr>
          <w:rFonts w:eastAsia="SimSun" w:cs="Times New Roman"/>
          <w:b/>
          <w:iCs/>
          <w:u w:val="single"/>
        </w:rPr>
        <w:t>life time</w:t>
      </w:r>
      <w:proofErr w:type="gramEnd"/>
      <w:r w:rsidRPr="00A11D70">
        <w:rPr>
          <w:rFonts w:eastAsia="SimSun" w:cs="Times New Roman"/>
          <w:b/>
          <w:iCs/>
          <w:u w:val="single"/>
        </w:rPr>
        <w:t xml:space="preserve">, the United Stales has force-fed to Native, Asian, African and Spanish-speaking America a </w:t>
      </w:r>
      <w:r w:rsidRPr="00A11D70">
        <w:rPr>
          <w:rFonts w:eastAsia="SimSun" w:cs="Times New Roman"/>
          <w:b/>
          <w:iCs/>
          <w:highlight w:val="green"/>
          <w:u w:val="single"/>
        </w:rPr>
        <w:t>poisoned alphabet</w:t>
      </w:r>
      <w:r w:rsidRPr="00A11D70">
        <w:rPr>
          <w:rFonts w:eastAsia="SimSun" w:cs="Times New Roman"/>
          <w:b/>
          <w:iCs/>
          <w:u w:val="single"/>
        </w:rPr>
        <w:t xml:space="preserve"> (WTO, IMF, </w:t>
      </w:r>
      <w:r w:rsidRPr="00A11D70">
        <w:rPr>
          <w:rFonts w:eastAsia="SimSun" w:cs="Times New Roman"/>
          <w:b/>
          <w:iCs/>
          <w:highlight w:val="green"/>
          <w:u w:val="single"/>
        </w:rPr>
        <w:t>NAFTA</w:t>
      </w:r>
      <w:r w:rsidRPr="00A11D70">
        <w:rPr>
          <w:rFonts w:eastAsia="SimSun" w:cs="Times New Roman"/>
          <w:b/>
          <w:iCs/>
          <w:u w:val="single"/>
        </w:rPr>
        <w:t>, FTAA) economic soup where “d</w:t>
      </w:r>
      <w:r w:rsidRPr="00A11D70">
        <w:rPr>
          <w:rFonts w:eastAsia="SimSun" w:cs="Times New Roman"/>
          <w:b/>
          <w:iCs/>
          <w:highlight w:val="green"/>
          <w:u w:val="single"/>
        </w:rPr>
        <w:t>evelopment</w:t>
      </w:r>
      <w:r w:rsidRPr="00A11D70">
        <w:rPr>
          <w:rFonts w:eastAsia="SimSun" w:cs="Times New Roman"/>
          <w:b/>
          <w:iCs/>
          <w:u w:val="single"/>
        </w:rPr>
        <w:t xml:space="preserve">” has meant little more than La Finca being replaced </w:t>
      </w:r>
      <w:r w:rsidRPr="00A11D70">
        <w:rPr>
          <w:rFonts w:eastAsia="SimSun" w:cs="Times New Roman"/>
          <w:b/>
          <w:iCs/>
          <w:highlight w:val="green"/>
          <w:u w:val="single"/>
        </w:rPr>
        <w:t>by La Maquiladora.”</w:t>
      </w:r>
      <w:r w:rsidRPr="00A11D70">
        <w:rPr>
          <w:rFonts w:eastAsia="SimSun" w:cs="Times New Roman"/>
          <w:b/>
          <w:iCs/>
          <w:highlight w:val="green"/>
          <w:u w:val="single"/>
          <w:vertAlign w:val="superscript"/>
        </w:rPr>
        <w:footnoteReference w:id="3"/>
      </w:r>
      <w:r w:rsidRPr="00C475A1">
        <w:rPr>
          <w:rFonts w:eastAsia="SimSun" w:cs="Times New Roman"/>
          <w:b/>
          <w:iCs/>
          <w:u w:val="single"/>
        </w:rPr>
        <w:t xml:space="preserve"> </w:t>
      </w:r>
    </w:p>
    <w:p w14:paraId="79A917E9" w14:textId="77777777" w:rsidR="00C475A1" w:rsidRPr="00C475A1" w:rsidRDefault="00C475A1" w:rsidP="00C475A1">
      <w:pPr>
        <w:rPr>
          <w:rFonts w:eastAsia="Calibri"/>
        </w:rPr>
      </w:pPr>
    </w:p>
    <w:p w14:paraId="178A1032" w14:textId="77777777" w:rsidR="00A95652" w:rsidRDefault="00A95652" w:rsidP="00B55AD5"/>
    <w:p w14:paraId="576EB6EC" w14:textId="499236FC" w:rsidR="00E644F8" w:rsidRDefault="00E644F8" w:rsidP="00E644F8">
      <w:pPr>
        <w:pStyle w:val="Heading4"/>
      </w:pPr>
      <w:r>
        <w:t>Testimonio Fin-</w:t>
      </w:r>
    </w:p>
    <w:p w14:paraId="4A073FE4" w14:textId="56539ACF" w:rsidR="00C07A69" w:rsidRDefault="00C07A69" w:rsidP="00E644F8">
      <w:pPr>
        <w:keepNext/>
        <w:keepLines/>
        <w:spacing w:before="40" w:after="0"/>
        <w:outlineLvl w:val="3"/>
        <w:rPr>
          <w:rFonts w:eastAsia="SimSun" w:cs="Times New Roman"/>
          <w:b/>
          <w:iCs/>
          <w:sz w:val="26"/>
        </w:rPr>
      </w:pPr>
      <w:r>
        <w:rPr>
          <w:rFonts w:eastAsia="SimSun" w:cs="Times New Roman"/>
          <w:b/>
          <w:iCs/>
          <w:sz w:val="26"/>
        </w:rPr>
        <w:t>The knowledge of these women, their hidden Lágrimas for the death of their families and their children with no mechanism to speak, with no way to translate their suffrage under white nationalism traces the Spanish and English migrants are denied access to.</w:t>
      </w:r>
      <w:r w:rsidR="001603A2">
        <w:rPr>
          <w:rFonts w:eastAsia="SimSun" w:cs="Times New Roman"/>
          <w:b/>
          <w:iCs/>
          <w:sz w:val="26"/>
        </w:rPr>
        <w:t xml:space="preserve"> I will not let them die for I will speak here</w:t>
      </w:r>
      <w:r w:rsidR="005352F2">
        <w:rPr>
          <w:rFonts w:eastAsia="SimSun" w:cs="Times New Roman"/>
          <w:b/>
          <w:iCs/>
          <w:sz w:val="26"/>
        </w:rPr>
        <w:t xml:space="preserve">, hearing testimonies belonging to many and </w:t>
      </w:r>
      <w:r w:rsidR="00227126">
        <w:rPr>
          <w:rFonts w:eastAsia="SimSun" w:cs="Times New Roman"/>
          <w:b/>
          <w:iCs/>
          <w:sz w:val="26"/>
        </w:rPr>
        <w:t>demanding we</w:t>
      </w:r>
      <w:r w:rsidR="005352F2">
        <w:rPr>
          <w:rFonts w:eastAsia="SimSun" w:cs="Times New Roman"/>
          <w:b/>
          <w:iCs/>
          <w:sz w:val="26"/>
        </w:rPr>
        <w:t xml:space="preserve"> </w:t>
      </w:r>
      <w:r w:rsidR="00227126">
        <w:rPr>
          <w:rFonts w:eastAsia="SimSun" w:cs="Times New Roman"/>
          <w:b/>
          <w:iCs/>
          <w:sz w:val="26"/>
        </w:rPr>
        <w:t>recollect</w:t>
      </w:r>
      <w:r w:rsidR="005352F2">
        <w:rPr>
          <w:rFonts w:eastAsia="SimSun" w:cs="Times New Roman"/>
          <w:b/>
          <w:iCs/>
          <w:sz w:val="26"/>
        </w:rPr>
        <w:t xml:space="preserve"> and rejoice a community our debates ask us to erase. They will not die because we refuse to let them.</w:t>
      </w:r>
    </w:p>
    <w:p w14:paraId="725F21C3" w14:textId="77777777" w:rsidR="00C07A69" w:rsidRDefault="00C07A69" w:rsidP="00E644F8">
      <w:pPr>
        <w:keepNext/>
        <w:keepLines/>
        <w:spacing w:before="40" w:after="0"/>
        <w:outlineLvl w:val="3"/>
        <w:rPr>
          <w:rFonts w:eastAsia="SimSun" w:cs="Times New Roman"/>
          <w:b/>
          <w:iCs/>
          <w:sz w:val="26"/>
        </w:rPr>
      </w:pPr>
    </w:p>
    <w:p w14:paraId="47337A8C" w14:textId="557BB655" w:rsidR="00E644F8" w:rsidRPr="00710A39" w:rsidRDefault="00E644F8" w:rsidP="00227126">
      <w:pPr>
        <w:keepNext/>
        <w:keepLines/>
        <w:spacing w:before="40" w:after="0"/>
        <w:outlineLvl w:val="3"/>
        <w:rPr>
          <w:rFonts w:eastAsiaTheme="majorEastAsia"/>
          <w:b/>
          <w:sz w:val="26"/>
        </w:rPr>
      </w:pPr>
    </w:p>
    <w:p w14:paraId="00BBFF08" w14:textId="77777777" w:rsidR="00E644F8" w:rsidRDefault="00E644F8" w:rsidP="00B55AD5"/>
    <w:p w14:paraId="3E3252B9" w14:textId="77777777" w:rsidR="007456F5" w:rsidRPr="00B55AD5" w:rsidRDefault="007456F5" w:rsidP="00B55AD5"/>
    <w:sectPr w:rsidR="007456F5" w:rsidRPr="00B55AD5" w:rsidSect="006C721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F1E17" w14:textId="77777777" w:rsidR="00650903" w:rsidRDefault="00650903" w:rsidP="00C475A1">
      <w:pPr>
        <w:spacing w:after="0" w:line="240" w:lineRule="auto"/>
      </w:pPr>
      <w:r>
        <w:separator/>
      </w:r>
    </w:p>
  </w:endnote>
  <w:endnote w:type="continuationSeparator" w:id="0">
    <w:p w14:paraId="226300AD" w14:textId="77777777" w:rsidR="00650903" w:rsidRDefault="00650903" w:rsidP="00C475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9E611" w14:textId="77777777" w:rsidR="00650903" w:rsidRDefault="00650903" w:rsidP="00C475A1">
      <w:pPr>
        <w:spacing w:after="0" w:line="240" w:lineRule="auto"/>
      </w:pPr>
      <w:r>
        <w:separator/>
      </w:r>
    </w:p>
  </w:footnote>
  <w:footnote w:type="continuationSeparator" w:id="0">
    <w:p w14:paraId="356C3BBA" w14:textId="77777777" w:rsidR="00650903" w:rsidRDefault="00650903" w:rsidP="00C475A1">
      <w:pPr>
        <w:spacing w:after="0" w:line="240" w:lineRule="auto"/>
      </w:pPr>
      <w:r>
        <w:continuationSeparator/>
      </w:r>
    </w:p>
  </w:footnote>
  <w:footnote w:id="1">
    <w:p w14:paraId="574A1A65" w14:textId="77777777" w:rsidR="00C475A1" w:rsidRDefault="00C475A1" w:rsidP="00C475A1">
      <w:pPr>
        <w:pStyle w:val="FootnoteText"/>
      </w:pPr>
      <w:r>
        <w:rPr>
          <w:rStyle w:val="FootnoteReference"/>
        </w:rPr>
        <w:footnoteRef/>
      </w:r>
      <w:r>
        <w:t xml:space="preserve"> Ibid.</w:t>
      </w:r>
    </w:p>
  </w:footnote>
  <w:footnote w:id="2">
    <w:p w14:paraId="42E2C8BF" w14:textId="77777777" w:rsidR="00C475A1" w:rsidRDefault="00C475A1" w:rsidP="00C475A1">
      <w:pPr>
        <w:pStyle w:val="FootnoteText"/>
      </w:pPr>
      <w:r>
        <w:rPr>
          <w:rStyle w:val="FootnoteReference"/>
        </w:rPr>
        <w:footnoteRef/>
      </w:r>
      <w:r>
        <w:t xml:space="preserve"> Ibid.</w:t>
      </w:r>
    </w:p>
  </w:footnote>
  <w:footnote w:id="3">
    <w:p w14:paraId="369EE369" w14:textId="77777777" w:rsidR="00470B87" w:rsidRDefault="00470B87" w:rsidP="00470B87">
      <w:pPr>
        <w:pStyle w:val="FootnoteText"/>
      </w:pPr>
      <w:r>
        <w:rPr>
          <w:rStyle w:val="FootnoteReference"/>
        </w:rPr>
        <w:footnoteRef/>
      </w:r>
      <w:r>
        <w:t xml:space="preserve"> Ibid.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6D4112"/>
    <w:multiLevelType w:val="hybridMultilevel"/>
    <w:tmpl w:val="8198170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FBE318C"/>
    <w:multiLevelType w:val="hybridMultilevel"/>
    <w:tmpl w:val="9E8032F8"/>
    <w:lvl w:ilvl="0" w:tplc="078282D4">
      <w:start w:val="1"/>
      <w:numFmt w:val="decimal"/>
      <w:lvlText w:val="%1)"/>
      <w:lvlJc w:val="left"/>
      <w:pPr>
        <w:ind w:left="720" w:hanging="360"/>
      </w:pPr>
      <w:rPr>
        <w:rFonts w:hint="default"/>
        <w:b/>
        <w:sz w:val="2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1AD4D94"/>
    <w:multiLevelType w:val="hybridMultilevel"/>
    <w:tmpl w:val="3126E996"/>
    <w:lvl w:ilvl="0" w:tplc="F9303DA4">
      <w:start w:val="1"/>
      <w:numFmt w:val="lowerLetter"/>
      <w:lvlText w:val="%1)"/>
      <w:lvlJc w:val="left"/>
      <w:pPr>
        <w:ind w:left="720" w:hanging="360"/>
      </w:pPr>
      <w:rPr>
        <w:rFonts w:hint="default"/>
        <w:sz w:val="2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D811B6"/>
    <w:multiLevelType w:val="hybridMultilevel"/>
    <w:tmpl w:val="22C2D33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B8A6C6C"/>
    <w:multiLevelType w:val="hybridMultilevel"/>
    <w:tmpl w:val="03F077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33B7491"/>
    <w:multiLevelType w:val="hybridMultilevel"/>
    <w:tmpl w:val="3C12C92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1B55559"/>
    <w:multiLevelType w:val="hybridMultilevel"/>
    <w:tmpl w:val="09CE8D2A"/>
    <w:lvl w:ilvl="0" w:tplc="7A9AD6C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350169A"/>
    <w:multiLevelType w:val="hybridMultilevel"/>
    <w:tmpl w:val="A868335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50824466">
    <w:abstractNumId w:val="9"/>
  </w:num>
  <w:num w:numId="2" w16cid:durableId="1231847165">
    <w:abstractNumId w:val="7"/>
  </w:num>
  <w:num w:numId="3" w16cid:durableId="197284803">
    <w:abstractNumId w:val="6"/>
  </w:num>
  <w:num w:numId="4" w16cid:durableId="1954821428">
    <w:abstractNumId w:val="5"/>
  </w:num>
  <w:num w:numId="5" w16cid:durableId="857737445">
    <w:abstractNumId w:val="4"/>
  </w:num>
  <w:num w:numId="6" w16cid:durableId="399837054">
    <w:abstractNumId w:val="8"/>
  </w:num>
  <w:num w:numId="7" w16cid:durableId="185101604">
    <w:abstractNumId w:val="3"/>
  </w:num>
  <w:num w:numId="8" w16cid:durableId="492138879">
    <w:abstractNumId w:val="2"/>
  </w:num>
  <w:num w:numId="9" w16cid:durableId="1831679648">
    <w:abstractNumId w:val="1"/>
  </w:num>
  <w:num w:numId="10" w16cid:durableId="1930578212">
    <w:abstractNumId w:val="0"/>
  </w:num>
  <w:num w:numId="11" w16cid:durableId="909073978">
    <w:abstractNumId w:val="19"/>
  </w:num>
  <w:num w:numId="12" w16cid:durableId="1205605210">
    <w:abstractNumId w:val="15"/>
  </w:num>
  <w:num w:numId="13" w16cid:durableId="1695883432">
    <w:abstractNumId w:val="14"/>
  </w:num>
  <w:num w:numId="14" w16cid:durableId="720713117">
    <w:abstractNumId w:val="13"/>
  </w:num>
  <w:num w:numId="15" w16cid:durableId="189727837">
    <w:abstractNumId w:val="11"/>
  </w:num>
  <w:num w:numId="16" w16cid:durableId="615215845">
    <w:abstractNumId w:val="17"/>
  </w:num>
  <w:num w:numId="17" w16cid:durableId="1669823334">
    <w:abstractNumId w:val="20"/>
  </w:num>
  <w:num w:numId="18" w16cid:durableId="503010397">
    <w:abstractNumId w:val="10"/>
  </w:num>
  <w:num w:numId="19" w16cid:durableId="18050927">
    <w:abstractNumId w:val="21"/>
  </w:num>
  <w:num w:numId="20" w16cid:durableId="631135281">
    <w:abstractNumId w:val="18"/>
  </w:num>
  <w:num w:numId="21" w16cid:durableId="1996689295">
    <w:abstractNumId w:val="16"/>
  </w:num>
  <w:num w:numId="22" w16cid:durableId="45352590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7"/>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1720948416"/>
    <w:docVar w:name="VerbatimVersion" w:val="5.1"/>
  </w:docVars>
  <w:rsids>
    <w:rsidRoot w:val="00C475A1"/>
    <w:rsid w:val="000139A3"/>
    <w:rsid w:val="00027BC9"/>
    <w:rsid w:val="000669BD"/>
    <w:rsid w:val="0008346A"/>
    <w:rsid w:val="000A5834"/>
    <w:rsid w:val="000C6537"/>
    <w:rsid w:val="000D0524"/>
    <w:rsid w:val="00100833"/>
    <w:rsid w:val="00104529"/>
    <w:rsid w:val="00105942"/>
    <w:rsid w:val="00144A4C"/>
    <w:rsid w:val="001603A2"/>
    <w:rsid w:val="00165139"/>
    <w:rsid w:val="00176AB0"/>
    <w:rsid w:val="00177B7D"/>
    <w:rsid w:val="0018322D"/>
    <w:rsid w:val="00192A5B"/>
    <w:rsid w:val="001B5776"/>
    <w:rsid w:val="001C2F8D"/>
    <w:rsid w:val="001E527A"/>
    <w:rsid w:val="001F78CE"/>
    <w:rsid w:val="00205814"/>
    <w:rsid w:val="00207A4C"/>
    <w:rsid w:val="00227126"/>
    <w:rsid w:val="002413B4"/>
    <w:rsid w:val="00251FC7"/>
    <w:rsid w:val="002754A1"/>
    <w:rsid w:val="0027620E"/>
    <w:rsid w:val="002855A7"/>
    <w:rsid w:val="002A4EDE"/>
    <w:rsid w:val="002B146A"/>
    <w:rsid w:val="002B5E17"/>
    <w:rsid w:val="002D0ED5"/>
    <w:rsid w:val="003050EB"/>
    <w:rsid w:val="00315690"/>
    <w:rsid w:val="00316B75"/>
    <w:rsid w:val="00325646"/>
    <w:rsid w:val="003264DA"/>
    <w:rsid w:val="00344888"/>
    <w:rsid w:val="003460F2"/>
    <w:rsid w:val="0038158C"/>
    <w:rsid w:val="0038412F"/>
    <w:rsid w:val="003902BA"/>
    <w:rsid w:val="003918CA"/>
    <w:rsid w:val="00395546"/>
    <w:rsid w:val="003A09E2"/>
    <w:rsid w:val="003C2541"/>
    <w:rsid w:val="003E7E89"/>
    <w:rsid w:val="00407037"/>
    <w:rsid w:val="00413A56"/>
    <w:rsid w:val="00414A16"/>
    <w:rsid w:val="00435655"/>
    <w:rsid w:val="004605D6"/>
    <w:rsid w:val="00465021"/>
    <w:rsid w:val="00470B87"/>
    <w:rsid w:val="00486225"/>
    <w:rsid w:val="004B580A"/>
    <w:rsid w:val="004C3268"/>
    <w:rsid w:val="004C60E8"/>
    <w:rsid w:val="004E3579"/>
    <w:rsid w:val="004E5476"/>
    <w:rsid w:val="004E728B"/>
    <w:rsid w:val="004F39E0"/>
    <w:rsid w:val="005067D5"/>
    <w:rsid w:val="005352F2"/>
    <w:rsid w:val="00537BD5"/>
    <w:rsid w:val="005A4A86"/>
    <w:rsid w:val="005A5F77"/>
    <w:rsid w:val="005A7D1F"/>
    <w:rsid w:val="005B09C0"/>
    <w:rsid w:val="005B724F"/>
    <w:rsid w:val="005D2912"/>
    <w:rsid w:val="005E0E34"/>
    <w:rsid w:val="006065BD"/>
    <w:rsid w:val="00645FA9"/>
    <w:rsid w:val="00647866"/>
    <w:rsid w:val="00650903"/>
    <w:rsid w:val="00665003"/>
    <w:rsid w:val="0067377D"/>
    <w:rsid w:val="006A2AD0"/>
    <w:rsid w:val="006A2E49"/>
    <w:rsid w:val="006B40D0"/>
    <w:rsid w:val="006B491D"/>
    <w:rsid w:val="006C2375"/>
    <w:rsid w:val="006C7214"/>
    <w:rsid w:val="006D4ECC"/>
    <w:rsid w:val="006D5B83"/>
    <w:rsid w:val="00710A39"/>
    <w:rsid w:val="00722258"/>
    <w:rsid w:val="00723DE7"/>
    <w:rsid w:val="007243E5"/>
    <w:rsid w:val="00730011"/>
    <w:rsid w:val="00740F1A"/>
    <w:rsid w:val="0074336D"/>
    <w:rsid w:val="007456F5"/>
    <w:rsid w:val="007612EA"/>
    <w:rsid w:val="00766EA0"/>
    <w:rsid w:val="00780DBF"/>
    <w:rsid w:val="007A2226"/>
    <w:rsid w:val="007D2F0C"/>
    <w:rsid w:val="007F5411"/>
    <w:rsid w:val="007F5B66"/>
    <w:rsid w:val="008101DC"/>
    <w:rsid w:val="00823A1C"/>
    <w:rsid w:val="00845B9D"/>
    <w:rsid w:val="00846C92"/>
    <w:rsid w:val="0085018D"/>
    <w:rsid w:val="00860984"/>
    <w:rsid w:val="0086764F"/>
    <w:rsid w:val="00870721"/>
    <w:rsid w:val="00893FB6"/>
    <w:rsid w:val="008B1435"/>
    <w:rsid w:val="008B3ECB"/>
    <w:rsid w:val="008B4E85"/>
    <w:rsid w:val="008C1B2E"/>
    <w:rsid w:val="008D0E58"/>
    <w:rsid w:val="008F019F"/>
    <w:rsid w:val="008F22EB"/>
    <w:rsid w:val="008F3301"/>
    <w:rsid w:val="008F7485"/>
    <w:rsid w:val="0091627E"/>
    <w:rsid w:val="00921D95"/>
    <w:rsid w:val="009247BD"/>
    <w:rsid w:val="00937D48"/>
    <w:rsid w:val="00940FAF"/>
    <w:rsid w:val="0097032B"/>
    <w:rsid w:val="009D2EAD"/>
    <w:rsid w:val="009D36D7"/>
    <w:rsid w:val="009D54B2"/>
    <w:rsid w:val="009D5BF2"/>
    <w:rsid w:val="009E1922"/>
    <w:rsid w:val="009F03FD"/>
    <w:rsid w:val="009F31F2"/>
    <w:rsid w:val="009F67D0"/>
    <w:rsid w:val="009F7ED2"/>
    <w:rsid w:val="00A11D70"/>
    <w:rsid w:val="00A17ADA"/>
    <w:rsid w:val="00A266B5"/>
    <w:rsid w:val="00A36B23"/>
    <w:rsid w:val="00A74F6C"/>
    <w:rsid w:val="00A868A6"/>
    <w:rsid w:val="00A90552"/>
    <w:rsid w:val="00A93661"/>
    <w:rsid w:val="00A95652"/>
    <w:rsid w:val="00AA4D55"/>
    <w:rsid w:val="00AA5549"/>
    <w:rsid w:val="00AB446F"/>
    <w:rsid w:val="00AC0AB8"/>
    <w:rsid w:val="00AC7482"/>
    <w:rsid w:val="00AD43ED"/>
    <w:rsid w:val="00B167B6"/>
    <w:rsid w:val="00B33C6D"/>
    <w:rsid w:val="00B4508F"/>
    <w:rsid w:val="00B452A8"/>
    <w:rsid w:val="00B552E3"/>
    <w:rsid w:val="00B55AD5"/>
    <w:rsid w:val="00B60B58"/>
    <w:rsid w:val="00B617F0"/>
    <w:rsid w:val="00B8057C"/>
    <w:rsid w:val="00B8301B"/>
    <w:rsid w:val="00B97A49"/>
    <w:rsid w:val="00BA7B5B"/>
    <w:rsid w:val="00BA7D02"/>
    <w:rsid w:val="00BD6238"/>
    <w:rsid w:val="00BF229D"/>
    <w:rsid w:val="00BF593B"/>
    <w:rsid w:val="00BF773A"/>
    <w:rsid w:val="00BF7E81"/>
    <w:rsid w:val="00C07A69"/>
    <w:rsid w:val="00C11F89"/>
    <w:rsid w:val="00C12A47"/>
    <w:rsid w:val="00C13773"/>
    <w:rsid w:val="00C14045"/>
    <w:rsid w:val="00C17CC8"/>
    <w:rsid w:val="00C3479D"/>
    <w:rsid w:val="00C3664B"/>
    <w:rsid w:val="00C44E80"/>
    <w:rsid w:val="00C475A1"/>
    <w:rsid w:val="00C51687"/>
    <w:rsid w:val="00C73C19"/>
    <w:rsid w:val="00C83417"/>
    <w:rsid w:val="00C86FA4"/>
    <w:rsid w:val="00C94520"/>
    <w:rsid w:val="00C9604F"/>
    <w:rsid w:val="00CA19AA"/>
    <w:rsid w:val="00CA5FAA"/>
    <w:rsid w:val="00CC13F9"/>
    <w:rsid w:val="00CC5298"/>
    <w:rsid w:val="00CD1FA7"/>
    <w:rsid w:val="00CD736E"/>
    <w:rsid w:val="00CD798D"/>
    <w:rsid w:val="00CE161E"/>
    <w:rsid w:val="00CF59A8"/>
    <w:rsid w:val="00D06712"/>
    <w:rsid w:val="00D203BB"/>
    <w:rsid w:val="00D325A9"/>
    <w:rsid w:val="00D36A8A"/>
    <w:rsid w:val="00D60C8F"/>
    <w:rsid w:val="00D61409"/>
    <w:rsid w:val="00D6691E"/>
    <w:rsid w:val="00D71170"/>
    <w:rsid w:val="00D93605"/>
    <w:rsid w:val="00DA25D4"/>
    <w:rsid w:val="00DA6538"/>
    <w:rsid w:val="00DB7158"/>
    <w:rsid w:val="00DD5CA8"/>
    <w:rsid w:val="00DE64B2"/>
    <w:rsid w:val="00DF1253"/>
    <w:rsid w:val="00E15E75"/>
    <w:rsid w:val="00E21239"/>
    <w:rsid w:val="00E5262C"/>
    <w:rsid w:val="00E644F8"/>
    <w:rsid w:val="00E648DF"/>
    <w:rsid w:val="00EB1BBB"/>
    <w:rsid w:val="00EC7DC4"/>
    <w:rsid w:val="00ED30CF"/>
    <w:rsid w:val="00ED4817"/>
    <w:rsid w:val="00ED6D96"/>
    <w:rsid w:val="00EE7863"/>
    <w:rsid w:val="00F07076"/>
    <w:rsid w:val="00F176EF"/>
    <w:rsid w:val="00F37C8B"/>
    <w:rsid w:val="00F42C52"/>
    <w:rsid w:val="00F45E10"/>
    <w:rsid w:val="00F6364A"/>
    <w:rsid w:val="00F67471"/>
    <w:rsid w:val="00F77093"/>
    <w:rsid w:val="00F852EE"/>
    <w:rsid w:val="00F9113A"/>
    <w:rsid w:val="00FD053B"/>
    <w:rsid w:val="00FD36CD"/>
    <w:rsid w:val="00FE2546"/>
    <w:rsid w:val="00FF3BEC"/>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52F37"/>
  <w15:chartTrackingRefBased/>
  <w15:docId w15:val="{6EC23AB8-2371-4A14-982C-6299D989E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D5B83"/>
    <w:rPr>
      <w:rFonts w:ascii="Calibri" w:hAnsi="Calibri" w:cs="Calibri"/>
    </w:rPr>
  </w:style>
  <w:style w:type="paragraph" w:styleId="Heading1">
    <w:name w:val="heading 1"/>
    <w:aliases w:val="Pocket"/>
    <w:basedOn w:val="Normal"/>
    <w:next w:val="Normal"/>
    <w:link w:val="Heading1Char"/>
    <w:qFormat/>
    <w:rsid w:val="006D5B8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D5B8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D5B8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TAG,No Spacing12,No Spacing4,No Spacing11111,No Spacing5,No Spacing21,Card,Tags,tags,No Spacing1111,ta, Ch"/>
    <w:basedOn w:val="Normal"/>
    <w:next w:val="Normal"/>
    <w:link w:val="Heading4Char"/>
    <w:uiPriority w:val="3"/>
    <w:qFormat/>
    <w:rsid w:val="006D5B8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D5B83"/>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6D5B8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D5B83"/>
  </w:style>
  <w:style w:type="character" w:customStyle="1" w:styleId="Heading1Char">
    <w:name w:val="Heading 1 Char"/>
    <w:aliases w:val="Pocket Char"/>
    <w:basedOn w:val="DefaultParagraphFont"/>
    <w:link w:val="Heading1"/>
    <w:rsid w:val="006D5B8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D5B8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D5B83"/>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TAG Char,No Spacing12 Char,Card Char"/>
    <w:basedOn w:val="DefaultParagraphFont"/>
    <w:link w:val="Heading4"/>
    <w:uiPriority w:val="3"/>
    <w:rsid w:val="006D5B83"/>
    <w:rPr>
      <w:rFonts w:ascii="Calibri" w:eastAsiaTheme="majorEastAsia" w:hAnsi="Calibri" w:cstheme="majorBidi"/>
      <w:b/>
      <w:iCs/>
      <w:sz w:val="26"/>
    </w:rPr>
  </w:style>
  <w:style w:type="character" w:styleId="Emphasis">
    <w:name w:val="Emphasis"/>
    <w:aliases w:val="Minimized,Underlined,Highlighted,Evidence,minimized,tag2,Size 10,emphasis in card,CD Card,ED - Tag,emphasis,Bold Underline,Emphasis!!,small,Qualifications,bold underline,normal card text,Shrunk,qualifications in card,qualifications,Style1,Box,s"/>
    <w:basedOn w:val="DefaultParagraphFont"/>
    <w:link w:val="textbold"/>
    <w:uiPriority w:val="8"/>
    <w:qFormat/>
    <w:rsid w:val="006D5B83"/>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D5B83"/>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Intense Emphasis111,Intense Emphasis3,Intense Emphasis4,Intense Emphasis1111,c,B"/>
    <w:basedOn w:val="DefaultParagraphFont"/>
    <w:uiPriority w:val="7"/>
    <w:qFormat/>
    <w:rsid w:val="006D5B83"/>
    <w:rPr>
      <w:b w:val="0"/>
      <w:sz w:val="22"/>
      <w:u w:val="single"/>
    </w:rPr>
  </w:style>
  <w:style w:type="character" w:styleId="Hyperlink">
    <w:name w:val="Hyperlink"/>
    <w:aliases w:val="Read,Important,heading 1 (block title),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6D5B83"/>
    <w:rPr>
      <w:color w:val="0563C1" w:themeColor="hyperlink"/>
      <w:u w:val="single"/>
    </w:rPr>
  </w:style>
  <w:style w:type="character" w:styleId="FollowedHyperlink">
    <w:name w:val="FollowedHyperlink"/>
    <w:basedOn w:val="DefaultParagraphFont"/>
    <w:uiPriority w:val="99"/>
    <w:semiHidden/>
    <w:unhideWhenUsed/>
    <w:rsid w:val="006D5B83"/>
    <w:rPr>
      <w:color w:val="auto"/>
      <w:u w:val="none"/>
    </w:rPr>
  </w:style>
  <w:style w:type="paragraph" w:styleId="FootnoteText">
    <w:name w:val="footnote text"/>
    <w:basedOn w:val="Normal"/>
    <w:link w:val="FootnoteTextChar"/>
    <w:uiPriority w:val="99"/>
    <w:semiHidden/>
    <w:unhideWhenUsed/>
    <w:rsid w:val="00C475A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475A1"/>
    <w:rPr>
      <w:rFonts w:ascii="Calibri" w:hAnsi="Calibri" w:cs="Calibri"/>
      <w:sz w:val="20"/>
      <w:szCs w:val="20"/>
    </w:rPr>
  </w:style>
  <w:style w:type="character" w:styleId="FootnoteReference">
    <w:name w:val="footnote reference"/>
    <w:basedOn w:val="DefaultParagraphFont"/>
    <w:uiPriority w:val="99"/>
    <w:semiHidden/>
    <w:unhideWhenUsed/>
    <w:rsid w:val="00C475A1"/>
    <w:rPr>
      <w:vertAlign w:val="superscript"/>
    </w:rPr>
  </w:style>
  <w:style w:type="character" w:customStyle="1" w:styleId="Heading5Char">
    <w:name w:val="Heading 5 Char"/>
    <w:basedOn w:val="DefaultParagraphFont"/>
    <w:link w:val="Heading5"/>
    <w:uiPriority w:val="9"/>
    <w:semiHidden/>
    <w:rsid w:val="006D5B83"/>
    <w:rPr>
      <w:rFonts w:asciiTheme="majorHAnsi" w:eastAsiaTheme="majorEastAsia" w:hAnsiTheme="majorHAnsi" w:cstheme="majorBidi"/>
      <w:color w:val="2E74B5" w:themeColor="accent1" w:themeShade="BF"/>
    </w:rPr>
  </w:style>
  <w:style w:type="character" w:styleId="Strong">
    <w:name w:val="Strong"/>
    <w:basedOn w:val="DefaultParagraphFont"/>
    <w:uiPriority w:val="22"/>
    <w:semiHidden/>
    <w:qFormat/>
    <w:rsid w:val="006D5B83"/>
    <w:rPr>
      <w:b/>
      <w:bCs/>
    </w:rPr>
  </w:style>
  <w:style w:type="character" w:styleId="BookTitle">
    <w:name w:val="Book Title"/>
    <w:basedOn w:val="DefaultParagraphFont"/>
    <w:uiPriority w:val="33"/>
    <w:semiHidden/>
    <w:qFormat/>
    <w:rsid w:val="006D5B83"/>
    <w:rPr>
      <w:b/>
      <w:bCs/>
      <w:i/>
      <w:iCs/>
      <w:spacing w:val="5"/>
    </w:rPr>
  </w:style>
  <w:style w:type="numbering" w:styleId="111111">
    <w:name w:val="Outline List 2"/>
    <w:basedOn w:val="NoList"/>
    <w:uiPriority w:val="99"/>
    <w:semiHidden/>
    <w:unhideWhenUsed/>
    <w:rsid w:val="006D5B83"/>
  </w:style>
  <w:style w:type="paragraph" w:styleId="Header">
    <w:name w:val="header"/>
    <w:basedOn w:val="Normal"/>
    <w:link w:val="HeaderChar"/>
    <w:uiPriority w:val="99"/>
    <w:semiHidden/>
    <w:rsid w:val="006D5B8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D5B83"/>
    <w:rPr>
      <w:rFonts w:ascii="Calibri" w:hAnsi="Calibri" w:cs="Calibri"/>
    </w:rPr>
  </w:style>
  <w:style w:type="paragraph" w:styleId="Footer">
    <w:name w:val="footer"/>
    <w:basedOn w:val="Normal"/>
    <w:link w:val="FooterChar"/>
    <w:uiPriority w:val="99"/>
    <w:semiHidden/>
    <w:rsid w:val="006D5B8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D5B83"/>
    <w:rPr>
      <w:rFonts w:ascii="Calibri" w:hAnsi="Calibri" w:cs="Calibri"/>
    </w:rPr>
  </w:style>
  <w:style w:type="paragraph" w:styleId="BodyText">
    <w:name w:val="Body Text"/>
    <w:basedOn w:val="Normal"/>
    <w:link w:val="BodyTextChar"/>
    <w:uiPriority w:val="99"/>
    <w:semiHidden/>
    <w:unhideWhenUsed/>
    <w:rsid w:val="006D5B83"/>
    <w:pPr>
      <w:spacing w:after="120"/>
    </w:pPr>
  </w:style>
  <w:style w:type="character" w:customStyle="1" w:styleId="BodyTextChar">
    <w:name w:val="Body Text Char"/>
    <w:basedOn w:val="DefaultParagraphFont"/>
    <w:link w:val="BodyText"/>
    <w:uiPriority w:val="99"/>
    <w:semiHidden/>
    <w:rsid w:val="006D5B83"/>
    <w:rPr>
      <w:rFonts w:ascii="Calibri" w:hAnsi="Calibri" w:cs="Calibri"/>
    </w:rPr>
  </w:style>
  <w:style w:type="paragraph" w:styleId="NoSpacing">
    <w:name w:val="No Spacing"/>
    <w:link w:val="NoSpacingChar"/>
    <w:uiPriority w:val="99"/>
    <w:semiHidden/>
    <w:unhideWhenUsed/>
    <w:qFormat/>
    <w:rsid w:val="006D5B8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D5B83"/>
    <w:rPr>
      <w:rFonts w:ascii="Calibri" w:hAnsi="Calibri" w:cs="Calibri"/>
    </w:rPr>
  </w:style>
  <w:style w:type="character" w:styleId="UnresolvedMention">
    <w:name w:val="Unresolved Mention"/>
    <w:basedOn w:val="DefaultParagraphFont"/>
    <w:uiPriority w:val="99"/>
    <w:semiHidden/>
    <w:unhideWhenUsed/>
    <w:rsid w:val="006D5B83"/>
    <w:rPr>
      <w:color w:val="605E5C"/>
      <w:shd w:val="clear" w:color="auto" w:fill="E1DFDD"/>
    </w:rPr>
  </w:style>
  <w:style w:type="paragraph" w:styleId="Revision">
    <w:name w:val="Revision"/>
    <w:hidden/>
    <w:uiPriority w:val="99"/>
    <w:semiHidden/>
    <w:rsid w:val="006C7214"/>
    <w:pPr>
      <w:spacing w:after="0" w:line="240" w:lineRule="auto"/>
    </w:pPr>
    <w:rPr>
      <w:rFonts w:ascii="Calibri" w:hAnsi="Calibri" w:cs="Calibri"/>
    </w:rPr>
  </w:style>
  <w:style w:type="paragraph" w:styleId="ListParagraph">
    <w:name w:val="List Paragraph"/>
    <w:aliases w:val="6 font"/>
    <w:basedOn w:val="Normal"/>
    <w:uiPriority w:val="99"/>
    <w:unhideWhenUsed/>
    <w:qFormat/>
    <w:rsid w:val="007456F5"/>
    <w:pPr>
      <w:ind w:left="720"/>
      <w:contextualSpacing/>
    </w:pPr>
  </w:style>
  <w:style w:type="paragraph" w:customStyle="1" w:styleId="Heading411">
    <w:name w:val="Heading 411"/>
    <w:basedOn w:val="Heading1"/>
    <w:next w:val="NoSpacing"/>
    <w:link w:val="Hyperlink"/>
    <w:autoRedefine/>
    <w:uiPriority w:val="99"/>
    <w:qFormat/>
    <w:rsid w:val="007456F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8"/>
    <w:qFormat/>
    <w:rsid w:val="007456F5"/>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rcd.onlinelibrary.wiley.com/doi/10.1111/cdev.14215?af=R" TargetMode="External"/><Relationship Id="rId18" Type="http://schemas.openxmlformats.org/officeDocument/2006/relationships/hyperlink" Target="https://srcd.onlinelibrary.wiley.com/doi/10.1111/cdev.14215?af=R" TargetMode="External"/><Relationship Id="rId26" Type="http://schemas.openxmlformats.org/officeDocument/2006/relationships/hyperlink" Target="https://srcd.onlinelibrary.wiley.com/doi/10.1111/cdev.14215?af=R" TargetMode="External"/><Relationship Id="rId39" Type="http://schemas.openxmlformats.org/officeDocument/2006/relationships/hyperlink" Target="https://srcd.onlinelibrary.wiley.com/doi/10.1111/cdev.14215?af=R" TargetMode="External"/><Relationship Id="rId21" Type="http://schemas.openxmlformats.org/officeDocument/2006/relationships/hyperlink" Target="https://srcd.onlinelibrary.wiley.com/doi/10.1111/cdev.14215?af=R" TargetMode="External"/><Relationship Id="rId34" Type="http://schemas.openxmlformats.org/officeDocument/2006/relationships/hyperlink" Target="https://srcd.onlinelibrary.wiley.com/doi/10.1111/cdev.14215?af=R" TargetMode="External"/><Relationship Id="rId42" Type="http://schemas.openxmlformats.org/officeDocument/2006/relationships/hyperlink" Target="https://srcd.onlinelibrary.wiley.com/doi/10.1111/cdev.14215?af=R" TargetMode="External"/><Relationship Id="rId47" Type="http://schemas.openxmlformats.org/officeDocument/2006/relationships/hyperlink" Target="https://srcd.onlinelibrary.wiley.com/doi/10.1111/cdev.14215?af=R" TargetMode="External"/><Relationship Id="rId50" Type="http://schemas.openxmlformats.org/officeDocument/2006/relationships/hyperlink" Target="https://srcd.onlinelibrary.wiley.com/doi/10.1111/cdev.14215?af=R"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srcd.onlinelibrary.wiley.com/doi/10.1111/cdev.14215?af=R" TargetMode="External"/><Relationship Id="rId29" Type="http://schemas.openxmlformats.org/officeDocument/2006/relationships/hyperlink" Target="https://srcd.onlinelibrary.wiley.com/doi/10.1111/cdev.14215?af=R" TargetMode="External"/><Relationship Id="rId11" Type="http://schemas.openxmlformats.org/officeDocument/2006/relationships/hyperlink" Target="https://srcd.onlinelibrary.wiley.com/doi/10.1111/cdev.14215?af=R" TargetMode="External"/><Relationship Id="rId24" Type="http://schemas.openxmlformats.org/officeDocument/2006/relationships/hyperlink" Target="https://srcd.onlinelibrary.wiley.com/doi/10.1111/cdev.14215?af=R" TargetMode="External"/><Relationship Id="rId32" Type="http://schemas.openxmlformats.org/officeDocument/2006/relationships/hyperlink" Target="https://srcd.onlinelibrary.wiley.com/doi/10.1111/cdev.14215?af=R" TargetMode="External"/><Relationship Id="rId37" Type="http://schemas.openxmlformats.org/officeDocument/2006/relationships/hyperlink" Target="https://srcd.onlinelibrary.wiley.com/doi/10.1111/cdev.14215?af=R" TargetMode="External"/><Relationship Id="rId40" Type="http://schemas.openxmlformats.org/officeDocument/2006/relationships/hyperlink" Target="https://srcd.onlinelibrary.wiley.com/doi/10.1111/cdev.14215?af=R" TargetMode="External"/><Relationship Id="rId45" Type="http://schemas.openxmlformats.org/officeDocument/2006/relationships/hyperlink" Target="https://srcd.onlinelibrary.wiley.com/doi/10.1111/cdev.14215?af=R"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srcd.onlinelibrary.wiley.com/doi/10.1111/cdev.14215?af=R" TargetMode="External"/><Relationship Id="rId19" Type="http://schemas.openxmlformats.org/officeDocument/2006/relationships/hyperlink" Target="https://srcd.onlinelibrary.wiley.com/doi/10.1111/cdev.14215?af=R" TargetMode="External"/><Relationship Id="rId31" Type="http://schemas.openxmlformats.org/officeDocument/2006/relationships/hyperlink" Target="https://srcd.onlinelibrary.wiley.com/doi/10.1111/cdev.14215?af=R" TargetMode="External"/><Relationship Id="rId44" Type="http://schemas.openxmlformats.org/officeDocument/2006/relationships/hyperlink" Target="https://srcd.onlinelibrary.wiley.com/doi/10.1111/cdev.14215?af=R" TargetMode="External"/><Relationship Id="rId52" Type="http://schemas.openxmlformats.org/officeDocument/2006/relationships/hyperlink" Target="https://srcd.onlinelibrary.wiley.com/doi/10.1111/cdev.14215?af=R" TargetMode="External"/><Relationship Id="rId4" Type="http://schemas.openxmlformats.org/officeDocument/2006/relationships/settings" Target="settings.xml"/><Relationship Id="rId9" Type="http://schemas.openxmlformats.org/officeDocument/2006/relationships/hyperlink" Target="https://srcd.onlinelibrary.wiley.com/doi/10.1111/cdev.14215?af=R" TargetMode="External"/><Relationship Id="rId14" Type="http://schemas.openxmlformats.org/officeDocument/2006/relationships/hyperlink" Target="https://srcd.onlinelibrary.wiley.com/doi/10.1111/cdev.14215?af=R" TargetMode="External"/><Relationship Id="rId22" Type="http://schemas.openxmlformats.org/officeDocument/2006/relationships/hyperlink" Target="https://srcd.onlinelibrary.wiley.com/doi/10.1111/cdev.14215?af=R" TargetMode="External"/><Relationship Id="rId27" Type="http://schemas.openxmlformats.org/officeDocument/2006/relationships/hyperlink" Target="https://srcd.onlinelibrary.wiley.com/doi/10.1111/cdev.14215?af=R" TargetMode="External"/><Relationship Id="rId30" Type="http://schemas.openxmlformats.org/officeDocument/2006/relationships/hyperlink" Target="https://srcd.onlinelibrary.wiley.com/doi/10.1111/cdev.14215?af=R" TargetMode="External"/><Relationship Id="rId35" Type="http://schemas.openxmlformats.org/officeDocument/2006/relationships/hyperlink" Target="https://srcd.onlinelibrary.wiley.com/doi/10.1111/cdev.14215?af=R" TargetMode="External"/><Relationship Id="rId43" Type="http://schemas.openxmlformats.org/officeDocument/2006/relationships/hyperlink" Target="https://srcd.onlinelibrary.wiley.com/doi/10.1111/cdev.14215?af=R" TargetMode="External"/><Relationship Id="rId48" Type="http://schemas.openxmlformats.org/officeDocument/2006/relationships/hyperlink" Target="https://srcd.onlinelibrary.wiley.com/doi/10.1111/cdev.14215?af=R" TargetMode="External"/><Relationship Id="rId8" Type="http://schemas.openxmlformats.org/officeDocument/2006/relationships/hyperlink" Target="https://srcd.onlinelibrary.wiley.com/doi/10.1111/cdev.14215?af=R" TargetMode="External"/><Relationship Id="rId51" Type="http://schemas.openxmlformats.org/officeDocument/2006/relationships/hyperlink" Target="https://srcd.onlinelibrary.wiley.com/doi/10.1111/cdev.14215?af=R" TargetMode="External"/><Relationship Id="rId3" Type="http://schemas.openxmlformats.org/officeDocument/2006/relationships/styles" Target="styles.xml"/><Relationship Id="rId12" Type="http://schemas.openxmlformats.org/officeDocument/2006/relationships/hyperlink" Target="https://srcd.onlinelibrary.wiley.com/doi/10.1111/cdev.14215?af=R" TargetMode="External"/><Relationship Id="rId17" Type="http://schemas.openxmlformats.org/officeDocument/2006/relationships/hyperlink" Target="https://srcd.onlinelibrary.wiley.com/doi/10.1111/cdev.14215?af=R" TargetMode="External"/><Relationship Id="rId25" Type="http://schemas.openxmlformats.org/officeDocument/2006/relationships/hyperlink" Target="https://srcd.onlinelibrary.wiley.com/doi/10.1111/cdev.14215?af=R" TargetMode="External"/><Relationship Id="rId33" Type="http://schemas.openxmlformats.org/officeDocument/2006/relationships/hyperlink" Target="https://srcd.onlinelibrary.wiley.com/doi/10.1111/cdev.14215?af=R" TargetMode="External"/><Relationship Id="rId38" Type="http://schemas.openxmlformats.org/officeDocument/2006/relationships/hyperlink" Target="https://srcd.onlinelibrary.wiley.com/doi/10.1111/cdev.14215?af=R" TargetMode="External"/><Relationship Id="rId46" Type="http://schemas.openxmlformats.org/officeDocument/2006/relationships/hyperlink" Target="https://srcd.onlinelibrary.wiley.com/doi/10.1111/cdev.14215?af=R" TargetMode="External"/><Relationship Id="rId20" Type="http://schemas.openxmlformats.org/officeDocument/2006/relationships/hyperlink" Target="https://srcd.onlinelibrary.wiley.com/doi/10.1111/cdev.14215?af=R" TargetMode="External"/><Relationship Id="rId41" Type="http://schemas.openxmlformats.org/officeDocument/2006/relationships/hyperlink" Target="https://srcd.onlinelibrary.wiley.com/doi/10.1111/cdev.14215?af=R"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srcd.onlinelibrary.wiley.com/doi/10.1111/cdev.14215?af=R" TargetMode="External"/><Relationship Id="rId23" Type="http://schemas.openxmlformats.org/officeDocument/2006/relationships/hyperlink" Target="https://srcd.onlinelibrary.wiley.com/doi/10.1111/cdev.14215?af=R" TargetMode="External"/><Relationship Id="rId28" Type="http://schemas.openxmlformats.org/officeDocument/2006/relationships/hyperlink" Target="https://srcd.onlinelibrary.wiley.com/doi/10.1111/cdev.14215?af=R" TargetMode="External"/><Relationship Id="rId36" Type="http://schemas.openxmlformats.org/officeDocument/2006/relationships/hyperlink" Target="https://srcd.onlinelibrary.wiley.com/doi/10.1111/cdev.14215?af=R" TargetMode="External"/><Relationship Id="rId49" Type="http://schemas.openxmlformats.org/officeDocument/2006/relationships/hyperlink" Target="https://srcd.onlinelibrary.wiley.com/doi/10.1111/cdev.14215?af=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essinwonderlan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400AA-295B-4A8B-8E44-64BCC1FFF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18</TotalTime>
  <Pages>15</Pages>
  <Words>12536</Words>
  <Characters>71459</Characters>
  <Application>Microsoft Office Word</Application>
  <DocSecurity>0</DocSecurity>
  <Lines>595</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83828</CharactersWithSpaces>
  <SharedDoc>false</SharedDoc>
  <HLinks>
    <vt:vector size="270" baseType="variant">
      <vt:variant>
        <vt:i4>8257582</vt:i4>
      </vt:variant>
      <vt:variant>
        <vt:i4>132</vt:i4>
      </vt:variant>
      <vt:variant>
        <vt:i4>0</vt:i4>
      </vt:variant>
      <vt:variant>
        <vt:i4>5</vt:i4>
      </vt:variant>
      <vt:variant>
        <vt:lpwstr>https://srcd.onlinelibrary.wiley.com/doi/10.1111/cdev.14215?af=R</vt:lpwstr>
      </vt:variant>
      <vt:variant>
        <vt:lpwstr>cdev14215-bib-0004</vt:lpwstr>
      </vt:variant>
      <vt:variant>
        <vt:i4>8192047</vt:i4>
      </vt:variant>
      <vt:variant>
        <vt:i4>129</vt:i4>
      </vt:variant>
      <vt:variant>
        <vt:i4>0</vt:i4>
      </vt:variant>
      <vt:variant>
        <vt:i4>5</vt:i4>
      </vt:variant>
      <vt:variant>
        <vt:lpwstr>https://srcd.onlinelibrary.wiley.com/doi/10.1111/cdev.14215?af=R</vt:lpwstr>
      </vt:variant>
      <vt:variant>
        <vt:lpwstr>cdev14215-bib-0017</vt:lpwstr>
      </vt:variant>
      <vt:variant>
        <vt:i4>7536680</vt:i4>
      </vt:variant>
      <vt:variant>
        <vt:i4>126</vt:i4>
      </vt:variant>
      <vt:variant>
        <vt:i4>0</vt:i4>
      </vt:variant>
      <vt:variant>
        <vt:i4>5</vt:i4>
      </vt:variant>
      <vt:variant>
        <vt:lpwstr>https://srcd.onlinelibrary.wiley.com/doi/10.1111/cdev.14215?af=R</vt:lpwstr>
      </vt:variant>
      <vt:variant>
        <vt:lpwstr>cdev14215-bib-0069</vt:lpwstr>
      </vt:variant>
      <vt:variant>
        <vt:i4>7929898</vt:i4>
      </vt:variant>
      <vt:variant>
        <vt:i4>123</vt:i4>
      </vt:variant>
      <vt:variant>
        <vt:i4>0</vt:i4>
      </vt:variant>
      <vt:variant>
        <vt:i4>5</vt:i4>
      </vt:variant>
      <vt:variant>
        <vt:lpwstr>https://srcd.onlinelibrary.wiley.com/doi/10.1111/cdev.14215?af=R</vt:lpwstr>
      </vt:variant>
      <vt:variant>
        <vt:lpwstr>cdev14215-bib-0043</vt:lpwstr>
      </vt:variant>
      <vt:variant>
        <vt:i4>7995435</vt:i4>
      </vt:variant>
      <vt:variant>
        <vt:i4>120</vt:i4>
      </vt:variant>
      <vt:variant>
        <vt:i4>0</vt:i4>
      </vt:variant>
      <vt:variant>
        <vt:i4>5</vt:i4>
      </vt:variant>
      <vt:variant>
        <vt:lpwstr>https://srcd.onlinelibrary.wiley.com/doi/10.1111/cdev.14215?af=R</vt:lpwstr>
      </vt:variant>
      <vt:variant>
        <vt:lpwstr>cdev14215-bib-0050</vt:lpwstr>
      </vt:variant>
      <vt:variant>
        <vt:i4>8060972</vt:i4>
      </vt:variant>
      <vt:variant>
        <vt:i4>117</vt:i4>
      </vt:variant>
      <vt:variant>
        <vt:i4>0</vt:i4>
      </vt:variant>
      <vt:variant>
        <vt:i4>5</vt:i4>
      </vt:variant>
      <vt:variant>
        <vt:lpwstr>https://srcd.onlinelibrary.wiley.com/doi/10.1111/cdev.14215?af=R</vt:lpwstr>
      </vt:variant>
      <vt:variant>
        <vt:lpwstr>cdev14215-bib-0021</vt:lpwstr>
      </vt:variant>
      <vt:variant>
        <vt:i4>7471144</vt:i4>
      </vt:variant>
      <vt:variant>
        <vt:i4>114</vt:i4>
      </vt:variant>
      <vt:variant>
        <vt:i4>0</vt:i4>
      </vt:variant>
      <vt:variant>
        <vt:i4>5</vt:i4>
      </vt:variant>
      <vt:variant>
        <vt:lpwstr>https://srcd.onlinelibrary.wiley.com/doi/10.1111/cdev.14215?af=R</vt:lpwstr>
      </vt:variant>
      <vt:variant>
        <vt:lpwstr>cdev14215-bib-0068</vt:lpwstr>
      </vt:variant>
      <vt:variant>
        <vt:i4>8060968</vt:i4>
      </vt:variant>
      <vt:variant>
        <vt:i4>111</vt:i4>
      </vt:variant>
      <vt:variant>
        <vt:i4>0</vt:i4>
      </vt:variant>
      <vt:variant>
        <vt:i4>5</vt:i4>
      </vt:variant>
      <vt:variant>
        <vt:lpwstr>https://srcd.onlinelibrary.wiley.com/doi/10.1111/cdev.14215?af=R</vt:lpwstr>
      </vt:variant>
      <vt:variant>
        <vt:lpwstr>cdev14215-bib-0061</vt:lpwstr>
      </vt:variant>
      <vt:variant>
        <vt:i4>7929899</vt:i4>
      </vt:variant>
      <vt:variant>
        <vt:i4>108</vt:i4>
      </vt:variant>
      <vt:variant>
        <vt:i4>0</vt:i4>
      </vt:variant>
      <vt:variant>
        <vt:i4>5</vt:i4>
      </vt:variant>
      <vt:variant>
        <vt:lpwstr>https://srcd.onlinelibrary.wiley.com/doi/10.1111/cdev.14215?af=R</vt:lpwstr>
      </vt:variant>
      <vt:variant>
        <vt:lpwstr>cdev14215-bib-0053</vt:lpwstr>
      </vt:variant>
      <vt:variant>
        <vt:i4>7929899</vt:i4>
      </vt:variant>
      <vt:variant>
        <vt:i4>105</vt:i4>
      </vt:variant>
      <vt:variant>
        <vt:i4>0</vt:i4>
      </vt:variant>
      <vt:variant>
        <vt:i4>5</vt:i4>
      </vt:variant>
      <vt:variant>
        <vt:lpwstr>https://srcd.onlinelibrary.wiley.com/doi/10.1111/cdev.14215?af=R</vt:lpwstr>
      </vt:variant>
      <vt:variant>
        <vt:lpwstr>cdev14215-bib-0053</vt:lpwstr>
      </vt:variant>
      <vt:variant>
        <vt:i4>7536682</vt:i4>
      </vt:variant>
      <vt:variant>
        <vt:i4>102</vt:i4>
      </vt:variant>
      <vt:variant>
        <vt:i4>0</vt:i4>
      </vt:variant>
      <vt:variant>
        <vt:i4>5</vt:i4>
      </vt:variant>
      <vt:variant>
        <vt:lpwstr>https://srcd.onlinelibrary.wiley.com/doi/10.1111/cdev.14215?af=R</vt:lpwstr>
      </vt:variant>
      <vt:variant>
        <vt:lpwstr>cdev14215-bib-0049</vt:lpwstr>
      </vt:variant>
      <vt:variant>
        <vt:i4>8192047</vt:i4>
      </vt:variant>
      <vt:variant>
        <vt:i4>99</vt:i4>
      </vt:variant>
      <vt:variant>
        <vt:i4>0</vt:i4>
      </vt:variant>
      <vt:variant>
        <vt:i4>5</vt:i4>
      </vt:variant>
      <vt:variant>
        <vt:lpwstr>https://srcd.onlinelibrary.wiley.com/doi/10.1111/cdev.14215?af=R</vt:lpwstr>
      </vt:variant>
      <vt:variant>
        <vt:lpwstr>cdev14215-bib-0017</vt:lpwstr>
      </vt:variant>
      <vt:variant>
        <vt:i4>7536682</vt:i4>
      </vt:variant>
      <vt:variant>
        <vt:i4>96</vt:i4>
      </vt:variant>
      <vt:variant>
        <vt:i4>0</vt:i4>
      </vt:variant>
      <vt:variant>
        <vt:i4>5</vt:i4>
      </vt:variant>
      <vt:variant>
        <vt:lpwstr>https://srcd.onlinelibrary.wiley.com/doi/10.1111/cdev.14215?af=R</vt:lpwstr>
      </vt:variant>
      <vt:variant>
        <vt:lpwstr>cdev14215-bib-0049</vt:lpwstr>
      </vt:variant>
      <vt:variant>
        <vt:i4>8323112</vt:i4>
      </vt:variant>
      <vt:variant>
        <vt:i4>93</vt:i4>
      </vt:variant>
      <vt:variant>
        <vt:i4>0</vt:i4>
      </vt:variant>
      <vt:variant>
        <vt:i4>5</vt:i4>
      </vt:variant>
      <vt:variant>
        <vt:lpwstr>https://srcd.onlinelibrary.wiley.com/doi/10.1111/cdev.14215?af=R</vt:lpwstr>
      </vt:variant>
      <vt:variant>
        <vt:lpwstr>cdev14215-bib-0065</vt:lpwstr>
      </vt:variant>
      <vt:variant>
        <vt:i4>7864364</vt:i4>
      </vt:variant>
      <vt:variant>
        <vt:i4>90</vt:i4>
      </vt:variant>
      <vt:variant>
        <vt:i4>0</vt:i4>
      </vt:variant>
      <vt:variant>
        <vt:i4>5</vt:i4>
      </vt:variant>
      <vt:variant>
        <vt:lpwstr>https://srcd.onlinelibrary.wiley.com/doi/10.1111/cdev.14215?af=R</vt:lpwstr>
      </vt:variant>
      <vt:variant>
        <vt:lpwstr>cdev14215-bib-0022</vt:lpwstr>
      </vt:variant>
      <vt:variant>
        <vt:i4>8323116</vt:i4>
      </vt:variant>
      <vt:variant>
        <vt:i4>87</vt:i4>
      </vt:variant>
      <vt:variant>
        <vt:i4>0</vt:i4>
      </vt:variant>
      <vt:variant>
        <vt:i4>5</vt:i4>
      </vt:variant>
      <vt:variant>
        <vt:lpwstr>https://srcd.onlinelibrary.wiley.com/doi/10.1111/cdev.14215?af=R</vt:lpwstr>
      </vt:variant>
      <vt:variant>
        <vt:lpwstr>cdev14215-bib-0025</vt:lpwstr>
      </vt:variant>
      <vt:variant>
        <vt:i4>8192040</vt:i4>
      </vt:variant>
      <vt:variant>
        <vt:i4>84</vt:i4>
      </vt:variant>
      <vt:variant>
        <vt:i4>0</vt:i4>
      </vt:variant>
      <vt:variant>
        <vt:i4>5</vt:i4>
      </vt:variant>
      <vt:variant>
        <vt:lpwstr>https://srcd.onlinelibrary.wiley.com/doi/10.1111/cdev.14215?af=R</vt:lpwstr>
      </vt:variant>
      <vt:variant>
        <vt:lpwstr>cdev14215-bib-0067</vt:lpwstr>
      </vt:variant>
      <vt:variant>
        <vt:i4>7929899</vt:i4>
      </vt:variant>
      <vt:variant>
        <vt:i4>81</vt:i4>
      </vt:variant>
      <vt:variant>
        <vt:i4>0</vt:i4>
      </vt:variant>
      <vt:variant>
        <vt:i4>5</vt:i4>
      </vt:variant>
      <vt:variant>
        <vt:lpwstr>https://srcd.onlinelibrary.wiley.com/doi/10.1111/cdev.14215?af=R</vt:lpwstr>
      </vt:variant>
      <vt:variant>
        <vt:lpwstr>cdev14215-bib-0053</vt:lpwstr>
      </vt:variant>
      <vt:variant>
        <vt:i4>7929899</vt:i4>
      </vt:variant>
      <vt:variant>
        <vt:i4>78</vt:i4>
      </vt:variant>
      <vt:variant>
        <vt:i4>0</vt:i4>
      </vt:variant>
      <vt:variant>
        <vt:i4>5</vt:i4>
      </vt:variant>
      <vt:variant>
        <vt:lpwstr>https://srcd.onlinelibrary.wiley.com/doi/10.1111/cdev.14215?af=R</vt:lpwstr>
      </vt:variant>
      <vt:variant>
        <vt:lpwstr>cdev14215-bib-0053</vt:lpwstr>
      </vt:variant>
      <vt:variant>
        <vt:i4>7995434</vt:i4>
      </vt:variant>
      <vt:variant>
        <vt:i4>75</vt:i4>
      </vt:variant>
      <vt:variant>
        <vt:i4>0</vt:i4>
      </vt:variant>
      <vt:variant>
        <vt:i4>5</vt:i4>
      </vt:variant>
      <vt:variant>
        <vt:lpwstr>https://srcd.onlinelibrary.wiley.com/doi/10.1111/cdev.14215?af=R</vt:lpwstr>
      </vt:variant>
      <vt:variant>
        <vt:lpwstr>cdev14215-bib-0040</vt:lpwstr>
      </vt:variant>
      <vt:variant>
        <vt:i4>8257583</vt:i4>
      </vt:variant>
      <vt:variant>
        <vt:i4>72</vt:i4>
      </vt:variant>
      <vt:variant>
        <vt:i4>0</vt:i4>
      </vt:variant>
      <vt:variant>
        <vt:i4>5</vt:i4>
      </vt:variant>
      <vt:variant>
        <vt:lpwstr>https://srcd.onlinelibrary.wiley.com/doi/10.1111/cdev.14215?af=R</vt:lpwstr>
      </vt:variant>
      <vt:variant>
        <vt:lpwstr>cdev14215-bib-0014</vt:lpwstr>
      </vt:variant>
      <vt:variant>
        <vt:i4>7929901</vt:i4>
      </vt:variant>
      <vt:variant>
        <vt:i4>69</vt:i4>
      </vt:variant>
      <vt:variant>
        <vt:i4>0</vt:i4>
      </vt:variant>
      <vt:variant>
        <vt:i4>5</vt:i4>
      </vt:variant>
      <vt:variant>
        <vt:lpwstr>https://srcd.onlinelibrary.wiley.com/doi/10.1111/cdev.14215?af=R</vt:lpwstr>
      </vt:variant>
      <vt:variant>
        <vt:lpwstr>cdev14215-bib-0033</vt:lpwstr>
      </vt:variant>
      <vt:variant>
        <vt:i4>7864367</vt:i4>
      </vt:variant>
      <vt:variant>
        <vt:i4>66</vt:i4>
      </vt:variant>
      <vt:variant>
        <vt:i4>0</vt:i4>
      </vt:variant>
      <vt:variant>
        <vt:i4>5</vt:i4>
      </vt:variant>
      <vt:variant>
        <vt:lpwstr>https://srcd.onlinelibrary.wiley.com/doi/10.1111/cdev.14215?af=R</vt:lpwstr>
      </vt:variant>
      <vt:variant>
        <vt:lpwstr>cdev14215-bib-0012</vt:lpwstr>
      </vt:variant>
      <vt:variant>
        <vt:i4>7536685</vt:i4>
      </vt:variant>
      <vt:variant>
        <vt:i4>63</vt:i4>
      </vt:variant>
      <vt:variant>
        <vt:i4>0</vt:i4>
      </vt:variant>
      <vt:variant>
        <vt:i4>5</vt:i4>
      </vt:variant>
      <vt:variant>
        <vt:lpwstr>https://srcd.onlinelibrary.wiley.com/doi/10.1111/cdev.14215?af=R</vt:lpwstr>
      </vt:variant>
      <vt:variant>
        <vt:lpwstr>cdev14215-bib-0039</vt:lpwstr>
      </vt:variant>
      <vt:variant>
        <vt:i4>8323118</vt:i4>
      </vt:variant>
      <vt:variant>
        <vt:i4>60</vt:i4>
      </vt:variant>
      <vt:variant>
        <vt:i4>0</vt:i4>
      </vt:variant>
      <vt:variant>
        <vt:i4>5</vt:i4>
      </vt:variant>
      <vt:variant>
        <vt:lpwstr>https://srcd.onlinelibrary.wiley.com/doi/10.1111/cdev.14215?af=R</vt:lpwstr>
      </vt:variant>
      <vt:variant>
        <vt:lpwstr>cdev14215-bib-0005</vt:lpwstr>
      </vt:variant>
      <vt:variant>
        <vt:i4>8323118</vt:i4>
      </vt:variant>
      <vt:variant>
        <vt:i4>57</vt:i4>
      </vt:variant>
      <vt:variant>
        <vt:i4>0</vt:i4>
      </vt:variant>
      <vt:variant>
        <vt:i4>5</vt:i4>
      </vt:variant>
      <vt:variant>
        <vt:lpwstr>https://srcd.onlinelibrary.wiley.com/doi/10.1111/cdev.14215?af=R</vt:lpwstr>
      </vt:variant>
      <vt:variant>
        <vt:lpwstr>cdev14215-bib-0005</vt:lpwstr>
      </vt:variant>
      <vt:variant>
        <vt:i4>7536685</vt:i4>
      </vt:variant>
      <vt:variant>
        <vt:i4>54</vt:i4>
      </vt:variant>
      <vt:variant>
        <vt:i4>0</vt:i4>
      </vt:variant>
      <vt:variant>
        <vt:i4>5</vt:i4>
      </vt:variant>
      <vt:variant>
        <vt:lpwstr>https://srcd.onlinelibrary.wiley.com/doi/10.1111/cdev.14215?af=R</vt:lpwstr>
      </vt:variant>
      <vt:variant>
        <vt:lpwstr>cdev14215-bib-0039</vt:lpwstr>
      </vt:variant>
      <vt:variant>
        <vt:i4>7471149</vt:i4>
      </vt:variant>
      <vt:variant>
        <vt:i4>51</vt:i4>
      </vt:variant>
      <vt:variant>
        <vt:i4>0</vt:i4>
      </vt:variant>
      <vt:variant>
        <vt:i4>5</vt:i4>
      </vt:variant>
      <vt:variant>
        <vt:lpwstr>https://srcd.onlinelibrary.wiley.com/doi/10.1111/cdev.14215?af=R</vt:lpwstr>
      </vt:variant>
      <vt:variant>
        <vt:lpwstr>cdev14215-bib-0038</vt:lpwstr>
      </vt:variant>
      <vt:variant>
        <vt:i4>7995432</vt:i4>
      </vt:variant>
      <vt:variant>
        <vt:i4>48</vt:i4>
      </vt:variant>
      <vt:variant>
        <vt:i4>0</vt:i4>
      </vt:variant>
      <vt:variant>
        <vt:i4>5</vt:i4>
      </vt:variant>
      <vt:variant>
        <vt:lpwstr>https://srcd.onlinelibrary.wiley.com/doi/10.1111/cdev.14215?af=R</vt:lpwstr>
      </vt:variant>
      <vt:variant>
        <vt:lpwstr>cdev14215-bib-0060</vt:lpwstr>
      </vt:variant>
      <vt:variant>
        <vt:i4>7471146</vt:i4>
      </vt:variant>
      <vt:variant>
        <vt:i4>45</vt:i4>
      </vt:variant>
      <vt:variant>
        <vt:i4>0</vt:i4>
      </vt:variant>
      <vt:variant>
        <vt:i4>5</vt:i4>
      </vt:variant>
      <vt:variant>
        <vt:lpwstr>https://srcd.onlinelibrary.wiley.com/doi/10.1111/cdev.14215?af=R</vt:lpwstr>
      </vt:variant>
      <vt:variant>
        <vt:lpwstr>cdev14215-bib-0048</vt:lpwstr>
      </vt:variant>
      <vt:variant>
        <vt:i4>7536687</vt:i4>
      </vt:variant>
      <vt:variant>
        <vt:i4>42</vt:i4>
      </vt:variant>
      <vt:variant>
        <vt:i4>0</vt:i4>
      </vt:variant>
      <vt:variant>
        <vt:i4>5</vt:i4>
      </vt:variant>
      <vt:variant>
        <vt:lpwstr>https://srcd.onlinelibrary.wiley.com/doi/10.1111/cdev.14215?af=R</vt:lpwstr>
      </vt:variant>
      <vt:variant>
        <vt:lpwstr>cdev14215-bib-0019</vt:lpwstr>
      </vt:variant>
      <vt:variant>
        <vt:i4>7995434</vt:i4>
      </vt:variant>
      <vt:variant>
        <vt:i4>39</vt:i4>
      </vt:variant>
      <vt:variant>
        <vt:i4>0</vt:i4>
      </vt:variant>
      <vt:variant>
        <vt:i4>5</vt:i4>
      </vt:variant>
      <vt:variant>
        <vt:lpwstr>https://srcd.onlinelibrary.wiley.com/doi/10.1111/cdev.14215?af=R</vt:lpwstr>
      </vt:variant>
      <vt:variant>
        <vt:lpwstr>cdev14215-bib-0040</vt:lpwstr>
      </vt:variant>
      <vt:variant>
        <vt:i4>7536686</vt:i4>
      </vt:variant>
      <vt:variant>
        <vt:i4>36</vt:i4>
      </vt:variant>
      <vt:variant>
        <vt:i4>0</vt:i4>
      </vt:variant>
      <vt:variant>
        <vt:i4>5</vt:i4>
      </vt:variant>
      <vt:variant>
        <vt:lpwstr>https://srcd.onlinelibrary.wiley.com/doi/10.1111/cdev.14215?af=R</vt:lpwstr>
      </vt:variant>
      <vt:variant>
        <vt:lpwstr>cdev14215-bib-0009</vt:lpwstr>
      </vt:variant>
      <vt:variant>
        <vt:i4>7929899</vt:i4>
      </vt:variant>
      <vt:variant>
        <vt:i4>33</vt:i4>
      </vt:variant>
      <vt:variant>
        <vt:i4>0</vt:i4>
      </vt:variant>
      <vt:variant>
        <vt:i4>5</vt:i4>
      </vt:variant>
      <vt:variant>
        <vt:lpwstr>https://srcd.onlinelibrary.wiley.com/doi/10.1111/cdev.14215?af=R</vt:lpwstr>
      </vt:variant>
      <vt:variant>
        <vt:lpwstr>cdev14215-bib-0053</vt:lpwstr>
      </vt:variant>
      <vt:variant>
        <vt:i4>7929899</vt:i4>
      </vt:variant>
      <vt:variant>
        <vt:i4>30</vt:i4>
      </vt:variant>
      <vt:variant>
        <vt:i4>0</vt:i4>
      </vt:variant>
      <vt:variant>
        <vt:i4>5</vt:i4>
      </vt:variant>
      <vt:variant>
        <vt:lpwstr>https://srcd.onlinelibrary.wiley.com/doi/10.1111/cdev.14215?af=R</vt:lpwstr>
      </vt:variant>
      <vt:variant>
        <vt:lpwstr>cdev14215-bib-0053</vt:lpwstr>
      </vt:variant>
      <vt:variant>
        <vt:i4>8126504</vt:i4>
      </vt:variant>
      <vt:variant>
        <vt:i4>27</vt:i4>
      </vt:variant>
      <vt:variant>
        <vt:i4>0</vt:i4>
      </vt:variant>
      <vt:variant>
        <vt:i4>5</vt:i4>
      </vt:variant>
      <vt:variant>
        <vt:lpwstr>https://srcd.onlinelibrary.wiley.com/doi/10.1111/cdev.14215?af=R</vt:lpwstr>
      </vt:variant>
      <vt:variant>
        <vt:lpwstr>cdev14215-bib-0066</vt:lpwstr>
      </vt:variant>
      <vt:variant>
        <vt:i4>8060974</vt:i4>
      </vt:variant>
      <vt:variant>
        <vt:i4>24</vt:i4>
      </vt:variant>
      <vt:variant>
        <vt:i4>0</vt:i4>
      </vt:variant>
      <vt:variant>
        <vt:i4>5</vt:i4>
      </vt:variant>
      <vt:variant>
        <vt:lpwstr>https://srcd.onlinelibrary.wiley.com/doi/10.1111/cdev.14215?af=R</vt:lpwstr>
      </vt:variant>
      <vt:variant>
        <vt:lpwstr>cdev14215-bib-0001</vt:lpwstr>
      </vt:variant>
      <vt:variant>
        <vt:i4>8323114</vt:i4>
      </vt:variant>
      <vt:variant>
        <vt:i4>21</vt:i4>
      </vt:variant>
      <vt:variant>
        <vt:i4>0</vt:i4>
      </vt:variant>
      <vt:variant>
        <vt:i4>5</vt:i4>
      </vt:variant>
      <vt:variant>
        <vt:lpwstr>https://srcd.onlinelibrary.wiley.com/doi/10.1111/cdev.14215?af=R</vt:lpwstr>
      </vt:variant>
      <vt:variant>
        <vt:lpwstr>cdev14215-bib-0045</vt:lpwstr>
      </vt:variant>
      <vt:variant>
        <vt:i4>8192042</vt:i4>
      </vt:variant>
      <vt:variant>
        <vt:i4>18</vt:i4>
      </vt:variant>
      <vt:variant>
        <vt:i4>0</vt:i4>
      </vt:variant>
      <vt:variant>
        <vt:i4>5</vt:i4>
      </vt:variant>
      <vt:variant>
        <vt:lpwstr>https://srcd.onlinelibrary.wiley.com/doi/10.1111/cdev.14215?af=R</vt:lpwstr>
      </vt:variant>
      <vt:variant>
        <vt:lpwstr>cdev14215-bib-0047</vt:lpwstr>
      </vt:variant>
      <vt:variant>
        <vt:i4>8323115</vt:i4>
      </vt:variant>
      <vt:variant>
        <vt:i4>15</vt:i4>
      </vt:variant>
      <vt:variant>
        <vt:i4>0</vt:i4>
      </vt:variant>
      <vt:variant>
        <vt:i4>5</vt:i4>
      </vt:variant>
      <vt:variant>
        <vt:lpwstr>https://srcd.onlinelibrary.wiley.com/doi/10.1111/cdev.14215?af=R</vt:lpwstr>
      </vt:variant>
      <vt:variant>
        <vt:lpwstr>cdev14215-bib-0055</vt:lpwstr>
      </vt:variant>
      <vt:variant>
        <vt:i4>7995436</vt:i4>
      </vt:variant>
      <vt:variant>
        <vt:i4>12</vt:i4>
      </vt:variant>
      <vt:variant>
        <vt:i4>0</vt:i4>
      </vt:variant>
      <vt:variant>
        <vt:i4>5</vt:i4>
      </vt:variant>
      <vt:variant>
        <vt:lpwstr>https://srcd.onlinelibrary.wiley.com/doi/10.1111/cdev.14215?af=R</vt:lpwstr>
      </vt:variant>
      <vt:variant>
        <vt:lpwstr>cdev14215-bib-0020</vt:lpwstr>
      </vt:variant>
      <vt:variant>
        <vt:i4>8192043</vt:i4>
      </vt:variant>
      <vt:variant>
        <vt:i4>9</vt:i4>
      </vt:variant>
      <vt:variant>
        <vt:i4>0</vt:i4>
      </vt:variant>
      <vt:variant>
        <vt:i4>5</vt:i4>
      </vt:variant>
      <vt:variant>
        <vt:lpwstr>https://srcd.onlinelibrary.wiley.com/doi/10.1111/cdev.14215?af=R</vt:lpwstr>
      </vt:variant>
      <vt:variant>
        <vt:lpwstr>cdev14215-bib-0057</vt:lpwstr>
      </vt:variant>
      <vt:variant>
        <vt:i4>7995437</vt:i4>
      </vt:variant>
      <vt:variant>
        <vt:i4>6</vt:i4>
      </vt:variant>
      <vt:variant>
        <vt:i4>0</vt:i4>
      </vt:variant>
      <vt:variant>
        <vt:i4>5</vt:i4>
      </vt:variant>
      <vt:variant>
        <vt:lpwstr>https://srcd.onlinelibrary.wiley.com/doi/10.1111/cdev.14215?af=R</vt:lpwstr>
      </vt:variant>
      <vt:variant>
        <vt:lpwstr>cdev14215-bib-0030</vt:lpwstr>
      </vt:variant>
      <vt:variant>
        <vt:i4>7929903</vt:i4>
      </vt:variant>
      <vt:variant>
        <vt:i4>3</vt:i4>
      </vt:variant>
      <vt:variant>
        <vt:i4>0</vt:i4>
      </vt:variant>
      <vt:variant>
        <vt:i4>5</vt:i4>
      </vt:variant>
      <vt:variant>
        <vt:lpwstr>https://srcd.onlinelibrary.wiley.com/doi/10.1111/cdev.14215?af=R</vt:lpwstr>
      </vt:variant>
      <vt:variant>
        <vt:lpwstr>cdev14215-bib-0013</vt:lpwstr>
      </vt:variant>
      <vt:variant>
        <vt:i4>262174</vt:i4>
      </vt:variant>
      <vt:variant>
        <vt:i4>0</vt:i4>
      </vt:variant>
      <vt:variant>
        <vt:i4>0</vt:i4>
      </vt:variant>
      <vt:variant>
        <vt:i4>5</vt:i4>
      </vt:variant>
      <vt:variant>
        <vt:lpwstr>https://srcd.onlinelibrary.wiley.com/doi/10.1111/cdev.14215?af=R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voidWikidd S</dc:creator>
  <cp:keywords>5.1.1</cp:keywords>
  <dc:description/>
  <cp:lastModifiedBy>Alessandra Escobar</cp:lastModifiedBy>
  <cp:revision>3</cp:revision>
  <dcterms:created xsi:type="dcterms:W3CDTF">2025-09-06T13:50:00Z</dcterms:created>
  <dcterms:modified xsi:type="dcterms:W3CDTF">2025-09-07T13:20:00Z</dcterms:modified>
</cp:coreProperties>
</file>