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8879" w14:textId="77777777" w:rsidR="00B13985" w:rsidRPr="00447E8F" w:rsidRDefault="00B13985" w:rsidP="00B13985">
      <w:pPr>
        <w:pStyle w:val="Heading4"/>
      </w:pPr>
      <w:r w:rsidRPr="00447E8F">
        <w:t xml:space="preserve">The American Western frontier functions on the continuance of the myth of terra nullius, or ‘no man’s land’ that requires the subjugation of anything that is not the white </w:t>
      </w:r>
      <w:proofErr w:type="gramStart"/>
      <w:r w:rsidRPr="00447E8F">
        <w:t>middle and upper class</w:t>
      </w:r>
      <w:proofErr w:type="gramEnd"/>
      <w:r w:rsidRPr="00447E8F">
        <w:t xml:space="preserve"> man. This myth is strategically utilized as a vehicle to exploit populations that pose a threat to the settler narrative of civilization’s triumph over “savagery” and the environment</w:t>
      </w:r>
      <w:r>
        <w:t xml:space="preserve"> through extractivist and hierarchal notions of labor</w:t>
      </w:r>
      <w:r w:rsidRPr="00447E8F">
        <w:t xml:space="preserve">. The frontier still exists and reveals itself in the economic desire </w:t>
      </w:r>
      <w:r>
        <w:t xml:space="preserve">to accumulate and grow </w:t>
      </w:r>
      <w:r w:rsidRPr="00447E8F">
        <w:t>and conquest of bodies in the name of frontier masculinity</w:t>
      </w:r>
      <w:r>
        <w:t>.</w:t>
      </w:r>
    </w:p>
    <w:p w14:paraId="2F685F74" w14:textId="77777777" w:rsidR="00B13985" w:rsidRDefault="00B13985" w:rsidP="00B13985">
      <w:r w:rsidRPr="00447E8F">
        <w:rPr>
          <w:rStyle w:val="Style13ptBold"/>
        </w:rPr>
        <w:t>Clevenger 14</w:t>
      </w:r>
      <w:r>
        <w:t xml:space="preserve"> (Samuel M. – Ph.D. student in Physical Cultural Studies at the University of Maryland, “North Dakota Oil Boom: Frontier Mythology and Gender Oppression”, The Feminist Wire, April 29, http://www.thefeministwire.com/2014/04/north-dakota-oil-boom/, shae) </w:t>
      </w:r>
    </w:p>
    <w:p w14:paraId="5222A248" w14:textId="77777777" w:rsidR="00B13985" w:rsidRPr="0097362E" w:rsidRDefault="00B13985" w:rsidP="00B13985">
      <w:pPr>
        <w:rPr>
          <w:rStyle w:val="StyleUnderline"/>
        </w:rPr>
      </w:pPr>
      <w:r w:rsidRPr="0097362E">
        <w:rPr>
          <w:sz w:val="16"/>
        </w:rPr>
        <w:t xml:space="preserve">Finding </w:t>
      </w:r>
      <w:r w:rsidRPr="002E6E80">
        <w:rPr>
          <w:rStyle w:val="StyleUnderline"/>
        </w:rPr>
        <w:t>gender oppression alongside</w:t>
      </w:r>
      <w:r w:rsidRPr="0097362E">
        <w:rPr>
          <w:sz w:val="16"/>
        </w:rPr>
        <w:t xml:space="preserve"> the use of </w:t>
      </w:r>
      <w:r w:rsidRPr="002E6E80">
        <w:rPr>
          <w:rStyle w:val="StyleUnderline"/>
        </w:rPr>
        <w:t>frontier mythology is not surprising</w:t>
      </w:r>
      <w:r w:rsidRPr="0097362E">
        <w:rPr>
          <w:sz w:val="16"/>
        </w:rPr>
        <w:t xml:space="preserve"> given history. Frontier mythology has long functioned by </w:t>
      </w:r>
      <w:r w:rsidRPr="004A567E">
        <w:rPr>
          <w:rStyle w:val="StyleUnderline"/>
          <w:highlight w:val="green"/>
        </w:rPr>
        <w:t>lumping entire groups of people</w:t>
      </w:r>
      <w:r w:rsidRPr="0097362E">
        <w:rPr>
          <w:sz w:val="16"/>
        </w:rPr>
        <w:t xml:space="preserve"> (in U.S. history, this has </w:t>
      </w:r>
      <w:r w:rsidRPr="002E6E80">
        <w:rPr>
          <w:rStyle w:val="StyleUnderline"/>
        </w:rPr>
        <w:t>most often</w:t>
      </w:r>
      <w:r w:rsidRPr="0097362E">
        <w:rPr>
          <w:sz w:val="16"/>
        </w:rPr>
        <w:t xml:space="preserve"> been </w:t>
      </w:r>
      <w:r w:rsidRPr="004A567E">
        <w:rPr>
          <w:rStyle w:val="StyleUnderline"/>
          <w:highlight w:val="green"/>
        </w:rPr>
        <w:t>indigenous</w:t>
      </w:r>
      <w:r w:rsidRPr="002E6E80">
        <w:rPr>
          <w:rStyle w:val="StyleUnderline"/>
        </w:rPr>
        <w:t xml:space="preserve"> communities, </w:t>
      </w:r>
      <w:r w:rsidRPr="004A567E">
        <w:rPr>
          <w:rStyle w:val="StyleUnderline"/>
          <w:highlight w:val="green"/>
        </w:rPr>
        <w:t>African Americans, and women) as a juxtaposed Other in order to reaffirm the superiority of</w:t>
      </w:r>
      <w:r w:rsidRPr="002E6E80">
        <w:rPr>
          <w:rStyle w:val="StyleUnderline"/>
        </w:rPr>
        <w:t xml:space="preserve"> the dominant ideology of the group appropriating the mythology (</w:t>
      </w:r>
      <w:r w:rsidRPr="004A567E">
        <w:rPr>
          <w:rStyle w:val="StyleUnderline"/>
          <w:highlight w:val="green"/>
        </w:rPr>
        <w:t>white</w:t>
      </w:r>
      <w:r w:rsidRPr="002E6E80">
        <w:rPr>
          <w:rStyle w:val="StyleUnderline"/>
        </w:rPr>
        <w:t xml:space="preserve"> middle and </w:t>
      </w:r>
      <w:r w:rsidRPr="004A567E">
        <w:rPr>
          <w:rStyle w:val="StyleUnderline"/>
          <w:highlight w:val="green"/>
        </w:rPr>
        <w:t>upper-class men</w:t>
      </w:r>
      <w:r w:rsidRPr="002E6E80">
        <w:rPr>
          <w:rStyle w:val="StyleUnderline"/>
        </w:rPr>
        <w:t>).</w:t>
      </w:r>
      <w:r w:rsidRPr="0097362E">
        <w:rPr>
          <w:sz w:val="16"/>
        </w:rPr>
        <w:t xml:space="preserve"> Specifically in U.S. contexts, the mythology has long been utilized in language and culture as </w:t>
      </w:r>
      <w:r w:rsidRPr="004A567E">
        <w:rPr>
          <w:rStyle w:val="StyleUnderline"/>
          <w:highlight w:val="green"/>
        </w:rPr>
        <w:t>a</w:t>
      </w:r>
      <w:r w:rsidRPr="002E6E80">
        <w:rPr>
          <w:rStyle w:val="StyleUnderline"/>
        </w:rPr>
        <w:t xml:space="preserve"> dramatic, illustrative </w:t>
      </w:r>
      <w:r w:rsidRPr="004A567E">
        <w:rPr>
          <w:rStyle w:val="StyleUnderline"/>
          <w:highlight w:val="green"/>
        </w:rPr>
        <w:t>vehicle for</w:t>
      </w:r>
      <w:r w:rsidRPr="002E6E80">
        <w:rPr>
          <w:rStyle w:val="StyleUnderline"/>
        </w:rPr>
        <w:t xml:space="preserve"> the expression of capitalist metaphors of </w:t>
      </w:r>
      <w:r w:rsidRPr="004A567E">
        <w:rPr>
          <w:rStyle w:val="StyleUnderline"/>
          <w:highlight w:val="green"/>
        </w:rPr>
        <w:t>discovery, conquest, and exploitation</w:t>
      </w:r>
      <w:r w:rsidRPr="0097362E">
        <w:rPr>
          <w:sz w:val="16"/>
        </w:rPr>
        <w:t xml:space="preserve">; the finding of new spaces of opportunity for capitalism’s “creative destruction,” to use economist Joseph Schumpeter’s famous phrase. Americans continue to use the word “frontier” within U.S. conversations because millions of citizens still subscribe to the ideas and popular memory implanted within the mythology. In dominant historiography of the American Western frontier, American Indians, women, and Chinese-Americans (not to mention the degradation of the physical environment) were exploited Others, forced to persevere through the rush of young men seeking fortune and the fruits of the frontier experience through the gobbling up of precious metals and natural resources. The popularized story of </w:t>
      </w:r>
      <w:r w:rsidRPr="004A567E">
        <w:rPr>
          <w:rStyle w:val="StyleUnderline"/>
          <w:highlight w:val="green"/>
        </w:rPr>
        <w:t>the frontier was</w:t>
      </w:r>
      <w:r w:rsidRPr="002E6E80">
        <w:rPr>
          <w:rStyle w:val="StyleUnderline"/>
        </w:rPr>
        <w:t xml:space="preserve"> from the beginning of story of </w:t>
      </w:r>
      <w:r w:rsidRPr="004A567E">
        <w:rPr>
          <w:rStyle w:val="StyleUnderline"/>
          <w:highlight w:val="green"/>
        </w:rPr>
        <w:t>civilization’s triumph over “savagery”</w:t>
      </w:r>
      <w:r w:rsidRPr="002E6E80">
        <w:rPr>
          <w:rStyle w:val="StyleUnderline"/>
        </w:rPr>
        <w:t>: one race’s conquest and self-validation over the perceived Other.</w:t>
      </w:r>
      <w:r w:rsidRPr="0097362E">
        <w:rPr>
          <w:sz w:val="16"/>
        </w:rPr>
        <w:t xml:space="preserve"> When the word frontier is utilized today, this is all part of its history. The importance of Williston’s story lies not just in its economic transformation, but in being one of the latest examples of destructive capitalist ideology’s continued entrenchment within the minds of people taking part in dramatic experiences of exploration and profit, at the expense of the physical environment and groups of people forced to feel the wrath of the ideology’s social impact. Williston sits in the center of </w:t>
      </w:r>
      <w:r w:rsidRPr="002E6E80">
        <w:rPr>
          <w:rStyle w:val="StyleUnderline"/>
        </w:rPr>
        <w:t>the massive underground Bakken Shale Formation</w:t>
      </w:r>
      <w:r w:rsidRPr="0097362E">
        <w:rPr>
          <w:sz w:val="16"/>
        </w:rPr>
        <w:t xml:space="preserve">, where the invention of </w:t>
      </w:r>
      <w:r w:rsidRPr="004A567E">
        <w:rPr>
          <w:rStyle w:val="StyleUnderline"/>
          <w:highlight w:val="green"/>
        </w:rPr>
        <w:t>advanced drilling technology has allowed extraction companies to drill deep</w:t>
      </w:r>
      <w:r w:rsidRPr="002E6E80">
        <w:rPr>
          <w:rStyle w:val="StyleUnderline"/>
        </w:rPr>
        <w:t xml:space="preserve"> into the bedrock and tap into its reserve</w:t>
      </w:r>
      <w:r w:rsidRPr="0097362E">
        <w:rPr>
          <w:sz w:val="16"/>
        </w:rPr>
        <w:t xml:space="preserve"> of potentially 4.3 to 11 million barrels of crude oil. Hundreds of rigs have been constructed to extract the oil, and since 2010 </w:t>
      </w:r>
      <w:r w:rsidRPr="004A567E">
        <w:rPr>
          <w:rStyle w:val="StyleUnderline"/>
          <w:highlight w:val="green"/>
        </w:rPr>
        <w:t>thousands of young</w:t>
      </w:r>
      <w:r w:rsidRPr="002E6E80">
        <w:rPr>
          <w:rStyle w:val="StyleUnderline"/>
        </w:rPr>
        <w:t xml:space="preserve"> single </w:t>
      </w:r>
      <w:r w:rsidRPr="004A567E">
        <w:rPr>
          <w:rStyle w:val="StyleUnderline"/>
          <w:highlight w:val="green"/>
        </w:rPr>
        <w:t>men have migrated to</w:t>
      </w:r>
      <w:r w:rsidRPr="0097362E">
        <w:rPr>
          <w:sz w:val="16"/>
        </w:rPr>
        <w:t xml:space="preserve"> Williston and </w:t>
      </w:r>
      <w:r w:rsidRPr="004A567E">
        <w:rPr>
          <w:rStyle w:val="StyleUnderline"/>
          <w:highlight w:val="green"/>
        </w:rPr>
        <w:t>surrounding communities</w:t>
      </w:r>
      <w:r w:rsidRPr="002E6E80">
        <w:rPr>
          <w:rStyle w:val="StyleUnderline"/>
        </w:rPr>
        <w:t xml:space="preserve"> seeking the lucrative and dangerous employment. The rush</w:t>
      </w:r>
      <w:r w:rsidRPr="0097362E">
        <w:rPr>
          <w:sz w:val="16"/>
        </w:rPr>
        <w:t xml:space="preserve"> to extract oil has predictably </w:t>
      </w:r>
      <w:r w:rsidRPr="002E6E80">
        <w:rPr>
          <w:rStyle w:val="StyleUnderline"/>
        </w:rPr>
        <w:t>included the lands of nearby American Indian reservations.</w:t>
      </w:r>
      <w:r w:rsidRPr="0097362E">
        <w:rPr>
          <w:sz w:val="16"/>
        </w:rPr>
        <w:t xml:space="preserve"> Fort Berthold Indian Reservation, which also sits on top of the Bakken, has seen </w:t>
      </w:r>
      <w:r w:rsidRPr="002E6E80">
        <w:rPr>
          <w:rStyle w:val="StyleUnderline"/>
        </w:rPr>
        <w:t>$500 million in fracking leases</w:t>
      </w:r>
      <w:r w:rsidRPr="0097362E">
        <w:rPr>
          <w:sz w:val="16"/>
        </w:rPr>
        <w:t xml:space="preserve"> and oil royalties </w:t>
      </w:r>
      <w:r w:rsidRPr="002E6E80">
        <w:rPr>
          <w:rStyle w:val="StyleUnderline"/>
        </w:rPr>
        <w:t>flood the three tribes living there. The area’s Indian reservations are some of the last remaining places to withhold their land rights from the oil companies</w:t>
      </w:r>
      <w:r w:rsidRPr="0097362E">
        <w:rPr>
          <w:sz w:val="16"/>
        </w:rPr>
        <w:t xml:space="preserve">, and the industry wants to secure those rights in order to gain control of oil extraction over the Bakken Shale region. </w:t>
      </w:r>
      <w:r w:rsidRPr="002E6E80">
        <w:rPr>
          <w:rStyle w:val="StyleUnderline"/>
        </w:rPr>
        <w:t>This</w:t>
      </w:r>
      <w:r w:rsidRPr="0097362E">
        <w:rPr>
          <w:sz w:val="16"/>
        </w:rPr>
        <w:t xml:space="preserve"> push has arguably </w:t>
      </w:r>
      <w:r w:rsidRPr="002E6E80">
        <w:rPr>
          <w:rStyle w:val="StyleUnderline"/>
        </w:rPr>
        <w:t>led to government-industry collusion:</w:t>
      </w:r>
      <w:r w:rsidRPr="0097362E">
        <w:rPr>
          <w:sz w:val="16"/>
        </w:rPr>
        <w:t xml:space="preserve"> according to a recent lawsuit filed by the Fort Berthold Indian Reservation, the three </w:t>
      </w:r>
      <w:r w:rsidRPr="002E6E80">
        <w:rPr>
          <w:rStyle w:val="StyleUnderline"/>
        </w:rPr>
        <w:t>tribes were cheated out of $1 billion through “schemes to buy drilling rights for low prices,” which benefitted</w:t>
      </w:r>
      <w:r w:rsidRPr="0097362E">
        <w:rPr>
          <w:sz w:val="16"/>
        </w:rPr>
        <w:t xml:space="preserve"> parties like </w:t>
      </w:r>
      <w:r w:rsidRPr="002E6E80">
        <w:rPr>
          <w:rStyle w:val="StyleUnderline"/>
        </w:rPr>
        <w:t>colluding tribal leaders, outsider speculators, oil companies, and the Bureau of Indian Affairs.</w:t>
      </w:r>
      <w:r w:rsidRPr="0097362E">
        <w:rPr>
          <w:sz w:val="16"/>
        </w:rPr>
        <w:t xml:space="preserve"> Like the far-too-numerous stories of corruption and exploitation that litter the history of U.S.-Indian relations on the western frontier, the beneficiaries of the fruits of North Dakota oil frontier are the oil companies and those benefitting from their schemes, not people like the residents of Fort Berthold Indian Reservation. Being the largest city in the area, Williston also has the largest </w:t>
      </w:r>
      <w:r w:rsidRPr="002E6E80">
        <w:rPr>
          <w:rStyle w:val="StyleUnderline"/>
        </w:rPr>
        <w:t>“man camps,” temporary housing set up by companies to house workers, largely young single men. One company’s camp “looks like a military base with room for about 800 workers</w:t>
      </w:r>
      <w:r w:rsidRPr="0097362E">
        <w:rPr>
          <w:sz w:val="16"/>
        </w:rPr>
        <w:t xml:space="preserve">, a huge cafeteria, weight room, lounge and other facilities.” While communities struggle to accommodate and adjust to the rapid influx of population and capital, plentiful jobs continue to appear for people in Williston and the surrounding region to make a lot of money for the extraction of large quantities of oil. In Mountrail County, just east of the city, the average income level has doubled within just five years, skyrocketing to over $52,000 as of 2010. Just this year, the state of North Dakota teamed up with the oil giant Hess Corporation to recruit 20,000 new workers. The pull of the North Dakota oil frontier continues to grow, luring young men to migrate for the lure of economic opportunity. </w:t>
      </w:r>
      <w:r w:rsidRPr="004A567E">
        <w:rPr>
          <w:rStyle w:val="StyleUnderline"/>
          <w:highlight w:val="green"/>
        </w:rPr>
        <w:t>This</w:t>
      </w:r>
      <w:r w:rsidRPr="002E6E80">
        <w:rPr>
          <w:rStyle w:val="StyleUnderline"/>
        </w:rPr>
        <w:t xml:space="preserve"> migration and recruitment of young male workers </w:t>
      </w:r>
      <w:r w:rsidRPr="004A567E">
        <w:rPr>
          <w:rStyle w:val="StyleUnderline"/>
          <w:highlight w:val="green"/>
        </w:rPr>
        <w:t>has resulted in a lopsided ratio of men to women</w:t>
      </w:r>
      <w:r w:rsidRPr="002E6E80">
        <w:rPr>
          <w:rStyle w:val="StyleUnderline"/>
        </w:rPr>
        <w:t xml:space="preserve"> in the communities.</w:t>
      </w:r>
      <w:r w:rsidRPr="0097362E">
        <w:rPr>
          <w:sz w:val="16"/>
        </w:rPr>
        <w:t xml:space="preserve"> In 2011, there were 1.6 single 18-34 year old men for every single young woman in the area affected by the North Dakota oil boom. </w:t>
      </w:r>
      <w:r w:rsidRPr="002E6E80">
        <w:rPr>
          <w:rStyle w:val="StyleUnderline"/>
        </w:rPr>
        <w:t xml:space="preserve">This has </w:t>
      </w:r>
      <w:r w:rsidRPr="004A567E">
        <w:rPr>
          <w:rStyle w:val="StyleUnderline"/>
          <w:highlight w:val="green"/>
        </w:rPr>
        <w:t>helped to foster dangerous perceptions of the need for female attention and sexuality.</w:t>
      </w:r>
      <w:r w:rsidRPr="0097362E">
        <w:rPr>
          <w:sz w:val="16"/>
        </w:rPr>
        <w:t xml:space="preserve"> “Exotic” female dancers have migrated from cities as nearby as Chicago and from as far away as Russia into the Williston region. The “men here are 100% worse,” remarks a dancer from Chicago. “It’s horrible. They’re animals.” Young men are quoted talking about how “bad” it is there, referring to the limited number of available women. Remarks one worker, “’It’s bad, dude…I was talking to my buddy here. I told him I was going to import from Indiana because there’s nothing here.’” Local men have invented a term – “Williston 10” – to refer to how a woman that would be seen as undesirable anywhere else in the country is considered perfect in Williston. </w:t>
      </w:r>
      <w:r w:rsidRPr="002E6E80">
        <w:rPr>
          <w:rStyle w:val="StyleUnderline"/>
        </w:rPr>
        <w:t>The dearth of women</w:t>
      </w:r>
      <w:r w:rsidRPr="0097362E">
        <w:rPr>
          <w:sz w:val="16"/>
        </w:rPr>
        <w:t xml:space="preserve"> in the Williston area </w:t>
      </w:r>
      <w:r w:rsidRPr="002E6E80">
        <w:rPr>
          <w:rStyle w:val="StyleUnderline"/>
        </w:rPr>
        <w:t>is discussed in relationship to the increased levels of violence in the area.</w:t>
      </w:r>
      <w:r w:rsidRPr="0097362E">
        <w:rPr>
          <w:sz w:val="16"/>
        </w:rPr>
        <w:t xml:space="preserve"> In one instance, a 24-year-old woman was “walking to work at 3:30 in the afternoon when a car with two men suddenly pulled up behind her. One hopped out and grabbed her by her arms and began dragging her.” Women have resorted to carrying concealed firearms and tasers for self-protection. </w:t>
      </w:r>
      <w:r w:rsidRPr="0097362E">
        <w:rPr>
          <w:rStyle w:val="StyleUnderline"/>
        </w:rPr>
        <w:t xml:space="preserve">For the men, </w:t>
      </w:r>
      <w:r w:rsidRPr="004A567E">
        <w:rPr>
          <w:rStyle w:val="StyleUnderline"/>
          <w:highlight w:val="green"/>
        </w:rPr>
        <w:t>the need for female</w:t>
      </w:r>
      <w:r w:rsidRPr="0097362E">
        <w:rPr>
          <w:rStyle w:val="StyleUnderline"/>
        </w:rPr>
        <w:t xml:space="preserve"> companionship and </w:t>
      </w:r>
      <w:r w:rsidRPr="004A567E">
        <w:rPr>
          <w:rStyle w:val="StyleUnderline"/>
          <w:highlight w:val="green"/>
        </w:rPr>
        <w:t>sexual conquest is linked to</w:t>
      </w:r>
      <w:r w:rsidRPr="0097362E">
        <w:rPr>
          <w:rStyle w:val="StyleUnderline"/>
        </w:rPr>
        <w:t xml:space="preserve"> them </w:t>
      </w:r>
      <w:r w:rsidRPr="004A567E">
        <w:rPr>
          <w:rStyle w:val="StyleUnderline"/>
          <w:highlight w:val="green"/>
        </w:rPr>
        <w:t>preserving their ideals of manhood.</w:t>
      </w:r>
      <w:r w:rsidRPr="0097362E">
        <w:rPr>
          <w:sz w:val="16"/>
        </w:rPr>
        <w:t xml:space="preserve"> One male worker discusses the need to be able to talk to a woman after work, explaining, </w:t>
      </w:r>
      <w:r w:rsidRPr="004A567E">
        <w:rPr>
          <w:rStyle w:val="StyleUnderline"/>
          <w:highlight w:val="green"/>
        </w:rPr>
        <w:t>“’Out here, you can’t tell a guy</w:t>
      </w:r>
      <w:r w:rsidRPr="0097362E">
        <w:rPr>
          <w:sz w:val="16"/>
        </w:rPr>
        <w:t xml:space="preserve">, like, </w:t>
      </w:r>
      <w:r w:rsidRPr="0097362E">
        <w:rPr>
          <w:rStyle w:val="StyleUnderline"/>
        </w:rPr>
        <w:t>‘</w:t>
      </w:r>
      <w:r w:rsidRPr="004A567E">
        <w:rPr>
          <w:rStyle w:val="StyleUnderline"/>
          <w:highlight w:val="green"/>
        </w:rPr>
        <w:t>I had a rough day…They’re going to go</w:t>
      </w:r>
      <w:r w:rsidRPr="004A567E">
        <w:rPr>
          <w:sz w:val="16"/>
          <w:highlight w:val="green"/>
        </w:rPr>
        <w:t>,</w:t>
      </w:r>
      <w:r w:rsidRPr="0097362E">
        <w:rPr>
          <w:sz w:val="16"/>
        </w:rPr>
        <w:t xml:space="preserve"> ‘Everyone has a rough day. </w:t>
      </w:r>
      <w:r w:rsidRPr="004A567E">
        <w:rPr>
          <w:rStyle w:val="StyleUnderline"/>
          <w:highlight w:val="green"/>
        </w:rPr>
        <w:t>Get over it, you sissy.’”</w:t>
      </w:r>
      <w:r w:rsidRPr="0097362E">
        <w:rPr>
          <w:sz w:val="16"/>
        </w:rPr>
        <w:t xml:space="preserve"> Out on the North Dakota oil frontier, </w:t>
      </w:r>
      <w:r w:rsidRPr="0097362E">
        <w:rPr>
          <w:rStyle w:val="StyleUnderline"/>
        </w:rPr>
        <w:t xml:space="preserve">the need to maintain </w:t>
      </w:r>
      <w:r w:rsidRPr="004A567E">
        <w:rPr>
          <w:rStyle w:val="StyleUnderline"/>
          <w:highlight w:val="green"/>
        </w:rPr>
        <w:t>ideals of frontier masculinity is as important as the “need” for women’s sexual and domestic services.</w:t>
      </w:r>
      <w:r w:rsidRPr="004A567E">
        <w:rPr>
          <w:sz w:val="16"/>
          <w:highlight w:val="green"/>
        </w:rPr>
        <w:t xml:space="preserve"> </w:t>
      </w:r>
      <w:r w:rsidRPr="004A567E">
        <w:rPr>
          <w:rStyle w:val="StyleUnderline"/>
          <w:highlight w:val="green"/>
        </w:rPr>
        <w:t>Systemic destruction, exploitation, and oppression are occurring</w:t>
      </w:r>
      <w:r w:rsidRPr="0097362E">
        <w:rPr>
          <w:sz w:val="16"/>
        </w:rPr>
        <w:t xml:space="preserve"> in our midst; yet the present is </w:t>
      </w:r>
      <w:r w:rsidRPr="004A567E">
        <w:rPr>
          <w:rStyle w:val="StyleUnderline"/>
          <w:highlight w:val="green"/>
        </w:rPr>
        <w:t>encased in frontier rhetoric.</w:t>
      </w:r>
      <w:r w:rsidRPr="0097362E">
        <w:rPr>
          <w:sz w:val="16"/>
        </w:rPr>
        <w:t xml:space="preserve"> “The railroads that helped settle the American West more than a century ago,” one regional newspaper describes, “are now essential in a new frontier: oil shale production that has reshaped western North Dakota.” A New York Times piece described the North Dakota oil boom region as a frontier “as much a state of mind as an actual place… .” The American Petroleum Institute’s website EnergyFromShale.org calls North Dakota “Technology’s New Frontier.” A Men’s Journal‘s reporter who visited Williston described it as a city where “Men came…worked hard, and saved their homes from foreclosure” back in their hometowns, while their “women stayed home with the kids – there just wasn’t enough housing for the little ones.” For the reporter, Williston was a place of “mostly just manly men doing manly things. It all sounded so masculine.” All the while, </w:t>
      </w:r>
      <w:r w:rsidRPr="0097362E">
        <w:rPr>
          <w:rStyle w:val="StyleUnderline"/>
        </w:rPr>
        <w:t xml:space="preserve">the city suffered </w:t>
      </w:r>
      <w:r w:rsidRPr="004A567E">
        <w:rPr>
          <w:rStyle w:val="StyleUnderline"/>
          <w:highlight w:val="green"/>
        </w:rPr>
        <w:t>spiked rises in domestic violence, sexual assault</w:t>
      </w:r>
      <w:r w:rsidRPr="0097362E">
        <w:rPr>
          <w:rStyle w:val="StyleUnderline"/>
        </w:rPr>
        <w:t>,</w:t>
      </w:r>
      <w:r w:rsidRPr="0097362E">
        <w:rPr>
          <w:sz w:val="16"/>
        </w:rPr>
        <w:t xml:space="preserve"> and prostitution. The Williston described in such news pieces is awash in gender-related social problems, while declarations of North Dakota as </w:t>
      </w:r>
      <w:r w:rsidRPr="0097362E">
        <w:rPr>
          <w:rStyle w:val="StyleUnderline"/>
        </w:rPr>
        <w:t>a new frontier is metaphorically emboldened with notions of economic opportunity, individualism, and the lumping together of women as a sexual (and domestic) conquest with the exploitation of land-based natural resources.</w:t>
      </w:r>
      <w:r>
        <w:rPr>
          <w:rStyle w:val="StyleUnderline"/>
        </w:rPr>
        <w:t xml:space="preserve"> </w:t>
      </w:r>
      <w:r w:rsidRPr="0097362E">
        <w:rPr>
          <w:sz w:val="16"/>
        </w:rPr>
        <w:t xml:space="preserve">Those bearing the brutal brunt of this new frontier are beginning to resist. Members of the Fort Berthold Indian Reservation have filed lawsuits in reaction to the alleged $1 billion in revenue lost due to corruption. Others on the reservation have begun protesting the oil extraction, trying to raise awareness about the immense environmental degradation being enacted on their homelands. One anonymous person donated funds to the Williston Family Crisis Shelter to help victims relocate to their hometowns, but local agencies have so far been unable to adjust to the sharp rise in victims. As a result, many women have resorted to taking the appropriate precautions themselves. Responding in a way well-suited to frontier mythology, North Dakota residents have applied for concealed carry permits at increasingly high rates, with residents applying for 5,500 concealed carry permits in 2011, 40% more than the previous year. This number importantly includes women. The influence of American frontier mythology has tragically infiltrated not just the thought of those benefitting from the economic opportunity, but those being negatively affected by it as well. What needs to be understood here is the link between calling the North Dakota oil boom a “frontier” and the negative impacts such naming has on society, especially in relation to the oppression of certain groups of people. </w:t>
      </w:r>
      <w:r w:rsidRPr="004A567E">
        <w:rPr>
          <w:rStyle w:val="StyleUnderline"/>
          <w:highlight w:val="green"/>
        </w:rPr>
        <w:t xml:space="preserve">Frontiers have </w:t>
      </w:r>
      <w:r w:rsidRPr="00BD6E98">
        <w:rPr>
          <w:rStyle w:val="StyleUnderline"/>
        </w:rPr>
        <w:t xml:space="preserve">historically </w:t>
      </w:r>
      <w:r w:rsidRPr="004A567E">
        <w:rPr>
          <w:rStyle w:val="StyleUnderline"/>
          <w:highlight w:val="green"/>
        </w:rPr>
        <w:t>been feminized</w:t>
      </w:r>
      <w:r w:rsidRPr="00BD6E98">
        <w:rPr>
          <w:rStyle w:val="StyleUnderline"/>
        </w:rPr>
        <w:t xml:space="preserve">, imbued with feminine metaphors </w:t>
      </w:r>
      <w:r w:rsidRPr="004A567E">
        <w:rPr>
          <w:rStyle w:val="StyleUnderline"/>
          <w:highlight w:val="green"/>
        </w:rPr>
        <w:t>to juxtapose the masculine “conquering” of the terrain</w:t>
      </w:r>
      <w:r w:rsidRPr="0097362E">
        <w:rPr>
          <w:rStyle w:val="StyleUnderline"/>
        </w:rPr>
        <w:t>.</w:t>
      </w:r>
      <w:r w:rsidRPr="0097362E">
        <w:rPr>
          <w:sz w:val="16"/>
        </w:rPr>
        <w:t xml:space="preserve"> Think of the famous 1872 painting “American Progress” by John Gass, which presents “an allegorical female figure of America leading pioneers westward,” personifying the frontier expanses where the pioneers “encounter Native Americans and herds of bison.” </w:t>
      </w:r>
      <w:r w:rsidRPr="004A567E">
        <w:rPr>
          <w:rStyle w:val="StyleUnderline"/>
          <w:highlight w:val="green"/>
        </w:rPr>
        <w:t xml:space="preserve">The entire process </w:t>
      </w:r>
      <w:r w:rsidRPr="00BD6E98">
        <w:rPr>
          <w:rStyle w:val="StyleUnderline"/>
        </w:rPr>
        <w:t xml:space="preserve">has historically been one that </w:t>
      </w:r>
      <w:r w:rsidRPr="004A567E">
        <w:rPr>
          <w:rStyle w:val="StyleUnderline"/>
          <w:highlight w:val="green"/>
        </w:rPr>
        <w:t>solidifies women’s subordinate, inferior, or otherwise mythologized position in relation to men.</w:t>
      </w:r>
    </w:p>
    <w:p w14:paraId="15B88664" w14:textId="77777777" w:rsidR="00B13985" w:rsidRDefault="00B13985" w:rsidP="00B13985">
      <w:pPr>
        <w:pStyle w:val="Heading4"/>
      </w:pPr>
      <w:r>
        <w:t>Desiring to protect the domestic space of the nation from instability and risk is the projection of the settler colony into the future and around the globe. This manifest domesticity requires subjects to act as reproducing agents for colonization. This reinforces the white, heterosexual settler couple as the normative subject against which all others are dominated or destroyed through imperial violence.</w:t>
      </w:r>
    </w:p>
    <w:p w14:paraId="630862D2" w14:textId="77777777" w:rsidR="00B13985" w:rsidRPr="00B24EF4" w:rsidRDefault="00B13985" w:rsidP="00B13985">
      <w:r w:rsidRPr="00B24EF4">
        <w:rPr>
          <w:rStyle w:val="Style13ptBold"/>
        </w:rPr>
        <w:t>Gupta-Nigam, 2018</w:t>
      </w:r>
      <w:r>
        <w:t xml:space="preserve"> (Anirban – PhD Candidate in Visual Studies @ the University of California-Irvine, “Other Frontiers: Administrative Media and Intimate Domains of American Settler Futurity”, doctoral dissertation, shae)</w:t>
      </w:r>
    </w:p>
    <w:p w14:paraId="53C410D8" w14:textId="77777777" w:rsidR="00B13985" w:rsidRPr="003150E9" w:rsidRDefault="00B13985" w:rsidP="00B13985">
      <w:pPr>
        <w:rPr>
          <w:sz w:val="16"/>
        </w:rPr>
      </w:pPr>
      <w:r w:rsidRPr="00D54D86">
        <w:rPr>
          <w:rStyle w:val="StyleUnderline"/>
        </w:rPr>
        <w:t>Repetitions of the nature</w:t>
      </w:r>
      <w:r w:rsidRPr="003150E9">
        <w:rPr>
          <w:sz w:val="16"/>
        </w:rPr>
        <w:t xml:space="preserve"> motif are critical to the move I am trying to identify here because together these repetitions bequeath plastic roses natural beauty without burdening them with the fickle temporality that is ontological to organic matter. Accepting plastic roses within the home, placing them on tables or next to music boxes and bookshelves, </w:t>
      </w:r>
      <w:r w:rsidRPr="00A719A8">
        <w:rPr>
          <w:rStyle w:val="StyleUnderline"/>
        </w:rPr>
        <w:t>represents a turn away from the temporality of organic matter; an orientation towards the promise of permanence</w:t>
      </w:r>
      <w:r w:rsidRPr="003150E9">
        <w:rPr>
          <w:sz w:val="16"/>
        </w:rPr>
        <w:t xml:space="preserve"> ensconced in midcentury imaginations of plastic. 112 Significantly, the incorporation of plastic flora as decorative background elevates the home “beyond” nature: artifice isolates the domestic sphere from the eternal turbulence of the natural world. </w:t>
      </w:r>
      <w:r w:rsidRPr="00A719A8">
        <w:rPr>
          <w:rStyle w:val="StyleUnderline"/>
        </w:rPr>
        <w:t>To invest—financially as well as emotionally—in these miniature worlds is to express a</w:t>
      </w:r>
      <w:r w:rsidRPr="003150E9">
        <w:rPr>
          <w:sz w:val="16"/>
        </w:rPr>
        <w:t xml:space="preserve"> (</w:t>
      </w:r>
      <w:r w:rsidRPr="0075585F">
        <w:rPr>
          <w:sz w:val="16"/>
        </w:rPr>
        <w:t xml:space="preserve">perhaps </w:t>
      </w:r>
      <w:r w:rsidRPr="0075585F">
        <w:rPr>
          <w:rStyle w:val="StyleUnderline"/>
        </w:rPr>
        <w:t>subconscious) desire for control over the great outdoors</w:t>
      </w:r>
      <w:r w:rsidRPr="0075585F">
        <w:rPr>
          <w:sz w:val="16"/>
        </w:rPr>
        <w:t xml:space="preserve">, </w:t>
      </w:r>
      <w:r w:rsidRPr="0075585F">
        <w:rPr>
          <w:rStyle w:val="StyleUnderline"/>
        </w:rPr>
        <w:t>where population explosion and resource scarcity structured a sense of foreboding about the sustenance of American civilization.</w:t>
      </w:r>
      <w:r w:rsidRPr="0075585F">
        <w:rPr>
          <w:sz w:val="16"/>
        </w:rPr>
        <w:t xml:space="preserve"> For the</w:t>
      </w:r>
      <w:r w:rsidRPr="003150E9">
        <w:rPr>
          <w:sz w:val="16"/>
        </w:rPr>
        <w:t xml:space="preserve"> home to maintain a sense of coherence at this time, its inhabitants had to incorporate elements of the very resource economy that would eventually threaten them, and then turn away from the finite temporal horizon of that economy. Repetition—or, more tantalizingly, </w:t>
      </w:r>
      <w:r w:rsidRPr="00A236BB">
        <w:rPr>
          <w:rStyle w:val="StyleUnderline"/>
        </w:rPr>
        <w:t>reproducibility (with all its gendered connotations)—opens out to accumulation</w:t>
      </w:r>
      <w:r w:rsidRPr="003150E9">
        <w:rPr>
          <w:sz w:val="16"/>
        </w:rPr>
        <w:t xml:space="preserve">, which surfaces as a theme throughout the advertisement. By goading (female) consumers to collect all the flowers and build magnificent fake bouquets before stocks run out, P&amp;G establishes a link between accumulating plastic roses and accumulation structuring the postwar heteronormative, suburban economy. Both visually and rhetorically, </w:t>
      </w:r>
      <w:r w:rsidRPr="00A236BB">
        <w:rPr>
          <w:rStyle w:val="StyleUnderline"/>
          <w:highlight w:val="green"/>
        </w:rPr>
        <w:t>the drive to accumulate</w:t>
      </w:r>
      <w:r w:rsidRPr="003150E9">
        <w:rPr>
          <w:sz w:val="16"/>
        </w:rPr>
        <w:t xml:space="preserve"> plastic flowers—to collect them all—</w:t>
      </w:r>
      <w:r w:rsidRPr="00A236BB">
        <w:rPr>
          <w:rStyle w:val="StyleUnderline"/>
          <w:highlight w:val="green"/>
        </w:rPr>
        <w:t>evokes the construction of the normative female subject in the image of a techno-subject</w:t>
      </w:r>
      <w:r w:rsidRPr="00A719A8">
        <w:rPr>
          <w:rStyle w:val="StyleUnderline"/>
        </w:rPr>
        <w:t xml:space="preserve"> one of </w:t>
      </w:r>
      <w:r w:rsidRPr="00A236BB">
        <w:rPr>
          <w:rStyle w:val="StyleUnderline"/>
          <w:highlight w:val="green"/>
        </w:rPr>
        <w:t>whose primary goals</w:t>
      </w:r>
      <w:r w:rsidRPr="0075585F">
        <w:rPr>
          <w:rStyle w:val="StyleUnderline"/>
        </w:rPr>
        <w:t xml:space="preserve"> in life </w:t>
      </w:r>
      <w:r w:rsidRPr="00A236BB">
        <w:rPr>
          <w:rStyle w:val="StyleUnderline"/>
          <w:highlight w:val="green"/>
        </w:rPr>
        <w:t>is social reproduction.</w:t>
      </w:r>
      <w:r w:rsidRPr="003150E9">
        <w:rPr>
          <w:sz w:val="16"/>
        </w:rPr>
        <w:t xml:space="preserve"> That the accumulative element of plastic flora is intimately connected to the trappings of this reproductive economy—in a word, domesticity—is, therefore, not very surprising. In Paul Preciado’s words: </w:t>
      </w:r>
      <w:r w:rsidRPr="00A719A8">
        <w:rPr>
          <w:rStyle w:val="StyleUnderline"/>
        </w:rPr>
        <w:t>“Postwar white men and women are biotechnological beings belonging to the sexo-political regime whose goal is the production, reproduction, and colonial expansion of heterosexual human life on the planet”.</w:t>
      </w:r>
      <w:r w:rsidRPr="003150E9">
        <w:rPr>
          <w:sz w:val="16"/>
        </w:rPr>
        <w:t xml:space="preserve">113 Or: </w:t>
      </w:r>
      <w:r w:rsidRPr="0075585F">
        <w:rPr>
          <w:rStyle w:val="StyleUnderline"/>
        </w:rPr>
        <w:t>the heterosexual machinery of postwar normativity sustained itself by eliminating time from domestic space, because making the home appear immune to worldly instability naturalized the settler domestic order as eternal and</w:t>
      </w:r>
      <w:r w:rsidRPr="00A719A8">
        <w:rPr>
          <w:rStyle w:val="StyleUnderline"/>
        </w:rPr>
        <w:t xml:space="preserve"> timeless. By expelling time</w:t>
      </w:r>
      <w:r w:rsidRPr="003150E9">
        <w:rPr>
          <w:sz w:val="16"/>
        </w:rPr>
        <w:t xml:space="preserve">, on the one hand, </w:t>
      </w:r>
      <w:r w:rsidRPr="00A719A8">
        <w:rPr>
          <w:rStyle w:val="StyleUnderline"/>
        </w:rPr>
        <w:t>the home protected itself from threats</w:t>
      </w:r>
      <w:r w:rsidRPr="003150E9">
        <w:rPr>
          <w:sz w:val="16"/>
        </w:rPr>
        <w:t xml:space="preserve"> posed by global resource scarcity. But </w:t>
      </w:r>
      <w:r w:rsidRPr="00A719A8">
        <w:rPr>
          <w:rStyle w:val="StyleUnderline"/>
        </w:rPr>
        <w:t xml:space="preserve">atemporality was also </w:t>
      </w:r>
      <w:r w:rsidRPr="00A236BB">
        <w:rPr>
          <w:rStyle w:val="StyleUnderline"/>
          <w:highlight w:val="green"/>
        </w:rPr>
        <w:t xml:space="preserve">a method for </w:t>
      </w:r>
      <w:r w:rsidRPr="00A236BB">
        <w:rPr>
          <w:rStyle w:val="Emphasis"/>
          <w:highlight w:val="green"/>
        </w:rPr>
        <w:t>colonizing time</w:t>
      </w:r>
      <w:r w:rsidRPr="00A236BB">
        <w:rPr>
          <w:rStyle w:val="StyleUnderline"/>
          <w:highlight w:val="green"/>
        </w:rPr>
        <w:t>: if the American nuclear family could serve as the norm for what all families should look like, then any expansionist project to more intensely exploit global resources could be justified as an effort to protect that familial ideal.</w:t>
      </w:r>
      <w:r w:rsidRPr="00A719A8">
        <w:rPr>
          <w:rStyle w:val="StyleUnderline"/>
        </w:rPr>
        <w:t xml:space="preserve"> From this we can extrapolate that </w:t>
      </w:r>
      <w:r w:rsidRPr="00A236BB">
        <w:rPr>
          <w:rStyle w:val="StyleUnderline"/>
          <w:highlight w:val="green"/>
        </w:rPr>
        <w:t xml:space="preserve">the </w:t>
      </w:r>
      <w:r w:rsidRPr="00A236BB">
        <w:rPr>
          <w:rStyle w:val="Emphasis"/>
          <w:highlight w:val="green"/>
        </w:rPr>
        <w:t>settler heterosexual order</w:t>
      </w:r>
      <w:r w:rsidRPr="00A236BB">
        <w:rPr>
          <w:rStyle w:val="StyleUnderline"/>
          <w:highlight w:val="green"/>
        </w:rPr>
        <w:t xml:space="preserve"> was propelled by an endless drive to constantly remake the world in its own image.</w:t>
      </w:r>
      <w:r w:rsidRPr="003150E9">
        <w:rPr>
          <w:sz w:val="16"/>
        </w:rPr>
        <w:t xml:space="preserve"> </w:t>
      </w:r>
      <w:r w:rsidRPr="00A719A8">
        <w:rPr>
          <w:rStyle w:val="StyleUnderline"/>
        </w:rPr>
        <w:t>These mechanisms replicate the logics of</w:t>
      </w:r>
      <w:r w:rsidRPr="003150E9">
        <w:rPr>
          <w:sz w:val="16"/>
        </w:rPr>
        <w:t xml:space="preserve"> what Amy Kaplan calls </w:t>
      </w:r>
      <w:r w:rsidRPr="00A236BB">
        <w:rPr>
          <w:rStyle w:val="StyleUnderline"/>
          <w:highlight w:val="green"/>
        </w:rPr>
        <w:t>“manifest domesticity”</w:t>
      </w:r>
      <w:r w:rsidRPr="0075585F">
        <w:rPr>
          <w:rStyle w:val="StyleUnderline"/>
        </w:rPr>
        <w:t>, where the double meaning appended to domesticity—the home and the not-foreign—“not only links the familial household to the nation but also imagines both in opposition to everything outside the geographic and conceptual borders of the home”</w:t>
      </w:r>
      <w:r w:rsidRPr="0075585F">
        <w:rPr>
          <w:sz w:val="16"/>
        </w:rPr>
        <w:t>.114</w:t>
      </w:r>
      <w:r w:rsidRPr="003150E9">
        <w:rPr>
          <w:sz w:val="16"/>
        </w:rPr>
        <w:t xml:space="preserve"> Her essay addresses antebellum America to discern the modalities by which an imagination of “the nation as a home” helped the country achieve coherence during a period of imperial expansion defined by violent confrontations with Mexicans, Indians, and Europeans.115 She identifies a “paradox” within “imperial domesticity” in which women’s retreat from the public (male) arena of business or commerce allowed feminine subjectivity to make the home its own playground within the national-imperial project: </w:t>
      </w:r>
      <w:r w:rsidRPr="00A719A8">
        <w:rPr>
          <w:rStyle w:val="StyleUnderline"/>
        </w:rPr>
        <w:t>“The outward reach of domesticity … enables the interior functioning of the home”</w:t>
      </w:r>
      <w:r w:rsidRPr="003150E9">
        <w:rPr>
          <w:sz w:val="16"/>
        </w:rPr>
        <w:t xml:space="preserve">.116 </w:t>
      </w:r>
      <w:r w:rsidRPr="0075585F">
        <w:rPr>
          <w:rStyle w:val="StyleUnderline"/>
        </w:rPr>
        <w:t xml:space="preserve">Underwritten by frontier imaginaries of Manifest Destiny, rhetorics of </w:t>
      </w:r>
      <w:r w:rsidRPr="00A236BB">
        <w:rPr>
          <w:rStyle w:val="StyleUnderline"/>
          <w:highlight w:val="green"/>
        </w:rPr>
        <w:t xml:space="preserve">domesticity </w:t>
      </w:r>
      <w:r w:rsidRPr="0075585F">
        <w:rPr>
          <w:rStyle w:val="StyleUnderline"/>
        </w:rPr>
        <w:t xml:space="preserve">simultaneously </w:t>
      </w:r>
      <w:r w:rsidRPr="00A236BB">
        <w:rPr>
          <w:rStyle w:val="StyleUnderline"/>
          <w:highlight w:val="green"/>
        </w:rPr>
        <w:t>allowed the United States to think of the world as its “‘home’ and project the home as ‘coextensive with the entire world’”.</w:t>
      </w:r>
      <w:r w:rsidRPr="003150E9">
        <w:rPr>
          <w:sz w:val="16"/>
        </w:rPr>
        <w:t xml:space="preserve">117 Kaplan’s antebellum history speaks eloquently to the reordering of the postwar world when a new phase of American imperial ascendancy was on the rise. In the face of resource crisis, </w:t>
      </w:r>
      <w:r w:rsidRPr="00A236BB">
        <w:rPr>
          <w:rStyle w:val="StyleUnderline"/>
          <w:highlight w:val="green"/>
        </w:rPr>
        <w:t>intensified exploitation of resources made it imperative</w:t>
      </w:r>
      <w:r w:rsidRPr="0075585F">
        <w:rPr>
          <w:rStyle w:val="StyleUnderline"/>
        </w:rPr>
        <w:t xml:space="preserve"> for the administrative apparatus </w:t>
      </w:r>
      <w:r w:rsidRPr="00A236BB">
        <w:rPr>
          <w:rStyle w:val="StyleUnderline"/>
          <w:highlight w:val="green"/>
        </w:rPr>
        <w:t xml:space="preserve">to devise </w:t>
      </w:r>
      <w:r w:rsidRPr="0075585F">
        <w:rPr>
          <w:rStyle w:val="StyleUnderline"/>
        </w:rPr>
        <w:t xml:space="preserve">new </w:t>
      </w:r>
      <w:r w:rsidRPr="00A236BB">
        <w:rPr>
          <w:rStyle w:val="StyleUnderline"/>
          <w:highlight w:val="green"/>
        </w:rPr>
        <w:t xml:space="preserve">rhetorical devices justifying American intervention beyond its borders </w:t>
      </w:r>
      <w:r w:rsidRPr="0075585F">
        <w:rPr>
          <w:rStyle w:val="StyleUnderline"/>
        </w:rPr>
        <w:t xml:space="preserve">and </w:t>
      </w:r>
      <w:r w:rsidRPr="00A236BB">
        <w:rPr>
          <w:rStyle w:val="Emphasis"/>
          <w:highlight w:val="green"/>
        </w:rPr>
        <w:t>in the interests of a world community.</w:t>
      </w:r>
      <w:r w:rsidRPr="003150E9">
        <w:rPr>
          <w:sz w:val="16"/>
        </w:rPr>
        <w:t xml:space="preserve"> Further, as replicating patterns of imperial domesticity in Kwajalein Island suggest, the domestic sphere was essential to the American ideological project after 1945. But if the home was going to be thrown so centrally into the turbulent world, if the home was going to become the visual icon of abundant life, then how could it not be affected by the crises engulfing the world it was being plunged into? How could resource scarcity be held at bay, especially when it was precisely those resources thought to be scarce that powered the postwar home? In plastic flowers, </w:t>
      </w:r>
      <w:r w:rsidRPr="00A236BB">
        <w:rPr>
          <w:rStyle w:val="StyleUnderline"/>
          <w:highlight w:val="green"/>
        </w:rPr>
        <w:t>we find a stabilizing mechanism for sustaining a fantasy of the home as external to the world-in-crisis. The effacement of organic time, excision of material decay</w:t>
      </w:r>
      <w:r w:rsidRPr="003150E9">
        <w:rPr>
          <w:sz w:val="16"/>
        </w:rPr>
        <w:t xml:space="preserve">, and the promise of permanent summers functioned </w:t>
      </w:r>
      <w:r w:rsidRPr="00A236BB">
        <w:rPr>
          <w:rStyle w:val="StyleUnderline"/>
          <w:highlight w:val="green"/>
        </w:rPr>
        <w:t>as the flipside of catastrophic images of nuclear winter.</w:t>
      </w:r>
      <w:r w:rsidRPr="003150E9">
        <w:rPr>
          <w:sz w:val="16"/>
        </w:rPr>
        <w:t xml:space="preserve"> Where the latter filled domestic space with dread, the former elevated the home beyond the wider world even as it became increasingly entangled with it. But how does the labor of maintenance fit into this framework? The simple answer is that plastic flowers enter the home based on a guarantee of permanence (i.e. their uncontamination by the vagaries of the natural world), and nonlabor (i.e. their lack of dependence on upkeep). These two phenomena are, I would claim, interconnected. Which is to say: despite the shield of protection they afford against nature, plastic flowers would never have entered the home if they needed constant the attention of their owners. That they can be overlooked without being regularly tended to, is integral to their promise. In the P&amp;G ad, the effacement of labor is a constant thematic concern. In all the talk of bright redness, washable flowers, and bouquet building, viewers are meant to forget the fact that you only accumulate a bunch of roses by buying packs of detergent. The commodification angle is less interesting here than the specific commodities being sold. The product marketed by Proctor and Gamble aids the repetitive performance of female domestic labor—doing the dishes, washing clothes, keeping the home clean. But the ad asks viewers not to focus on the dreariness of those tasks (nor indeed on the fact that plastic roses need a wash from time-to-time). Instead, both the visuals and the narrator’s words direct viewers’ eyes towards the abundance of plastic roses: collect them all, accumulate more, make large bouquets, so that you might arrange fake flowers in ever more imaginative ways. The imprinting of the word FREE on screen isn’t entirely incidental either, on two counts: first, it is plainly obvious that the roses are free because the consumer is paying for the detergent and getting a potentially pointless substitute for nature tacked on to it for no charge. But more importantly, FREE roses are, here, being used to sell another normative ideal—which underpins the entire accumulative, reproductive edifice of heterosexual family life: free domestic labor. In much the same way that fake plastic flowers are sold as idealized versions of nature evacuated of the temporal flux of the natural world, women’s labor—given free of charge within the domestic setup—is naturalized by the rhetoric of bouquet building. Even though the commodities being sold in the ad are things one needs to maintain households on a day-to-day basis, we might be forgiven for thinking that the star of the show is the red plastic rose. That which is merely a FREE accessory to the “real thing” on sale becomes, in effect, the thing itself. The effacement of (women’s) labor in the P&amp;G advertisement reflects the other side of the entrepreneurial suburban subject which Matthew Huber conceptualizes around the oil economy. </w:t>
      </w:r>
      <w:r w:rsidRPr="00AE56F7">
        <w:rPr>
          <w:rStyle w:val="StyleUnderline"/>
          <w:highlight w:val="green"/>
        </w:rPr>
        <w:t>If self-making informs one element of petrocultural fantasy, then the stabilization of the interior self through the expulsion of organic time and manual labor informs another portion of that same fantasy.</w:t>
      </w:r>
      <w:r w:rsidRPr="003150E9">
        <w:rPr>
          <w:sz w:val="16"/>
        </w:rPr>
        <w:t xml:space="preserve"> Hence my suspicion that on this count the biopolitical account needs to be supplemented by a narrative more attentive to internal fluxes of the governmentalized subject. By expelling all the markers of time—work, nature, organic matter—from the narrative around plastic flora, they strive to secure the home as that insulated space outside the outside where resource crisis becomes a blip in the mirror as summertime flourishes all year around. Having argued thus far for </w:t>
      </w:r>
      <w:r w:rsidRPr="003150E9">
        <w:rPr>
          <w:rStyle w:val="StyleUnderline"/>
        </w:rPr>
        <w:t>the emergence of bureaucratic vision and its prominent role in the inscription of domesticity outside the space of external turmoil</w:t>
      </w:r>
      <w:r w:rsidRPr="003150E9">
        <w:rPr>
          <w:sz w:val="16"/>
        </w:rPr>
        <w:t xml:space="preserve">, it </w:t>
      </w:r>
      <w:r w:rsidRPr="003150E9">
        <w:rPr>
          <w:rStyle w:val="StyleUnderline"/>
        </w:rPr>
        <w:t>remains</w:t>
      </w:r>
      <w:r w:rsidRPr="003150E9">
        <w:rPr>
          <w:sz w:val="16"/>
        </w:rPr>
        <w:t xml:space="preserve"> for me rehearse the final step of the argument: that together bureaucratic vision and domestic isolation articulated a distinction between materiality (or the temporality of matter) and history. The endless drive for growth illustrates plainly how crucial it was for governments, policymakers, and bureaucrats to never fully acknowledge the finitude of the earth’s contents. Faced with the reality that resources might run out they simply created a definitional space for generating more resources in the future—as the PMPC report shows. But how could rational, thinking people have failed to realize that the earth is finite—in a deep, material sense; that it has contents that will be exhausted at some point in the future? The answer to this question cannot be gleaned from the pages of political economy. </w:t>
      </w:r>
      <w:r w:rsidRPr="00A236BB">
        <w:rPr>
          <w:rStyle w:val="StyleUnderline"/>
          <w:highlight w:val="green"/>
        </w:rPr>
        <w:t>The refusal to recognize</w:t>
      </w:r>
      <w:r w:rsidRPr="003150E9">
        <w:rPr>
          <w:sz w:val="16"/>
        </w:rPr>
        <w:t xml:space="preserve"> what appears as a shockingly basic fact to many </w:t>
      </w:r>
      <w:r w:rsidRPr="00A236BB">
        <w:rPr>
          <w:rStyle w:val="StyleUnderline"/>
          <w:highlight w:val="green"/>
        </w:rPr>
        <w:t>has to be understood within the matrix of psychic stabilization</w:t>
      </w:r>
      <w:r w:rsidRPr="003150E9">
        <w:rPr>
          <w:rStyle w:val="StyleUnderline"/>
        </w:rPr>
        <w:t>: in a period of</w:t>
      </w:r>
      <w:r w:rsidRPr="003150E9">
        <w:rPr>
          <w:sz w:val="16"/>
        </w:rPr>
        <w:t xml:space="preserve"> ascendant </w:t>
      </w:r>
      <w:r w:rsidRPr="003150E9">
        <w:rPr>
          <w:rStyle w:val="StyleUnderline"/>
        </w:rPr>
        <w:t>imperialism</w:t>
      </w:r>
      <w:r w:rsidRPr="003150E9">
        <w:rPr>
          <w:sz w:val="16"/>
        </w:rPr>
        <w:t xml:space="preserve">, at a time when American presence on the world stage was about to be cemented in a way it never had been before, </w:t>
      </w:r>
      <w:r w:rsidRPr="003150E9">
        <w:rPr>
          <w:rStyle w:val="StyleUnderline"/>
        </w:rPr>
        <w:t>how could something as banal as “material” limit the horizon of expectations? A split had to be created between the temporal orders of matter and history for America to take its rightful place</w:t>
      </w:r>
      <w:r w:rsidRPr="003150E9">
        <w:rPr>
          <w:sz w:val="16"/>
        </w:rPr>
        <w:t xml:space="preserve"> as the author of the American Century.</w:t>
      </w:r>
    </w:p>
    <w:p w14:paraId="23C7004B" w14:textId="77777777" w:rsidR="00B13985" w:rsidRDefault="00B13985" w:rsidP="00B13985"/>
    <w:p w14:paraId="50BDCC53" w14:textId="77777777" w:rsidR="00B13985" w:rsidRPr="00C04D57" w:rsidRDefault="00B13985" w:rsidP="00B13985">
      <w:pPr>
        <w:pStyle w:val="Heading4"/>
      </w:pPr>
      <w:r>
        <w:t>Issues of racism, patriarchy, and homo/transphobia are central to our current civilization process, as are divisions of labor. All of these must be torn down.</w:t>
      </w:r>
    </w:p>
    <w:p w14:paraId="1C547EB8" w14:textId="77777777" w:rsidR="00B13985" w:rsidRDefault="00B13985" w:rsidP="00B13985">
      <w:r w:rsidRPr="00C04D57">
        <w:rPr>
          <w:rStyle w:val="Style13ptBold"/>
        </w:rPr>
        <w:t>Dunlap 22</w:t>
      </w:r>
      <w:r>
        <w:t>. Alexander Dunlap, Centre for Development and the Environment, University of Oslo, Norway. ‘I don’t want your progress! It tries to kill</w:t>
      </w:r>
      <w:r>
        <w:rPr>
          <w:rFonts w:ascii="Times New Roman" w:hAnsi="Times New Roman" w:cs="Times New Roman"/>
        </w:rPr>
        <w:t> </w:t>
      </w:r>
      <w:r>
        <w:rPr>
          <w:rFonts w:cs="Comic Sans MS"/>
        </w:rPr>
        <w:t>…</w:t>
      </w:r>
      <w:r>
        <w:rPr>
          <w:rFonts w:ascii="Times New Roman" w:hAnsi="Times New Roman" w:cs="Times New Roman"/>
        </w:rPr>
        <w:t> </w:t>
      </w:r>
      <w:r>
        <w:t>me!</w:t>
      </w:r>
      <w:r>
        <w:rPr>
          <w:rFonts w:cs="Comic Sans MS"/>
        </w:rPr>
        <w:t>’</w:t>
      </w:r>
      <w:r>
        <w:t xml:space="preserve"> Decolonial encounters and the anarchist critique of civilization. Globalizations, 1</w:t>
      </w:r>
      <w:r>
        <w:rPr>
          <w:rFonts w:cs="Comic Sans MS"/>
        </w:rPr>
        <w:t>–</w:t>
      </w:r>
      <w:r>
        <w:t>27. https://doi.org/10.1080/14747731.2022.2073657//n*x</w:t>
      </w:r>
    </w:p>
    <w:p w14:paraId="708E2844" w14:textId="77777777" w:rsidR="00B13985" w:rsidRDefault="00B13985" w:rsidP="00B13985">
      <w:r w:rsidRPr="003342C7">
        <w:rPr>
          <w:rStyle w:val="StyleUnderline"/>
          <w:highlight w:val="yellow"/>
        </w:rPr>
        <w:t>Decolonial theory</w:t>
      </w:r>
      <w:r w:rsidRPr="00C04D57">
        <w:rPr>
          <w:rStyle w:val="StyleUnderline"/>
        </w:rPr>
        <w:t>, especially Escobar</w:t>
      </w:r>
      <w:r>
        <w:t xml:space="preserve"> (Citation2021, this issue), </w:t>
      </w:r>
      <w:r w:rsidRPr="003342C7">
        <w:rPr>
          <w:rStyle w:val="StyleUnderline"/>
          <w:highlight w:val="yellow"/>
        </w:rPr>
        <w:t>is clear about the issues of patriarchy and racism</w:t>
      </w:r>
      <w:r w:rsidRPr="00C04D57">
        <w:rPr>
          <w:rStyle w:val="StyleUnderline"/>
        </w:rPr>
        <w:t xml:space="preserve">. Green anarchism acknowledges the deep roots of patriarchy, </w:t>
      </w:r>
      <w:r w:rsidRPr="003342C7">
        <w:rPr>
          <w:rStyle w:val="StyleUnderline"/>
          <w:highlight w:val="yellow"/>
        </w:rPr>
        <w:t>central to domestication and the civilizational process</w:t>
      </w:r>
      <w:r>
        <w:t xml:space="preserve"> (GA, Citation2005, Citation2012; Return Fire Vol. 2, Citation2014), </w:t>
      </w:r>
      <w:r w:rsidRPr="003342C7">
        <w:rPr>
          <w:rStyle w:val="StyleUnderline"/>
          <w:highlight w:val="yellow"/>
        </w:rPr>
        <w:t>which relatively recently has been taken up by insurrectionary queer theory</w:t>
      </w:r>
      <w:r>
        <w:t xml:space="preserve"> (Bæden, Citation2014). </w:t>
      </w:r>
      <w:r w:rsidRPr="003342C7">
        <w:rPr>
          <w:rStyle w:val="StyleUnderline"/>
          <w:highlight w:val="yellow"/>
        </w:rPr>
        <w:t>Decolonial theory offers an important analysis of racism</w:t>
      </w:r>
      <w:r w:rsidRPr="00C04D57">
        <w:rPr>
          <w:rStyle w:val="StyleUnderline"/>
        </w:rPr>
        <w:t xml:space="preserve"> for green and anti-civilization anarchism(s) to heed. </w:t>
      </w:r>
      <w:r w:rsidRPr="003342C7">
        <w:rPr>
          <w:rStyle w:val="StyleUnderline"/>
          <w:highlight w:val="yellow"/>
        </w:rPr>
        <w:t>There are, however, important stakes in analysing divisions of labor and tech</w:t>
      </w:r>
      <w:r w:rsidRPr="00C04D57">
        <w:rPr>
          <w:rStyle w:val="StyleUnderline"/>
        </w:rPr>
        <w:t>nology. Divisions of labor, and specialization in general</w:t>
      </w:r>
      <w:r>
        <w:t xml:space="preserve"> (Illich, Citation1978), </w:t>
      </w:r>
      <w:r w:rsidRPr="00C04D57">
        <w:rPr>
          <w:rStyle w:val="StyleUnderline"/>
        </w:rPr>
        <w:t xml:space="preserve">remain important areas to remain vigilantly critical. </w:t>
      </w:r>
      <w:r w:rsidRPr="003342C7">
        <w:rPr>
          <w:rStyle w:val="StyleUnderline"/>
          <w:highlight w:val="yellow"/>
        </w:rPr>
        <w:t>Divisions of labor cut to the heart of the colonial model, often deeply intertwined with hierarchies, intensive energy use and speaks to the roots of civilizations</w:t>
      </w:r>
      <w:r w:rsidRPr="00C04D57">
        <w:rPr>
          <w:rStyle w:val="StyleUnderline"/>
        </w:rPr>
        <w:t xml:space="preserve">, statist bureaucracy and the limiting of organizational possibilities. </w:t>
      </w:r>
      <w:r w:rsidRPr="003342C7">
        <w:rPr>
          <w:rStyle w:val="StyleUnderline"/>
          <w:highlight w:val="yellow"/>
        </w:rPr>
        <w:t>How decolonial theory relates to the state and technology remain important questions, indicating the importance of specialization, divisions of labor, and how high technology will always require high levels and various forms of human, nonhuman, and digital extractivisms</w:t>
      </w:r>
      <w:r>
        <w:t xml:space="preserve"> (see Chagnon et al., Citation2021; Tarvainen, Citation2022). </w:t>
      </w:r>
      <w:r w:rsidRPr="003342C7">
        <w:rPr>
          <w:rStyle w:val="StyleUnderline"/>
          <w:highlight w:val="yellow"/>
        </w:rPr>
        <w:t>There remains an urgent need to go-beyond democracy</w:t>
      </w:r>
      <w:r w:rsidRPr="00C04D57">
        <w:rPr>
          <w:rStyle w:val="StyleUnderline"/>
        </w:rPr>
        <w:t xml:space="preserve"> (and further away from authoritarianism), </w:t>
      </w:r>
      <w:r w:rsidRPr="003342C7">
        <w:rPr>
          <w:rStyle w:val="StyleUnderline"/>
          <w:highlight w:val="yellow"/>
        </w:rPr>
        <w:t>opening up spaces for new non-colonial organizational proposals and informal organizing. The possibilities</w:t>
      </w:r>
      <w:r w:rsidRPr="00C04D57">
        <w:rPr>
          <w:rStyle w:val="StyleUnderline"/>
        </w:rPr>
        <w:t xml:space="preserve"> are many, yet </w:t>
      </w:r>
      <w:r w:rsidRPr="003342C7">
        <w:rPr>
          <w:rStyle w:val="StyleUnderline"/>
          <w:highlight w:val="yellow"/>
        </w:rPr>
        <w:t>remain stifled by existing norms, relationships, and material and organizational technologies</w:t>
      </w:r>
      <w:r w:rsidRPr="00C04D57">
        <w:rPr>
          <w:rStyle w:val="StyleUnderline"/>
        </w:rPr>
        <w:t>. Excavating and resurging pre-colonial organizational forms, anarchist informal organization, and post-millennial networks all serve as avenues of experimentation</w:t>
      </w:r>
      <w:r>
        <w:t>.</w:t>
      </w:r>
    </w:p>
    <w:p w14:paraId="377C1EDA" w14:textId="77777777" w:rsidR="00E76C79" w:rsidRDefault="00E76C79" w:rsidP="00E76C79">
      <w:pPr>
        <w:pStyle w:val="Heading4"/>
      </w:pPr>
      <w:r>
        <w:t>Specifically, issues of transgender inclusion are examples of whiteness living up to colonial standards – there cannot be a politics of inclusion with the state</w:t>
      </w:r>
    </w:p>
    <w:p w14:paraId="2FB86EA2" w14:textId="77777777" w:rsidR="00E76C79" w:rsidRDefault="00E76C79" w:rsidP="00E76C79">
      <w:r w:rsidRPr="00740D0F">
        <w:rPr>
          <w:rFonts w:eastAsiaTheme="majorEastAsia" w:cstheme="majorBidi"/>
          <w:b/>
          <w:iCs/>
          <w:sz w:val="26"/>
        </w:rPr>
        <w:t>Branson 23</w:t>
      </w:r>
      <w:r>
        <w:t>. Scott Branson (they/them) has a PhD in Comparative Literature from Emory University. “</w:t>
      </w:r>
      <w:r w:rsidRPr="00740D0F">
        <w:t>For a Tranarchist Feminism: Transition as Care and Struggle</w:t>
      </w:r>
      <w:r>
        <w:t>,” published in Anarchist Federation Online, 7/20/23. https://www.anarchistfederation.net/for-a-tranarchist-feminism-transition-as-care-and-struggle//n*x</w:t>
      </w:r>
    </w:p>
    <w:p w14:paraId="766C656E" w14:textId="6833424F" w:rsidR="00E76C79" w:rsidRPr="005D388F" w:rsidRDefault="00E76C79" w:rsidP="00B13985">
      <w:r w:rsidRPr="00A84790">
        <w:rPr>
          <w:highlight w:val="yellow"/>
          <w:u w:val="single"/>
        </w:rPr>
        <w:t>We are eight years past the</w:t>
      </w:r>
      <w:r w:rsidRPr="000F6831">
        <w:rPr>
          <w:u w:val="single"/>
        </w:rPr>
        <w:t xml:space="preserve"> official, so-called, “</w:t>
      </w:r>
      <w:r w:rsidRPr="00A84790">
        <w:rPr>
          <w:highlight w:val="yellow"/>
          <w:u w:val="single"/>
        </w:rPr>
        <w:t>trans</w:t>
      </w:r>
      <w:r w:rsidRPr="000F6831">
        <w:rPr>
          <w:u w:val="single"/>
        </w:rPr>
        <w:t xml:space="preserve">gender </w:t>
      </w:r>
      <w:r w:rsidRPr="00A84790">
        <w:rPr>
          <w:highlight w:val="yellow"/>
          <w:u w:val="single"/>
        </w:rPr>
        <w:t>tipping point</w:t>
      </w:r>
      <w:r w:rsidRPr="000F6831">
        <w:rPr>
          <w:u w:val="single"/>
        </w:rPr>
        <w:t>,” which marked a different representation of trans people in the media</w:t>
      </w:r>
      <w:r>
        <w:t>—</w:t>
      </w:r>
      <w:r w:rsidRPr="00A84790">
        <w:rPr>
          <w:highlight w:val="yellow"/>
          <w:u w:val="single"/>
        </w:rPr>
        <w:t>symbolized by Laverne Cox</w:t>
      </w:r>
      <w:r w:rsidRPr="000F6831">
        <w:rPr>
          <w:u w:val="single"/>
        </w:rPr>
        <w:t xml:space="preserve">, a Black trans woman </w:t>
      </w:r>
      <w:r w:rsidRPr="00A84790">
        <w:rPr>
          <w:highlight w:val="yellow"/>
          <w:u w:val="single"/>
        </w:rPr>
        <w:t>appearing on the cover of TIME magazine. If this</w:t>
      </w:r>
      <w:r w:rsidRPr="000F6831">
        <w:rPr>
          <w:u w:val="single"/>
        </w:rPr>
        <w:t xml:space="preserve"> tipping point of representation or visibility </w:t>
      </w:r>
      <w:r w:rsidRPr="00A84790">
        <w:rPr>
          <w:highlight w:val="yellow"/>
          <w:u w:val="single"/>
        </w:rPr>
        <w:t>raised hopes for more inclusion</w:t>
      </w:r>
      <w:r w:rsidRPr="000F6831">
        <w:rPr>
          <w:u w:val="single"/>
        </w:rPr>
        <w:t xml:space="preserve">, possibilities of assimilation (particularly </w:t>
      </w:r>
      <w:r w:rsidRPr="00A84790">
        <w:rPr>
          <w:highlight w:val="yellow"/>
          <w:u w:val="single"/>
        </w:rPr>
        <w:t>for white people living up to colonial standards</w:t>
      </w:r>
      <w:r w:rsidRPr="000F6831">
        <w:rPr>
          <w:u w:val="single"/>
        </w:rPr>
        <w:t xml:space="preserve">), and a boon for a rightsbased reformist trans movement on the model of the gay rights movement post-liberation era, </w:t>
      </w:r>
      <w:r w:rsidRPr="00A84790">
        <w:rPr>
          <w:highlight w:val="yellow"/>
          <w:u w:val="single"/>
        </w:rPr>
        <w:t>those hopes coexisted with</w:t>
      </w:r>
      <w:r w:rsidRPr="000F6831">
        <w:rPr>
          <w:u w:val="single"/>
        </w:rPr>
        <w:t xml:space="preserve"> continual, even </w:t>
      </w:r>
      <w:r w:rsidRPr="00A84790">
        <w:rPr>
          <w:highlight w:val="yellow"/>
          <w:u w:val="single"/>
        </w:rPr>
        <w:t>rising violence against Black trans women</w:t>
      </w:r>
      <w:r w:rsidRPr="000F6831">
        <w:rPr>
          <w:u w:val="single"/>
        </w:rPr>
        <w:t>. That is, the spectacle of trans inclusion and visibility celebrated in the “trans tipping point” was mirrored by this spectacular violence as part of mundane reality</w:t>
      </w:r>
      <w:r>
        <w:t xml:space="preserve">. So what does that mean? </w:t>
      </w:r>
      <w:r w:rsidRPr="000F6831">
        <w:rPr>
          <w:u w:val="single"/>
        </w:rPr>
        <w:t>In the spirit of hate crime legislation, the violence against Black trans women could be dismissed as individualized, phobic response—for the most part not explicitly state-sponsored</w:t>
      </w:r>
      <w:r>
        <w:t xml:space="preserve">. Some might still hold out hope that the state could further protect this special group with enhanced punishment for targeted violence. Though of course </w:t>
      </w:r>
      <w:r w:rsidRPr="000F6831">
        <w:rPr>
          <w:u w:val="single"/>
        </w:rPr>
        <w:t xml:space="preserve">the criminalization of racialized trans women did continue apace, and there are examples of people like </w:t>
      </w:r>
      <w:r w:rsidRPr="00A84790">
        <w:rPr>
          <w:highlight w:val="yellow"/>
          <w:u w:val="single"/>
        </w:rPr>
        <w:t>CeCe MacDonald</w:t>
      </w:r>
      <w:r w:rsidRPr="000F6831">
        <w:rPr>
          <w:u w:val="single"/>
        </w:rPr>
        <w:t xml:space="preserve">, who </w:t>
      </w:r>
      <w:r w:rsidRPr="00A84790">
        <w:rPr>
          <w:highlight w:val="yellow"/>
          <w:u w:val="single"/>
        </w:rPr>
        <w:t>was incarcerated for self-defense against anti-trans attacks</w:t>
      </w:r>
      <w:r w:rsidRPr="00A84790">
        <w:rPr>
          <w:u w:val="single"/>
        </w:rPr>
        <w:t xml:space="preserve">. Thus, </w:t>
      </w:r>
      <w:r w:rsidRPr="00A84790">
        <w:rPr>
          <w:b/>
          <w:bCs/>
          <w:highlight w:val="yellow"/>
          <w:u w:val="single"/>
        </w:rPr>
        <w:t>the appeal to the state more often causes harm rather than any good</w:t>
      </w:r>
      <w:r>
        <w:t xml:space="preserve">. </w:t>
      </w:r>
      <w:r w:rsidRPr="000F6831">
        <w:rPr>
          <w:u w:val="single"/>
        </w:rPr>
        <w:t xml:space="preserve">Indeed, this </w:t>
      </w:r>
      <w:r w:rsidRPr="00A84790">
        <w:rPr>
          <w:highlight w:val="yellow"/>
          <w:u w:val="single"/>
        </w:rPr>
        <w:t>last near-decade has also seen an ever-increasing campaign of state-based violence against trans people, from the notorious bathroom bills</w:t>
      </w:r>
      <w:r>
        <w:t xml:space="preserve"> (HB2 in North Carolina, which combined anti-trans legislation with anti-worker policies) </w:t>
      </w:r>
      <w:r w:rsidRPr="00A84790">
        <w:rPr>
          <w:highlight w:val="yellow"/>
          <w:u w:val="single"/>
        </w:rPr>
        <w:t>to</w:t>
      </w:r>
      <w:r w:rsidRPr="000F6831">
        <w:rPr>
          <w:u w:val="single"/>
        </w:rPr>
        <w:t xml:space="preserve"> the most recent sweep of </w:t>
      </w:r>
      <w:r w:rsidRPr="00A84790">
        <w:rPr>
          <w:highlight w:val="yellow"/>
          <w:u w:val="single"/>
        </w:rPr>
        <w:t>legislation</w:t>
      </w:r>
      <w:r w:rsidRPr="000F6831">
        <w:rPr>
          <w:u w:val="single"/>
        </w:rPr>
        <w:t xml:space="preserve"> across the United States </w:t>
      </w:r>
      <w:r w:rsidRPr="00A84790">
        <w:rPr>
          <w:highlight w:val="yellow"/>
          <w:u w:val="single"/>
        </w:rPr>
        <w:t>that criminalizes trans health care</w:t>
      </w:r>
      <w:r w:rsidRPr="000F6831">
        <w:rPr>
          <w:u w:val="single"/>
        </w:rPr>
        <w:t xml:space="preserve">, parents of trans kids, </w:t>
      </w:r>
      <w:r w:rsidRPr="00A84790">
        <w:rPr>
          <w:highlight w:val="yellow"/>
          <w:u w:val="single"/>
        </w:rPr>
        <w:t>discussion of queerness in schools, trans participation in sports, drag shows, and more</w:t>
      </w:r>
      <w:r>
        <w:t xml:space="preserve">. While I could make arguments for why </w:t>
      </w:r>
      <w:r w:rsidRPr="000F6831">
        <w:rPr>
          <w:u w:val="single"/>
        </w:rPr>
        <w:t xml:space="preserve">I think </w:t>
      </w:r>
      <w:r w:rsidRPr="00A84790">
        <w:rPr>
          <w:highlight w:val="yellow"/>
          <w:u w:val="single"/>
        </w:rPr>
        <w:t>this current trend is consolidating a</w:t>
      </w:r>
      <w:r w:rsidRPr="000F6831">
        <w:t xml:space="preserve"> (Christian) </w:t>
      </w:r>
      <w:r w:rsidRPr="00A84790">
        <w:rPr>
          <w:highlight w:val="yellow"/>
          <w:u w:val="single"/>
        </w:rPr>
        <w:t>fascist right</w:t>
      </w:r>
      <w:r>
        <w:t xml:space="preserve">, I will focus instead on making an argument that </w:t>
      </w:r>
      <w:r w:rsidRPr="00A84790">
        <w:rPr>
          <w:highlight w:val="yellow"/>
          <w:u w:val="single"/>
        </w:rPr>
        <w:t>transness</w:t>
      </w:r>
      <w:r w:rsidRPr="00FC6FC1">
        <w:rPr>
          <w:u w:val="single"/>
        </w:rPr>
        <w:t xml:space="preserve"> indeed is a threat to today’s society – but in a good way, </w:t>
      </w:r>
      <w:r w:rsidRPr="00A84790">
        <w:rPr>
          <w:highlight w:val="yellow"/>
          <w:u w:val="single"/>
        </w:rPr>
        <w:t>a disruption of the norms that help reproduce the violence of the current social order</w:t>
      </w:r>
      <w:r w:rsidRPr="00FC6FC1">
        <w:rPr>
          <w:u w:val="single"/>
        </w:rPr>
        <w:t>.</w:t>
      </w:r>
      <w:r>
        <w:t xml:space="preserve"> Though I don’t imagine that all trans people must pose this threat in the same way, or even explicitly take it up, I do think that </w:t>
      </w:r>
      <w:r w:rsidRPr="00A84790">
        <w:rPr>
          <w:highlight w:val="yellow"/>
          <w:u w:val="single"/>
        </w:rPr>
        <w:t xml:space="preserve">trans </w:t>
      </w:r>
      <w:r w:rsidRPr="005C35B4">
        <w:rPr>
          <w:highlight w:val="yellow"/>
          <w:u w:val="single"/>
        </w:rPr>
        <w:t>anarchist feminists</w:t>
      </w:r>
      <w:r w:rsidRPr="00FC6FC1">
        <w:rPr>
          <w:u w:val="single"/>
        </w:rPr>
        <w:t>—tranarchist-feminists—can</w:t>
      </w:r>
      <w:r w:rsidRPr="005C35B4">
        <w:t xml:space="preserve"> </w:t>
      </w:r>
      <w:r w:rsidRPr="005C35B4">
        <w:rPr>
          <w:strike/>
        </w:rPr>
        <w:t>look</w:t>
      </w:r>
      <w:r w:rsidRPr="005C35B4">
        <w:t xml:space="preserve"> </w:t>
      </w:r>
      <w:r w:rsidRPr="005C35B4">
        <w:rPr>
          <w:u w:val="single"/>
        </w:rPr>
        <w:t>[</w:t>
      </w:r>
      <w:r w:rsidRPr="005C35B4">
        <w:rPr>
          <w:highlight w:val="yellow"/>
          <w:u w:val="single"/>
        </w:rPr>
        <w:t>observe</w:t>
      </w:r>
      <w:r w:rsidRPr="005C35B4">
        <w:rPr>
          <w:u w:val="single"/>
        </w:rPr>
        <w:t xml:space="preserve">] to </w:t>
      </w:r>
      <w:r w:rsidRPr="005C35B4">
        <w:rPr>
          <w:highlight w:val="yellow"/>
          <w:u w:val="single"/>
        </w:rPr>
        <w:t>the ways that we live in transition as a form of care and struggle against this world and in creation of a different world</w:t>
      </w:r>
      <w:r>
        <w:t xml:space="preserve">. Some trans people want to just live and be left alone. And yet that still gets seen as a threat in itself. </w:t>
      </w:r>
      <w:r w:rsidRPr="00FC6FC1">
        <w:rPr>
          <w:u w:val="single"/>
        </w:rPr>
        <w:t xml:space="preserve">To become anarchist transfeminists, </w:t>
      </w:r>
      <w:r w:rsidRPr="005C35B4">
        <w:rPr>
          <w:highlight w:val="yellow"/>
          <w:u w:val="single"/>
        </w:rPr>
        <w:t>we embody</w:t>
      </w:r>
      <w:r w:rsidRPr="00FC6FC1">
        <w:rPr>
          <w:u w:val="single"/>
        </w:rPr>
        <w:t xml:space="preserve"> this </w:t>
      </w:r>
      <w:r w:rsidRPr="005C35B4">
        <w:rPr>
          <w:highlight w:val="yellow"/>
          <w:u w:val="single"/>
        </w:rPr>
        <w:t>threat to the state, to capital, to all forms of hierarchy, and through trans care and mutual aid enact other worlds that counter the mundane violence of anti-transness</w:t>
      </w:r>
      <w:r w:rsidRPr="00FC6FC1">
        <w:rPr>
          <w:u w:val="single"/>
        </w:rPr>
        <w:t>.</w:t>
      </w:r>
      <w:r>
        <w:t xml:space="preserve"> In Atmospheres of Violence, Eric A. Stanley tracks the persistence of violent trans antagonism alongside the seeming progress narrative of gay and then trans inclusion. Stanley’s fundamental argument, which they name anarchist, is that “</w:t>
      </w:r>
      <w:r w:rsidRPr="005C35B4">
        <w:rPr>
          <w:highlight w:val="yellow"/>
          <w:u w:val="single"/>
        </w:rPr>
        <w:t>racialized antitrans/queer violence is not antagonistic to the democratic state; it is among its foundations—a</w:t>
      </w:r>
      <w:r w:rsidRPr="00FC6FC1">
        <w:rPr>
          <w:u w:val="single"/>
        </w:rPr>
        <w:t xml:space="preserve"> minor </w:t>
      </w:r>
      <w:r w:rsidRPr="005C35B4">
        <w:rPr>
          <w:highlight w:val="yellow"/>
          <w:u w:val="single"/>
        </w:rPr>
        <w:t>claim that demands the end of the world</w:t>
      </w:r>
      <w:r>
        <w:t xml:space="preserve">” (2021: 114). </w:t>
      </w:r>
      <w:r w:rsidRPr="00FC6FC1">
        <w:rPr>
          <w:u w:val="single"/>
        </w:rPr>
        <w:t>This parallel rise of representation and violence is not a paradox—it does important work of holding out the carrot of a good life, while beating us with the stick of mundane violence as the best we can hope for</w:t>
      </w:r>
      <w:r>
        <w:t xml:space="preserve">. </w:t>
      </w:r>
      <w:r w:rsidRPr="005C35B4">
        <w:rPr>
          <w:highlight w:val="yellow"/>
          <w:u w:val="single"/>
        </w:rPr>
        <w:t>Inclusion always replays hierarchies of race, wrought through the legacies of chattel slavery and (settler) colonialism; ultimately inclusion further strengthens the system we want to destroy by giving it the alibi of “diversity.”</w:t>
      </w:r>
      <w:r w:rsidRPr="00FC6FC1">
        <w:rPr>
          <w:u w:val="single"/>
        </w:rPr>
        <w:t xml:space="preserve"> Widening the circle of inclusion will still cast others out to disposable life or death worlds. We must demand the end of the world</w:t>
      </w:r>
      <w:r>
        <w:t xml:space="preserve">, as Stanley writes, </w:t>
      </w:r>
      <w:r w:rsidRPr="00FC6FC1">
        <w:rPr>
          <w:u w:val="single"/>
        </w:rPr>
        <w:t xml:space="preserve">because </w:t>
      </w:r>
      <w:r w:rsidRPr="005C35B4">
        <w:rPr>
          <w:highlight w:val="yellow"/>
          <w:u w:val="single"/>
        </w:rPr>
        <w:t>this is a world of racial domination played through gender hierarchy and economic exploitation.</w:t>
      </w:r>
      <w:r w:rsidRPr="00FC6FC1">
        <w:rPr>
          <w:u w:val="single"/>
        </w:rPr>
        <w:t xml:space="preserve"> </w:t>
      </w:r>
      <w:r w:rsidRPr="005C35B4">
        <w:rPr>
          <w:highlight w:val="yellow"/>
          <w:u w:val="single"/>
        </w:rPr>
        <w:t>In an anarchist approach to transition, we can argue that our desires help enact the end of this world, as we aim them away from inclusion and towards community self-defense and care</w:t>
      </w:r>
      <w:r>
        <w:t>.</w:t>
      </w:r>
    </w:p>
    <w:p w14:paraId="23154D19" w14:textId="77777777" w:rsidR="006653D3" w:rsidRDefault="006653D3" w:rsidP="006653D3">
      <w:pPr>
        <w:pStyle w:val="Heading4"/>
      </w:pPr>
      <w:r>
        <w:t>Centralizing the role of labor organizing inevitably fails – work precarity, internal divisions, and the failure to protect all workers have turned “bargaining power” into a cog of capitalist exploitation.</w:t>
      </w:r>
    </w:p>
    <w:p w14:paraId="033B8856" w14:textId="77777777" w:rsidR="006653D3" w:rsidRPr="00E438F2" w:rsidRDefault="006653D3" w:rsidP="006653D3">
      <w:r w:rsidRPr="00E438F2">
        <w:rPr>
          <w:rStyle w:val="Style13ptBold"/>
        </w:rPr>
        <w:t>Atzeni, 2021</w:t>
      </w:r>
      <w:r>
        <w:t xml:space="preserve"> (Maurizio – Researcher in the Centre for Labour Relations @ the Argentinian National Research Council and Visiting Professor @ the University of Leicester, “Workers’ Organizations and the Fetishism of the Trade Union Form: Toward New Pathways for Research on the Labour Movement?”, </w:t>
      </w:r>
      <w:r>
        <w:rPr>
          <w:i/>
        </w:rPr>
        <w:t>Globalizations</w:t>
      </w:r>
      <w:r>
        <w:t xml:space="preserve"> 18.8, shae)</w:t>
      </w:r>
    </w:p>
    <w:p w14:paraId="1DE9ECF6" w14:textId="77777777" w:rsidR="006653D3" w:rsidRPr="00CA712B" w:rsidRDefault="006653D3" w:rsidP="006653D3">
      <w:pPr>
        <w:rPr>
          <w:u w:val="single"/>
        </w:rPr>
      </w:pPr>
      <w:r w:rsidRPr="005359D0">
        <w:rPr>
          <w:sz w:val="16"/>
        </w:rPr>
        <w:t xml:space="preserve">Research in industrial relations and labour studies has been historically framed within Western Europe’s post world war two social democratic class compromise. </w:t>
      </w:r>
      <w:r w:rsidRPr="00E74AD1">
        <w:rPr>
          <w:rStyle w:val="StyleUnderline"/>
        </w:rPr>
        <w:t>From a reformist perspective, trade unions were considered, by virtue of their role as representative of the majority of the working class</w:t>
      </w:r>
      <w:r w:rsidRPr="005359D0">
        <w:rPr>
          <w:sz w:val="16"/>
        </w:rPr>
        <w:t xml:space="preserve"> and of their links with labour and socialist parties, </w:t>
      </w:r>
      <w:r w:rsidRPr="00E74AD1">
        <w:rPr>
          <w:rStyle w:val="StyleUnderline"/>
        </w:rPr>
        <w:t>one of the main institutional actors called to implement the social democratic social compact.</w:t>
      </w:r>
      <w:r w:rsidRPr="005359D0">
        <w:rPr>
          <w:sz w:val="16"/>
        </w:rPr>
        <w:t xml:space="preserve"> From a Marxist and revolutionary perspective, by the contrary, </w:t>
      </w:r>
      <w:r w:rsidRPr="00E74AD1">
        <w:rPr>
          <w:rStyle w:val="StyleUnderline"/>
        </w:rPr>
        <w:t>trade unions were considered fundamental as the organizations of class resistance against employers and capital.</w:t>
      </w:r>
      <w:r w:rsidRPr="005359D0">
        <w:rPr>
          <w:sz w:val="16"/>
        </w:rPr>
        <w:t xml:space="preserve"> Thus, for both perspectives, trade unions were central because studying their organizational dynamics vis-à-vis states, employers and workers were concretely a way to address important social and political problems and, to a large extent, effectively in tune with a trade unions represented working class expressed in political parties responsive of workers’ interests (at least in part of the industrialized world in the post-war period). A </w:t>
      </w:r>
      <w:r w:rsidRPr="00F73EA1">
        <w:rPr>
          <w:rStyle w:val="StyleUnderline"/>
          <w:highlight w:val="green"/>
        </w:rPr>
        <w:t>40 years’ leap forward in the history of capitalism</w:t>
      </w:r>
      <w:r w:rsidRPr="00F73EA1">
        <w:rPr>
          <w:sz w:val="16"/>
          <w:highlight w:val="green"/>
        </w:rPr>
        <w:t>,</w:t>
      </w:r>
      <w:r w:rsidRPr="005359D0">
        <w:rPr>
          <w:sz w:val="16"/>
        </w:rPr>
        <w:t xml:space="preserve"> through neoliberalism, privatizations, deindustrialization, the collapse of the Soviet world, globalization and the renewal of imperialist exploitation in the Global South, and high speed digitalized technological developments, </w:t>
      </w:r>
      <w:r w:rsidRPr="00F73EA1">
        <w:rPr>
          <w:rStyle w:val="StyleUnderline"/>
          <w:highlight w:val="green"/>
        </w:rPr>
        <w:t>presents researchers</w:t>
      </w:r>
      <w:r w:rsidRPr="005359D0">
        <w:rPr>
          <w:sz w:val="16"/>
        </w:rPr>
        <w:t xml:space="preserve"> in the field </w:t>
      </w:r>
      <w:r w:rsidRPr="00F73EA1">
        <w:rPr>
          <w:rStyle w:val="StyleUnderline"/>
          <w:highlight w:val="green"/>
        </w:rPr>
        <w:t>with a completely different social landscape made of precariousness</w:t>
      </w:r>
      <w:r w:rsidRPr="008237C8">
        <w:rPr>
          <w:rStyle w:val="StyleUnderline"/>
        </w:rPr>
        <w:t xml:space="preserve">, </w:t>
      </w:r>
      <w:r w:rsidRPr="00F73EA1">
        <w:rPr>
          <w:rStyle w:val="StyleUnderline"/>
        </w:rPr>
        <w:t>weaknesses, and divisions of the workers’ movement</w:t>
      </w:r>
      <w:r w:rsidRPr="00F73EA1">
        <w:rPr>
          <w:sz w:val="16"/>
        </w:rPr>
        <w:t xml:space="preserve"> across the Global North and the Global South, with labour m</w:t>
      </w:r>
      <w:r w:rsidRPr="005359D0">
        <w:rPr>
          <w:sz w:val="16"/>
        </w:rPr>
        <w:t xml:space="preserve">arkets in the northern hemisphere becoming more and more informalized and similar to urban areas of the world periphery. In this adverse context, </w:t>
      </w:r>
      <w:r w:rsidRPr="008237C8">
        <w:rPr>
          <w:rStyle w:val="StyleUnderline"/>
        </w:rPr>
        <w:t>trade unions as institutions have lost representativeness worldwide at both political and civil society leve</w:t>
      </w:r>
      <w:r w:rsidRPr="00985F22">
        <w:rPr>
          <w:rStyle w:val="StyleUnderline"/>
        </w:rPr>
        <w:t>l</w:t>
      </w:r>
      <w:r w:rsidRPr="005359D0">
        <w:rPr>
          <w:sz w:val="16"/>
        </w:rPr>
        <w:t xml:space="preserve">, have often </w:t>
      </w:r>
      <w:r w:rsidRPr="00DD4E96">
        <w:rPr>
          <w:rStyle w:val="StyleUnderline"/>
          <w:highlight w:val="green"/>
        </w:rPr>
        <w:t>failed to extend protective coverage</w:t>
      </w:r>
      <w:r w:rsidRPr="005359D0">
        <w:rPr>
          <w:sz w:val="16"/>
        </w:rPr>
        <w:t xml:space="preserve"> to formal labour markets outsiders </w:t>
      </w:r>
      <w:r w:rsidRPr="00DD4E96">
        <w:rPr>
          <w:rStyle w:val="StyleUnderline"/>
          <w:highlight w:val="green"/>
        </w:rPr>
        <w:t>and</w:t>
      </w:r>
      <w:r w:rsidRPr="005359D0">
        <w:rPr>
          <w:sz w:val="16"/>
        </w:rPr>
        <w:t xml:space="preserve"> have very often silently </w:t>
      </w:r>
      <w:r w:rsidRPr="00DD4E96">
        <w:rPr>
          <w:rStyle w:val="StyleUnderline"/>
          <w:highlight w:val="green"/>
        </w:rPr>
        <w:t>accepted</w:t>
      </w:r>
      <w:r w:rsidRPr="005359D0">
        <w:rPr>
          <w:sz w:val="16"/>
        </w:rPr>
        <w:t xml:space="preserve"> centre-left reformist programmes with </w:t>
      </w:r>
      <w:r w:rsidRPr="00DD4E96">
        <w:rPr>
          <w:rStyle w:val="StyleUnderline"/>
          <w:highlight w:val="green"/>
        </w:rPr>
        <w:t>a social political agenda regressive in terms of labour rights, opening the doors to labour flexibility reforms,</w:t>
      </w:r>
      <w:r w:rsidRPr="008237C8">
        <w:rPr>
          <w:rStyle w:val="StyleUnderline"/>
        </w:rPr>
        <w:t xml:space="preserve"> pensions and social security cuts, productivity pacts, or participation and partnership schemes.</w:t>
      </w:r>
      <w:r>
        <w:rPr>
          <w:rStyle w:val="StyleUnderline"/>
        </w:rPr>
        <w:t xml:space="preserve"> </w:t>
      </w:r>
      <w:r w:rsidRPr="005359D0">
        <w:rPr>
          <w:sz w:val="16"/>
        </w:rPr>
        <w:t xml:space="preserve">In the light of all these changes, </w:t>
      </w:r>
      <w:r w:rsidRPr="005359D0">
        <w:rPr>
          <w:rStyle w:val="StyleUnderline"/>
        </w:rPr>
        <w:t>trade unions</w:t>
      </w:r>
      <w:r w:rsidRPr="005359D0">
        <w:rPr>
          <w:sz w:val="16"/>
        </w:rPr>
        <w:t xml:space="preserve"> as organizations that almost symbiotically represent the working class </w:t>
      </w:r>
      <w:r w:rsidRPr="005359D0">
        <w:rPr>
          <w:rStyle w:val="StyleUnderline"/>
        </w:rPr>
        <w:t>must</w:t>
      </w:r>
      <w:r w:rsidRPr="005359D0">
        <w:rPr>
          <w:sz w:val="16"/>
        </w:rPr>
        <w:t xml:space="preserve"> thus </w:t>
      </w:r>
      <w:r w:rsidRPr="005359D0">
        <w:rPr>
          <w:rStyle w:val="StyleUnderline"/>
        </w:rPr>
        <w:t>be questioned.</w:t>
      </w:r>
      <w:r w:rsidRPr="005359D0">
        <w:rPr>
          <w:sz w:val="16"/>
        </w:rPr>
        <w:t xml:space="preserve"> We can no longer take for granted the model of representation of the working class of the twentieth century that has dominated the analyses of the left (as a revolutionary subject) and the centre left (as a reformist subject). Moreover, this model that has worked in the past is predominantly Eurocentric and a field of research that is aiming to broaden internationally the geographical landscape of its analyses needs to build new theoretical perspectives inspired also by non-Eurocentric social experiences and realities (on this see also Novak and Bieler and Nowak in this special issue introduction). Yet, despite this evidence, contemporary research in industrial relations and labour studies, both in its macro institutional and micro workplace organization level continues to give central relevance to trade unions in its analysis. What is the reason for this? In a field so inextricably linked to social variations, why is research focusing on just one type of organization of the working class, largely ignoring the formation processes that lead workers to organize and failing with this to address the conditions of the majority outsiders? Contrary to industrial relations, labour history has gone through a revision process of its object of analysis, distancing itself from studies of unions and formal workers and looking at other workers and working-classes formation processes in a less Eurocentric perspective, particularly since the emergence of Global Labour History (see Van der Linden, 2008). Similarly, in the field of labour anthropology, studies of trade unions have been inscribed in broader processes of class formation, allowing to see union structures and institutions as the often contradictory end result of the making, un-making, and re-making of working classes (see Kasmir &amp; Carbonella, 2014). Thus, there is clearly a need for a theoretical reflection in the field of industrial relations. Trade unions remain in various contexts important actors in the regulation of work, in influencing social policies, in the defence of basic workers’ rights and are probably the best instruments existing today to resist capitalist exploitation. This, however, does not justify anymore keeping a research agenda with such a limited focus. </w:t>
      </w:r>
      <w:r w:rsidRPr="005359D0">
        <w:rPr>
          <w:rStyle w:val="StyleUnderline"/>
        </w:rPr>
        <w:t>Research in industrial relations, particularly that on collective conflict and organization, is running the risk of reifying trade unions, a danger that has increased in the context of unions decline</w:t>
      </w:r>
      <w:r w:rsidRPr="005359D0">
        <w:rPr>
          <w:sz w:val="16"/>
        </w:rPr>
        <w:t xml:space="preserve"> and that the early Hyman already noted (1975, p. 13) at a time of growth of the labour movement and in which the ‘forward march of labour’ seemed to be unstoppable. I argue in a provocative way and paraphrasing Marx that </w:t>
      </w:r>
      <w:r w:rsidRPr="00DD4E96">
        <w:rPr>
          <w:rStyle w:val="Emphasis"/>
          <w:highlight w:val="green"/>
        </w:rPr>
        <w:t>trade unions are becoming the fetish of research in the field</w:t>
      </w:r>
      <w:r w:rsidRPr="005359D0">
        <w:rPr>
          <w:sz w:val="16"/>
        </w:rPr>
        <w:t xml:space="preserve">, in so far as the social relations of which trade unions are the expression assume ‘the fantastic form of a relationship between things’. </w:t>
      </w:r>
      <w:r w:rsidRPr="005359D0">
        <w:rPr>
          <w:rStyle w:val="StyleUnderline"/>
        </w:rPr>
        <w:t xml:space="preserve">By continuing to focus on the trade union form as the central and undisputed object of analysis, we will </w:t>
      </w:r>
      <w:r w:rsidRPr="00DD4E96">
        <w:rPr>
          <w:rStyle w:val="StyleUnderline"/>
          <w:highlight w:val="green"/>
        </w:rPr>
        <w:t>offer increasingly partial and limited</w:t>
      </w:r>
      <w:r w:rsidRPr="005359D0">
        <w:rPr>
          <w:sz w:val="16"/>
        </w:rPr>
        <w:t xml:space="preserve"> </w:t>
      </w:r>
      <w:r w:rsidRPr="005359D0">
        <w:rPr>
          <w:strike/>
          <w:sz w:val="16"/>
        </w:rPr>
        <w:t>views</w:t>
      </w:r>
      <w:r w:rsidRPr="005359D0">
        <w:rPr>
          <w:sz w:val="16"/>
        </w:rPr>
        <w:t xml:space="preserve"> </w:t>
      </w:r>
      <w:r w:rsidRPr="005359D0">
        <w:rPr>
          <w:rStyle w:val="StyleUnderline"/>
        </w:rPr>
        <w:t>[</w:t>
      </w:r>
      <w:r w:rsidRPr="00DD4E96">
        <w:rPr>
          <w:rStyle w:val="StyleUnderline"/>
          <w:highlight w:val="green"/>
        </w:rPr>
        <w:t>beliefs] of the organizations of the working class, obscuring and making</w:t>
      </w:r>
      <w:r w:rsidRPr="005359D0">
        <w:rPr>
          <w:sz w:val="16"/>
        </w:rPr>
        <w:t xml:space="preserve"> </w:t>
      </w:r>
      <w:r w:rsidRPr="005359D0">
        <w:rPr>
          <w:strike/>
          <w:sz w:val="16"/>
        </w:rPr>
        <w:t>invisible</w:t>
      </w:r>
      <w:r w:rsidRPr="005359D0">
        <w:rPr>
          <w:sz w:val="16"/>
        </w:rPr>
        <w:t xml:space="preserve"> </w:t>
      </w:r>
      <w:r>
        <w:rPr>
          <w:rStyle w:val="StyleUnderline"/>
        </w:rPr>
        <w:t>[</w:t>
      </w:r>
      <w:r w:rsidRPr="00DD4E96">
        <w:rPr>
          <w:rStyle w:val="StyleUnderline"/>
          <w:highlight w:val="green"/>
        </w:rPr>
        <w:t>unknown] the real processes of struggle and organization that exis</w:t>
      </w:r>
      <w:r>
        <w:rPr>
          <w:rStyle w:val="StyleUnderline"/>
        </w:rPr>
        <w:t>t</w:t>
      </w:r>
      <w:r w:rsidRPr="005359D0">
        <w:rPr>
          <w:rStyle w:val="StyleUnderline"/>
        </w:rPr>
        <w:t xml:space="preserve"> outside/in parallel/around the union form</w:t>
      </w:r>
      <w:r w:rsidRPr="005359D0">
        <w:rPr>
          <w:sz w:val="16"/>
        </w:rPr>
        <w:t xml:space="preserve">, which should be seen as a mean to an end rather than as a mean by itself. </w:t>
      </w:r>
      <w:r w:rsidRPr="00DA144C">
        <w:rPr>
          <w:rStyle w:val="Emphasis"/>
          <w:highlight w:val="green"/>
        </w:rPr>
        <w:t>De-</w:t>
      </w:r>
      <w:r w:rsidRPr="00DD4E96">
        <w:rPr>
          <w:rStyle w:val="Emphasis"/>
          <w:highlight w:val="green"/>
        </w:rPr>
        <w:t>centring from trade unions as objects of analysis would leave room to studies concerned with the social processes</w:t>
      </w:r>
      <w:r w:rsidRPr="005359D0">
        <w:rPr>
          <w:rStyle w:val="StyleUnderline"/>
        </w:rPr>
        <w:t xml:space="preserve"> (rather than with pre-determined, unquestioned forms) through which collective identities emerge, eventually </w:t>
      </w:r>
      <w:r w:rsidRPr="00DD4E96">
        <w:rPr>
          <w:rStyle w:val="StyleUnderline"/>
          <w:highlight w:val="green"/>
        </w:rPr>
        <w:t>creating insights into alternative, different forms of working-class organizations,</w:t>
      </w:r>
      <w:r w:rsidRPr="005359D0">
        <w:rPr>
          <w:rStyle w:val="StyleUnderline"/>
        </w:rPr>
        <w:t xml:space="preserve"> explaining cases of no mobilization and de-mobilization, alliances and divisions and making</w:t>
      </w:r>
      <w:r w:rsidRPr="005359D0">
        <w:rPr>
          <w:sz w:val="16"/>
        </w:rPr>
        <w:t xml:space="preserve"> </w:t>
      </w:r>
      <w:r w:rsidRPr="005359D0">
        <w:rPr>
          <w:strike/>
          <w:sz w:val="16"/>
        </w:rPr>
        <w:t>visible</w:t>
      </w:r>
      <w:r w:rsidRPr="005359D0">
        <w:rPr>
          <w:sz w:val="16"/>
        </w:rPr>
        <w:t xml:space="preserve"> </w:t>
      </w:r>
      <w:r w:rsidRPr="005359D0">
        <w:rPr>
          <w:rStyle w:val="StyleUnderline"/>
        </w:rPr>
        <w:t>[public] the connections existing between the sphere of work and the other spheres of life and how these connections influence collective identities.</w:t>
      </w:r>
      <w:r w:rsidRPr="005359D0">
        <w:rPr>
          <w:sz w:val="16"/>
        </w:rPr>
        <w:t xml:space="preserve"> This change in the methodological approach would thus open the field to interdisciplinary influences (from geography to anthropology and from critical development to social reproduction studies) and to more political/ strategic questions about contemporary forms of working-class organization and their potential relevance for social change.</w:t>
      </w:r>
      <w:r w:rsidRPr="00D86A1C">
        <w:t xml:space="preserve"> </w:t>
      </w:r>
    </w:p>
    <w:p w14:paraId="2B1CB125" w14:textId="7ED21D00" w:rsidR="00817CD9" w:rsidRPr="00E14794" w:rsidRDefault="00BF3F3D" w:rsidP="00817CD9">
      <w:pPr>
        <w:keepNext/>
        <w:keepLines/>
        <w:spacing w:before="40" w:after="0"/>
        <w:outlineLvl w:val="3"/>
        <w:rPr>
          <w:rFonts w:eastAsia="Times New Roman" w:cs="Times New Roman"/>
          <w:b/>
          <w:iCs/>
          <w:sz w:val="26"/>
        </w:rPr>
      </w:pPr>
      <w:bookmarkStart w:id="0" w:name="_Hlk108788514"/>
      <w:r>
        <w:rPr>
          <w:rFonts w:eastAsia="Times New Roman" w:cs="Times New Roman"/>
          <w:b/>
          <w:iCs/>
          <w:sz w:val="26"/>
        </w:rPr>
        <w:t>J</w:t>
      </w:r>
      <w:r w:rsidR="00817CD9" w:rsidRPr="00E14794">
        <w:rPr>
          <w:rFonts w:eastAsia="Times New Roman" w:cs="Times New Roman"/>
          <w:b/>
          <w:iCs/>
          <w:sz w:val="26"/>
        </w:rPr>
        <w:t>udges have a responsibility to ensure that research in this space is anti-colonial</w:t>
      </w:r>
      <w:bookmarkEnd w:id="0"/>
      <w:r w:rsidR="00817CD9" w:rsidRPr="00E14794">
        <w:rPr>
          <w:rFonts w:eastAsia="Times New Roman" w:cs="Times New Roman"/>
          <w:b/>
          <w:iCs/>
          <w:sz w:val="26"/>
        </w:rPr>
        <w:t>.</w:t>
      </w:r>
    </w:p>
    <w:p w14:paraId="06C4A027" w14:textId="77777777" w:rsidR="00817CD9" w:rsidRPr="00E14794" w:rsidRDefault="00817CD9" w:rsidP="00817CD9">
      <w:pPr>
        <w:rPr>
          <w:rFonts w:eastAsia="Calibri"/>
          <w:b/>
          <w:bCs/>
          <w:u w:val="single"/>
        </w:rPr>
      </w:pPr>
      <w:r w:rsidRPr="00E14794">
        <w:rPr>
          <w:rFonts w:eastAsia="Calibri"/>
          <w:b/>
          <w:bCs/>
          <w:u w:val="single"/>
        </w:rPr>
        <w:t>Thambinathan and Kinsella 21</w:t>
      </w:r>
    </w:p>
    <w:p w14:paraId="0D7A7F2B" w14:textId="77777777" w:rsidR="00C4541E" w:rsidRDefault="00817CD9" w:rsidP="00C4541E">
      <w:pPr>
        <w:rPr>
          <w:rFonts w:eastAsia="Calibri"/>
          <w:sz w:val="18"/>
          <w:szCs w:val="18"/>
        </w:rPr>
      </w:pPr>
      <w:r w:rsidRPr="00E14794">
        <w:rPr>
          <w:rFonts w:eastAsia="Calibri"/>
          <w:sz w:val="18"/>
          <w:szCs w:val="18"/>
        </w:rPr>
        <w:t>Thambinathan V, Kinsella EA. Decolonizing Methodologies in Qualitative Research: Creating Spaces for Transformative Praxis. International Journal of Qualitative Methods. January 2021. doi:10.1177/16094069211014766 // zh</w:t>
      </w:r>
    </w:p>
    <w:p w14:paraId="4395467C" w14:textId="43C591E3" w:rsidR="00B13985" w:rsidRPr="00C4541E" w:rsidRDefault="00817CD9" w:rsidP="00C4541E">
      <w:pPr>
        <w:rPr>
          <w:rFonts w:eastAsia="Calibri"/>
          <w:sz w:val="18"/>
          <w:szCs w:val="18"/>
        </w:rPr>
      </w:pPr>
      <w:r w:rsidRPr="00E14794">
        <w:rPr>
          <w:rFonts w:eastAsia="Calibri"/>
          <w:sz w:val="12"/>
          <w:szCs w:val="18"/>
        </w:rPr>
        <w:t xml:space="preserve">For those who have been oppressed by colonization, research is a dirty word. The hyphenated form of this word strips away the naı¨ve connotation that research is merely an innocent pursuit of knowledge. This pursuit has allowed for predatory, exploitative behavior toward Indigenous communities (Sinclair, 2003). Among the </w:t>
      </w:r>
      <w:r w:rsidRPr="00E14794">
        <w:rPr>
          <w:rFonts w:eastAsia="Calibri"/>
          <w:highlight w:val="green"/>
          <w:u w:val="single"/>
        </w:rPr>
        <w:t>oppressive acts carried out in the name of research, have been</w:t>
      </w:r>
      <w:r w:rsidRPr="00E14794">
        <w:rPr>
          <w:rFonts w:eastAsia="Calibri"/>
          <w:sz w:val="12"/>
        </w:rPr>
        <w:t xml:space="preserve"> </w:t>
      </w:r>
      <w:r w:rsidRPr="00E14794">
        <w:rPr>
          <w:rFonts w:eastAsia="Calibri"/>
          <w:sz w:val="12"/>
          <w:szCs w:val="18"/>
        </w:rPr>
        <w:t xml:space="preserve">the perpetuation of inaccurate </w:t>
      </w:r>
      <w:r w:rsidRPr="00E14794">
        <w:rPr>
          <w:rFonts w:eastAsia="Calibri"/>
          <w:highlight w:val="green"/>
          <w:u w:val="single"/>
        </w:rPr>
        <w:t>stereotypes</w:t>
      </w:r>
      <w:r w:rsidRPr="00E14794">
        <w:rPr>
          <w:rFonts w:eastAsia="Calibri"/>
          <w:sz w:val="12"/>
        </w:rPr>
        <w:t xml:space="preserve"> </w:t>
      </w:r>
      <w:r w:rsidRPr="00E14794">
        <w:rPr>
          <w:rFonts w:eastAsia="Calibri"/>
          <w:sz w:val="12"/>
          <w:szCs w:val="18"/>
        </w:rPr>
        <w:t xml:space="preserve">of Indigenous peoples, a focus on negative social issues, </w:t>
      </w:r>
      <w:r w:rsidRPr="00E14794">
        <w:rPr>
          <w:rFonts w:eastAsia="Calibri"/>
          <w:highlight w:val="green"/>
          <w:u w:val="single"/>
        </w:rPr>
        <w:t>and adoption of a pathologizing lens</w:t>
      </w:r>
      <w:r w:rsidRPr="00E14794">
        <w:rPr>
          <w:rFonts w:eastAsia="Calibri"/>
          <w:sz w:val="12"/>
        </w:rPr>
        <w:t xml:space="preserve"> </w:t>
      </w:r>
      <w:r w:rsidRPr="00E14794">
        <w:rPr>
          <w:rFonts w:eastAsia="Calibri"/>
          <w:sz w:val="12"/>
          <w:szCs w:val="18"/>
        </w:rPr>
        <w:t xml:space="preserve">(Bishop, 1997; Sue &amp; Sue, 1998). Historically, bodies of scholarship have repeatedly </w:t>
      </w:r>
      <w:r w:rsidRPr="00E14794">
        <w:rPr>
          <w:rFonts w:eastAsia="Calibri"/>
          <w:bCs/>
          <w:highlight w:val="green"/>
          <w:u w:val="single"/>
        </w:rPr>
        <w:t>dehumanized Indigenous peoples</w:t>
      </w:r>
      <w:r w:rsidRPr="00E14794">
        <w:rPr>
          <w:rFonts w:eastAsia="Calibri"/>
          <w:sz w:val="12"/>
        </w:rPr>
        <w:t xml:space="preserve"> </w:t>
      </w:r>
      <w:r w:rsidRPr="00E14794">
        <w:rPr>
          <w:rFonts w:eastAsia="Calibri"/>
          <w:sz w:val="12"/>
          <w:szCs w:val="18"/>
        </w:rPr>
        <w:t>and their culture, perpetuating hatred and discrimination (Poupart et al., 2000). To this day, Indigenous communities have rejected engaging in supposedly neutral research, due to past experiences of exploitation and negative or inaccurate representation (Arvizu &amp; Saravia-Shore, 2017; Ball &amp; Janyst, 2008). In reference to this negative focus, one Indigenous leader stated: “</w:t>
      </w:r>
      <w:r w:rsidRPr="00E14794">
        <w:rPr>
          <w:rFonts w:eastAsia="Calibri"/>
          <w:u w:val="single"/>
        </w:rPr>
        <w:t>We know we are dying, but tell me why we are living?”</w:t>
      </w:r>
      <w:r w:rsidRPr="00E14794">
        <w:rPr>
          <w:rFonts w:eastAsia="Calibri"/>
          <w:sz w:val="12"/>
        </w:rPr>
        <w:t xml:space="preserve"> </w:t>
      </w:r>
      <w:r w:rsidRPr="00E14794">
        <w:rPr>
          <w:rFonts w:eastAsia="Calibri"/>
          <w:sz w:val="12"/>
          <w:szCs w:val="18"/>
        </w:rPr>
        <w:t xml:space="preserve">(Smith, 2012, p. 230). Despite Western researchers’ history of claiming ownership of Indigenous knowledge and creations, and denying Indigenous peoples’ claims to self-determination, </w:t>
      </w:r>
      <w:r w:rsidRPr="00E14794">
        <w:rPr>
          <w:rFonts w:eastAsia="Calibri"/>
          <w:u w:val="single"/>
        </w:rPr>
        <w:t>Indigenous activists and scholars are now turning spaces of marginalization into spaces from which resistance and hope flourish</w:t>
      </w:r>
      <w:r w:rsidRPr="00E14794">
        <w:rPr>
          <w:rFonts w:eastAsia="Calibri"/>
          <w:sz w:val="12"/>
          <w:szCs w:val="18"/>
        </w:rPr>
        <w:t xml:space="preserve"> (Collin et al., 2018; Smith, 2012). This resistance to ongoing colonial tactics and European imperialism has paved the path for pioneering academics—Black, Indigenous, and voices from the South—to call for the decolonization of research. Smith, in her seminal book on decolonizing methodologies, discusses decolonization as “a process which engages with imperialism and colonialism at multiple levels”; she points out that </w:t>
      </w:r>
      <w:r w:rsidRPr="00E14794">
        <w:rPr>
          <w:rFonts w:eastAsia="Calibri"/>
          <w:u w:val="single"/>
        </w:rPr>
        <w:t>for researchers, “one of those levels is concerned with having a more critical understanding of the underlying assumptions, motivations and values which inform research practices</w:t>
      </w:r>
      <w:r w:rsidRPr="00E14794">
        <w:rPr>
          <w:rFonts w:eastAsia="Calibri"/>
          <w:sz w:val="12"/>
          <w:szCs w:val="18"/>
        </w:rPr>
        <w:t xml:space="preserve">” (Smith, 2012, p. 606). </w:t>
      </w:r>
      <w:r w:rsidRPr="00E14794">
        <w:rPr>
          <w:rFonts w:eastAsia="Calibri"/>
          <w:highlight w:val="green"/>
          <w:u w:val="single"/>
        </w:rPr>
        <w:t>Decolonizing research means centering concerns</w:t>
      </w:r>
      <w:r w:rsidRPr="00E14794">
        <w:rPr>
          <w:rFonts w:eastAsia="Calibri"/>
          <w:sz w:val="12"/>
        </w:rPr>
        <w:t xml:space="preserve"> </w:t>
      </w:r>
      <w:r w:rsidRPr="00E14794">
        <w:rPr>
          <w:rFonts w:eastAsia="Calibri"/>
          <w:sz w:val="12"/>
          <w:szCs w:val="18"/>
        </w:rPr>
        <w:t xml:space="preserve">and world views of non-Western individuals, </w:t>
      </w:r>
      <w:r w:rsidRPr="00E14794">
        <w:rPr>
          <w:rFonts w:eastAsia="Calibri"/>
          <w:highlight w:val="green"/>
          <w:u w:val="single"/>
        </w:rPr>
        <w:t>and</w:t>
      </w:r>
      <w:r w:rsidRPr="00E14794">
        <w:rPr>
          <w:rFonts w:eastAsia="Calibri"/>
          <w:sz w:val="12"/>
          <w:szCs w:val="18"/>
        </w:rPr>
        <w:t xml:space="preserve"> respectfully knowing and </w:t>
      </w:r>
      <w:r w:rsidRPr="00E14794">
        <w:rPr>
          <w:rFonts w:eastAsia="Calibri"/>
          <w:highlight w:val="green"/>
          <w:u w:val="single"/>
        </w:rPr>
        <w:t>understanding</w:t>
      </w:r>
      <w:r w:rsidRPr="00E14794">
        <w:rPr>
          <w:rFonts w:eastAsia="Calibri"/>
          <w:sz w:val="12"/>
        </w:rPr>
        <w:t xml:space="preserve"> </w:t>
      </w:r>
      <w:r w:rsidRPr="00E14794">
        <w:rPr>
          <w:rFonts w:eastAsia="Calibri"/>
          <w:sz w:val="12"/>
          <w:szCs w:val="18"/>
        </w:rPr>
        <w:t xml:space="preserve">theory and </w:t>
      </w:r>
      <w:r w:rsidRPr="00E14794">
        <w:rPr>
          <w:rFonts w:eastAsia="Calibri"/>
          <w:highlight w:val="green"/>
          <w:u w:val="single"/>
        </w:rPr>
        <w:t>research from</w:t>
      </w:r>
      <w:r w:rsidRPr="00E14794">
        <w:rPr>
          <w:rFonts w:eastAsia="Calibri"/>
          <w:sz w:val="12"/>
        </w:rPr>
        <w:t xml:space="preserve"> </w:t>
      </w:r>
      <w:r w:rsidRPr="00E14794">
        <w:rPr>
          <w:rFonts w:eastAsia="Calibri"/>
          <w:sz w:val="12"/>
          <w:szCs w:val="18"/>
        </w:rPr>
        <w:t>previously “</w:t>
      </w:r>
      <w:r w:rsidRPr="00E14794">
        <w:rPr>
          <w:rFonts w:eastAsia="Calibri"/>
          <w:highlight w:val="green"/>
          <w:u w:val="single"/>
        </w:rPr>
        <w:t>Other(ed)” perspectives</w:t>
      </w:r>
      <w:r w:rsidRPr="00E14794">
        <w:rPr>
          <w:rFonts w:eastAsia="Calibri"/>
          <w:sz w:val="12"/>
        </w:rPr>
        <w:t xml:space="preserve"> </w:t>
      </w:r>
      <w:r w:rsidRPr="00E14794">
        <w:rPr>
          <w:rFonts w:eastAsia="Calibri"/>
          <w:sz w:val="12"/>
          <w:szCs w:val="18"/>
        </w:rPr>
        <w:t xml:space="preserve">(Battiste, 2000; Datta, 2018; Smith, 2012). The critical pedagogy of decolonization consists of transforming our colonized views and holding alternative knowledges. While decolonization theories related to Indigenous perspectives are at the forefront of this scholarship, the oppression of colonization has broad implications. </w:t>
      </w:r>
      <w:r w:rsidRPr="00E14794">
        <w:rPr>
          <w:rFonts w:eastAsia="Calibri"/>
          <w:u w:val="single"/>
        </w:rPr>
        <w:t>Through shared solidarity</w:t>
      </w:r>
      <w:r w:rsidRPr="00E14794">
        <w:rPr>
          <w:rFonts w:eastAsia="Calibri"/>
          <w:sz w:val="12"/>
        </w:rPr>
        <w:t xml:space="preserve"> </w:t>
      </w:r>
      <w:r w:rsidRPr="00E14794">
        <w:rPr>
          <w:rFonts w:eastAsia="Calibri"/>
          <w:sz w:val="12"/>
          <w:szCs w:val="18"/>
        </w:rPr>
        <w:t xml:space="preserve">in the struggle against colonial oppression, </w:t>
      </w:r>
      <w:r w:rsidRPr="00E14794">
        <w:rPr>
          <w:rFonts w:eastAsia="Calibri"/>
          <w:u w:val="single"/>
        </w:rPr>
        <w:t>we envision a collaborative space where past and present learnings across oppressed populations can be used to transform qualitative research methodologies</w:t>
      </w:r>
      <w:r w:rsidRPr="00E14794">
        <w:rPr>
          <w:rFonts w:eastAsia="Calibri"/>
          <w:sz w:val="12"/>
          <w:szCs w:val="18"/>
        </w:rPr>
        <w:t xml:space="preserve">. This journey toward a broader narrative around decolonizing research requires respect, responsibility, and humility among us in the academy to ensure we do not minimize anyone’s struggle through inappropriate contextualization or comparison. The purpose of this paper is to demonstrate the imperative for anti-oppressive research and propose key practices for qualitative researchers, grounded in decolonial theories. Whose Paradigm? There is great debate surrounding decolonizing research paradigms and whether it is in fact possible to decolonize research when using pre-existing colonial, Eurocentric paradigms created by Western scholars (Chalmers, 2017; Kuokkonen, 2000). Held (2019) writes: ... academia has almost exclusively been focusing on Western paradigms and approaches to research ... This manifestation of </w:t>
      </w:r>
      <w:r w:rsidRPr="00E14794">
        <w:rPr>
          <w:rFonts w:eastAsia="Calibri"/>
          <w:u w:val="single"/>
        </w:rPr>
        <w:t>ontological oppression is a result of Western science being exported around the globe</w:t>
      </w:r>
      <w:r w:rsidRPr="00E14794">
        <w:rPr>
          <w:rFonts w:eastAsia="Calibri"/>
          <w:sz w:val="12"/>
          <w:szCs w:val="18"/>
        </w:rPr>
        <w:t xml:space="preserve"> from Europe </w:t>
      </w:r>
      <w:r w:rsidRPr="00E14794">
        <w:rPr>
          <w:rFonts w:eastAsia="Calibri"/>
          <w:bCs/>
          <w:u w:val="single"/>
        </w:rPr>
        <w:t>alongside imperialistic and colonial attitudes</w:t>
      </w:r>
      <w:r w:rsidRPr="00E14794">
        <w:rPr>
          <w:rFonts w:eastAsia="Calibri"/>
          <w:sz w:val="12"/>
          <w:szCs w:val="18"/>
        </w:rPr>
        <w:t xml:space="preserve">. Comparably, </w:t>
      </w:r>
      <w:r w:rsidRPr="00E14794">
        <w:rPr>
          <w:rFonts w:eastAsia="Calibri"/>
          <w:u w:val="single"/>
        </w:rPr>
        <w:t>in South America, there have been calls inviting an “ecology of knowledges,” recognizing epistemological diversity and redistributing power to non-Eurocentric forms of wisdom</w:t>
      </w:r>
      <w:r w:rsidRPr="00E14794">
        <w:rPr>
          <w:rFonts w:eastAsia="Calibri"/>
          <w:sz w:val="12"/>
          <w:szCs w:val="18"/>
        </w:rPr>
        <w:t xml:space="preserve">, particularly voices that have been historically and presently oppressed (Santos, 2015). Portuguese writer with origins in the West African Islands, Grada Kilomba (2008), engages in an exercise with her students to showcase the silencing of voices from the academy and the connection between power, racial authority, and scholarship; she asks, “What knowledge has been made part of academic agendas? And what knowledge has not? Whose knowledge is this? Who is acknowledged to have the knowledge? And who is not?” (p. 27). </w:t>
      </w:r>
      <w:r w:rsidRPr="00E14794">
        <w:rPr>
          <w:rFonts w:eastAsia="Calibri"/>
          <w:u w:val="single"/>
        </w:rPr>
        <w:t>Decoloniality aims to open up distinct canons of knowledge with the motive of displacing Western thought as the only framework</w:t>
      </w:r>
      <w:r w:rsidRPr="00E14794">
        <w:rPr>
          <w:rFonts w:eastAsia="Calibri"/>
          <w:sz w:val="12"/>
        </w:rPr>
        <w:t xml:space="preserve"> </w:t>
      </w:r>
      <w:r w:rsidRPr="00E14794">
        <w:rPr>
          <w:rFonts w:eastAsia="Calibri"/>
          <w:sz w:val="12"/>
          <w:szCs w:val="18"/>
        </w:rPr>
        <w:t xml:space="preserve">or possibility for knowledge (Mignolo &amp; Walsh, 2018; Santos, 2015). In the context of Indigenous scholarship, Held (2019) suggests that an essential requirement to prevent Western-centric knowledge production is for paradigms to be co-created jointly between Indigenous and Western researchers. By doing so, theoretical tools and knowledge within the academy are supplemented with Indigenous perspectives, and Indigenous peoples would be involved in defining and owning epistemologies constituting these paradigms (Rigney, 1999; Saini, 2012). However, others point out risks in integrating knowledge systems, listing reasons such as: a) weakening non-Western epistemologies through over-generalization and inappropriate contextualization, b) assimilating Indigenous knowledge, and c) denying core differences in ways of knowing to find a shared common ground (Levac et al., 2018). Similarly, Santos (2001) signals the lack of cultural legitimacy as a contributory factor in undermining counter-hegemonic, non-Western, emancipatory knowledge production systems. Reagan (2017) explains that </w:t>
      </w:r>
      <w:r w:rsidRPr="00ED40D6">
        <w:rPr>
          <w:rFonts w:eastAsia="Calibri"/>
          <w:u w:val="single"/>
        </w:rPr>
        <w:t xml:space="preserve">the practice of </w:t>
      </w:r>
      <w:r w:rsidRPr="00E14794">
        <w:rPr>
          <w:rFonts w:eastAsia="Calibri"/>
          <w:highlight w:val="green"/>
          <w:u w:val="single"/>
        </w:rPr>
        <w:t>epistemological ethnocentrism occurs</w:t>
      </w:r>
      <w:r w:rsidRPr="00E14794">
        <w:rPr>
          <w:rFonts w:eastAsia="Calibri"/>
          <w:u w:val="single"/>
        </w:rPr>
        <w:t xml:space="preserve"> often </w:t>
      </w:r>
      <w:r w:rsidRPr="00E14794">
        <w:rPr>
          <w:rFonts w:eastAsia="Calibri"/>
          <w:highlight w:val="green"/>
          <w:u w:val="single"/>
        </w:rPr>
        <w:t>when</w:t>
      </w:r>
      <w:r w:rsidRPr="00E14794">
        <w:rPr>
          <w:rFonts w:eastAsia="Calibri"/>
          <w:u w:val="single"/>
        </w:rPr>
        <w:t xml:space="preserve"> integrating paradigms</w:t>
      </w:r>
      <w:r w:rsidRPr="00E14794">
        <w:rPr>
          <w:rFonts w:eastAsia="Calibri"/>
          <w:sz w:val="12"/>
          <w:szCs w:val="18"/>
        </w:rPr>
        <w:t xml:space="preserve">, given that </w:t>
      </w:r>
      <w:r w:rsidRPr="00E14794">
        <w:rPr>
          <w:rFonts w:eastAsia="Calibri"/>
          <w:bCs/>
          <w:highlight w:val="green"/>
          <w:u w:val="single"/>
        </w:rPr>
        <w:t xml:space="preserve">the dominant paradigm steers the direction of discourse as it </w:t>
      </w:r>
      <w:r w:rsidRPr="00ED40D6">
        <w:rPr>
          <w:rFonts w:eastAsia="Calibri"/>
          <w:bCs/>
          <w:u w:val="single"/>
        </w:rPr>
        <w:t xml:space="preserve">ultimately </w:t>
      </w:r>
      <w:r w:rsidRPr="00E14794">
        <w:rPr>
          <w:rFonts w:eastAsia="Calibri"/>
          <w:bCs/>
          <w:highlight w:val="green"/>
          <w:u w:val="single"/>
        </w:rPr>
        <w:t>holds the power to legitimize what is counted as knowledge</w:t>
      </w:r>
      <w:r w:rsidRPr="00E14794">
        <w:rPr>
          <w:rFonts w:eastAsia="Calibri"/>
          <w:sz w:val="12"/>
          <w:szCs w:val="18"/>
        </w:rPr>
        <w:t xml:space="preserve">. To overcome this obstacle, Dei (2008) calls for the challenging task of “epistemological equity” (p. 8) in such knowledge synthesis processes, where different ontologies and epistemologies are brought into a conversation with the conscious awareness of colonially produced unequal power relations, as well as mindful sensitivity in navigating these complex issues of power and knowledge. On the other hand, since </w:t>
      </w:r>
      <w:r w:rsidRPr="00E14794">
        <w:rPr>
          <w:rFonts w:eastAsia="Calibri"/>
          <w:bCs/>
          <w:highlight w:val="green"/>
          <w:u w:val="single"/>
        </w:rPr>
        <w:t>the academy evaluates knowledge based on Western standards</w:t>
      </w:r>
      <w:r w:rsidRPr="00E14794">
        <w:rPr>
          <w:rFonts w:eastAsia="Calibri"/>
          <w:u w:val="single"/>
        </w:rPr>
        <w:t xml:space="preserve"> of reliability and validity</w:t>
      </w:r>
      <w:r w:rsidRPr="00E14794">
        <w:rPr>
          <w:rFonts w:eastAsia="Calibri"/>
          <w:sz w:val="12"/>
          <w:szCs w:val="18"/>
        </w:rPr>
        <w:t xml:space="preserve">, </w:t>
      </w:r>
      <w:r w:rsidRPr="00E14794">
        <w:rPr>
          <w:rFonts w:eastAsia="Calibri"/>
          <w:bCs/>
          <w:u w:val="single"/>
        </w:rPr>
        <w:t>non-Western paradigms will still have to be altered to fit the criteria of Western frameworks</w:t>
      </w:r>
      <w:r w:rsidRPr="00E14794">
        <w:rPr>
          <w:rFonts w:eastAsia="Calibri"/>
          <w:sz w:val="12"/>
        </w:rPr>
        <w:t xml:space="preserve"> </w:t>
      </w:r>
      <w:r w:rsidRPr="00E14794">
        <w:rPr>
          <w:rFonts w:eastAsia="Calibri"/>
          <w:sz w:val="12"/>
          <w:szCs w:val="18"/>
        </w:rPr>
        <w:t xml:space="preserve">(Witt, 2007). In response to many of these concerns and resonating with the notion that “the master’s tools will never dismantle the master’s house” (Lorde, 1984, p. 2), another more radical view contends that novel paradigms should be reinvented to fully center and legitimize non-Western paradigms within academia, independent of Western influence (McGuireAdams, 2020; Santos, 2001). This paradigm, in itself, would mark self-determination, where people would become “selfsustaining subjects” independent of values and perspectives of the West (Kuokkanen, 2000). Garroutte (2003) boldly contends that “the reassertion and rebuilding of traditional knowledge from its roots, its fundamental principles” (p. 101), also coined as Radical Indigenism, needs to be reflected in an Indigenous research paradigm for it to be considered Indigenous (Hart, 2010). What is shared across Indigenous academics is the intention of not essentializing the experiences of Indigenous peoples and recognizing that Indigenous communities make up a global, heterogeneous group (Cunneen et al., 2017). In positioning ourselves in this paper, the lead author locates as an Eelam Tamil settler from a refugee-immigrant household and Canadian citizen, and the second author as a white Canadian-born settler and scholar, committed to acknowledging and countering the epistemic oppression created by colonial legacies and knowledge systems. </w:t>
      </w:r>
      <w:r w:rsidRPr="00E14794">
        <w:rPr>
          <w:rFonts w:eastAsia="Calibri"/>
          <w:u w:val="single"/>
        </w:rPr>
        <w:t xml:space="preserve">We </w:t>
      </w:r>
      <w:r w:rsidRPr="00E14794">
        <w:rPr>
          <w:rFonts w:eastAsia="Calibri"/>
          <w:bCs/>
          <w:highlight w:val="green"/>
          <w:u w:val="single"/>
        </w:rPr>
        <w:t>view anti-colonial work as a professional responsibility within the academy</w:t>
      </w:r>
      <w:r w:rsidRPr="00E14794">
        <w:rPr>
          <w:rFonts w:eastAsia="Calibri"/>
          <w:u w:val="single"/>
        </w:rPr>
        <w:t xml:space="preserve"> and are dedicated to </w:t>
      </w:r>
      <w:r w:rsidRPr="00E14794">
        <w:rPr>
          <w:rFonts w:eastAsia="Calibri"/>
          <w:highlight w:val="green"/>
          <w:u w:val="single"/>
        </w:rPr>
        <w:t>shifting</w:t>
      </w:r>
      <w:r w:rsidRPr="00E14794">
        <w:rPr>
          <w:rFonts w:eastAsia="Calibri"/>
          <w:u w:val="single"/>
        </w:rPr>
        <w:t xml:space="preserve"> our </w:t>
      </w:r>
      <w:r w:rsidRPr="00E14794">
        <w:rPr>
          <w:rFonts w:eastAsia="Calibri"/>
          <w:highlight w:val="green"/>
          <w:u w:val="single"/>
        </w:rPr>
        <w:t>power</w:t>
      </w:r>
      <w:r w:rsidRPr="00E14794">
        <w:rPr>
          <w:rFonts w:eastAsia="Calibri"/>
          <w:u w:val="single"/>
        </w:rPr>
        <w:t xml:space="preserve"> and privilege </w:t>
      </w:r>
      <w:r w:rsidRPr="00E14794">
        <w:rPr>
          <w:rFonts w:eastAsia="Calibri"/>
          <w:highlight w:val="green"/>
          <w:u w:val="single"/>
        </w:rPr>
        <w:t>in ways that achieve justice</w:t>
      </w:r>
      <w:r w:rsidRPr="00E14794">
        <w:rPr>
          <w:rFonts w:eastAsia="Calibri"/>
          <w:sz w:val="12"/>
          <w:szCs w:val="18"/>
        </w:rPr>
        <w:t xml:space="preserve">. We position ourselves within the transformative (critical) paradigm. While this paradigm is still a Western approach, it is value-driven, with core values rooted in social emancipation and solidarity with oppressed people, and therefore, has more potential than other Western paradigms to be inclusive of other systems of knowledge, including nonWestern epistemologies and ontologies (Cram &amp; Mertens, 2015). As Hooks (1996) writes: “There must exist a paradigm, a practical model for social change, that includes </w:t>
      </w:r>
      <w:r w:rsidRPr="00E14794">
        <w:rPr>
          <w:rFonts w:eastAsia="Calibri"/>
          <w:u w:val="single"/>
        </w:rPr>
        <w:t>an understanding of ways to transform consciousness that are linked to efforts to transform structures</w:t>
      </w:r>
      <w:r w:rsidRPr="00E14794">
        <w:rPr>
          <w:rFonts w:eastAsia="Calibri"/>
          <w:sz w:val="12"/>
          <w:szCs w:val="18"/>
        </w:rPr>
        <w:t xml:space="preserve">” (p. 118). While we work within a critical paradigm, we also seek to push the limits of paradigmatic boundaries and imagine possibilities free from colonial roots. As researchers committed to doing research with refugee populations through open dialog and critical inquiry, we find decolonizing research to be relevant and essential in producing progressive, inclusive research. Open dialog refers to our efforts to share power with participants, and to create spaces which are safe for mutual exchange and honest dialog, and critical inquiry points to the critical transformative paradigm that underpins our work. Both underpin the ethical stance we embrace in our approach research with refugee communities. A refugee is a person who “owing to a well-founded fear of being persecuted for reasons of race, religion, nationality, membership of a particular social group, or political opinion, has fled outside the country of one’s nationality” (Weis, 1995, p. 6). In the year of 2019, the United Nations High Commissioner for Refugees recorded a statistic of 79.5 million individuals forced from their home, with an estimated 26 million categorized as refugees (United Nations High Commissioner for Refugees, 2019). Despite the contentious nature of forced migration, there is a special interest in conducting research with refugee populations in order to inform policy, deepen understanding, and provide evidence for future best practices (Birman, 2005). The high displacements worldwide and the welcoming of refugees has stirred controversy, yet Indigenous activists stand by refugees, claiming that no one is illegal on stolen land (Monkman, 2017). Reinventing Qualitative Research Practice </w:t>
      </w:r>
      <w:r w:rsidRPr="00E14794">
        <w:rPr>
          <w:rFonts w:eastAsia="Calibri"/>
          <w:u w:val="single"/>
        </w:rPr>
        <w:t>Though there is no standard model or practice for what decolonizing research methodology looks like</w:t>
      </w:r>
      <w:r w:rsidRPr="00E14794">
        <w:rPr>
          <w:rFonts w:eastAsia="Calibri"/>
          <w:sz w:val="12"/>
          <w:szCs w:val="18"/>
        </w:rPr>
        <w:t xml:space="preserve">, there are ongoing scholarly conversations about theoretical foundations, principal components, and practical applications. In this paper, we examine decolonizing theoretical perspectives and explore methodological applications to qualitative research. Since the lead researcher’s own research interests revolve around refugee studies, specific examples from this field will be used to explore the aforementioned. Theories of decolonization carry undeniable potential to disrupt taken for granted assumptions and perspectives that order the world, and indeed the project of decolonization has been referred to by Fanon as “a program of complete disorder” (Fanon, 1963, p. 36). Tuck and Yang (2012) assert that decolonization is not a complementary perspective, but an unsettling one; they point out that it is not merely a strategy of inclusion or an “and” but instead an “elsewhere” for knowledge production and the imagination. </w:t>
      </w:r>
      <w:r w:rsidRPr="00E14794">
        <w:rPr>
          <w:rFonts w:eastAsia="Calibri"/>
          <w:highlight w:val="green"/>
          <w:u w:val="single"/>
        </w:rPr>
        <w:t>Decolonization</w:t>
      </w:r>
      <w:r w:rsidRPr="00E14794">
        <w:rPr>
          <w:rFonts w:eastAsia="Calibri"/>
          <w:u w:val="single"/>
        </w:rPr>
        <w:t xml:space="preserve"> is not a methodical checklist nor a defined endpoint; </w:t>
      </w:r>
      <w:r w:rsidRPr="00E14794">
        <w:rPr>
          <w:rFonts w:eastAsia="Calibri"/>
          <w:highlight w:val="green"/>
          <w:u w:val="single"/>
        </w:rPr>
        <w:t>it is a life-long process that actively works to dismantle and re-create within &amp; outside of the academy</w:t>
      </w:r>
      <w:r w:rsidRPr="00E14794">
        <w:rPr>
          <w:rFonts w:eastAsia="Calibri"/>
          <w:sz w:val="12"/>
        </w:rPr>
        <w:t xml:space="preserve"> </w:t>
      </w:r>
      <w:r w:rsidRPr="00E14794">
        <w:rPr>
          <w:rFonts w:eastAsia="Calibri"/>
          <w:sz w:val="12"/>
          <w:szCs w:val="18"/>
        </w:rPr>
        <w:t>(Zavala, 2013). In this paper, we draw on theories of decolonization and exemplars from the literature to propose four practices that can be used by qualitative researchers: (1) exercising critical reflexivity, (2) reciprocity and respect for self-determination, (3) embracing “Other(ed)” ways of knowing, and (4) embodying a transformative praxis. Exercising Critical Reflexivity There is an inherent power imbalance between researchers and refugee populations in research studies. Refugee status can be precarious; individuals are subject to different legal rights and opportunities than individuals born in that same country, and there is a legitimate fear of one’s refugee status being revoked at any given time (Clark-Kazak, 2017). As displaced people, refugees regularly find themselves in powerless, dependent positions in their relationships with service providers, sponsors, and authority figures as a whole (Clark-Kazak, 2017). The varying power relations within this sociopolitical context, including between researchers and refugees, poses a core ethical concern in research studies with refugee populations. In the context of refugee camps, these concerns can be exacerbated, as one researcher observes: “</w:t>
      </w:r>
      <w:r w:rsidRPr="00E14794">
        <w:rPr>
          <w:rFonts w:eastAsia="Calibri"/>
          <w:u w:val="single"/>
        </w:rPr>
        <w:t>When I go into a horrendous camp situation as a white researcher, the people are so desperate for any form of assistance they would agree to anything just on the off-chance that I might be able to assist</w:t>
      </w:r>
      <w:r w:rsidRPr="00E14794">
        <w:rPr>
          <w:rFonts w:eastAsia="Calibri"/>
          <w:sz w:val="12"/>
          <w:szCs w:val="18"/>
        </w:rPr>
        <w:t xml:space="preserve">” (Pittaway et al., 2010, p. 234). Similar notions are heard in Indigenous communities and many Indigenous scholars refuse to use the term “postcolonialism” in their research, reflecting that colonialism is far from being a finished business (Churchill, 2012; Smith, 2012). </w:t>
      </w:r>
      <w:r w:rsidRPr="00E14794">
        <w:rPr>
          <w:rFonts w:eastAsia="Calibri"/>
          <w:u w:val="single"/>
        </w:rPr>
        <w:t xml:space="preserve">Invisible </w:t>
      </w:r>
      <w:r w:rsidRPr="00E14794">
        <w:rPr>
          <w:rFonts w:eastAsia="Calibri"/>
          <w:highlight w:val="green"/>
          <w:u w:val="single"/>
        </w:rPr>
        <w:t>power dynamics are embedded within research</w:t>
      </w:r>
      <w:r w:rsidRPr="00E14794">
        <w:rPr>
          <w:rFonts w:eastAsia="Calibri"/>
          <w:u w:val="single"/>
        </w:rPr>
        <w:t xml:space="preserve"> frameworks</w:t>
      </w:r>
      <w:r w:rsidRPr="00E14794">
        <w:rPr>
          <w:rFonts w:eastAsia="Calibri"/>
          <w:sz w:val="12"/>
          <w:szCs w:val="18"/>
        </w:rPr>
        <w:t xml:space="preserve">, which are particularly apparent in studies involving vulnerable populations; if not checked appropriately, researchers possess an unequal power to define, label, and alienate oppressed populations (Datta, 2018). The </w:t>
      </w:r>
      <w:r w:rsidRPr="00D12EFE">
        <w:rPr>
          <w:rFonts w:eastAsia="Calibri"/>
          <w:sz w:val="12"/>
          <w:szCs w:val="18"/>
        </w:rPr>
        <w:t xml:space="preserve">decolonization of research is therefore important in breaking hierarchical barriers between researchers and participants, which can be achieved by being critically reflexive and enabling reciprocity within relationships. Exercising critical reflexivity is a key approach to decolonizing research. Critical reflectivity is powerful for examining researchers’ epistemological assumptions, their situatedness with respect to the research, and crucial in addressing power dynamics in research. </w:t>
      </w:r>
      <w:r w:rsidRPr="00D12EFE">
        <w:rPr>
          <w:rFonts w:eastAsia="Calibri"/>
          <w:bCs/>
          <w:u w:val="single"/>
        </w:rPr>
        <w:t>Epistemological assumptions frame the way one views the world, how one organizes oneself in it, what questions one poses, as well as what answers one looks for.</w:t>
      </w:r>
      <w:r w:rsidRPr="00D12EFE">
        <w:rPr>
          <w:rFonts w:eastAsia="Calibri"/>
          <w:sz w:val="12"/>
          <w:szCs w:val="18"/>
        </w:rPr>
        <w:t xml:space="preserve"> Engaging in critical reflexivity extends beyond “confessions of privilege” (Lockard, 2016, p. 2). </w:t>
      </w:r>
      <w:r w:rsidRPr="00D12EFE">
        <w:rPr>
          <w:rFonts w:eastAsia="Calibri"/>
          <w:u w:val="single"/>
        </w:rPr>
        <w:t>Oversimplified confessions can be</w:t>
      </w:r>
      <w:r w:rsidRPr="00D12EFE">
        <w:rPr>
          <w:rFonts w:eastAsia="Calibri"/>
          <w:sz w:val="12"/>
        </w:rPr>
        <w:t xml:space="preserve"> </w:t>
      </w:r>
      <w:r w:rsidRPr="00D12EFE">
        <w:rPr>
          <w:rFonts w:eastAsia="Calibri"/>
          <w:u w:val="single"/>
        </w:rPr>
        <w:t>loopholes absolving researchers from a duty to continuously ensure their research is supporting resistance to colonization</w:t>
      </w:r>
      <w:r w:rsidRPr="00D12EFE">
        <w:rPr>
          <w:rFonts w:eastAsia="Calibri"/>
          <w:sz w:val="12"/>
          <w:szCs w:val="18"/>
        </w:rPr>
        <w:t xml:space="preserve"> in tangible ways, as opposed to reinforcing or reproducing colonial legacies. Through conversations with Elders from Indigenous communities, many decolonizing academic researchers have reframed their positionality from discoverers of community knowledge to learners (Datta, 2018). One refugee researcher’s field notes explain how such a shift in thinking allowed her to reframe interview questions, so that they were appropriately directed toward an expert, rather than a victim or witness (Taha, 2018). She pointed to reflexivity as a productive tool in realizing that her interview questions were a direct product of her colonized and Western-centric environment (Taha, 2018); her reworded questions represent a stride toward progress, actively rebalancing power relations by recognizing community members as knowledge holders. Additionally, </w:t>
      </w:r>
      <w:r w:rsidRPr="00D12EFE">
        <w:rPr>
          <w:rFonts w:eastAsia="Calibri"/>
          <w:u w:val="single"/>
        </w:rPr>
        <w:t>reflexivity primes us to recognize that we often view answers as a desired knowledge production “outcome” and end-goal of research</w:t>
      </w:r>
      <w:r w:rsidRPr="00D12EFE">
        <w:rPr>
          <w:rFonts w:eastAsia="Calibri"/>
          <w:sz w:val="12"/>
          <w:szCs w:val="18"/>
        </w:rPr>
        <w:t xml:space="preserve">, and that important knowledge can arise by dwelling with the questions. Barreiros and Moreira (2020) argue that </w:t>
      </w:r>
      <w:r w:rsidRPr="00D12EFE">
        <w:rPr>
          <w:rFonts w:eastAsia="Calibri"/>
          <w:bCs/>
          <w:u w:val="single"/>
        </w:rPr>
        <w:t>raising questions and prompting deep introspection are just as significant as finding answers due to their ability to break down colonized “knowns”</w:t>
      </w:r>
      <w:r w:rsidRPr="00E14794">
        <w:rPr>
          <w:rFonts w:eastAsia="Calibri"/>
          <w:u w:val="single"/>
        </w:rPr>
        <w:t xml:space="preserve"> into decolonized “unknowns</w:t>
      </w:r>
      <w:r w:rsidRPr="00E14794">
        <w:rPr>
          <w:rFonts w:eastAsia="Calibri"/>
          <w:sz w:val="12"/>
          <w:szCs w:val="18"/>
        </w:rPr>
        <w:t xml:space="preserve">.” Reciprocity and Respect for Self-Determination When discussing relationships in a refugee study, Mackenzie et al. (2007) point out that a recurring theme is selfdetermination, which brings issues around consent and autonomous decision-making to the fore. They contend that consent should be an iterative cyclical process rather than a single event to promote participants’ capacity for self-determination. This idea alters the perception of consent to a process of ongoing negotiation, where consent is continuously being asked for and granted at all stages of the research process. Conflicts around publication and dissemination of findings are another a source of divide between researchers and study participants, creating further complications among researcher-participant relationships (Hawkins, 2015). Decolonizing research methodology tackles the root issue of the aforementioned conflicts, utilizing the principle of reciprocity to drive collaboration from the conception of a study to the end, and to establish collective ownership over the entire research process, the data analysis, and its dissemination (Datta, 2018). Aligned with this, refugee advocacy organizations support refugees’ right to selfdetermination in research studies, insisting on shared decision-making powers in order to place the well-being of refugees over research objectives (Clark-Kazak, 2017). Though sharing research findings is noted as a great source of healing and therapeutic power for oppressed communities (Archibald, 2008), decolonizing methodology emphasizes that reciprocity is not limited to “reporting back” to the community (Smith, 2012). </w:t>
      </w:r>
      <w:r w:rsidRPr="00D12EFE">
        <w:rPr>
          <w:rFonts w:eastAsia="Calibri"/>
          <w:u w:val="single"/>
        </w:rPr>
        <w:t>Reciprocity plays a pivotal role in the relationship between researcher and participant. Beyond trust and mutual respect, there is an anti-colonial understanding and accountability to the research</w:t>
      </w:r>
      <w:r w:rsidRPr="00E14794">
        <w:rPr>
          <w:rFonts w:eastAsia="Calibri"/>
          <w:u w:val="single"/>
        </w:rPr>
        <w:t xml:space="preserve"> participants, which presents itself through seeking guidance and reiterative feedback</w:t>
      </w:r>
      <w:r w:rsidRPr="00E14794">
        <w:rPr>
          <w:rFonts w:eastAsia="Calibri"/>
          <w:sz w:val="12"/>
        </w:rPr>
        <w:t xml:space="preserve"> </w:t>
      </w:r>
      <w:r w:rsidRPr="00E14794">
        <w:rPr>
          <w:rFonts w:eastAsia="Calibri"/>
          <w:sz w:val="12"/>
          <w:szCs w:val="18"/>
        </w:rPr>
        <w:t xml:space="preserve">(Taha, 2018). The altruistic goals of “giving voice” and “empowering communities” are looked down upon in decolonizing research, since it wrongfully implies that communities are unable to achieve on their own what researchers are able to provide (Bishop, 1998). To conduct collaborative research grounded in decolonial values, respect for self-determination and reciprocity calls upon the act of listening as a symbol for healing wounds of colonialism and as demonstration of resistance (Barreiros &amp; Moreira, 2020). Listening allows for open dialog between researcher and participant. Traditionally, the one who speaks is the one who is listened to and the one who listens is the one who is silenced; yet </w:t>
      </w:r>
      <w:r w:rsidRPr="00E14794">
        <w:rPr>
          <w:rFonts w:eastAsia="Calibri"/>
          <w:u w:val="single"/>
        </w:rPr>
        <w:t>Cahill (2007) argues that for listening to take on the power of a decolonizing methodological weapon, it must go beyond its usual biological definition and incorporate an emotional, trusting relationship between people</w:t>
      </w:r>
      <w:r w:rsidRPr="00E14794">
        <w:rPr>
          <w:rFonts w:eastAsia="Calibri"/>
          <w:sz w:val="12"/>
          <w:szCs w:val="18"/>
        </w:rPr>
        <w:t xml:space="preserve">. Delpit (1988) calls for researchers to </w:t>
      </w:r>
      <w:r w:rsidRPr="00E14794">
        <w:rPr>
          <w:rFonts w:eastAsia="Calibri"/>
          <w:u w:val="single"/>
        </w:rPr>
        <w:t>listen affectively, which not only calls for eyes and ears to be opened, but also hearts and minds.</w:t>
      </w:r>
      <w:r w:rsidRPr="00E14794">
        <w:rPr>
          <w:rFonts w:eastAsia="Calibri"/>
          <w:sz w:val="12"/>
        </w:rPr>
        <w:t xml:space="preserve"> </w:t>
      </w:r>
      <w:r w:rsidRPr="00E14794">
        <w:rPr>
          <w:rFonts w:eastAsia="Calibri"/>
          <w:sz w:val="12"/>
          <w:szCs w:val="18"/>
        </w:rPr>
        <w:t xml:space="preserve">Listening affectively implies accountability, as well as a commitment to growth and space for becoming (McDermott, 2013). It is active, not passive. As McDermott (2013) explains, “if affect is attended to, we may be better prepared to be transformed; we may be better aware of the in-processness of transformation” (p. 224). Respect for selfdetermination and reciprocity can also play a vital piece in approaching research from a humanistic stance. Overwhelming ethical challenges, such as blurred boundaries around duty of care, are prevalent in refugee research, however respect for self-determination, and efforts toward reciprocity, may help mitigate what Fine (1994) refers to as “a contradiction-filled, colonizing discourse of the Other.” Embracing Other(ed) Ways of Knowing Partaking in research with refugee or Indigenous populations can mean working with people from different cultures, different lived experiences, and different norms. This presents a unique difficulty, one that researchers may not be prepared to appropriately handle. Dating back to 1974, the Tapp Report was developed to aid in this matter, offering guidelines for ethical conduct of cross-cultural research (Tapp et al., 1974). The underlying basis of the Tapp Report is that cross-cultural research can be conducted ethically “only when done in collaboration and partnership with members of the cultural communities being studied” (Tapp et al., 1974, p. 233). This report contends that it is inadequate for researchers to merely be culturally sensitive and to have knowledge about the population being studied but rather that meaningful inclusion of community members’ knowledge is required. Unlearning and re-imagining how we construct, produce, and value knowledge is integral to decolonizing research. As early as 1950, C´esaire wrote about the historical violence and exploitation of colonizing approaches to research, stating: “goitrous academics were tools of capitalism and supporters of plundering colonialism, all of them responsible, all hateful, all henceforth answerable for the violence of revolutionary action” (C´esaire, 1950, pp. 54–55). </w:t>
      </w:r>
      <w:r w:rsidRPr="00E14794">
        <w:rPr>
          <w:rFonts w:eastAsia="Calibri"/>
          <w:highlight w:val="green"/>
          <w:u w:val="single"/>
        </w:rPr>
        <w:t>Academics</w:t>
      </w:r>
      <w:r w:rsidRPr="00E14794">
        <w:rPr>
          <w:rFonts w:eastAsia="Calibri"/>
          <w:u w:val="single"/>
        </w:rPr>
        <w:t xml:space="preserve"> were involved in nation-building projects, through race logic and white supremacy, and [perhaps unwittingly] </w:t>
      </w:r>
      <w:r w:rsidRPr="00E14794">
        <w:rPr>
          <w:rFonts w:eastAsia="Calibri"/>
          <w:highlight w:val="green"/>
          <w:u w:val="single"/>
        </w:rPr>
        <w:t>advanced the agenda on antiBlack chattel slavery and the genocide of Indigenous people</w:t>
      </w:r>
      <w:r w:rsidRPr="00E14794">
        <w:rPr>
          <w:rFonts w:eastAsia="Calibri"/>
          <w:u w:val="single"/>
        </w:rPr>
        <w:t xml:space="preserve">s. C ´esaire argued that </w:t>
      </w:r>
      <w:r w:rsidRPr="00ED40D6">
        <w:rPr>
          <w:rFonts w:eastAsia="Calibri"/>
          <w:u w:val="single"/>
        </w:rPr>
        <w:t>through the process of formulated “thingification” in their research</w:t>
      </w:r>
      <w:r w:rsidRPr="00E14794">
        <w:rPr>
          <w:rFonts w:eastAsia="Calibri"/>
          <w:u w:val="single"/>
        </w:rPr>
        <w:t>, academics reinforced beliefs that the colonized were nothing more than an object or an animal; and thus, the colonizers are justified in treating them as such</w:t>
      </w:r>
      <w:r w:rsidRPr="00E14794">
        <w:rPr>
          <w:rFonts w:eastAsia="Calibri"/>
          <w:sz w:val="12"/>
        </w:rPr>
        <w:t xml:space="preserve"> </w:t>
      </w:r>
      <w:r w:rsidRPr="00E14794">
        <w:rPr>
          <w:rFonts w:eastAsia="Calibri"/>
          <w:sz w:val="12"/>
          <w:szCs w:val="18"/>
        </w:rPr>
        <w:t xml:space="preserve">(C´esaire, 1950). Memmi (1965) too described thingification as a facilitator and ontological driver to upholding colonial power by forcing the colonized to believe false narratives about themselves. As Steve Biko said, “The greatest weapon in the hand of the oppressor is the mind of the oppressed” (Wilson, 2011, p. 152). These perspectives are embedded within decolonial theoretical work, and call for researchers to go beyond simply capturing and recognizing views belonging to the “Other”—a term originating from literature around Orientalism (Said, 1979). To counter dominant narratives of the past through a decolonizing approach, the onus is on the researcher to expand their epistemological thinking to include theoretical explanations and methodological approaches that embrace Other(ed) ways of knowing (Taha, 2018). Smith (2012) reminds researchers to critique and consider how their worldview may subscribe to the dominant discourse of the Other; </w:t>
      </w:r>
      <w:r w:rsidRPr="00ED40D6">
        <w:rPr>
          <w:rFonts w:eastAsia="Calibri"/>
          <w:u w:val="single"/>
        </w:rPr>
        <w:t>the gaze of a researcher is often implicitly shaped by imperial and colonial ideologies</w:t>
      </w:r>
      <w:r w:rsidRPr="00E14794">
        <w:rPr>
          <w:rFonts w:eastAsia="Calibri"/>
          <w:sz w:val="12"/>
        </w:rPr>
        <w:t xml:space="preserve"> </w:t>
      </w:r>
      <w:r w:rsidRPr="00E14794">
        <w:rPr>
          <w:rFonts w:eastAsia="Calibri"/>
          <w:sz w:val="12"/>
          <w:szCs w:val="18"/>
        </w:rPr>
        <w:t xml:space="preserve">of Western research. One approach to recognizing other ways of knowing is by utilizing cultural insiders or cultural brokers to promote understanding of alternative perspectives; this has become increasingly common among researchers working across cultures. In advancing a decolonizing perspective, researchers may find it helpful to include individuals who have insight and familiarity with a particular group’s culture through membership in that same group (Trimble &amp; Fisher, 2005). This does not infer that individuals with the same cultural background necessarily possess identical lived experiences or identical ways of knowing the world. The European Commission Directorate-General for Research and Innovation (2016), through established guidelines, reminds researchers to avoid ethnocentricity in migrant research. This organization requires a detailed strategy document describing the relevance of one’s research to the communities involved, accompanied by evidence through consultation with the community itself or a cultural insider. Though a step in the right direction, advocates of decolonizing methodology further urge researchers to be attentive to the overarching theoretical framework and research process and remain prepared to make informed changes when Western theories or methods are deemed inappropriate (Datta, 2018). Battiste (2000) further argues that </w:t>
      </w:r>
      <w:r w:rsidRPr="00E14794">
        <w:rPr>
          <w:rFonts w:eastAsia="Calibri"/>
          <w:u w:val="single"/>
        </w:rPr>
        <w:t>decolonizing research means centring the community’s voices and epistemological perspectives</w:t>
      </w:r>
      <w:r w:rsidRPr="00E14794">
        <w:rPr>
          <w:rFonts w:eastAsia="Calibri"/>
          <w:sz w:val="12"/>
        </w:rPr>
        <w:t xml:space="preserve"> </w:t>
      </w:r>
      <w:r w:rsidRPr="00E14794">
        <w:rPr>
          <w:rFonts w:eastAsia="Calibri"/>
          <w:sz w:val="12"/>
          <w:szCs w:val="18"/>
        </w:rPr>
        <w:t xml:space="preserve">throughout the research process. For Mazzocchi (2006), this implies that researchers commit to </w:t>
      </w:r>
      <w:r w:rsidRPr="00E14794">
        <w:rPr>
          <w:rFonts w:eastAsia="Calibri"/>
          <w:u w:val="single"/>
        </w:rPr>
        <w:t>challenging the belief that Western methods and ways of knowing are the only approach to knowledge generation</w:t>
      </w:r>
      <w:r w:rsidRPr="00E14794">
        <w:rPr>
          <w:rFonts w:eastAsia="Calibri"/>
          <w:sz w:val="12"/>
          <w:szCs w:val="18"/>
        </w:rPr>
        <w:t xml:space="preserve">. Rather than turning a blind eye to traditional knowledge from other cultures, decolonizing researchers aim to respectfully understand and integrate theory from Other(ed) perspectives, while also critically examining the underlying assumptions that inform their Western research framework (Simonds &amp; Christopher, 2013). Smith (2012) contends that for too long non-Western ways of knowing have been abandoned and viewed as “lesser than”: “Having been immersed in the Western academy which claims theory as thoroughly Western, which has constructed all the rules by which the Indigenous world has been theorized, Indigenous voices have been overwhelmingly silenced” (p. 802). “Braiding Indigenous Science and Western Science” is a powerful metaphor used to symbolize and acknowledge that different ways of knowing can coexist; in this metaphor, each strand remains a separate entity, however all strands come together to form a whole (Snively &amp; Williams, 2016). In one study involving Somali refugee youth, the researcher recognized the bias in her Western way of thinking during the member-checking process (Abdi, 2019). After reading the researcher’s data analysis, the youth expressed that their </w:t>
      </w:r>
      <w:r w:rsidRPr="00E14794">
        <w:rPr>
          <w:rFonts w:eastAsia="Calibri"/>
          <w:u w:val="single"/>
        </w:rPr>
        <w:t>identity was inaccurately portrayed through the post-structural lens</w:t>
      </w:r>
      <w:r w:rsidRPr="00E14794">
        <w:rPr>
          <w:rFonts w:eastAsia="Calibri"/>
          <w:sz w:val="12"/>
          <w:szCs w:val="18"/>
        </w:rPr>
        <w:t xml:space="preserve">. This theoretical perspective negated an important component of the youth’s understanding of self, as the youth viewed self as rooted in collective identity (Abdi, 2019). The conceptualization of one’s identity and self as a member of a community versus an independent entity is not novel. Identity work in relation to community is mirrored in past decolonizing research narratives, and even has a special place in Kaupapa Maori culture-specific methodology with the term “whanau,” meaning extended family (Drawson et al., 2017). Originating from pre-colonial times, this term represented the core social unit and to this day, remains a way of living, explaining identity, and organizing the world (Love, 2002). Embracing Other(ed) forms of knowledge and collaboratively working with communities can help us work toward ethical, meaningful research based on solidarity. Respecting participants’ cultural protocols is an important consideration for researchers striving to openly embrace and integrate Other(ed) ways of knowing. Researchers trained in the Western academy tend to favor the academic research protocol, paying no heed to participants’ practice, culture, and values (Lavall´ee, 2009). A safe, culturally competent ethical protocol is integral in maintaining a respectful and compassion environment in which research can take place. </w:t>
      </w:r>
      <w:r w:rsidRPr="00E14794">
        <w:rPr>
          <w:rFonts w:eastAsia="Calibri"/>
          <w:bCs/>
          <w:highlight w:val="green"/>
          <w:u w:val="single"/>
        </w:rPr>
        <w:t>Restructuring Western ethics is a prerequisite for carrying out decolonizing research methodology</w:t>
      </w:r>
      <w:r w:rsidRPr="00E14794">
        <w:rPr>
          <w:rFonts w:eastAsia="Calibri"/>
          <w:sz w:val="12"/>
          <w:szCs w:val="18"/>
        </w:rPr>
        <w:t xml:space="preserve">. There is a need to shift the Western ethical standards that are directed to individual integrity into one of collective responsibility, with a focus on respectful and genuine relationships. For instance, one Maori community sets out guidelines for researchers: “respect for and protection of the rights, interests and sensitivities of the people being studied” (Smith, 2012, p. 2582). Some research ethics boards have created checklists to help novice researchers build trusting relationships with oppressed communities. However, I warn reducing people to checklists as a way of respecting or understanding difference, as this is profoundly othering, over-simplistic, and undermines the uniqueness of every community. Alternatively, I suggest taking the time to discuss ethical standards from the community’s perspective; after all, exercising compassion, maintaining respectful Thambinathan and Kinsella 5 relationships, and demonstrating humanity is at the core of cultural competence. Embodying a Transformative Praxis The metaphor of the margin has grown to be powerful as a means to analyze and understand oppression, inequality, disadvantage, and power (Drame et al., 2011; Vatansever, 2020). Many researchers actively choose to work in the margins; they choose to commit to social justice and to work alongside communities occupying the margins of society (Smith, 2012). For those who undertake emancipatory research, the purpose of doing research with oppressed communities stems from an intent to bring to light historically silenced voices and present their experiences in authentic ways. Simply put, researchers want to “get the story right, tell the story well” (Smith, 2012, p. 226). Researchers immersed in decolonizing theoretical perspectives do not limit themselves as scholars but take on the activist role as well. Scholar-activists seek to embody practices of decolonization not only in research, but as an overarching life praxis (Fortier, 2017). While this paper focuses on the methodological applications of decolonial theories, Zavala (2013) argues that </w:t>
      </w:r>
      <w:r w:rsidRPr="00E14794">
        <w:rPr>
          <w:rFonts w:eastAsia="Calibri"/>
          <w:bCs/>
          <w:u w:val="single"/>
        </w:rPr>
        <w:t>lessons learned from research projects suggest decolonizing research is “less about the struggle for method and more about the spaces that make decolonizing research possible</w:t>
      </w:r>
      <w:r w:rsidRPr="00E14794">
        <w:rPr>
          <w:rFonts w:eastAsia="Calibri"/>
          <w:sz w:val="12"/>
          <w:szCs w:val="18"/>
        </w:rPr>
        <w:t xml:space="preserve">” (p. 55). </w:t>
      </w:r>
      <w:r w:rsidRPr="00E14794">
        <w:rPr>
          <w:rFonts w:eastAsia="Calibri"/>
          <w:bCs/>
          <w:highlight w:val="green"/>
          <w:u w:val="single"/>
        </w:rPr>
        <w:t>Reclaiming research starts with decolonizing spaces where research happens such as the academy</w:t>
      </w:r>
      <w:r w:rsidRPr="00E14794">
        <w:rPr>
          <w:rFonts w:eastAsia="Calibri"/>
          <w:sz w:val="12"/>
          <w:szCs w:val="18"/>
        </w:rPr>
        <w:t xml:space="preserve">. Kovach (2010) claims that </w:t>
      </w:r>
      <w:r w:rsidRPr="00E14794">
        <w:rPr>
          <w:rFonts w:eastAsia="Calibri"/>
          <w:bCs/>
          <w:u w:val="single"/>
        </w:rPr>
        <w:t xml:space="preserve">the goal of creating a decolonizing academy implicates everyone; </w:t>
      </w:r>
      <w:r w:rsidRPr="00E14794">
        <w:rPr>
          <w:rFonts w:eastAsia="Calibri"/>
          <w:bCs/>
          <w:highlight w:val="green"/>
          <w:u w:val="single"/>
        </w:rPr>
        <w:t>all researches have a responsibility to open up space for decolonizing lenses</w:t>
      </w:r>
      <w:r w:rsidRPr="00E14794">
        <w:rPr>
          <w:rFonts w:eastAsia="Calibri"/>
          <w:sz w:val="12"/>
          <w:szCs w:val="18"/>
        </w:rPr>
        <w:t>. This burden of responsibility should not only lie on the shoulders of researchers working with oppressed communities. Ironically, researchers involved in collaborative community-based research find themselves located in the margins within their institutions. For example, researchers working for actionable change within communities are not able to have the same hours of work put aside for quality academic publications, as these hours contribute toward doing community work (Smith, 2012). Regardless, research rankings are frequently measured by peer-reviewed publications rather than other metrics such as one’s contribution to society. Those committed to decolonization are motivated to “step outside the academic industrial complex” (Tuck &amp; Yang, 2014, p. 238); the pursuit of a scholar-activist role may result in sacrifices to normative academic career trajectories. At the same time, now more than ever, universities are decorating their academic spaces with the verb “decolonize.” There is a danger here of appropriating the word for the purpose of participating in academic dialogs. In line with this interpretation, Fanon (1963) writes: “Let us admit it, the settler knows perfectly well that no phraseology can be a substitute for reality” (p. 45). What would be beneficial is to listen to those who have experienced colonial oppression and ask for their input around strategies to rebuild an anti-colonial academia. What needs to change in academia? What does academia need to unlearn? As Rodriguez (2017) contends “</w:t>
      </w:r>
      <w:r w:rsidRPr="00E14794">
        <w:rPr>
          <w:rFonts w:eastAsia="Calibri"/>
          <w:sz w:val="12"/>
        </w:rPr>
        <w:t xml:space="preserve">the politics of decolonization are not the same as the act of decolonizing” </w:t>
      </w:r>
      <w:r w:rsidRPr="00E14794">
        <w:rPr>
          <w:rFonts w:eastAsia="Calibri"/>
          <w:sz w:val="12"/>
          <w:szCs w:val="18"/>
        </w:rPr>
        <w:t xml:space="preserve">(p. 1). Having positioned this work within the critical paradigm, it is fitting to adopt Freire’s insights around the praxis necessary for transformation and emancipation. For Freire (1996): “Discovery cannot be purely intellectual but must involve action; nor can it be limited to mere activism but must include serious reflection: only then will it be a praxis” (p. 133). By contextualizing this within a research environment, the impetus for scholar-activists becomes visible. </w:t>
      </w:r>
      <w:r w:rsidRPr="00E14794">
        <w:rPr>
          <w:rFonts w:eastAsia="Calibri"/>
          <w:sz w:val="12"/>
        </w:rPr>
        <w:t>A transformative praxis involves reflexivity, community-engaged research, reciprocity, and action</w:t>
      </w:r>
      <w:r w:rsidRPr="00E14794">
        <w:rPr>
          <w:rFonts w:eastAsia="Calibri"/>
          <w:sz w:val="12"/>
          <w:szCs w:val="18"/>
        </w:rPr>
        <w:t xml:space="preserve">. As Freire (1996) states “if true commitment to the people, involving the transformation of the reality by which they are oppressed, requires a theory of transforming action, this theory cannot fail to assign the people a fundamental role in the transformation process” (p. 126). In the embodiment of a transformative praxis, Freire (1996) proposes three main dimensions: theory, values, and practice. Theory requires engagement with questions that the community one works with seeks to explore; values entail determining what the community values, and the value of the research to the community; while practice refers to the capabilities, services researchers may offer particular communities. </w:t>
      </w:r>
      <w:r w:rsidRPr="00E14794">
        <w:rPr>
          <w:rFonts w:eastAsia="Calibri"/>
          <w:sz w:val="12"/>
        </w:rPr>
        <w:t>Ultimately, “if research hasn’t changed you as a person, then you haven’t done it correctly</w:t>
      </w:r>
      <w:r w:rsidRPr="00E14794">
        <w:rPr>
          <w:rFonts w:eastAsia="Calibri"/>
          <w:sz w:val="12"/>
          <w:szCs w:val="18"/>
        </w:rPr>
        <w:t xml:space="preserve">” (Wilson, 2008). Conclusion It is vital for qualitative researchers, particularly those working with populations oppressed by colonial legacies, to critically examine and apply decolonizing methodological practices to their research. Drawing on decolonizing theoretical perspectives, we have proposed </w:t>
      </w:r>
      <w:r w:rsidRPr="00E14794">
        <w:rPr>
          <w:rFonts w:eastAsia="Calibri"/>
          <w:sz w:val="12"/>
        </w:rPr>
        <w:t>four approaches to inform research practice in this direction: (1) exercising critical reflexivity, (2) enabling reciprocity and respect for self-determination, (3) embracing “Other(ed)” ways of knowing, and (4) embodying a transformative praxis</w:t>
      </w:r>
      <w:r w:rsidRPr="00E14794">
        <w:rPr>
          <w:rFonts w:eastAsia="Calibri"/>
          <w:sz w:val="12"/>
          <w:szCs w:val="18"/>
        </w:rPr>
        <w:t>. At this moment of our historical trajectory, it is a moral imperative to embrace decolonizing approaches when working with colonized groups on what some have described as “stolen land.” No one from the academy, even if they are members of non-white communities, is automatically exempt from perpetuating privileged, Westerncentric, colonial ideas. As Angela Davis has famously said, “In a racist society, it is not enough to be non-racist, we must be anti-racist.” Aligned with this perspective, researchers must consciously take part in reflexive engagement of their assumptions and interpretations, in the quest to work from an anti-colonial perspective. We reiterate that as qualitative researchers</w:t>
      </w:r>
      <w:r w:rsidRPr="00D12EFE">
        <w:rPr>
          <w:rFonts w:eastAsia="Calibri"/>
          <w:sz w:val="12"/>
          <w:szCs w:val="18"/>
        </w:rPr>
        <w:t xml:space="preserve">, </w:t>
      </w:r>
      <w:r w:rsidRPr="00D12EFE">
        <w:rPr>
          <w:rFonts w:eastAsia="Calibri"/>
          <w:u w:val="single"/>
        </w:rPr>
        <w:t>committing to the use of decolonizing methodologies in our work should be combined with solidarity</w:t>
      </w:r>
      <w:r w:rsidRPr="00D12EFE">
        <w:rPr>
          <w:rFonts w:eastAsia="Calibri"/>
          <w:sz w:val="12"/>
        </w:rPr>
        <w:t xml:space="preserve"> </w:t>
      </w:r>
      <w:r w:rsidRPr="00D12EFE">
        <w:rPr>
          <w:rFonts w:eastAsia="Calibri"/>
          <w:sz w:val="12"/>
          <w:szCs w:val="18"/>
        </w:rPr>
        <w:t xml:space="preserve">with oppressed populations in their everyday struggle against colonial forces. Future </w:t>
      </w:r>
      <w:r w:rsidRPr="00D12EFE">
        <w:rPr>
          <w:rFonts w:eastAsia="Calibri"/>
          <w:u w:val="single"/>
        </w:rPr>
        <w:t>work</w:t>
      </w:r>
      <w:r w:rsidRPr="00D12EFE">
        <w:rPr>
          <w:rFonts w:eastAsia="Calibri"/>
          <w:sz w:val="12"/>
        </w:rPr>
        <w:t xml:space="preserve"> </w:t>
      </w:r>
      <w:r w:rsidRPr="00D12EFE">
        <w:rPr>
          <w:rFonts w:eastAsia="Calibri"/>
          <w:sz w:val="12"/>
          <w:szCs w:val="18"/>
        </w:rPr>
        <w:t xml:space="preserve">that </w:t>
      </w:r>
      <w:r w:rsidRPr="00D12EFE">
        <w:rPr>
          <w:rFonts w:eastAsia="Calibri"/>
          <w:u w:val="single"/>
        </w:rPr>
        <w:t>continues to explore and resist the epistemic legacy of colonization</w:t>
      </w:r>
      <w:r w:rsidRPr="00E14794">
        <w:rPr>
          <w:rFonts w:eastAsia="Calibri"/>
          <w:u w:val="single"/>
        </w:rPr>
        <w:t>, and</w:t>
      </w:r>
      <w:r w:rsidRPr="00E14794">
        <w:rPr>
          <w:rFonts w:eastAsia="Calibri"/>
          <w:sz w:val="12"/>
        </w:rPr>
        <w:t xml:space="preserve"> </w:t>
      </w:r>
      <w:r w:rsidRPr="00E14794">
        <w:rPr>
          <w:rFonts w:eastAsia="Calibri"/>
          <w:sz w:val="12"/>
          <w:szCs w:val="18"/>
        </w:rPr>
        <w:t xml:space="preserve">insidious forms of </w:t>
      </w:r>
      <w:r w:rsidRPr="00E14794">
        <w:rPr>
          <w:rFonts w:eastAsia="Calibri"/>
          <w:u w:val="single"/>
        </w:rPr>
        <w:t>epistemic oppression</w:t>
      </w:r>
      <w:r w:rsidRPr="00E14794">
        <w:rPr>
          <w:rFonts w:eastAsia="Calibri"/>
          <w:sz w:val="12"/>
          <w:szCs w:val="18"/>
        </w:rPr>
        <w:t>, as well as possibilities for developing more liberatory methods, and the nuances of enacting decolonizing methodologies are recommended. Yet, as Sium et al. (2012) 6 International Journal of Qualitative Methods contend, what it means to decolonize as a settler and researcher is constantly evolving and must inherently be “unsettled.”</w:t>
      </w:r>
      <w:r w:rsidRPr="00E14794">
        <w:rPr>
          <w:rFonts w:eastAsia="Calibri"/>
          <w:sz w:val="12"/>
          <w:szCs w:val="18"/>
        </w:rPr>
        <w:cr/>
      </w:r>
    </w:p>
    <w:p w14:paraId="2462FE36" w14:textId="2A06025C" w:rsidR="00B13985" w:rsidRDefault="00B13985" w:rsidP="00B13985">
      <w:pPr>
        <w:pStyle w:val="Heading4"/>
      </w:pPr>
      <w:r>
        <w:t xml:space="preserve">Vote AFF for decolonial anarchy </w:t>
      </w:r>
    </w:p>
    <w:p w14:paraId="04BF239B" w14:textId="77777777" w:rsidR="00B13985" w:rsidRPr="00D86A1C" w:rsidRDefault="00B13985" w:rsidP="00B13985"/>
    <w:p w14:paraId="33C59773" w14:textId="77777777" w:rsidR="00B13985" w:rsidRDefault="00B13985" w:rsidP="00B13985">
      <w:pPr>
        <w:pStyle w:val="Heading4"/>
      </w:pPr>
      <w:r>
        <w:t>Decolonial anarchy requires land return, non-hierarchical relationships, non-speciesism, and the liberation of humans and non-humans.</w:t>
      </w:r>
    </w:p>
    <w:p w14:paraId="3E4FDBB6" w14:textId="77777777" w:rsidR="00B13985" w:rsidRPr="0002351D" w:rsidRDefault="00B13985" w:rsidP="00B13985">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18ACB328" w14:textId="77777777" w:rsidR="00B13985" w:rsidRPr="006E67D9" w:rsidRDefault="00B13985" w:rsidP="00B13985">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3461B76F" w14:textId="77777777" w:rsidR="00B13985" w:rsidRPr="00674E05" w:rsidRDefault="00B13985" w:rsidP="00B13985"/>
    <w:p w14:paraId="23C6F61E" w14:textId="77777777" w:rsidR="00B13985" w:rsidRPr="00255652" w:rsidRDefault="00B13985" w:rsidP="00B13985">
      <w:pPr>
        <w:pStyle w:val="Heading4"/>
      </w:pPr>
      <w:r>
        <w:t xml:space="preserve">Decolonial anarchy returns us to a grounded relationality that values nature as an agent not merely as an object or resource. This is necessary for any environmental and social praxis. </w:t>
      </w:r>
    </w:p>
    <w:p w14:paraId="22DC99BE" w14:textId="77777777" w:rsidR="00B13985" w:rsidRDefault="00B13985" w:rsidP="00B13985">
      <w:r w:rsidRPr="00C3698C">
        <w:rPr>
          <w:rStyle w:val="Style13ptBold"/>
        </w:rPr>
        <w:t>Byrd et al 18</w:t>
      </w:r>
      <w:r>
        <w:t xml:space="preserve"> (</w:t>
      </w:r>
      <w:r w:rsidRPr="00AA69F8">
        <w:t>Jodi A., Associate Professor of English and American Indian Studies at the University of Illinois at Urbana-Champaign</w:t>
      </w:r>
      <w:r>
        <w:t>, “</w:t>
      </w:r>
      <w:r w:rsidRPr="007405EB">
        <w:t>Predatory Value Economies of Dispossession and Disturbed Relationalities</w:t>
      </w:r>
      <w:r>
        <w:t>”</w:t>
      </w:r>
      <w:r w:rsidRPr="007405EB">
        <w:t>, Social Text 135 • Vol. 36, No. 2</w:t>
      </w:r>
      <w:r>
        <w:t xml:space="preserve"> ppgs 9-11 GC)</w:t>
      </w:r>
    </w:p>
    <w:p w14:paraId="0402D463" w14:textId="77777777" w:rsidR="00B13985" w:rsidRDefault="00B13985" w:rsidP="00B13985">
      <w:pPr>
        <w:rPr>
          <w:sz w:val="14"/>
        </w:rPr>
      </w:pPr>
      <w:r w:rsidRPr="0075585F">
        <w:rPr>
          <w:rStyle w:val="StyleUnderline"/>
        </w:rPr>
        <w:t>Against the commensurabilities and rationalities of debt and finance capitalism, conditioned through</w:t>
      </w:r>
      <w:r w:rsidRPr="0075585F">
        <w:rPr>
          <w:rStyle w:val="StyleUnderline"/>
          <w:sz w:val="14"/>
        </w:rPr>
        <w:t xml:space="preserve"> </w:t>
      </w:r>
      <w:r w:rsidRPr="0075585F">
        <w:rPr>
          <w:rStyle w:val="StyleUnderline"/>
        </w:rPr>
        <w:t xml:space="preserve">the proprietary logics of settler colonialism and racial capitalism, </w:t>
      </w:r>
      <w:r w:rsidRPr="00693847">
        <w:rPr>
          <w:rStyle w:val="StyleUnderline"/>
          <w:highlight w:val="green"/>
        </w:rPr>
        <w:t>we seek alternative frameworks</w:t>
      </w:r>
      <w:r w:rsidRPr="00FA449A">
        <w:rPr>
          <w:rStyle w:val="StyleUnderline"/>
        </w:rPr>
        <w:t xml:space="preserve"> for building capacities </w:t>
      </w:r>
      <w:r w:rsidRPr="00693847">
        <w:rPr>
          <w:rStyle w:val="StyleUnderline"/>
          <w:highlight w:val="green"/>
        </w:rPr>
        <w:t xml:space="preserve">for grounded </w:t>
      </w:r>
      <w:r w:rsidRPr="00DC221A">
        <w:rPr>
          <w:rStyle w:val="StyleUnderline"/>
          <w:highlight w:val="green"/>
        </w:rPr>
        <w:t>relationality</w:t>
      </w:r>
      <w:r w:rsidRPr="00E6038E">
        <w:rPr>
          <w:rStyle w:val="StyleUnderline"/>
          <w:sz w:val="14"/>
        </w:rPr>
        <w:t xml:space="preserve">. By grounded we mean quite literally </w:t>
      </w:r>
      <w:r w:rsidRPr="00DC221A">
        <w:rPr>
          <w:rStyle w:val="StyleUnderline"/>
          <w:highlight w:val="green"/>
        </w:rPr>
        <w:t>situated in relation to and from the land</w:t>
      </w:r>
      <w:r w:rsidRPr="00E6038E">
        <w:rPr>
          <w:rStyle w:val="StyleUnderline"/>
          <w:sz w:val="14"/>
        </w:rPr>
        <w:t xml:space="preserve"> but </w:t>
      </w:r>
      <w:r w:rsidRPr="00DC221A">
        <w:rPr>
          <w:rStyle w:val="StyleUnderline"/>
        </w:rPr>
        <w:t>without precluding movement, multiplicity, multidirectionality, transversals, and other elementary or material currents of water and air</w:t>
      </w:r>
      <w:r w:rsidRPr="00E6038E">
        <w:rPr>
          <w:rStyle w:val="StyleUnderline"/>
          <w:sz w:val="14"/>
        </w:rPr>
        <w:t xml:space="preserve">. This is a being grounded </w:t>
      </w:r>
      <w:r w:rsidRPr="0075585F">
        <w:rPr>
          <w:rStyle w:val="StyleUnderline"/>
          <w:sz w:val="14"/>
        </w:rPr>
        <w:t xml:space="preserve">and </w:t>
      </w:r>
      <w:r w:rsidRPr="0075585F">
        <w:rPr>
          <w:rStyle w:val="StyleUnderline"/>
        </w:rPr>
        <w:t xml:space="preserve">living relationalities </w:t>
      </w:r>
      <w:r w:rsidRPr="00DC221A">
        <w:rPr>
          <w:rStyle w:val="StyleUnderline"/>
          <w:highlight w:val="green"/>
        </w:rPr>
        <w:t>in which the nonhuman world and the materiality of land</w:t>
      </w:r>
      <w:r w:rsidRPr="00E6038E">
        <w:rPr>
          <w:rStyle w:val="StyleUnderline"/>
          <w:sz w:val="14"/>
        </w:rPr>
        <w:t xml:space="preserve"> and other elements </w:t>
      </w:r>
      <w:r w:rsidRPr="00DC221A">
        <w:rPr>
          <w:rStyle w:val="StyleUnderline"/>
          <w:highlight w:val="green"/>
        </w:rPr>
        <w:t>have agential significance in ways that exceed liberal conceptions of the human</w:t>
      </w:r>
      <w:r w:rsidRPr="00E6038E">
        <w:rPr>
          <w:rStyle w:val="StyleUnderline"/>
          <w:sz w:val="14"/>
        </w:rPr>
        <w:t xml:space="preserve">. If the grounded relationalities of Indigenous philosophies might tell us anything, then, they remind us that </w:t>
      </w:r>
      <w:r w:rsidRPr="00DC221A">
        <w:rPr>
          <w:rStyle w:val="StyleUnderline"/>
        </w:rPr>
        <w:t xml:space="preserve">knowledge must always remain grounded as the land calls to us and for us to find </w:t>
      </w:r>
      <w:r w:rsidRPr="0075585F">
        <w:rPr>
          <w:rStyle w:val="StyleUnderline"/>
        </w:rPr>
        <w:t>our place within the ongoing acts of interconnectivity that surround us</w:t>
      </w:r>
      <w:r w:rsidRPr="0075585F">
        <w:rPr>
          <w:rStyle w:val="StyleUnderline"/>
          <w:sz w:val="14"/>
        </w:rPr>
        <w:t xml:space="preserve">. A number of </w:t>
      </w:r>
      <w:r w:rsidRPr="0075585F">
        <w:rPr>
          <w:rStyle w:val="StyleUnderline"/>
        </w:rPr>
        <w:t>questions arise with</w:t>
      </w:r>
      <w:r w:rsidRPr="0075585F">
        <w:rPr>
          <w:rStyle w:val="StyleUnderline"/>
          <w:sz w:val="14"/>
        </w:rPr>
        <w:t xml:space="preserve"> this </w:t>
      </w:r>
      <w:r w:rsidRPr="0075585F">
        <w:rPr>
          <w:rStyle w:val="StyleUnderline"/>
        </w:rPr>
        <w:t>shift from the epistemic trap of debt</w:t>
      </w:r>
      <w:r w:rsidRPr="0075585F">
        <w:rPr>
          <w:rStyle w:val="StyleUnderline"/>
          <w:sz w:val="14"/>
        </w:rPr>
        <w:t xml:space="preserve"> </w:t>
      </w:r>
      <w:r w:rsidRPr="0075585F">
        <w:rPr>
          <w:rStyle w:val="StyleUnderline"/>
        </w:rPr>
        <w:t>to the possibilities of relationality as affective</w:t>
      </w:r>
      <w:r w:rsidRPr="00DC221A">
        <w:rPr>
          <w:rStyle w:val="StyleUnderline"/>
        </w:rPr>
        <w:t xml:space="preserve"> and </w:t>
      </w:r>
      <w:r w:rsidRPr="00693847">
        <w:rPr>
          <w:rStyle w:val="StyleUnderline"/>
          <w:highlight w:val="green"/>
        </w:rPr>
        <w:t>grounded alternatives to economies of dispossession and systems of extraction and exploitation</w:t>
      </w:r>
      <w:r w:rsidRPr="00DC221A">
        <w:rPr>
          <w:rStyle w:val="StyleUnderline"/>
        </w:rPr>
        <w:t>.</w:t>
      </w:r>
      <w:r w:rsidRPr="00E6038E">
        <w:rPr>
          <w:sz w:val="14"/>
        </w:rPr>
        <w:t xml:space="preserve"> </w:t>
      </w:r>
      <w:r w:rsidRPr="00FA449A">
        <w:rPr>
          <w:b/>
          <w:bCs/>
          <w:u w:val="single"/>
        </w:rPr>
        <w:t xml:space="preserve">How might we </w:t>
      </w:r>
      <w:r w:rsidRPr="00DC221A">
        <w:rPr>
          <w:b/>
          <w:bCs/>
          <w:highlight w:val="green"/>
          <w:u w:val="single"/>
        </w:rPr>
        <w:t>apprehend relationality</w:t>
      </w:r>
      <w:r w:rsidRPr="00E6038E">
        <w:rPr>
          <w:sz w:val="14"/>
        </w:rPr>
        <w:t xml:space="preserve"> across systems of capitalism, colonialism, and chattel slavery and its afterlives? </w:t>
      </w:r>
      <w:r w:rsidRPr="00FA449A">
        <w:rPr>
          <w:b/>
          <w:bCs/>
          <w:u w:val="single"/>
        </w:rPr>
        <w:t xml:space="preserve">What happens </w:t>
      </w:r>
      <w:r w:rsidRPr="00DC221A">
        <w:rPr>
          <w:b/>
          <w:bCs/>
          <w:highlight w:val="green"/>
          <w:u w:val="single"/>
        </w:rPr>
        <w:t xml:space="preserve">when land is understood not as property </w:t>
      </w:r>
      <w:r w:rsidRPr="00FA449A">
        <w:rPr>
          <w:b/>
          <w:bCs/>
          <w:u w:val="single"/>
        </w:rPr>
        <w:t xml:space="preserve">or territory </w:t>
      </w:r>
      <w:r w:rsidRPr="00DC221A">
        <w:rPr>
          <w:b/>
          <w:bCs/>
          <w:highlight w:val="green"/>
          <w:u w:val="single"/>
        </w:rPr>
        <w:t xml:space="preserve">but as a </w:t>
      </w:r>
      <w:r w:rsidRPr="00FA449A">
        <w:rPr>
          <w:b/>
          <w:bCs/>
          <w:u w:val="single"/>
        </w:rPr>
        <w:t xml:space="preserve">source of </w:t>
      </w:r>
      <w:r w:rsidRPr="00DC221A">
        <w:rPr>
          <w:b/>
          <w:bCs/>
          <w:highlight w:val="green"/>
          <w:u w:val="single"/>
        </w:rPr>
        <w:t>relation with an agency</w:t>
      </w:r>
      <w:r w:rsidRPr="00E6038E">
        <w:rPr>
          <w:sz w:val="14"/>
        </w:rPr>
        <w:t xml:space="preserve"> of its own? </w:t>
      </w:r>
      <w:r w:rsidRPr="00DC221A">
        <w:rPr>
          <w:u w:val="single"/>
        </w:rPr>
        <w:t xml:space="preserve">How might </w:t>
      </w:r>
      <w:r w:rsidRPr="00DC221A">
        <w:rPr>
          <w:rStyle w:val="StyleUnderline"/>
        </w:rPr>
        <w:t>reconceiving of land as relation shift the ground of racialized and embodied histories away from the territoriality of the state</w:t>
      </w:r>
      <w:r w:rsidRPr="00DC221A">
        <w:rPr>
          <w:u w:val="single"/>
        </w:rPr>
        <w:t>? How might building capacities for relationality outside the logics of propriation make it possible to handle incommensurate demands for justice?</w:t>
      </w:r>
      <w:r w:rsidRPr="00E6038E">
        <w:rPr>
          <w:sz w:val="14"/>
        </w:rPr>
        <w:t xml:space="preserve"> In other words, </w:t>
      </w:r>
      <w:r w:rsidRPr="00B71428">
        <w:rPr>
          <w:b/>
          <w:bCs/>
          <w:u w:val="single"/>
        </w:rPr>
        <w:t xml:space="preserve">is there a way for </w:t>
      </w:r>
      <w:r w:rsidRPr="00B71428">
        <w:rPr>
          <w:rStyle w:val="StyleUnderline"/>
        </w:rPr>
        <w:t xml:space="preserve">land </w:t>
      </w:r>
      <w:r w:rsidRPr="00DC221A">
        <w:rPr>
          <w:rStyle w:val="StyleUnderline"/>
          <w:highlight w:val="green"/>
        </w:rPr>
        <w:t>in itself to serve as an ontological condition for a different concept of the political that refuses conquest</w:t>
      </w:r>
      <w:r w:rsidRPr="00E6038E">
        <w:rPr>
          <w:rStyle w:val="StyleUnderline"/>
          <w:sz w:val="14"/>
        </w:rPr>
        <w:t xml:space="preserve">, doctrines of discovery, and the propriations of the propertied self? Finally, </w:t>
      </w:r>
      <w:r w:rsidRPr="00DC221A">
        <w:rPr>
          <w:rStyle w:val="StyleUnderline"/>
          <w:highlight w:val="green"/>
        </w:rPr>
        <w:t>can land as the source of relation rather than the site of boundaries define a politics under which Indigenous sovereignty and Black reparations movements can (re)build capacities for relationality</w:t>
      </w:r>
      <w:r w:rsidRPr="00E6038E">
        <w:rPr>
          <w:sz w:val="14"/>
        </w:rPr>
        <w:t xml:space="preserve"> (aberrant to logics of propriation), </w:t>
      </w:r>
      <w:r w:rsidRPr="00DC221A">
        <w:rPr>
          <w:b/>
          <w:bCs/>
          <w:highlight w:val="green"/>
          <w:u w:val="single"/>
        </w:rPr>
        <w:t>rather than enact exclusivity or inclusion</w:t>
      </w:r>
      <w:r w:rsidRPr="00E6038E">
        <w:rPr>
          <w:sz w:val="14"/>
        </w:rPr>
        <w:t>? In these times</w:t>
      </w:r>
      <w:r w:rsidRPr="00E6038E">
        <w:rPr>
          <w:rStyle w:val="StyleUnderline"/>
          <w:sz w:val="14"/>
        </w:rPr>
        <w:t xml:space="preserve">, when it is clear </w:t>
      </w:r>
      <w:r w:rsidRPr="0075585F">
        <w:rPr>
          <w:rStyle w:val="StyleUnderline"/>
          <w:sz w:val="14"/>
        </w:rPr>
        <w:t xml:space="preserve">that </w:t>
      </w:r>
      <w:r w:rsidRPr="0075585F">
        <w:rPr>
          <w:rStyle w:val="StyleUnderline"/>
        </w:rPr>
        <w:t>liberal freedoms, misnamed democracy, fail to halt the expropriation of collective life</w:t>
      </w:r>
      <w:r w:rsidRPr="0075585F">
        <w:rPr>
          <w:rStyle w:val="StyleUnderline"/>
          <w:sz w:val="14"/>
        </w:rPr>
        <w:t xml:space="preserve"> by</w:t>
      </w:r>
      <w:r w:rsidRPr="00E6038E">
        <w:rPr>
          <w:rStyle w:val="StyleUnderline"/>
          <w:sz w:val="14"/>
        </w:rPr>
        <w:t xml:space="preserve"> financial capitalism and its extractive resource mining, </w:t>
      </w:r>
      <w:r w:rsidRPr="00E03FFC">
        <w:rPr>
          <w:rStyle w:val="StyleUnderline"/>
        </w:rPr>
        <w:t>it is critical to turn our attention to ongoing praxes that build capacities for relationality beyond the logics of propriation</w:t>
      </w:r>
      <w:r w:rsidRPr="00E6038E">
        <w:rPr>
          <w:rStyle w:val="StyleUnderline"/>
          <w:sz w:val="14"/>
        </w:rPr>
        <w:t xml:space="preserve">. </w:t>
      </w:r>
      <w:r w:rsidRPr="00DC221A">
        <w:rPr>
          <w:rStyle w:val="StyleUnderline"/>
        </w:rPr>
        <w:t xml:space="preserve">Because they have long understood inclusion in the liberal capitalist state as an unmaking of collective social being, as whitewashing ongoing violence, </w:t>
      </w:r>
      <w:r w:rsidRPr="00E03FFC">
        <w:rPr>
          <w:rStyle w:val="StyleUnderline"/>
        </w:rPr>
        <w:t>Black radical philosophy read alongside Indigenous critical theory may help us to think alternatives</w:t>
      </w:r>
      <w:r w:rsidRPr="00DC221A">
        <w:rPr>
          <w:rStyle w:val="StyleUnderline"/>
        </w:rPr>
        <w:t xml:space="preserve"> that are both transformative and realizable and, in fact, already manifest and discernable</w:t>
      </w:r>
      <w:r w:rsidRPr="00E6038E">
        <w:rPr>
          <w:rStyle w:val="StyleUnderline"/>
          <w:sz w:val="14"/>
        </w:rPr>
        <w:t xml:space="preserve">. </w:t>
      </w:r>
      <w:r w:rsidRPr="00DC221A">
        <w:rPr>
          <w:u w:val="single"/>
        </w:rPr>
        <w:t>Work by such scholars as Glen Coulthard, Saidiya Hartman, Shona Jackson, Tiffany Lethabo King, Lisa Lowe, Fred Moten, Leanne Betasamosake Simpson, and Denise Ferreira da Silva offers energizing responses to global predatory formations of debt-driven accumulation</w:t>
      </w:r>
      <w:r w:rsidRPr="00E6038E">
        <w:rPr>
          <w:sz w:val="14"/>
        </w:rPr>
        <w:t xml:space="preserve">, each drawing on Black radical traditions, critical ethnic studies, and/or Indigenous critical theory for epistemic-material activism. As Saidiya </w:t>
      </w:r>
      <w:r w:rsidRPr="00DC221A">
        <w:rPr>
          <w:u w:val="single"/>
        </w:rPr>
        <w:t>Hartman observes, “Skewed life chances, limited access to health and education, premature death, incarceration, and impoverishment” are all the afterlife of slavery</w:t>
      </w:r>
      <w:r w:rsidRPr="00E6038E">
        <w:rPr>
          <w:sz w:val="14"/>
        </w:rPr>
        <w:t xml:space="preserve">.30 That afterlife persists as we are all asked to confront the ontological, political, economic, and moral implications and entanglements of colonization and slavery as they ostensibly compete for originary source within dispossessive regimes. In his work, </w:t>
      </w:r>
      <w:r w:rsidRPr="00E6038E">
        <w:rPr>
          <w:rStyle w:val="StyleUnderline"/>
          <w:sz w:val="14"/>
        </w:rPr>
        <w:t>Moten confronts the predatory formation of subprime debt speculation and foreclosures from the point of view of the Black radical tradition, which constellates around the anticapitalist norms of “consent not to be a single being” and “preservation of the ontological totality”</w:t>
      </w:r>
      <w:r w:rsidRPr="00E6038E">
        <w:rPr>
          <w:sz w:val="14"/>
        </w:rPr>
        <w:t xml:space="preserve"> (the survival of Black collectivity). </w:t>
      </w:r>
      <w:r w:rsidRPr="00DC221A">
        <w:rPr>
          <w:u w:val="single"/>
        </w:rPr>
        <w:t>Moten celebrates the subprime debtor for enacting a guerrilla “collateral agency</w:t>
      </w:r>
      <w:r w:rsidRPr="00E6038E">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w:t>
      </w:r>
      <w:r w:rsidRPr="00E6038E">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E6038E">
        <w:rPr>
          <w:sz w:val="14"/>
        </w:rPr>
        <w:t xml:space="preserve">2 </w:t>
      </w:r>
      <w:r w:rsidRPr="00DC221A">
        <w:rPr>
          <w:rStyle w:val="StyleUnderline"/>
          <w:highlight w:val="green"/>
        </w:rPr>
        <w:t>Moten refuses to compare and oppose Black and Native dispossessions</w:t>
      </w:r>
      <w:r w:rsidRPr="00E6038E">
        <w:rPr>
          <w:rStyle w:val="StyleUnderline"/>
          <w:sz w:val="14"/>
        </w:rPr>
        <w:t xml:space="preserve"> in racial capitalist settler colonial modernity </w:t>
      </w:r>
      <w:r w:rsidRPr="00DC221A">
        <w:rPr>
          <w:rStyle w:val="StyleUnderline"/>
          <w:highlight w:val="green"/>
        </w:rPr>
        <w:t>and instead offers a way to conceive of debt as disownership</w:t>
      </w:r>
      <w:r w:rsidRPr="00E6038E">
        <w:rPr>
          <w:rStyle w:val="StyleUnderline"/>
          <w:sz w:val="14"/>
        </w:rPr>
        <w:t xml:space="preserve"> </w:t>
      </w:r>
      <w:r w:rsidRPr="00DC221A">
        <w:rPr>
          <w:rStyle w:val="StyleUnderline"/>
        </w:rPr>
        <w:t>that links contemporary forms of foreclosure to the enclosures of settlement, severalty, and allotment</w:t>
      </w:r>
      <w:r w:rsidRPr="00E6038E">
        <w:rPr>
          <w:rStyle w:val="StyleUnderline"/>
          <w:sz w:val="14"/>
        </w:rPr>
        <w:t>. As home ownership and its subsequent subprime mortgage within the existing structures of a well-</w:t>
      </w:r>
      <w:r w:rsidRPr="0075585F">
        <w:rPr>
          <w:rStyle w:val="StyleUnderline"/>
          <w:sz w:val="14"/>
        </w:rPr>
        <w:t xml:space="preserve">established </w:t>
      </w:r>
      <w:r w:rsidRPr="0075585F">
        <w:rPr>
          <w:rStyle w:val="StyleUnderline"/>
        </w:rPr>
        <w:t>settler colonialism became “a kind of carnival, a</w:t>
      </w:r>
      <w:r w:rsidRPr="003D33B7">
        <w:rPr>
          <w:rStyle w:val="StyleUnderline"/>
        </w:rPr>
        <w:t xml:space="preserve"> country-ass hoedown, an embarrassing barbecue</w:t>
      </w:r>
      <w:r w:rsidRPr="00E6038E">
        <w:rPr>
          <w:rStyle w:val="StyleUnderline"/>
          <w:sz w:val="14"/>
        </w:rPr>
        <w:t>,” Moten acknowledges how “</w:t>
      </w:r>
      <w:r w:rsidRPr="00E03FFC">
        <w:rPr>
          <w:rStyle w:val="StyleUnderline"/>
        </w:rPr>
        <w:t>the ownership society” continues its brutal drive toward enclosing our common capacity and our capacity for the commons</w:t>
      </w:r>
      <w:r w:rsidRPr="00E6038E">
        <w:rPr>
          <w:rStyle w:val="StyleUnderline"/>
          <w:sz w:val="14"/>
        </w:rPr>
        <w:t>.</w:t>
      </w:r>
      <w:r w:rsidRPr="00E6038E">
        <w:rPr>
          <w:sz w:val="14"/>
        </w:rPr>
        <w:t xml:space="preserve"> Building on questions of the spatialities of settler colonial </w:t>
      </w:r>
      <w:r w:rsidRPr="0075585F">
        <w:rPr>
          <w:sz w:val="14"/>
        </w:rPr>
        <w:t xml:space="preserve">geographies, </w:t>
      </w:r>
      <w:r w:rsidRPr="0075585F">
        <w:rPr>
          <w:u w:val="single"/>
        </w:rPr>
        <w:t>Tiffany Lethabo</w:t>
      </w:r>
      <w:r w:rsidRPr="00DC221A">
        <w:rPr>
          <w:u w:val="single"/>
        </w:rPr>
        <w:t xml:space="preserve"> </w:t>
      </w:r>
      <w:r w:rsidRPr="00693847">
        <w:rPr>
          <w:rStyle w:val="StyleUnderline"/>
          <w:highlight w:val="green"/>
        </w:rPr>
        <w:t>King</w:t>
      </w:r>
      <w:r w:rsidRPr="00E6038E">
        <w:rPr>
          <w:rStyle w:val="StyleUnderline"/>
          <w:sz w:val="14"/>
        </w:rPr>
        <w:t xml:space="preserve">, in her recent work on Black fungibility, </w:t>
      </w:r>
      <w:r w:rsidRPr="00693847">
        <w:rPr>
          <w:rStyle w:val="StyleUnderline"/>
          <w:highlight w:val="green"/>
        </w:rPr>
        <w:t>argues for an analytic framework through which to consider how “Blackness mediated the ways the natural world could be imagined as manipulable and an open landscape in flux</w:t>
      </w:r>
      <w:r w:rsidRPr="00693847">
        <w:rPr>
          <w:rStyle w:val="StyleUnderline"/>
          <w:sz w:val="14"/>
          <w:highlight w:val="green"/>
        </w:rPr>
        <w:t>.”</w:t>
      </w:r>
      <w:r w:rsidRPr="00E6038E">
        <w:rPr>
          <w:rStyle w:val="StyleUnderline"/>
          <w:sz w:val="14"/>
        </w:rPr>
        <w:t xml:space="preserve">33 </w:t>
      </w:r>
      <w:r w:rsidRPr="00693847">
        <w:rPr>
          <w:rStyle w:val="StyleUnderline"/>
          <w:highlight w:val="green"/>
        </w:rPr>
        <w:t>Such a framework disrupts the spatial and embodied boundaries that have at times separated Indigenous and settler colonial critique from Black studies</w:t>
      </w:r>
      <w:r w:rsidRPr="00E6038E">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E6038E">
        <w:rPr>
          <w:sz w:val="14"/>
        </w:rPr>
        <w:t xml:space="preserve"> conquistador</w:t>
      </w:r>
      <w:r w:rsidRPr="00E6038E">
        <w:rPr>
          <w:rStyle w:val="StyleUnderline"/>
          <w:sz w:val="14"/>
        </w:rPr>
        <w:t>/settler rather than just another human laborer exploited as a mere technology to produce space.”</w:t>
      </w:r>
      <w:r w:rsidRPr="00E6038E">
        <w:rPr>
          <w:sz w:val="14"/>
        </w:rPr>
        <w:t xml:space="preserve">34 </w:t>
      </w:r>
      <w:r w:rsidRPr="00E03FFC">
        <w:rPr>
          <w:u w:val="single"/>
        </w:rPr>
        <w:t xml:space="preserve">Such moves help us </w:t>
      </w:r>
      <w:r w:rsidRPr="00DC221A">
        <w:rPr>
          <w:rStyle w:val="StyleUnderline"/>
          <w:highlight w:val="green"/>
        </w:rPr>
        <w:t>decenter bodies as the site of pure labor</w:t>
      </w:r>
      <w:r w:rsidRPr="00E6038E">
        <w:rPr>
          <w:rStyle w:val="StyleUnderline"/>
          <w:sz w:val="14"/>
        </w:rPr>
        <w:t xml:space="preserve"> within the proprietary logics of settler colonialism and racial capitalism to think more fluidly about the porousness of those same bodies as they are made to move and remove</w:t>
      </w:r>
      <w:r w:rsidRPr="00E6038E">
        <w:rPr>
          <w:sz w:val="14"/>
        </w:rPr>
        <w:t xml:space="preserve">, build and destroy, relate and tear asunder. Dene scholar Glen </w:t>
      </w:r>
      <w:r w:rsidRPr="00E6038E">
        <w:rPr>
          <w:rStyle w:val="StyleUnderline"/>
          <w:sz w:val="14"/>
        </w:rPr>
        <w:t xml:space="preserve">Coulthard confronts the debt-driven predatory formations active in Canada, where austerity provides alibis for renewed thefts of Indigenous lands and resources and more indebtedness and </w:t>
      </w:r>
      <w:r w:rsidRPr="0075585F">
        <w:rPr>
          <w:rStyle w:val="StyleUnderline"/>
          <w:sz w:val="14"/>
        </w:rPr>
        <w:t xml:space="preserve">precarity generally. </w:t>
      </w:r>
      <w:r w:rsidRPr="0075585F">
        <w:rPr>
          <w:sz w:val="14"/>
        </w:rPr>
        <w:t xml:space="preserve">Inspired by Frantz Fanon’s belief that </w:t>
      </w:r>
      <w:r w:rsidRPr="0075585F">
        <w:rPr>
          <w:b/>
          <w:bCs/>
          <w:u w:val="single"/>
        </w:rPr>
        <w:t xml:space="preserve">those </w:t>
      </w:r>
      <w:r w:rsidRPr="0075585F">
        <w:rPr>
          <w:rStyle w:val="StyleUnderline"/>
        </w:rPr>
        <w:t>struggling against colonialism must turn away from the colonial state and find in their own transformative praxis the source of their liberation</w:t>
      </w:r>
      <w:r w:rsidRPr="0075585F">
        <w:rPr>
          <w:rStyle w:val="StyleUnderline"/>
          <w:sz w:val="14"/>
        </w:rPr>
        <w:t xml:space="preserve">, </w:t>
      </w:r>
      <w:r w:rsidRPr="0075585F">
        <w:rPr>
          <w:rStyle w:val="StyleUnderline"/>
        </w:rPr>
        <w:t>Coulthard calls for the reinvigoration of land-based norms, of “indigenous laws … that uphold the relations of reciprocity that shape our engagement with the human and nonhuman world—the land</w:t>
      </w:r>
      <w:r w:rsidRPr="0075585F">
        <w:rPr>
          <w:rStyle w:val="StyleUnderline"/>
          <w:sz w:val="14"/>
        </w:rPr>
        <w:t>.”</w:t>
      </w:r>
      <w:r w:rsidRPr="0075585F">
        <w:rPr>
          <w:sz w:val="14"/>
        </w:rPr>
        <w:t>35</w:t>
      </w:r>
      <w:r w:rsidRPr="00E6038E">
        <w:rPr>
          <w:sz w:val="14"/>
        </w:rPr>
        <w:t xml:space="preserve"> </w:t>
      </w:r>
      <w:r w:rsidRPr="00DC221A">
        <w:rPr>
          <w:b/>
          <w:bCs/>
          <w:u w:val="single"/>
        </w:rPr>
        <w:t>He refers to this transformation praxis as “grounded normativity” in Red Skin, White Masks</w:t>
      </w:r>
      <w:r w:rsidRPr="00E6038E">
        <w:rPr>
          <w:sz w:val="14"/>
        </w:rPr>
        <w:t xml:space="preserve">. Recently, writing with Michi Saagiig Nishnaabeg poet, intellectual, and activist Leanne Betasamosake Simpson, he has reframed this praxis as a baseline for anticolonial solidarities against the proprietary and </w:t>
      </w:r>
      <w:r w:rsidRPr="00E6038E">
        <w:rPr>
          <w:rStyle w:val="StyleUnderline"/>
          <w:sz w:val="14"/>
        </w:rPr>
        <w:t>possessive regimes undergirding settler colonialism in North America. “Our relationship to the land itself,”</w:t>
      </w:r>
      <w:r w:rsidRPr="00E6038E">
        <w:rPr>
          <w:sz w:val="14"/>
        </w:rPr>
        <w:t xml:space="preserve"> Coulthard and Simpson write</w:t>
      </w:r>
      <w:r w:rsidRPr="00E6038E">
        <w:rPr>
          <w:rStyle w:val="StyleUnderline"/>
          <w:sz w:val="14"/>
        </w:rPr>
        <w:t>, “generates the processes, practices, and knowledges that inform our political systems, and through which we practice solidarity. To willfully abandon them would amount to a form of auto-genocide.”</w:t>
      </w:r>
      <w:r w:rsidRPr="00E6038E">
        <w:rPr>
          <w:sz w:val="14"/>
        </w:rPr>
        <w:t xml:space="preserve">36 </w:t>
      </w:r>
      <w:r w:rsidRPr="00E6038E">
        <w:rPr>
          <w:rStyle w:val="StyleUnderline"/>
          <w:highlight w:val="green"/>
        </w:rPr>
        <w:t>Grounded normativity</w:t>
      </w:r>
      <w:r w:rsidRPr="00E6038E">
        <w:rPr>
          <w:rStyle w:val="StyleUnderline"/>
          <w:sz w:val="14"/>
        </w:rPr>
        <w:t xml:space="preserve">, as Coulthard and Simpson explain, </w:t>
      </w:r>
      <w:r w:rsidRPr="00E6038E">
        <w:rPr>
          <w:rStyle w:val="StyleUnderline"/>
          <w:highlight w:val="green"/>
        </w:rPr>
        <w:t>provides an ethical way of knowing and being that is more expansive than those ontologies that prioritize the human as exceptional</w:t>
      </w:r>
      <w:r w:rsidRPr="00E6038E">
        <w:rPr>
          <w:rStyle w:val="StyleUnderline"/>
          <w:sz w:val="14"/>
        </w:rPr>
        <w:t xml:space="preserve">, and it is a placement that extends memory through vast kinship networks that assume life, vibrancy, and agency beyond the limits of enlightenment notions of self, liberty, and property. Such </w:t>
      </w:r>
      <w:r w:rsidRPr="00E6038E">
        <w:rPr>
          <w:rStyle w:val="StyleUnderline"/>
          <w:highlight w:val="green"/>
        </w:rPr>
        <w:t>Indigenous interventions</w:t>
      </w:r>
      <w:r w:rsidRPr="00E6038E">
        <w:rPr>
          <w:rStyle w:val="StyleUnderline"/>
        </w:rPr>
        <w:t xml:space="preserve"> to the categories of being codified by settler law, policy, and territoriality are also fundamentally critiques of colonialism as they </w:t>
      </w:r>
      <w:r w:rsidRPr="00E6038E">
        <w:rPr>
          <w:rStyle w:val="StyleUnderline"/>
          <w:highlight w:val="green"/>
        </w:rPr>
        <w:t>reorient knowledge and power within and through Indigenous returns</w:t>
      </w:r>
      <w:r w:rsidRPr="00E6038E">
        <w:rPr>
          <w:rStyle w:val="StyleUnderline"/>
        </w:rPr>
        <w:t xml:space="preserve"> </w:t>
      </w:r>
      <w:r w:rsidRPr="00E6038E">
        <w:rPr>
          <w:rStyle w:val="StyleUnderline"/>
          <w:highlight w:val="green"/>
        </w:rPr>
        <w:t>to land</w:t>
      </w:r>
      <w:r w:rsidRPr="00E6038E">
        <w:rPr>
          <w:rStyle w:val="StyleUnderline"/>
        </w:rPr>
        <w:t xml:space="preserve">, philosophy, diplomacy, activism, </w:t>
      </w:r>
      <w:r w:rsidRPr="00E6038E">
        <w:rPr>
          <w:rStyle w:val="StyleUnderline"/>
          <w:highlight w:val="green"/>
        </w:rPr>
        <w:t>and kinship</w:t>
      </w:r>
      <w:r w:rsidRPr="00E6038E">
        <w:rPr>
          <w:rStyle w:val="StyleUnderline"/>
        </w:rPr>
        <w:t>.</w:t>
      </w:r>
      <w:r w:rsidRPr="00E6038E">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E6038E">
        <w:rPr>
          <w:sz w:val="14"/>
        </w:rPr>
        <w:t xml:space="preserve">Here, as a way toward ending this introduction, we’d like to offer a series of provocations and </w:t>
      </w:r>
      <w:r w:rsidRPr="00E6038E">
        <w:rPr>
          <w:b/>
          <w:bCs/>
          <w:u w:val="single"/>
        </w:rPr>
        <w:t>questions that arise when Black and Indigenous intellectual traditions are held simultaneously as offering disruptions to propriation and possession:</w:t>
      </w:r>
      <w:r w:rsidRPr="00E6038E">
        <w:rPr>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nondominating and nonexploitative way”?</w:t>
      </w:r>
      <w:r w:rsidRPr="00E6038E">
        <w:rPr>
          <w:b/>
          <w:bCs/>
          <w:u w:val="single"/>
        </w:rPr>
        <w:t xml:space="preserve">37 </w:t>
      </w:r>
      <w:r w:rsidRPr="00B71428">
        <w:rPr>
          <w:rStyle w:val="StyleUnderline"/>
        </w:rPr>
        <w:t>What would it be</w:t>
      </w:r>
      <w:r w:rsidRPr="00E6038E">
        <w:rPr>
          <w:rStyle w:val="StyleUnderline"/>
        </w:rPr>
        <w:t xml:space="preserve">, then, </w:t>
      </w:r>
      <w:r w:rsidRPr="00B71428">
        <w:rPr>
          <w:rStyle w:val="StyleUnderline"/>
        </w:rPr>
        <w:t xml:space="preserve">to think and </w:t>
      </w:r>
      <w:r w:rsidRPr="00E6038E">
        <w:rPr>
          <w:rStyle w:val="StyleUnderline"/>
          <w:highlight w:val="green"/>
        </w:rPr>
        <w:t>work for a grounded relationality</w:t>
      </w:r>
      <w:r w:rsidRPr="00E6038E">
        <w:rPr>
          <w:rStyle w:val="StyleUnderline"/>
        </w:rPr>
        <w:t xml:space="preserve">, at once </w:t>
      </w:r>
      <w:r w:rsidRPr="00E6038E">
        <w:rPr>
          <w:rStyle w:val="StyleUnderline"/>
          <w:highlight w:val="green"/>
        </w:rPr>
        <w:t>addressed to Black placemaking, geographies, and other racialized diasporas</w:t>
      </w:r>
      <w:r w:rsidRPr="00E6038E">
        <w:rPr>
          <w:rStyle w:val="StyleUnderline"/>
        </w:rPr>
        <w:t>, as well as to proprietary violences incommensurate to yet not altogether separate from Indigenous land and sovereignty?</w:t>
      </w:r>
      <w:r w:rsidRPr="00E6038E">
        <w:rPr>
          <w:rStyle w:val="StyleUnderline"/>
          <w:sz w:val="14"/>
        </w:rPr>
        <w:t xml:space="preserve"> What would it mean to consider the land itself as a site of an agentive fungibility that has been conscripted into the proprietary spatialities of colonial possessiveness and constrained into geographies of exploitation that no longer serve the relationalities of presence and care that have for so long been its domain as a common for all? </w:t>
      </w:r>
      <w:r w:rsidRPr="00E6038E">
        <w:rPr>
          <w:rStyle w:val="StyleUnderline"/>
          <w:highlight w:val="green"/>
        </w:rPr>
        <w:t>The loss of land is not just a loss of</w:t>
      </w:r>
      <w:r w:rsidRPr="00E6038E">
        <w:rPr>
          <w:rStyle w:val="StyleUnderline"/>
        </w:rPr>
        <w:t xml:space="preserve"> property, territoriality, power, nation, or </w:t>
      </w:r>
      <w:r w:rsidRPr="00E6038E">
        <w:rPr>
          <w:rStyle w:val="StyleUnderline"/>
          <w:highlight w:val="green"/>
        </w:rPr>
        <w:t>sovereignty; it is the loss of</w:t>
      </w:r>
      <w:r w:rsidRPr="00E6038E">
        <w:rPr>
          <w:rStyle w:val="StyleUnderline"/>
        </w:rPr>
        <w:t xml:space="preserve"> those philosophies that derive from the </w:t>
      </w:r>
      <w:r w:rsidRPr="00E6038E">
        <w:rPr>
          <w:rStyle w:val="StyleUnderline"/>
          <w:highlight w:val="green"/>
        </w:rPr>
        <w:t>relationships the land itself activates, fosters, and nourishes</w:t>
      </w:r>
      <w:r w:rsidRPr="00E6038E">
        <w:rPr>
          <w:b/>
          <w:bCs/>
          <w:u w:val="single"/>
        </w:rPr>
        <w:t xml:space="preserve">. </w:t>
      </w:r>
      <w:r w:rsidRPr="00E6038E">
        <w:rPr>
          <w:sz w:val="14"/>
        </w:rPr>
        <w:t>Working across the lethal confluences of imperial conquest and racial capitalist predation, the essays that follow engage such questions and the logic of propriation that organizes and underwrites economies of dispossession in the historical present.</w:t>
      </w:r>
    </w:p>
    <w:p w14:paraId="5E59D4E6" w14:textId="77777777" w:rsidR="00C921D7" w:rsidRPr="00EC3CAE" w:rsidRDefault="00C921D7" w:rsidP="00C921D7">
      <w:pPr>
        <w:pStyle w:val="Heading4"/>
      </w:pPr>
      <w:bookmarkStart w:id="1" w:name="_Hlk92198001"/>
      <w:r>
        <w:t xml:space="preserve">Fears of extinction are ideological mystification that uses fear to protect the settler colony. </w:t>
      </w:r>
    </w:p>
    <w:p w14:paraId="374957B8" w14:textId="77777777" w:rsidR="00C921D7" w:rsidRPr="00122C74" w:rsidRDefault="00C921D7" w:rsidP="00C921D7">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13B6F15B" w14:textId="77777777" w:rsidR="00C921D7" w:rsidRPr="00433370" w:rsidRDefault="00C921D7" w:rsidP="00C921D7">
      <w:pPr>
        <w:rPr>
          <w:sz w:val="14"/>
        </w:rPr>
      </w:pPr>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 xml:space="preserve">The significance of this paradox for settler-colonial literature is the subject of this article.¶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r w:rsidRPr="001923BE">
        <w:rPr>
          <w:rStyle w:val="Emphasis"/>
          <w:highlight w:val="gree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r w:rsidRPr="005A723B">
        <w:rPr>
          <w:u w:val="single"/>
        </w:rPr>
        <w:t>, with the result that the radical potentiality of decolonization is undone even as it is invoked.¶</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r w:rsidRPr="00433370">
        <w:t xml:space="preserve"> </w:t>
      </w:r>
    </w:p>
    <w:p w14:paraId="1BED7B5C" w14:textId="77777777" w:rsidR="00C921D7" w:rsidRDefault="00C921D7" w:rsidP="00C921D7"/>
    <w:bookmarkEnd w:id="1"/>
    <w:p w14:paraId="03C60135" w14:textId="77777777" w:rsidR="00376B06" w:rsidRDefault="00376B06"/>
    <w:sectPr w:rsidR="00376B06" w:rsidSect="00B13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46058832">
    <w:abstractNumId w:val="14"/>
  </w:num>
  <w:num w:numId="1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86363296"/>
  </w:docVars>
  <w:rsids>
    <w:rsidRoot w:val="00B13985"/>
    <w:rsid w:val="00187F50"/>
    <w:rsid w:val="002031B7"/>
    <w:rsid w:val="00211158"/>
    <w:rsid w:val="0025681B"/>
    <w:rsid w:val="003200AF"/>
    <w:rsid w:val="003675EC"/>
    <w:rsid w:val="00376B06"/>
    <w:rsid w:val="004F6A01"/>
    <w:rsid w:val="006653D3"/>
    <w:rsid w:val="007D7CA7"/>
    <w:rsid w:val="007E7DC8"/>
    <w:rsid w:val="00817CD9"/>
    <w:rsid w:val="008323DC"/>
    <w:rsid w:val="008E589B"/>
    <w:rsid w:val="00984C81"/>
    <w:rsid w:val="00A44A7C"/>
    <w:rsid w:val="00AB54C6"/>
    <w:rsid w:val="00B13985"/>
    <w:rsid w:val="00B62A95"/>
    <w:rsid w:val="00BF3F3D"/>
    <w:rsid w:val="00C4541E"/>
    <w:rsid w:val="00C921D7"/>
    <w:rsid w:val="00CA712B"/>
    <w:rsid w:val="00DA27DC"/>
    <w:rsid w:val="00E7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3B2C"/>
  <w15:chartTrackingRefBased/>
  <w15:docId w15:val="{98D19602-C044-9B40-A78E-F9326E24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1158"/>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111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11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11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2111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11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39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11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1158"/>
  </w:style>
  <w:style w:type="character" w:customStyle="1" w:styleId="Heading1Char">
    <w:name w:val="Heading 1 Char"/>
    <w:aliases w:val="Pocket Char"/>
    <w:basedOn w:val="DefaultParagraphFont"/>
    <w:link w:val="Heading1"/>
    <w:rsid w:val="0021115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111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11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21115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11158"/>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1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85"/>
    <w:rPr>
      <w:rFonts w:eastAsiaTheme="majorEastAsia" w:cstheme="majorBidi"/>
      <w:color w:val="272727" w:themeColor="text1" w:themeTint="D8"/>
    </w:rPr>
  </w:style>
  <w:style w:type="paragraph" w:styleId="Title">
    <w:name w:val="Title"/>
    <w:basedOn w:val="Normal"/>
    <w:next w:val="Normal"/>
    <w:link w:val="TitleChar"/>
    <w:uiPriority w:val="10"/>
    <w:qFormat/>
    <w:rsid w:val="00B139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85"/>
    <w:pPr>
      <w:spacing w:before="160"/>
      <w:jc w:val="center"/>
    </w:pPr>
    <w:rPr>
      <w:i/>
      <w:iCs/>
      <w:color w:val="404040" w:themeColor="text1" w:themeTint="BF"/>
    </w:rPr>
  </w:style>
  <w:style w:type="character" w:customStyle="1" w:styleId="QuoteChar">
    <w:name w:val="Quote Char"/>
    <w:basedOn w:val="DefaultParagraphFont"/>
    <w:link w:val="Quote"/>
    <w:uiPriority w:val="29"/>
    <w:rsid w:val="00B13985"/>
    <w:rPr>
      <w:i/>
      <w:iCs/>
      <w:color w:val="404040" w:themeColor="text1" w:themeTint="BF"/>
    </w:rPr>
  </w:style>
  <w:style w:type="paragraph" w:styleId="ListParagraph">
    <w:name w:val="List Paragraph"/>
    <w:basedOn w:val="Normal"/>
    <w:uiPriority w:val="34"/>
    <w:qFormat/>
    <w:rsid w:val="00B13985"/>
    <w:pPr>
      <w:ind w:left="720"/>
      <w:contextualSpacing/>
    </w:pPr>
  </w:style>
  <w:style w:type="character" w:styleId="IntenseEmphasis">
    <w:name w:val="Intense Emphasis"/>
    <w:basedOn w:val="DefaultParagraphFont"/>
    <w:uiPriority w:val="21"/>
    <w:qFormat/>
    <w:rsid w:val="00B13985"/>
    <w:rPr>
      <w:i/>
      <w:iCs/>
      <w:color w:val="2F5496" w:themeColor="accent1" w:themeShade="BF"/>
    </w:rPr>
  </w:style>
  <w:style w:type="paragraph" w:styleId="IntenseQuote">
    <w:name w:val="Intense Quote"/>
    <w:basedOn w:val="Normal"/>
    <w:next w:val="Normal"/>
    <w:link w:val="IntenseQuoteChar"/>
    <w:uiPriority w:val="30"/>
    <w:qFormat/>
    <w:rsid w:val="00B13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985"/>
    <w:rPr>
      <w:i/>
      <w:iCs/>
      <w:color w:val="2F5496" w:themeColor="accent1" w:themeShade="BF"/>
    </w:rPr>
  </w:style>
  <w:style w:type="character" w:styleId="IntenseReference">
    <w:name w:val="Intense Reference"/>
    <w:basedOn w:val="DefaultParagraphFont"/>
    <w:uiPriority w:val="32"/>
    <w:qFormat/>
    <w:rsid w:val="00B13985"/>
    <w:rPr>
      <w:b/>
      <w:bCs/>
      <w:smallCaps/>
      <w:color w:val="2F5496"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2111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115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1158"/>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211158"/>
    <w:rPr>
      <w:b w:val="0"/>
      <w:sz w:val="22"/>
      <w:u w:val="single"/>
    </w:rPr>
  </w:style>
  <w:style w:type="character" w:styleId="Strong">
    <w:name w:val="Strong"/>
    <w:basedOn w:val="DefaultParagraphFont"/>
    <w:uiPriority w:val="22"/>
    <w:qFormat/>
    <w:rsid w:val="00211158"/>
    <w:rPr>
      <w:b/>
      <w:bCs/>
    </w:rPr>
  </w:style>
  <w:style w:type="character" w:styleId="BookTitle">
    <w:name w:val="Book Title"/>
    <w:basedOn w:val="DefaultParagraphFont"/>
    <w:uiPriority w:val="33"/>
    <w:qFormat/>
    <w:rsid w:val="00211158"/>
    <w:rPr>
      <w:b/>
      <w:bCs/>
      <w:i/>
      <w:iCs/>
      <w:spacing w:val="5"/>
    </w:rPr>
  </w:style>
  <w:style w:type="numbering" w:styleId="111111">
    <w:name w:val="Outline List 2"/>
    <w:basedOn w:val="NoList"/>
    <w:uiPriority w:val="99"/>
    <w:semiHidden/>
    <w:unhideWhenUsed/>
    <w:rsid w:val="00211158"/>
  </w:style>
  <w:style w:type="paragraph" w:styleId="Header">
    <w:name w:val="header"/>
    <w:basedOn w:val="Normal"/>
    <w:link w:val="HeaderChar"/>
    <w:uiPriority w:val="99"/>
    <w:semiHidden/>
    <w:rsid w:val="00211158"/>
    <w:pPr>
      <w:tabs>
        <w:tab w:val="center" w:pos="4680"/>
        <w:tab w:val="right" w:pos="9360"/>
      </w:tabs>
    </w:pPr>
  </w:style>
  <w:style w:type="character" w:customStyle="1" w:styleId="HeaderChar">
    <w:name w:val="Header Char"/>
    <w:basedOn w:val="DefaultParagraphFont"/>
    <w:link w:val="Header"/>
    <w:uiPriority w:val="99"/>
    <w:semiHidden/>
    <w:rsid w:val="00211158"/>
    <w:rPr>
      <w:rFonts w:ascii="Calibri" w:hAnsi="Calibri" w:cs="Calibri"/>
      <w:kern w:val="0"/>
      <w:sz w:val="22"/>
      <w:szCs w:val="22"/>
      <w14:ligatures w14:val="none"/>
    </w:rPr>
  </w:style>
  <w:style w:type="paragraph" w:styleId="Footer">
    <w:name w:val="footer"/>
    <w:basedOn w:val="Normal"/>
    <w:link w:val="FooterChar"/>
    <w:uiPriority w:val="99"/>
    <w:semiHidden/>
    <w:rsid w:val="00211158"/>
    <w:pPr>
      <w:tabs>
        <w:tab w:val="center" w:pos="4680"/>
        <w:tab w:val="right" w:pos="9360"/>
      </w:tabs>
    </w:pPr>
  </w:style>
  <w:style w:type="character" w:customStyle="1" w:styleId="FooterChar">
    <w:name w:val="Footer Char"/>
    <w:basedOn w:val="DefaultParagraphFont"/>
    <w:link w:val="Footer"/>
    <w:uiPriority w:val="99"/>
    <w:semiHidden/>
    <w:rsid w:val="0021115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11158"/>
    <w:pPr>
      <w:spacing w:after="120"/>
    </w:pPr>
  </w:style>
  <w:style w:type="character" w:customStyle="1" w:styleId="BodyTextChar">
    <w:name w:val="Body Text Char"/>
    <w:basedOn w:val="DefaultParagraphFont"/>
    <w:link w:val="BodyText"/>
    <w:uiPriority w:val="99"/>
    <w:semiHidden/>
    <w:rsid w:val="00211158"/>
    <w:rPr>
      <w:rFonts w:ascii="Calibri" w:hAnsi="Calibri" w:cs="Calibri"/>
      <w:kern w:val="0"/>
      <w:sz w:val="22"/>
      <w:szCs w:val="22"/>
      <w14:ligatures w14:val="none"/>
    </w:rPr>
  </w:style>
  <w:style w:type="paragraph" w:styleId="NoSpacing">
    <w:name w:val="No Spacing"/>
    <w:link w:val="NoSpacingChar"/>
    <w:uiPriority w:val="99"/>
    <w:unhideWhenUsed/>
    <w:qFormat/>
    <w:rsid w:val="00211158"/>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11158"/>
    <w:rPr>
      <w:rFonts w:ascii="Calibri" w:hAnsi="Calibri" w:cs="Calibri"/>
      <w:kern w:val="0"/>
      <w:sz w:val="22"/>
      <w:szCs w:val="22"/>
      <w14:ligatures w14:val="none"/>
    </w:rPr>
  </w:style>
  <w:style w:type="character" w:styleId="Hyperlink">
    <w:name w:val="Hyperlink"/>
    <w:basedOn w:val="DefaultParagraphFont"/>
    <w:uiPriority w:val="99"/>
    <w:unhideWhenUsed/>
    <w:rsid w:val="00211158"/>
    <w:rPr>
      <w:color w:val="0563C1" w:themeColor="hyperlink"/>
      <w:u w:val="single"/>
    </w:rPr>
  </w:style>
  <w:style w:type="character" w:styleId="UnresolvedMention">
    <w:name w:val="Unresolved Mention"/>
    <w:basedOn w:val="DefaultParagraphFont"/>
    <w:uiPriority w:val="99"/>
    <w:semiHidden/>
    <w:unhideWhenUsed/>
    <w:rsid w:val="00211158"/>
    <w:rPr>
      <w:color w:val="605E5C"/>
      <w:shd w:val="clear" w:color="auto" w:fill="E1DFDD"/>
    </w:rPr>
  </w:style>
  <w:style w:type="character" w:customStyle="1" w:styleId="apple-converted-space">
    <w:name w:val="apple-converted-space"/>
    <w:basedOn w:val="DefaultParagraphFont"/>
    <w:rsid w:val="00B62A95"/>
  </w:style>
  <w:style w:type="table" w:styleId="TableGrid">
    <w:name w:val="Table Grid"/>
    <w:basedOn w:val="TableNormal"/>
    <w:uiPriority w:val="39"/>
    <w:rsid w:val="00B62A9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B13985"/>
    <w:pP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211158"/>
    <w:pPr>
      <w:spacing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211158"/>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211158"/>
    <w:rPr>
      <w:color w:val="1F3864" w:themeColor="accent1" w:themeShade="80"/>
    </w:rPr>
  </w:style>
  <w:style w:type="character" w:customStyle="1" w:styleId="AnalyticChar">
    <w:name w:val="Analytic Char"/>
    <w:basedOn w:val="DefaultParagraphFont"/>
    <w:link w:val="Analytic"/>
    <w:uiPriority w:val="5"/>
    <w:rsid w:val="00211158"/>
    <w:rPr>
      <w:rFonts w:ascii="Calibri" w:eastAsiaTheme="majorEastAsia" w:hAnsi="Calibri" w:cstheme="majorBidi"/>
      <w:b/>
      <w:iCs/>
      <w:color w:val="1F3864"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17290</Words>
  <Characters>98558</Characters>
  <Application>Microsoft Office Word</Application>
  <DocSecurity>0</DocSecurity>
  <Lines>821</Lines>
  <Paragraphs>231</Paragraphs>
  <ScaleCrop>false</ScaleCrop>
  <Company/>
  <LinksUpToDate>false</LinksUpToDate>
  <CharactersWithSpaces>115617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Kensington Walker</dc:creator>
  <cp:keywords/>
  <dc:description/>
  <cp:lastModifiedBy>Avery Bates</cp:lastModifiedBy>
  <cp:revision>15</cp:revision>
  <dcterms:created xsi:type="dcterms:W3CDTF">2026-02-01T21:05:00Z</dcterms:created>
  <dcterms:modified xsi:type="dcterms:W3CDTF">2026-03-27T14:41:00Z</dcterms:modified>
</cp:coreProperties>
</file>