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DDE1F" w14:textId="68DFDB6E" w:rsidR="00B96487" w:rsidRDefault="00B946C4" w:rsidP="00B946C4">
      <w:pPr>
        <w:pStyle w:val="Heading1"/>
      </w:pPr>
      <w:r>
        <w:t>1NC</w:t>
      </w:r>
    </w:p>
    <w:p w14:paraId="56BFDAA3" w14:textId="77777777" w:rsidR="00B946C4" w:rsidRDefault="00B946C4" w:rsidP="00B946C4"/>
    <w:p w14:paraId="66396572" w14:textId="3E29C0E4" w:rsidR="00B946C4" w:rsidRDefault="00B946C4" w:rsidP="00B946C4">
      <w:pPr>
        <w:pStyle w:val="Heading2"/>
      </w:pPr>
      <w:r>
        <w:t>OFF</w:t>
      </w:r>
    </w:p>
    <w:p w14:paraId="58EA33D1" w14:textId="77777777" w:rsidR="00B946C4" w:rsidRDefault="00B946C4" w:rsidP="00B946C4"/>
    <w:p w14:paraId="4EFC3B1A" w14:textId="77777777" w:rsidR="00B946C4" w:rsidRDefault="00B946C4" w:rsidP="00B946C4">
      <w:pPr>
        <w:pStyle w:val="Heading4"/>
      </w:pPr>
      <w:r>
        <w:t>Policy reforms of the state embed and conceal structural ableism – reforms repackage surveillance and coercion as care, preserving violent control over disabled communities</w:t>
      </w:r>
    </w:p>
    <w:p w14:paraId="3D742299" w14:textId="77777777" w:rsidR="00B946C4" w:rsidRPr="00B24AE9" w:rsidRDefault="00B946C4" w:rsidP="00B946C4">
      <w:pPr>
        <w:rPr>
          <w:rStyle w:val="Style13ptBold"/>
        </w:rPr>
      </w:pPr>
      <w:r>
        <w:rPr>
          <w:rStyle w:val="Style13ptBold"/>
        </w:rPr>
        <w:t xml:space="preserve">Jensen 2025 </w:t>
      </w:r>
      <w:r w:rsidRPr="0013080E">
        <w:rPr>
          <w:rStyle w:val="Style13ptBold"/>
          <w:sz w:val="16"/>
          <w:szCs w:val="16"/>
        </w:rPr>
        <w:t xml:space="preserve">Jordyn Jensen is the executive director of the Center for Racial and Disability Justice at Northwestern Pritzker School of Law. “The United States is witnessing the return of psychiatric imprisonment,” </w:t>
      </w:r>
      <w:hyperlink r:id="rId5" w:history="1">
        <w:r w:rsidRPr="0013080E">
          <w:rPr>
            <w:rStyle w:val="Hyperlink"/>
            <w:b/>
            <w:bCs/>
            <w:sz w:val="16"/>
            <w:szCs w:val="16"/>
          </w:rPr>
          <w:t>https://www.theguardian.com/commentisfree/2025/apr/27/psychiatric-incarceration-mental-illness</w:t>
        </w:r>
      </w:hyperlink>
      <w:r w:rsidRPr="0013080E">
        <w:rPr>
          <w:rStyle w:val="Style13ptBold"/>
          <w:sz w:val="16"/>
          <w:szCs w:val="16"/>
        </w:rPr>
        <w:t>, [CORNELL DBT] [AV SUMMER25]</w:t>
      </w:r>
    </w:p>
    <w:p w14:paraId="2B600C5E" w14:textId="77777777" w:rsidR="00B946C4" w:rsidRDefault="00B946C4" w:rsidP="00B946C4">
      <w:r w:rsidRPr="00786CF1">
        <w:rPr>
          <w:rStyle w:val="StyleUnderline"/>
        </w:rPr>
        <w:t xml:space="preserve">Across the country, </w:t>
      </w:r>
      <w:r w:rsidRPr="000422B7">
        <w:rPr>
          <w:rStyle w:val="StyleUnderline"/>
          <w:highlight w:val="green"/>
        </w:rPr>
        <w:t xml:space="preserve">a </w:t>
      </w:r>
      <w:r w:rsidRPr="0013080E">
        <w:rPr>
          <w:rStyle w:val="StyleUnderline"/>
        </w:rPr>
        <w:t>troubling</w:t>
      </w:r>
      <w:r w:rsidRPr="000422B7">
        <w:rPr>
          <w:rStyle w:val="StyleUnderline"/>
          <w:highlight w:val="green"/>
        </w:rPr>
        <w:t xml:space="preserve"> trend is accelerating: the return of institutionalization</w:t>
      </w:r>
      <w:r w:rsidRPr="00786CF1">
        <w:rPr>
          <w:rStyle w:val="StyleUnderline"/>
        </w:rPr>
        <w:t xml:space="preserve"> – rebranded, </w:t>
      </w:r>
      <w:r w:rsidRPr="000422B7">
        <w:rPr>
          <w:rStyle w:val="StyleUnderline"/>
          <w:highlight w:val="green"/>
        </w:rPr>
        <w:t xml:space="preserve">repackaged </w:t>
      </w:r>
      <w:r w:rsidRPr="0013080E">
        <w:rPr>
          <w:rStyle w:val="StyleUnderline"/>
        </w:rPr>
        <w:t xml:space="preserve">and framed </w:t>
      </w:r>
      <w:r w:rsidRPr="000422B7">
        <w:rPr>
          <w:rStyle w:val="StyleUnderline"/>
          <w:highlight w:val="green"/>
        </w:rPr>
        <w:t>as</w:t>
      </w:r>
      <w:r w:rsidRPr="00786CF1">
        <w:rPr>
          <w:rStyle w:val="StyleUnderline"/>
        </w:rPr>
        <w:t xml:space="preserve"> “modern mental health </w:t>
      </w:r>
      <w:r w:rsidRPr="000422B7">
        <w:rPr>
          <w:rStyle w:val="StyleUnderline"/>
          <w:highlight w:val="green"/>
        </w:rPr>
        <w:t>care”. From</w:t>
      </w:r>
      <w:r w:rsidRPr="00786CF1">
        <w:rPr>
          <w:rStyle w:val="StyleUnderline"/>
        </w:rPr>
        <w:t xml:space="preserve"> Governor Kathy Hochul’s push to expand </w:t>
      </w:r>
      <w:r w:rsidRPr="000422B7">
        <w:rPr>
          <w:rStyle w:val="StyleUnderline"/>
          <w:highlight w:val="green"/>
        </w:rPr>
        <w:t>involuntary commitment</w:t>
      </w:r>
      <w:r w:rsidRPr="00786CF1">
        <w:rPr>
          <w:rStyle w:val="StyleUnderline"/>
        </w:rPr>
        <w:t xml:space="preserve"> in New York </w:t>
      </w:r>
      <w:r w:rsidRPr="000422B7">
        <w:rPr>
          <w:rStyle w:val="StyleUnderline"/>
          <w:highlight w:val="green"/>
        </w:rPr>
        <w:t>to</w:t>
      </w:r>
      <w:r w:rsidRPr="00786CF1">
        <w:rPr>
          <w:rStyle w:val="StyleUnderline"/>
        </w:rPr>
        <w:t xml:space="preserve"> Robert F Kennedy Jr’s proposal for “</w:t>
      </w:r>
      <w:r w:rsidRPr="000422B7">
        <w:rPr>
          <w:rStyle w:val="StyleUnderline"/>
          <w:highlight w:val="green"/>
        </w:rPr>
        <w:t>wellness farms</w:t>
      </w:r>
      <w:r w:rsidRPr="00786CF1">
        <w:rPr>
          <w:rStyle w:val="StyleUnderline"/>
        </w:rPr>
        <w:t xml:space="preserve">” under his Make America Healthy Again (Maha) initiative, </w:t>
      </w:r>
      <w:r w:rsidRPr="000422B7">
        <w:rPr>
          <w:rStyle w:val="StyleUnderline"/>
          <w:highlight w:val="green"/>
        </w:rPr>
        <w:t>policymakers are reviving the logics of confinement under the guise of care.</w:t>
      </w:r>
      <w:r w:rsidRPr="00786CF1">
        <w:rPr>
          <w:rStyle w:val="StyleUnderline"/>
        </w:rPr>
        <w:t xml:space="preserve">  These proposals may differ in form, but </w:t>
      </w:r>
      <w:r w:rsidRPr="000422B7">
        <w:rPr>
          <w:rStyle w:val="StyleUnderline"/>
          <w:highlight w:val="green"/>
        </w:rPr>
        <w:t xml:space="preserve">they share a </w:t>
      </w:r>
      <w:r w:rsidRPr="0013080E">
        <w:rPr>
          <w:rStyle w:val="StyleUnderline"/>
        </w:rPr>
        <w:t xml:space="preserve">common </w:t>
      </w:r>
      <w:r w:rsidRPr="000422B7">
        <w:rPr>
          <w:rStyle w:val="StyleUnderline"/>
          <w:highlight w:val="green"/>
        </w:rPr>
        <w:t>function: expanding the state’s power to surveil, detain and “treat”</w:t>
      </w:r>
      <w:r w:rsidRPr="00786CF1">
        <w:rPr>
          <w:rStyle w:val="StyleUnderline"/>
        </w:rPr>
        <w:t xml:space="preserve"> marginalized </w:t>
      </w:r>
      <w:r w:rsidRPr="000422B7">
        <w:rPr>
          <w:rStyle w:val="StyleUnderline"/>
          <w:highlight w:val="green"/>
        </w:rPr>
        <w:t>people deemed disruptive or deviant</w:t>
      </w:r>
      <w:r w:rsidRPr="00786CF1">
        <w:rPr>
          <w:rStyle w:val="StyleUnderline"/>
        </w:rPr>
        <w:t xml:space="preserve">. Far from offering real support, </w:t>
      </w:r>
      <w:r w:rsidRPr="000422B7">
        <w:rPr>
          <w:rStyle w:val="StyleUnderline"/>
          <w:highlight w:val="green"/>
        </w:rPr>
        <w:t xml:space="preserve">they reflect a deep investment in carceral control – </w:t>
      </w:r>
      <w:r w:rsidRPr="0013080E">
        <w:rPr>
          <w:rStyle w:val="StyleUnderline"/>
        </w:rPr>
        <w:t xml:space="preserve">particularly </w:t>
      </w:r>
      <w:r w:rsidRPr="000422B7">
        <w:rPr>
          <w:rStyle w:val="StyleUnderline"/>
          <w:highlight w:val="green"/>
        </w:rPr>
        <w:t>over disabled</w:t>
      </w:r>
      <w:r w:rsidRPr="00786CF1">
        <w:rPr>
          <w:rStyle w:val="StyleUnderline"/>
        </w:rPr>
        <w:t xml:space="preserve">, unhoused, racialized and LGBTQIA+ </w:t>
      </w:r>
      <w:r w:rsidRPr="000422B7">
        <w:rPr>
          <w:rStyle w:val="StyleUnderline"/>
          <w:highlight w:val="green"/>
        </w:rPr>
        <w:t>communities</w:t>
      </w:r>
      <w:r w:rsidRPr="00786CF1">
        <w:rPr>
          <w:rStyle w:val="StyleUnderline"/>
        </w:rPr>
        <w:t xml:space="preserve">. Communities that have often seen how </w:t>
      </w:r>
      <w:r w:rsidRPr="00B91A28">
        <w:rPr>
          <w:rStyle w:val="StyleUnderline"/>
          <w:highlight w:val="green"/>
        </w:rPr>
        <w:t>the framing</w:t>
      </w:r>
      <w:r w:rsidRPr="00786CF1">
        <w:rPr>
          <w:rStyle w:val="StyleUnderline"/>
        </w:rPr>
        <w:t xml:space="preserve"> of institutionalization as “treatment” </w:t>
      </w:r>
      <w:r w:rsidRPr="00B91A28">
        <w:rPr>
          <w:rStyle w:val="StyleUnderline"/>
          <w:highlight w:val="green"/>
        </w:rPr>
        <w:t>obscures</w:t>
      </w:r>
      <w:r w:rsidRPr="00786CF1">
        <w:rPr>
          <w:rStyle w:val="StyleUnderline"/>
        </w:rPr>
        <w:t xml:space="preserve"> both </w:t>
      </w:r>
      <w:r w:rsidRPr="00B91A28">
        <w:rPr>
          <w:rStyle w:val="StyleUnderline"/>
          <w:highlight w:val="green"/>
        </w:rPr>
        <w:t>its violent history and</w:t>
      </w:r>
      <w:r w:rsidRPr="00786CF1">
        <w:rPr>
          <w:rStyle w:val="StyleUnderline"/>
        </w:rPr>
        <w:t xml:space="preserve"> its </w:t>
      </w:r>
      <w:r w:rsidRPr="00B91A28">
        <w:rPr>
          <w:rStyle w:val="StyleUnderline"/>
          <w:highlight w:val="green"/>
        </w:rPr>
        <w:t>ongoing legacy.</w:t>
      </w:r>
      <w:r w:rsidRPr="00786CF1">
        <w:rPr>
          <w:rStyle w:val="StyleUnderline"/>
        </w:rPr>
        <w:t xml:space="preserve"> In doing so, </w:t>
      </w:r>
      <w:r w:rsidRPr="00B91A28">
        <w:rPr>
          <w:rStyle w:val="StyleUnderline"/>
          <w:highlight w:val="green"/>
        </w:rPr>
        <w:t>these policies erase community-based solutions</w:t>
      </w:r>
      <w:r w:rsidRPr="00786CF1">
        <w:rPr>
          <w:rStyle w:val="StyleUnderline"/>
        </w:rPr>
        <w:t xml:space="preserve">, undermine autonomy, </w:t>
      </w:r>
      <w:r w:rsidRPr="00B91A28">
        <w:rPr>
          <w:rStyle w:val="StyleUnderline"/>
          <w:highlight w:val="green"/>
        </w:rPr>
        <w:t>and reinforce</w:t>
      </w:r>
      <w:r w:rsidRPr="00786CF1">
        <w:rPr>
          <w:rStyle w:val="StyleUnderline"/>
        </w:rPr>
        <w:t xml:space="preserve"> the very </w:t>
      </w:r>
      <w:r w:rsidRPr="00B91A28">
        <w:rPr>
          <w:rStyle w:val="StyleUnderline"/>
          <w:highlight w:val="green"/>
        </w:rPr>
        <w:t>systems of confinement</w:t>
      </w:r>
      <w:r w:rsidRPr="00786CF1">
        <w:rPr>
          <w:rStyle w:val="StyleUnderline"/>
        </w:rPr>
        <w:t xml:space="preserve"> they claim to move beyond.</w:t>
      </w:r>
      <w:r>
        <w:t xml:space="preserve"> </w:t>
      </w:r>
      <w:r w:rsidRPr="00B91A28">
        <w:rPr>
          <w:sz w:val="14"/>
          <w:szCs w:val="14"/>
        </w:rPr>
        <w:t>Take Hochul’s proposal, which seeks to lower the threshold for involuntary psychiatric hospitalization in New York. Under her plan, individuals could be detained not because they pose an imminent danger, but because they are deemed unable to meet their basic needs due to a perceived “mental illness”.</w:t>
      </w:r>
      <w:r w:rsidRPr="00BF7217">
        <w:t xml:space="preserve"> </w:t>
      </w:r>
      <w:r w:rsidRPr="00786CF1">
        <w:rPr>
          <w:rStyle w:val="StyleUnderline"/>
        </w:rPr>
        <w:t>This vague and subjective standard opens the door to sweeping state control over unhoused people, disabled people</w:t>
      </w:r>
      <w:r>
        <w:rPr>
          <w:rStyle w:val="StyleUnderline"/>
        </w:rPr>
        <w:t xml:space="preserve"> </w:t>
      </w:r>
      <w:r w:rsidRPr="00786CF1">
        <w:rPr>
          <w:rStyle w:val="StyleUnderline"/>
        </w:rPr>
        <w:t xml:space="preserve">and others struggling to survive amid systemic neglect. Hochul also proposes expanding the authority to initiate forced treatment to a broader range of professionals – including psychiatric nurse practitioners – and would require practitioners to factor in a person’s history, in effect pathologizing prior distress as grounds for future detention. This is not a fringe proposal. It builds on a growing wave of reinstitutionalization efforts nationwide. In 2022, New York City’s mayor, Eric Adams, directed police and EMTs to forcibly hospitalize people deemed “mentally ill”, even without signs of imminent danger. In California, Governor Gavin Newsom’s Care courts compel people into court-ordered “treatment”.  Now, these efforts are being turbocharged at the federal level. </w:t>
      </w:r>
      <w:r w:rsidRPr="00B91A28">
        <w:rPr>
          <w:rStyle w:val="StyleUnderline"/>
          <w:highlight w:val="green"/>
        </w:rPr>
        <w:t>RFK Jr’s</w:t>
      </w:r>
      <w:r w:rsidRPr="00786CF1">
        <w:rPr>
          <w:rStyle w:val="StyleUnderline"/>
        </w:rPr>
        <w:t xml:space="preserve"> Maha initiative proposes </w:t>
      </w:r>
      <w:r w:rsidRPr="00B91A28">
        <w:rPr>
          <w:rStyle w:val="StyleUnderline"/>
          <w:highlight w:val="green"/>
        </w:rPr>
        <w:t>labor-based “wellness farms”</w:t>
      </w:r>
      <w:r w:rsidRPr="00786CF1">
        <w:rPr>
          <w:rStyle w:val="StyleUnderline"/>
        </w:rPr>
        <w:t xml:space="preserve"> as a response to homelessness and addiction – an idea that eerily </w:t>
      </w:r>
      <w:r w:rsidRPr="00B91A28">
        <w:rPr>
          <w:rStyle w:val="StyleUnderline"/>
          <w:highlight w:val="green"/>
        </w:rPr>
        <w:t>echo</w:t>
      </w:r>
      <w:r w:rsidRPr="00786CF1">
        <w:rPr>
          <w:rStyle w:val="StyleUnderline"/>
        </w:rPr>
        <w:t xml:space="preserve">es the </w:t>
      </w:r>
      <w:r w:rsidRPr="00B91A28">
        <w:rPr>
          <w:rStyle w:val="StyleUnderline"/>
          <w:highlight w:val="green"/>
        </w:rPr>
        <w:t>institutional farms of the 20th century</w:t>
      </w:r>
      <w:r w:rsidRPr="00786CF1">
        <w:rPr>
          <w:rStyle w:val="StyleUnderline"/>
        </w:rPr>
        <w:t>, where disabled people and people of color were confined, surveilled and exploited under the guise of rehabilitation.</w:t>
      </w:r>
      <w:r w:rsidRPr="00BF7217">
        <w:t xml:space="preserve"> </w:t>
      </w:r>
      <w:r w:rsidRPr="00B91A28">
        <w:rPr>
          <w:sz w:val="14"/>
          <w:szCs w:val="14"/>
        </w:rPr>
        <w:t>Just recently, the US Department of Health and Human Services (HHS) announced a sweeping restructuring that will dismantle critical agencies and consolidate power under a new “Administration for a Healthy America” (AHA). Aligned with RFK Jr’s Maha initiative and Donald Trump’s “department of government efficiency” directive, the plan merges the Substance Abuse and Mental Health Services Administration (SAMHSA), the Health Resources and Services Administration (HRSA) and other agencies into a centralized structure ostensibly focused on combating chronic illness.</w:t>
      </w:r>
      <w:r w:rsidRPr="00BF7217">
        <w:t xml:space="preserve"> </w:t>
      </w:r>
      <w:r w:rsidRPr="00786CF1">
        <w:rPr>
          <w:rStyle w:val="StyleUnderline"/>
        </w:rPr>
        <w:t xml:space="preserve">But through this restructuring – and the mass firing of HHS employees – the federal government is gutting the specialized infrastructure that supports mental health, disability services and low-income communities. </w:t>
      </w:r>
      <w:r w:rsidRPr="00B91A28">
        <w:rPr>
          <w:sz w:val="14"/>
          <w:szCs w:val="14"/>
        </w:rPr>
        <w:t xml:space="preserve">The restructuring is already under way: 20,000 jobs have been eliminated, regional offices slashed, and the Administration for Community Living (ACL) dissolved its vital programs for older adults and disabled people scattered across other agencies with little clarity or accountability. This is not administrative streamlining; it is a calculated dismantling of protections and supports, cloaked in the rhetoric of efficiency and reform. SAMHSA – a pillar of the country’s behavioral health system, responsible for coordinating addiction services, crisis response and community mental health care – is being gutted, threatening programs such as the 988 crisis line and opioid treatment access. </w:t>
      </w:r>
      <w:r w:rsidRPr="00B91A28">
        <w:rPr>
          <w:rStyle w:val="StyleUnderline"/>
          <w:highlight w:val="green"/>
        </w:rPr>
        <w:t>These moves reflect</w:t>
      </w:r>
      <w:r w:rsidRPr="00961C9C">
        <w:rPr>
          <w:rStyle w:val="StyleUnderline"/>
        </w:rPr>
        <w:t xml:space="preserve"> not just austerity, but a broader </w:t>
      </w:r>
      <w:r w:rsidRPr="00B91A28">
        <w:rPr>
          <w:rStyle w:val="StyleUnderline"/>
          <w:highlight w:val="green"/>
        </w:rPr>
        <w:t>governmental strategy of manufactured confusion</w:t>
      </w:r>
      <w:r w:rsidRPr="00961C9C">
        <w:rPr>
          <w:rStyle w:val="StyleUnderline"/>
        </w:rPr>
        <w:t xml:space="preserve">. By dissolving the very institutions tasked with upholding the rights and needs of disabled and low-income people, </w:t>
      </w:r>
      <w:r w:rsidRPr="00B91A28">
        <w:rPr>
          <w:rStyle w:val="StyleUnderline"/>
          <w:highlight w:val="green"/>
        </w:rPr>
        <w:t>the federal government is laying</w:t>
      </w:r>
      <w:r w:rsidRPr="00961C9C">
        <w:rPr>
          <w:rStyle w:val="StyleUnderline"/>
        </w:rPr>
        <w:t xml:space="preserve"> the groundwork for </w:t>
      </w:r>
      <w:r w:rsidRPr="00B91A28">
        <w:rPr>
          <w:rStyle w:val="StyleUnderline"/>
          <w:highlight w:val="green"/>
        </w:rPr>
        <w:t>a more expansive</w:t>
      </w:r>
      <w:r w:rsidRPr="00961C9C">
        <w:rPr>
          <w:rStyle w:val="StyleUnderline"/>
        </w:rPr>
        <w:t xml:space="preserve"> – and less accountable – </w:t>
      </w:r>
      <w:r w:rsidRPr="00B91A28">
        <w:rPr>
          <w:rStyle w:val="StyleUnderline"/>
          <w:highlight w:val="green"/>
        </w:rPr>
        <w:t>system of carceral “care”.</w:t>
      </w:r>
      <w:r w:rsidRPr="00BF7217">
        <w:t xml:space="preserve">  </w:t>
      </w:r>
      <w:r w:rsidRPr="00B91A28">
        <w:rPr>
          <w:sz w:val="14"/>
          <w:szCs w:val="14"/>
        </w:rPr>
        <w:t>This new era of psychiatric control is being marketed as a moral imperative. Supporters insist there is a humanitarian duty to intervene – to “help” people who are suffering. But coercion is not care. Decades of research show that involuntary (forced) psychiatric interventions often lead to trauma, mistrust, and poorer health outcomes. Forced hospitalization has been linked to increased suicide risk and long-term disengagement from mental health care. Most critically, it diverts attention from the actual drivers of distress: poverty, housing instability, criminalization, systemic racism and a broken healthcare system.  The claim that we simply need more psychiatric beds is a distraction. What we need is a complete paradigm shift – away from coercion and toward collective care. Proven alternatives already exist: housing-first initiatives, non-police and peer-led crisis response teams, harm reduction programs, and voluntary, community-based mental health services. These models prioritize dignity, autonomy and support over surveillance, control and confinement. As Liat Ben-Moshe argues, prisons did not simply replace asylums; rather, the two systems coexist and evolve, working in tandem to surveil, contain and control marginalized populations.</w:t>
      </w:r>
      <w:r w:rsidRPr="00BF7217">
        <w:t xml:space="preserve"> </w:t>
      </w:r>
      <w:r w:rsidRPr="00D537BA">
        <w:rPr>
          <w:rStyle w:val="StyleUnderline"/>
        </w:rPr>
        <w:t>Today, reinstitutionalization is returning under a more therapeutic facade: “wellness farms”, court diversion programs, expanded involuntary commitment.</w:t>
      </w:r>
      <w:r w:rsidRPr="00BF7217">
        <w:t xml:space="preserve"> </w:t>
      </w:r>
      <w:r w:rsidRPr="00B91A28">
        <w:rPr>
          <w:sz w:val="14"/>
          <w:szCs w:val="14"/>
        </w:rPr>
        <w:t>The language has changed, but the logic remains the same. This moment demands resistance. We must reject the idea that locking people up is a form of care.</w:t>
      </w:r>
      <w:r w:rsidRPr="00BF7217">
        <w:t xml:space="preserve"> </w:t>
      </w:r>
      <w:r w:rsidRPr="00D537BA">
        <w:rPr>
          <w:rStyle w:val="StyleUnderline"/>
        </w:rPr>
        <w:t xml:space="preserve">These proposals must be named for what they are: state-sanctioned strategies of containment, </w:t>
      </w:r>
      <w:r w:rsidRPr="00B91A28">
        <w:rPr>
          <w:rStyle w:val="StyleUnderline"/>
          <w:highlight w:val="green"/>
        </w:rPr>
        <w:t>rooted in ableism</w:t>
      </w:r>
      <w:r w:rsidRPr="00D537BA">
        <w:rPr>
          <w:rStyle w:val="StyleUnderline"/>
        </w:rPr>
        <w:t>, racism and the fear of nonconformity.</w:t>
      </w:r>
      <w:r w:rsidRPr="00BF7217">
        <w:t xml:space="preserve">  </w:t>
      </w:r>
      <w:r w:rsidRPr="00B91A28">
        <w:rPr>
          <w:sz w:val="14"/>
          <w:szCs w:val="14"/>
        </w:rPr>
        <w:t>Real public health does not rely on force. It does not require confining people or pathologizing poverty. It means meeting people’s needs – through housing, community care, healthcare and support systems that are voluntary, accessible and liberatory. As budget negotiations in New York continue to drag on – with expansions to involuntary commitment still on the table – and as RFK Jr advances carceral care proposals at the federal level, we face a critical choice: will we continue the long history of institutional violence, or will we build something better – something rooted in justice, autonomy and collective wellbeing? The future of mental health care – and of human dignity itself – depends on our answer.</w:t>
      </w:r>
    </w:p>
    <w:p w14:paraId="1EC74240" w14:textId="77777777" w:rsidR="00B946C4" w:rsidRDefault="00B946C4" w:rsidP="00B946C4"/>
    <w:p w14:paraId="5D454B65" w14:textId="77777777" w:rsidR="00B946C4" w:rsidRDefault="00B946C4" w:rsidP="00B946C4"/>
    <w:p w14:paraId="466A39BB" w14:textId="77777777" w:rsidR="00B946C4" w:rsidRPr="00F06A6E" w:rsidRDefault="00B946C4" w:rsidP="00B946C4"/>
    <w:p w14:paraId="7435A52E" w14:textId="77777777" w:rsidR="00B946C4" w:rsidRDefault="00B946C4" w:rsidP="00B946C4">
      <w:pPr>
        <w:pStyle w:val="Heading4"/>
      </w:pPr>
      <w:r>
        <w:t>Collective bargaining structures systemically deny accommodations for disabled workers, making unions and the USFG the perpetrators of ableist labor practices</w:t>
      </w:r>
    </w:p>
    <w:p w14:paraId="490EC547" w14:textId="77777777" w:rsidR="00B946C4" w:rsidRPr="00370E2C" w:rsidRDefault="00B946C4" w:rsidP="00B946C4">
      <w:pPr>
        <w:rPr>
          <w:rStyle w:val="Style13ptBold"/>
        </w:rPr>
      </w:pPr>
      <w:r>
        <w:rPr>
          <w:rStyle w:val="Style13ptBold"/>
        </w:rPr>
        <w:t xml:space="preserve">Hickox 2016 </w:t>
      </w:r>
      <w:r w:rsidRPr="0087509D">
        <w:rPr>
          <w:rStyle w:val="Style13ptBold"/>
          <w:sz w:val="16"/>
          <w:szCs w:val="16"/>
        </w:rPr>
        <w:t xml:space="preserve">Stacy Hickox is an Associate Professor in the School of Human Resources &amp; Labor Relations at Michigan State University. She teaches in both the human resources &amp; labor relations masters program and in the undergraduate human capital &amp; society program. Her research focuses on barriers to employment for people with disabilities and a criminal record, as well as ways to address harassment and bullying in the workplace. Stacy attended the School of Industrial and Labor Relations at Cornell University and received her J.D. from the University of Pennsylvania Law School. “Bargaining for Accommodations,” </w:t>
      </w:r>
      <w:hyperlink r:id="rId6" w:history="1">
        <w:r w:rsidRPr="0087509D">
          <w:rPr>
            <w:rStyle w:val="Hyperlink"/>
            <w:b/>
            <w:bCs/>
            <w:sz w:val="16"/>
            <w:szCs w:val="16"/>
          </w:rPr>
          <w:t>https://scholarship.law.upenn.edu/cgi/viewcontent.cgi?article=1532&amp;context=jbl&amp;utm_source=chatgpt.com</w:t>
        </w:r>
      </w:hyperlink>
      <w:r w:rsidRPr="0087509D">
        <w:rPr>
          <w:rStyle w:val="Style13ptBold"/>
          <w:b w:val="0"/>
          <w:bCs w:val="0"/>
          <w:sz w:val="16"/>
          <w:szCs w:val="16"/>
        </w:rPr>
        <w:t>,</w:t>
      </w:r>
      <w:r w:rsidRPr="0087509D">
        <w:rPr>
          <w:rStyle w:val="Style13ptBold"/>
          <w:sz w:val="16"/>
          <w:szCs w:val="16"/>
        </w:rPr>
        <w:t xml:space="preserve"> [CORNELL DBT] [AV SUMMER25]</w:t>
      </w:r>
    </w:p>
    <w:p w14:paraId="56B32077" w14:textId="77777777" w:rsidR="00B946C4" w:rsidRDefault="00B946C4" w:rsidP="00B946C4">
      <w:r w:rsidRPr="00F5734C">
        <w:rPr>
          <w:rStyle w:val="StyleUnderline"/>
        </w:rPr>
        <w:t xml:space="preserve">Interpreting Barnett broadly, </w:t>
      </w:r>
      <w:r w:rsidRPr="00F5734C">
        <w:rPr>
          <w:rStyle w:val="StyleUnderline"/>
          <w:highlight w:val="green"/>
        </w:rPr>
        <w:t>courts</w:t>
      </w:r>
      <w:r w:rsidRPr="00F5734C">
        <w:rPr>
          <w:rStyle w:val="StyleUnderline"/>
        </w:rPr>
        <w:t xml:space="preserve"> typically </w:t>
      </w:r>
      <w:r w:rsidRPr="00F5734C">
        <w:rPr>
          <w:rStyle w:val="StyleUnderline"/>
          <w:highlight w:val="green"/>
        </w:rPr>
        <w:t>have not required an employer to provide any accommodation that contravenes</w:t>
      </w:r>
      <w:r w:rsidRPr="00F5734C">
        <w:rPr>
          <w:rStyle w:val="StyleUnderline"/>
        </w:rPr>
        <w:t xml:space="preserve"> a </w:t>
      </w:r>
      <w:r w:rsidRPr="00F5734C">
        <w:rPr>
          <w:rStyle w:val="StyleUnderline"/>
          <w:highlight w:val="green"/>
        </w:rPr>
        <w:t>seniority</w:t>
      </w:r>
      <w:r w:rsidRPr="00F5734C">
        <w:rPr>
          <w:rStyle w:val="StyleUnderline"/>
        </w:rPr>
        <w:t xml:space="preserve"> provision. Virtually </w:t>
      </w:r>
      <w:r w:rsidRPr="00F5734C">
        <w:rPr>
          <w:rStyle w:val="StyleUnderline"/>
          <w:highlight w:val="green"/>
        </w:rPr>
        <w:t>all CBAs include seniority provisions</w:t>
      </w:r>
      <w:r w:rsidRPr="00F5734C">
        <w:rPr>
          <w:rStyle w:val="StyleUnderline"/>
        </w:rPr>
        <w:t xml:space="preserve">, often play a role in promotions and transfers as well as the recall rights of laid off employees. Given their commonality, this </w:t>
      </w:r>
      <w:r w:rsidRPr="00F5734C">
        <w:rPr>
          <w:rStyle w:val="StyleUnderline"/>
          <w:highlight w:val="green"/>
        </w:rPr>
        <w:t>deference to seniority has a significant negative impact on requests for accommodations</w:t>
      </w:r>
      <w:r w:rsidRPr="00F5734C">
        <w:rPr>
          <w:rStyle w:val="StyleUnderline"/>
        </w:rPr>
        <w:t xml:space="preserve"> which arguably conflict with such a policy, including the opportunity to transfer. Consequently, the </w:t>
      </w:r>
      <w:r w:rsidRPr="00F5734C">
        <w:rPr>
          <w:rStyle w:val="StyleUnderline"/>
          <w:highlight w:val="green"/>
        </w:rPr>
        <w:t>claims of numerous employees with a disability have been dismissed</w:t>
      </w:r>
      <w:r w:rsidRPr="00F5734C">
        <w:rPr>
          <w:rStyle w:val="StyleUnderline"/>
        </w:rPr>
        <w:t xml:space="preserve"> because the employee sought a transfer into a position to which another employee claimed rights under a CBA. The broad application of Barnett </w:t>
      </w:r>
      <w:r w:rsidRPr="00F5734C">
        <w:rPr>
          <w:rStyle w:val="StyleUnderline"/>
          <w:highlight w:val="green"/>
        </w:rPr>
        <w:t>since 2002 has resulted in the discharge of many employees with disabilities</w:t>
      </w:r>
      <w:r w:rsidRPr="00F5734C">
        <w:rPr>
          <w:rStyle w:val="StyleUnderline"/>
        </w:rPr>
        <w:t xml:space="preserve">. This </w:t>
      </w:r>
      <w:r w:rsidRPr="0070198A">
        <w:rPr>
          <w:rStyle w:val="StyleUnderline"/>
          <w:highlight w:val="green"/>
        </w:rPr>
        <w:t>deference to CBA provisions has been expanded beyond seniority to bar claims of employees who seek accommodations</w:t>
      </w:r>
      <w:r w:rsidRPr="00F5734C">
        <w:rPr>
          <w:rStyle w:val="StyleUnderline"/>
        </w:rPr>
        <w:t xml:space="preserve"> which limit an employer’s authority or discretion which has been retained under a CBA or its own policy. </w:t>
      </w:r>
      <w:r w:rsidRPr="00370E2C">
        <w:rPr>
          <w:rStyle w:val="StyleUnderline"/>
        </w:rPr>
        <w:t xml:space="preserve">For example, </w:t>
      </w:r>
      <w:r w:rsidRPr="0070198A">
        <w:rPr>
          <w:rStyle w:val="StyleUnderline"/>
          <w:highlight w:val="green"/>
        </w:rPr>
        <w:t xml:space="preserve">the claim of a </w:t>
      </w:r>
      <w:r w:rsidRPr="00370E2C">
        <w:rPr>
          <w:rStyle w:val="StyleUnderline"/>
        </w:rPr>
        <w:t xml:space="preserve">post office </w:t>
      </w:r>
      <w:r w:rsidRPr="0070198A">
        <w:rPr>
          <w:rStyle w:val="StyleUnderline"/>
          <w:highlight w:val="green"/>
        </w:rPr>
        <w:t>employee seeking assignment to a particular shift was dismissed</w:t>
      </w:r>
      <w:r w:rsidRPr="00F5734C">
        <w:rPr>
          <w:rStyle w:val="StyleUnderline"/>
        </w:rPr>
        <w:t xml:space="preserve"> based on that employer’s retention of authority to assign employees to any shift under the CBA.  The </w:t>
      </w:r>
      <w:r w:rsidRPr="0070198A">
        <w:rPr>
          <w:rStyle w:val="StyleUnderline"/>
          <w:highlight w:val="green"/>
        </w:rPr>
        <w:t>court concluded that the accommodation would “violate” the CBA, when in fact the accommodation was</w:t>
      </w:r>
      <w:r w:rsidRPr="00F5734C">
        <w:rPr>
          <w:rStyle w:val="StyleUnderline"/>
        </w:rPr>
        <w:t xml:space="preserve"> within the employer’s discretion </w:t>
      </w:r>
      <w:r w:rsidRPr="0070198A">
        <w:rPr>
          <w:rStyle w:val="StyleUnderline"/>
          <w:highlight w:val="green"/>
        </w:rPr>
        <w:t>allowed under the CBA</w:t>
      </w:r>
      <w:r w:rsidRPr="00370E2C">
        <w:rPr>
          <w:rStyle w:val="StyleUnderline"/>
        </w:rPr>
        <w:t xml:space="preserve">. Similarly, such deference has been paid to contractual clauses giving recall or transfer preference to laid off employees. </w:t>
      </w:r>
      <w:r w:rsidRPr="00370E2C">
        <w:rPr>
          <w:rStyle w:val="StyleUnderline"/>
          <w:highlight w:val="green"/>
        </w:rPr>
        <w:t>T</w:t>
      </w:r>
      <w:r w:rsidRPr="0070198A">
        <w:rPr>
          <w:rStyle w:val="StyleUnderline"/>
          <w:highlight w:val="green"/>
        </w:rPr>
        <w:t>hese limitations have justified an employer’s failure to provide an accommodation even where there was no</w:t>
      </w:r>
      <w:r w:rsidRPr="00F5734C">
        <w:rPr>
          <w:rStyle w:val="StyleUnderline"/>
        </w:rPr>
        <w:t xml:space="preserve"> apparent </w:t>
      </w:r>
      <w:r w:rsidRPr="0070198A">
        <w:rPr>
          <w:rStyle w:val="StyleUnderline"/>
          <w:highlight w:val="green"/>
        </w:rPr>
        <w:t>effect on</w:t>
      </w:r>
      <w:r w:rsidRPr="00F5734C">
        <w:rPr>
          <w:rStyle w:val="StyleUnderline"/>
        </w:rPr>
        <w:t xml:space="preserve"> the rights or interests of </w:t>
      </w:r>
      <w:r w:rsidRPr="0070198A">
        <w:rPr>
          <w:rStyle w:val="StyleUnderline"/>
          <w:highlight w:val="green"/>
        </w:rPr>
        <w:t>other employees</w:t>
      </w:r>
      <w:r w:rsidRPr="00F5734C">
        <w:rPr>
          <w:rStyle w:val="StyleUnderline"/>
        </w:rPr>
        <w:t xml:space="preserve">. In one case, an </w:t>
      </w:r>
      <w:r w:rsidRPr="0070198A">
        <w:rPr>
          <w:rStyle w:val="StyleUnderline"/>
          <w:highlight w:val="green"/>
        </w:rPr>
        <w:t>employee’s request to transfer</w:t>
      </w:r>
      <w:r w:rsidRPr="00F5734C">
        <w:rPr>
          <w:rStyle w:val="StyleUnderline"/>
        </w:rPr>
        <w:t xml:space="preserve"> to other </w:t>
      </w:r>
      <w:r w:rsidRPr="0070198A">
        <w:rPr>
          <w:rStyle w:val="StyleUnderline"/>
          <w:highlight w:val="green"/>
        </w:rPr>
        <w:t xml:space="preserve">facilities where work </w:t>
      </w:r>
      <w:r w:rsidRPr="00370E2C">
        <w:rPr>
          <w:rStyle w:val="StyleUnderline"/>
        </w:rPr>
        <w:t xml:space="preserve">that </w:t>
      </w:r>
      <w:r w:rsidRPr="0070198A">
        <w:rPr>
          <w:rStyle w:val="StyleUnderline"/>
          <w:highlight w:val="green"/>
        </w:rPr>
        <w:t xml:space="preserve">he could perform was available was deemed unreasonable, based on the limitations in the CBA that only allowed transfers for current </w:t>
      </w:r>
      <w:r w:rsidRPr="0070198A">
        <w:rPr>
          <w:rStyle w:val="StyleUnderline"/>
        </w:rPr>
        <w:t xml:space="preserve">or laid-off </w:t>
      </w:r>
      <w:r w:rsidRPr="0070198A">
        <w:rPr>
          <w:rStyle w:val="StyleUnderline"/>
          <w:highlight w:val="green"/>
        </w:rPr>
        <w:t xml:space="preserve">employees, </w:t>
      </w:r>
      <w:r w:rsidRPr="00786666">
        <w:rPr>
          <w:rStyle w:val="StyleUnderline"/>
        </w:rPr>
        <w:t>thereby</w:t>
      </w:r>
      <w:r w:rsidRPr="0070198A">
        <w:rPr>
          <w:rStyle w:val="StyleUnderline"/>
          <w:highlight w:val="green"/>
        </w:rPr>
        <w:t xml:space="preserve"> excluding the plaintiff because he was not</w:t>
      </w:r>
      <w:r w:rsidRPr="00F5734C">
        <w:rPr>
          <w:rStyle w:val="StyleUnderline"/>
        </w:rPr>
        <w:t xml:space="preserve"> currently </w:t>
      </w:r>
      <w:r w:rsidRPr="0070198A">
        <w:rPr>
          <w:rStyle w:val="StyleUnderline"/>
          <w:highlight w:val="green"/>
        </w:rPr>
        <w:t>working due to his disability</w:t>
      </w:r>
      <w:r w:rsidRPr="00F5734C">
        <w:rPr>
          <w:rStyle w:val="StyleUnderline"/>
        </w:rPr>
        <w:t>. This claim was dismissed without any showing that considering him for those positions would have imposed any undue hardship on the employer or infringed on the rights of other employees.</w:t>
      </w:r>
    </w:p>
    <w:p w14:paraId="30F14FBF" w14:textId="77777777" w:rsidR="00B946C4" w:rsidRDefault="00B946C4" w:rsidP="00B946C4"/>
    <w:p w14:paraId="348D160C" w14:textId="77777777" w:rsidR="00B946C4" w:rsidRDefault="00B946C4" w:rsidP="00B946C4"/>
    <w:p w14:paraId="2393A506" w14:textId="77777777" w:rsidR="00B946C4" w:rsidRDefault="00B946C4" w:rsidP="00B946C4"/>
    <w:p w14:paraId="722EA8C6" w14:textId="77777777" w:rsidR="00B946C4" w:rsidRDefault="00B946C4" w:rsidP="00B946C4">
      <w:pPr>
        <w:pStyle w:val="Heading4"/>
      </w:pPr>
      <w:r w:rsidRPr="00E20CCE">
        <w:t>The</w:t>
      </w:r>
      <w:r>
        <w:t xml:space="preserve"> Aff’s </w:t>
      </w:r>
      <w:r w:rsidRPr="00E20CCE">
        <w:t xml:space="preserve">attachment to work </w:t>
      </w:r>
      <w:r>
        <w:t>as savior</w:t>
      </w:r>
      <w:r w:rsidRPr="00E20CCE">
        <w:t xml:space="preserve"> </w:t>
      </w:r>
      <w:r>
        <w:t xml:space="preserve">reifies </w:t>
      </w:r>
      <w:r w:rsidRPr="00E20CCE">
        <w:t>a system that devalues disabled bodies</w:t>
      </w:r>
      <w:r>
        <w:t>, recreating</w:t>
      </w:r>
      <w:r w:rsidRPr="00E20CCE">
        <w:t xml:space="preserve"> “work” </w:t>
      </w:r>
      <w:r>
        <w:t>as</w:t>
      </w:r>
      <w:r w:rsidRPr="00E20CCE">
        <w:t xml:space="preserve"> a violent, exclusionary institution</w:t>
      </w:r>
    </w:p>
    <w:p w14:paraId="030DACB8" w14:textId="77777777" w:rsidR="00B946C4" w:rsidRPr="00AE2FC9" w:rsidRDefault="00B946C4" w:rsidP="00B946C4">
      <w:pPr>
        <w:rPr>
          <w:rStyle w:val="Style13ptBold"/>
        </w:rPr>
      </w:pPr>
      <w:r>
        <w:rPr>
          <w:rStyle w:val="Style13ptBold"/>
        </w:rPr>
        <w:t xml:space="preserve">Chen et al. 2023 </w:t>
      </w:r>
      <w:r w:rsidRPr="00E20CCE">
        <w:rPr>
          <w:rStyle w:val="Style13ptBold"/>
          <w:sz w:val="16"/>
          <w:szCs w:val="16"/>
        </w:rPr>
        <w:t>Mel Y. Chen is an Associate Professor of Gender &amp; Women's Studies, University of California, Berkeley. “Work Will Not Save Us: An Asian American Crip Manifesto</w:t>
      </w:r>
      <w:r w:rsidRPr="00E20CCE">
        <w:rPr>
          <w:rStyle w:val="Style13ptBold"/>
          <w:b w:val="0"/>
          <w:bCs w:val="0"/>
          <w:sz w:val="16"/>
          <w:szCs w:val="16"/>
        </w:rPr>
        <w:t xml:space="preserve">,” </w:t>
      </w:r>
      <w:hyperlink r:id="rId7" w:history="1">
        <w:r w:rsidRPr="00E20CCE">
          <w:rPr>
            <w:rStyle w:val="Hyperlink"/>
            <w:b/>
            <w:bCs/>
            <w:sz w:val="16"/>
            <w:szCs w:val="16"/>
          </w:rPr>
          <w:t>https://dsq-sds.org/index.php/dsq/article/view/9652/8014</w:t>
        </w:r>
      </w:hyperlink>
      <w:r w:rsidRPr="00E20CCE">
        <w:rPr>
          <w:rStyle w:val="Style13ptBold"/>
          <w:sz w:val="16"/>
          <w:szCs w:val="16"/>
        </w:rPr>
        <w:t>, [CORNELL DBT] [AV SUMMER25]</w:t>
      </w:r>
    </w:p>
    <w:p w14:paraId="3EA7BAD4" w14:textId="77777777" w:rsidR="00B946C4" w:rsidRPr="000E47FC" w:rsidRDefault="00B946C4" w:rsidP="00B946C4">
      <w:pPr>
        <w:rPr>
          <w:u w:val="single"/>
        </w:rPr>
      </w:pPr>
      <w:r w:rsidRPr="00A17C8A">
        <w:rPr>
          <w:rStyle w:val="StyleUnderline"/>
        </w:rPr>
        <w:t xml:space="preserve">We consider the call for a refusal of work, drawn from the autonomous Marxist tradition, and think through its legibility and traction under 1) a critical disability rubric wherein </w:t>
      </w:r>
      <w:r w:rsidRPr="00A17C8A">
        <w:rPr>
          <w:rStyle w:val="StyleUnderline"/>
          <w:highlight w:val="green"/>
        </w:rPr>
        <w:t>disability is understood as the antithesis of productive labor</w:t>
      </w:r>
      <w:r w:rsidRPr="00A17C8A">
        <w:t xml:space="preserve">, </w:t>
      </w:r>
      <w:r w:rsidRPr="00AE2FC9">
        <w:rPr>
          <w:sz w:val="14"/>
          <w:szCs w:val="14"/>
        </w:rPr>
        <w:t>and 2) an Asian American and critical ethnic studies rubric wherein racialized and gendered labor, abstracted and invisibilized under the imperatives of racial capitalism, is not recognized as valuable labor.</w:t>
      </w:r>
      <w:r w:rsidRPr="00A17C8A">
        <w:t xml:space="preserve"> </w:t>
      </w:r>
      <w:r w:rsidRPr="00A17C8A">
        <w:rPr>
          <w:rStyle w:val="StyleUnderline"/>
        </w:rPr>
        <w:t xml:space="preserve">We believe in the urgency of an anti-work politics and practice, </w:t>
      </w:r>
      <w:r w:rsidRPr="00A17C8A">
        <w:rPr>
          <w:rStyle w:val="StyleUnderline"/>
          <w:highlight w:val="green"/>
        </w:rPr>
        <w:t>particularly within the increasingly unforgiving context of a post-welfare</w:t>
      </w:r>
      <w:r w:rsidRPr="00A17C8A">
        <w:rPr>
          <w:rStyle w:val="StyleUnderline"/>
        </w:rPr>
        <w:t xml:space="preserve"> and mid-COVID (</w:t>
      </w:r>
      <w:r w:rsidRPr="00A17C8A">
        <w:rPr>
          <w:rStyle w:val="StyleUnderline"/>
          <w:highlight w:val="green"/>
        </w:rPr>
        <w:t>U</w:t>
      </w:r>
      <w:r w:rsidRPr="00A17C8A">
        <w:rPr>
          <w:rStyle w:val="StyleUnderline"/>
        </w:rPr>
        <w:t xml:space="preserve">nited) </w:t>
      </w:r>
      <w:r w:rsidRPr="00A17C8A">
        <w:rPr>
          <w:rStyle w:val="StyleUnderline"/>
          <w:highlight w:val="green"/>
        </w:rPr>
        <w:t>S</w:t>
      </w:r>
      <w:r w:rsidRPr="00A17C8A">
        <w:rPr>
          <w:rStyle w:val="StyleUnderline"/>
        </w:rPr>
        <w:t xml:space="preserve">tate(s). </w:t>
      </w:r>
      <w:r w:rsidRPr="00A17C8A">
        <w:rPr>
          <w:sz w:val="14"/>
          <w:szCs w:val="14"/>
        </w:rPr>
        <w:t xml:space="preserve">And yet, inspired by the Women and Performance issue "Performing Refusal/ Refusing to Perform," we also want to consider how this particular mode of refusal operates at the limits of labor, in which, to quote issue editors Lilian G. Mengesha and Lakshmi Padmanabhan, a "refusal to work…demands a conception of refusal including and extending beyond Marxist critiques of labor exploitation."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particular distinction less generative for our purposes.  To clarify our terms, we turn to Kathi Weeks's 2011 monograph The Problem with Work: Feminism, Marxism, Antiwork Politics, and Postwork Imaginaries. Here, Weeks engages and elaborates upon the "refusal to work," a concept that challenges the over-valorization of the work ethic and traditional work values. </w:t>
      </w:r>
      <w:r w:rsidRPr="00A17C8A">
        <w:rPr>
          <w:rStyle w:val="StyleUnderline"/>
        </w:rPr>
        <w:t xml:space="preserve">She describes these values as "[preaching] the moral value and dignity of waged work and [privileging] such work as an essential source of individual growth, self-fulfillment, social recognition, and status." 3 Far from just a way to make money, </w:t>
      </w:r>
      <w:r w:rsidRPr="00A17C8A">
        <w:rPr>
          <w:rStyle w:val="StyleUnderline"/>
          <w:highlight w:val="green"/>
        </w:rPr>
        <w:t>waged labor</w:t>
      </w:r>
      <w:r w:rsidRPr="00A17C8A">
        <w:rPr>
          <w:rStyle w:val="StyleUnderline"/>
        </w:rPr>
        <w:t xml:space="preserve"> (in this model) </w:t>
      </w:r>
      <w:r w:rsidRPr="00A17C8A">
        <w:rPr>
          <w:rStyle w:val="StyleUnderline"/>
          <w:highlight w:val="green"/>
        </w:rPr>
        <w:t>becomes central to one's self-worth and identity</w:t>
      </w:r>
      <w:r w:rsidRPr="00A17C8A">
        <w:rPr>
          <w:rStyle w:val="StyleUnderline"/>
        </w:rPr>
        <w:t xml:space="preserve">, a narrative of work that, once internalized, </w:t>
      </w:r>
      <w:r w:rsidRPr="003D4000">
        <w:rPr>
          <w:rStyle w:val="StyleUnderline"/>
          <w:highlight w:val="green"/>
        </w:rPr>
        <w:t>renders workers "supremely functional for capitalist purposes."</w:t>
      </w:r>
      <w:r w:rsidRPr="00A17C8A">
        <w:t xml:space="preserve"> </w:t>
      </w:r>
      <w:r w:rsidRPr="00AE2FC9">
        <w:rPr>
          <w:sz w:val="14"/>
          <w:szCs w:val="14"/>
        </w:rPr>
        <w:t>4 The refusal of work, then, might entail 1) a critique of work ethic as the primary determinant of human value and 2) a practice of reclaiming our lives and our time from work's monopolizing structures, to name two possible modes of refusal and critique.</w:t>
      </w:r>
      <w:r w:rsidRPr="00A17C8A">
        <w:t xml:space="preserve">  </w:t>
      </w:r>
      <w:r w:rsidRPr="00A17C8A">
        <w:rPr>
          <w:rStyle w:val="StyleUnderline"/>
        </w:rPr>
        <w:t>Yet, as disabled and queer Asian American scholars, we also ask: what political traction does the refusal of work hold for those who have typically been refused as workers?</w:t>
      </w:r>
      <w:r w:rsidRPr="00A17C8A">
        <w:t xml:space="preserve"> For those whose work, due to the racial and gendered divisions of labor, is both chronically undervalued and underpaid? </w:t>
      </w:r>
      <w:r w:rsidRPr="00A17C8A">
        <w:rPr>
          <w:rStyle w:val="StyleUnderline"/>
        </w:rPr>
        <w:t xml:space="preserve">To attend to the first question, </w:t>
      </w:r>
      <w:r w:rsidRPr="00A17C8A">
        <w:rPr>
          <w:rStyle w:val="StyleUnderline"/>
          <w:highlight w:val="green"/>
        </w:rPr>
        <w:t>disability's relationship to labor has, at the definitional level, been one of exclusion</w:t>
      </w:r>
      <w:r w:rsidRPr="00A17C8A">
        <w:rPr>
          <w:rStyle w:val="StyleUnderline"/>
        </w:rPr>
        <w:t xml:space="preserve">. As Brendan Gleeson and Sunaura Taylor have observed, with the emergence of the industrial period, </w:t>
      </w:r>
      <w:r w:rsidRPr="00AE2FC9">
        <w:rPr>
          <w:rStyle w:val="StyleUnderline"/>
          <w:highlight w:val="green"/>
        </w:rPr>
        <w:t>disability began to describe an individual's inability to work</w:t>
      </w:r>
      <w:r w:rsidRPr="00A17C8A">
        <w:rPr>
          <w:rStyle w:val="StyleUnderline"/>
        </w:rPr>
        <w:t xml:space="preserve"> and produce at socially necessary rates. 5 </w:t>
      </w:r>
      <w:r w:rsidRPr="00AE2FC9">
        <w:rPr>
          <w:rStyle w:val="StyleUnderline"/>
          <w:highlight w:val="green"/>
        </w:rPr>
        <w:t>This meaning is</w:t>
      </w:r>
      <w:r w:rsidRPr="00A17C8A">
        <w:rPr>
          <w:rStyle w:val="StyleUnderline"/>
        </w:rPr>
        <w:t xml:space="preserve"> further </w:t>
      </w:r>
      <w:r w:rsidRPr="00AE2FC9">
        <w:rPr>
          <w:rStyle w:val="StyleUnderline"/>
          <w:highlight w:val="green"/>
        </w:rPr>
        <w:t>calcified in current SSI requirements for disability</w:t>
      </w:r>
      <w:r w:rsidRPr="00A17C8A">
        <w:rPr>
          <w:rStyle w:val="StyleUnderline"/>
        </w:rPr>
        <w:t xml:space="preserve"> benefits, which require a proven "inability to engage in substantial gainful activity" or work that brings in a certain dollar amount per month. 6 Further, in our work-obsessed culture, </w:t>
      </w:r>
      <w:r w:rsidRPr="00AE2FC9">
        <w:rPr>
          <w:rStyle w:val="StyleUnderline"/>
          <w:highlight w:val="green"/>
        </w:rPr>
        <w:t>the conflation of disability with the absence of productivity has justified</w:t>
      </w:r>
      <w:r w:rsidRPr="00A17C8A">
        <w:rPr>
          <w:rStyle w:val="StyleUnderline"/>
        </w:rPr>
        <w:t xml:space="preserve">, for many, </w:t>
      </w:r>
      <w:r w:rsidRPr="00AE2FC9">
        <w:rPr>
          <w:rStyle w:val="StyleUnderline"/>
          <w:highlight w:val="green"/>
        </w:rPr>
        <w:t>the devaluation of disabled lives</w:t>
      </w:r>
      <w:r w:rsidRPr="00A17C8A">
        <w:rPr>
          <w:rStyle w:val="StyleUnderline"/>
        </w:rPr>
        <w:t>.</w:t>
      </w:r>
      <w:r w:rsidRPr="00A17C8A">
        <w:t xml:space="preserve">  </w:t>
      </w:r>
      <w:r w:rsidRPr="00AE2FC9">
        <w:rPr>
          <w:sz w:val="14"/>
          <w:szCs w:val="14"/>
        </w:rPr>
        <w:t>The category of Asian American, too, has emerged in terms of its relationship to labor and racial capitalism. Asian Americanist scholars have long observed the exigencies of industrial and global capitalism that have coerced Asian migrants in search of jobs, from the "empire of care" shaping the supply of Filipinx nurses to the U.S. to the immigrant Asian garment workers toiling in California sweatshops. 7 These examples make clear how the "racial division of reproductive labor," to borrow the language of Evelyn Nakano Glenn, is central to the "distinct exploitation of women of color" as well as the production of racial-gendered hierarchy. 8</w:t>
      </w:r>
      <w:r w:rsidRPr="00A17C8A">
        <w:t xml:space="preserve"> </w:t>
      </w:r>
      <w:r w:rsidRPr="00A17C8A">
        <w:rPr>
          <w:rStyle w:val="StyleUnderline"/>
        </w:rPr>
        <w:t xml:space="preserve">Both of these contexts–Asian Americanist and disability critique–thus bespeak the false promise that hard work can confer dignity and value onto those who perform it. Under these lenses, </w:t>
      </w:r>
      <w:r w:rsidRPr="00AE2FC9">
        <w:rPr>
          <w:rStyle w:val="StyleUnderline"/>
          <w:highlight w:val="green"/>
        </w:rPr>
        <w:t>work emerges</w:t>
      </w:r>
      <w:r w:rsidRPr="00A17C8A">
        <w:rPr>
          <w:rStyle w:val="StyleUnderline"/>
        </w:rPr>
        <w:t xml:space="preserve"> instead </w:t>
      </w:r>
      <w:r w:rsidRPr="00AE2FC9">
        <w:rPr>
          <w:rStyle w:val="StyleUnderline"/>
          <w:highlight w:val="green"/>
        </w:rPr>
        <w:t>as a site of</w:t>
      </w:r>
      <w:r w:rsidRPr="00A17C8A">
        <w:rPr>
          <w:rStyle w:val="StyleUnderline"/>
        </w:rPr>
        <w:t xml:space="preserve"> potential </w:t>
      </w:r>
      <w:r w:rsidRPr="00AE2FC9">
        <w:rPr>
          <w:rStyle w:val="StyleUnderline"/>
          <w:highlight w:val="green"/>
        </w:rPr>
        <w:t>humiliation, exploitation, and</w:t>
      </w:r>
      <w:r w:rsidRPr="00A17C8A">
        <w:rPr>
          <w:rStyle w:val="StyleUnderline"/>
        </w:rPr>
        <w:t xml:space="preserve">/ or </w:t>
      </w:r>
      <w:r w:rsidRPr="00AE2FC9">
        <w:rPr>
          <w:rStyle w:val="StyleUnderline"/>
          <w:highlight w:val="green"/>
        </w:rPr>
        <w:t>exclusion for those</w:t>
      </w:r>
      <w:r w:rsidRPr="00A17C8A">
        <w:rPr>
          <w:rStyle w:val="StyleUnderline"/>
        </w:rPr>
        <w:t xml:space="preserve"> both able and </w:t>
      </w:r>
      <w:r w:rsidRPr="00AE2FC9">
        <w:rPr>
          <w:rStyle w:val="StyleUnderline"/>
          <w:highlight w:val="green"/>
        </w:rPr>
        <w:t>unable to participate.</w:t>
      </w:r>
    </w:p>
    <w:p w14:paraId="43B72265" w14:textId="77777777" w:rsidR="00B946C4" w:rsidRDefault="00B946C4" w:rsidP="00B946C4"/>
    <w:p w14:paraId="63AF6331" w14:textId="77777777" w:rsidR="00B946C4" w:rsidRDefault="00B946C4" w:rsidP="00B946C4"/>
    <w:p w14:paraId="5A7D3B39" w14:textId="77777777" w:rsidR="00B946C4" w:rsidRDefault="00B946C4" w:rsidP="00B946C4"/>
    <w:p w14:paraId="1155CD2E" w14:textId="77777777" w:rsidR="00B946C4" w:rsidRDefault="00B946C4" w:rsidP="00B946C4">
      <w:pPr>
        <w:pStyle w:val="Heading4"/>
      </w:pPr>
      <w:r w:rsidRPr="0039111D">
        <w:t>The pandemic is illustrative of</w:t>
      </w:r>
      <w:r>
        <w:t xml:space="preserve"> 1) </w:t>
      </w:r>
      <w:r w:rsidRPr="0039111D">
        <w:t xml:space="preserve">the ways in which </w:t>
      </w:r>
      <w:r>
        <w:t xml:space="preserve">the state neglects and ignores </w:t>
      </w:r>
      <w:r w:rsidRPr="0039111D">
        <w:t>disabled folks in the interest of preserving an able-bodied, productive workforce</w:t>
      </w:r>
      <w:r>
        <w:t>; 2) Ableist psychological and material violence being co-constructive – Failure to theorize new subjectives makes slow death inevitable</w:t>
      </w:r>
    </w:p>
    <w:p w14:paraId="23AD1E87" w14:textId="77777777" w:rsidR="00B946C4" w:rsidRPr="00084104" w:rsidRDefault="00B946C4" w:rsidP="00B946C4">
      <w:pPr>
        <w:rPr>
          <w:rStyle w:val="Style13ptBold"/>
        </w:rPr>
      </w:pPr>
      <w:r>
        <w:rPr>
          <w:rStyle w:val="Style13ptBold"/>
        </w:rPr>
        <w:t xml:space="preserve">Thorneycroft and Asquith 2021 </w:t>
      </w:r>
      <w:r w:rsidRPr="00D50705">
        <w:rPr>
          <w:rStyle w:val="Style13ptBold"/>
          <w:sz w:val="16"/>
          <w:szCs w:val="16"/>
        </w:rPr>
        <w:t xml:space="preserve">Ryan Thorneycroft is </w:t>
      </w:r>
      <w:r>
        <w:rPr>
          <w:rStyle w:val="Style13ptBold"/>
          <w:sz w:val="16"/>
          <w:szCs w:val="16"/>
        </w:rPr>
        <w:t xml:space="preserve">a </w:t>
      </w:r>
      <w:r w:rsidRPr="00D50705">
        <w:rPr>
          <w:rStyle w:val="Style13ptBold"/>
          <w:sz w:val="16"/>
          <w:szCs w:val="16"/>
        </w:rPr>
        <w:t xml:space="preserve">Lecturer in Criminology in the School of Social Sciences at Western Sydney University Ryan’s current work examines crip/queer theory, ableism, violence, and he has published in leading journals such as Theoretical Criminology and Disability &amp; Society. Nicole L Asquith is the Professor of Policing and Emergency Management and Director of the Tasmanian Institute of Law Enforcement Studies at the University of Tasmania. In addition to her academic work, Nicole is the Secretary of the Australian Hate Crime Network. “Unexceptional Violence in Exceptional Times: Disablist and Ableist Violence During the COVID-19 Pandemic,” </w:t>
      </w:r>
      <w:hyperlink r:id="rId8" w:history="1">
        <w:r w:rsidRPr="00D50705">
          <w:rPr>
            <w:rStyle w:val="Hyperlink"/>
            <w:b/>
            <w:bCs/>
            <w:sz w:val="16"/>
            <w:szCs w:val="16"/>
          </w:rPr>
          <w:t>https://www.crimejusticejournal.com/article/view/1743/1030</w:t>
        </w:r>
      </w:hyperlink>
      <w:r w:rsidRPr="00D50705">
        <w:rPr>
          <w:rStyle w:val="Style13ptBold"/>
          <w:sz w:val="16"/>
          <w:szCs w:val="16"/>
        </w:rPr>
        <w:t>, [CORNELL DBT] [AV SUMMER25]</w:t>
      </w:r>
    </w:p>
    <w:p w14:paraId="4378D917" w14:textId="77777777" w:rsidR="00B946C4" w:rsidRDefault="00B946C4" w:rsidP="00B946C4">
      <w:pPr>
        <w:rPr>
          <w:rStyle w:val="StyleUnderline"/>
        </w:rPr>
      </w:pPr>
      <w:r w:rsidRPr="00C546BD">
        <w:rPr>
          <w:rStyle w:val="StyleUnderline"/>
        </w:rPr>
        <w:t>It is well established that violence and oppression towards vulnerable and marginalised communities are intensified and compounded during times of social upheaval (Agamben 2005; Bauman 1989; Hirsch 1995; Puar 2007).</w:t>
      </w:r>
      <w:r w:rsidRPr="00C546BD">
        <w:t xml:space="preserve"> </w:t>
      </w:r>
      <w:r w:rsidRPr="0039111D">
        <w:rPr>
          <w:sz w:val="14"/>
          <w:szCs w:val="14"/>
        </w:rPr>
        <w:t>Already on the margins, states of exception (Agamben 2005) authorise and legitimise acts of violence  against  the  other.</w:t>
      </w:r>
      <w:r w:rsidRPr="00C546BD">
        <w:t xml:space="preserve">  </w:t>
      </w:r>
      <w:r w:rsidRPr="00C546BD">
        <w:rPr>
          <w:rStyle w:val="StyleUnderline"/>
        </w:rPr>
        <w:t xml:space="preserve">Such  </w:t>
      </w:r>
      <w:r w:rsidRPr="003E610C">
        <w:rPr>
          <w:rStyle w:val="StyleUnderline"/>
          <w:highlight w:val="green"/>
        </w:rPr>
        <w:t>violence  is  co-constitutively  produced  and  enacted  individually  and collectively, psychically and socially</w:t>
      </w:r>
      <w:r w:rsidRPr="00C546BD">
        <w:rPr>
          <w:rStyle w:val="StyleUnderline"/>
        </w:rPr>
        <w:t xml:space="preserve"> (Butler 2004). As COVID-19 extends its grip throughout the world, it strikes  us  that  </w:t>
      </w:r>
      <w:r w:rsidRPr="003E610C">
        <w:rPr>
          <w:rStyle w:val="StyleUnderline"/>
          <w:highlight w:val="green"/>
        </w:rPr>
        <w:t>disabled  people  are  disproportionately  subjected  to  both</w:t>
      </w:r>
      <w:r w:rsidRPr="00C546BD">
        <w:rPr>
          <w:rStyle w:val="StyleUnderline"/>
        </w:rPr>
        <w:t xml:space="preserve">  physical  and symbolic  violence during this time of social upheaval.</w:t>
      </w:r>
      <w:r w:rsidRPr="00C546BD">
        <w:t xml:space="preserve"> </w:t>
      </w:r>
      <w:r w:rsidRPr="0039111D">
        <w:rPr>
          <w:sz w:val="14"/>
          <w:szCs w:val="14"/>
        </w:rPr>
        <w:t>During the first year of the pandemic, we have been confronted with news  stories  about  the  violence  meted  out  to  disabled  subjects,  and  in  this  article,  we  provide  a theorisation of such violence.</w:t>
      </w:r>
      <w:r w:rsidRPr="00C546BD">
        <w:t xml:space="preserve"> </w:t>
      </w:r>
      <w:r w:rsidRPr="00C546BD">
        <w:rPr>
          <w:rStyle w:val="StyleUnderline"/>
        </w:rPr>
        <w:t>We suggest that the added anxieties currently confronting people’s fragile corporeal embodiment are licensing abled subjects to violate disabled subjects.</w:t>
      </w:r>
      <w:r w:rsidRPr="00C546BD">
        <w:t xml:space="preserve"> </w:t>
      </w:r>
      <w:r w:rsidRPr="0039111D">
        <w:rPr>
          <w:sz w:val="14"/>
          <w:szCs w:val="14"/>
        </w:rPr>
        <w:t>As Maďarová, Hardoš and Ostertágová (2020: 11) note:[t]he COVID-19 pandemic revealed our vulnerability. Anyone could get infected and everybody has been constantly reminded about the risk through daily reports of new cases of infections and deaths</w:t>
      </w:r>
      <w:r w:rsidRPr="00C546BD">
        <w:t>.</w:t>
      </w:r>
      <w:r w:rsidRPr="00C546BD">
        <w:rPr>
          <w:rStyle w:val="StyleUnderline"/>
        </w:rPr>
        <w:t xml:space="preserve"> Specifically, at a time when conflict and upheaval are more pronounced, </w:t>
      </w:r>
      <w:r w:rsidRPr="00EC52BF">
        <w:rPr>
          <w:rStyle w:val="StyleUnderline"/>
          <w:highlight w:val="green"/>
        </w:rPr>
        <w:t>abled people are confronted by their own</w:t>
      </w:r>
      <w:r w:rsidRPr="00C546BD">
        <w:rPr>
          <w:rStyle w:val="StyleUnderline"/>
        </w:rPr>
        <w:t xml:space="preserve"> (inherently) leaky, </w:t>
      </w:r>
      <w:r w:rsidRPr="00EC52BF">
        <w:rPr>
          <w:rStyle w:val="StyleUnderline"/>
          <w:highlight w:val="green"/>
        </w:rPr>
        <w:t>vulnerable and fragile subjectivities</w:t>
      </w:r>
      <w:r w:rsidRPr="00C546BD">
        <w:rPr>
          <w:rStyle w:val="StyleUnderline"/>
        </w:rPr>
        <w:t xml:space="preserve"> (Butler 1993; Shildrick 1997), and they cannot cope with the precarity they have long ignored, minimised or projected onto other types of bodies and minds. </w:t>
      </w:r>
      <w:r w:rsidRPr="00EC52BF">
        <w:rPr>
          <w:rStyle w:val="StyleUnderline"/>
          <w:highlight w:val="green"/>
        </w:rPr>
        <w:t xml:space="preserve">In response, they must negate and expunge the disabled subject; </w:t>
      </w:r>
      <w:r w:rsidRPr="0039111D">
        <w:rPr>
          <w:rStyle w:val="StyleUnderline"/>
        </w:rPr>
        <w:t xml:space="preserve">they must put disabled people back in their place </w:t>
      </w:r>
      <w:r w:rsidRPr="00EC52BF">
        <w:rPr>
          <w:rStyle w:val="StyleUnderline"/>
          <w:highlight w:val="green"/>
        </w:rPr>
        <w:t>to preserve their own</w:t>
      </w:r>
      <w:r w:rsidRPr="00C546BD">
        <w:rPr>
          <w:rStyle w:val="StyleUnderline"/>
        </w:rPr>
        <w:t xml:space="preserve"> </w:t>
      </w:r>
      <w:r w:rsidRPr="00EC52BF">
        <w:rPr>
          <w:rStyle w:val="StyleUnderline"/>
        </w:rPr>
        <w:t>integrity</w:t>
      </w:r>
      <w:r w:rsidRPr="00BA11FB">
        <w:rPr>
          <w:rStyle w:val="StyleUnderline"/>
          <w:sz w:val="14"/>
          <w:szCs w:val="14"/>
        </w:rPr>
        <w:t>(</w:t>
      </w:r>
      <w:r w:rsidRPr="00BA11FB">
        <w:rPr>
          <w:sz w:val="14"/>
          <w:szCs w:val="14"/>
        </w:rPr>
        <w:t>Kristeva 1982; Young 1990). This article examines the social contours of this phenomenon, tracing its roots and flashpoints, its causes and effects. Specifically, in theorising its origins, we also locate sites of resistance with the aim of subverting the disablist and ableist violence that plagues our world. It  is important  to  contextualise  the  moment  in  which  we  are  caught.  Our  current  moment  could  be considered  a time  of  intensified  necropolitics  (Mbembe  2003).  Mbembe  (2003:  11)  suggests  that necropolitics is concerned with ‘the power and capacity to dictate who may live and who must die’. What could  also  be  conceptualised  as  biopower  (Foucault  1978),  necropolitical  questions  are  central  to governments’ (in)action in response to the COVID-19  pandemic</w:t>
      </w:r>
      <w:r w:rsidRPr="00BA11FB">
        <w:rPr>
          <w:rStyle w:val="StyleUnderline"/>
          <w:sz w:val="14"/>
          <w:szCs w:val="14"/>
        </w:rPr>
        <w:t xml:space="preserve">. </w:t>
      </w:r>
      <w:r w:rsidRPr="00C546BD">
        <w:rPr>
          <w:rStyle w:val="StyleUnderline"/>
        </w:rPr>
        <w:t>Health  systems  around  the  world  have prioritised the young and the ‘healthy’, and disabled bodies have been de-prioritised as hospitals become overloaded  (Ryan  2020).</w:t>
      </w:r>
      <w:r w:rsidRPr="0024004D">
        <w:rPr>
          <w:sz w:val="14"/>
          <w:szCs w:val="14"/>
        </w:rPr>
        <w:t>In  the  United  Kingdom,  for  example,  one  surgery  sent  letters  to  families  of disabled people and disabled organisations to inform them they should ‘put in place plans for themselves to  expect  not  to  be  resuscitated  in  the  event  of  severe  covid-related  illness’ (Abrams and Abbott 2020: 169). The institutionalisation and incarceration of disabled people in rehabilitation facilities, group homes, public housing, care homes and prisons is a disciplinary, biopolitical and necropolitical form of power that instantiates  domination  and  regulation—and  such  sites  operate  as  places  for  COVID-19 ‘clusters’ that currently  kill  (Walmsley  2020).</w:t>
      </w:r>
      <w:r w:rsidRPr="00C546BD">
        <w:t xml:space="preserve">  </w:t>
      </w:r>
      <w:r w:rsidRPr="00C546BD">
        <w:rPr>
          <w:rStyle w:val="StyleUnderline"/>
        </w:rPr>
        <w:t>Disabled  people  are  constituted  as  vulnerable,  and  in  turn,  have  been scapegoated  as  ungrievable  (Butler  2009;  Steele  2020).  Disabled  bodies  are  constituted  as  sick,  broken and unhealthy (Shildrick and Price 1996), and, as such, they matter less and become ‘ungrievable’ because it is ‘natural’ for them to die (Steele 2020). Deaths for ‘invulnerable’ bodies are more grievable than the ungrievable deaths of ‘vulnerable’ bodies (Hughes 2007</w:t>
      </w:r>
      <w:r w:rsidRPr="0024004D">
        <w:rPr>
          <w:rStyle w:val="StyleUnderline"/>
          <w:sz w:val="14"/>
          <w:szCs w:val="14"/>
        </w:rPr>
        <w:t xml:space="preserve">). </w:t>
      </w:r>
      <w:r w:rsidRPr="0024004D">
        <w:rPr>
          <w:sz w:val="14"/>
          <w:szCs w:val="14"/>
        </w:rPr>
        <w:t>In such contexts, disablist and ableist beliefs are (re)produced and perpetuated by governments around the world, and these messages have consequences. We already live in ableist and disablist times (McRuer 2018),  and  the  intensification  of  these  behaviours  and  practices  compounds  forms  of  domination  and abjection.</w:t>
      </w:r>
      <w:r w:rsidRPr="00C546BD">
        <w:t xml:space="preserve">  </w:t>
      </w:r>
      <w:r w:rsidRPr="00C546BD">
        <w:rPr>
          <w:rStyle w:val="StyleUnderline"/>
        </w:rPr>
        <w:t xml:space="preserve">Unfortunately,  it  is  no  surprise  </w:t>
      </w:r>
      <w:r w:rsidRPr="00EC52BF">
        <w:rPr>
          <w:rStyle w:val="StyleUnderline"/>
          <w:highlight w:val="green"/>
        </w:rPr>
        <w:t>that  disabled  people  are  subjected  to  increasing  forms  of violence,  both  interpersonally and  structurally,  given  the  discourses</w:t>
      </w:r>
      <w:r w:rsidRPr="00C546BD">
        <w:rPr>
          <w:rStyle w:val="StyleUnderline"/>
        </w:rPr>
        <w:t xml:space="preserve">  and  practices  </w:t>
      </w:r>
      <w:r w:rsidRPr="00EC52BF">
        <w:rPr>
          <w:rStyle w:val="StyleUnderline"/>
          <w:highlight w:val="green"/>
        </w:rPr>
        <w:t>that  are  being perpetuated</w:t>
      </w:r>
      <w:r w:rsidRPr="00C546BD">
        <w:rPr>
          <w:rStyle w:val="StyleUnderline"/>
        </w:rPr>
        <w:t xml:space="preserve"> (Goggin and Ellis 2020).</w:t>
      </w:r>
      <w:r w:rsidRPr="00C546BD">
        <w:t xml:space="preserve"> </w:t>
      </w:r>
      <w:r w:rsidRPr="0024004D">
        <w:rPr>
          <w:sz w:val="14"/>
          <w:szCs w:val="14"/>
        </w:rPr>
        <w:t>While much attention during this pandemic has been devoted to the experiences  and  treatment  of  women  (Williamson,  Lombard  and  Brooks-Hay  2020),  racial minorities (Kwok  2020)  and  queer  people  (Signorelli  et  al.  2020),  the  disability  movement,  as  yet,  does  not  have capital  to  mobilise  attention  and/or  recognition  beyond  those  already  invested  in  disability causes. It is also important to contextualise the geographic location from which we write, particularly given the ways in which the pandemic is playing out differentially across the globe (Lupton and Willis 2021). While Australia—where  both  authors  reside—has  been  relatively  successful  in  combating  COVID-19;  our subjectivities  and  positionalities  provide  important  insights  into  the  differential  treatment  of  disabled subjects throughout this pandemic. I (Ryan) am a young, (normatively) healthy, temporarily abled man, and most of my fears throughout the outbreak are not so much about contracting the virus myself, but of passing it on to (precaritised) others. Conversely, I (Nicole) have been more concerned about contracting COVID-19 because of my disability; I am more vulnerable to contracting the virus because of my reliance on  others  for  care  and  am  more  likely  to  experience  adverse  effects  if  infected.  It  is  ironic  that  the government’s planning, and subsequent dissemination of that information, was catered for me (Ryan) but not me (Nicole). As the Royal Commission into Violence, Abuse, Neglect and Exploitation of People with Disability recently identified, the Australian Government’s early responses to the pandemic failed to address the needs of disabled people (Royal Commission into Violence, Abuse, Neglect and Exploitation of People with Disability 2020 2020). It also found:[T]he   health   emergency,   pandemic   and   communicable   disease   plans   prepared   by   the authorities before January 2020 did not refer to, much less address, the particular needs and concern  of  people  with  disability.(Royal  Commission  into  Violence,  Abuse,  Neglect  and Exploitation of People with Disability 2020: 54)It is interesting to note the ways in which disabled people have been erased and abjected preceding and during the pandemic, and, in this article, we are interested in accounting for these (dis)continuities during this time. While we write from our standpoints in Australia, we also draw upon a range of (inter)national perspectives in accounting for the disablist and ableist violence, both within and beyond the context of the global COVID-19 pandemic (for examples, see Cahapay 2020; Jalali et al. 2020; Lee and Kim 2020; Mbazzi et al. 2021; Qi and Hu 2020; Safta-Zecheria 2020). It is also important to note the ways in which disablist and ableist violence has received increased public attention in Australia (in contrast to other parts of the world). Concurrent with the exceptional first year of the virus, the Australian public has been exposed to the issues relating to disablist and ableist violence as a consequence of the Royal Commissioninto Violence, Abuse,  Neglect  and  Exploitation  of  People  with  Disability.  The  combination  of  the  increased  universal precarity  due  to  COVID-19,  and  the  increased  attention  on  the  lives  of  disabled  people  due  to  the  royal commission,  has  created  the  conditions  for  the  (abled)  public  to  more  readily  consider  the  prospect  of disabledness in their lives (discussed later).In  this  article,  we  start  by  tracing  the  forms  of  violence  that  occur  during  times  of  social  upheaval;  this provides   the   necessary  context   to   consider   the   ways   in   which   disabled   people   are   subjected   to disproportionate levels of violence during this pandemic. We then consider various instances of disablist and  ableist  violence  that  have  occurred  during  this  pandemic  and  call  attention  to  the  ways  in  which various  discourses  and  practices  work  to  constitute  disabled  people  in  particular  (pathological)  ways</w:t>
      </w:r>
      <w:r w:rsidRPr="0024004D">
        <w:rPr>
          <w:rStyle w:val="StyleUnderline"/>
          <w:sz w:val="14"/>
          <w:szCs w:val="14"/>
        </w:rPr>
        <w:t>. Focusing  on  both  physical  and  symbolic  violence  is  central  to  our  approach  as  it  demonstrates  the relationality between symbolic acts and material outcomes (see Butler 1993).</w:t>
      </w:r>
      <w:r w:rsidRPr="0024004D">
        <w:rPr>
          <w:sz w:val="14"/>
          <w:szCs w:val="14"/>
        </w:rPr>
        <w:t xml:space="preserve"> The sources and case studies that form the basis of this inquiry come from a literature and newspaper search relating to disabled people and  the  COVID-19  pandemic.</w:t>
      </w:r>
      <w:r w:rsidRPr="00C546BD">
        <w:t xml:space="preserve">  </w:t>
      </w:r>
      <w:r w:rsidRPr="00C546BD">
        <w:rPr>
          <w:rStyle w:val="StyleUnderline"/>
        </w:rPr>
        <w:t xml:space="preserve">We  then  consider  the  aetiological  underpinnings  of  disablist  and  ableist violence, and suggest that such practices are grounded in abled/ableist relations that differentiate, rank, negate, notify and prioritise dis/abled bodies (Campbell 2017, </w:t>
      </w:r>
      <w:r w:rsidRPr="00B72C54">
        <w:rPr>
          <w:rStyle w:val="StyleUnderline"/>
        </w:rPr>
        <w:t>2020). During this social upheaval, it strikes us that abled subjects have used their anxieties, precarities and precariousness to put disabled people in their place to shore up their own selves.</w:t>
      </w:r>
      <w:r w:rsidRPr="00C546BD">
        <w:t xml:space="preserve"> </w:t>
      </w:r>
      <w:r w:rsidRPr="0024004D">
        <w:rPr>
          <w:sz w:val="14"/>
          <w:szCs w:val="14"/>
        </w:rPr>
        <w:t>We contextualise our analysis both within and beyond the pandemic to  highlight  the  ways  in  which  ableist  and  disablist  violence  operates  in  and  through  (non-)pandemic times.  Disabled  people  are  already  subjected  to  forms  of  disablist  and  ableist violence,  and  we  are interested in noting the intensification of this form of violence and the novel attention it has drawn. Finally,  we conclude by considering the ways in which disablist and ableist violence might be resisted through the subversion of ableist practices and beliefs. Violence During Social Upheaval History  has  shown  us  that  times  of  social  upheaval  compound  and  intensify  discriminatory  violence (Agamben  2005;  Bauman  1989;  Hirsch  1995;  Puar  2007).  Abject  groups  already  sit  on  the  margins of society,  yet  during  social  upheaval,  their  treatment  is  intensified  and  compounded.  Whether  during  a tsunami, bushfires or COVID-19, disabled people are consistently forgotten in forward planning and crisis management,  and  are  disproportionately  represented  in  death  rates  (Smith,  Jolley  and  Schmidt  2012; Stough  and  Kelman  2018).  These  actions  can  be  understood  as  deliberate  outcomes  (e.g.,  Jewish extermination  in  Nazi  Germany)  or  (un)intended  consequences  (e.g.,  starvation  during  war).  Social structures,support  systems,  welfare  and  other  technologies  and  practices  dictate  who  may  be  affected more  than  others  as  society  experiences  disorientation,  restructuring  and  potential  collapse  (de  Swaan 2001). Social upheaval creates disorientation in ways of living and being, and societies experience a rapid reordering of resources, priorities, values, lives that matter and lives that do not (de Swaan 2001</w:t>
      </w:r>
      <w:r w:rsidRPr="0024004D">
        <w:rPr>
          <w:rStyle w:val="StyleUnderline"/>
          <w:sz w:val="14"/>
          <w:szCs w:val="14"/>
        </w:rPr>
        <w:t>).</w:t>
      </w:r>
      <w:r w:rsidRPr="00B72C54">
        <w:rPr>
          <w:rStyle w:val="StyleUnderline"/>
        </w:rPr>
        <w:t xml:space="preserve"> Violence and  neglect  manifest  through  a  restructuring  of  interpersonal,  structural,  intersubjective  and  systemic relationships and networks (Green and Ward 2009).</w:t>
      </w:r>
      <w:r w:rsidRPr="00C546BD">
        <w:t xml:space="preserve"> </w:t>
      </w:r>
      <w:r w:rsidRPr="0024004D">
        <w:rPr>
          <w:sz w:val="14"/>
          <w:szCs w:val="14"/>
        </w:rPr>
        <w:t>Marginalised bodies wear the brunt of these changes (Barber and Naepi 2020), as Matthewman and Huppatz (2020: 4) note, ‘the isolated, weak, minorities and the less wealthy consistently fare worse in disaster situations’. Times of social upheaval constitute exceptional and aberrant experiences for many (normative/privileged) people, but for marginalised groups, they merely represent the latest iteration of oppression.  Indeed,  many  marginalised  people  may  feel  they  already  live  in  a  time  of  social  upheaval, particularly  given  the  discrimination  and  violence  they  already  receive  (Barber  and  Naepi  2020).  The intensified and compounding forms of violence inflicted upon marginalised groups is simply a ‘logical’ outcome of the structural subordination of them based on hierarchies of value (Barber and Naepi 2020). Violence  against  marginalised  people  during  social  upheaval  cannot  be  considered  an  ‘enclave  of barbarism’ (de Swaan 2001); rather, it is a perpetuation (and intensification) of barbarism.1Thus, violence during social upheaval cannot be thought of as an example of exceptionalism, but rather as a manifestation and continuation of pre-existing inequalities and injustices. To stop this violence, we must first examine what it looks like. Disablist and Ableist Violence During the Pandemic Following Connell’s (2020: 745) call that we take ‘the viewpoint of the virus’, it is clear that COVID-19 is intent on: a) killing disabled (and older) people, and b) creating more disabled people in this world. The virus, in and of itself, is disabling, but so too are the social practices that operate in response to the virus. COVID-19 is highly contagious, and as it started to expand its grip around the world, governments stepped in to implement rules and allocate resources to help manage its spread. The rules implemented and the resources allocated disproportionately affected disabled people, yet, paradoxically, they were justified by governments as necessary to protect them. Social distancing2rules were implemented, many industries shut  down,  international  borders  were  closed,  stay-at-home  orders  were  mandated  for  non-essential activities,  sick  people  were  forced  into  self-isolation,  many  surfaces  decontaminated  by  cleaners,and people  were  only  allowed  to  congregate  with  other  residents  of  their  household.  Many  governments battled  to  source  and  provide  hand  sanitiser,  surgical  gloves,  face  masks  and  ventilators,  as  well  as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The sudden onset of COVID-19 has created profound disorientation in people’s lives. The  immediate  effects  of  COVID-19  were  disabling.  Many  disabled  people  already  receive  little  (social) support (Malli et al. 2018), and this was stripped from them as COVID-19 measures were implemented.  The effects of this are yet to be fully realised, but access to food, medications, physiological and emotional support   have   been   affected   (Henriques-Gomes   2020a;   Safta-Zecheria   2020;   Simmons   2020).   The consequences include malnutrition, pain, bedsores and poor mental health outcomes (Grech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also  been  forestalled,  especially  for  those  reliant  on  lip-reading  (Munro  2020</w:t>
      </w:r>
      <w:r w:rsidRPr="003E610C">
        <w:rPr>
          <w:rStyle w:val="StyleUnderline"/>
        </w:rPr>
        <w:t>).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4).It is worth considering the violent messages that emanate from the COVID-19 responses. Many</w:t>
      </w:r>
      <w:r w:rsidRPr="00B72C54">
        <w:rPr>
          <w:rStyle w:val="StyleUnderline"/>
        </w:rPr>
        <w:t xml:space="preserve"> </w:t>
      </w:r>
      <w:r w:rsidRPr="003E610C">
        <w:rPr>
          <w:rStyle w:val="StyleUnderline"/>
          <w:highlight w:val="green"/>
        </w:rPr>
        <w:t>healthcare systems  have  made  it  clear  that  young  and  healthy  people  will  be  prioritised  as  hospitals  become overloaded</w:t>
      </w:r>
      <w:r w:rsidRPr="00B72C54">
        <w:rPr>
          <w:rStyle w:val="StyleUnderline"/>
        </w:rPr>
        <w:t xml:space="preserve"> (Lee and Kim 2020; Ryan 2020</w:t>
      </w:r>
      <w:r w:rsidRPr="003E610C">
        <w:rPr>
          <w:rStyle w:val="StyleUnderline"/>
          <w:highlight w:val="green"/>
        </w:rPr>
        <w:t>). There is an enormous risk that many disabled people will fill our hospital beds, and many will die.</w:t>
      </w:r>
      <w:r w:rsidRPr="00B72C54">
        <w:rPr>
          <w:rStyle w:val="StyleUnderline"/>
        </w:rPr>
        <w:t xml:space="preserve"> This complies with the discursive construction of disabled people as simultaneously burden and excess, as ‘too much’ and ‘not enough’ (Soldatic 2019). </w:t>
      </w:r>
      <w:r w:rsidRPr="003E610C">
        <w:rPr>
          <w:rStyle w:val="StyleUnderline"/>
          <w:highlight w:val="green"/>
        </w:rPr>
        <w:t>The ranking of dis/abled lives negates and expunges the disabled subject. Under what conditions can society expose some people  to  death?  Who  has  the  right  to  life,  and  others to  death?</w:t>
      </w:r>
      <w:r w:rsidRPr="00B72C54">
        <w:rPr>
          <w:rStyle w:val="StyleUnderline"/>
        </w:rPr>
        <w:t xml:space="preserve">  What  does  this  say  about  the  people exposed to death and those with the power to kill? Butler (2009: 38) posits, albeit in the context of war, that:[O]ne way of posing the question of who ‘we’ are in these times of war is by asking whose lives are   considered   valuable,   whose   lives   are   mourned,   and   whose   lives   are   considered ungrievable.</w:t>
      </w:r>
      <w:r w:rsidRPr="00C546BD">
        <w:t xml:space="preserve"> We might think of war as dividing populations into those who are grievable and those who are not. </w:t>
      </w:r>
      <w:r w:rsidRPr="00EC52BF">
        <w:rPr>
          <w:rStyle w:val="StyleUnderline"/>
          <w:highlight w:val="green"/>
        </w:rPr>
        <w:t>An ungrievable life is one that cannot be mourned because it has never lived, that is, it has never counted as a life at all.</w:t>
      </w:r>
      <w:r w:rsidRPr="00C546BD">
        <w:t xml:space="preserve"> </w:t>
      </w:r>
      <w:r w:rsidRPr="0024004D">
        <w:rPr>
          <w:sz w:val="14"/>
          <w:szCs w:val="14"/>
        </w:rPr>
        <w:t xml:space="preserve">We can see the division of the globe into grievable and  ungrievable  lives  from  the  perspective  of those  who  wage  war  in  order  to  defend  them against the lives of others—even if it means taking those latter lives. While  we  should  be  cautious  about  comparing  pandemics  to  war—such  metaphors  unnecessarily militarise  issues  as  well  as  normalise  war—Butler’s  comments  do  resonate  with  the  grievability  and ungrievability of lives during this pandemic. </w:t>
      </w:r>
      <w:r w:rsidRPr="00EC52BF">
        <w:rPr>
          <w:rStyle w:val="StyleUnderline"/>
          <w:highlight w:val="green"/>
        </w:rPr>
        <w:t>Disabled people</w:t>
      </w:r>
      <w:r w:rsidRPr="00EC52BF">
        <w:rPr>
          <w:rStyle w:val="StyleUnderline"/>
        </w:rPr>
        <w:t xml:space="preserve"> are generally constituted as vulnerable, and, in the context of this pandemic, they </w:t>
      </w:r>
      <w:r w:rsidRPr="00EC52BF">
        <w:rPr>
          <w:rStyle w:val="StyleUnderline"/>
          <w:highlight w:val="green"/>
        </w:rPr>
        <w:t>have been scapegoated</w:t>
      </w:r>
      <w:r w:rsidRPr="00EC52BF">
        <w:rPr>
          <w:rStyle w:val="StyleUnderline"/>
        </w:rPr>
        <w:t xml:space="preserve"> as ungrievable </w:t>
      </w:r>
      <w:r w:rsidRPr="00EC52BF">
        <w:rPr>
          <w:rStyle w:val="StyleUnderline"/>
          <w:highlight w:val="green"/>
        </w:rPr>
        <w:t>because it is ‘natural’ for them to die</w:t>
      </w:r>
      <w:r w:rsidRPr="00EC52BF">
        <w:rPr>
          <w:rStyle w:val="StyleUnderline"/>
        </w:rPr>
        <w:t xml:space="preserve"> (Hughes 2007). </w:t>
      </w:r>
      <w:r w:rsidRPr="0024004D">
        <w:rPr>
          <w:sz w:val="14"/>
          <w:szCs w:val="14"/>
        </w:rPr>
        <w:t xml:space="preserve">In contrast, deaths are ‘unnatural’ for ‘invulnerable’ people, so their lives are grieved and grievable. The bodies that matter more than others are more obvious during times of social upheaval (Butler 2020). Platitudes, pity and charity are replaced with outright disgust, violence and abjection. The masks come off and the ableist figures reveal themselves. Ableist beliefs and practices are now out in the open, from the shadows to the light (Overboe 2007). </w:t>
      </w:r>
      <w:r w:rsidRPr="00EC52BF">
        <w:rPr>
          <w:rStyle w:val="StyleUnderline"/>
          <w:highlight w:val="green"/>
        </w:rPr>
        <w:t>Prior to COVID-19 it was apparently too difficult to work from home; disabled  people  needed  to  be  in  the  workplace  or  not  work  at  all.  Yet  now,  apparently,  it  is  easy  and practical  for  most  to  do  so.  Disabled  people  have  long  complained  that many  footpaths  are  too  narrow, particularly for wheelchair users, yet their requests have been ignored. Since COVID-19, however, there has  been  an  explosion  of  discourse  that  footpaths  are  too  narrow  to  properly  accommodate  social distancing,  and  changes  are  already  underway</w:t>
      </w:r>
      <w:r w:rsidRPr="00EC52BF">
        <w:rPr>
          <w:rStyle w:val="StyleUnderline"/>
        </w:rPr>
        <w:t xml:space="preserve">  (see  Laker  2020;  Moynihan  2020;  Power  2020).  Many important  press  conferences  are  held  without  sign  language  interpreters;  similarly,  easy  read  or  easy comprehension versions of critical public health messages have not been provided in most jurisdictions. These gaps in information provisions convey the message to disabled people that the information is not for them. As governments start to loosen the restrictions, more people will become infected, and, in the words of Australia’s Prime Minister, ‘that is to be expected’. Against the backdrop of these not so subtle messag</w:t>
      </w:r>
      <w:r w:rsidRPr="00B72C54">
        <w:rPr>
          <w:rStyle w:val="StyleUnderline"/>
        </w:rPr>
        <w:t>es about the position of disabled people in society, there have  also  been  more  extreme  forms  of  physical  violence  that  have  occurred  against  disabled  people. Symbolic violence gives occasion for physical violence.</w:t>
      </w:r>
      <w:r w:rsidRPr="00C546BD">
        <w:t xml:space="preserve"> </w:t>
      </w:r>
      <w:r w:rsidRPr="0024004D">
        <w:rPr>
          <w:sz w:val="14"/>
          <w:szCs w:val="14"/>
        </w:rPr>
        <w:t>In May 2020, Australians were told of the death of Ann  Marie  Smith.  A  month  earlier,  Smith—a  54-year-old  woman  with  cerebral  palsy—was  taken  to  the Royal  Adelaide  Hospital  and  underwent  surgery  to  remove  rotting  flesh  from  severe  pressure  sores(Dempster  2020).  She  went  into  palliative  care  and  died  the  following  day  from  profound  septic  shock, multiple organ failure (from the pressure sores) and malnutrition (Dempster 2020). While Smith had been receiving full-time ‘care’,3it is alleged that she had been sitting in a woven cane chair inside her house for more than a year—and even used the chair as her toilet (Henriques-Gomes 2020c). Police allege Smith’s death was ‘disgusting and degrading’ (Henriques-Gomes 2020b: np).A few days after Smith’s story made the news, the public were confronted by the death of Willow Dunn. Four-year-old Dunn, who had Down syndrome, died on 23 May in Brisbane. Dunn lay deceased in her cot for at least two days before an ambulance was called, and it is understood she had ‘allegedly been left to starve,  had  gaping  sores  that  exposed  her  hip  bones,  and  severe  facial  injuries  after  being  attacked  by vermin’ (Murray 2020: np). Thus far, her father and stepmother have been charged with her murder (Murray 2020). A  few days  later,  we  heard  it  all  again.  This  time,  two  boys  with  autism,  aged  17  and  19,  were  found malnourished in a locked room in a Brisbane house (Roberts 2020). The police were called by a neighbour due to their ‘carers’ death in the yard. Police found the boys naked in a desolate room (Visontay 2020). Neighbours told media that the boys had been neglected for several years; footage emerged of the boys wearing soiled nappies, and, according to one witness, the boys were often hosed down in the back garden (Visontay  2020;  Roberts  2020).  While  many  neighbours  recounted  stories  about  the  boys—one  was apparently known as the ‘naked bandit’ because he often ran around naked—it appears the media failed to ask them why they never reported the neglect. A common feature of these three cases (along with many others) is the inaction of carers and guardians, and their deliberate decisions to withhold food, which led to slow, painful deaths in two of these cases, and the severe malnutrition of the two boys. It is important to note that while two of these cases of disablist and ableist violence publicised in the early days of the pandemic  occurred  in  Brisbane,  Australia,  the  prevalence  of  this  type  of  violence  is  not  necessarily heightened in this jurisdiction. Rather, the publicity around these cases, following the national coverage of Ann Marie Smith’s death in South Australia, may indicate a more robust response to vulnerability from policing and criminal justice agencies in Queensland. As Howes, Bartkowiak-Théron and Asquith (2017) note,  the  Queensland  Police  Service  have  some  of  the  most  rigorous  and  inclusive  policy  and  practice documents to guide police in responding to disablist and ableist violence.Many other stories have been reported in the past few months, both in Australia and internationally. In Spain,  autistic  people  received  verbal  abuse  while  walking  in  the  street  (Monforte  and  Úbeda-Colomer 2020).  Disabled  people  in  England,  Scotland  and  Northern  Ireland  have  also  received  abuse  for  not wearing  face  masks, even  though  many  cannot  wear  them  because  of  their  disabilities  (Pearson  2020). Disabled  people  in  Iran  have  been  disproportionately  affected  through  the  closure  of  rehabilitation facilities  (Jalali  et  al.  2020),  and  in  Romania  (as  with  elsewhere;  see,  forexample,  the  United  States), disabled  people  have  been  infected  through  inadequately  prepared  and  resourced  residential  care facilities (Safta-Zecheria 2020). In China, the believed source of the outbreak, there are no provisions for disabled people in the People’s Republic of China Law on Prevention and Treatment of Infectious Diseases guidelines (Qi and Hu 2020). Like many other countries, South Korea also prioritised those with ‘higher rates of success in treatment outcome’ (i.e., abled, young and healthy people), and had COVID-19 testing clinics that were inaccessible to wheelchair users (Lee and Kim 2020: 1514).In Nyagatare, east Rwanda, many marginalised, disabled people ordinarily rely on others for food, but this reliance  is  now  even  more  limited as  people  lose  their  jobs  and  incomes  (KT  Press  2020).  Nearby,  in Uganda, families of disabled children have lost their jobs, and parents, in particular, have noted the lack of accessible learning materials for their children while they ‘teach’ at home (Mbazzi  et  al.  2021).  Gladys Ambert, a Florida woman with cerebral palsy, died in April after her family members tied her up and left her to suffocate (Toohey 2020). The increase in internet use prompted by COVID-19 has also raised fears about an increase in online disablist hate speech (Bailey 2020). Gender-based violence has also increased during this pandemic, and a significant proportion of these victims are disabled women (Cahya 2020).It is clear that the emergence of COVID-19 has brought with it increased violence (physical and symbolic), abuse and neglect towards disabled people, yet our assemblage of these news stories points to a broader problem:  no  one  is  collecting  statistics  on  these  acts  of  violence  (Sherry  2016).  Walmsley  (2020:  1018) notes that this ‘failure to count has a long history [for disabled people]’, and, if statistics are collected, they are most often erroneously labelled as abuse or mistreatment (Thorneycroft 2020).</w:t>
      </w:r>
      <w:r w:rsidRPr="00C546BD">
        <w:t xml:space="preserve"> </w:t>
      </w:r>
      <w:r w:rsidRPr="00EC52BF">
        <w:rPr>
          <w:rStyle w:val="StyleUnderline"/>
          <w:highlight w:val="green"/>
        </w:rPr>
        <w:t>Such practices send the message that a) disablist and ableist violence is not violence at all, and b) that disabled people are so disposable that they fail to count.</w:t>
      </w:r>
      <w:r w:rsidRPr="00C546BD">
        <w:t xml:space="preserve"> </w:t>
      </w:r>
      <w:r w:rsidRPr="0024004D">
        <w:rPr>
          <w:sz w:val="14"/>
          <w:szCs w:val="14"/>
        </w:rPr>
        <w:t>Yet, it is clear that disablist and ableist violence exists, and more so during this pandemic. A question: why? Aetiologies of Disablist and Ableist Violence During the Pandemic In explicating the aetiologies of disablist and ableist violence during this pandemic, we provide an account based on an assemblage of our own readings of Butler (1993, 2020), Campbell (2009), Young (1990) and others, as well as our own lived experiences and the conversations we have had with disabled people about their  experiences  of  violence  (see,  for  example,  Thorneycroft  2020).  Our  account  is  contextualised  both within and beyond the period of this pandemic; we draw upon pre-existing and emerging accounts and consider  how  they  apply  in  this  contemporary  moment.  It  is  also  an  inherently  partial  and  incomplete account because ‘[n]o author or text’ can exclusively ‘explain the complexities of contemporary power [and violence]’ (Butler 1993:  19).  We  use  an  assemblage  of  these  theories  to  consider  disablist  and  ableist violence within and beyond the pandemic, not as an objective and totalising account of this phenomenon, but as an intellectual tool that enables us to reconsider dominant narratives about disability that pervade the field and informs our actions in exceptional times.Given the inherently partial and incomplete nature of our account, we invite others to fill in, twist, erase or rewrite the gaps we cannot see. We echo Price’s(2011: 3) evocative comments that we have ‘written truths and decided they’re lies, erased them, [and] written them again’. We have tried our best to get the words to speak our minds but, recognising the ‘constraints that grammar imposes upon thought’ (Butler 1999: xix) and the disorientation that this global pandemic has created for both of us, we stew in the ‘mess’ of what we have written.Norms, Binaries and AnxietiesSociety  is  organised  and  structured  on  the  characterological  figure  of  the white,  abled,  adult,  cis, heterosexual male body. While, of course, various accommodations and differences are acknowledged and accepted  in  contemporary  society  (to  varying  degrees),  the  starting  point—and  often  the  fallback position—still remains this figure. Butler (2020: 37) writes:[T]he individual who is introduced to us as the first moment of the human, the outbreak of the human onto the world, is posited as if he was never a child; as if he was never provided for, never  depended  upon  parents  or  kinship  relations,  or  upon  social  institutions,  in  order  to survive and grow and (presumably) learn. This social contract, or state of nature fantasy, starts with the negation of vulnerability, dependency and interdependency  (Butler  2020).  He  is  already,  apparently,  self-sufficient  and  autonomous.  This  scene excludes the many other figures that comprise our society; the woman, the disabled person, the person of colour, the child, the non-cis person and the queer. We cannot even fault their representations in the scene because they are unrepresentable (Butler 1991, 2020). Perhaps the biggest problem with this representation is that it ‘begins not at the origin, but in the middle of  a  history  that  is not about to be told’ (Butler 2020: 37, emphasis in original). Our vulnerabilities, dependencies and interdependencies are erased and expunged. All of us were ‘born into a condition of radical dependency’ (Butler 2020: 41), yet, while many of us reach so-called ‘independence’, we move to eradicate our past selves like it never happened. We are a culture and society ‘based on the myth of the autonomous subject’ (Hughes, 2007: 674), and we must recognise that it is, in part, ‘our undifferentiated concept of man thatgives rise to discrimination’ (Baudrillard 1993: 125).The constitution of society’s titular figure—the  white,  abled,  adult,  cis,  heterosexual  man—manifests  a whole repertoire of assumptions, beliefs and attitudes towards the not-white, not-abled, not-adult, not-cis, not-heterosexual and not-man. When a subject position becomes naturalised, all other subject positions are  denaturalised.  The  instantiation  of  binary  relationships—white/black,  abled/disabled,  adult/child, man/woman—creates the empowerment of the former and the denigration of the latter (Goodley 2017). Hughes (2007: 678) writes that it ‘does not matter which particular binary one invokes, the latter term will be the negative to its partner’s positive’. The latter category is ‘marked out, frozen into a being marked as Other, deviant in relation to the dominant norm’ (Young 1990: 123).The instantiation and subscription to binary ‘logics’ create a form of ‘border anxiety’ that helps explain the violence and oppression against marginalised bodies, particularly disabled people (Young 1990). Young (1990: 129) writes:The medicalization of difference brings about a strange and fearful logic. On the one hand, the normal/abnormal distinction is a pure good/bad exclusive opposition. On the other hand, since these opposites are located on one and the same scale, it is easy to slide from one to the other, the border is permeable. The permeability of bodies, particularly dis/abled bodies, creates border anxiety. Young (1990) suggests that homosexuality is the paradigm of border anxiety (because anyone can become gay). We suggest that disabledness  sits  alongside  this  and  is,  perhaps,  even  more  powerful.  The  border  between  abled  and disabled is so permeable that anyone can become disabled at any moment. Such recognition shocks the abled/ableist  body,  and  they  must  turn  away,  ignore,  violate,  expunge  or  erase  the  disabled  body  from their field of vision. To defend their identity, the abled body must negate the disabled body.This account helps us understandwhy many people can rid themselves of racism or sexism yet continue to perpetuate ableism (Young 1990).</w:t>
      </w:r>
      <w:r w:rsidRPr="00C546BD">
        <w:t xml:space="preserve"> </w:t>
      </w:r>
      <w:r w:rsidRPr="0024004D">
        <w:rPr>
          <w:rStyle w:val="StyleUnderline"/>
        </w:rPr>
        <w:t xml:space="preserve">Some people can be firm about their identities and comportment—they  know  they  will  not  become  black  overnight  or  are  clear  in  their  genders  and  sexualities—but  the prospect of disabledness can never be erased. In times of social upheaval, in this contemporary moment where everything feels precarious and debilitating (Puar 2017), the desire to ensure (abled) integrity is more pronounced than ever. People know that disabled subjects are more vulnerable to the coronavirus, and,  as  such,  the  threat  of  disabledness  is  doubly  pronounced  and  threatening.  As  a  consequence,  the disabled body must be ignored, violated or expunged. </w:t>
      </w:r>
      <w:r w:rsidRPr="0024004D">
        <w:rPr>
          <w:sz w:val="14"/>
          <w:szCs w:val="14"/>
        </w:rPr>
        <w:t xml:space="preserve">This  picture  also  helps  inform  why  neglect  has  featured  so  heavily  during  this  pandemic.  As  disability studies scholars interested in violence and oppression, we are typically confronted by the acts of explicit and forceful violation and (in)action against disabled people. </w:t>
      </w:r>
      <w:r w:rsidRPr="0024004D">
        <w:rPr>
          <w:rStyle w:val="StyleUnderline"/>
        </w:rPr>
        <w:t xml:space="preserve">Yet, we are struck by the ways in which so many stories of </w:t>
      </w:r>
      <w:r w:rsidRPr="0039111D">
        <w:rPr>
          <w:rStyle w:val="StyleUnderline"/>
          <w:highlight w:val="green"/>
        </w:rPr>
        <w:t>disablist and ableist violence during this pandemic involve the slow, degrading processes of neglect, which entails non-action</w:t>
      </w:r>
      <w:r w:rsidRPr="0024004D">
        <w:rPr>
          <w:rStyle w:val="StyleUnderline"/>
        </w:rPr>
        <w:t xml:space="preserve"> or non-force. It is the literal turning away of the disabled body. Ann Marie Smith was left to rot in a chair, Willow Dunn was left starving in her cot, and the two boys in Brisbane were locked away in a room. Out of sight, out of mind. When </w:t>
      </w:r>
      <w:r w:rsidRPr="0039111D">
        <w:rPr>
          <w:rStyle w:val="StyleUnderline"/>
          <w:highlight w:val="green"/>
        </w:rPr>
        <w:t>disabled people are</w:t>
      </w:r>
      <w:r w:rsidRPr="0024004D">
        <w:rPr>
          <w:rStyle w:val="StyleUnderline"/>
        </w:rPr>
        <w:t xml:space="preserve"> already </w:t>
      </w:r>
      <w:r w:rsidRPr="0039111D">
        <w:rPr>
          <w:rStyle w:val="StyleUnderline"/>
          <w:highlight w:val="green"/>
        </w:rPr>
        <w:t>subjected to slow death,</w:t>
      </w:r>
      <w:r w:rsidRPr="0024004D">
        <w:rPr>
          <w:rStyle w:val="StyleUnderline"/>
        </w:rPr>
        <w:t xml:space="preserve"> social upheaval intensifies its pace and the ways in which disabled ‘populations are marked out for wearing out’ (Berlant 2007: 761, emphasis in original).</w:t>
      </w:r>
    </w:p>
    <w:p w14:paraId="0E2D1C1A" w14:textId="77777777" w:rsidR="00B946C4" w:rsidRDefault="00B946C4" w:rsidP="00B946C4">
      <w:pPr>
        <w:rPr>
          <w:rStyle w:val="StyleUnderline"/>
        </w:rPr>
      </w:pPr>
    </w:p>
    <w:p w14:paraId="739BD5A1" w14:textId="77777777" w:rsidR="00B946C4" w:rsidRDefault="00B946C4" w:rsidP="00B946C4"/>
    <w:p w14:paraId="3C5F6691" w14:textId="77777777" w:rsidR="00B946C4" w:rsidRDefault="00B946C4" w:rsidP="00B946C4"/>
    <w:p w14:paraId="32EEA3DD" w14:textId="77777777" w:rsidR="00B946C4" w:rsidRDefault="00B946C4" w:rsidP="00B946C4">
      <w:pPr>
        <w:pStyle w:val="Heading4"/>
      </w:pPr>
      <w:r>
        <w:t>Alternatively, we, as crips, affirm cripping the logic of labor</w:t>
      </w:r>
    </w:p>
    <w:p w14:paraId="0811314D" w14:textId="77777777" w:rsidR="00B946C4" w:rsidRPr="00EB3A8B" w:rsidRDefault="00B946C4" w:rsidP="00B946C4">
      <w:pPr>
        <w:rPr>
          <w:rStyle w:val="Style13ptBold"/>
        </w:rPr>
      </w:pPr>
      <w:r>
        <w:rPr>
          <w:rStyle w:val="Style13ptBold"/>
        </w:rPr>
        <w:t xml:space="preserve">Thorneycroft 2024 </w:t>
      </w:r>
      <w:r w:rsidRPr="009C3B0C">
        <w:rPr>
          <w:rStyle w:val="Style13ptBold"/>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“Crip Theory and the Subject of Abledness,” </w:t>
      </w:r>
      <w:hyperlink r:id="rId9" w:anchor="B17" w:history="1">
        <w:r w:rsidRPr="009C3B0C">
          <w:rPr>
            <w:rStyle w:val="Hyperlink"/>
            <w:b/>
            <w:bCs/>
            <w:sz w:val="16"/>
            <w:szCs w:val="16"/>
          </w:rPr>
          <w:t>https://sjdr.se/articles/10.16993/sjdr.1067?utm_source=chatgpt.com#B17</w:t>
        </w:r>
      </w:hyperlink>
      <w:r>
        <w:rPr>
          <w:rStyle w:val="Style13ptBold"/>
          <w:sz w:val="16"/>
          <w:szCs w:val="16"/>
        </w:rPr>
        <w:t xml:space="preserve">, </w:t>
      </w:r>
      <w:r w:rsidRPr="00D50705">
        <w:rPr>
          <w:rStyle w:val="Style13ptBold"/>
          <w:sz w:val="16"/>
          <w:szCs w:val="16"/>
        </w:rPr>
        <w:t>[CORNELL DBT] [AV SUMMER25]</w:t>
      </w:r>
    </w:p>
    <w:p w14:paraId="169D0C8D" w14:textId="77777777" w:rsidR="00B946C4" w:rsidRDefault="00B946C4" w:rsidP="00B946C4">
      <w:r w:rsidRPr="009C3B0C">
        <w:rPr>
          <w:sz w:val="14"/>
          <w:szCs w:val="14"/>
        </w:rPr>
        <w:t>Following in the footsteps of queer theory and queering, crip theory has likewise adopted the methodological and political practice of cripping, which deploys crip as a verb in challenging and resisting existing norms.</w:t>
      </w:r>
      <w:r w:rsidRPr="00EB3A8B">
        <w:rPr>
          <w:rStyle w:val="StyleUnderline"/>
        </w:rPr>
        <w:t xml:space="preserve"> Cripping, Sandahl (2003: 37) writes, involves ‘spin[ning] mainstream representations or practices to reveal able-bodied assumptions and exclusionary effects … [to] expose the arbitrary delineation between normal and defective and the negative social ramifications of attempts to homogenize humanity’. ‘</w:t>
      </w:r>
      <w:r w:rsidRPr="007822D3">
        <w:rPr>
          <w:rStyle w:val="StyleUnderline"/>
          <w:highlight w:val="green"/>
        </w:rPr>
        <w:t>To crip’ is to highlight</w:t>
      </w:r>
      <w:r w:rsidRPr="00EB3A8B">
        <w:rPr>
          <w:rStyle w:val="StyleUnderline"/>
        </w:rPr>
        <w:t xml:space="preserve"> both </w:t>
      </w:r>
      <w:r w:rsidRPr="007822D3">
        <w:rPr>
          <w:rStyle w:val="StyleUnderline"/>
          <w:highlight w:val="green"/>
        </w:rPr>
        <w:t>non-normative ways of living and</w:t>
      </w:r>
      <w:r w:rsidRPr="00EB3A8B">
        <w:rPr>
          <w:rStyle w:val="StyleUnderline"/>
        </w:rPr>
        <w:t xml:space="preserve"> being and </w:t>
      </w:r>
      <w:r w:rsidRPr="007822D3">
        <w:rPr>
          <w:rStyle w:val="StyleUnderline"/>
          <w:highlight w:val="green"/>
        </w:rPr>
        <w:t>to challenge dominant assumptions that the abled body is the normal, natural, and better body</w:t>
      </w:r>
      <w:r w:rsidRPr="00EB3A8B">
        <w:rPr>
          <w:rStyle w:val="StyleUnderline"/>
        </w:rPr>
        <w:t xml:space="preserve"> (Sandahl 2003). Cripping involves a tactical act that seeks to identify and conjure alternative ways of living and being crip. </w:t>
      </w:r>
      <w:r w:rsidRPr="009C3B0C">
        <w:rPr>
          <w:sz w:val="14"/>
          <w:szCs w:val="14"/>
        </w:rPr>
        <w:t>Importantly, Chen et al. (2023) caution that ‘cripping’ has too often focused on individual and interpersonal circumstances, and they thus encourage the cripping of broader and collective socio-structural phenomena.</w:t>
      </w:r>
      <w:r w:rsidRPr="00EB3A8B">
        <w:rPr>
          <w:rStyle w:val="StyleUnderline"/>
        </w:rPr>
        <w:t xml:space="preserve">  </w:t>
      </w:r>
      <w:r w:rsidRPr="007822D3">
        <w:rPr>
          <w:rStyle w:val="StyleUnderline"/>
          <w:highlight w:val="green"/>
        </w:rPr>
        <w:t>One</w:t>
      </w:r>
      <w:r w:rsidRPr="00EB3A8B">
        <w:rPr>
          <w:rStyle w:val="StyleUnderline"/>
        </w:rPr>
        <w:t xml:space="preserve"> notable </w:t>
      </w:r>
      <w:r w:rsidRPr="007822D3">
        <w:rPr>
          <w:rStyle w:val="StyleUnderline"/>
          <w:highlight w:val="green"/>
        </w:rPr>
        <w:t>manifestation of cripping is crip time</w:t>
      </w:r>
      <w:r w:rsidRPr="00EB3A8B">
        <w:rPr>
          <w:rStyle w:val="StyleUnderline"/>
        </w:rPr>
        <w:t xml:space="preserve"> (drawing upon the notion of queer time). Crip time seeks to encourage a more critical appreciation of the different temporalities by which dis/abled people live their lives, and it does this by foregrounding the ableism inherent to the normative construction of (clock) time (Ljuslinder, Ellis &amp; Vikström 2020). </w:t>
      </w:r>
      <w:r w:rsidRPr="007822D3">
        <w:rPr>
          <w:rStyle w:val="StyleUnderline"/>
          <w:highlight w:val="green"/>
        </w:rPr>
        <w:t>Crip time challenges normative assumptions and expectations about pace and scheduling and highlights alternative crip temporalities</w:t>
      </w:r>
      <w:r w:rsidRPr="00EB3A8B">
        <w:rPr>
          <w:rStyle w:val="StyleUnderline"/>
        </w:rPr>
        <w:t xml:space="preserve"> (Kafer 2013).</w:t>
      </w:r>
      <w:r w:rsidRPr="00EB3A8B">
        <w:t xml:space="preserve"> </w:t>
      </w:r>
      <w:r w:rsidRPr="00976717">
        <w:rPr>
          <w:rStyle w:val="StyleUnderline"/>
        </w:rPr>
        <w:t>Crip time is not simply about extra or slow time (as many people may live on accelerated time), but about flexible time (Samuels 2017).</w:t>
      </w:r>
      <w:r w:rsidRPr="00EB3A8B">
        <w:t xml:space="preserve"> </w:t>
      </w:r>
      <w:r w:rsidRPr="00EB3A8B">
        <w:rPr>
          <w:rStyle w:val="StyleUnderline"/>
        </w:rPr>
        <w:t>Crip/ping time involves reorienting our attitudes and approaches to time, and of ‘break[ing] in our bodies and minds to new rhythms, new patterns of thinking and feeling and moving through the world’ (Samuels 2017: np). Crip/ping time involves a form of ‘letting go’ to the conventional timelines and temporalities that ordinarily structure our lives.</w:t>
      </w:r>
      <w:r w:rsidRPr="00EB3A8B">
        <w:t xml:space="preserve"> </w:t>
      </w:r>
      <w:r w:rsidRPr="009C3B0C">
        <w:rPr>
          <w:sz w:val="14"/>
          <w:szCs w:val="14"/>
        </w:rPr>
        <w:t xml:space="preserve">Crip/ping time also helps to critique the cultural logics and impacts of neoliberalism (McRuer 2018).  </w:t>
      </w:r>
      <w:r w:rsidRPr="007822D3">
        <w:rPr>
          <w:rStyle w:val="StyleUnderline"/>
        </w:rPr>
        <w:t>Crip theory also permits and/or encourages people to claim crip, or what McRuer (2006: 33) calls ‘</w:t>
      </w:r>
      <w:r w:rsidRPr="007822D3">
        <w:rPr>
          <w:rStyle w:val="StyleUnderline"/>
          <w:highlight w:val="green"/>
        </w:rPr>
        <w:t>coming out crip’</w:t>
      </w:r>
      <w:r w:rsidRPr="007822D3">
        <w:rPr>
          <w:rStyle w:val="StyleUnderline"/>
        </w:rPr>
        <w:t xml:space="preserve"> and Kafer (2013: 14) describes as ‘crip affiliation’. Kafer</w:t>
      </w:r>
      <w:r w:rsidRPr="00EB3A8B">
        <w:rPr>
          <w:rStyle w:val="StyleUnderline"/>
        </w:rPr>
        <w:t xml:space="preserve"> (2013: 13) argues that claiming crip </w:t>
      </w:r>
      <w:r w:rsidRPr="007822D3">
        <w:rPr>
          <w:rStyle w:val="StyleUnderline"/>
          <w:highlight w:val="green"/>
        </w:rPr>
        <w:t>involves</w:t>
      </w:r>
      <w:r w:rsidRPr="00EB3A8B">
        <w:rPr>
          <w:rStyle w:val="StyleUnderline"/>
        </w:rPr>
        <w:t xml:space="preserve">:  …a method of imagining multiple futures, positioning ‘crip’ as a desired and desirable location regardless of one’s own embodiment or mental/psychological processes … [It] can be a way of </w:t>
      </w:r>
      <w:r w:rsidRPr="007822D3">
        <w:rPr>
          <w:rStyle w:val="StyleUnderline"/>
          <w:highlight w:val="green"/>
        </w:rPr>
        <w:t>acknowledging that we all have bodies and minds with shifting abilities</w:t>
      </w:r>
      <w:r w:rsidRPr="00EB3A8B">
        <w:rPr>
          <w:rStyle w:val="StyleUnderline"/>
        </w:rPr>
        <w:t>, and wrestling with the political meanings and histories of such shifts … thinking through what nondisabled claims to crip might entail will require exploring whether such claims might be more available, or more imaginable, to some people than others (and on what basis).  For Kafer (2013), claiming crip, including abled crip claims, invites a reckoning with which to reimagine the future, and that a crip future is a more desirable future because it abandons ableism and involves a greater appreciation of living with our inherently fragile corporealities and interdependencies</w:t>
      </w:r>
      <w:r w:rsidRPr="00EB3A8B">
        <w:t xml:space="preserve">. </w:t>
      </w:r>
      <w:r w:rsidRPr="009C3B0C">
        <w:rPr>
          <w:sz w:val="14"/>
          <w:szCs w:val="14"/>
        </w:rPr>
        <w:t>Schalk (2013) also associates themselves with this form of politics, suggesting disidentification—understood in a Muñozian (1999) vein—with crip can create personal, political, sustaining, and affective resonances with minoritarian groups, including disabled people. McRuer (2006) more specifically conceptualises the act of ‘coming out crip’ as a tool to speak back to compulsory normativity and particularly compulsory abledness. For McRuer (2006: 52), coming out crip ‘allows for the emergence of new disabled subjectivities’, and particularly ones that focus on resisting compulsory abledness and attendant ableism. The benefit of coming out crip is that it ‘call[s] attention to the ways in which the disability rights movement and disability studies have resisted the demands of compulsory able-bodiedness and have demanded access to a newly imagined and newly configured public sphere where full participation is not contingent on an able body’ (McRuer 2006: 30).</w:t>
      </w:r>
      <w:r w:rsidRPr="00EB3A8B">
        <w:t xml:space="preserve"> </w:t>
      </w:r>
      <w:r w:rsidRPr="007822D3">
        <w:rPr>
          <w:rStyle w:val="StyleUnderline"/>
          <w:highlight w:val="green"/>
        </w:rPr>
        <w:t>Coming out crip reconfigures the dis/abled subject</w:t>
      </w:r>
      <w:r w:rsidRPr="00EB3A8B">
        <w:rPr>
          <w:rStyle w:val="StyleUnderline"/>
        </w:rPr>
        <w:t xml:space="preserve"> in more generative ways </w:t>
      </w:r>
      <w:r w:rsidRPr="007822D3">
        <w:rPr>
          <w:rStyle w:val="StyleUnderline"/>
          <w:highlight w:val="green"/>
        </w:rPr>
        <w:t>and disrupts the hegemony of abledness.  Crip/ping time and claiming crip</w:t>
      </w:r>
      <w:r w:rsidRPr="00EB3A8B">
        <w:rPr>
          <w:rStyle w:val="StyleUnderline"/>
        </w:rPr>
        <w:t xml:space="preserve"> also </w:t>
      </w:r>
      <w:r w:rsidRPr="007822D3">
        <w:rPr>
          <w:rStyle w:val="StyleUnderline"/>
          <w:highlight w:val="green"/>
        </w:rPr>
        <w:t>enables the formation and development of alternative crip futurities.</w:t>
      </w:r>
      <w:r w:rsidRPr="00EB3A8B">
        <w:rPr>
          <w:rStyle w:val="StyleUnderline"/>
        </w:rPr>
        <w:t xml:space="preserve"> Disabled people are often cast out of the future (Kafer 2013), yet by cripping time and claiming crip, alternative temporal scales and futurities can be envisaged (Rice et al. 2017).</w:t>
      </w:r>
      <w:r w:rsidRPr="00EB3A8B">
        <w:t xml:space="preserve"> </w:t>
      </w:r>
      <w:r w:rsidRPr="009C3B0C">
        <w:rPr>
          <w:sz w:val="14"/>
          <w:szCs w:val="14"/>
        </w:rPr>
        <w:t xml:space="preserve">As Kafer (2013: 13) asks, ‘[c]an claiming crip be a method of imagining multiple futures, positioning ‘crip’ as a desired and desirable location regardless of one’s own embodiment or mental/psychological processes?’ </w:t>
      </w:r>
      <w:r w:rsidRPr="00EB3A8B">
        <w:rPr>
          <w:rStyle w:val="StyleUnderline"/>
        </w:rPr>
        <w:t>Rejecting linear and normative (or straight and abled) time unsettles conventional trajectories and offers one route to remap existing (heteronormative and ableist) orientations.</w:t>
      </w:r>
      <w:r w:rsidRPr="00EB3A8B">
        <w:t xml:space="preserve"> </w:t>
      </w:r>
      <w:r w:rsidRPr="009C3B0C">
        <w:rPr>
          <w:sz w:val="14"/>
          <w:szCs w:val="14"/>
        </w:rPr>
        <w:t>Informed by Kittay (1999), Butler (2020), Smilges (2023), and Titchkosky (2011), I see the politics of accessibility and interdependency central to this endeavour. Conceptualised in collective rather than individual senses, accessibility must involve moving beyond ramps and Braille and other physical architecture and instead transforming the ways in which we relate to and depend upon each other (Titchkosky 2011; Smilges 2023). Kittay (1999: xii) writes that ‘interdependence starts with dependence’, and ‘because no body can sustain itself on its own’ (Butler 2020: 49), there needs to be greater recognition for our dependencies, interdependencies, and grievabilities, such that alternative and efficacious (crip) futures become promissory.  Crip theory contains the capacity to develop and articulate a theoretical language and methodology with which to identify and challenge ableism, compulsory abledness, and normativity. Abledness refers to a set of social relations that result in the naturalisation of ability (Goodley 2014). Far from being a self-evident or static category, abledness is a relational and discursively constituted category that requires problematisation and deconstruction (Campbell 2019). Hughes (2007: 678) notes that there is an ‘ontological view that human worth is closely associated with ability’, and this is predetermined through the forces of compulsory abledness and attendant normativity (McRuer 2006). A key benefit of crip theory is that of refusing abledness, which necessitates a ‘letting go’ of ableist norms, and by extension, efficaciously embracing disabledness and ethical non-normativity (Campbell 2009).</w:t>
      </w:r>
      <w:r w:rsidRPr="00EB3A8B">
        <w:t xml:space="preserve"> </w:t>
      </w:r>
      <w:r w:rsidRPr="00A73DB9">
        <w:rPr>
          <w:rStyle w:val="StyleUnderline"/>
          <w:highlight w:val="green"/>
        </w:rPr>
        <w:t>Deconstructing</w:t>
      </w:r>
      <w:r w:rsidRPr="009C3B0C">
        <w:rPr>
          <w:rStyle w:val="StyleUnderline"/>
        </w:rPr>
        <w:t xml:space="preserve"> abledness, normativity, and </w:t>
      </w:r>
      <w:r w:rsidRPr="00A73DB9">
        <w:rPr>
          <w:rStyle w:val="StyleUnderline"/>
          <w:highlight w:val="green"/>
        </w:rPr>
        <w:t>ableism opens up possibilities for living otherwise</w:t>
      </w:r>
      <w:r w:rsidRPr="009C3B0C">
        <w:rPr>
          <w:rStyle w:val="StyleUnderline"/>
        </w:rPr>
        <w:t xml:space="preserve">.  Crip theory </w:t>
      </w:r>
      <w:r w:rsidRPr="00976717">
        <w:rPr>
          <w:rStyle w:val="StyleUnderline"/>
          <w:highlight w:val="green"/>
        </w:rPr>
        <w:t>also</w:t>
      </w:r>
      <w:r w:rsidRPr="009C3B0C">
        <w:rPr>
          <w:rStyle w:val="StyleUnderline"/>
        </w:rPr>
        <w:t xml:space="preserve"> powerfully </w:t>
      </w:r>
      <w:r w:rsidRPr="00976717">
        <w:rPr>
          <w:rStyle w:val="StyleUnderline"/>
          <w:highlight w:val="green"/>
        </w:rPr>
        <w:t>troubles the distinction between abledness and disabledness</w:t>
      </w:r>
      <w:r w:rsidRPr="009C3B0C">
        <w:rPr>
          <w:rStyle w:val="StyleUnderline"/>
        </w:rPr>
        <w:t xml:space="preserve"> (McRuer 2006). McRuer (2006) notes two common truisms in disability studies: </w:t>
      </w:r>
      <w:r w:rsidRPr="00A73DB9">
        <w:rPr>
          <w:rStyle w:val="StyleUnderline"/>
          <w:highlight w:val="green"/>
        </w:rPr>
        <w:t>we will all likely become disabled at some point</w:t>
      </w:r>
      <w:r w:rsidRPr="009C3B0C">
        <w:rPr>
          <w:rStyle w:val="StyleUnderline"/>
        </w:rPr>
        <w:t xml:space="preserve"> in our lives, and disability will be the one identity category that most of us will inhabit. </w:t>
      </w:r>
      <w:r w:rsidRPr="009C3B0C">
        <w:rPr>
          <w:sz w:val="14"/>
          <w:szCs w:val="14"/>
        </w:rPr>
        <w:t xml:space="preserve">But the point goes further: there is a slipperiness between abledness and disabledness, they are constituted in simultaneous relation to each other, and we can never fully embody either category all the time (Goodley 2014; McRuer 2006). Following Fuss (1991: 3) on the distinction between heterosexuality/homosexuality, we might also be able to say that abledness can never fully ignore the close psychical proximity of its terrifying disabled other, any more than disabledness can entirely escape the equally insistent social pressures of abled conformity—each is haunted by the other. Troubling the dis/abled binary is important in resisting the fixity of identity, and in enabling more intelligible ways of being and doing in the world. Recognising the instability and fantasy of the dis/abled binary enables a de-emphasis on the politics of identities—and some of the anxieties around ‘crip identity’ (Bone 2017)—and encourages movements towards a better political project that involves fashioning crip futures for everyone (Rice et al. 2017).  One not insignificant benefit of crip theory is its reclamation of an injurious word: crip. Crip, of course, is short for ‘cripple’, and has historically been used derogatively against disabled people (Clare 2015). Crip theory follows in the queer theory tradition of re-appropriating, and thus neutralizing, injurious words. ‘Crip’ is a harsh word, but that ‘harshness is a large part of its appeal’ (Kafer 2013: 15). Kafer (2013: 15) notes that many people may wince at ‘crip’, but the ‘desire to make people wince suggests an urge to shake things up, to jolt people out of their everyday understandings of bodies and minds, of normalcy and deviance’. The benefit of crip is that it can be rebadged from pathology to pride, it neutralizes and disarms the power of crip as an invective, it helps to forge a new generative identity, it can signal intimacy or nonconformity, and it may build a network intent on radical social transformation (Chen et al. 2023).  Finally, many scholars have noted crip’s intersectional political agenda and its capacity to challenge settler colonialism, capitalism, racism, white supremacy, and other matrices of oppression (Chen et al. 2023; Samuels &amp; Freeman 2021). Just as crip theory is co-implicated with dismantling heteronormativity via its resonances with queer theory, crip theorists likewise note ableism’s entanglements with whiteness, settler colonialism, racism, capitalism, classism, sanism, and patriarchy (Smilges 2023). Crip thought continues to be transgressive and radical and draws upon a range of abolitionist (Ben-Moshe 2020), environmental and non-human (Ray and Sibara 2017), posthuman (Goodley, Lawthom &amp; Runswick-Cole 2014), and postcolonial (Puar 2017) perspectives that seek to upend the violent status quo. The intersectional legacies of disability studies and queer theory continue to chart crip theory’s intersectional trajectory. I suggest that one under-explored figure in this equation is the abled subject, so I turn to the question: to what extent can an otherwise abled subject embody or elaborate a crip politics?  The Subject of Abledness and Crip Theory How might the findings and insights of crip theory be further proliferated to aid the abled subject? This is a provocative line of inquiry given the ways that abledness functions so hegemonically as a self-evident, epistemologically a priori and invisible category, and ‘masquerades as a non-identity, as the natural order of things’ (McRuer 2006: 1). Abled subjects have had the political luxury of not having to think about their abledness, just as straights have not had to think about their sexuality, men have not thought about being gendered, or whites not thinking of themselves as raced (McRuer 2006; Thomas 2000). Yet it is important that abled people (drawn to formulations of crip) interrogate their own abled practices, identifications, repressions, and exclusions. Stryker (1994: 246, 241), a ‘transsexual leatherdyke’, invites such a reckoning in the context of trans and cis subjectivity: ‘[y]ou [cis] are as constructed as me [trans]; the same anarchic womb has birthed us both. I call upon you to investigate your nature as I have been compelled to confront mine … Heed my words, and you may well discover the seams and sutures in yourself’. It is my contention that it is likewise important that abled subjects can learn from crip theory to make interventions into the reproduction of ableism and (compulsory) abledness.  To twist Thomas’ (2000: 11) queer question in Straight with a Twist to a crip context, to what extent could an otherwise abled subject elaborate a crip criticism? One strong possibility is that of abled resistance and disloyalty to ableist structures. It is incumbent upon abled subjects drawn to crip affiliation to critique and subvert ableist theories and practices. To again twist one of Thomas’ (2000: 13) questions from a queer to a crip context, what would it mean for ableds to really understand (and not just theoretically toy with) the crip argument that the normative regimens they inhabit and embody are ideological fictions rather than natural inevitabilities, performatives rather than constatives? After such knowledge, what normalness? I contend that it is incumbent upon abled subjects drawn to crip affiliation to participate in the dismantling of their normative status.  The re-positioning from an abled hegemonic identity to self-representation as a crip is the most conspicuous form or representation of abled crip identification. This individualised and voluntarist act, however, needs to be linked to broader and proliferating aims and practices. One central aim should involve challenging the hegemony of abledness. Abledness is neither a stable or natural identity; rather, it is a construction based on changing social and cultural mores (Campbell 2009). The dominant system of institutionalised abledness operates through an abled/disabled divide and made universalised and naturalised, and thus creating and reproducing abledness as an invisible </w:t>
      </w:r>
      <w:r w:rsidRPr="00976717">
        <w:rPr>
          <w:sz w:val="14"/>
          <w:szCs w:val="14"/>
        </w:rPr>
        <w:t>category.</w:t>
      </w:r>
      <w:r w:rsidRPr="00976717">
        <w:t xml:space="preserve"> </w:t>
      </w:r>
      <w:r w:rsidRPr="00A73DB9">
        <w:rPr>
          <w:rStyle w:val="StyleUnderline"/>
          <w:highlight w:val="green"/>
        </w:rPr>
        <w:t>Participating in a critique that dismantles your own abled normative status helps to destabilise</w:t>
      </w:r>
      <w:r w:rsidRPr="009C3B0C">
        <w:rPr>
          <w:rStyle w:val="StyleUnderline"/>
        </w:rPr>
        <w:t xml:space="preserve"> and denaturalise </w:t>
      </w:r>
      <w:r w:rsidRPr="00A73DB9">
        <w:rPr>
          <w:rStyle w:val="StyleUnderline"/>
          <w:highlight w:val="green"/>
        </w:rPr>
        <w:t>abled normativity</w:t>
      </w:r>
      <w:r w:rsidRPr="009C3B0C">
        <w:rPr>
          <w:rStyle w:val="StyleUnderline"/>
          <w:sz w:val="14"/>
          <w:szCs w:val="14"/>
        </w:rPr>
        <w:t xml:space="preserve">. </w:t>
      </w:r>
      <w:r w:rsidRPr="009C3B0C">
        <w:rPr>
          <w:sz w:val="14"/>
          <w:szCs w:val="14"/>
        </w:rPr>
        <w:t>The phenomenon of something that could be called ‘crip abledness’ contests abledness by suggesting that abled subjects are in fact produced through competing discourses, technologies, and practices, and can thus perform abledness in varying ways (Schlichter 2004). Crip abledness reconfigures alternative forms of sociality by militating against normativity.</w:t>
      </w:r>
      <w:r w:rsidRPr="00EB3A8B">
        <w:t xml:space="preserve">  </w:t>
      </w:r>
      <w:r w:rsidRPr="00EB3A8B">
        <w:rPr>
          <w:rStyle w:val="StyleUnderline"/>
        </w:rPr>
        <w:t xml:space="preserve">The concept of ‘cripistemology’ may prove useful in the contexts of abled crip identification. A portmanteau of ‘crip’ and ‘epistemology’, </w:t>
      </w:r>
      <w:r w:rsidRPr="009C3B0C">
        <w:rPr>
          <w:rStyle w:val="StyleUnderline"/>
          <w:highlight w:val="green"/>
        </w:rPr>
        <w:t xml:space="preserve">cripistemology invites ways of </w:t>
      </w:r>
      <w:r w:rsidRPr="003E610C">
        <w:rPr>
          <w:rStyle w:val="StyleUnderline"/>
          <w:highlight w:val="green"/>
        </w:rPr>
        <w:t xml:space="preserve">knowing and unknowing ‘disability’ </w:t>
      </w:r>
      <w:r w:rsidRPr="009C3B0C">
        <w:rPr>
          <w:rStyle w:val="StyleUnderline"/>
          <w:highlight w:val="green"/>
        </w:rPr>
        <w:t>from</w:t>
      </w:r>
      <w:r w:rsidRPr="00EB3A8B">
        <w:rPr>
          <w:rStyle w:val="StyleUnderline"/>
        </w:rPr>
        <w:t xml:space="preserve"> a range of </w:t>
      </w:r>
      <w:r w:rsidRPr="009C3B0C">
        <w:rPr>
          <w:rStyle w:val="StyleUnderline"/>
          <w:highlight w:val="green"/>
        </w:rPr>
        <w:t>crip perspectives</w:t>
      </w:r>
      <w:r w:rsidRPr="00EB3A8B">
        <w:rPr>
          <w:rStyle w:val="StyleUnderline"/>
        </w:rPr>
        <w:t xml:space="preserve"> (Johnson &amp; McRuer 2014b). Johnson and McRuer (2014b: 130) explain their thinking as they developed the term:  …knowing and unknowing disability, making and unmaking disability epistemologies, and the importance of challenging subjects who confidently ‘know’ about ‘disability,’ as though it could be a thoroughly comprehended object of knowledge. We were </w:t>
      </w:r>
      <w:r w:rsidRPr="003E610C">
        <w:rPr>
          <w:rStyle w:val="StyleUnderline"/>
          <w:highlight w:val="green"/>
        </w:rPr>
        <w:t>questioning</w:t>
      </w:r>
      <w:r w:rsidRPr="00EB3A8B">
        <w:rPr>
          <w:rStyle w:val="StyleUnderline"/>
        </w:rPr>
        <w:t xml:space="preserve">, in other words, </w:t>
      </w:r>
      <w:r w:rsidRPr="009C3B0C">
        <w:rPr>
          <w:rStyle w:val="StyleUnderline"/>
          <w:highlight w:val="green"/>
        </w:rPr>
        <w:t>what we think we know about disability, and how we know</w:t>
      </w:r>
      <w:r w:rsidRPr="00EB3A8B">
        <w:rPr>
          <w:rStyle w:val="StyleUnderline"/>
        </w:rPr>
        <w:t xml:space="preserve"> around and through </w:t>
      </w:r>
      <w:r w:rsidRPr="009C3B0C">
        <w:rPr>
          <w:rStyle w:val="StyleUnderline"/>
          <w:highlight w:val="green"/>
        </w:rPr>
        <w:t>it.</w:t>
      </w:r>
      <w:r w:rsidRPr="00EB3A8B">
        <w:rPr>
          <w:rStyle w:val="StyleUnderline"/>
        </w:rPr>
        <w:t xml:space="preserve"> It may be that abled crip identification helps question what we think we know, ‘around’ and ‘through’, disability. While the term has genealogical connections with disabled subjectivity (i.e. ‘situated knowledges’ and sitpoint theory), it may be that, from the perspective of abled crip identification, meanings and attachments towards ‘disability’ become unstable (yet, importantly, productive). (Dis/abled) </w:t>
      </w:r>
      <w:r w:rsidRPr="00A73DB9">
        <w:rPr>
          <w:rStyle w:val="StyleUnderline"/>
          <w:highlight w:val="green"/>
        </w:rPr>
        <w:t>crip positionalities invite ‘new ways of thinking, knowing, and communicating</w:t>
      </w:r>
      <w:r w:rsidRPr="00EB3A8B">
        <w:rPr>
          <w:rStyle w:val="StyleUnderline"/>
        </w:rPr>
        <w:t xml:space="preserve"> across difference’ (Johnson &amp; McRuer 2014a: 254), </w:t>
      </w:r>
      <w:r w:rsidRPr="00A73DB9">
        <w:rPr>
          <w:rStyle w:val="StyleUnderline"/>
          <w:highlight w:val="green"/>
        </w:rPr>
        <w:t>and</w:t>
      </w:r>
      <w:r w:rsidRPr="00EB3A8B">
        <w:rPr>
          <w:rStyle w:val="StyleUnderline"/>
        </w:rPr>
        <w:t xml:space="preserve"> may </w:t>
      </w:r>
      <w:r w:rsidRPr="00A73DB9">
        <w:rPr>
          <w:rStyle w:val="StyleUnderline"/>
          <w:highlight w:val="green"/>
        </w:rPr>
        <w:t>unsettle existing epistemological frameworks</w:t>
      </w:r>
      <w:r w:rsidRPr="00EB3A8B">
        <w:rPr>
          <w:rStyle w:val="StyleUnderline"/>
        </w:rPr>
        <w:t>.</w:t>
      </w:r>
    </w:p>
    <w:p w14:paraId="4D743720" w14:textId="77777777" w:rsidR="00B946C4" w:rsidRDefault="00B946C4" w:rsidP="00B946C4"/>
    <w:p w14:paraId="35CDC247" w14:textId="77777777" w:rsidR="00B946C4" w:rsidRDefault="00B946C4" w:rsidP="00B946C4"/>
    <w:p w14:paraId="50260003" w14:textId="45214105" w:rsidR="00B946C4" w:rsidRDefault="00B946C4" w:rsidP="00B946C4">
      <w:pPr>
        <w:pStyle w:val="Heading2"/>
      </w:pPr>
      <w:r>
        <w:t>OFF</w:t>
      </w:r>
    </w:p>
    <w:p w14:paraId="686D7536" w14:textId="77777777" w:rsidR="00B946C4" w:rsidRDefault="00B946C4" w:rsidP="00B946C4"/>
    <w:p w14:paraId="0A4A94B1" w14:textId="77777777" w:rsidR="00B946C4" w:rsidRDefault="00B946C4" w:rsidP="00B946C4"/>
    <w:p w14:paraId="47C72F89" w14:textId="77777777" w:rsidR="00B946C4" w:rsidRPr="00BB09F9" w:rsidRDefault="00B946C4" w:rsidP="00B946C4">
      <w:r>
        <w:t>T- ‘Substantially’</w:t>
      </w:r>
    </w:p>
    <w:p w14:paraId="3F776D44" w14:textId="77777777" w:rsidR="00B946C4" w:rsidRPr="00E34FB6" w:rsidRDefault="00B946C4" w:rsidP="00B946C4">
      <w:pPr>
        <w:pStyle w:val="Heading4"/>
      </w:pPr>
      <w:r>
        <w:t xml:space="preserve">In the context of </w:t>
      </w:r>
      <w:r>
        <w:rPr>
          <w:u w:val="single"/>
        </w:rPr>
        <w:t>domestic economics</w:t>
      </w:r>
      <w:r>
        <w:t xml:space="preserve">, substantially means at least </w:t>
      </w:r>
      <w:r>
        <w:rPr>
          <w:u w:val="single"/>
        </w:rPr>
        <w:t>2%</w:t>
      </w:r>
      <w:r>
        <w:t xml:space="preserve"> of the </w:t>
      </w:r>
      <w:r>
        <w:rPr>
          <w:u w:val="single"/>
        </w:rPr>
        <w:t>total</w:t>
      </w:r>
      <w:r>
        <w:t xml:space="preserve">. </w:t>
      </w:r>
    </w:p>
    <w:p w14:paraId="63A7A304" w14:textId="77777777" w:rsidR="00B946C4" w:rsidRPr="00E34FB6" w:rsidRDefault="00B946C4" w:rsidP="00B946C4">
      <w:pPr>
        <w:rPr>
          <w:rStyle w:val="Style13ptBold"/>
        </w:rPr>
      </w:pPr>
      <w:r>
        <w:rPr>
          <w:rStyle w:val="Style13ptBold"/>
        </w:rPr>
        <w:t xml:space="preserve">Ohio Court of Appeals 31 </w:t>
      </w:r>
      <w:r w:rsidRPr="007E4714">
        <w:t>“Tax Comm. v. American Humane Educational Society</w:t>
      </w:r>
      <w:r>
        <w:t xml:space="preserve">”; </w:t>
      </w:r>
      <w:r w:rsidRPr="00B17ECA">
        <w:t>181 N.E. 557, 42 Ohio App. 4, 11 Ohio Law. Abs. 236, 1931 Ohio App. LEXIS 393</w:t>
      </w:r>
      <w:r>
        <w:t xml:space="preserve">; </w:t>
      </w:r>
      <w:r w:rsidRPr="00F255C9">
        <w:t>https://www.courtlistener.com/opinion/4004798/tax-comm-v-am-humane-edn-society/</w:t>
      </w:r>
    </w:p>
    <w:p w14:paraId="3125BE13" w14:textId="77777777" w:rsidR="00B946C4" w:rsidRDefault="00B946C4" w:rsidP="00B946C4">
      <w:pPr>
        <w:rPr>
          <w:sz w:val="16"/>
        </w:rPr>
      </w:pPr>
      <w:r w:rsidRPr="00C46087">
        <w:rPr>
          <w:sz w:val="16"/>
        </w:rPr>
        <w:t xml:space="preserve">The record further shows that since the hearing in the lower court a number of additional- Bands of Mercy have been organized and supplied with literature; that the Humane Societies - throughout Ohio are supplied with literature along the lines for which the Society was organized. The record also discloses that </w:t>
      </w:r>
      <w:r w:rsidRPr="00B62D1F">
        <w:rPr>
          <w:b/>
          <w:bCs/>
          <w:highlight w:val="cyan"/>
          <w:u w:val="single"/>
        </w:rPr>
        <w:t>the</w:t>
      </w:r>
      <w:r w:rsidRPr="00B62D1F">
        <w:rPr>
          <w:highlight w:val="cyan"/>
          <w:u w:val="single"/>
        </w:rPr>
        <w:t xml:space="preserve"> ratio of the </w:t>
      </w:r>
      <w:r w:rsidRPr="00B62D1F">
        <w:rPr>
          <w:rStyle w:val="Boxes1"/>
          <w:highlight w:val="cyan"/>
        </w:rPr>
        <w:t xml:space="preserve">amount </w:t>
      </w:r>
      <w:r w:rsidRPr="00C46087">
        <w:rPr>
          <w:rStyle w:val="Boxes1"/>
          <w:highlight w:val="cyan"/>
        </w:rPr>
        <w:t>spent</w:t>
      </w:r>
      <w:r w:rsidRPr="00C46087">
        <w:rPr>
          <w:u w:val="single"/>
        </w:rPr>
        <w:t xml:space="preserve"> in Ohio </w:t>
      </w:r>
      <w:r w:rsidRPr="00C46087">
        <w:rPr>
          <w:b/>
          <w:bCs/>
          <w:highlight w:val="cyan"/>
          <w:u w:val="single"/>
        </w:rPr>
        <w:t>when</w:t>
      </w:r>
      <w:r w:rsidRPr="00C46087">
        <w:rPr>
          <w:highlight w:val="cyan"/>
          <w:u w:val="single"/>
        </w:rPr>
        <w:t xml:space="preserve"> </w:t>
      </w:r>
      <w:r w:rsidRPr="00C46087">
        <w:rPr>
          <w:b/>
          <w:bCs/>
          <w:highlight w:val="cyan"/>
          <w:u w:val="single"/>
        </w:rPr>
        <w:t>compared</w:t>
      </w:r>
      <w:r w:rsidRPr="00C46087">
        <w:rPr>
          <w:highlight w:val="cyan"/>
          <w:u w:val="single"/>
        </w:rPr>
        <w:t xml:space="preserve"> with the </w:t>
      </w:r>
      <w:r w:rsidRPr="00C46087">
        <w:rPr>
          <w:rStyle w:val="Boxes1"/>
          <w:highlight w:val="cyan"/>
        </w:rPr>
        <w:t>total</w:t>
      </w:r>
      <w:r w:rsidRPr="00C46087">
        <w:rPr>
          <w:u w:val="single"/>
        </w:rPr>
        <w:t xml:space="preserve"> amount spent in the United States </w:t>
      </w:r>
      <w:r w:rsidRPr="00C46087">
        <w:rPr>
          <w:rStyle w:val="Boxes1"/>
          <w:highlight w:val="cyan"/>
        </w:rPr>
        <w:t>is substantially one to forty-eight</w:t>
      </w:r>
      <w:r w:rsidRPr="00C46087">
        <w:rPr>
          <w:sz w:val="16"/>
        </w:rPr>
        <w:t xml:space="preserve">. </w:t>
      </w:r>
      <w:r w:rsidRPr="00C46087">
        <w:rPr>
          <w:u w:val="single"/>
        </w:rPr>
        <w:t xml:space="preserve">We think </w:t>
      </w:r>
      <w:r w:rsidRPr="00C46087">
        <w:rPr>
          <w:b/>
          <w:bCs/>
          <w:highlight w:val="cyan"/>
          <w:u w:val="single"/>
        </w:rPr>
        <w:t>this constitutes</w:t>
      </w:r>
      <w:r w:rsidRPr="00C46087">
        <w:rPr>
          <w:highlight w:val="cyan"/>
          <w:u w:val="single"/>
        </w:rPr>
        <w:t xml:space="preserve"> the expenditure of a</w:t>
      </w:r>
      <w:r w:rsidRPr="00C46087">
        <w:rPr>
          <w:sz w:val="16"/>
        </w:rPr>
        <w:t xml:space="preserve"> </w:t>
      </w:r>
      <w:hyperlink r:id="rId10" w:anchor="238" w:history="1">
        <w:r w:rsidRPr="00C46087">
          <w:rPr>
            <w:rStyle w:val="Hyperlink"/>
          </w:rPr>
          <w:t>*238</w:t>
        </w:r>
      </w:hyperlink>
      <w:r w:rsidRPr="00C46087">
        <w:rPr>
          <w:sz w:val="16"/>
        </w:rPr>
        <w:t xml:space="preserve"> </w:t>
      </w:r>
      <w:r w:rsidRPr="00C46087">
        <w:rPr>
          <w:rStyle w:val="Boxes1"/>
          <w:highlight w:val="cyan"/>
        </w:rPr>
        <w:t>substantial portion</w:t>
      </w:r>
      <w:r w:rsidRPr="00C46087">
        <w:rPr>
          <w:u w:val="single"/>
        </w:rPr>
        <w:t xml:space="preserve"> of the resources of the society in the state of Ohio and falls within the exemption provided in §5334 GC</w:t>
      </w:r>
      <w:r w:rsidRPr="00C46087">
        <w:rPr>
          <w:sz w:val="16"/>
        </w:rPr>
        <w:t>. It will also be noted that the statement of the president of the Society is to the effect that the Society stands ready and willing to expend a larger proportion of its funds in Ohio if at any time the requirements in Ohio should demand or justify such increased expenditures.</w:t>
      </w:r>
    </w:p>
    <w:p w14:paraId="5B37AF9A" w14:textId="77777777" w:rsidR="00B946C4" w:rsidRDefault="00B946C4" w:rsidP="00B946C4">
      <w:pPr>
        <w:rPr>
          <w:sz w:val="16"/>
        </w:rPr>
      </w:pPr>
    </w:p>
    <w:p w14:paraId="0FF9AEC7" w14:textId="77777777" w:rsidR="00B946C4" w:rsidRDefault="00B946C4" w:rsidP="00B946C4">
      <w:pPr>
        <w:pStyle w:val="Heading4"/>
        <w:spacing w:line="240" w:lineRule="auto"/>
      </w:pPr>
      <w:r>
        <w:t xml:space="preserve">In labor, that means AFFs </w:t>
      </w:r>
      <w:r>
        <w:rPr>
          <w:u w:val="single"/>
        </w:rPr>
        <w:t>must</w:t>
      </w:r>
      <w:r>
        <w:t xml:space="preserve"> affect at least 2% of the total </w:t>
      </w:r>
      <w:r>
        <w:rPr>
          <w:u w:val="single"/>
        </w:rPr>
        <w:t>workforce</w:t>
      </w:r>
      <w:r>
        <w:t xml:space="preserve">---that’s at least 3.4 </w:t>
      </w:r>
      <w:r>
        <w:rPr>
          <w:u w:val="single"/>
        </w:rPr>
        <w:t>million</w:t>
      </w:r>
      <w:r>
        <w:t xml:space="preserve"> workers. </w:t>
      </w:r>
    </w:p>
    <w:p w14:paraId="78B2D3E4" w14:textId="77777777" w:rsidR="00B946C4" w:rsidRPr="00C82286" w:rsidRDefault="00B946C4" w:rsidP="00B946C4">
      <w:r>
        <w:t xml:space="preserve">U.S. </w:t>
      </w:r>
      <w:r w:rsidRPr="00C82286">
        <w:rPr>
          <w:rStyle w:val="Style13ptBold"/>
        </w:rPr>
        <w:t>Bureau of Labor Statistics</w:t>
      </w:r>
      <w:r>
        <w:t xml:space="preserve"> </w:t>
      </w:r>
      <w:r>
        <w:rPr>
          <w:rStyle w:val="Style13ptBold"/>
        </w:rPr>
        <w:t>25</w:t>
      </w:r>
      <w:r>
        <w:t>;</w:t>
      </w:r>
      <w:r w:rsidRPr="00C82286">
        <w:t xml:space="preserve"> </w:t>
      </w:r>
      <w:r>
        <w:t>“</w:t>
      </w:r>
      <w:r w:rsidRPr="00C82286">
        <w:t>Table A-1. Employment status of the civilian population by sex and age</w:t>
      </w:r>
      <w:r>
        <w:t xml:space="preserve">”; July 2025; </w:t>
      </w:r>
      <w:hyperlink r:id="rId11" w:history="1">
        <w:r w:rsidRPr="006621C2">
          <w:rPr>
            <w:rStyle w:val="Hyperlink"/>
          </w:rPr>
          <w:t>www.bls.gov/news.release/empsit.t01.htm</w:t>
        </w:r>
      </w:hyperlink>
      <w:r>
        <w:t>. Boxes added for emphasis. dliang</w:t>
      </w:r>
    </w:p>
    <w:p w14:paraId="7F77DC97" w14:textId="77777777" w:rsidR="00B946C4" w:rsidRDefault="00B946C4" w:rsidP="00B946C4">
      <w:pPr>
        <w:rPr>
          <w:sz w:val="16"/>
        </w:rPr>
      </w:pPr>
      <w:r>
        <w:rPr>
          <w:noProof/>
          <w:sz w:val="16"/>
          <w14:ligatures w14:val="standardContextual"/>
        </w:rPr>
        <w:drawing>
          <wp:inline distT="0" distB="0" distL="0" distR="0" wp14:anchorId="00850827" wp14:editId="0A3C24B2">
            <wp:extent cx="12020203" cy="2653998"/>
            <wp:effectExtent l="0" t="0" r="0" b="635"/>
            <wp:docPr id="157100934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9342" name="Picture 1" descr="A screenshot of a data she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01216" cy="2671885"/>
                    </a:xfrm>
                    <a:prstGeom prst="rect">
                      <a:avLst/>
                    </a:prstGeom>
                  </pic:spPr>
                </pic:pic>
              </a:graphicData>
            </a:graphic>
          </wp:inline>
        </w:drawing>
      </w:r>
    </w:p>
    <w:p w14:paraId="34569C58" w14:textId="77777777" w:rsidR="00B946C4" w:rsidRDefault="00B946C4" w:rsidP="00B946C4">
      <w:pPr>
        <w:pStyle w:val="Heading4"/>
      </w:pPr>
      <w:r>
        <w:t xml:space="preserve">They </w:t>
      </w:r>
      <w:r>
        <w:rPr>
          <w:u w:val="single"/>
        </w:rPr>
        <w:t>aren’t</w:t>
      </w:r>
      <w:r>
        <w:t>. [</w:t>
      </w:r>
      <w:r w:rsidRPr="009F20D6">
        <w:rPr>
          <w:highlight w:val="cyan"/>
        </w:rPr>
        <w:t>Insert Math</w:t>
      </w:r>
      <w:r>
        <w:t>]</w:t>
      </w:r>
    </w:p>
    <w:p w14:paraId="79B8AFCF" w14:textId="77777777" w:rsidR="00B946C4" w:rsidRPr="00B32AA4" w:rsidRDefault="00B946C4" w:rsidP="00B946C4"/>
    <w:p w14:paraId="3D3DA238" w14:textId="77777777" w:rsidR="00B946C4" w:rsidRPr="00126EA3" w:rsidRDefault="00B946C4" w:rsidP="00B946C4">
      <w:pPr>
        <w:pStyle w:val="Heading4"/>
      </w:pPr>
      <w:r>
        <w:t xml:space="preserve">Vote </w:t>
      </w:r>
      <w:r>
        <w:rPr>
          <w:u w:val="single"/>
        </w:rPr>
        <w:t>neg</w:t>
      </w:r>
      <w:r>
        <w:t xml:space="preserve">. They explode </w:t>
      </w:r>
      <w:r>
        <w:rPr>
          <w:u w:val="single"/>
        </w:rPr>
        <w:t>limits</w:t>
      </w:r>
      <w:r>
        <w:t xml:space="preserve"> and </w:t>
      </w:r>
      <w:r>
        <w:rPr>
          <w:u w:val="single"/>
        </w:rPr>
        <w:t>ground</w:t>
      </w:r>
      <w:r>
        <w:t xml:space="preserve">---any </w:t>
      </w:r>
      <w:r>
        <w:rPr>
          <w:u w:val="single"/>
        </w:rPr>
        <w:t>miniscule</w:t>
      </w:r>
      <w:r>
        <w:t xml:space="preserve"> AFF is conceivable which make </w:t>
      </w:r>
      <w:r>
        <w:rPr>
          <w:u w:val="single"/>
        </w:rPr>
        <w:t>neg debates untenable</w:t>
      </w:r>
      <w:r>
        <w:t xml:space="preserve">. All </w:t>
      </w:r>
      <w:r w:rsidRPr="001E2220">
        <w:rPr>
          <w:u w:val="single"/>
        </w:rPr>
        <w:t>core links</w:t>
      </w:r>
      <w:r>
        <w:t xml:space="preserve"> are about </w:t>
      </w:r>
      <w:r>
        <w:rPr>
          <w:u w:val="single"/>
        </w:rPr>
        <w:t>sweeping</w:t>
      </w:r>
      <w:r>
        <w:t xml:space="preserve"> reforms of labor, </w:t>
      </w:r>
      <w:r>
        <w:rPr>
          <w:u w:val="single"/>
        </w:rPr>
        <w:t>not</w:t>
      </w:r>
      <w:r>
        <w:t xml:space="preserve"> a single company or sector. That’s magnified by </w:t>
      </w:r>
      <w:r>
        <w:rPr>
          <w:u w:val="single"/>
        </w:rPr>
        <w:t>unlimited</w:t>
      </w:r>
      <w:r>
        <w:t xml:space="preserve"> AFF process ground via granting any collective </w:t>
      </w:r>
      <w:r>
        <w:rPr>
          <w:u w:val="single"/>
        </w:rPr>
        <w:t>procedural</w:t>
      </w:r>
      <w:r>
        <w:t xml:space="preserve"> right.</w:t>
      </w:r>
    </w:p>
    <w:p w14:paraId="348E079F" w14:textId="77777777" w:rsidR="00B946C4" w:rsidRPr="00B946C4" w:rsidRDefault="00B946C4" w:rsidP="00B946C4"/>
    <w:p w14:paraId="4938A1EF" w14:textId="77777777" w:rsidR="00B946C4" w:rsidRDefault="00B946C4" w:rsidP="00B946C4"/>
    <w:p w14:paraId="1EF666DB" w14:textId="01706D1C" w:rsidR="00B946C4" w:rsidRDefault="00B946C4" w:rsidP="00B946C4">
      <w:pPr>
        <w:pStyle w:val="Heading2"/>
      </w:pPr>
      <w:r>
        <w:t>Case/Solvency</w:t>
      </w:r>
    </w:p>
    <w:p w14:paraId="330C75AD" w14:textId="77777777" w:rsidR="00B946C4" w:rsidRDefault="00B946C4" w:rsidP="00B946C4"/>
    <w:p w14:paraId="451DBE6E" w14:textId="77777777" w:rsidR="00B946C4" w:rsidRDefault="00B946C4" w:rsidP="00B946C4">
      <w:pPr>
        <w:pStyle w:val="Heading4"/>
      </w:pPr>
      <w:r>
        <w:t>Normal means – collective bargaining rights for federal employees is enforced through the FLRA</w:t>
      </w:r>
    </w:p>
    <w:p w14:paraId="211F5B81" w14:textId="77777777" w:rsidR="00B946C4" w:rsidRDefault="00B946C4" w:rsidP="00B946C4">
      <w:pPr>
        <w:rPr>
          <w:rStyle w:val="Style13ptBold"/>
          <w:sz w:val="16"/>
          <w:szCs w:val="16"/>
        </w:rPr>
      </w:pPr>
      <w:r w:rsidRPr="00423617">
        <w:rPr>
          <w:rStyle w:val="Style13ptBold"/>
        </w:rPr>
        <w:t xml:space="preserve">FLRA no date </w:t>
      </w:r>
      <w:r w:rsidRPr="00423617">
        <w:rPr>
          <w:rStyle w:val="Style13ptBold"/>
          <w:sz w:val="16"/>
          <w:szCs w:val="16"/>
        </w:rPr>
        <w:t xml:space="preserve">(“Introduction to the FLRA”, U.S. Federal Labor Relations Authority, </w:t>
      </w:r>
      <w:hyperlink r:id="rId13" w:history="1">
        <w:r w:rsidRPr="00423617">
          <w:rPr>
            <w:rStyle w:val="Style13ptBold"/>
            <w:sz w:val="16"/>
            <w:szCs w:val="16"/>
          </w:rPr>
          <w:t>https://www.flra.gov/about/introduction-flra</w:t>
        </w:r>
      </w:hyperlink>
      <w:r w:rsidRPr="00423617">
        <w:rPr>
          <w:rStyle w:val="Style13ptBold"/>
          <w:sz w:val="16"/>
          <w:szCs w:val="16"/>
        </w:rPr>
        <w:t xml:space="preserve"> CORNELL DBT] note://// indicates par. breaks)[AR SUMMER25]</w:t>
      </w:r>
    </w:p>
    <w:p w14:paraId="4B0619A9" w14:textId="77777777" w:rsidR="00B946C4" w:rsidRPr="00423617" w:rsidRDefault="00B946C4" w:rsidP="00B946C4">
      <w:pPr>
        <w:rPr>
          <w:sz w:val="12"/>
        </w:rPr>
      </w:pPr>
      <w:r w:rsidRPr="00423617">
        <w:rPr>
          <w:rStyle w:val="Emphasis"/>
          <w:highlight w:val="cyan"/>
        </w:rPr>
        <w:t>The FLRA</w:t>
      </w:r>
      <w:r w:rsidRPr="00423617">
        <w:rPr>
          <w:sz w:val="12"/>
          <w:highlight w:val="cyan"/>
        </w:rPr>
        <w:t xml:space="preserve"> </w:t>
      </w:r>
      <w:r w:rsidRPr="00423617">
        <w:rPr>
          <w:rStyle w:val="StyleUnderline"/>
          <w:highlight w:val="cyan"/>
        </w:rPr>
        <w:t>is an independent</w:t>
      </w:r>
      <w:r w:rsidRPr="00423617">
        <w:rPr>
          <w:rStyle w:val="StyleUnderline"/>
        </w:rPr>
        <w:t xml:space="preserve"> administrative </w:t>
      </w:r>
      <w:r w:rsidRPr="00423617">
        <w:rPr>
          <w:rStyle w:val="StyleUnderline"/>
          <w:highlight w:val="cyan"/>
        </w:rPr>
        <w:t>fed</w:t>
      </w:r>
      <w:r w:rsidRPr="00423617">
        <w:rPr>
          <w:rStyle w:val="StyleUnderline"/>
        </w:rPr>
        <w:t xml:space="preserve">eral </w:t>
      </w:r>
      <w:r w:rsidRPr="00423617">
        <w:rPr>
          <w:rStyle w:val="StyleUnderline"/>
          <w:highlight w:val="cyan"/>
        </w:rPr>
        <w:t>agency created by</w:t>
      </w:r>
      <w:r w:rsidRPr="00423617">
        <w:rPr>
          <w:rStyle w:val="StyleUnderline"/>
        </w:rPr>
        <w:t xml:space="preserve"> </w:t>
      </w:r>
      <w:r w:rsidRPr="00423617">
        <w:rPr>
          <w:rStyle w:val="StyleUnderline"/>
          <w:highlight w:val="cyan"/>
        </w:rPr>
        <w:t>Title VII of the Civil Service Reform Act</w:t>
      </w:r>
      <w:r w:rsidRPr="00423617">
        <w:rPr>
          <w:rStyle w:val="StyleUnderline"/>
        </w:rPr>
        <w:t xml:space="preserve"> of 1978</w:t>
      </w:r>
      <w:r w:rsidRPr="00423617">
        <w:rPr>
          <w:sz w:val="12"/>
        </w:rPr>
        <w:t xml:space="preserve">, </w:t>
      </w:r>
      <w:r w:rsidRPr="00423617">
        <w:rPr>
          <w:rStyle w:val="StyleUnderline"/>
        </w:rPr>
        <w:t>also known as the Federal Service Labor-Management Relations Statute</w:t>
      </w:r>
      <w:r w:rsidRPr="00423617">
        <w:rPr>
          <w:sz w:val="12"/>
        </w:rPr>
        <w:t xml:space="preserve"> (the </w:t>
      </w:r>
      <w:hyperlink r:id="rId14" w:history="1">
        <w:r w:rsidRPr="00423617">
          <w:rPr>
            <w:rStyle w:val="Hyperlink"/>
          </w:rPr>
          <w:t>Statute</w:t>
        </w:r>
      </w:hyperlink>
      <w:r w:rsidRPr="00423617">
        <w:rPr>
          <w:sz w:val="12"/>
        </w:rPr>
        <w:t xml:space="preserve">), 5 U.S.C. §§ 7101-7135. </w:t>
      </w:r>
      <w:r w:rsidRPr="00423617">
        <w:rPr>
          <w:rStyle w:val="StyleUnderline"/>
          <w:highlight w:val="cyan"/>
        </w:rPr>
        <w:t>The Statute allows</w:t>
      </w:r>
      <w:r w:rsidRPr="00423617">
        <w:rPr>
          <w:rStyle w:val="StyleUnderline"/>
        </w:rPr>
        <w:t xml:space="preserve"> </w:t>
      </w:r>
      <w:r w:rsidRPr="00423617">
        <w:rPr>
          <w:rStyle w:val="StyleUnderline"/>
          <w:highlight w:val="cyan"/>
        </w:rPr>
        <w:t>certain</w:t>
      </w:r>
      <w:r w:rsidRPr="00423617">
        <w:rPr>
          <w:rStyle w:val="StyleUnderline"/>
        </w:rPr>
        <w:t xml:space="preserve"> non-postal</w:t>
      </w:r>
      <w:r w:rsidRPr="00423617">
        <w:rPr>
          <w:sz w:val="12"/>
        </w:rPr>
        <w:t xml:space="preserve"> </w:t>
      </w:r>
      <w:r w:rsidRPr="00423617">
        <w:rPr>
          <w:rStyle w:val="Emphasis"/>
          <w:highlight w:val="cyan"/>
        </w:rPr>
        <w:t>federal employees to</w:t>
      </w:r>
      <w:r w:rsidRPr="00423617">
        <w:rPr>
          <w:sz w:val="12"/>
        </w:rPr>
        <w:t xml:space="preserve"> organize, to </w:t>
      </w:r>
      <w:r w:rsidRPr="00423617">
        <w:rPr>
          <w:rStyle w:val="Emphasis"/>
          <w:highlight w:val="cyan"/>
        </w:rPr>
        <w:t>bargain collectively</w:t>
      </w:r>
      <w:r w:rsidRPr="00423617">
        <w:rPr>
          <w:sz w:val="12"/>
        </w:rPr>
        <w:t xml:space="preserve">, and to participate through labor organizations of their choice in decisions affecting their working lives. </w:t>
      </w:r>
      <w:r w:rsidRPr="00423617">
        <w:rPr>
          <w:rStyle w:val="StyleUnderline"/>
          <w:highlight w:val="cyan"/>
        </w:rPr>
        <w:t>The Statute defines</w:t>
      </w:r>
      <w:r w:rsidRPr="00423617">
        <w:rPr>
          <w:sz w:val="12"/>
          <w:highlight w:val="cyan"/>
        </w:rPr>
        <w:t xml:space="preserve"> </w:t>
      </w:r>
      <w:r w:rsidRPr="00423617">
        <w:rPr>
          <w:rStyle w:val="StyleUnderline"/>
          <w:highlight w:val="cyan"/>
        </w:rPr>
        <w:t>and lists</w:t>
      </w:r>
      <w:r w:rsidRPr="00423617">
        <w:rPr>
          <w:rStyle w:val="StyleUnderline"/>
        </w:rPr>
        <w:t xml:space="preserve"> </w:t>
      </w:r>
      <w:r w:rsidRPr="00423617">
        <w:rPr>
          <w:rStyle w:val="StyleUnderline"/>
          <w:highlight w:val="cyan"/>
        </w:rPr>
        <w:t>the rights of employees</w:t>
      </w:r>
      <w:r w:rsidRPr="00423617">
        <w:rPr>
          <w:rStyle w:val="StyleUnderline"/>
        </w:rPr>
        <w:t xml:space="preserve">, labor organizations, </w:t>
      </w:r>
      <w:r w:rsidRPr="00423617">
        <w:rPr>
          <w:rStyle w:val="StyleUnderline"/>
          <w:highlight w:val="cyan"/>
        </w:rPr>
        <w:t>and agencies to reflect the public interest's demand for the highest standards of employee performance and the efficient accomplishment of government operations</w:t>
      </w:r>
      <w:r w:rsidRPr="00423617">
        <w:rPr>
          <w:sz w:val="12"/>
        </w:rPr>
        <w:t xml:space="preserve">. Id. § 7101(a)⁠(2). Specifically, </w:t>
      </w:r>
      <w:r w:rsidRPr="00423617">
        <w:rPr>
          <w:rStyle w:val="StyleUnderline"/>
        </w:rPr>
        <w:t>the Statute requires that its provisions "be interpreted in a manner consistent with the requirement of an effective and efficient Government.</w:t>
      </w:r>
      <w:r w:rsidRPr="00423617">
        <w:rPr>
          <w:sz w:val="12"/>
        </w:rPr>
        <w:t>" Id. § 7101⁠(b).</w:t>
      </w:r>
    </w:p>
    <w:p w14:paraId="44135245" w14:textId="77777777" w:rsidR="00B946C4" w:rsidRDefault="00B946C4" w:rsidP="00B946C4">
      <w:pPr>
        <w:rPr>
          <w:rStyle w:val="Style13ptBold"/>
          <w:sz w:val="12"/>
        </w:rPr>
      </w:pPr>
    </w:p>
    <w:p w14:paraId="59389760" w14:textId="77777777" w:rsidR="00B946C4" w:rsidRPr="00423617" w:rsidRDefault="00B946C4" w:rsidP="00B946C4">
      <w:pPr>
        <w:rPr>
          <w:rStyle w:val="Style13ptBold"/>
          <w:sz w:val="12"/>
        </w:rPr>
      </w:pPr>
    </w:p>
    <w:p w14:paraId="5F8B722A" w14:textId="77777777" w:rsidR="00B946C4" w:rsidRDefault="00B946C4" w:rsidP="00B946C4">
      <w:pPr>
        <w:pStyle w:val="Heading4"/>
      </w:pPr>
      <w:r>
        <w:t xml:space="preserve">FLRA is </w:t>
      </w:r>
      <w:r w:rsidRPr="006C4499">
        <w:rPr>
          <w:u w:val="single"/>
        </w:rPr>
        <w:t>understaffed</w:t>
      </w:r>
      <w:r>
        <w:t xml:space="preserve">, </w:t>
      </w:r>
      <w:r w:rsidRPr="006C4499">
        <w:rPr>
          <w:u w:val="single"/>
        </w:rPr>
        <w:t>shrinking budget</w:t>
      </w:r>
      <w:r>
        <w:t xml:space="preserve">, </w:t>
      </w:r>
      <w:r w:rsidRPr="006C4499">
        <w:rPr>
          <w:u w:val="single"/>
        </w:rPr>
        <w:t>backlog of cases</w:t>
      </w:r>
      <w:r>
        <w:t xml:space="preserve"> – insufficient to solve</w:t>
      </w:r>
    </w:p>
    <w:p w14:paraId="03A78EA7" w14:textId="77777777" w:rsidR="00B946C4" w:rsidRDefault="00B946C4" w:rsidP="00B946C4">
      <w:pPr>
        <w:rPr>
          <w:rStyle w:val="Style13ptBold"/>
          <w:sz w:val="16"/>
          <w:szCs w:val="16"/>
        </w:rPr>
      </w:pPr>
      <w:r w:rsidRPr="006C4499">
        <w:rPr>
          <w:rStyle w:val="Style13ptBold"/>
        </w:rPr>
        <w:t xml:space="preserve">FEDWEEK 2023 </w:t>
      </w:r>
      <w:r w:rsidRPr="006C4499">
        <w:rPr>
          <w:rStyle w:val="Style13ptBold"/>
          <w:sz w:val="16"/>
          <w:szCs w:val="16"/>
        </w:rPr>
        <w:t>(Fedweek Staff “Tight Budgets Hampering FLRA Operations, Report Says”, https://www.fedweek.com/federal-managers-daily-report/tight-budgets-hampering-flra-operations-report-says/ [CORNELL DBT] note://// indicates par. breaks)[AR SUMMER25]</w:t>
      </w:r>
    </w:p>
    <w:p w14:paraId="4E184487" w14:textId="77777777" w:rsidR="00B946C4" w:rsidRPr="006C4499" w:rsidRDefault="00B946C4" w:rsidP="00B946C4">
      <w:pPr>
        <w:rPr>
          <w:rStyle w:val="StyleUnderline"/>
        </w:rPr>
      </w:pPr>
      <w:r w:rsidRPr="006C4499">
        <w:rPr>
          <w:rStyle w:val="StyleUnderline"/>
          <w:highlight w:val="cyan"/>
        </w:rPr>
        <w:t>The FLRA “has been struggling with limited budget resources for many years</w:t>
      </w:r>
      <w:r w:rsidRPr="006C4499">
        <w:rPr>
          <w:sz w:val="10"/>
          <w:highlight w:val="cyan"/>
        </w:rPr>
        <w:t xml:space="preserve">,” </w:t>
      </w:r>
      <w:r w:rsidRPr="006C4499">
        <w:rPr>
          <w:rStyle w:val="Emphasis"/>
          <w:highlight w:val="cyan"/>
        </w:rPr>
        <w:t>hampering its ability to resolve disputes between fed</w:t>
      </w:r>
      <w:r w:rsidRPr="006C4499">
        <w:rPr>
          <w:sz w:val="10"/>
        </w:rPr>
        <w:t xml:space="preserve">eral </w:t>
      </w:r>
      <w:r w:rsidRPr="006C4499">
        <w:rPr>
          <w:rStyle w:val="Emphasis"/>
          <w:highlight w:val="cyan"/>
        </w:rPr>
        <w:t>unions and agencies</w:t>
      </w:r>
      <w:r w:rsidRPr="006C4499">
        <w:rPr>
          <w:sz w:val="10"/>
        </w:rPr>
        <w:t xml:space="preserve"> and carry out its other duties, </w:t>
      </w:r>
      <w:r w:rsidRPr="006C4499">
        <w:rPr>
          <w:rStyle w:val="StyleUnderline"/>
        </w:rPr>
        <w:t>the agency’s inspector general has said</w:t>
      </w:r>
      <w:r w:rsidRPr="006C4499">
        <w:rPr>
          <w:sz w:val="10"/>
        </w:rPr>
        <w:t xml:space="preserve">.//// A report listed “achieving performance goals with insufficient funding” as one of the agency’s top challenges, noting that </w:t>
      </w:r>
      <w:r w:rsidRPr="006C4499">
        <w:rPr>
          <w:rStyle w:val="StyleUnderline"/>
          <w:highlight w:val="cyan"/>
        </w:rPr>
        <w:t>the agency</w:t>
      </w:r>
      <w:r w:rsidRPr="006C4499">
        <w:rPr>
          <w:rStyle w:val="StyleUnderline"/>
        </w:rPr>
        <w:t>’s</w:t>
      </w:r>
      <w:r w:rsidRPr="006C4499">
        <w:rPr>
          <w:sz w:val="10"/>
        </w:rPr>
        <w:t xml:space="preserve"> fiscal </w:t>
      </w:r>
      <w:r w:rsidRPr="006C4499">
        <w:rPr>
          <w:rStyle w:val="StyleUnderline"/>
        </w:rPr>
        <w:t>2023 budget of $2.4 million was</w:t>
      </w:r>
      <w:r w:rsidRPr="006C4499">
        <w:rPr>
          <w:sz w:val="10"/>
        </w:rPr>
        <w:t xml:space="preserve"> some </w:t>
      </w:r>
      <w:r w:rsidRPr="006C4499">
        <w:rPr>
          <w:rStyle w:val="StyleUnderline"/>
        </w:rPr>
        <w:t>$200,000 below that of 2004</w:t>
      </w:r>
      <w:r w:rsidRPr="006C4499">
        <w:rPr>
          <w:sz w:val="10"/>
        </w:rPr>
        <w:t xml:space="preserve">. </w:t>
      </w:r>
      <w:r w:rsidRPr="006C4499">
        <w:rPr>
          <w:rStyle w:val="StyleUnderline"/>
        </w:rPr>
        <w:t>The agency responded</w:t>
      </w:r>
      <w:r w:rsidRPr="006C4499">
        <w:rPr>
          <w:sz w:val="10"/>
        </w:rPr>
        <w:t xml:space="preserve"> in that time </w:t>
      </w:r>
      <w:r w:rsidRPr="006C4499">
        <w:rPr>
          <w:rStyle w:val="StyleUnderline"/>
        </w:rPr>
        <w:t xml:space="preserve">by </w:t>
      </w:r>
      <w:r w:rsidRPr="006C4499">
        <w:rPr>
          <w:rStyle w:val="StyleUnderline"/>
          <w:highlight w:val="cyan"/>
        </w:rPr>
        <w:t>closing two regional offices</w:t>
      </w:r>
      <w:r w:rsidRPr="006C4499">
        <w:rPr>
          <w:sz w:val="10"/>
        </w:rPr>
        <w:t xml:space="preserve"> and </w:t>
      </w:r>
      <w:r w:rsidRPr="006C4499">
        <w:rPr>
          <w:rStyle w:val="StyleUnderline"/>
          <w:highlight w:val="cyan"/>
        </w:rPr>
        <w:t>not filling vacancies</w:t>
      </w:r>
      <w:r w:rsidRPr="006C4499">
        <w:rPr>
          <w:rStyle w:val="StyleUnderline"/>
        </w:rPr>
        <w:t>, resulting in a staff decreased from 213 to 116 positions</w:t>
      </w:r>
      <w:r w:rsidRPr="006C4499">
        <w:rPr>
          <w:sz w:val="10"/>
        </w:rPr>
        <w:t xml:space="preserve">. //// “As a result, </w:t>
      </w:r>
      <w:r w:rsidRPr="006C4499">
        <w:rPr>
          <w:rStyle w:val="Emphasis"/>
        </w:rPr>
        <w:t>the FLRA now</w:t>
      </w:r>
      <w:r w:rsidRPr="006C4499">
        <w:rPr>
          <w:sz w:val="10"/>
        </w:rPr>
        <w:t xml:space="preserve"> occupies less space and </w:t>
      </w:r>
      <w:r w:rsidRPr="006C4499">
        <w:rPr>
          <w:rStyle w:val="Emphasis"/>
        </w:rPr>
        <w:t>has</w:t>
      </w:r>
      <w:r w:rsidRPr="006C4499">
        <w:rPr>
          <w:sz w:val="10"/>
        </w:rPr>
        <w:t xml:space="preserve"> roughly </w:t>
      </w:r>
      <w:r w:rsidRPr="006C4499">
        <w:rPr>
          <w:rStyle w:val="Emphasis"/>
          <w:highlight w:val="cyan"/>
        </w:rPr>
        <w:t>half as many employees</w:t>
      </w:r>
      <w:r w:rsidRPr="006C4499">
        <w:rPr>
          <w:sz w:val="10"/>
        </w:rPr>
        <w:t xml:space="preserve"> as it did in 2004—</w:t>
      </w:r>
      <w:r w:rsidRPr="006C4499">
        <w:rPr>
          <w:rStyle w:val="StyleUnderline"/>
          <w:highlight w:val="cyan"/>
        </w:rPr>
        <w:t>but no less responsibility</w:t>
      </w:r>
      <w:r w:rsidRPr="006C4499">
        <w:rPr>
          <w:sz w:val="10"/>
        </w:rPr>
        <w:t xml:space="preserve">. And </w:t>
      </w:r>
      <w:r w:rsidRPr="006C4499">
        <w:rPr>
          <w:rStyle w:val="StyleUnderline"/>
        </w:rPr>
        <w:t xml:space="preserve">that </w:t>
      </w:r>
      <w:r w:rsidRPr="006C4499">
        <w:rPr>
          <w:rStyle w:val="StyleUnderline"/>
          <w:highlight w:val="cyan"/>
        </w:rPr>
        <w:t>will imperil the FLRA’s ability to fulfill its mission</w:t>
      </w:r>
      <w:r w:rsidRPr="006C4499">
        <w:rPr>
          <w:rStyle w:val="StyleUnderline"/>
        </w:rPr>
        <w:t>-related goals and objectives,”</w:t>
      </w:r>
      <w:r w:rsidRPr="006C4499">
        <w:rPr>
          <w:sz w:val="10"/>
        </w:rPr>
        <w:t xml:space="preserve"> it says. //// It said that </w:t>
      </w:r>
      <w:r w:rsidRPr="006C4499">
        <w:rPr>
          <w:rStyle w:val="StyleUnderline"/>
        </w:rPr>
        <w:t xml:space="preserve">just </w:t>
      </w:r>
      <w:r w:rsidRPr="006C4499">
        <w:rPr>
          <w:rStyle w:val="StyleUnderline"/>
          <w:highlight w:val="cyan"/>
        </w:rPr>
        <w:t>over 2020-2023</w:t>
      </w:r>
      <w:r w:rsidRPr="006C4499">
        <w:rPr>
          <w:rStyle w:val="StyleUnderline"/>
        </w:rPr>
        <w:t xml:space="preserve">, the number of unfair labor practice complaints filed at the FLRA for adjudication increased by 62 percent while </w:t>
      </w:r>
      <w:r w:rsidRPr="006C4499">
        <w:rPr>
          <w:rStyle w:val="StyleUnderline"/>
          <w:highlight w:val="cyan"/>
        </w:rPr>
        <w:t xml:space="preserve">the </w:t>
      </w:r>
      <w:r w:rsidRPr="006C4499">
        <w:rPr>
          <w:rStyle w:val="Emphasis"/>
          <w:highlight w:val="cyan"/>
        </w:rPr>
        <w:t>number of pending cases increased</w:t>
      </w:r>
      <w:r w:rsidRPr="006C4499">
        <w:rPr>
          <w:rStyle w:val="Emphasis"/>
        </w:rPr>
        <w:t xml:space="preserve"> by </w:t>
      </w:r>
      <w:r w:rsidRPr="006C4499">
        <w:rPr>
          <w:rStyle w:val="Emphasis"/>
          <w:highlight w:val="cyan"/>
        </w:rPr>
        <w:t>80 percen</w:t>
      </w:r>
      <w:r w:rsidRPr="006C4499">
        <w:rPr>
          <w:rStyle w:val="Emphasis"/>
        </w:rPr>
        <w:t>t</w:t>
      </w:r>
      <w:r w:rsidRPr="006C4499">
        <w:rPr>
          <w:sz w:val="10"/>
        </w:rPr>
        <w:t xml:space="preserve">. Petitions to the agency’s office of general counsel to determine which employees should be included in bargaining units also increased, as did the number of those cases pending. “All of the above is a problem because </w:t>
      </w:r>
      <w:r w:rsidRPr="006C4499">
        <w:rPr>
          <w:rStyle w:val="StyleUnderline"/>
        </w:rPr>
        <w:t>the longer it takes for the FLRA to resolve disputes between federal actors, the more expensive it is to resolve the disputes. Unresolved labor-management issues mean lingering disputes that distract from workplace missions</w:t>
      </w:r>
      <w:r w:rsidRPr="006C4499">
        <w:rPr>
          <w:sz w:val="10"/>
        </w:rPr>
        <w:t xml:space="preserve">. Delayed adjudication of cases involving backpay in particular costs taxpayer money—because </w:t>
      </w:r>
      <w:r w:rsidRPr="006C4499">
        <w:rPr>
          <w:rStyle w:val="StyleUnderline"/>
        </w:rPr>
        <w:t>the longer it takes to resolve the cases, the greater the federal government’s potential backpay liability,</w:t>
      </w:r>
      <w:r w:rsidRPr="006C4499">
        <w:rPr>
          <w:sz w:val="10"/>
        </w:rPr>
        <w:t xml:space="preserve">” it said. //// It added that </w:t>
      </w:r>
      <w:r w:rsidRPr="006C4499">
        <w:rPr>
          <w:rStyle w:val="StyleUnderline"/>
        </w:rPr>
        <w:t>tight budgets also hamper the agency’s ability to address other management priorities, including protecting itself from cyberthreats and digitizing records.</w:t>
      </w:r>
    </w:p>
    <w:p w14:paraId="4B3861D5" w14:textId="77777777" w:rsidR="00B946C4" w:rsidRDefault="00B946C4" w:rsidP="00B946C4"/>
    <w:p w14:paraId="16E48CFF" w14:textId="77777777" w:rsidR="00E646A6" w:rsidRDefault="00E646A6" w:rsidP="00B946C4"/>
    <w:p w14:paraId="5E142815" w14:textId="77777777" w:rsidR="00E646A6" w:rsidRPr="00E04FB7" w:rsidRDefault="00E646A6" w:rsidP="00E646A6">
      <w:pPr>
        <w:pStyle w:val="Heading4"/>
      </w:pPr>
      <w:r w:rsidRPr="00E04FB7">
        <w:t>No solvency, Trump doesn’t listen to experts even if he cant fire them</w:t>
      </w:r>
    </w:p>
    <w:p w14:paraId="4652A4C4" w14:textId="77777777" w:rsidR="00E646A6" w:rsidRDefault="00E646A6" w:rsidP="00E646A6">
      <w:pPr>
        <w:rPr>
          <w:sz w:val="16"/>
          <w:lang w:eastAsia="ko-KR"/>
        </w:rPr>
      </w:pPr>
      <w:r w:rsidRPr="003B2BD7">
        <w:rPr>
          <w:sz w:val="26"/>
          <w:szCs w:val="26"/>
          <w:lang w:eastAsia="ko-KR"/>
        </w:rPr>
        <w:t xml:space="preserve">Stuart </w:t>
      </w:r>
      <w:r w:rsidRPr="003B2BD7">
        <w:rPr>
          <w:b/>
          <w:bCs/>
          <w:sz w:val="26"/>
          <w:szCs w:val="26"/>
          <w:lang w:eastAsia="ko-KR"/>
        </w:rPr>
        <w:t>Shapiro</w:t>
      </w:r>
      <w:r w:rsidRPr="003B2BD7">
        <w:rPr>
          <w:sz w:val="26"/>
          <w:szCs w:val="26"/>
          <w:lang w:eastAsia="ko-KR"/>
        </w:rPr>
        <w:t xml:space="preserve"> 10/29/</w:t>
      </w:r>
      <w:r w:rsidRPr="003B2BD7">
        <w:rPr>
          <w:b/>
          <w:bCs/>
          <w:sz w:val="26"/>
          <w:szCs w:val="26"/>
          <w:lang w:eastAsia="ko-KR"/>
        </w:rPr>
        <w:t>2020</w:t>
      </w:r>
      <w:r>
        <w:rPr>
          <w:b/>
          <w:bCs/>
          <w:sz w:val="16"/>
          <w:lang w:eastAsia="ko-KR"/>
        </w:rPr>
        <w:t xml:space="preserve">, The Hill, </w:t>
      </w:r>
      <w:r w:rsidRPr="003B2BD7">
        <w:rPr>
          <w:sz w:val="16"/>
          <w:lang w:eastAsia="ko-KR"/>
        </w:rPr>
        <w:t xml:space="preserve">Stuart Shapiro is a professor and dean at the Edward J. Bloustein School of Planning and Public Policy at Rutgers University, where his research focuses on regulatory policy, cost-benefit analysis, and the federal rulemaking process. He earned a Ph.D. in Public Policy and a Master’s in Public Policy from Harvard University and a B.S. in Chemical Engineering from Case Western Reserve University. Shapiro previously worked in the Office of Information and Regulatory Affairs at the Office of Management and Budget, where he analyzed regulations from multiple executive branch agencies. He is the author of several books, including </w:t>
      </w:r>
      <w:r w:rsidRPr="003B2BD7">
        <w:rPr>
          <w:i/>
          <w:iCs/>
          <w:sz w:val="16"/>
          <w:lang w:eastAsia="ko-KR"/>
        </w:rPr>
        <w:t>The Politics of Regulatory Reform</w:t>
      </w:r>
      <w:r w:rsidRPr="003B2BD7">
        <w:rPr>
          <w:sz w:val="16"/>
          <w:lang w:eastAsia="ko-KR"/>
        </w:rPr>
        <w:t xml:space="preserve"> and </w:t>
      </w:r>
      <w:r w:rsidRPr="003B2BD7">
        <w:rPr>
          <w:i/>
          <w:iCs/>
          <w:sz w:val="16"/>
          <w:lang w:eastAsia="ko-KR"/>
        </w:rPr>
        <w:t>Analysis and Public Policy: Successes, Failures, and Directions for Reform</w:t>
      </w:r>
      <w:r w:rsidRPr="003B2BD7">
        <w:rPr>
          <w:sz w:val="16"/>
          <w:lang w:eastAsia="ko-KR"/>
        </w:rPr>
        <w:t xml:space="preserve">. In addition to his academic work, he has written a monthly column for </w:t>
      </w:r>
      <w:r w:rsidRPr="003B2BD7">
        <w:rPr>
          <w:i/>
          <w:iCs/>
          <w:sz w:val="16"/>
          <w:lang w:eastAsia="ko-KR"/>
        </w:rPr>
        <w:t>The Hill</w:t>
      </w:r>
      <w:r w:rsidRPr="003B2BD7">
        <w:rPr>
          <w:sz w:val="16"/>
          <w:lang w:eastAsia="ko-KR"/>
        </w:rPr>
        <w:t xml:space="preserve"> since 2014, providing analysis on regulatory and policy issues.</w:t>
      </w:r>
      <w:r>
        <w:rPr>
          <w:sz w:val="16"/>
          <w:lang w:eastAsia="ko-KR"/>
        </w:rPr>
        <w:t xml:space="preserve">  </w:t>
      </w:r>
      <w:hyperlink r:id="rId15" w:history="1">
        <w:r w:rsidRPr="004526C2">
          <w:rPr>
            <w:rStyle w:val="Hyperlink"/>
            <w:sz w:val="16"/>
            <w:lang w:eastAsia="ko-KR"/>
          </w:rPr>
          <w:t>https://thehill.com/opinion/white-house/523279-listening-to-experts-isnt-perfect-but-ignoring-them-is-far-worse/</w:t>
        </w:r>
      </w:hyperlink>
      <w:r>
        <w:rPr>
          <w:sz w:val="16"/>
          <w:lang w:eastAsia="ko-KR"/>
        </w:rPr>
        <w:t xml:space="preserve"> </w:t>
      </w:r>
    </w:p>
    <w:p w14:paraId="6B87D129" w14:textId="77777777" w:rsidR="00E646A6" w:rsidRPr="003B2BD7" w:rsidRDefault="00E646A6" w:rsidP="00E646A6">
      <w:pPr>
        <w:pStyle w:val="NoSpacing"/>
        <w:rPr>
          <w:sz w:val="20"/>
          <w:szCs w:val="20"/>
          <w:lang w:eastAsia="ko-KR"/>
        </w:rPr>
      </w:pPr>
      <w:r w:rsidRPr="003B2BD7">
        <w:rPr>
          <w:sz w:val="20"/>
          <w:szCs w:val="20"/>
          <w:lang w:eastAsia="ko-KR"/>
        </w:rPr>
        <w:t>Listening to experts isn’t perfect, but ignoring them is far worse</w:t>
      </w:r>
    </w:p>
    <w:p w14:paraId="5470098E" w14:textId="77777777" w:rsidR="00E646A6" w:rsidRPr="003B2BD7" w:rsidRDefault="00E646A6" w:rsidP="00E646A6">
      <w:pPr>
        <w:pStyle w:val="NoSpacing"/>
        <w:rPr>
          <w:sz w:val="20"/>
          <w:szCs w:val="20"/>
          <w:lang w:eastAsia="ko-KR"/>
        </w:rPr>
      </w:pPr>
      <w:r w:rsidRPr="003B2BD7">
        <w:rPr>
          <w:sz w:val="20"/>
          <w:szCs w:val="20"/>
          <w:lang w:eastAsia="ko-KR"/>
        </w:rPr>
        <w:t>Last week, </w:t>
      </w:r>
      <w:hyperlink r:id="rId16" w:history="1">
        <w:r w:rsidRPr="003B2BD7">
          <w:rPr>
            <w:rStyle w:val="Hyperlink"/>
            <w:sz w:val="20"/>
            <w:szCs w:val="20"/>
            <w:u w:val="none"/>
            <w:lang w:eastAsia="ko-KR"/>
          </w:rPr>
          <w:t>President</w:t>
        </w:r>
        <w:r w:rsidRPr="00A861B5">
          <w:rPr>
            <w:rStyle w:val="Hyperlink"/>
            <w:sz w:val="20"/>
            <w:szCs w:val="20"/>
            <w:lang w:eastAsia="ko-KR"/>
          </w:rPr>
          <w:t xml:space="preserve"> </w:t>
        </w:r>
        <w:r w:rsidRPr="00A861B5">
          <w:rPr>
            <w:rStyle w:val="Hyperlink"/>
            <w:sz w:val="20"/>
            <w:szCs w:val="20"/>
            <w:highlight w:val="cyan"/>
            <w:lang w:eastAsia="ko-KR"/>
          </w:rPr>
          <w:t>Trump</w:t>
        </w:r>
        <w:r w:rsidRPr="003B2BD7">
          <w:rPr>
            <w:rStyle w:val="Hyperlink"/>
            <w:sz w:val="20"/>
            <w:szCs w:val="20"/>
            <w:u w:val="none"/>
            <w:lang w:eastAsia="ko-KR"/>
          </w:rPr>
          <w:t> </w:t>
        </w:r>
      </w:hyperlink>
      <w:r w:rsidRPr="003B2BD7">
        <w:rPr>
          <w:sz w:val="20"/>
          <w:szCs w:val="20"/>
          <w:lang w:eastAsia="ko-KR"/>
        </w:rPr>
        <w:t>said of his opponent, Vice President Biden, “</w:t>
      </w:r>
      <w:hyperlink r:id="rId17" w:tgtFrame="_blank" w:history="1">
        <w:r w:rsidRPr="003B2BD7">
          <w:rPr>
            <w:rStyle w:val="Hyperlink"/>
            <w:sz w:val="20"/>
            <w:szCs w:val="20"/>
            <w:u w:val="none"/>
            <w:lang w:eastAsia="ko-KR"/>
          </w:rPr>
          <w:t>he’ll listen to the scientists</w:t>
        </w:r>
      </w:hyperlink>
      <w:r w:rsidRPr="003B2BD7">
        <w:rPr>
          <w:sz w:val="20"/>
          <w:szCs w:val="20"/>
          <w:lang w:eastAsia="ko-KR"/>
        </w:rPr>
        <w:t>.” In case you’re confused, this was meant to be an insult.</w:t>
      </w:r>
    </w:p>
    <w:p w14:paraId="692B6992" w14:textId="77777777" w:rsidR="00E646A6" w:rsidRPr="00A861B5" w:rsidRDefault="00E646A6" w:rsidP="00E646A6">
      <w:pPr>
        <w:pStyle w:val="NoSpacing"/>
        <w:rPr>
          <w:b/>
          <w:bCs/>
          <w:sz w:val="20"/>
          <w:szCs w:val="20"/>
          <w:u w:val="single"/>
          <w:lang w:eastAsia="ko-KR"/>
        </w:rPr>
      </w:pPr>
      <w:r w:rsidRPr="003B2BD7">
        <w:rPr>
          <w:sz w:val="20"/>
          <w:szCs w:val="20"/>
          <w:lang w:eastAsia="ko-KR"/>
        </w:rPr>
        <w:t xml:space="preserve">Indeed, </w:t>
      </w:r>
      <w:r w:rsidRPr="00A861B5">
        <w:rPr>
          <w:sz w:val="20"/>
          <w:szCs w:val="20"/>
          <w:lang w:eastAsia="ko-KR"/>
        </w:rPr>
        <w:t xml:space="preserve">the </w:t>
      </w:r>
      <w:r w:rsidRPr="00A861B5">
        <w:rPr>
          <w:sz w:val="20"/>
          <w:szCs w:val="20"/>
          <w:u w:val="single"/>
          <w:lang w:eastAsia="ko-KR"/>
        </w:rPr>
        <w:t xml:space="preserve">president seems to </w:t>
      </w:r>
      <w:r w:rsidRPr="00A861B5">
        <w:rPr>
          <w:sz w:val="20"/>
          <w:szCs w:val="20"/>
          <w:highlight w:val="cyan"/>
          <w:u w:val="single"/>
          <w:lang w:eastAsia="ko-KR"/>
        </w:rPr>
        <w:t>take pride in the extent to which he has ignored the advice of experts of all different stripes</w:t>
      </w:r>
      <w:r w:rsidRPr="00A861B5">
        <w:rPr>
          <w:sz w:val="20"/>
          <w:szCs w:val="20"/>
          <w:u w:val="single"/>
          <w:lang w:eastAsia="ko-KR"/>
        </w:rPr>
        <w:t xml:space="preserve">. From </w:t>
      </w:r>
      <w:r w:rsidRPr="00A861B5">
        <w:rPr>
          <w:sz w:val="20"/>
          <w:szCs w:val="20"/>
          <w:highlight w:val="cyan"/>
          <w:u w:val="single"/>
          <w:lang w:eastAsia="ko-KR"/>
        </w:rPr>
        <w:t>econ</w:t>
      </w:r>
      <w:r w:rsidRPr="00A861B5">
        <w:rPr>
          <w:sz w:val="20"/>
          <w:szCs w:val="20"/>
          <w:u w:val="single"/>
          <w:lang w:eastAsia="ko-KR"/>
        </w:rPr>
        <w:t xml:space="preserve">omists on </w:t>
      </w:r>
      <w:r w:rsidRPr="00A861B5">
        <w:rPr>
          <w:sz w:val="20"/>
          <w:szCs w:val="20"/>
          <w:highlight w:val="cyan"/>
          <w:u w:val="single"/>
          <w:lang w:eastAsia="ko-KR"/>
        </w:rPr>
        <w:t>trade</w:t>
      </w:r>
      <w:r w:rsidRPr="00A861B5">
        <w:rPr>
          <w:sz w:val="20"/>
          <w:szCs w:val="20"/>
          <w:u w:val="single"/>
          <w:lang w:eastAsia="ko-KR"/>
        </w:rPr>
        <w:t xml:space="preserve">, to </w:t>
      </w:r>
      <w:r w:rsidRPr="00A861B5">
        <w:rPr>
          <w:sz w:val="20"/>
          <w:szCs w:val="20"/>
          <w:highlight w:val="cyan"/>
          <w:u w:val="single"/>
          <w:lang w:eastAsia="ko-KR"/>
        </w:rPr>
        <w:t>scientists</w:t>
      </w:r>
      <w:r w:rsidRPr="00A861B5">
        <w:rPr>
          <w:sz w:val="20"/>
          <w:szCs w:val="20"/>
          <w:u w:val="single"/>
          <w:lang w:eastAsia="ko-KR"/>
        </w:rPr>
        <w:t xml:space="preserve"> on handling the </w:t>
      </w:r>
      <w:r w:rsidRPr="00A861B5">
        <w:rPr>
          <w:sz w:val="20"/>
          <w:szCs w:val="20"/>
          <w:highlight w:val="cyan"/>
          <w:u w:val="single"/>
          <w:lang w:eastAsia="ko-KR"/>
        </w:rPr>
        <w:t>pandemic</w:t>
      </w:r>
      <w:r w:rsidRPr="00A861B5">
        <w:rPr>
          <w:sz w:val="20"/>
          <w:szCs w:val="20"/>
          <w:u w:val="single"/>
          <w:lang w:eastAsia="ko-KR"/>
        </w:rPr>
        <w:t xml:space="preserve"> and </w:t>
      </w:r>
      <w:r w:rsidRPr="00A861B5">
        <w:rPr>
          <w:sz w:val="20"/>
          <w:szCs w:val="20"/>
          <w:highlight w:val="cyan"/>
          <w:u w:val="single"/>
          <w:lang w:eastAsia="ko-KR"/>
        </w:rPr>
        <w:t>climate change</w:t>
      </w:r>
      <w:r w:rsidRPr="00A861B5">
        <w:rPr>
          <w:sz w:val="20"/>
          <w:szCs w:val="20"/>
          <w:u w:val="single"/>
          <w:lang w:eastAsia="ko-KR"/>
        </w:rPr>
        <w:t xml:space="preserve">, to </w:t>
      </w:r>
      <w:r w:rsidRPr="00A861B5">
        <w:rPr>
          <w:sz w:val="20"/>
          <w:szCs w:val="20"/>
          <w:highlight w:val="cyan"/>
          <w:u w:val="single"/>
          <w:lang w:eastAsia="ko-KR"/>
        </w:rPr>
        <w:t>intel</w:t>
      </w:r>
      <w:r w:rsidRPr="00A861B5">
        <w:rPr>
          <w:sz w:val="20"/>
          <w:szCs w:val="20"/>
          <w:u w:val="single"/>
          <w:lang w:eastAsia="ko-KR"/>
        </w:rPr>
        <w:t xml:space="preserve">ligence officials on </w:t>
      </w:r>
      <w:r w:rsidRPr="00A861B5">
        <w:rPr>
          <w:sz w:val="20"/>
          <w:szCs w:val="20"/>
          <w:highlight w:val="cyan"/>
          <w:u w:val="single"/>
          <w:lang w:eastAsia="ko-KR"/>
        </w:rPr>
        <w:t>foreign threats</w:t>
      </w:r>
      <w:r w:rsidRPr="00A861B5">
        <w:rPr>
          <w:sz w:val="20"/>
          <w:szCs w:val="20"/>
          <w:u w:val="single"/>
          <w:lang w:eastAsia="ko-KR"/>
        </w:rPr>
        <w:t xml:space="preserve">, </w:t>
      </w:r>
      <w:r w:rsidRPr="00A861B5">
        <w:rPr>
          <w:b/>
          <w:bCs/>
          <w:sz w:val="20"/>
          <w:szCs w:val="20"/>
          <w:highlight w:val="cyan"/>
          <w:u w:val="single"/>
          <w:lang w:eastAsia="ko-KR"/>
        </w:rPr>
        <w:t>Trump has preferred to “</w:t>
      </w:r>
      <w:hyperlink r:id="rId18" w:tgtFrame="_blank" w:history="1">
        <w:r w:rsidRPr="00A861B5">
          <w:rPr>
            <w:rStyle w:val="Hyperlink"/>
            <w:bCs/>
            <w:sz w:val="20"/>
            <w:szCs w:val="20"/>
            <w:highlight w:val="cyan"/>
            <w:lang w:eastAsia="ko-KR"/>
          </w:rPr>
          <w:t>go with his gut</w:t>
        </w:r>
      </w:hyperlink>
      <w:r w:rsidRPr="00A861B5">
        <w:rPr>
          <w:b/>
          <w:bCs/>
          <w:sz w:val="20"/>
          <w:szCs w:val="20"/>
          <w:highlight w:val="cyan"/>
          <w:u w:val="single"/>
          <w:lang w:eastAsia="ko-KR"/>
        </w:rPr>
        <w:t>.”</w:t>
      </w:r>
    </w:p>
    <w:p w14:paraId="047245FF" w14:textId="77777777" w:rsidR="0046772E" w:rsidRDefault="0046772E" w:rsidP="0046772E"/>
    <w:p w14:paraId="6AD0CED2" w14:textId="77777777" w:rsidR="0046772E" w:rsidRDefault="0046772E" w:rsidP="0046772E"/>
    <w:p w14:paraId="449AC07C" w14:textId="0588F44D" w:rsidR="00BC2E1A" w:rsidRDefault="00BC2E1A" w:rsidP="00BC2E1A">
      <w:pPr>
        <w:pStyle w:val="Heading2"/>
      </w:pPr>
      <w:r>
        <w:t>Case/Unions ADV</w:t>
      </w:r>
    </w:p>
    <w:p w14:paraId="4F515228" w14:textId="77777777" w:rsidR="00BC2E1A" w:rsidRDefault="00BC2E1A" w:rsidP="00BC2E1A"/>
    <w:p w14:paraId="3C3E7E7C" w14:textId="77777777" w:rsidR="00BC2E1A" w:rsidRDefault="00BC2E1A" w:rsidP="00BC2E1A"/>
    <w:p w14:paraId="350B99D3" w14:textId="77777777" w:rsidR="00BC2E1A" w:rsidRPr="00AE0644" w:rsidRDefault="00BC2E1A" w:rsidP="00BC2E1A">
      <w:pPr>
        <w:pStyle w:val="Heading4"/>
      </w:pPr>
      <w:bookmarkStart w:id="0" w:name="_Hlk190879429"/>
      <w:r>
        <w:t xml:space="preserve">The development of the welfare regime and worker protections are not proof that the system can be fixed or proof of a benevolent state, but counter-insurgency operations that </w:t>
      </w:r>
      <w:r w:rsidRPr="00E600C1">
        <w:rPr>
          <w:u w:val="single"/>
        </w:rPr>
        <w:t>generate</w:t>
      </w:r>
      <w:r>
        <w:t xml:space="preserve"> </w:t>
      </w:r>
      <w:r w:rsidRPr="00E600C1">
        <w:t>public</w:t>
      </w:r>
      <w:r>
        <w:t xml:space="preserve"> dependency on the wage economy. Proliferation of means-testing cements our existence as a privilege that can be taken away instead of a right.</w:t>
      </w:r>
    </w:p>
    <w:p w14:paraId="1918F524" w14:textId="77777777" w:rsidR="00BC2E1A" w:rsidRPr="00D54B3F" w:rsidRDefault="00BC2E1A" w:rsidP="00BC2E1A">
      <w:pPr>
        <w:rPr>
          <w:rStyle w:val="Emphasis"/>
          <w:b w:val="0"/>
          <w:iCs w:val="0"/>
        </w:rPr>
      </w:pPr>
      <w:r w:rsidRPr="00D54B3F">
        <w:rPr>
          <w:rStyle w:val="Style13ptBold"/>
        </w:rPr>
        <w:t>Bodenheimer 80</w:t>
      </w:r>
      <w:r w:rsidRPr="00D54B3F">
        <w:t xml:space="preserve"> (Thomas Bodenheimer – general internist who spent 32 years in primary care practice in San Francisco's Mission District—10 years in community health centers and 22 years in private practice. “Mission Neighborhood Health Center: A Case Study of the Department of Health Education and Welfare as a Counterinsurgency Agency” The Journal of Sociology &amp; Social Welfare Volume 7, Issue 3 (May) Article 7 1980. Western Michigan University. </w:t>
      </w:r>
      <w:hyperlink r:id="rId19" w:history="1">
        <w:r w:rsidRPr="00D54B3F">
          <w:rPr>
            <w:rStyle w:val="Hyperlink"/>
          </w:rPr>
          <w:t>https://scholarworks.wmich.edu/cgi/viewcontent.cgi?article=1420&amp;context=jssw</w:t>
        </w:r>
      </w:hyperlink>
      <w:r w:rsidRPr="00D54B3F">
        <w:t>, DOA: 11/2/21, kbb)</w:t>
      </w:r>
    </w:p>
    <w:p w14:paraId="11A2FE89" w14:textId="1113BC57" w:rsidR="00BC2E1A" w:rsidRPr="00BC2E1A" w:rsidRDefault="00BC2E1A" w:rsidP="00BC2E1A">
      <w:pPr>
        <w:rPr>
          <w:sz w:val="12"/>
        </w:rPr>
      </w:pPr>
      <w:r w:rsidRPr="001307A9">
        <w:rPr>
          <w:rStyle w:val="Emphasis"/>
          <w:highlight w:val="green"/>
        </w:rPr>
        <w:t>Historically</w:t>
      </w:r>
      <w:r w:rsidRPr="00672B1F">
        <w:rPr>
          <w:sz w:val="12"/>
          <w:highlight w:val="green"/>
        </w:rPr>
        <w:t xml:space="preserve">, </w:t>
      </w:r>
      <w:r w:rsidRPr="001307A9">
        <w:rPr>
          <w:highlight w:val="green"/>
          <w:u w:val="single"/>
        </w:rPr>
        <w:t>the</w:t>
      </w:r>
      <w:r w:rsidRPr="001307A9">
        <w:rPr>
          <w:u w:val="single"/>
        </w:rPr>
        <w:t xml:space="preserve"> federal </w:t>
      </w:r>
      <w:r w:rsidRPr="001307A9">
        <w:rPr>
          <w:highlight w:val="green"/>
          <w:u w:val="single"/>
        </w:rPr>
        <w:t>government</w:t>
      </w:r>
      <w:r w:rsidRPr="001307A9">
        <w:rPr>
          <w:u w:val="single"/>
        </w:rPr>
        <w:t xml:space="preserve"> has </w:t>
      </w:r>
      <w:r w:rsidRPr="001307A9">
        <w:rPr>
          <w:highlight w:val="green"/>
          <w:u w:val="single"/>
        </w:rPr>
        <w:t xml:space="preserve">spent </w:t>
      </w:r>
      <w:r w:rsidRPr="001629CB">
        <w:rPr>
          <w:highlight w:val="green"/>
          <w:u w:val="single"/>
        </w:rPr>
        <w:t xml:space="preserve">money </w:t>
      </w:r>
      <w:r w:rsidRPr="001629CB">
        <w:rPr>
          <w:u w:val="single"/>
        </w:rPr>
        <w:t>for welfare</w:t>
      </w:r>
      <w:r w:rsidRPr="001307A9">
        <w:rPr>
          <w:u w:val="single"/>
        </w:rPr>
        <w:t xml:space="preserve"> and social service programs </w:t>
      </w:r>
      <w:r w:rsidRPr="001307A9">
        <w:rPr>
          <w:rStyle w:val="Emphasis"/>
          <w:highlight w:val="green"/>
        </w:rPr>
        <w:t>only at times of mass insurgency</w:t>
      </w:r>
      <w:r w:rsidRPr="001307A9">
        <w:rPr>
          <w:u w:val="single"/>
        </w:rPr>
        <w:t xml:space="preserve"> by the working class</w:t>
      </w:r>
      <w:r w:rsidRPr="00672B1F">
        <w:rPr>
          <w:sz w:val="12"/>
        </w:rPr>
        <w:t xml:space="preserve"> (Piven and Cloward, 1971). </w:t>
      </w:r>
      <w:r w:rsidRPr="001307A9">
        <w:rPr>
          <w:u w:val="single"/>
        </w:rPr>
        <w:t xml:space="preserve">In </w:t>
      </w:r>
      <w:r w:rsidRPr="001307A9">
        <w:rPr>
          <w:highlight w:val="green"/>
          <w:u w:val="single"/>
        </w:rPr>
        <w:t>the</w:t>
      </w:r>
      <w:r w:rsidRPr="001307A9">
        <w:rPr>
          <w:u w:val="single"/>
        </w:rPr>
        <w:t xml:space="preserve"> 19</w:t>
      </w:r>
      <w:r w:rsidRPr="001307A9">
        <w:rPr>
          <w:rStyle w:val="Emphasis"/>
          <w:highlight w:val="green"/>
        </w:rPr>
        <w:t>30's</w:t>
      </w:r>
      <w:r w:rsidRPr="001307A9">
        <w:rPr>
          <w:u w:val="single"/>
        </w:rPr>
        <w:t xml:space="preserve"> the government </w:t>
      </w:r>
      <w:r w:rsidRPr="001307A9">
        <w:rPr>
          <w:highlight w:val="green"/>
          <w:u w:val="single"/>
        </w:rPr>
        <w:t>enacted</w:t>
      </w:r>
      <w:r w:rsidRPr="001307A9">
        <w:rPr>
          <w:u w:val="single"/>
        </w:rPr>
        <w:t xml:space="preserve"> </w:t>
      </w:r>
      <w:r w:rsidRPr="001307A9">
        <w:rPr>
          <w:rStyle w:val="Emphasis"/>
          <w:highlight w:val="green"/>
        </w:rPr>
        <w:t>social security</w:t>
      </w:r>
      <w:r w:rsidRPr="001307A9">
        <w:rPr>
          <w:rStyle w:val="Emphasis"/>
        </w:rPr>
        <w:t xml:space="preserve">, </w:t>
      </w:r>
      <w:r w:rsidRPr="001307A9">
        <w:rPr>
          <w:rStyle w:val="Emphasis"/>
          <w:highlight w:val="green"/>
        </w:rPr>
        <w:t>unemployment</w:t>
      </w:r>
      <w:r w:rsidRPr="001307A9">
        <w:rPr>
          <w:rStyle w:val="Emphasis"/>
        </w:rPr>
        <w:t xml:space="preserve"> </w:t>
      </w:r>
      <w:r w:rsidRPr="001307A9">
        <w:rPr>
          <w:rStyle w:val="Emphasis"/>
          <w:highlight w:val="green"/>
        </w:rPr>
        <w:t>and welfare programs</w:t>
      </w:r>
      <w:r w:rsidRPr="001307A9">
        <w:rPr>
          <w:highlight w:val="green"/>
          <w:u w:val="single"/>
        </w:rPr>
        <w:t xml:space="preserve"> in response to</w:t>
      </w:r>
      <w:r w:rsidRPr="001307A9">
        <w:rPr>
          <w:u w:val="single"/>
        </w:rPr>
        <w:t xml:space="preserve"> the </w:t>
      </w:r>
      <w:r w:rsidRPr="001307A9">
        <w:rPr>
          <w:rStyle w:val="Emphasis"/>
          <w:highlight w:val="green"/>
        </w:rPr>
        <w:t>demonstrations</w:t>
      </w:r>
      <w:r w:rsidRPr="001307A9">
        <w:rPr>
          <w:u w:val="single"/>
        </w:rPr>
        <w:t xml:space="preserve"> and </w:t>
      </w:r>
      <w:r w:rsidRPr="001307A9">
        <w:rPr>
          <w:rStyle w:val="Emphasis"/>
        </w:rPr>
        <w:t>protests</w:t>
      </w:r>
      <w:r w:rsidRPr="001307A9">
        <w:rPr>
          <w:u w:val="single"/>
        </w:rPr>
        <w:t xml:space="preserve"> of millions of people, many </w:t>
      </w:r>
      <w:r w:rsidRPr="001307A9">
        <w:rPr>
          <w:rStyle w:val="Emphasis"/>
          <w:highlight w:val="green"/>
        </w:rPr>
        <w:t>organized by the</w:t>
      </w:r>
      <w:r w:rsidRPr="001307A9">
        <w:rPr>
          <w:rStyle w:val="Emphasis"/>
        </w:rPr>
        <w:t xml:space="preserve"> growing </w:t>
      </w:r>
      <w:r w:rsidRPr="001307A9">
        <w:rPr>
          <w:rStyle w:val="Emphasis"/>
          <w:highlight w:val="green"/>
        </w:rPr>
        <w:t>Communist Party</w:t>
      </w:r>
      <w:r w:rsidRPr="001307A9">
        <w:rPr>
          <w:highlight w:val="green"/>
          <w:u w:val="single"/>
        </w:rPr>
        <w:t xml:space="preserve">. The </w:t>
      </w:r>
      <w:r w:rsidRPr="001307A9">
        <w:rPr>
          <w:rStyle w:val="StyleUnderline"/>
        </w:rPr>
        <w:t>19</w:t>
      </w:r>
      <w:r w:rsidRPr="001307A9">
        <w:rPr>
          <w:rStyle w:val="Emphasis"/>
          <w:highlight w:val="green"/>
        </w:rPr>
        <w:t>50's</w:t>
      </w:r>
      <w:r w:rsidRPr="001307A9">
        <w:rPr>
          <w:u w:val="single"/>
        </w:rPr>
        <w:t xml:space="preserve">, </w:t>
      </w:r>
      <w:r w:rsidRPr="001307A9">
        <w:rPr>
          <w:rStyle w:val="Emphasis"/>
          <w:highlight w:val="green"/>
        </w:rPr>
        <w:t>with little</w:t>
      </w:r>
      <w:r w:rsidRPr="001307A9">
        <w:rPr>
          <w:rStyle w:val="Emphasis"/>
        </w:rPr>
        <w:t xml:space="preserve"> organized working class </w:t>
      </w:r>
      <w:r w:rsidRPr="001307A9">
        <w:rPr>
          <w:rStyle w:val="Emphasis"/>
          <w:highlight w:val="green"/>
        </w:rPr>
        <w:t>unrest, produced</w:t>
      </w:r>
      <w:r w:rsidRPr="001307A9">
        <w:rPr>
          <w:rStyle w:val="Emphasis"/>
        </w:rPr>
        <w:t xml:space="preserve"> almost </w:t>
      </w:r>
      <w:r w:rsidRPr="001307A9">
        <w:rPr>
          <w:rStyle w:val="Emphasis"/>
          <w:highlight w:val="green"/>
        </w:rPr>
        <w:t>no</w:t>
      </w:r>
      <w:r w:rsidRPr="001307A9">
        <w:rPr>
          <w:rStyle w:val="Emphasis"/>
        </w:rPr>
        <w:t xml:space="preserve"> new social </w:t>
      </w:r>
      <w:r w:rsidRPr="001307A9">
        <w:rPr>
          <w:rStyle w:val="Emphasis"/>
          <w:highlight w:val="green"/>
        </w:rPr>
        <w:t>programs</w:t>
      </w:r>
      <w:r w:rsidRPr="001307A9">
        <w:rPr>
          <w:highlight w:val="green"/>
          <w:u w:val="single"/>
        </w:rPr>
        <w:t xml:space="preserve">. </w:t>
      </w:r>
      <w:r w:rsidRPr="002152BE">
        <w:rPr>
          <w:highlight w:val="green"/>
          <w:u w:val="single"/>
        </w:rPr>
        <w:t>But the</w:t>
      </w:r>
      <w:r w:rsidRPr="001307A9">
        <w:rPr>
          <w:u w:val="single"/>
        </w:rPr>
        <w:t xml:space="preserve"> 19</w:t>
      </w:r>
      <w:r w:rsidRPr="002152BE">
        <w:rPr>
          <w:rStyle w:val="Emphasis"/>
          <w:highlight w:val="green"/>
        </w:rPr>
        <w:t>60's</w:t>
      </w:r>
      <w:r w:rsidRPr="001307A9">
        <w:rPr>
          <w:u w:val="single"/>
        </w:rPr>
        <w:t xml:space="preserve">, with its </w:t>
      </w:r>
      <w:r w:rsidRPr="001307A9">
        <w:rPr>
          <w:rStyle w:val="Emphasis"/>
          <w:highlight w:val="green"/>
        </w:rPr>
        <w:t>civil rights movement</w:t>
      </w:r>
      <w:r w:rsidRPr="001307A9">
        <w:rPr>
          <w:highlight w:val="green"/>
          <w:u w:val="single"/>
        </w:rPr>
        <w:t xml:space="preserve"> and </w:t>
      </w:r>
      <w:r w:rsidRPr="001307A9">
        <w:rPr>
          <w:rStyle w:val="Emphasis"/>
          <w:highlight w:val="green"/>
        </w:rPr>
        <w:t>urban rebellions</w:t>
      </w:r>
      <w:r w:rsidRPr="001307A9">
        <w:rPr>
          <w:highlight w:val="green"/>
          <w:u w:val="single"/>
        </w:rPr>
        <w:t xml:space="preserve">, brought </w:t>
      </w:r>
      <w:r w:rsidRPr="001307A9">
        <w:rPr>
          <w:rStyle w:val="Emphasis"/>
          <w:highlight w:val="green"/>
        </w:rPr>
        <w:t>a massive increase in welfare</w:t>
      </w:r>
      <w:r w:rsidRPr="001307A9">
        <w:rPr>
          <w:rStyle w:val="Emphasis"/>
        </w:rPr>
        <w:t xml:space="preserve"> expenditures</w:t>
      </w:r>
      <w:r w:rsidRPr="001307A9">
        <w:rPr>
          <w:u w:val="single"/>
        </w:rPr>
        <w:t xml:space="preserve">, new health programs </w:t>
      </w:r>
      <w:r w:rsidRPr="001307A9">
        <w:rPr>
          <w:highlight w:val="green"/>
          <w:u w:val="single"/>
        </w:rPr>
        <w:t xml:space="preserve">including </w:t>
      </w:r>
      <w:r w:rsidRPr="001307A9">
        <w:rPr>
          <w:rStyle w:val="Emphasis"/>
          <w:highlight w:val="green"/>
        </w:rPr>
        <w:t>Medicare, Medicaid and neighborhood health centers</w:t>
      </w:r>
      <w:r w:rsidRPr="001307A9">
        <w:rPr>
          <w:rStyle w:val="Emphasis"/>
        </w:rPr>
        <w:t xml:space="preserve">, educational programs such as </w:t>
      </w:r>
      <w:r w:rsidRPr="001629CB">
        <w:rPr>
          <w:rStyle w:val="Emphasis"/>
          <w:highlight w:val="green"/>
        </w:rPr>
        <w:t>Headstart, and "</w:t>
      </w:r>
      <w:r w:rsidRPr="001307A9">
        <w:rPr>
          <w:rStyle w:val="Emphasis"/>
          <w:highlight w:val="green"/>
        </w:rPr>
        <w:t>community action"</w:t>
      </w:r>
      <w:r w:rsidRPr="001307A9">
        <w:rPr>
          <w:rStyle w:val="Emphasis"/>
        </w:rPr>
        <w:t xml:space="preserve"> and legal services </w:t>
      </w:r>
      <w:r w:rsidRPr="001307A9">
        <w:rPr>
          <w:rStyle w:val="Emphasis"/>
          <w:highlight w:val="green"/>
        </w:rPr>
        <w:t>programs</w:t>
      </w:r>
      <w:r w:rsidRPr="001307A9">
        <w:rPr>
          <w:rStyle w:val="Emphasis"/>
        </w:rPr>
        <w:t xml:space="preserve"> to put some pressure on local and state governments</w:t>
      </w:r>
      <w:r w:rsidRPr="001307A9">
        <w:rPr>
          <w:u w:val="single"/>
        </w:rPr>
        <w:t xml:space="preserve">. In fact, many of </w:t>
      </w:r>
      <w:r w:rsidRPr="001307A9">
        <w:rPr>
          <w:rStyle w:val="Emphasis"/>
          <w:sz w:val="24"/>
          <w:highlight w:val="green"/>
        </w:rPr>
        <w:t>the War on Poverty</w:t>
      </w:r>
      <w:r w:rsidRPr="001307A9">
        <w:rPr>
          <w:sz w:val="24"/>
          <w:szCs w:val="24"/>
          <w:u w:val="single"/>
        </w:rPr>
        <w:t xml:space="preserve"> </w:t>
      </w:r>
      <w:r w:rsidRPr="001307A9">
        <w:rPr>
          <w:u w:val="single"/>
        </w:rPr>
        <w:t xml:space="preserve">programs were </w:t>
      </w:r>
      <w:r w:rsidRPr="002152BE">
        <w:rPr>
          <w:rStyle w:val="Emphasis"/>
        </w:rPr>
        <w:t>targeted into areas of actual or potential urban rebellion</w:t>
      </w:r>
      <w:r w:rsidRPr="001307A9">
        <w:rPr>
          <w:u w:val="single"/>
        </w:rPr>
        <w:t xml:space="preserve">. These </w:t>
      </w:r>
      <w:r w:rsidRPr="002152BE">
        <w:rPr>
          <w:rStyle w:val="Emphasis"/>
        </w:rPr>
        <w:t>federal moneys</w:t>
      </w:r>
      <w:r w:rsidRPr="001307A9">
        <w:rPr>
          <w:u w:val="single"/>
        </w:rPr>
        <w:t xml:space="preserve">, then, </w:t>
      </w:r>
      <w:r w:rsidRPr="001307A9">
        <w:rPr>
          <w:rStyle w:val="Emphasis"/>
          <w:sz w:val="24"/>
          <w:highlight w:val="green"/>
        </w:rPr>
        <w:t>served as a</w:t>
      </w:r>
      <w:r w:rsidRPr="001307A9">
        <w:rPr>
          <w:rStyle w:val="Emphasis"/>
          <w:sz w:val="24"/>
        </w:rPr>
        <w:t xml:space="preserve"> massive </w:t>
      </w:r>
      <w:r w:rsidRPr="002152BE">
        <w:rPr>
          <w:rStyle w:val="Emphasis"/>
          <w:sz w:val="24"/>
          <w:highlight w:val="green"/>
        </w:rPr>
        <w:t xml:space="preserve">domestic counterinsurgency </w:t>
      </w:r>
      <w:r w:rsidRPr="001307A9">
        <w:rPr>
          <w:rStyle w:val="Emphasis"/>
          <w:sz w:val="24"/>
          <w:highlight w:val="green"/>
        </w:rPr>
        <w:t>effort, designed to stop</w:t>
      </w:r>
      <w:r w:rsidRPr="001307A9">
        <w:rPr>
          <w:rStyle w:val="Emphasis"/>
          <w:sz w:val="24"/>
        </w:rPr>
        <w:t xml:space="preserve"> any effective </w:t>
      </w:r>
      <w:r w:rsidRPr="001307A9">
        <w:rPr>
          <w:rStyle w:val="Emphasis"/>
          <w:sz w:val="24"/>
          <w:highlight w:val="green"/>
        </w:rPr>
        <w:t>working class protest that could</w:t>
      </w:r>
      <w:r w:rsidRPr="001307A9">
        <w:rPr>
          <w:rStyle w:val="Emphasis"/>
          <w:sz w:val="24"/>
        </w:rPr>
        <w:t xml:space="preserve"> take root and </w:t>
      </w:r>
      <w:r w:rsidRPr="001307A9">
        <w:rPr>
          <w:rStyle w:val="Emphasis"/>
          <w:sz w:val="24"/>
          <w:highlight w:val="green"/>
        </w:rPr>
        <w:t>threaten</w:t>
      </w:r>
      <w:r w:rsidRPr="001307A9">
        <w:rPr>
          <w:rStyle w:val="Emphasis"/>
          <w:sz w:val="24"/>
        </w:rPr>
        <w:t xml:space="preserve"> the stability of the existing </w:t>
      </w:r>
      <w:r w:rsidRPr="001307A9">
        <w:rPr>
          <w:rStyle w:val="Emphasis"/>
          <w:sz w:val="24"/>
          <w:highlight w:val="green"/>
        </w:rPr>
        <w:t>capitalist order</w:t>
      </w:r>
      <w:r w:rsidRPr="00672B1F">
        <w:rPr>
          <w:sz w:val="12"/>
        </w:rPr>
        <w:t xml:space="preserve">. </w:t>
      </w:r>
      <w:r w:rsidRPr="001307A9">
        <w:rPr>
          <w:rStyle w:val="Emphasis"/>
          <w:sz w:val="24"/>
          <w:highlight w:val="green"/>
        </w:rPr>
        <w:t>Domestic counterinsurgency</w:t>
      </w:r>
      <w:r w:rsidRPr="001307A9">
        <w:rPr>
          <w:rStyle w:val="StyleUnderline"/>
          <w:highlight w:val="green"/>
        </w:rPr>
        <w:t xml:space="preserve"> works by </w:t>
      </w:r>
      <w:r w:rsidRPr="001307A9">
        <w:rPr>
          <w:rStyle w:val="StyleUnderline"/>
        </w:rPr>
        <w:t xml:space="preserve">1) </w:t>
      </w:r>
      <w:r w:rsidRPr="001307A9">
        <w:rPr>
          <w:rStyle w:val="StyleUnderline"/>
          <w:highlight w:val="green"/>
        </w:rPr>
        <w:t xml:space="preserve">channeling money to programs which </w:t>
      </w:r>
      <w:r w:rsidRPr="001307A9">
        <w:rPr>
          <w:rStyle w:val="Emphasis"/>
          <w:highlight w:val="green"/>
        </w:rPr>
        <w:t>minimally alleviate the worst horrors of life</w:t>
      </w:r>
      <w:r w:rsidRPr="001307A9">
        <w:rPr>
          <w:rStyle w:val="StyleUnderline"/>
        </w:rPr>
        <w:t xml:space="preserve"> in minority working class communities </w:t>
      </w:r>
      <w:r w:rsidRPr="001307A9">
        <w:rPr>
          <w:rStyle w:val="StyleUnderline"/>
          <w:highlight w:val="green"/>
        </w:rPr>
        <w:t>but</w:t>
      </w:r>
      <w:r w:rsidRPr="001307A9">
        <w:rPr>
          <w:rStyle w:val="StyleUnderline"/>
        </w:rPr>
        <w:t xml:space="preserve"> which </w:t>
      </w:r>
      <w:r w:rsidRPr="001307A9">
        <w:rPr>
          <w:rStyle w:val="Emphasis"/>
          <w:highlight w:val="green"/>
        </w:rPr>
        <w:t>principally</w:t>
      </w:r>
      <w:r w:rsidRPr="001307A9">
        <w:rPr>
          <w:rStyle w:val="StyleUnderline"/>
        </w:rPr>
        <w:t xml:space="preserve"> provide charity and </w:t>
      </w:r>
      <w:r w:rsidRPr="001307A9">
        <w:rPr>
          <w:rStyle w:val="StyleUnderline"/>
          <w:highlight w:val="green"/>
        </w:rPr>
        <w:t>create dependency</w:t>
      </w:r>
      <w:r w:rsidRPr="001307A9">
        <w:rPr>
          <w:rStyle w:val="StyleUnderline"/>
        </w:rPr>
        <w:t xml:space="preserve"> on government funds; and 2) funneling the money </w:t>
      </w:r>
      <w:r w:rsidRPr="001744A5">
        <w:rPr>
          <w:rStyle w:val="StyleUnderline"/>
        </w:rPr>
        <w:t xml:space="preserve">through agencies that hire working class leaders and buy them off with $20,000 a year positions and with control over other jobs in the community. </w:t>
      </w:r>
      <w:r w:rsidRPr="001629CB">
        <w:rPr>
          <w:rStyle w:val="StyleUnderline"/>
          <w:highlight w:val="green"/>
        </w:rPr>
        <w:t xml:space="preserve">Those who </w:t>
      </w:r>
      <w:r w:rsidRPr="001629CB">
        <w:rPr>
          <w:rStyle w:val="Emphasis"/>
          <w:highlight w:val="green"/>
        </w:rPr>
        <w:t>would not be bought off</w:t>
      </w:r>
      <w:r w:rsidRPr="001629CB">
        <w:rPr>
          <w:rStyle w:val="StyleUnderline"/>
          <w:highlight w:val="green"/>
        </w:rPr>
        <w:t xml:space="preserve"> </w:t>
      </w:r>
      <w:r w:rsidRPr="001629CB">
        <w:rPr>
          <w:rStyle w:val="StyleUnderline"/>
        </w:rPr>
        <w:t>in</w:t>
      </w:r>
      <w:r w:rsidRPr="001744A5">
        <w:rPr>
          <w:rStyle w:val="StyleUnderline"/>
        </w:rPr>
        <w:t xml:space="preserve"> this manner </w:t>
      </w:r>
      <w:r w:rsidRPr="001629CB">
        <w:rPr>
          <w:rStyle w:val="StyleUnderline"/>
          <w:highlight w:val="green"/>
        </w:rPr>
        <w:t>were</w:t>
      </w:r>
      <w:r w:rsidRPr="001744A5">
        <w:rPr>
          <w:rStyle w:val="StyleUnderline"/>
        </w:rPr>
        <w:t xml:space="preserve"> frequently </w:t>
      </w:r>
      <w:r w:rsidRPr="001629CB">
        <w:rPr>
          <w:rStyle w:val="Emphasis"/>
          <w:highlight w:val="green"/>
        </w:rPr>
        <w:t>assassinated</w:t>
      </w:r>
      <w:r w:rsidRPr="001629CB">
        <w:rPr>
          <w:rStyle w:val="StyleUnderline"/>
          <w:highlight w:val="green"/>
        </w:rPr>
        <w:t xml:space="preserve"> or </w:t>
      </w:r>
      <w:r w:rsidRPr="001629CB">
        <w:rPr>
          <w:rStyle w:val="Emphasis"/>
          <w:highlight w:val="green"/>
        </w:rPr>
        <w:t>imprisoned</w:t>
      </w:r>
      <w:r w:rsidRPr="001744A5">
        <w:rPr>
          <w:rStyle w:val="StyleUnderline"/>
        </w:rPr>
        <w:t xml:space="preserve">, for example, </w:t>
      </w:r>
      <w:r w:rsidRPr="001744A5">
        <w:rPr>
          <w:rStyle w:val="Emphasis"/>
        </w:rPr>
        <w:t>leaders of the Black Panthers</w:t>
      </w:r>
      <w:r w:rsidRPr="00672B1F">
        <w:rPr>
          <w:sz w:val="12"/>
        </w:rPr>
        <w:t xml:space="preserve">. </w:t>
      </w:r>
      <w:r w:rsidRPr="001744A5">
        <w:rPr>
          <w:rStyle w:val="StyleUnderline"/>
        </w:rPr>
        <w:t xml:space="preserve">Those who were </w:t>
      </w:r>
      <w:r w:rsidRPr="001744A5">
        <w:rPr>
          <w:rStyle w:val="Emphasis"/>
        </w:rPr>
        <w:t>coopted</w:t>
      </w:r>
      <w:r w:rsidRPr="001744A5">
        <w:rPr>
          <w:rStyle w:val="StyleUnderline"/>
        </w:rPr>
        <w:t xml:space="preserve"> became known to many as </w:t>
      </w:r>
      <w:r w:rsidRPr="001629CB">
        <w:rPr>
          <w:rStyle w:val="Emphasis"/>
        </w:rPr>
        <w:t>poverty pimps</w:t>
      </w:r>
      <w:r w:rsidRPr="001744A5">
        <w:rPr>
          <w:rStyle w:val="StyleUnderline"/>
        </w:rPr>
        <w:t>, and formed a new stratum of society, a stratum created by the needs of the state to control the</w:t>
      </w:r>
      <w:r w:rsidRPr="001307A9">
        <w:rPr>
          <w:rStyle w:val="StyleUnderline"/>
        </w:rPr>
        <w:t xml:space="preserve"> working class in minority neighborhoods</w:t>
      </w:r>
      <w:r w:rsidRPr="00672B1F">
        <w:rPr>
          <w:sz w:val="12"/>
        </w:rPr>
        <w:t xml:space="preserve"> (Rebel Worker Newsjournal, 1979). The poverty pimps became the managers of the counterinsurgency programs, and as such gained control over aspects of the lives of the working class majority in their communities. Their control was termed "community control" because the poverty pimps came from the community. In this sense, "community control" has come to mean control over the working class community. The clique that ran the MAHA board from 1977 to 1979 is a clear example of this stratum of poverty pimps.  Using the terminology of Marxist class analysis, the poverty pimps are a new stratum of the lower rungs of the bourgeois class. </w:t>
      </w:r>
      <w:r w:rsidRPr="001307A9">
        <w:rPr>
          <w:rStyle w:val="StyleUnderline"/>
        </w:rPr>
        <w:t>Our society is made up of two antagonistic classes, the bourgeoisie (</w:t>
      </w:r>
      <w:r w:rsidRPr="001307A9">
        <w:rPr>
          <w:rStyle w:val="Emphasis"/>
        </w:rPr>
        <w:t>capitalist class</w:t>
      </w:r>
      <w:r w:rsidRPr="001307A9">
        <w:rPr>
          <w:rStyle w:val="StyleUnderline"/>
        </w:rPr>
        <w:t>) and the proletariat (</w:t>
      </w:r>
      <w:r w:rsidRPr="001307A9">
        <w:rPr>
          <w:rStyle w:val="Emphasis"/>
        </w:rPr>
        <w:t>working class</w:t>
      </w:r>
      <w:r w:rsidRPr="001307A9">
        <w:rPr>
          <w:rStyle w:val="StyleUnderline"/>
        </w:rPr>
        <w:t>)</w:t>
      </w:r>
      <w:r w:rsidRPr="00672B1F">
        <w:rPr>
          <w:sz w:val="12"/>
        </w:rPr>
        <w:t xml:space="preserve"> (Dixon, 1979). </w:t>
      </w:r>
      <w:r w:rsidRPr="001307A9">
        <w:rPr>
          <w:rStyle w:val="StyleUnderline"/>
          <w:highlight w:val="green"/>
        </w:rPr>
        <w:t>The capitalist class</w:t>
      </w:r>
      <w:r w:rsidRPr="001307A9">
        <w:rPr>
          <w:rStyle w:val="StyleUnderline"/>
        </w:rPr>
        <w:t xml:space="preserve"> </w:t>
      </w:r>
      <w:r w:rsidRPr="001307A9">
        <w:rPr>
          <w:rStyle w:val="Emphasis"/>
        </w:rPr>
        <w:t>owns</w:t>
      </w:r>
      <w:r w:rsidRPr="001307A9">
        <w:rPr>
          <w:rStyle w:val="StyleUnderline"/>
        </w:rPr>
        <w:t xml:space="preserve"> and </w:t>
      </w:r>
      <w:r w:rsidRPr="001307A9">
        <w:rPr>
          <w:rStyle w:val="Emphasis"/>
          <w:highlight w:val="green"/>
        </w:rPr>
        <w:t>controls</w:t>
      </w:r>
      <w:r w:rsidRPr="001307A9">
        <w:rPr>
          <w:rStyle w:val="StyleUnderline"/>
        </w:rPr>
        <w:t xml:space="preserve"> the vast majority of the </w:t>
      </w:r>
      <w:r w:rsidRPr="001307A9">
        <w:rPr>
          <w:rStyle w:val="Emphasis"/>
          <w:highlight w:val="green"/>
        </w:rPr>
        <w:t>wealth</w:t>
      </w:r>
      <w:r w:rsidRPr="001307A9">
        <w:rPr>
          <w:rStyle w:val="StyleUnderline"/>
        </w:rPr>
        <w:t xml:space="preserve"> -- the </w:t>
      </w:r>
      <w:r w:rsidRPr="001307A9">
        <w:rPr>
          <w:rStyle w:val="Emphasis"/>
          <w:highlight w:val="green"/>
        </w:rPr>
        <w:t>land</w:t>
      </w:r>
      <w:r w:rsidRPr="001307A9">
        <w:rPr>
          <w:rStyle w:val="StyleUnderline"/>
        </w:rPr>
        <w:t xml:space="preserve">, the </w:t>
      </w:r>
      <w:r w:rsidRPr="001307A9">
        <w:rPr>
          <w:rStyle w:val="Emphasis"/>
          <w:highlight w:val="green"/>
        </w:rPr>
        <w:t>factories</w:t>
      </w:r>
      <w:r w:rsidRPr="001307A9">
        <w:rPr>
          <w:rStyle w:val="StyleUnderline"/>
        </w:rPr>
        <w:t xml:space="preserve">, the </w:t>
      </w:r>
      <w:r w:rsidRPr="001307A9">
        <w:rPr>
          <w:rStyle w:val="Emphasis"/>
          <w:highlight w:val="green"/>
        </w:rPr>
        <w:t>oil</w:t>
      </w:r>
      <w:r w:rsidRPr="001307A9">
        <w:rPr>
          <w:rStyle w:val="StyleUnderline"/>
          <w:highlight w:val="green"/>
        </w:rPr>
        <w:t xml:space="preserve"> and </w:t>
      </w:r>
      <w:r w:rsidRPr="001307A9">
        <w:rPr>
          <w:rStyle w:val="Emphasis"/>
          <w:highlight w:val="green"/>
        </w:rPr>
        <w:t>natural resources</w:t>
      </w:r>
      <w:r w:rsidRPr="001307A9">
        <w:rPr>
          <w:highlight w:val="green"/>
          <w:u w:val="single"/>
        </w:rPr>
        <w:t xml:space="preserve">. </w:t>
      </w:r>
      <w:r w:rsidRPr="001307A9">
        <w:rPr>
          <w:sz w:val="24"/>
          <w:szCs w:val="24"/>
          <w:highlight w:val="green"/>
          <w:u w:val="single"/>
        </w:rPr>
        <w:t xml:space="preserve">The working class is </w:t>
      </w:r>
      <w:r w:rsidRPr="001307A9">
        <w:rPr>
          <w:rStyle w:val="Emphasis"/>
          <w:sz w:val="24"/>
          <w:highlight w:val="green"/>
        </w:rPr>
        <w:t>forced to work</w:t>
      </w:r>
      <w:r w:rsidRPr="001307A9">
        <w:rPr>
          <w:sz w:val="24"/>
          <w:szCs w:val="24"/>
          <w:u w:val="single"/>
        </w:rPr>
        <w:t xml:space="preserve"> for the capitalist class in order </w:t>
      </w:r>
      <w:r w:rsidRPr="001307A9">
        <w:rPr>
          <w:rStyle w:val="Emphasis"/>
          <w:sz w:val="24"/>
          <w:highlight w:val="green"/>
        </w:rPr>
        <w:t>to survive, and those unable to work become</w:t>
      </w:r>
      <w:r w:rsidRPr="001307A9">
        <w:rPr>
          <w:rStyle w:val="Emphasis"/>
          <w:sz w:val="24"/>
        </w:rPr>
        <w:t xml:space="preserve"> dependent upon and </w:t>
      </w:r>
      <w:r w:rsidRPr="001307A9">
        <w:rPr>
          <w:rStyle w:val="Emphasis"/>
          <w:sz w:val="24"/>
          <w:highlight w:val="green"/>
        </w:rPr>
        <w:t>controlled by</w:t>
      </w:r>
      <w:r w:rsidRPr="001307A9">
        <w:rPr>
          <w:rStyle w:val="Emphasis"/>
          <w:sz w:val="24"/>
        </w:rPr>
        <w:t xml:space="preserve"> government </w:t>
      </w:r>
      <w:r w:rsidRPr="001307A9">
        <w:rPr>
          <w:rStyle w:val="Emphasis"/>
          <w:sz w:val="24"/>
          <w:highlight w:val="green"/>
        </w:rPr>
        <w:t>programs such as social security, unemployment</w:t>
      </w:r>
      <w:r w:rsidRPr="001307A9">
        <w:rPr>
          <w:rStyle w:val="Emphasis"/>
          <w:sz w:val="24"/>
        </w:rPr>
        <w:t xml:space="preserve"> compensation, </w:t>
      </w:r>
      <w:r w:rsidRPr="001307A9">
        <w:rPr>
          <w:rStyle w:val="Emphasis"/>
          <w:sz w:val="24"/>
          <w:highlight w:val="green"/>
        </w:rPr>
        <w:t>disability and such services</w:t>
      </w:r>
      <w:r w:rsidRPr="001307A9">
        <w:rPr>
          <w:rStyle w:val="Emphasis"/>
          <w:sz w:val="24"/>
        </w:rPr>
        <w:t xml:space="preserve"> as those offered by neighborhood health centers</w:t>
      </w:r>
      <w:r w:rsidRPr="00672B1F">
        <w:rPr>
          <w:sz w:val="12"/>
        </w:rPr>
        <w:t xml:space="preserve">. The lower strata of the bourgeois class are </w:t>
      </w:r>
      <w:r w:rsidRPr="001307A9">
        <w:rPr>
          <w:rStyle w:val="StyleUnderline"/>
        </w:rPr>
        <w:t>the petty (small) bourgeoisie, most of whom today are employed by capital or by the state as managers and professionals. Their function is to carry out the orders of the capitalists in controlling and commanding the day-to-day activities of the working class</w:t>
      </w:r>
      <w:r w:rsidRPr="00672B1F">
        <w:rPr>
          <w:sz w:val="12"/>
        </w:rPr>
        <w:t xml:space="preserve"> (Braverman, 1974). </w:t>
      </w:r>
      <w:r w:rsidRPr="001307A9">
        <w:rPr>
          <w:rStyle w:val="StyleUnderline"/>
        </w:rPr>
        <w:t>In the factory, this function is performed by the planners, managers and foremen; in the welfare system it is performed by the social workers. The petty bourgeoisie</w:t>
      </w:r>
      <w:r w:rsidRPr="00672B1F">
        <w:rPr>
          <w:sz w:val="12"/>
        </w:rPr>
        <w:t xml:space="preserve"> does not in itself possess control over the country's resources but, in return for financial rewards, it </w:t>
      </w:r>
      <w:r w:rsidRPr="001307A9">
        <w:rPr>
          <w:rStyle w:val="StyleUnderline"/>
        </w:rPr>
        <w:t>serves as a transmission belt of control between the bourgeoisie and the working class</w:t>
      </w:r>
      <w:r w:rsidRPr="00672B1F">
        <w:rPr>
          <w:sz w:val="12"/>
        </w:rPr>
        <w:t xml:space="preserve">. The stratum of the petty bourgeoisie that we call the poverty pimps is a new stratum, created by the counterinsurgency programs of the federal government. </w:t>
      </w:r>
      <w:r w:rsidRPr="00692DEB">
        <w:rPr>
          <w:rStyle w:val="StyleUnderline"/>
        </w:rPr>
        <w:t>Their purpose is to manage these programs for the benefit of the government and thereby to pacify and control the working class on behalf of the bourgeoisie</w:t>
      </w:r>
      <w:r w:rsidRPr="00672B1F">
        <w:rPr>
          <w:sz w:val="12"/>
        </w:rPr>
        <w:t xml:space="preserve">. </w:t>
      </w:r>
      <w:r w:rsidRPr="00692DEB">
        <w:rPr>
          <w:rStyle w:val="Emphasis"/>
        </w:rPr>
        <w:t>Many</w:t>
      </w:r>
      <w:r w:rsidRPr="00672B1F">
        <w:rPr>
          <w:sz w:val="12"/>
        </w:rPr>
        <w:t xml:space="preserve"> poverty pimps may </w:t>
      </w:r>
      <w:r w:rsidRPr="00692DEB">
        <w:rPr>
          <w:rStyle w:val="StyleUnderline"/>
        </w:rPr>
        <w:t>have taken</w:t>
      </w:r>
      <w:r w:rsidRPr="00672B1F">
        <w:rPr>
          <w:sz w:val="12"/>
        </w:rPr>
        <w:t xml:space="preserve"> their poverty agency </w:t>
      </w:r>
      <w:r w:rsidRPr="00692DEB">
        <w:rPr>
          <w:rStyle w:val="StyleUnderline"/>
        </w:rPr>
        <w:t xml:space="preserve">positions with </w:t>
      </w:r>
      <w:r w:rsidRPr="00692DEB">
        <w:rPr>
          <w:rStyle w:val="Emphasis"/>
        </w:rPr>
        <w:t>the best of intentions</w:t>
      </w:r>
      <w:r w:rsidRPr="00692DEB">
        <w:rPr>
          <w:rStyle w:val="StyleUnderline"/>
        </w:rPr>
        <w:t>. But</w:t>
      </w:r>
      <w:r w:rsidRPr="00672B1F">
        <w:rPr>
          <w:sz w:val="12"/>
        </w:rPr>
        <w:t xml:space="preserve"> </w:t>
      </w:r>
      <w:r w:rsidRPr="00692DEB">
        <w:rPr>
          <w:rStyle w:val="Emphasis"/>
          <w:sz w:val="24"/>
        </w:rPr>
        <w:t>any desires to serve the community are snuffed out by the reality that they function as part of a state apparatus designed to rule and control their communities</w:t>
      </w:r>
      <w:r w:rsidRPr="00672B1F">
        <w:rPr>
          <w:sz w:val="12"/>
          <w:szCs w:val="24"/>
        </w:rPr>
        <w:t xml:space="preserve"> </w:t>
      </w:r>
      <w:r w:rsidRPr="00672B1F">
        <w:rPr>
          <w:sz w:val="12"/>
        </w:rPr>
        <w:t xml:space="preserve">(Rebel Worker Newsjournal, 1979). The poverty pimps have a stake in </w:t>
      </w:r>
      <w:r w:rsidRPr="00692DEB">
        <w:rPr>
          <w:rStyle w:val="Emphasis"/>
          <w:sz w:val="28"/>
          <w:szCs w:val="28"/>
        </w:rPr>
        <w:t>maintaining the status quo in order to keep their own jobs</w:t>
      </w:r>
      <w:r w:rsidRPr="00672B1F">
        <w:rPr>
          <w:sz w:val="12"/>
        </w:rPr>
        <w:t xml:space="preserve">. They may engage in petty (or big) rip-offs of public funds, and they create well-paying jobs for their friends and themselves to preserve and expand their positions and control. They come to identify with the government funding agency against their own people. When the poverty funds begin to shrink, the poverty pimps may resort to any means -- including using their own gangs -- to keep their jobs and their con- trol and to prevent themselves from being forced back into the working class whence they came. This stratum of poverty pimps is actually a lumpen petty bourgeoisie*, a stratum of parasites created by the War on Poverty, supported by taxpayers' money. To conceal their true purpose from the working class that they exploit, those poverty pimps who are from minority communities may use the ideology of nationalism; for example, How can you criticize me, I'm Raza. We are united by the racism we experience, so you should support me. It doesn't matter that I make $30,000 a year while you and your family are on welfare. We are the same because my name is Gomez too (Martinez, 1979). This kind of nationalism is a trick against the working class. It takes people's hatred of racism and twists it into a weapon against them (Martinez, 1979). And many white liberal and progressive people glorify the poverty pimps, calling them "The Community," when actually they are a tiny portion of the community that exploits the working class majority. </w:t>
      </w:r>
      <w:r w:rsidRPr="001307A9">
        <w:rPr>
          <w:rStyle w:val="Emphasis"/>
          <w:sz w:val="28"/>
          <w:szCs w:val="28"/>
        </w:rPr>
        <w:t>Domestic counterinsurgency</w:t>
      </w:r>
      <w:r w:rsidRPr="00672B1F">
        <w:rPr>
          <w:sz w:val="12"/>
          <w:szCs w:val="28"/>
        </w:rPr>
        <w:t xml:space="preserve"> </w:t>
      </w:r>
      <w:r w:rsidRPr="00672B1F">
        <w:rPr>
          <w:sz w:val="12"/>
        </w:rPr>
        <w:t xml:space="preserve">and its creation of a lumpen petty bourgeoisie </w:t>
      </w:r>
      <w:r w:rsidRPr="001307A9">
        <w:rPr>
          <w:rStyle w:val="Emphasis"/>
          <w:sz w:val="28"/>
          <w:szCs w:val="28"/>
        </w:rPr>
        <w:t>is</w:t>
      </w:r>
      <w:r w:rsidRPr="00672B1F">
        <w:rPr>
          <w:sz w:val="12"/>
          <w:szCs w:val="28"/>
        </w:rPr>
        <w:t xml:space="preserve"> </w:t>
      </w:r>
      <w:r w:rsidRPr="00672B1F">
        <w:rPr>
          <w:sz w:val="12"/>
        </w:rPr>
        <w:t xml:space="preserve">in essence </w:t>
      </w:r>
      <w:r w:rsidRPr="001307A9">
        <w:rPr>
          <w:rStyle w:val="Emphasis"/>
          <w:sz w:val="28"/>
          <w:szCs w:val="28"/>
        </w:rPr>
        <w:t>no different than the international counterinsurgency</w:t>
      </w:r>
      <w:r w:rsidRPr="00672B1F">
        <w:rPr>
          <w:sz w:val="12"/>
        </w:rPr>
        <w:t xml:space="preserve"> which motivated such programs as the Alliance for Progress in the 1960's. The Alliance for Progress infused money into Latin Americi to pacify growing anti-American social movements. It also created and strengthened a stratum of compradors (people who sold out the interests of their country for personal gain) similar to the poverty pimps, to administer the Alliance for Progress money and to control the population (for descriptions of world class formation, see Dixon, 1978; Jonas and Dixon, 1979). In its arsenal of </w:t>
      </w:r>
      <w:r w:rsidRPr="001307A9">
        <w:rPr>
          <w:rStyle w:val="Emphasis"/>
          <w:highlight w:val="green"/>
        </w:rPr>
        <w:t>counterinsurgency techniques</w:t>
      </w:r>
      <w:r w:rsidRPr="00672B1F">
        <w:rPr>
          <w:sz w:val="12"/>
        </w:rPr>
        <w:t xml:space="preserve">, the Alliance for Progress </w:t>
      </w:r>
      <w:r w:rsidRPr="001307A9">
        <w:rPr>
          <w:rStyle w:val="StyleUnderline"/>
          <w:highlight w:val="green"/>
        </w:rPr>
        <w:t xml:space="preserve">utilized both </w:t>
      </w:r>
      <w:r w:rsidRPr="001307A9">
        <w:rPr>
          <w:rStyle w:val="Emphasis"/>
          <w:highlight w:val="green"/>
        </w:rPr>
        <w:t>the carrot</w:t>
      </w:r>
      <w:r w:rsidRPr="001307A9">
        <w:rPr>
          <w:rStyle w:val="StyleUnderline"/>
          <w:highlight w:val="green"/>
        </w:rPr>
        <w:t xml:space="preserve"> and </w:t>
      </w:r>
      <w:r w:rsidRPr="001307A9">
        <w:rPr>
          <w:rStyle w:val="Emphasis"/>
          <w:highlight w:val="green"/>
        </w:rPr>
        <w:t>the stick</w:t>
      </w:r>
      <w:r w:rsidRPr="001307A9">
        <w:rPr>
          <w:rStyle w:val="StyleUnderline"/>
        </w:rPr>
        <w:t xml:space="preserve">: the </w:t>
      </w:r>
      <w:r w:rsidRPr="001307A9">
        <w:rPr>
          <w:rStyle w:val="Emphasis"/>
          <w:highlight w:val="green"/>
        </w:rPr>
        <w:t>food</w:t>
      </w:r>
      <w:r w:rsidRPr="001307A9">
        <w:rPr>
          <w:rStyle w:val="StyleUnderline"/>
        </w:rPr>
        <w:t xml:space="preserve">, </w:t>
      </w:r>
      <w:r w:rsidRPr="001307A9">
        <w:rPr>
          <w:rStyle w:val="Emphasis"/>
          <w:highlight w:val="green"/>
        </w:rPr>
        <w:t>agricultural</w:t>
      </w:r>
      <w:r w:rsidRPr="001307A9">
        <w:rPr>
          <w:rStyle w:val="StyleUnderline"/>
          <w:highlight w:val="green"/>
        </w:rPr>
        <w:t xml:space="preserve"> and </w:t>
      </w:r>
      <w:r w:rsidRPr="001307A9">
        <w:rPr>
          <w:rStyle w:val="Emphasis"/>
          <w:highlight w:val="green"/>
        </w:rPr>
        <w:t>housing</w:t>
      </w:r>
      <w:r w:rsidRPr="001307A9">
        <w:rPr>
          <w:rStyle w:val="StyleUnderline"/>
          <w:highlight w:val="green"/>
        </w:rPr>
        <w:t xml:space="preserve"> programs; and the </w:t>
      </w:r>
      <w:r w:rsidRPr="001307A9">
        <w:rPr>
          <w:rStyle w:val="Emphasis"/>
          <w:highlight w:val="green"/>
        </w:rPr>
        <w:t>repressive military</w:t>
      </w:r>
      <w:r w:rsidRPr="001307A9">
        <w:rPr>
          <w:rStyle w:val="StyleUnderline"/>
          <w:highlight w:val="green"/>
        </w:rPr>
        <w:t xml:space="preserve"> and </w:t>
      </w:r>
      <w:r w:rsidRPr="001307A9">
        <w:rPr>
          <w:rStyle w:val="Emphasis"/>
          <w:highlight w:val="green"/>
        </w:rPr>
        <w:t>police apparatus</w:t>
      </w:r>
      <w:r w:rsidRPr="001307A9">
        <w:rPr>
          <w:rStyle w:val="StyleUnderline"/>
        </w:rPr>
        <w:t xml:space="preserve">. HEW domestic </w:t>
      </w:r>
      <w:r w:rsidRPr="001307A9">
        <w:rPr>
          <w:rStyle w:val="Emphasis"/>
          <w:highlight w:val="green"/>
        </w:rPr>
        <w:t>counterinsurgency</w:t>
      </w:r>
      <w:r w:rsidRPr="001307A9">
        <w:rPr>
          <w:rStyle w:val="StyleUnderline"/>
        </w:rPr>
        <w:t xml:space="preserve"> also </w:t>
      </w:r>
      <w:r w:rsidRPr="001307A9">
        <w:rPr>
          <w:rStyle w:val="StyleUnderline"/>
          <w:highlight w:val="green"/>
        </w:rPr>
        <w:t>utilizes</w:t>
      </w:r>
      <w:r w:rsidRPr="001307A9">
        <w:rPr>
          <w:rStyle w:val="StyleUnderline"/>
        </w:rPr>
        <w:t xml:space="preserve"> both the carrot and the stick</w:t>
      </w:r>
      <w:r w:rsidRPr="00672B1F">
        <w:rPr>
          <w:sz w:val="12"/>
        </w:rPr>
        <w:t xml:space="preserve">. The carrot is the charity of </w:t>
      </w:r>
      <w:r w:rsidRPr="001307A9">
        <w:rPr>
          <w:rStyle w:val="Emphasis"/>
        </w:rPr>
        <w:t xml:space="preserve">giving </w:t>
      </w:r>
      <w:r w:rsidRPr="001307A9">
        <w:rPr>
          <w:rStyle w:val="Emphasis"/>
          <w:highlight w:val="green"/>
        </w:rPr>
        <w:t>money to tranquilize</w:t>
      </w:r>
      <w:r w:rsidRPr="001307A9">
        <w:rPr>
          <w:rStyle w:val="Emphasis"/>
        </w:rPr>
        <w:t xml:space="preserve"> the </w:t>
      </w:r>
      <w:r w:rsidRPr="001307A9">
        <w:rPr>
          <w:rStyle w:val="Emphasis"/>
          <w:highlight w:val="green"/>
        </w:rPr>
        <w:t>people</w:t>
      </w:r>
      <w:r w:rsidRPr="00672B1F">
        <w:rPr>
          <w:sz w:val="12"/>
        </w:rPr>
        <w:t xml:space="preserve"> and buy off their leaders; </w:t>
      </w:r>
      <w:r w:rsidRPr="001307A9">
        <w:rPr>
          <w:rStyle w:val="Emphasis"/>
          <w:highlight w:val="green"/>
        </w:rPr>
        <w:t>to make people depend on welfare</w:t>
      </w:r>
      <w:r w:rsidRPr="001307A9">
        <w:rPr>
          <w:rStyle w:val="Emphasis"/>
        </w:rPr>
        <w:t xml:space="preserve"> checks, </w:t>
      </w:r>
      <w:r w:rsidRPr="001307A9">
        <w:rPr>
          <w:rStyle w:val="Emphasis"/>
          <w:highlight w:val="green"/>
        </w:rPr>
        <w:t>food stamps and neighborhood</w:t>
      </w:r>
      <w:r w:rsidRPr="001307A9">
        <w:rPr>
          <w:rStyle w:val="Emphasis"/>
        </w:rPr>
        <w:t xml:space="preserve"> health </w:t>
      </w:r>
      <w:r w:rsidRPr="001307A9">
        <w:rPr>
          <w:rStyle w:val="Emphasis"/>
          <w:highlight w:val="green"/>
        </w:rPr>
        <w:t>centers</w:t>
      </w:r>
      <w:r w:rsidRPr="001307A9">
        <w:rPr>
          <w:rStyle w:val="Emphasis"/>
        </w:rPr>
        <w:t xml:space="preserve">; and thereby </w:t>
      </w:r>
      <w:r w:rsidRPr="001307A9">
        <w:rPr>
          <w:rStyle w:val="Emphasis"/>
          <w:highlight w:val="green"/>
        </w:rPr>
        <w:t>to prevent their organizing to really change</w:t>
      </w:r>
      <w:r w:rsidRPr="001307A9">
        <w:rPr>
          <w:rStyle w:val="Emphasis"/>
        </w:rPr>
        <w:t xml:space="preserve"> their situation in </w:t>
      </w:r>
      <w:r w:rsidRPr="001307A9">
        <w:rPr>
          <w:rStyle w:val="Emphasis"/>
          <w:highlight w:val="green"/>
        </w:rPr>
        <w:t>society</w:t>
      </w:r>
      <w:r w:rsidRPr="00672B1F">
        <w:rPr>
          <w:sz w:val="12"/>
        </w:rPr>
        <w:t>. The stick is to take away these charities if people cause trouble, a stick which is used to control both the poverty pimps and the working class. "Step out of line and you'll lose your little empire," the Feds tell the pimps. "</w:t>
      </w:r>
      <w:r w:rsidRPr="001307A9">
        <w:rPr>
          <w:rStyle w:val="Emphasis"/>
          <w:sz w:val="24"/>
          <w:highlight w:val="green"/>
        </w:rPr>
        <w:t>Step out of line and you'll lose your food stamps, your clinics or your Headstart programs</w:t>
      </w:r>
      <w:r w:rsidRPr="00672B1F">
        <w:rPr>
          <w:sz w:val="12"/>
        </w:rPr>
        <w:t xml:space="preserve">," the pimps tell the people (Rebel Worker Newsjournal, 1979). </w:t>
      </w:r>
      <w:bookmarkEnd w:id="0"/>
    </w:p>
    <w:p w14:paraId="7AFE055A" w14:textId="77777777" w:rsidR="00BC2E1A" w:rsidRDefault="00BC2E1A" w:rsidP="0046772E"/>
    <w:p w14:paraId="37FD4671" w14:textId="77777777" w:rsidR="00BC2E1A" w:rsidRPr="0046772E" w:rsidRDefault="00BC2E1A" w:rsidP="0046772E"/>
    <w:p w14:paraId="4776BEC9" w14:textId="0088C72D" w:rsidR="00E646A6" w:rsidRDefault="00E646A6" w:rsidP="00E646A6">
      <w:pPr>
        <w:pStyle w:val="Heading4"/>
      </w:pPr>
      <w:r>
        <w:t xml:space="preserve">Turn - Letting the federal government </w:t>
      </w:r>
      <w:r w:rsidRPr="00541586">
        <w:rPr>
          <w:u w:val="single"/>
        </w:rPr>
        <w:t>hemorrhage workers</w:t>
      </w:r>
      <w:r>
        <w:t xml:space="preserve"> is good – prevents implementation of Trump’s priorities.</w:t>
      </w:r>
    </w:p>
    <w:p w14:paraId="3181FAAA" w14:textId="77777777" w:rsidR="00E646A6" w:rsidRPr="00795648" w:rsidRDefault="00E646A6" w:rsidP="00E646A6">
      <w:pPr>
        <w:rPr>
          <w:sz w:val="14"/>
          <w:szCs w:val="14"/>
        </w:rPr>
      </w:pPr>
      <w:r w:rsidRPr="00795648">
        <w:rPr>
          <w:rStyle w:val="Style13ptBold"/>
        </w:rPr>
        <w:t>Akielly</w:t>
      </w:r>
      <w:r>
        <w:rPr>
          <w:rStyle w:val="Style13ptBold"/>
        </w:rPr>
        <w:t xml:space="preserve"> </w:t>
      </w:r>
      <w:r w:rsidRPr="00406D42">
        <w:rPr>
          <w:rStyle w:val="Style13ptBold"/>
        </w:rPr>
        <w:t>Hu ’25</w:t>
      </w:r>
      <w:r>
        <w:t xml:space="preserve"> </w:t>
      </w:r>
      <w:r w:rsidRPr="00795648">
        <w:rPr>
          <w:sz w:val="14"/>
          <w:szCs w:val="14"/>
        </w:rPr>
        <w:t xml:space="preserve">[Akielly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 </w:t>
      </w:r>
      <w:hyperlink r:id="rId20" w:history="1">
        <w:r w:rsidRPr="008C6266">
          <w:rPr>
            <w:rStyle w:val="Hyperlink"/>
            <w:sz w:val="14"/>
            <w:szCs w:val="14"/>
          </w:rPr>
          <w:t>https://www.eli.org/the-environmental-forum/reversing-tide</w:t>
        </w:r>
      </w:hyperlink>
      <w:r>
        <w:rPr>
          <w:sz w:val="14"/>
          <w:szCs w:val="14"/>
        </w:rPr>
        <w:t xml:space="preserve"> [SM 9/23]</w:t>
      </w:r>
    </w:p>
    <w:p w14:paraId="627A16D6" w14:textId="77777777" w:rsidR="00E646A6" w:rsidRPr="00795648" w:rsidRDefault="00E646A6" w:rsidP="00E646A6">
      <w:pPr>
        <w:rPr>
          <w:u w:val="single"/>
        </w:rPr>
      </w:pPr>
      <w:r w:rsidRPr="00795648">
        <w:t xml:space="preserve">Those familiar with the inner workings of EPA say that the </w:t>
      </w:r>
      <w:r w:rsidRPr="00795648">
        <w:rPr>
          <w:highlight w:val="cyan"/>
          <w:u w:val="single"/>
        </w:rPr>
        <w:t>removal of longtime civil servants</w:t>
      </w:r>
      <w:r w:rsidRPr="00795648">
        <w:rPr>
          <w:u w:val="single"/>
        </w:rPr>
        <w:t xml:space="preserve">— and the </w:t>
      </w:r>
      <w:r w:rsidRPr="00795648">
        <w:rPr>
          <w:highlight w:val="cyan"/>
          <w:u w:val="single"/>
        </w:rPr>
        <w:t>sudden loss of institutional knowledge</w:t>
      </w:r>
      <w:r w:rsidRPr="00795648">
        <w:rPr>
          <w:u w:val="single"/>
        </w:rPr>
        <w:t xml:space="preserve"> as a result—</w:t>
      </w:r>
      <w:r w:rsidRPr="00795648">
        <w:rPr>
          <w:b/>
          <w:bCs/>
          <w:highlight w:val="cyan"/>
          <w:u w:val="single"/>
        </w:rPr>
        <w:t>would hinder, rather than support, Trump’s deregulatory efforts.</w:t>
      </w:r>
      <w:r w:rsidRPr="00795648">
        <w:t xml:space="preserve"> “</w:t>
      </w:r>
      <w:r w:rsidRPr="00795648">
        <w:rPr>
          <w:u w:val="single"/>
        </w:rPr>
        <w:t>There are two strains in the incoming administration’s rhetoric about environmental policies that are somewhat at odds with each other,”</w:t>
      </w:r>
      <w:r w:rsidRPr="00795648">
        <w:t xml:space="preserve"> </w:t>
      </w:r>
      <w:r w:rsidRPr="00795648">
        <w:rPr>
          <w:sz w:val="12"/>
          <w:szCs w:val="12"/>
        </w:rPr>
        <w:t>says Stan Meiburg, executive director of the Sabin Center for Environment and Sustainability at Wake Forest University and former EPA acting deputy administrator. “</w:t>
      </w:r>
      <w:r w:rsidRPr="00795648">
        <w:rPr>
          <w:highlight w:val="cyan"/>
          <w:u w:val="single"/>
        </w:rPr>
        <w:t>One strain is that we’re going to roll back</w:t>
      </w:r>
      <w:r w:rsidRPr="00795648">
        <w:rPr>
          <w:u w:val="single"/>
        </w:rPr>
        <w:t xml:space="preserve"> all these </w:t>
      </w:r>
      <w:r w:rsidRPr="00795648">
        <w:rPr>
          <w:highlight w:val="cyan"/>
          <w:u w:val="single"/>
        </w:rPr>
        <w:t>regulations</w:t>
      </w:r>
      <w:r w:rsidRPr="00795648">
        <w:rPr>
          <w:u w:val="single"/>
        </w:rPr>
        <w:t xml:space="preserve">. The </w:t>
      </w:r>
      <w:r w:rsidRPr="00795648">
        <w:rPr>
          <w:highlight w:val="cyan"/>
          <w:u w:val="single"/>
        </w:rPr>
        <w:t>other strain</w:t>
      </w:r>
      <w:r w:rsidRPr="00795648">
        <w:rPr>
          <w:u w:val="single"/>
        </w:rPr>
        <w:t xml:space="preserve"> is that we want </w:t>
      </w:r>
      <w:r w:rsidRPr="00795648">
        <w:rPr>
          <w:highlight w:val="cyan"/>
          <w:u w:val="single"/>
        </w:rPr>
        <w:t>to take the agency apart</w:t>
      </w:r>
      <w:r w:rsidRPr="00795648">
        <w:rPr>
          <w:u w:val="single"/>
        </w:rPr>
        <w:t xml:space="preserve">. And to some extent, </w:t>
      </w:r>
      <w:r w:rsidRPr="00795648">
        <w:rPr>
          <w:highlight w:val="cyan"/>
          <w:u w:val="single"/>
        </w:rPr>
        <w:t>those two are in tension</w:t>
      </w:r>
      <w:r w:rsidRPr="00795648">
        <w:rPr>
          <w:u w:val="single"/>
        </w:rPr>
        <w:t xml:space="preserve"> </w:t>
      </w:r>
      <w:r w:rsidRPr="00795648">
        <w:t xml:space="preserve">with each other. How so? Because </w:t>
      </w:r>
      <w:r w:rsidRPr="00795648">
        <w:rPr>
          <w:u w:val="single"/>
        </w:rPr>
        <w:t xml:space="preserve">it takes somebody to actually write the rule </w:t>
      </w:r>
      <w:r w:rsidRPr="00795648">
        <w:t xml:space="preserve">packages that would rescind effectively adopted rules.” </w:t>
      </w:r>
      <w:r w:rsidRPr="00795648">
        <w:rPr>
          <w:b/>
          <w:bCs/>
          <w:highlight w:val="cyan"/>
          <w:u w:val="single"/>
        </w:rPr>
        <w:t>A “tremendous amount of work” is required to justify the rationale behind agency actions</w:t>
      </w:r>
      <w:r w:rsidRPr="00795648">
        <w:rPr>
          <w:u w:val="single"/>
        </w:rPr>
        <w:t>,</w:t>
      </w:r>
      <w:r w:rsidRPr="00795648">
        <w:t xml:space="preserve"> particularly on already finalized rules, says Meiburg—</w:t>
      </w:r>
      <w:r w:rsidRPr="00795648">
        <w:rPr>
          <w:u w:val="single"/>
        </w:rPr>
        <w:t xml:space="preserve">otherwise, decisions can become </w:t>
      </w:r>
      <w:r w:rsidRPr="00795648">
        <w:rPr>
          <w:highlight w:val="cyan"/>
          <w:u w:val="single"/>
        </w:rPr>
        <w:t>vulnerable to court challenges.</w:t>
      </w:r>
    </w:p>
    <w:p w14:paraId="00CAE9BC" w14:textId="77777777" w:rsidR="00E646A6" w:rsidRPr="00795648" w:rsidRDefault="00E646A6" w:rsidP="00E646A6">
      <w:pPr>
        <w:rPr>
          <w:sz w:val="16"/>
          <w:szCs w:val="16"/>
        </w:rPr>
      </w:pPr>
      <w:r w:rsidRPr="00795648">
        <w:rPr>
          <w:highlight w:val="cyan"/>
          <w:u w:val="single"/>
        </w:rPr>
        <w:t>Inadequate staffing can also negatively impact the day-to-day functions</w:t>
      </w:r>
      <w:r w:rsidRPr="00795648">
        <w:t xml:space="preserve"> </w:t>
      </w:r>
      <w:r w:rsidRPr="00795648">
        <w:rPr>
          <w:sz w:val="16"/>
          <w:szCs w:val="16"/>
        </w:rPr>
        <w:t>of vast agencies like Interior,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03758A8C" w14:textId="77777777" w:rsidR="00E646A6" w:rsidRDefault="00E646A6" w:rsidP="00E646A6">
      <w:pPr>
        <w:rPr>
          <w:u w:val="single"/>
        </w:rPr>
      </w:pPr>
      <w:r w:rsidRPr="00795648">
        <w:t xml:space="preserve">And </w:t>
      </w:r>
      <w:r w:rsidRPr="00795648">
        <w:rPr>
          <w:b/>
          <w:bCs/>
          <w:highlight w:val="cyan"/>
          <w:u w:val="single"/>
        </w:rPr>
        <w:t xml:space="preserve">much like at EPA, cutting staff could prove counterproductive to the incoming Trump administration’s </w:t>
      </w:r>
      <w:r w:rsidRPr="00795648">
        <w:rPr>
          <w:b/>
          <w:bCs/>
          <w:sz w:val="14"/>
          <w:szCs w:val="14"/>
          <w:highlight w:val="cyan"/>
          <w:u w:val="single"/>
        </w:rPr>
        <w:t>goals</w:t>
      </w:r>
      <w:r w:rsidRPr="00795648">
        <w:rPr>
          <w:b/>
          <w:bCs/>
          <w:sz w:val="14"/>
          <w:szCs w:val="14"/>
        </w:rPr>
        <w:t xml:space="preserve"> </w:t>
      </w:r>
      <w:r w:rsidRPr="00795648">
        <w:rPr>
          <w:sz w:val="14"/>
          <w:szCs w:val="14"/>
        </w:rPr>
        <w:t>of boosting oil and gas production and increasing government efficiency, Scarlett adds. “If you want to enhance, for example, the efficiency and effectiveness of permitting processes for use of BLM land, whether for oil and gas or renewable energy,”</w:t>
      </w:r>
      <w:r w:rsidRPr="00795648">
        <w:t xml:space="preserve"> </w:t>
      </w:r>
      <w:r w:rsidRPr="00795648">
        <w:rPr>
          <w:highlight w:val="cyan"/>
          <w:u w:val="single"/>
        </w:rPr>
        <w:t>you need “extremely skilled and knowledge able people” to actually get that work done</w:t>
      </w:r>
      <w:r w:rsidRPr="00795648">
        <w:rPr>
          <w:u w:val="single"/>
        </w:rPr>
        <w:t xml:space="preserve">, Scarlett points out. “If you </w:t>
      </w:r>
      <w:r w:rsidRPr="00795648">
        <w:rPr>
          <w:highlight w:val="cyan"/>
          <w:u w:val="single"/>
        </w:rPr>
        <w:t>cut those people</w:t>
      </w:r>
      <w:r w:rsidRPr="00795648">
        <w:rPr>
          <w:u w:val="single"/>
        </w:rPr>
        <w:t xml:space="preserve">, you’re going to </w:t>
      </w:r>
      <w:r w:rsidRPr="00795648">
        <w:rPr>
          <w:highlight w:val="cyan"/>
          <w:u w:val="single"/>
        </w:rPr>
        <w:t>impede that progress</w:t>
      </w:r>
      <w:r w:rsidRPr="00795648">
        <w:rPr>
          <w:u w:val="single"/>
        </w:rPr>
        <w:t>.”</w:t>
      </w:r>
    </w:p>
    <w:p w14:paraId="65AB58D1" w14:textId="77777777" w:rsidR="00B946C4" w:rsidRPr="00B946C4" w:rsidRDefault="00B946C4" w:rsidP="00B946C4"/>
    <w:p w14:paraId="2BEA0575" w14:textId="512D36F8" w:rsidR="00BC2E1A" w:rsidRPr="00983A5F" w:rsidRDefault="00BC2E1A" w:rsidP="00BC2E1A">
      <w:pPr>
        <w:pStyle w:val="Heading4"/>
      </w:pPr>
      <w:r w:rsidRPr="00983A5F">
        <w:t xml:space="preserve">No </w:t>
      </w:r>
      <w:r w:rsidR="00727670">
        <w:t>democracy i</w:t>
      </w:r>
      <w:r w:rsidRPr="00983A5F">
        <w:t xml:space="preserve">mpact – </w:t>
      </w:r>
      <w:r>
        <w:t xml:space="preserve">the most Robust </w:t>
      </w:r>
      <w:r w:rsidRPr="00983A5F">
        <w:t>52 years</w:t>
      </w:r>
      <w:r>
        <w:t xml:space="preserve"> </w:t>
      </w:r>
      <w:r w:rsidRPr="00983A5F">
        <w:t xml:space="preserve">longitudinal </w:t>
      </w:r>
      <w:r>
        <w:t xml:space="preserve">study  proves </w:t>
      </w:r>
    </w:p>
    <w:p w14:paraId="4BE0336B" w14:textId="77777777" w:rsidR="00BC2E1A" w:rsidRPr="00983A5F" w:rsidRDefault="00BC2E1A" w:rsidP="00BC2E1A">
      <w:r w:rsidRPr="00983A5F">
        <w:rPr>
          <w:rFonts w:eastAsiaTheme="majorEastAsia" w:cstheme="majorBidi"/>
          <w:b/>
          <w:iCs/>
          <w:sz w:val="26"/>
        </w:rPr>
        <w:t>Grabmeier 15</w:t>
      </w:r>
      <w:r w:rsidRPr="008E2527">
        <w:rPr>
          <w:rStyle w:val="Style13ptBold"/>
        </w:rPr>
        <w:t xml:space="preserve"> </w:t>
      </w:r>
      <w:r w:rsidRPr="00983A5F">
        <w:t>[Jeff Grabmeier is a Senior Director of Research and Innovation at Ohio State University, citing a 52-year study; 9/3/15; Phys.org</w:t>
      </w:r>
      <w:r>
        <w:t>, https://college.unc.edu/2015/09/conflict-mucha/</w:t>
      </w:r>
      <w:r w:rsidRPr="00983A5F">
        <w:t xml:space="preserve">, “'Democratic peace' may not prevent international conflict,” </w:t>
      </w:r>
      <w:hyperlink r:id="rId21" w:history="1">
        <w:r w:rsidRPr="00983A5F">
          <w:rPr>
            <w:rStyle w:val="Hyperlink"/>
          </w:rPr>
          <w:t>]</w:t>
        </w:r>
      </w:hyperlink>
      <w:r w:rsidRPr="00983A5F">
        <w:t xml:space="preserve"> [RL 21] [// indicates paragraph breaks] </w:t>
      </w:r>
    </w:p>
    <w:p w14:paraId="73216882" w14:textId="77777777" w:rsidR="00BC2E1A" w:rsidRPr="00983A5F" w:rsidRDefault="00BC2E1A" w:rsidP="00BC2E1A">
      <w:pPr>
        <w:rPr>
          <w:rStyle w:val="StyleUnderline"/>
        </w:rPr>
      </w:pPr>
      <w:r w:rsidRPr="008660F9">
        <w:rPr>
          <w:rStyle w:val="Emphasis"/>
          <w:highlight w:val="cyan"/>
        </w:rPr>
        <w:t>Using a new technique to analyze 52 years of international conflict</w:t>
      </w:r>
      <w:r w:rsidRPr="00983A5F">
        <w:rPr>
          <w:rStyle w:val="StyleUnderline"/>
        </w:rPr>
        <w:t xml:space="preserve">, </w:t>
      </w:r>
      <w:r w:rsidRPr="008660F9">
        <w:rPr>
          <w:rStyle w:val="StyleUnderline"/>
          <w:highlight w:val="cyan"/>
        </w:rPr>
        <w:t>researchers suggest</w:t>
      </w:r>
      <w:r w:rsidRPr="00983A5F">
        <w:rPr>
          <w:rStyle w:val="StyleUnderline"/>
        </w:rPr>
        <w:t xml:space="preserve"> that </w:t>
      </w:r>
      <w:r w:rsidRPr="008660F9">
        <w:rPr>
          <w:rStyle w:val="StyleUnderline"/>
          <w:highlight w:val="cyan"/>
        </w:rPr>
        <w:t>there</w:t>
      </w:r>
      <w:r w:rsidRPr="00983A5F">
        <w:rPr>
          <w:rStyle w:val="StyleUnderline"/>
        </w:rPr>
        <w:t xml:space="preserve"> may </w:t>
      </w:r>
      <w:r w:rsidRPr="008660F9">
        <w:rPr>
          <w:rStyle w:val="Emphasis"/>
          <w:highlight w:val="cyan"/>
        </w:rPr>
        <w:t>be no such thing as a "dem</w:t>
      </w:r>
      <w:r w:rsidRPr="00983A5F">
        <w:rPr>
          <w:rStyle w:val="Emphasis"/>
        </w:rPr>
        <w:t>ocratic</w:t>
      </w:r>
      <w:r w:rsidRPr="008660F9">
        <w:rPr>
          <w:rStyle w:val="Emphasis"/>
          <w:highlight w:val="cyan"/>
        </w:rPr>
        <w:t xml:space="preserve"> peace."</w:t>
      </w:r>
      <w:r w:rsidRPr="008E2527">
        <w:rPr>
          <w:u w:val="single"/>
        </w:rPr>
        <w:t xml:space="preserve"> </w:t>
      </w:r>
      <w:r w:rsidRPr="00983A5F">
        <w:rPr>
          <w:sz w:val="10"/>
        </w:rPr>
        <w:t>In addition, a model developed with this new technique was found to predict international conflict five and even ten years in the future better than any existing model. Democratic peace is the widely held theory that democracies are less likely to go to war against each other than countries with other types of government. In the new study, researchers found that economic trade relationships and participation in international governmental organizations play a strong role in keeping the peace among countries. But democracy? Not so much. "That's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 "</w:t>
      </w:r>
      <w:r w:rsidRPr="00983A5F">
        <w:rPr>
          <w:sz w:val="10"/>
          <w:szCs w:val="16"/>
        </w:rPr>
        <w:t xml:space="preserve">There's been empirical research supporting this theory for the past 50 years. </w:t>
      </w:r>
      <w:r w:rsidRPr="00983A5F">
        <w:rPr>
          <w:rStyle w:val="StyleUnderline"/>
        </w:rPr>
        <w:t>Even U.S. presidents have touted the value of a democratic peace, but it doesn't seem to hold up</w:t>
      </w:r>
      <w:r w:rsidRPr="00983A5F">
        <w:rPr>
          <w:sz w:val="10"/>
        </w:rPr>
        <w:t xml:space="preserve">, at least the way we looked at it." The study appears this week in the Proceedings of the National Academy of Sciences. Cranmer's co-authors are Elizabeth Menninga, assistant professor of political science at the University of Iowa and recent Ph.D. graduate in political science at the University of North Carolina at Chapel Hill; and Peter Mucha, professor of mathematics in the College of Arts and Sciences at UNC-Chapel Hill. </w:t>
      </w:r>
      <w:r w:rsidRPr="008E2527">
        <w:rPr>
          <w:u w:val="single"/>
        </w:rPr>
        <w:t xml:space="preserve">Along with casting doubt on democratic peace theory, </w:t>
      </w:r>
      <w:r w:rsidRPr="008660F9">
        <w:rPr>
          <w:highlight w:val="cyan"/>
          <w:u w:val="single"/>
        </w:rPr>
        <w:t>the study</w:t>
      </w:r>
      <w:r w:rsidRPr="008E2527">
        <w:rPr>
          <w:u w:val="single"/>
        </w:rPr>
        <w:t xml:space="preserve"> also </w:t>
      </w:r>
      <w:r w:rsidRPr="008660F9">
        <w:rPr>
          <w:highlight w:val="cyan"/>
          <w:u w:val="single"/>
        </w:rPr>
        <w:t xml:space="preserve">developed a new way to </w:t>
      </w:r>
      <w:r w:rsidRPr="008660F9">
        <w:rPr>
          <w:b/>
          <w:highlight w:val="cyan"/>
          <w:u w:val="single"/>
        </w:rPr>
        <w:t>predict</w:t>
      </w:r>
      <w:r w:rsidRPr="008E2527">
        <w:rPr>
          <w:b/>
          <w:u w:val="single"/>
        </w:rPr>
        <w:t xml:space="preserve"> levels</w:t>
      </w:r>
      <w:r w:rsidRPr="008E2527">
        <w:rPr>
          <w:u w:val="single"/>
        </w:rPr>
        <w:t xml:space="preserve"> of international </w:t>
      </w:r>
      <w:r w:rsidRPr="008660F9">
        <w:rPr>
          <w:highlight w:val="cyan"/>
          <w:u w:val="single"/>
        </w:rPr>
        <w:t>conflict</w:t>
      </w:r>
      <w:r w:rsidRPr="008E2527">
        <w:rPr>
          <w:u w:val="single"/>
        </w:rPr>
        <w:t xml:space="preserve"> that is </w:t>
      </w:r>
      <w:r w:rsidRPr="008660F9">
        <w:rPr>
          <w:b/>
          <w:highlight w:val="cyan"/>
          <w:u w:val="single"/>
        </w:rPr>
        <w:t>more accurate than any previous model</w:t>
      </w:r>
      <w:r w:rsidRPr="00983A5F">
        <w:rPr>
          <w:sz w:val="10"/>
        </w:rPr>
        <w:t xml:space="preserve">. </w:t>
      </w:r>
      <w:r w:rsidRPr="00983A5F">
        <w:rPr>
          <w:rStyle w:val="Emphasis"/>
        </w:rPr>
        <w:t>The researchers used a new technique to examine all violent conflicts between countries during the period of 1948 to 2000</w:t>
      </w:r>
      <w:r w:rsidRPr="00983A5F">
        <w:rPr>
          <w:rStyle w:val="StyleUnderline"/>
        </w:rPr>
        <w:t>. The result was a model of international conflict that was 47 percent better than the standard model at predicting the level of worldwide conflict five and even 10 years into the future. "The</w:t>
      </w:r>
      <w:r w:rsidRPr="00983A5F">
        <w:rPr>
          <w:sz w:val="10"/>
        </w:rPr>
        <w:t xml:space="preserve"> Department of Defense needs to know at least that far in advance what the world situation is going to be like, because it can't react in a year to changes in levels of conflict due to bureaucratic inertia and its longer funding cycle," Cranmer said. "Being able to have a sense of the global climate in five or 10 years would be extremely helpful from a policy and planning perspective</w:t>
      </w:r>
      <w:r w:rsidRPr="00983A5F">
        <w:rPr>
          <w:rStyle w:val="StyleUnderline"/>
        </w:rPr>
        <w:t>." The researchers started the study with a famous idea posed by the philosopher Immanuel Kant back in 1795: that the world could enjoy a "perpetual peace" if countries would become more interconnected in three ways. The</w:t>
      </w:r>
      <w:r w:rsidRPr="00983A5F">
        <w:rPr>
          <w:sz w:val="10"/>
        </w:rPr>
        <w:t xml:space="preserve"> modern interpretation of those three ways is: Through the spread of democratic states, more economic interdependence through trade, and more joint membership in international governmental organizations, or IGOs. (Modern examples range from regional agricultural organizations to the European Union and NATO.) Many studies have looked at how these three elements, either together or separately, affect conflict between countries. But even when they were considered together, the impact of the three individual factors were considered additively. </w:t>
      </w:r>
      <w:r w:rsidRPr="008660F9">
        <w:rPr>
          <w:rStyle w:val="StyleUnderline"/>
          <w:highlight w:val="cyan"/>
        </w:rPr>
        <w:t>What makes this</w:t>
      </w:r>
      <w:r w:rsidRPr="00983A5F">
        <w:rPr>
          <w:rStyle w:val="StyleUnderline"/>
        </w:rPr>
        <w:t xml:space="preserve"> study </w:t>
      </w:r>
      <w:r w:rsidRPr="008660F9">
        <w:rPr>
          <w:rStyle w:val="StyleUnderline"/>
          <w:highlight w:val="cyan"/>
        </w:rPr>
        <w:t>unique is that</w:t>
      </w:r>
      <w:r w:rsidRPr="00983A5F">
        <w:rPr>
          <w:rStyle w:val="StyleUnderline"/>
        </w:rPr>
        <w:t xml:space="preserve"> the </w:t>
      </w:r>
      <w:r w:rsidRPr="008660F9">
        <w:rPr>
          <w:rStyle w:val="StyleUnderline"/>
          <w:highlight w:val="cyan"/>
        </w:rPr>
        <w:t>researchers were the first to use a</w:t>
      </w:r>
      <w:r w:rsidRPr="00983A5F">
        <w:rPr>
          <w:rStyle w:val="StyleUnderline"/>
        </w:rPr>
        <w:t xml:space="preserve"> new </w:t>
      </w:r>
      <w:r w:rsidRPr="008660F9">
        <w:rPr>
          <w:rStyle w:val="StyleUnderline"/>
          <w:highlight w:val="cyan"/>
        </w:rPr>
        <w:t>statistical measure</w:t>
      </w:r>
      <w:r w:rsidRPr="00983A5F">
        <w:rPr>
          <w:rStyle w:val="StyleUnderline"/>
        </w:rPr>
        <w:t xml:space="preserve"> developed by Mucha - called multislice community detection—</w:t>
      </w:r>
      <w:r w:rsidRPr="008660F9">
        <w:rPr>
          <w:rStyle w:val="StyleUnderline"/>
          <w:highlight w:val="cyan"/>
        </w:rPr>
        <w:t>to analyze all</w:t>
      </w:r>
      <w:r w:rsidRPr="00983A5F">
        <w:rPr>
          <w:rStyle w:val="StyleUnderline"/>
        </w:rPr>
        <w:t xml:space="preserve"> three of these </w:t>
      </w:r>
      <w:r w:rsidRPr="008660F9">
        <w:rPr>
          <w:rStyle w:val="StyleUnderline"/>
          <w:highlight w:val="cyan"/>
        </w:rPr>
        <w:t>components</w:t>
      </w:r>
      <w:r w:rsidRPr="00983A5F">
        <w:rPr>
          <w:rStyle w:val="StyleUnderline"/>
        </w:rPr>
        <w:t xml:space="preserve"> collectively. They were able to examine, for the first time, how each component was related to each other</w:t>
      </w:r>
      <w:r w:rsidRPr="00983A5F">
        <w:rPr>
          <w:sz w:val="10"/>
          <w:szCs w:val="16"/>
        </w:rPr>
        <w:t xml:space="preserve">. For example, how membership in IGOs affected trade agreements between counties, and vice versa. </w:t>
      </w:r>
      <w:r w:rsidRPr="00983A5F">
        <w:rPr>
          <w:rStyle w:val="StyleUnderline"/>
        </w:rPr>
        <w:t>"When we looked at these networks holistically, we found communities of countries that are similar not only in terms of their IGO memberships, or trade agreements, or in their democratic governments, but in terms of all these three elements together,"</w:t>
      </w:r>
      <w:r w:rsidRPr="00983A5F">
        <w:rPr>
          <w:sz w:val="10"/>
        </w:rPr>
        <w:t xml:space="preserve"> Cranmer said. The separation between such communities in the world is what the researchers called "Kantian Fractionalization." "You might think of it as the number of cliques the world is split up into and how easy it is to isolate those cliques from one another," Cranmer said. But the deeper the separation between communities or cliques there are in the world at one time, the more dangerous the world becomes. </w:t>
      </w:r>
      <w:r w:rsidRPr="00983A5F">
        <w:rPr>
          <w:rStyle w:val="StyleUnderline"/>
        </w:rPr>
        <w:t xml:space="preserve">By measuring these communities in the world at one specific time, the </w:t>
      </w:r>
      <w:r w:rsidRPr="008660F9">
        <w:rPr>
          <w:rStyle w:val="StyleUnderline"/>
          <w:highlight w:val="cyan"/>
        </w:rPr>
        <w:t>researchers could predict with better accuracy than ever</w:t>
      </w:r>
      <w:r w:rsidRPr="00983A5F">
        <w:rPr>
          <w:rStyle w:val="StyleUnderline"/>
        </w:rPr>
        <w:t xml:space="preserve"> before </w:t>
      </w:r>
      <w:r w:rsidRPr="008660F9">
        <w:rPr>
          <w:rStyle w:val="Emphasis"/>
          <w:highlight w:val="cyan"/>
        </w:rPr>
        <w:t>how many violent conflicts would occur</w:t>
      </w:r>
      <w:r w:rsidRPr="00983A5F">
        <w:rPr>
          <w:rStyle w:val="StyleUnderline"/>
        </w:rPr>
        <w:t xml:space="preserve"> in one, 5 or 10 years in the future</w:t>
      </w:r>
      <w:r w:rsidRPr="00983A5F">
        <w:rPr>
          <w:sz w:val="10"/>
        </w:rPr>
        <w:t>. This study had a broad definition of conflict: any military skirmish where one country deliberately kills a member of another country</w:t>
      </w:r>
      <w:r w:rsidRPr="00983A5F">
        <w:rPr>
          <w:rStyle w:val="StyleUnderline"/>
        </w:rPr>
        <w:t>. Many of the conflicts in this study were relatively small, but it also includes major wars.</w:t>
      </w:r>
      <w:r w:rsidRPr="00983A5F">
        <w:rPr>
          <w:sz w:val="10"/>
        </w:rPr>
        <w:t xml:space="preserve"> Predicting one year into the future, this new model was 13 percent better than the standard model at predicting levels of worldwide conflict. But it was 47 percent better at predicting conflict 5 and 10 years into the future. "We measured how fragile these networks are to breaking up into communities," Mucha said. "Remarkably, that fragility in a mathematical sense has a clear political consequence in terms of increased conflict." The linear relationship between higher levels of Kantian fractionalization and more future conflict was so strong that Cranmer couldn't believe it at first. "</w:t>
      </w:r>
      <w:r w:rsidRPr="00983A5F">
        <w:rPr>
          <w:sz w:val="10"/>
          <w:szCs w:val="16"/>
        </w:rPr>
        <w:t xml:space="preserve">I threw up my hands in frustration when I first saw the results. </w:t>
      </w:r>
      <w:r w:rsidRPr="00983A5F">
        <w:rPr>
          <w:rStyle w:val="StyleUnderline"/>
        </w:rPr>
        <w:t xml:space="preserve">I thought we surely must have made a mistake because </w:t>
      </w:r>
      <w:r w:rsidRPr="008660F9">
        <w:rPr>
          <w:rStyle w:val="StyleUnderline"/>
          <w:highlight w:val="cyan"/>
        </w:rPr>
        <w:t xml:space="preserve">you </w:t>
      </w:r>
      <w:r w:rsidRPr="00983A5F">
        <w:rPr>
          <w:rStyle w:val="StyleUnderline"/>
        </w:rPr>
        <w:t xml:space="preserve">almost </w:t>
      </w:r>
      <w:r w:rsidRPr="008660F9">
        <w:rPr>
          <w:rStyle w:val="StyleUnderline"/>
          <w:highlight w:val="cyan"/>
        </w:rPr>
        <w:t>never see the</w:t>
      </w:r>
      <w:r w:rsidRPr="00983A5F">
        <w:rPr>
          <w:rStyle w:val="StyleUnderline"/>
        </w:rPr>
        <w:t xml:space="preserve"> kind of </w:t>
      </w:r>
      <w:r w:rsidRPr="008660F9">
        <w:rPr>
          <w:rStyle w:val="Emphasis"/>
          <w:highlight w:val="cyan"/>
        </w:rPr>
        <w:t>clean, linear relationship</w:t>
      </w:r>
      <w:r w:rsidRPr="00983A5F">
        <w:rPr>
          <w:rStyle w:val="StyleUnderline"/>
        </w:rPr>
        <w:t xml:space="preserve"> that we found outside of textbooks," Cranmer said. "But we confirmed that there is this strong relationship."</w:t>
      </w:r>
    </w:p>
    <w:p w14:paraId="20229785" w14:textId="77777777" w:rsidR="00BC2E1A" w:rsidRDefault="00BC2E1A" w:rsidP="00B946C4"/>
    <w:p w14:paraId="3E35AAE6" w14:textId="77777777" w:rsidR="00BC2E1A" w:rsidRDefault="00BC2E1A" w:rsidP="00B946C4"/>
    <w:p w14:paraId="02DB7568" w14:textId="77777777" w:rsidR="00BC2E1A" w:rsidRDefault="00BC2E1A" w:rsidP="00BC2E1A">
      <w:pPr>
        <w:pStyle w:val="Heading4"/>
      </w:pPr>
      <w:r>
        <w:t xml:space="preserve">No disease I! </w:t>
      </w:r>
    </w:p>
    <w:p w14:paraId="3833C8E9" w14:textId="77777777" w:rsidR="00BC2E1A" w:rsidRPr="00D03179" w:rsidRDefault="00BC2E1A" w:rsidP="00BC2E1A">
      <w:r w:rsidRPr="00044ADF">
        <w:rPr>
          <w:rFonts w:eastAsiaTheme="majorEastAsia" w:cstheme="majorBidi"/>
          <w:b/>
          <w:iCs/>
          <w:sz w:val="26"/>
        </w:rPr>
        <w:t>Halstead 19</w:t>
      </w:r>
      <w:r w:rsidRPr="006936C7">
        <w:rPr>
          <w:rStyle w:val="Style13ptBold"/>
          <w:rFonts w:asciiTheme="minorHAnsi" w:hAnsiTheme="minorHAnsi" w:cstheme="minorHAnsi"/>
        </w:rPr>
        <w:t xml:space="preserve"> </w:t>
      </w:r>
      <w:r w:rsidRPr="00D03179">
        <w:t xml:space="preserve">[John Halstead, doctorate in political philosophy Cause Area Report: Existential Risk, Founders Pledge, </w:t>
      </w:r>
      <w:hyperlink r:id="rId22" w:history="1">
        <w:r w:rsidRPr="00D03179">
          <w:rPr>
            <w:rStyle w:val="Hyperlink"/>
          </w:rPr>
          <w:t>https://founderspledge.com/research/Cause%20Area%20Report%20-%20Existential%20Risk.pdf</w:t>
        </w:r>
      </w:hyperlink>
      <w:r w:rsidRPr="00D03179">
        <w:t xml:space="preserve">] [RL 21] </w:t>
      </w:r>
    </w:p>
    <w:p w14:paraId="35AF59FB" w14:textId="77777777" w:rsidR="00BC2E1A" w:rsidRPr="00D03179" w:rsidRDefault="00BC2E1A" w:rsidP="00BC2E1A">
      <w:pPr>
        <w:rPr>
          <w:rFonts w:asciiTheme="minorHAnsi" w:hAnsiTheme="minorHAnsi" w:cstheme="minorHAnsi"/>
          <w:sz w:val="12"/>
        </w:rPr>
      </w:pPr>
      <w:r w:rsidRPr="00D03179">
        <w:rPr>
          <w:rFonts w:asciiTheme="minorHAnsi" w:hAnsiTheme="minorHAnsi" w:cstheme="minorHAnsi"/>
          <w:sz w:val="12"/>
        </w:rPr>
        <w:t xml:space="preserve">However, there are some reasons to think that naturally occurring </w:t>
      </w:r>
      <w:r w:rsidRPr="00437F8C">
        <w:rPr>
          <w:rStyle w:val="StyleUnderline"/>
          <w:highlight w:val="cyan"/>
        </w:rPr>
        <w:t>pathogens are unlikely to cause</w:t>
      </w:r>
      <w:r w:rsidRPr="00437F8C">
        <w:rPr>
          <w:rStyle w:val="StyleUnderline"/>
        </w:rPr>
        <w:t xml:space="preserve"> human </w:t>
      </w:r>
      <w:r w:rsidRPr="00437F8C">
        <w:rPr>
          <w:rStyle w:val="StyleUnderline"/>
          <w:highlight w:val="cyan"/>
        </w:rPr>
        <w:t>extinction</w:t>
      </w:r>
      <w:r w:rsidRPr="00437F8C">
        <w:rPr>
          <w:rStyle w:val="StyleUnderline"/>
        </w:rPr>
        <w:t xml:space="preserve">. Firstly, Homo sapiens have been around for </w:t>
      </w:r>
      <w:r w:rsidRPr="00437F8C">
        <w:rPr>
          <w:rStyle w:val="StyleUnderline"/>
          <w:highlight w:val="cyan"/>
        </w:rPr>
        <w:t>200,000 years</w:t>
      </w:r>
      <w:r w:rsidRPr="00D03179">
        <w:rPr>
          <w:rFonts w:asciiTheme="minorHAnsi" w:hAnsiTheme="minorHAnsi" w:cstheme="minorHAnsi"/>
          <w:sz w:val="12"/>
        </w:rPr>
        <w:t xml:space="preserve"> and the Homo genus for around six million years </w:t>
      </w:r>
      <w:r w:rsidRPr="00C803E1">
        <w:rPr>
          <w:rStyle w:val="StyleUnderline"/>
          <w:rFonts w:asciiTheme="minorHAnsi" w:hAnsiTheme="minorHAnsi" w:cstheme="minorHAnsi"/>
          <w:highlight w:val="cyan"/>
        </w:rPr>
        <w:t>without</w:t>
      </w:r>
      <w:r w:rsidRPr="006936C7">
        <w:rPr>
          <w:rStyle w:val="StyleUnderline"/>
          <w:rFonts w:asciiTheme="minorHAnsi" w:hAnsiTheme="minorHAnsi" w:cstheme="minorHAnsi"/>
        </w:rPr>
        <w:t xml:space="preserve"> being </w:t>
      </w:r>
      <w:r w:rsidRPr="00C803E1">
        <w:rPr>
          <w:rStyle w:val="StyleUnderline"/>
          <w:rFonts w:asciiTheme="minorHAnsi" w:hAnsiTheme="minorHAnsi" w:cstheme="minorHAnsi"/>
          <w:highlight w:val="cyan"/>
        </w:rPr>
        <w:t>exterminated</w:t>
      </w:r>
      <w:r w:rsidRPr="006936C7">
        <w:rPr>
          <w:rStyle w:val="StyleUnderline"/>
          <w:rFonts w:asciiTheme="minorHAnsi" w:hAnsiTheme="minorHAnsi" w:cstheme="minorHAnsi"/>
        </w:rPr>
        <w:t xml:space="preserve"> by an infectious </w:t>
      </w:r>
      <w:r w:rsidRPr="00437F8C">
        <w:rPr>
          <w:rStyle w:val="StyleUnderline"/>
        </w:rPr>
        <w:t xml:space="preserve">disease, which </w:t>
      </w:r>
      <w:r w:rsidRPr="00437F8C">
        <w:rPr>
          <w:rStyle w:val="StyleUnderline"/>
          <w:highlight w:val="cyan"/>
        </w:rPr>
        <w:t>is evidence</w:t>
      </w:r>
      <w:r w:rsidRPr="00437F8C">
        <w:rPr>
          <w:rStyle w:val="StyleUnderline"/>
        </w:rPr>
        <w:t xml:space="preserve"> that </w:t>
      </w:r>
      <w:r w:rsidRPr="00437F8C">
        <w:rPr>
          <w:rStyle w:val="StyleUnderline"/>
          <w:highlight w:val="cyan"/>
        </w:rPr>
        <w:t>the</w:t>
      </w:r>
      <w:r w:rsidRPr="00437F8C">
        <w:rPr>
          <w:rStyle w:val="StyleUnderline"/>
        </w:rPr>
        <w:t xml:space="preserve"> base </w:t>
      </w:r>
      <w:r w:rsidRPr="00437F8C">
        <w:rPr>
          <w:rStyle w:val="StyleUnderline"/>
          <w:highlight w:val="cyan"/>
        </w:rPr>
        <w:t>rate</w:t>
      </w:r>
      <w:r w:rsidRPr="00437F8C">
        <w:rPr>
          <w:rStyle w:val="StyleUnderline"/>
        </w:rPr>
        <w:t xml:space="preserve"> of extinction-risk natural pathogens </w:t>
      </w:r>
      <w:r w:rsidRPr="00437F8C">
        <w:rPr>
          <w:rStyle w:val="StyleUnderline"/>
          <w:highlight w:val="cyan"/>
        </w:rPr>
        <w:t>is low</w:t>
      </w:r>
      <w:r w:rsidRPr="00437F8C">
        <w:rPr>
          <w:rStyle w:val="StyleUnderline"/>
        </w:rPr>
        <w:t xml:space="preserve">.82 Indeed, past disease </w:t>
      </w:r>
      <w:r w:rsidRPr="00437F8C">
        <w:rPr>
          <w:rStyle w:val="StyleUnderline"/>
          <w:highlight w:val="cyan"/>
        </w:rPr>
        <w:t>outbreaks have not come close</w:t>
      </w:r>
      <w:r w:rsidRPr="00D03179">
        <w:rPr>
          <w:rFonts w:asciiTheme="minorHAnsi" w:hAnsiTheme="minorHAnsi" w:cstheme="minorHAnsi"/>
          <w:sz w:val="12"/>
        </w:rPr>
        <w:t xml:space="preserve"> </w:t>
      </w:r>
      <w:r w:rsidRPr="006936C7">
        <w:rPr>
          <w:rStyle w:val="StyleUnderline"/>
          <w:rFonts w:asciiTheme="minorHAnsi" w:hAnsiTheme="minorHAnsi" w:cstheme="minorHAnsi"/>
        </w:rPr>
        <w:t>to rendering humans extinct</w:t>
      </w:r>
      <w:r w:rsidRPr="00D03179">
        <w:rPr>
          <w:rFonts w:asciiTheme="minorHAnsi" w:hAnsiTheme="minorHAnsi" w:cstheme="minorHAnsi"/>
          <w:sz w:val="12"/>
        </w:rPr>
        <w:t xml:space="preserve">. Although bodies were piled high in the streets across Europe during the Black Death,83 human extinction was never a serious possibility, and some </w:t>
      </w:r>
      <w:r w:rsidRPr="006936C7">
        <w:rPr>
          <w:rStyle w:val="StyleUnderline"/>
          <w:rFonts w:asciiTheme="minorHAnsi" w:hAnsiTheme="minorHAnsi" w:cstheme="minorHAnsi"/>
        </w:rPr>
        <w:t xml:space="preserve">economists </w:t>
      </w:r>
      <w:r w:rsidRPr="00C803E1">
        <w:rPr>
          <w:rStyle w:val="StyleUnderline"/>
          <w:rFonts w:asciiTheme="minorHAnsi" w:hAnsiTheme="minorHAnsi" w:cstheme="minorHAnsi"/>
          <w:highlight w:val="cyan"/>
        </w:rPr>
        <w:t>even</w:t>
      </w:r>
      <w:r w:rsidRPr="00130C74">
        <w:rPr>
          <w:rStyle w:val="StyleUnderline"/>
          <w:rFonts w:asciiTheme="minorHAnsi" w:hAnsiTheme="minorHAnsi" w:cstheme="minorHAnsi"/>
        </w:rPr>
        <w:t xml:space="preserve"> argue</w:t>
      </w:r>
      <w:r w:rsidRPr="00D03179">
        <w:rPr>
          <w:rFonts w:asciiTheme="minorHAnsi" w:hAnsiTheme="minorHAnsi" w:cstheme="minorHAnsi"/>
          <w:sz w:val="12"/>
        </w:rPr>
        <w:t xml:space="preserve"> that it was </w:t>
      </w:r>
      <w:r w:rsidRPr="00C803E1">
        <w:rPr>
          <w:rStyle w:val="StyleUnderline"/>
          <w:rFonts w:asciiTheme="minorHAnsi" w:hAnsiTheme="minorHAnsi" w:cstheme="minorHAnsi"/>
          <w:highlight w:val="cyan"/>
        </w:rPr>
        <w:t>a boon for the</w:t>
      </w:r>
      <w:r w:rsidRPr="00D03179">
        <w:rPr>
          <w:rFonts w:asciiTheme="minorHAnsi" w:hAnsiTheme="minorHAnsi" w:cstheme="minorHAnsi"/>
          <w:sz w:val="12"/>
        </w:rPr>
        <w:t xml:space="preserve"> European </w:t>
      </w:r>
      <w:r w:rsidRPr="00C803E1">
        <w:rPr>
          <w:rStyle w:val="StyleUnderline"/>
          <w:rFonts w:asciiTheme="minorHAnsi" w:hAnsiTheme="minorHAnsi" w:cstheme="minorHAnsi"/>
          <w:highlight w:val="cyan"/>
        </w:rPr>
        <w:t>economy</w:t>
      </w:r>
      <w:r w:rsidRPr="00D03179">
        <w:rPr>
          <w:rFonts w:asciiTheme="minorHAnsi" w:hAnsiTheme="minorHAnsi" w:cstheme="minorHAnsi"/>
          <w:sz w:val="12"/>
          <w:highlight w:val="cyan"/>
        </w:rPr>
        <w:t>.</w:t>
      </w:r>
      <w:r w:rsidRPr="00D03179">
        <w:rPr>
          <w:rFonts w:asciiTheme="minorHAnsi" w:hAnsiTheme="minorHAnsi" w:cstheme="minorHAnsi"/>
          <w:sz w:val="12"/>
        </w:rPr>
        <w:t xml:space="preserve">84 Secondly, </w:t>
      </w:r>
      <w:r w:rsidRPr="006936C7">
        <w:rPr>
          <w:rStyle w:val="StyleUnderline"/>
          <w:rFonts w:asciiTheme="minorHAnsi" w:hAnsiTheme="minorHAnsi" w:cstheme="minorHAnsi"/>
        </w:rPr>
        <w:t xml:space="preserve">infectious </w:t>
      </w:r>
      <w:r w:rsidRPr="00C803E1">
        <w:rPr>
          <w:rStyle w:val="StyleUnderline"/>
          <w:rFonts w:asciiTheme="minorHAnsi" w:hAnsiTheme="minorHAnsi" w:cstheme="minorHAnsi"/>
          <w:highlight w:val="cyan"/>
        </w:rPr>
        <w:t>disease</w:t>
      </w:r>
      <w:r w:rsidRPr="00D03179">
        <w:rPr>
          <w:rFonts w:asciiTheme="minorHAnsi" w:hAnsiTheme="minorHAnsi" w:cstheme="minorHAnsi"/>
          <w:sz w:val="12"/>
        </w:rPr>
        <w:t xml:space="preserve"> has </w:t>
      </w:r>
      <w:r w:rsidRPr="006936C7">
        <w:rPr>
          <w:rStyle w:val="StyleUnderline"/>
          <w:rFonts w:asciiTheme="minorHAnsi" w:hAnsiTheme="minorHAnsi" w:cstheme="minorHAnsi"/>
        </w:rPr>
        <w:t xml:space="preserve">only </w:t>
      </w:r>
      <w:r w:rsidRPr="00C803E1">
        <w:rPr>
          <w:rStyle w:val="StyleUnderline"/>
          <w:rFonts w:asciiTheme="minorHAnsi" w:hAnsiTheme="minorHAnsi" w:cstheme="minorHAnsi"/>
          <w:highlight w:val="cyan"/>
        </w:rPr>
        <w:t>contributed to</w:t>
      </w:r>
      <w:r w:rsidRPr="006936C7">
        <w:rPr>
          <w:rStyle w:val="StyleUnderline"/>
          <w:rFonts w:asciiTheme="minorHAnsi" w:hAnsiTheme="minorHAnsi" w:cstheme="minorHAnsi"/>
        </w:rPr>
        <w:t xml:space="preserve"> the </w:t>
      </w:r>
      <w:r w:rsidRPr="00C803E1">
        <w:rPr>
          <w:rStyle w:val="StyleUnderline"/>
          <w:rFonts w:asciiTheme="minorHAnsi" w:hAnsiTheme="minorHAnsi" w:cstheme="minorHAnsi"/>
          <w:highlight w:val="cyan"/>
        </w:rPr>
        <w:t>extinction of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small </w:t>
      </w:r>
      <w:r w:rsidRPr="00C803E1">
        <w:rPr>
          <w:rStyle w:val="Emphasis"/>
          <w:rFonts w:asciiTheme="minorHAnsi" w:hAnsiTheme="minorHAnsi" w:cstheme="minorHAnsi"/>
          <w:highlight w:val="cyan"/>
        </w:rPr>
        <w:t>minority</w:t>
      </w:r>
      <w:r w:rsidRPr="006936C7">
        <w:rPr>
          <w:rStyle w:val="Emphasis"/>
          <w:rFonts w:asciiTheme="minorHAnsi" w:hAnsiTheme="minorHAnsi" w:cstheme="minorHAnsi"/>
        </w:rPr>
        <w:t xml:space="preserve"> of animal species</w:t>
      </w:r>
      <w:r w:rsidRPr="00D03179">
        <w:rPr>
          <w:rFonts w:asciiTheme="minorHAnsi" w:hAnsiTheme="minorHAnsi" w:cstheme="minorHAnsi"/>
          <w:sz w:val="12"/>
        </w:rPr>
        <w:t xml:space="preserve">.85 </w:t>
      </w:r>
      <w:r w:rsidRPr="006936C7">
        <w:rPr>
          <w:rStyle w:val="StyleUnderline"/>
          <w:rFonts w:asciiTheme="minorHAnsi" w:hAnsiTheme="minorHAnsi" w:cstheme="minorHAnsi"/>
        </w:rPr>
        <w:t xml:space="preserve">The </w:t>
      </w:r>
      <w:r w:rsidRPr="00C803E1">
        <w:rPr>
          <w:rStyle w:val="StyleUnderline"/>
          <w:rFonts w:asciiTheme="minorHAnsi" w:hAnsiTheme="minorHAnsi" w:cstheme="minorHAnsi"/>
          <w:highlight w:val="cyan"/>
        </w:rPr>
        <w:t xml:space="preserve">only confirmed </w:t>
      </w:r>
      <w:r w:rsidRPr="00130C74">
        <w:rPr>
          <w:rStyle w:val="StyleUnderline"/>
          <w:highlight w:val="cyan"/>
        </w:rPr>
        <w:t>case of</w:t>
      </w:r>
      <w:r w:rsidRPr="00130C74">
        <w:rPr>
          <w:rStyle w:val="StyleUnderline"/>
        </w:rPr>
        <w:t xml:space="preserve"> a </w:t>
      </w:r>
      <w:r w:rsidRPr="00130C74">
        <w:rPr>
          <w:rStyle w:val="StyleUnderline"/>
          <w:highlight w:val="cyan"/>
        </w:rPr>
        <w:t>mammalian</w:t>
      </w:r>
      <w:r w:rsidRPr="00130C74">
        <w:rPr>
          <w:rStyle w:val="StyleUnderline"/>
        </w:rPr>
        <w:t xml:space="preserve"> species </w:t>
      </w:r>
      <w:r w:rsidRPr="00130C74">
        <w:rPr>
          <w:rStyle w:val="StyleUnderline"/>
          <w:highlight w:val="cyan"/>
        </w:rPr>
        <w:t>extinction</w:t>
      </w:r>
      <w:r w:rsidRPr="00D03179">
        <w:rPr>
          <w:rFonts w:asciiTheme="minorHAnsi" w:hAnsiTheme="minorHAnsi" w:cstheme="minorHAnsi"/>
          <w:sz w:val="12"/>
        </w:rPr>
        <w:t xml:space="preserve"> being caused by an infectious disease </w:t>
      </w:r>
      <w:r w:rsidRPr="00C803E1">
        <w:rPr>
          <w:rStyle w:val="StyleUnderline"/>
          <w:rFonts w:asciiTheme="minorHAnsi" w:hAnsiTheme="minorHAnsi" w:cstheme="minorHAnsi"/>
          <w:highlight w:val="cyan"/>
        </w:rPr>
        <w:t xml:space="preserve">is </w:t>
      </w:r>
      <w:r w:rsidRPr="00C803E1">
        <w:rPr>
          <w:rStyle w:val="Emphasis"/>
          <w:rFonts w:asciiTheme="minorHAnsi" w:hAnsiTheme="minorHAnsi" w:cstheme="minorHAnsi"/>
          <w:highlight w:val="cyan"/>
        </w:rPr>
        <w:t>a</w:t>
      </w:r>
      <w:r w:rsidRPr="006936C7">
        <w:rPr>
          <w:rStyle w:val="Emphasis"/>
          <w:rFonts w:asciiTheme="minorHAnsi" w:hAnsiTheme="minorHAnsi" w:cstheme="minorHAnsi"/>
        </w:rPr>
        <w:t xml:space="preserve"> type of </w:t>
      </w:r>
      <w:r w:rsidRPr="00C803E1">
        <w:rPr>
          <w:rStyle w:val="Emphasis"/>
          <w:rFonts w:asciiTheme="minorHAnsi" w:hAnsiTheme="minorHAnsi" w:cstheme="minorHAnsi"/>
          <w:highlight w:val="cyan"/>
        </w:rPr>
        <w:t>rat</w:t>
      </w:r>
      <w:r w:rsidRPr="00C803E1">
        <w:rPr>
          <w:rStyle w:val="StyleUnderline"/>
          <w:rFonts w:asciiTheme="minorHAnsi" w:hAnsiTheme="minorHAnsi" w:cstheme="minorHAnsi"/>
          <w:highlight w:val="cyan"/>
        </w:rPr>
        <w:t xml:space="preserve"> native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only </w:t>
      </w:r>
      <w:r w:rsidRPr="00C803E1">
        <w:rPr>
          <w:rStyle w:val="Emphasis"/>
          <w:rFonts w:asciiTheme="minorHAnsi" w:hAnsiTheme="minorHAnsi" w:cstheme="minorHAnsi"/>
          <w:highlight w:val="cyan"/>
        </w:rPr>
        <w:t>to Christmas Island</w:t>
      </w:r>
      <w:r w:rsidRPr="00D03179">
        <w:rPr>
          <w:rFonts w:asciiTheme="minorHAnsi" w:hAnsiTheme="minorHAnsi" w:cstheme="minorHAnsi"/>
          <w:sz w:val="12"/>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C803E1">
        <w:rPr>
          <w:rStyle w:val="StyleUnderline"/>
          <w:rFonts w:asciiTheme="minorHAnsi" w:hAnsiTheme="minorHAnsi" w:cstheme="minorHAnsi"/>
          <w:highlight w:val="cyan"/>
        </w:rPr>
        <w:t>interconnectedness could</w:t>
      </w:r>
      <w:r w:rsidRPr="00D03179">
        <w:rPr>
          <w:rFonts w:asciiTheme="minorHAnsi" w:hAnsiTheme="minorHAnsi" w:cstheme="minorHAnsi"/>
          <w:sz w:val="12"/>
        </w:rPr>
        <w:t xml:space="preserve"> also </w:t>
      </w:r>
      <w:r w:rsidRPr="00C803E1">
        <w:rPr>
          <w:rStyle w:val="Emphasis"/>
          <w:rFonts w:asciiTheme="minorHAnsi" w:hAnsiTheme="minorHAnsi" w:cstheme="minorHAnsi"/>
          <w:highlight w:val="cyan"/>
        </w:rPr>
        <w:t>increase immunity</w:t>
      </w:r>
      <w:r w:rsidRPr="006936C7">
        <w:rPr>
          <w:rStyle w:val="StyleUnderline"/>
          <w:rFonts w:asciiTheme="minorHAnsi" w:hAnsiTheme="minorHAnsi" w:cstheme="minorHAnsi"/>
        </w:rPr>
        <w:t xml:space="preserve"> by </w:t>
      </w:r>
      <w:r w:rsidRPr="00130C74">
        <w:rPr>
          <w:rStyle w:val="Emphasis"/>
          <w:highlight w:val="cyan"/>
        </w:rPr>
        <w:t>increasing exposure</w:t>
      </w:r>
      <w:r w:rsidRPr="00C803E1">
        <w:rPr>
          <w:rStyle w:val="StyleUnderline"/>
          <w:rFonts w:asciiTheme="minorHAnsi" w:hAnsiTheme="minorHAnsi" w:cstheme="minorHAnsi"/>
          <w:highlight w:val="cyan"/>
        </w:rPr>
        <w:t xml:space="preserve"> to </w:t>
      </w:r>
      <w:r w:rsidRPr="00C803E1">
        <w:rPr>
          <w:rStyle w:val="Emphasis"/>
          <w:rFonts w:asciiTheme="minorHAnsi" w:hAnsiTheme="minorHAnsi" w:cstheme="minorHAnsi"/>
          <w:highlight w:val="cyan"/>
        </w:rPr>
        <w:t>lower virulence strains</w:t>
      </w:r>
      <w:r w:rsidRPr="006936C7">
        <w:rPr>
          <w:rStyle w:val="Emphasis"/>
          <w:rFonts w:asciiTheme="minorHAnsi" w:hAnsiTheme="minorHAnsi" w:cstheme="minorHAnsi"/>
        </w:rPr>
        <w:t xml:space="preserve"> between subpopulations</w:t>
      </w:r>
      <w:r w:rsidRPr="00D03179">
        <w:rPr>
          <w:rFonts w:asciiTheme="minorHAnsi" w:hAnsiTheme="minorHAnsi" w:cstheme="minorHAnsi"/>
          <w:sz w:val="12"/>
        </w:rPr>
        <w:t xml:space="preserve">.87 Moreover, </w:t>
      </w:r>
      <w:r w:rsidRPr="00C803E1">
        <w:rPr>
          <w:rStyle w:val="StyleUnderline"/>
          <w:rFonts w:asciiTheme="minorHAnsi" w:hAnsiTheme="minorHAnsi" w:cstheme="minorHAnsi"/>
          <w:highlight w:val="cyan"/>
        </w:rPr>
        <w:t xml:space="preserve">advancements in </w:t>
      </w:r>
      <w:r w:rsidRPr="00C803E1">
        <w:rPr>
          <w:rStyle w:val="Emphasis"/>
          <w:rFonts w:asciiTheme="minorHAnsi" w:hAnsiTheme="minorHAnsi" w:cstheme="minorHAnsi"/>
          <w:highlight w:val="cyan"/>
        </w:rPr>
        <w:t>medicine</w:t>
      </w:r>
      <w:r w:rsidRPr="00C803E1">
        <w:rPr>
          <w:rStyle w:val="StyleUnderline"/>
          <w:rFonts w:asciiTheme="minorHAnsi" w:hAnsiTheme="minorHAnsi" w:cstheme="minorHAnsi"/>
          <w:highlight w:val="cyan"/>
        </w:rPr>
        <w:t xml:space="preserve"> and </w:t>
      </w:r>
      <w:r w:rsidRPr="00C803E1">
        <w:rPr>
          <w:rStyle w:val="Emphasis"/>
          <w:rFonts w:asciiTheme="minorHAnsi" w:hAnsiTheme="minorHAnsi" w:cstheme="minorHAnsi"/>
          <w:highlight w:val="cyan"/>
        </w:rPr>
        <w:t>sanitation</w:t>
      </w:r>
      <w:r w:rsidRPr="00C803E1">
        <w:rPr>
          <w:rStyle w:val="StyleUnderline"/>
          <w:rFonts w:asciiTheme="minorHAnsi" w:hAnsiTheme="minorHAnsi" w:cstheme="minorHAnsi"/>
          <w:highlight w:val="cyan"/>
        </w:rPr>
        <w:t xml:space="preserve"> limit the</w:t>
      </w:r>
      <w:r w:rsidRPr="00D03179">
        <w:rPr>
          <w:rFonts w:asciiTheme="minorHAnsi" w:hAnsiTheme="minorHAnsi" w:cstheme="minorHAnsi"/>
          <w:sz w:val="12"/>
        </w:rPr>
        <w:t xml:space="preserve"> potential </w:t>
      </w:r>
      <w:r w:rsidRPr="00C803E1">
        <w:rPr>
          <w:rStyle w:val="StyleUnderline"/>
          <w:rFonts w:asciiTheme="minorHAnsi" w:hAnsiTheme="minorHAnsi" w:cstheme="minorHAnsi"/>
          <w:highlight w:val="cyan"/>
        </w:rPr>
        <w:t>damage</w:t>
      </w:r>
      <w:r w:rsidRPr="00D03179">
        <w:rPr>
          <w:rFonts w:asciiTheme="minorHAnsi" w:hAnsiTheme="minorHAnsi" w:cstheme="minorHAnsi"/>
          <w:sz w:val="12"/>
        </w:rPr>
        <w:t xml:space="preserve"> an outbreak might do.</w:t>
      </w:r>
    </w:p>
    <w:p w14:paraId="7B54E4D3" w14:textId="77777777" w:rsidR="00BC2E1A" w:rsidRDefault="00BC2E1A" w:rsidP="00B946C4"/>
    <w:p w14:paraId="431E551B" w14:textId="77777777" w:rsidR="00BC2E1A" w:rsidRDefault="00BC2E1A" w:rsidP="00B946C4"/>
    <w:p w14:paraId="698A356F" w14:textId="77777777" w:rsidR="004B0B73" w:rsidRDefault="004B0B73" w:rsidP="004B0B73">
      <w:pPr>
        <w:pStyle w:val="Heading4"/>
        <w:spacing w:before="30" w:line="278" w:lineRule="atLeast"/>
        <w:rPr>
          <w:rFonts w:ascii="Times New Roman" w:hAnsi="Times New Roman" w:cs="Times New Roman"/>
          <w:szCs w:val="26"/>
        </w:rPr>
      </w:pPr>
      <w:r>
        <w:rPr>
          <w:szCs w:val="26"/>
        </w:rPr>
        <w:t>No pollution impact.</w:t>
      </w:r>
    </w:p>
    <w:p w14:paraId="7630C088" w14:textId="77777777" w:rsidR="004B0B73" w:rsidRDefault="004B0B73" w:rsidP="004B0B73">
      <w:pPr>
        <w:spacing w:after="120" w:line="235" w:lineRule="atLeast"/>
      </w:pPr>
      <w:r>
        <w:rPr>
          <w:b/>
          <w:bCs/>
          <w:sz w:val="26"/>
          <w:szCs w:val="26"/>
        </w:rPr>
        <w:t>Kareiva</w:t>
      </w:r>
      <w:r>
        <w:rPr>
          <w:rStyle w:val="apple-converted-space"/>
        </w:rPr>
        <w:t> </w:t>
      </w:r>
      <w:r>
        <w:rPr>
          <w:b/>
          <w:bCs/>
          <w:sz w:val="26"/>
          <w:szCs w:val="26"/>
        </w:rPr>
        <w:t>18</w:t>
      </w:r>
      <w:r>
        <w:rPr>
          <w:rStyle w:val="apple-converted-space"/>
        </w:rPr>
        <w:t> </w:t>
      </w:r>
      <w:r>
        <w:rPr>
          <w:b/>
          <w:bCs/>
          <w:sz w:val="26"/>
          <w:szCs w:val="26"/>
        </w:rPr>
        <w:t>(</w:t>
      </w:r>
      <w:r>
        <w:t>, P. and Carranza, V. (2018) 'Existential risk due to ecosystem collapse: Nature strikes back,' Futures, pp. 39–50. https://doi.org/10.1016/j.futures.2018.01.001. Peter Kareiva is the former director of the Institute of the Environment and Sustainability at UCLA, Pritzker Distinguished Professor in Environment &amp; Sustainability and Chair, Doctor of Environmental Science and Engineering program.)-rahulpenu</w:t>
      </w:r>
    </w:p>
    <w:p w14:paraId="4757201C" w14:textId="77777777" w:rsidR="004B0B73" w:rsidRDefault="004B0B73" w:rsidP="004B0B73">
      <w:pPr>
        <w:spacing w:line="235" w:lineRule="atLeast"/>
      </w:pPr>
      <w:r>
        <w:t>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w:t>
      </w:r>
      <w:r>
        <w:rPr>
          <w:rStyle w:val="apple-converted-space"/>
        </w:rPr>
        <w:t> </w:t>
      </w:r>
      <w:r>
        <w:rPr>
          <w:u w:val="single"/>
        </w:rPr>
        <w:t>Excessivechemical</w:t>
      </w:r>
      <w:r>
        <w:rPr>
          <w:rStyle w:val="apple-converted-space"/>
        </w:rPr>
        <w:t> </w:t>
      </w:r>
      <w:r>
        <w:rPr>
          <w:u w:val="single"/>
        </w:rPr>
        <w:t>pollution</w:t>
      </w:r>
      <w:r>
        <w:rPr>
          <w:rStyle w:val="apple-converted-space"/>
        </w:rPr>
        <w:t> </w:t>
      </w:r>
      <w:r>
        <w:t>and excessive atmospheric aerosol loading</w:t>
      </w:r>
      <w:r>
        <w:rPr>
          <w:rStyle w:val="apple-converted-space"/>
        </w:rPr>
        <w:t> </w:t>
      </w:r>
      <w:r>
        <w:rPr>
          <w:u w:val="single"/>
        </w:rPr>
        <w:t>have each been</w:t>
      </w:r>
      <w:r>
        <w:rPr>
          <w:rStyle w:val="apple-converted-space"/>
        </w:rPr>
        <w:t> </w:t>
      </w:r>
      <w:r>
        <w:rPr>
          <w:u w:val="single"/>
        </w:rPr>
        <w:t>suggested</w:t>
      </w:r>
      <w:r>
        <w:rPr>
          <w:rStyle w:val="apple-converted-space"/>
        </w:rPr>
        <w:t> </w:t>
      </w:r>
      <w:r>
        <w:rPr>
          <w:u w:val="single"/>
        </w:rPr>
        <w:t>as</w:t>
      </w:r>
      <w:r>
        <w:rPr>
          <w:rStyle w:val="apple-converted-space"/>
        </w:rPr>
        <w:t> </w:t>
      </w:r>
      <w:r>
        <w:rPr>
          <w:u w:val="single"/>
        </w:rPr>
        <w:t>planetary</w:t>
      </w:r>
      <w:r>
        <w:rPr>
          <w:rStyle w:val="apple-converted-space"/>
        </w:rPr>
        <w:t> </w:t>
      </w:r>
      <w:r>
        <w:rPr>
          <w:u w:val="single"/>
        </w:rPr>
        <w:t>boundaries</w:t>
      </w:r>
      <w:r>
        <w:rPr>
          <w:rStyle w:val="apple-converted-space"/>
        </w:rPr>
        <w:t> </w:t>
      </w:r>
      <w:r>
        <w:t>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w:t>
      </w:r>
      <w:r>
        <w:rPr>
          <w:rStyle w:val="apple-converted-space"/>
        </w:rPr>
        <w:t> </w:t>
      </w:r>
      <w:r>
        <w:rPr>
          <w:u w:val="single"/>
        </w:rPr>
        <w:t>it is</w:t>
      </w:r>
      <w:r>
        <w:rPr>
          <w:rStyle w:val="apple-converted-space"/>
        </w:rPr>
        <w:t> </w:t>
      </w:r>
      <w:r>
        <w:rPr>
          <w:u w:val="single"/>
          <w:shd w:val="clear" w:color="auto" w:fill="FFFF00"/>
        </w:rPr>
        <w:t>doubtful</w:t>
      </w:r>
      <w:r>
        <w:rPr>
          <w:rStyle w:val="apple-converted-space"/>
        </w:rPr>
        <w:t> </w:t>
      </w:r>
      <w:r>
        <w:rPr>
          <w:u w:val="single"/>
        </w:rPr>
        <w:t>that</w:t>
      </w:r>
      <w:r>
        <w:rPr>
          <w:rStyle w:val="apple-converted-space"/>
        </w:rPr>
        <w:t> </w:t>
      </w:r>
      <w:r>
        <w:rPr>
          <w:u w:val="single"/>
          <w:shd w:val="clear" w:color="auto" w:fill="FFFF00"/>
        </w:rPr>
        <w:t>we will</w:t>
      </w:r>
      <w:r>
        <w:rPr>
          <w:rStyle w:val="apple-converted-space"/>
        </w:rPr>
        <w:t> </w:t>
      </w:r>
      <w:r>
        <w:rPr>
          <w:u w:val="single"/>
          <w:shd w:val="clear" w:color="auto" w:fill="FFFF00"/>
        </w:rPr>
        <w:t>poison</w:t>
      </w:r>
      <w:r>
        <w:rPr>
          <w:rStyle w:val="apple-converted-space"/>
        </w:rPr>
        <w:t> </w:t>
      </w:r>
      <w:r>
        <w:rPr>
          <w:u w:val="single"/>
          <w:shd w:val="clear" w:color="auto" w:fill="FFFF00"/>
        </w:rPr>
        <w:t>ourselves</w:t>
      </w:r>
      <w:r>
        <w:rPr>
          <w:rStyle w:val="apple-converted-space"/>
        </w:rPr>
        <w:t> </w:t>
      </w:r>
      <w:r>
        <w:rPr>
          <w:u w:val="single"/>
          <w:shd w:val="clear" w:color="auto" w:fill="FFFF00"/>
        </w:rPr>
        <w:t>towards</w:t>
      </w:r>
      <w:r>
        <w:rPr>
          <w:rStyle w:val="apple-converted-space"/>
        </w:rPr>
        <w:t> </w:t>
      </w:r>
      <w:r>
        <w:rPr>
          <w:u w:val="single"/>
          <w:shd w:val="clear" w:color="auto" w:fill="FFFF00"/>
        </w:rPr>
        <w:t>extinction</w:t>
      </w:r>
      <w:r>
        <w:t>.</w:t>
      </w:r>
      <w:r>
        <w:rPr>
          <w:rStyle w:val="apple-converted-space"/>
        </w:rPr>
        <w:t> </w:t>
      </w:r>
      <w:r>
        <w:rPr>
          <w:u w:val="single"/>
          <w:shd w:val="clear" w:color="auto" w:fill="FFFF00"/>
        </w:rPr>
        <w:t>Data</w:t>
      </w:r>
      <w:r>
        <w:rPr>
          <w:rStyle w:val="apple-converted-space"/>
        </w:rPr>
        <w:t> </w:t>
      </w:r>
      <w:r>
        <w:rPr>
          <w:u w:val="single"/>
          <w:shd w:val="clear" w:color="auto" w:fill="FFFF00"/>
        </w:rPr>
        <w:t>show</w:t>
      </w:r>
      <w:r>
        <w:rPr>
          <w:rStyle w:val="apple-converted-space"/>
        </w:rPr>
        <w:t> </w:t>
      </w:r>
      <w:r>
        <w:rPr>
          <w:u w:val="single"/>
        </w:rPr>
        <w:t>that as</w:t>
      </w:r>
      <w:r>
        <w:rPr>
          <w:rStyle w:val="apple-converted-space"/>
        </w:rPr>
        <w:t> </w:t>
      </w:r>
      <w:r>
        <w:rPr>
          <w:u w:val="single"/>
          <w:shd w:val="clear" w:color="auto" w:fill="FFFF00"/>
        </w:rPr>
        <w:t>nations</w:t>
      </w:r>
      <w:r>
        <w:rPr>
          <w:rStyle w:val="apple-converted-space"/>
        </w:rPr>
        <w:t> </w:t>
      </w:r>
      <w:r>
        <w:rPr>
          <w:u w:val="single"/>
          <w:shd w:val="clear" w:color="auto" w:fill="FFFF00"/>
        </w:rPr>
        <w:t>develop</w:t>
      </w:r>
      <w:r>
        <w:rPr>
          <w:rStyle w:val="apple-converted-space"/>
        </w:rPr>
        <w:t> </w:t>
      </w:r>
      <w:r>
        <w:rPr>
          <w:u w:val="single"/>
        </w:rPr>
        <w:t>and increase their wealth</w:t>
      </w:r>
      <w:r>
        <w:t>,</w:t>
      </w:r>
      <w:r>
        <w:rPr>
          <w:rStyle w:val="apple-converted-space"/>
        </w:rPr>
        <w:t> </w:t>
      </w:r>
      <w:r>
        <w:rPr>
          <w:u w:val="single"/>
        </w:rPr>
        <w:t>they tend to</w:t>
      </w:r>
      <w:r>
        <w:rPr>
          <w:rStyle w:val="apple-converted-space"/>
        </w:rPr>
        <w:t> </w:t>
      </w:r>
      <w:r>
        <w:rPr>
          <w:u w:val="single"/>
          <w:shd w:val="clear" w:color="auto" w:fill="FFFF00"/>
        </w:rPr>
        <w:t>clean up</w:t>
      </w:r>
      <w:r>
        <w:rPr>
          <w:rStyle w:val="apple-converted-space"/>
        </w:rPr>
        <w:t> </w:t>
      </w:r>
      <w:r>
        <w:rPr>
          <w:u w:val="single"/>
        </w:rPr>
        <w:t>their air and water and</w:t>
      </w:r>
      <w:r>
        <w:rPr>
          <w:rStyle w:val="apple-converted-space"/>
        </w:rPr>
        <w:t> </w:t>
      </w:r>
      <w:r>
        <w:rPr>
          <w:u w:val="single"/>
          <w:shd w:val="clear" w:color="auto" w:fill="FFFF00"/>
        </w:rPr>
        <w:t>reduce</w:t>
      </w:r>
      <w:r>
        <w:rPr>
          <w:rStyle w:val="apple-converted-space"/>
        </w:rPr>
        <w:t> </w:t>
      </w:r>
      <w:r>
        <w:rPr>
          <w:u w:val="single"/>
        </w:rPr>
        <w:t>environmental</w:t>
      </w:r>
      <w:r>
        <w:rPr>
          <w:rStyle w:val="apple-converted-space"/>
        </w:rPr>
        <w:t> </w:t>
      </w:r>
      <w:r>
        <w:rPr>
          <w:u w:val="single"/>
          <w:shd w:val="clear" w:color="auto" w:fill="FFFF00"/>
        </w:rPr>
        <w:t>pollution</w:t>
      </w:r>
      <w:r>
        <w:rPr>
          <w:rStyle w:val="apple-converted-space"/>
        </w:rPr>
        <w:t> </w:t>
      </w:r>
      <w:r>
        <w:t>(Flörke et al., 2013; Hao &amp; Wang, 2005). In addition, as</w:t>
      </w:r>
      <w:r>
        <w:rPr>
          <w:rStyle w:val="apple-converted-space"/>
        </w:rPr>
        <w:t> </w:t>
      </w:r>
      <w:r>
        <w:rPr>
          <w:u w:val="single"/>
        </w:rPr>
        <w:t>economies</w:t>
      </w:r>
      <w:r>
        <w:rPr>
          <w:rStyle w:val="apple-converted-space"/>
        </w:rPr>
        <w:t> </w:t>
      </w:r>
      <w:r>
        <w:rPr>
          <w:u w:val="single"/>
        </w:rPr>
        <w:t>become more</w:t>
      </w:r>
      <w:r>
        <w:rPr>
          <w:rStyle w:val="apple-converted-space"/>
        </w:rPr>
        <w:t> </w:t>
      </w:r>
      <w:r>
        <w:rPr>
          <w:u w:val="single"/>
        </w:rPr>
        <w:t>circular</w:t>
      </w:r>
      <w:r>
        <w:rPr>
          <w:rStyle w:val="apple-converted-space"/>
        </w:rPr>
        <w:t> </w:t>
      </w:r>
      <w:r>
        <w:t>(see Mathews &amp; Tan, 2016),</w:t>
      </w:r>
      <w:r>
        <w:rPr>
          <w:rStyle w:val="apple-converted-space"/>
        </w:rPr>
        <w:t> </w:t>
      </w:r>
      <w:r>
        <w:rPr>
          <w:u w:val="single"/>
        </w:rPr>
        <w:t>environmental</w:t>
      </w:r>
      <w:r>
        <w:rPr>
          <w:rStyle w:val="apple-converted-space"/>
        </w:rPr>
        <w:t> </w:t>
      </w:r>
      <w:r>
        <w:rPr>
          <w:u w:val="single"/>
          <w:shd w:val="clear" w:color="auto" w:fill="FFFF00"/>
        </w:rPr>
        <w:t>damage</w:t>
      </w:r>
      <w:r>
        <w:rPr>
          <w:rStyle w:val="apple-converted-space"/>
        </w:rPr>
        <w:t> </w:t>
      </w:r>
      <w:r>
        <w:rPr>
          <w:u w:val="single"/>
          <w:shd w:val="clear" w:color="auto" w:fill="FFFF00"/>
        </w:rPr>
        <w:t>due</w:t>
      </w:r>
      <w:r>
        <w:rPr>
          <w:rStyle w:val="apple-converted-space"/>
        </w:rPr>
        <w:t> </w:t>
      </w:r>
      <w:r>
        <w:rPr>
          <w:u w:val="single"/>
          <w:shd w:val="clear" w:color="auto" w:fill="FFFF00"/>
        </w:rPr>
        <w:t>to</w:t>
      </w:r>
      <w:r>
        <w:rPr>
          <w:rStyle w:val="apple-converted-space"/>
        </w:rPr>
        <w:t> </w:t>
      </w:r>
      <w:r>
        <w:rPr>
          <w:u w:val="single"/>
          <w:shd w:val="clear" w:color="auto" w:fill="FFFF00"/>
        </w:rPr>
        <w:t>waste</w:t>
      </w:r>
      <w:r>
        <w:rPr>
          <w:rStyle w:val="apple-converted-space"/>
        </w:rPr>
        <w:t> </w:t>
      </w:r>
      <w:r>
        <w:rPr>
          <w:u w:val="single"/>
        </w:rPr>
        <w:t>products is</w:t>
      </w:r>
      <w:r>
        <w:rPr>
          <w:rStyle w:val="apple-converted-space"/>
        </w:rPr>
        <w:t> </w:t>
      </w:r>
      <w:r>
        <w:rPr>
          <w:u w:val="single"/>
          <w:shd w:val="clear" w:color="auto" w:fill="FFFF00"/>
        </w:rPr>
        <w:t>likely</w:t>
      </w:r>
      <w:r>
        <w:rPr>
          <w:rStyle w:val="apple-converted-space"/>
        </w:rPr>
        <w:t> </w:t>
      </w:r>
      <w:r>
        <w:rPr>
          <w:u w:val="single"/>
          <w:shd w:val="clear" w:color="auto" w:fill="FFFF00"/>
        </w:rPr>
        <w:t>to decline</w:t>
      </w:r>
      <w:r>
        <w:t>. The key point is that the pollutants associated with the planetary boundaries are so widely recognized, and the</w:t>
      </w:r>
      <w:r>
        <w:rPr>
          <w:rStyle w:val="apple-converted-space"/>
        </w:rPr>
        <w:t> </w:t>
      </w:r>
      <w:r>
        <w:rPr>
          <w:u w:val="single"/>
        </w:rPr>
        <w:t>consequences of local toxic</w:t>
      </w:r>
      <w:r>
        <w:rPr>
          <w:rStyle w:val="apple-converted-space"/>
        </w:rPr>
        <w:t> </w:t>
      </w:r>
      <w:r>
        <w:rPr>
          <w:u w:val="single"/>
        </w:rPr>
        <w:t>events are so immediate</w:t>
      </w:r>
      <w:r>
        <w:t>,</w:t>
      </w:r>
      <w:r>
        <w:rPr>
          <w:rStyle w:val="apple-converted-space"/>
        </w:rPr>
        <w:t> </w:t>
      </w:r>
      <w:r>
        <w:rPr>
          <w:u w:val="single"/>
        </w:rPr>
        <w:t>that it is</w:t>
      </w:r>
      <w:r>
        <w:rPr>
          <w:rStyle w:val="apple-converted-space"/>
        </w:rPr>
        <w:t> </w:t>
      </w:r>
      <w:r>
        <w:rPr>
          <w:u w:val="single"/>
          <w:shd w:val="clear" w:color="auto" w:fill="FFFF00"/>
        </w:rPr>
        <w:t>reasonable to expect</w:t>
      </w:r>
      <w:r>
        <w:rPr>
          <w:rStyle w:val="apple-converted-space"/>
        </w:rPr>
        <w:t> </w:t>
      </w:r>
      <w:r>
        <w:rPr>
          <w:u w:val="single"/>
          <w:shd w:val="clear" w:color="auto" w:fill="FFFF00"/>
        </w:rPr>
        <w:t>national gov</w:t>
      </w:r>
      <w:r>
        <w:rPr>
          <w:u w:val="single"/>
        </w:rPr>
        <w:t>ernments</w:t>
      </w:r>
      <w:r>
        <w:rPr>
          <w:rStyle w:val="apple-converted-space"/>
        </w:rPr>
        <w:t> </w:t>
      </w:r>
      <w:r>
        <w:rPr>
          <w:u w:val="single"/>
          <w:shd w:val="clear" w:color="auto" w:fill="FFFF00"/>
        </w:rPr>
        <w:t>to</w:t>
      </w:r>
      <w:r>
        <w:rPr>
          <w:rStyle w:val="apple-converted-space"/>
        </w:rPr>
        <w:t> </w:t>
      </w:r>
      <w:r>
        <w:rPr>
          <w:u w:val="single"/>
          <w:shd w:val="clear" w:color="auto" w:fill="FFFF00"/>
        </w:rPr>
        <w:t>act</w:t>
      </w:r>
      <w:r>
        <w:rPr>
          <w:rStyle w:val="apple-converted-space"/>
        </w:rPr>
        <w:t> </w:t>
      </w:r>
      <w:r>
        <w:rPr>
          <w:u w:val="single"/>
          <w:shd w:val="clear" w:color="auto" w:fill="FFFF00"/>
        </w:rPr>
        <w:t>before</w:t>
      </w:r>
      <w:r>
        <w:rPr>
          <w:rStyle w:val="apple-converted-space"/>
        </w:rPr>
        <w:t> </w:t>
      </w:r>
      <w:r>
        <w:rPr>
          <w:u w:val="single"/>
          <w:shd w:val="clear" w:color="auto" w:fill="FFFF00"/>
        </w:rPr>
        <w:t>we</w:t>
      </w:r>
      <w:r>
        <w:rPr>
          <w:rStyle w:val="apple-converted-space"/>
        </w:rPr>
        <w:t> </w:t>
      </w:r>
      <w:r>
        <w:rPr>
          <w:u w:val="single"/>
          <w:shd w:val="clear" w:color="auto" w:fill="FFFF00"/>
        </w:rPr>
        <w:t>suffer</w:t>
      </w:r>
      <w:r>
        <w:rPr>
          <w:rStyle w:val="apple-converted-space"/>
        </w:rPr>
        <w:t> </w:t>
      </w:r>
      <w:r>
        <w:rPr>
          <w:u w:val="single"/>
        </w:rPr>
        <w:t>a</w:t>
      </w:r>
      <w:r>
        <w:rPr>
          <w:rStyle w:val="apple-converted-space"/>
        </w:rPr>
        <w:t> </w:t>
      </w:r>
      <w:r>
        <w:rPr>
          <w:u w:val="single"/>
          <w:shd w:val="clear" w:color="auto" w:fill="FFFF00"/>
        </w:rPr>
        <w:t>planetary</w:t>
      </w:r>
      <w:r>
        <w:rPr>
          <w:rStyle w:val="apple-converted-space"/>
        </w:rPr>
        <w:t> </w:t>
      </w:r>
      <w:r>
        <w:rPr>
          <w:u w:val="single"/>
          <w:shd w:val="clear" w:color="auto" w:fill="FFFF00"/>
        </w:rPr>
        <w:t>ecocatastrophe</w:t>
      </w:r>
      <w:r>
        <w:rPr>
          <w:u w:val="single"/>
        </w:rPr>
        <w:t>.</w:t>
      </w:r>
    </w:p>
    <w:p w14:paraId="7477B201" w14:textId="1A4C2F84" w:rsidR="004B0B73" w:rsidRDefault="005C69FB" w:rsidP="005C69FB">
      <w:pPr>
        <w:tabs>
          <w:tab w:val="left" w:pos="1320"/>
        </w:tabs>
        <w:rPr>
          <w:sz w:val="24"/>
          <w:szCs w:val="24"/>
        </w:rPr>
      </w:pPr>
      <w:r>
        <w:rPr>
          <w:sz w:val="24"/>
          <w:szCs w:val="24"/>
        </w:rPr>
        <w:tab/>
      </w:r>
    </w:p>
    <w:p w14:paraId="3CD28D97" w14:textId="77777777" w:rsidR="005C69FB" w:rsidRDefault="005C69FB" w:rsidP="005C69FB">
      <w:pPr>
        <w:tabs>
          <w:tab w:val="left" w:pos="1320"/>
        </w:tabs>
        <w:rPr>
          <w:sz w:val="24"/>
          <w:szCs w:val="24"/>
        </w:rPr>
      </w:pPr>
    </w:p>
    <w:p w14:paraId="144D8BAC" w14:textId="77777777" w:rsidR="005C69FB" w:rsidRDefault="005C69FB" w:rsidP="005C69FB">
      <w:pPr>
        <w:pStyle w:val="Heading4"/>
        <w:spacing w:before="30" w:line="278" w:lineRule="atLeast"/>
        <w:rPr>
          <w:rFonts w:ascii="Times New Roman" w:hAnsi="Times New Roman" w:cs="Times New Roman"/>
          <w:szCs w:val="26"/>
        </w:rPr>
      </w:pPr>
      <w:r>
        <w:rPr>
          <w:szCs w:val="26"/>
        </w:rPr>
        <w:t>No ozone impact.</w:t>
      </w:r>
    </w:p>
    <w:p w14:paraId="7DF3F296" w14:textId="77777777" w:rsidR="005C69FB" w:rsidRDefault="005C69FB" w:rsidP="005C69FB">
      <w:pPr>
        <w:spacing w:after="120" w:line="235" w:lineRule="atLeast"/>
      </w:pPr>
      <w:r>
        <w:rPr>
          <w:b/>
          <w:bCs/>
          <w:sz w:val="26"/>
          <w:szCs w:val="26"/>
        </w:rPr>
        <w:t>Gordienko 22</w:t>
      </w:r>
      <w:r>
        <w:rPr>
          <w:rStyle w:val="apple-converted-space"/>
        </w:rPr>
        <w:t> </w:t>
      </w:r>
      <w:r>
        <w:t>(Dr. Vadim Gordienko Ph.D; Head of Tectonosphere Department, S.I.Subbotine Institute of Geophysics; June 2022; " Ozone and ultraviolet in the Earth's atmosphere"; ResearchGate; doα: 12-28-2024) https://www.researchgate.net/publication/364555260_Ozone_and_ultraviolet_in_the_Earth's_atmosphere</w:t>
      </w:r>
    </w:p>
    <w:p w14:paraId="12AE7209" w14:textId="77777777" w:rsidR="005C69FB" w:rsidRDefault="005C69FB" w:rsidP="005C69FB">
      <w:pPr>
        <w:spacing w:line="235" w:lineRule="atLeast"/>
      </w:pPr>
      <w:r>
        <w:t>The appearance of</w:t>
      </w:r>
      <w:r>
        <w:rPr>
          <w:rStyle w:val="apple-converted-space"/>
        </w:rPr>
        <w:t> </w:t>
      </w:r>
      <w:r>
        <w:rPr>
          <w:u w:val="single"/>
        </w:rPr>
        <w:t>the ozone layer</w:t>
      </w:r>
      <w:r>
        <w:rPr>
          <w:rStyle w:val="apple-converted-space"/>
        </w:rPr>
        <w:t> </w:t>
      </w:r>
      <w:r>
        <w:t>(OL) in the Earth’s atmosphere and the associated processes of attenuation of the ultraviolet (UV) part of solar radiation reaching the surface are considered. It is shown that the</w:t>
      </w:r>
      <w:r>
        <w:rPr>
          <w:rStyle w:val="apple-converted-space"/>
        </w:rPr>
        <w:t> </w:t>
      </w:r>
      <w:r>
        <w:rPr>
          <w:u w:val="single"/>
          <w:shd w:val="clear" w:color="auto" w:fill="FFFF00"/>
        </w:rPr>
        <w:t>role of OL in protecting</w:t>
      </w:r>
      <w:r>
        <w:rPr>
          <w:rStyle w:val="apple-converted-space"/>
        </w:rPr>
        <w:t> </w:t>
      </w:r>
      <w:r>
        <w:rPr>
          <w:b/>
          <w:bCs/>
          <w:u w:val="single"/>
        </w:rPr>
        <w:t>living</w:t>
      </w:r>
      <w:r>
        <w:rPr>
          <w:rStyle w:val="apple-converted-space"/>
        </w:rPr>
        <w:t> </w:t>
      </w:r>
      <w:r>
        <w:rPr>
          <w:b/>
          <w:bCs/>
          <w:u w:val="single"/>
          <w:shd w:val="clear" w:color="auto" w:fill="FFFF00"/>
        </w:rPr>
        <w:t>organisms</w:t>
      </w:r>
      <w:r>
        <w:rPr>
          <w:rStyle w:val="apple-converted-space"/>
        </w:rPr>
        <w:t> </w:t>
      </w:r>
      <w:r>
        <w:rPr>
          <w:u w:val="single"/>
        </w:rPr>
        <w:t>from the</w:t>
      </w:r>
      <w:r>
        <w:rPr>
          <w:rStyle w:val="apple-converted-space"/>
        </w:rPr>
        <w:t> </w:t>
      </w:r>
      <w:r>
        <w:rPr>
          <w:b/>
          <w:bCs/>
          <w:u w:val="single"/>
        </w:rPr>
        <w:t>destructive effects</w:t>
      </w:r>
      <w:r>
        <w:rPr>
          <w:rStyle w:val="apple-converted-space"/>
        </w:rPr>
        <w:t> </w:t>
      </w:r>
      <w:r>
        <w:rPr>
          <w:u w:val="single"/>
        </w:rPr>
        <w:t>of exposure to the short-wavelength part of the insolation spectrum</w:t>
      </w:r>
      <w:r>
        <w:rPr>
          <w:rStyle w:val="apple-converted-space"/>
        </w:rPr>
        <w:t> </w:t>
      </w:r>
      <w:r>
        <w:rPr>
          <w:u w:val="single"/>
          <w:shd w:val="clear" w:color="auto" w:fill="FFFF00"/>
        </w:rPr>
        <w:t>is</w:t>
      </w:r>
      <w:r>
        <w:rPr>
          <w:rStyle w:val="apple-converted-space"/>
        </w:rPr>
        <w:t> </w:t>
      </w:r>
      <w:r>
        <w:rPr>
          <w:b/>
          <w:bCs/>
          <w:u w:val="single"/>
          <w:shd w:val="clear" w:color="auto" w:fill="FFFF00"/>
        </w:rPr>
        <w:t>immensely exaggerated</w:t>
      </w:r>
      <w:r>
        <w:t>. Ozone is generated by UV radiation below the ionosphere when oxygen molecules in the air are divided. When absorbed by UV rays, it is destroyed.</w:t>
      </w:r>
      <w:r>
        <w:rPr>
          <w:rStyle w:val="apple-converted-space"/>
        </w:rPr>
        <w:t> </w:t>
      </w:r>
      <w:r>
        <w:rPr>
          <w:u w:val="single"/>
          <w:shd w:val="clear" w:color="auto" w:fill="FFFF00"/>
        </w:rPr>
        <w:t>Ozone</w:t>
      </w:r>
      <w:r>
        <w:rPr>
          <w:rStyle w:val="apple-converted-space"/>
        </w:rPr>
        <w:t> </w:t>
      </w:r>
      <w:r>
        <w:t>exists for the longest time at minimum temperatures of the atmosphere.</w:t>
      </w:r>
      <w:r>
        <w:rPr>
          <w:rStyle w:val="apple-converted-space"/>
        </w:rPr>
        <w:t> </w:t>
      </w:r>
      <w:r>
        <w:rPr>
          <w:u w:val="single"/>
        </w:rPr>
        <w:t>This circumstance and the</w:t>
      </w:r>
      <w:r>
        <w:rPr>
          <w:rStyle w:val="apple-converted-space"/>
        </w:rPr>
        <w:t> </w:t>
      </w:r>
      <w:r>
        <w:rPr>
          <w:b/>
          <w:bCs/>
          <w:u w:val="single"/>
        </w:rPr>
        <w:t>increased density</w:t>
      </w:r>
      <w:r>
        <w:rPr>
          <w:rStyle w:val="apple-converted-space"/>
        </w:rPr>
        <w:t> </w:t>
      </w:r>
      <w:r>
        <w:rPr>
          <w:u w:val="single"/>
        </w:rPr>
        <w:t>lead to the accumulation of O3 above the tropopause, w</w:t>
      </w:r>
      <w:r>
        <w:t>here the OL is formed. The</w:t>
      </w:r>
      <w:r>
        <w:rPr>
          <w:rStyle w:val="apple-converted-space"/>
        </w:rPr>
        <w:t> </w:t>
      </w:r>
      <w:r>
        <w:rPr>
          <w:u w:val="single"/>
        </w:rPr>
        <w:t>amount of</w:t>
      </w:r>
      <w:r>
        <w:rPr>
          <w:rStyle w:val="apple-converted-space"/>
        </w:rPr>
        <w:t> </w:t>
      </w:r>
      <w:r>
        <w:rPr>
          <w:b/>
          <w:bCs/>
          <w:u w:val="single"/>
        </w:rPr>
        <w:t>simultaneously existing</w:t>
      </w:r>
      <w:r>
        <w:rPr>
          <w:rStyle w:val="apple-converted-space"/>
        </w:rPr>
        <w:t> </w:t>
      </w:r>
      <w:r>
        <w:rPr>
          <w:u w:val="single"/>
        </w:rPr>
        <w:t>gas is</w:t>
      </w:r>
      <w:r>
        <w:rPr>
          <w:rStyle w:val="apple-converted-space"/>
        </w:rPr>
        <w:t> </w:t>
      </w:r>
      <w:r>
        <w:rPr>
          <w:b/>
          <w:bCs/>
          <w:u w:val="single"/>
        </w:rPr>
        <w:t>extremely insignificant</w:t>
      </w:r>
      <w:r>
        <w:rPr>
          <w:rStyle w:val="apple-converted-space"/>
        </w:rPr>
        <w:t> </w:t>
      </w:r>
      <w:r>
        <w:t>—</w:t>
      </w:r>
      <w:r>
        <w:rPr>
          <w:rStyle w:val="apple-converted-space"/>
        </w:rPr>
        <w:t> </w:t>
      </w:r>
      <w:r>
        <w:rPr>
          <w:u w:val="single"/>
        </w:rPr>
        <w:t>about</w:t>
      </w:r>
      <w:r>
        <w:rPr>
          <w:rStyle w:val="apple-converted-space"/>
        </w:rPr>
        <w:t> </w:t>
      </w:r>
      <w:r>
        <w:rPr>
          <w:b/>
          <w:bCs/>
          <w:u w:val="single"/>
        </w:rPr>
        <w:t>10</w:t>
      </w:r>
      <w:r>
        <w:rPr>
          <w:u w:val="single"/>
        </w:rPr>
        <w:t>⁻</w:t>
      </w:r>
      <w:r>
        <w:rPr>
          <w:b/>
          <w:bCs/>
          <w:u w:val="single"/>
        </w:rPr>
        <w:t>⁶ air</w:t>
      </w:r>
      <w:r>
        <w:t>. It is this circumstance that makes it possible to</w:t>
      </w:r>
      <w:r>
        <w:rPr>
          <w:rStyle w:val="apple-converted-space"/>
        </w:rPr>
        <w:t> </w:t>
      </w:r>
      <w:r>
        <w:rPr>
          <w:u w:val="single"/>
          <w:shd w:val="clear" w:color="auto" w:fill="FFFF00"/>
        </w:rPr>
        <w:t>estimate its contribution to</w:t>
      </w:r>
      <w:r>
        <w:rPr>
          <w:rStyle w:val="apple-converted-space"/>
        </w:rPr>
        <w:t> </w:t>
      </w:r>
      <w:r>
        <w:rPr>
          <w:u w:val="single"/>
        </w:rPr>
        <w:t>the</w:t>
      </w:r>
      <w:r>
        <w:rPr>
          <w:rStyle w:val="apple-converted-space"/>
        </w:rPr>
        <w:t> </w:t>
      </w:r>
      <w:r>
        <w:rPr>
          <w:u w:val="single"/>
          <w:shd w:val="clear" w:color="auto" w:fill="FFFF00"/>
        </w:rPr>
        <w:t>absorption of</w:t>
      </w:r>
      <w:r>
        <w:rPr>
          <w:rStyle w:val="apple-converted-space"/>
        </w:rPr>
        <w:t> </w:t>
      </w:r>
      <w:r>
        <w:rPr>
          <w:b/>
          <w:bCs/>
          <w:u w:val="single"/>
          <w:shd w:val="clear" w:color="auto" w:fill="FFFF00"/>
        </w:rPr>
        <w:t>UV</w:t>
      </w:r>
      <w:r>
        <w:rPr>
          <w:rStyle w:val="apple-converted-space"/>
        </w:rPr>
        <w:t> </w:t>
      </w:r>
      <w:r>
        <w:rPr>
          <w:b/>
          <w:bCs/>
          <w:u w:val="single"/>
        </w:rPr>
        <w:t>rays</w:t>
      </w:r>
      <w:r>
        <w:rPr>
          <w:rStyle w:val="apple-converted-space"/>
        </w:rPr>
        <w:t> </w:t>
      </w:r>
      <w:r>
        <w:rPr>
          <w:u w:val="single"/>
        </w:rPr>
        <w:t>as</w:t>
      </w:r>
      <w:r>
        <w:rPr>
          <w:rStyle w:val="apple-converted-space"/>
        </w:rPr>
        <w:t> </w:t>
      </w:r>
      <w:r>
        <w:rPr>
          <w:b/>
          <w:bCs/>
          <w:u w:val="single"/>
          <w:shd w:val="clear" w:color="auto" w:fill="FFFF00"/>
        </w:rPr>
        <w:t>vanishingly small</w:t>
      </w:r>
      <w:r>
        <w:t>. Compared with it, the</w:t>
      </w:r>
      <w:r>
        <w:rPr>
          <w:rStyle w:val="apple-converted-space"/>
        </w:rPr>
        <w:t> </w:t>
      </w:r>
      <w:r>
        <w:rPr>
          <w:b/>
          <w:bCs/>
          <w:u w:val="single"/>
          <w:shd w:val="clear" w:color="auto" w:fill="FFFF00"/>
        </w:rPr>
        <w:t>scattering</w:t>
      </w:r>
      <w:r>
        <w:rPr>
          <w:rStyle w:val="apple-converted-space"/>
        </w:rPr>
        <w:t> </w:t>
      </w:r>
      <w:r>
        <w:rPr>
          <w:b/>
          <w:bCs/>
          <w:u w:val="single"/>
        </w:rPr>
        <w:t>of rays</w:t>
      </w:r>
      <w:r>
        <w:rPr>
          <w:rStyle w:val="apple-converted-space"/>
        </w:rPr>
        <w:t> </w:t>
      </w:r>
      <w:r>
        <w:rPr>
          <w:u w:val="single"/>
          <w:shd w:val="clear" w:color="auto" w:fill="FFFF00"/>
        </w:rPr>
        <w:t>by</w:t>
      </w:r>
      <w:r>
        <w:rPr>
          <w:rStyle w:val="apple-converted-space"/>
        </w:rPr>
        <w:t> </w:t>
      </w:r>
      <w:r>
        <w:rPr>
          <w:b/>
          <w:bCs/>
          <w:u w:val="single"/>
          <w:shd w:val="clear" w:color="auto" w:fill="FFFF00"/>
        </w:rPr>
        <w:t>air</w:t>
      </w:r>
      <w:r>
        <w:rPr>
          <w:rStyle w:val="apple-converted-space"/>
        </w:rPr>
        <w:t> </w:t>
      </w:r>
      <w:r>
        <w:rPr>
          <w:b/>
          <w:bCs/>
          <w:u w:val="single"/>
        </w:rPr>
        <w:t>molecules</w:t>
      </w:r>
      <w:r>
        <w:rPr>
          <w:rStyle w:val="apple-converted-space"/>
        </w:rPr>
        <w:t> </w:t>
      </w:r>
      <w:r>
        <w:rPr>
          <w:u w:val="single"/>
          <w:shd w:val="clear" w:color="auto" w:fill="FFFF00"/>
        </w:rPr>
        <w:t>is</w:t>
      </w:r>
      <w:r>
        <w:rPr>
          <w:rStyle w:val="apple-converted-space"/>
        </w:rPr>
        <w:t> </w:t>
      </w:r>
      <w:r>
        <w:rPr>
          <w:b/>
          <w:bCs/>
          <w:u w:val="single"/>
          <w:shd w:val="clear" w:color="auto" w:fill="FFFF00"/>
        </w:rPr>
        <w:t>incomparably more effective</w:t>
      </w:r>
      <w:r>
        <w:t>,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w:t>
      </w:r>
      <w:r>
        <w:rPr>
          <w:rStyle w:val="apple-converted-space"/>
        </w:rPr>
        <w:t> </w:t>
      </w:r>
      <w:r>
        <w:rPr>
          <w:u w:val="single"/>
        </w:rPr>
        <w:t>processes of</w:t>
      </w:r>
      <w:r>
        <w:rPr>
          <w:rStyle w:val="apple-converted-space"/>
        </w:rPr>
        <w:t> </w:t>
      </w:r>
      <w:r>
        <w:rPr>
          <w:b/>
          <w:bCs/>
          <w:u w:val="single"/>
        </w:rPr>
        <w:t>changing the OL</w:t>
      </w:r>
      <w:r>
        <w:t>,</w:t>
      </w:r>
      <w:r>
        <w:rPr>
          <w:rStyle w:val="apple-converted-space"/>
        </w:rPr>
        <w:t> </w:t>
      </w:r>
      <w:r>
        <w:rPr>
          <w:u w:val="single"/>
        </w:rPr>
        <w:t>including</w:t>
      </w:r>
      <w:r>
        <w:rPr>
          <w:rStyle w:val="apple-converted-space"/>
        </w:rPr>
        <w:t> </w:t>
      </w:r>
      <w:r>
        <w:t>the</w:t>
      </w:r>
      <w:r>
        <w:rPr>
          <w:rStyle w:val="apple-converted-space"/>
        </w:rPr>
        <w:t> </w:t>
      </w:r>
      <w:r>
        <w:rPr>
          <w:b/>
          <w:bCs/>
          <w:u w:val="single"/>
        </w:rPr>
        <w:t>periodic formation</w:t>
      </w:r>
      <w:r>
        <w:rPr>
          <w:rStyle w:val="apple-converted-space"/>
        </w:rPr>
        <w:t> </w:t>
      </w:r>
      <w:r>
        <w:rPr>
          <w:u w:val="single"/>
        </w:rPr>
        <w:t>of</w:t>
      </w:r>
      <w:r>
        <w:rPr>
          <w:rStyle w:val="apple-converted-space"/>
        </w:rPr>
        <w:t> </w:t>
      </w:r>
      <w:r>
        <w:t>«</w:t>
      </w:r>
      <w:r>
        <w:rPr>
          <w:b/>
          <w:bCs/>
          <w:u w:val="single"/>
          <w:shd w:val="clear" w:color="auto" w:fill="FFFF00"/>
        </w:rPr>
        <w:t>ozone holes</w:t>
      </w:r>
      <w:r>
        <w:t>»,</w:t>
      </w:r>
      <w:r>
        <w:rPr>
          <w:rStyle w:val="apple-converted-space"/>
        </w:rPr>
        <w:t> </w:t>
      </w:r>
      <w:r>
        <w:rPr>
          <w:u w:val="single"/>
          <w:shd w:val="clear" w:color="auto" w:fill="FFFF00"/>
        </w:rPr>
        <w:t>do not pose</w:t>
      </w:r>
      <w:r>
        <w:rPr>
          <w:rStyle w:val="apple-converted-space"/>
        </w:rPr>
        <w:t> </w:t>
      </w:r>
      <w:r>
        <w:rPr>
          <w:b/>
          <w:bCs/>
          <w:u w:val="single"/>
          <w:shd w:val="clear" w:color="auto" w:fill="FFFF00"/>
        </w:rPr>
        <w:t>any danger</w:t>
      </w:r>
      <w:r>
        <w:rPr>
          <w:rStyle w:val="apple-converted-space"/>
        </w:rPr>
        <w:t> </w:t>
      </w:r>
      <w:r>
        <w:rPr>
          <w:u w:val="single"/>
          <w:shd w:val="clear" w:color="auto" w:fill="FFFF00"/>
        </w:rPr>
        <w:t>and are explained by</w:t>
      </w:r>
      <w:r>
        <w:rPr>
          <w:rStyle w:val="apple-converted-space"/>
        </w:rPr>
        <w:t> </w:t>
      </w:r>
      <w:r>
        <w:rPr>
          <w:b/>
          <w:bCs/>
          <w:u w:val="single"/>
          <w:shd w:val="clear" w:color="auto" w:fill="FFFF00"/>
        </w:rPr>
        <w:t>natural phenomen</w:t>
      </w:r>
      <w:r>
        <w:rPr>
          <w:u w:val="single"/>
        </w:rPr>
        <w:t>a, and</w:t>
      </w:r>
      <w:r>
        <w:rPr>
          <w:rStyle w:val="apple-converted-space"/>
        </w:rPr>
        <w:t> </w:t>
      </w:r>
      <w:r>
        <w:rPr>
          <w:u w:val="single"/>
          <w:shd w:val="clear" w:color="auto" w:fill="FFFF00"/>
        </w:rPr>
        <w:t>not</w:t>
      </w:r>
      <w:r>
        <w:rPr>
          <w:rStyle w:val="apple-converted-space"/>
        </w:rPr>
        <w:t> </w:t>
      </w:r>
      <w:r>
        <w:rPr>
          <w:u w:val="single"/>
        </w:rPr>
        <w:t>by</w:t>
      </w:r>
      <w:r>
        <w:rPr>
          <w:rStyle w:val="apple-converted-space"/>
        </w:rPr>
        <w:t> </w:t>
      </w:r>
      <w:r>
        <w:rPr>
          <w:u w:val="single"/>
          <w:shd w:val="clear" w:color="auto" w:fill="FFFF00"/>
        </w:rPr>
        <w:t>human activity</w:t>
      </w:r>
      <w:r>
        <w:rPr>
          <w:u w:val="single"/>
        </w:rPr>
        <w:t>.</w:t>
      </w:r>
      <w:r>
        <w:rPr>
          <w:rStyle w:val="apple-converted-space"/>
        </w:rPr>
        <w:t> </w:t>
      </w:r>
      <w:r>
        <w:t>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levels and it is time to take up more effective counteraction to its accumulation.</w:t>
      </w:r>
    </w:p>
    <w:p w14:paraId="49597B64" w14:textId="77777777" w:rsidR="005C69FB" w:rsidRDefault="005C69FB" w:rsidP="005C69FB">
      <w:pPr>
        <w:rPr>
          <w:sz w:val="24"/>
          <w:szCs w:val="24"/>
        </w:rPr>
      </w:pPr>
    </w:p>
    <w:p w14:paraId="2311B402" w14:textId="77777777" w:rsidR="005C69FB" w:rsidRDefault="005C69FB" w:rsidP="005C69FB">
      <w:pPr>
        <w:tabs>
          <w:tab w:val="left" w:pos="1320"/>
        </w:tabs>
        <w:rPr>
          <w:sz w:val="24"/>
          <w:szCs w:val="24"/>
        </w:rPr>
      </w:pPr>
    </w:p>
    <w:p w14:paraId="6395D8EB" w14:textId="77777777" w:rsidR="004B0B73" w:rsidRPr="00B946C4" w:rsidRDefault="004B0B73" w:rsidP="00B946C4"/>
    <w:sectPr w:rsidR="004B0B73" w:rsidRPr="00B94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278361776"/>
  </w:docVars>
  <w:rsids>
    <w:rsidRoot w:val="00B946C4"/>
    <w:rsid w:val="001D62A5"/>
    <w:rsid w:val="0046772E"/>
    <w:rsid w:val="004B0B73"/>
    <w:rsid w:val="005C69FB"/>
    <w:rsid w:val="00727670"/>
    <w:rsid w:val="007D5198"/>
    <w:rsid w:val="00956786"/>
    <w:rsid w:val="00A7444C"/>
    <w:rsid w:val="00AB02F5"/>
    <w:rsid w:val="00B946C4"/>
    <w:rsid w:val="00B96487"/>
    <w:rsid w:val="00BC2E1A"/>
    <w:rsid w:val="00C72D26"/>
    <w:rsid w:val="00E646A6"/>
    <w:rsid w:val="00F22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B7EF3F"/>
  <w15:chartTrackingRefBased/>
  <w15:docId w15:val="{5E8D61EA-21E9-B74E-8825-56755D14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2E1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C2E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2E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BC2E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BC2E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2E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2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E1A"/>
  </w:style>
  <w:style w:type="character" w:customStyle="1" w:styleId="Heading1Char">
    <w:name w:val="Heading 1 Char"/>
    <w:aliases w:val="Pocket Char"/>
    <w:basedOn w:val="DefaultParagraphFont"/>
    <w:link w:val="Heading1"/>
    <w:rsid w:val="00BC2E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C2E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C2E1A"/>
    <w:rPr>
      <w:rFonts w:ascii="Calibri" w:eastAsiaTheme="majorEastAsia" w:hAnsi="Calibri"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BC2E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C2E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6C4"/>
    <w:rPr>
      <w:rFonts w:eastAsiaTheme="majorEastAsia" w:cstheme="majorBidi"/>
      <w:color w:val="272727" w:themeColor="text1" w:themeTint="D8"/>
    </w:rPr>
  </w:style>
  <w:style w:type="paragraph" w:styleId="Title">
    <w:name w:val="Title"/>
    <w:basedOn w:val="Normal"/>
    <w:next w:val="Normal"/>
    <w:link w:val="TitleChar"/>
    <w:uiPriority w:val="10"/>
    <w:qFormat/>
    <w:rsid w:val="00B9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6C4"/>
    <w:pPr>
      <w:spacing w:before="160"/>
      <w:jc w:val="center"/>
    </w:pPr>
    <w:rPr>
      <w:i/>
      <w:iCs/>
      <w:color w:val="404040" w:themeColor="text1" w:themeTint="BF"/>
    </w:rPr>
  </w:style>
  <w:style w:type="character" w:customStyle="1" w:styleId="QuoteChar">
    <w:name w:val="Quote Char"/>
    <w:basedOn w:val="DefaultParagraphFont"/>
    <w:link w:val="Quote"/>
    <w:uiPriority w:val="29"/>
    <w:rsid w:val="00B946C4"/>
    <w:rPr>
      <w:i/>
      <w:iCs/>
      <w:color w:val="404040" w:themeColor="text1" w:themeTint="BF"/>
    </w:rPr>
  </w:style>
  <w:style w:type="paragraph" w:styleId="ListParagraph">
    <w:name w:val="List Paragraph"/>
    <w:basedOn w:val="Normal"/>
    <w:uiPriority w:val="34"/>
    <w:qFormat/>
    <w:rsid w:val="00B946C4"/>
    <w:pPr>
      <w:ind w:left="720"/>
      <w:contextualSpacing/>
    </w:pPr>
  </w:style>
  <w:style w:type="character" w:styleId="IntenseEmphasis">
    <w:name w:val="Intense Emphasis"/>
    <w:basedOn w:val="DefaultParagraphFont"/>
    <w:uiPriority w:val="21"/>
    <w:qFormat/>
    <w:rsid w:val="00B946C4"/>
    <w:rPr>
      <w:i/>
      <w:iCs/>
      <w:color w:val="0F4761" w:themeColor="accent1" w:themeShade="BF"/>
    </w:rPr>
  </w:style>
  <w:style w:type="paragraph" w:styleId="IntenseQuote">
    <w:name w:val="Intense Quote"/>
    <w:basedOn w:val="Normal"/>
    <w:next w:val="Normal"/>
    <w:link w:val="IntenseQuoteChar"/>
    <w:uiPriority w:val="30"/>
    <w:qFormat/>
    <w:rsid w:val="00B94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6C4"/>
    <w:rPr>
      <w:i/>
      <w:iCs/>
      <w:color w:val="0F4761" w:themeColor="accent1" w:themeShade="BF"/>
    </w:rPr>
  </w:style>
  <w:style w:type="character" w:styleId="IntenseReference">
    <w:name w:val="Intense Reference"/>
    <w:basedOn w:val="DefaultParagraphFont"/>
    <w:uiPriority w:val="32"/>
    <w:qFormat/>
    <w:rsid w:val="00B946C4"/>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BC2E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2E1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C2E1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BC2E1A"/>
    <w:rPr>
      <w:b w:val="0"/>
      <w:sz w:val="22"/>
      <w:u w:val="single"/>
    </w:rPr>
  </w:style>
  <w:style w:type="character" w:styleId="Strong">
    <w:name w:val="Strong"/>
    <w:basedOn w:val="DefaultParagraphFont"/>
    <w:uiPriority w:val="22"/>
    <w:qFormat/>
    <w:rsid w:val="00BC2E1A"/>
    <w:rPr>
      <w:b/>
      <w:bCs/>
    </w:rPr>
  </w:style>
  <w:style w:type="character" w:styleId="BookTitle">
    <w:name w:val="Book Title"/>
    <w:basedOn w:val="DefaultParagraphFont"/>
    <w:uiPriority w:val="33"/>
    <w:qFormat/>
    <w:rsid w:val="00BC2E1A"/>
    <w:rPr>
      <w:b/>
      <w:bCs/>
      <w:i/>
      <w:iCs/>
      <w:spacing w:val="5"/>
    </w:rPr>
  </w:style>
  <w:style w:type="numbering" w:styleId="111111">
    <w:name w:val="Outline List 2"/>
    <w:basedOn w:val="NoList"/>
    <w:uiPriority w:val="99"/>
    <w:semiHidden/>
    <w:unhideWhenUsed/>
    <w:rsid w:val="00BC2E1A"/>
  </w:style>
  <w:style w:type="paragraph" w:styleId="Header">
    <w:name w:val="header"/>
    <w:basedOn w:val="Normal"/>
    <w:link w:val="HeaderChar"/>
    <w:uiPriority w:val="99"/>
    <w:semiHidden/>
    <w:rsid w:val="00BC2E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2E1A"/>
    <w:rPr>
      <w:rFonts w:ascii="Calibri" w:hAnsi="Calibri" w:cs="Calibri"/>
      <w:kern w:val="0"/>
      <w:sz w:val="22"/>
      <w:szCs w:val="22"/>
      <w14:ligatures w14:val="none"/>
    </w:rPr>
  </w:style>
  <w:style w:type="paragraph" w:styleId="Footer">
    <w:name w:val="footer"/>
    <w:basedOn w:val="Normal"/>
    <w:link w:val="FooterChar"/>
    <w:uiPriority w:val="99"/>
    <w:semiHidden/>
    <w:rsid w:val="00BC2E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2E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C2E1A"/>
    <w:pPr>
      <w:spacing w:after="120"/>
    </w:pPr>
  </w:style>
  <w:style w:type="character" w:customStyle="1" w:styleId="BodyTextChar">
    <w:name w:val="Body Text Char"/>
    <w:basedOn w:val="DefaultParagraphFont"/>
    <w:link w:val="BodyText"/>
    <w:uiPriority w:val="99"/>
    <w:semiHidden/>
    <w:rsid w:val="00BC2E1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BC2E1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C2E1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BC2E1A"/>
    <w:rPr>
      <w:color w:val="467886" w:themeColor="hyperlink"/>
      <w:u w:val="single"/>
    </w:rPr>
  </w:style>
  <w:style w:type="character" w:styleId="UnresolvedMention">
    <w:name w:val="Unresolved Mention"/>
    <w:basedOn w:val="DefaultParagraphFont"/>
    <w:uiPriority w:val="99"/>
    <w:semiHidden/>
    <w:unhideWhenUsed/>
    <w:rsid w:val="00BC2E1A"/>
    <w:rPr>
      <w:color w:val="605E5C"/>
      <w:shd w:val="clear" w:color="auto" w:fill="E1DFDD"/>
    </w:rPr>
  </w:style>
  <w:style w:type="paragraph" w:customStyle="1" w:styleId="NoSpacing61">
    <w:name w:val="No Spacing61"/>
    <w:basedOn w:val="Heading1"/>
    <w:next w:val="NoSpacing"/>
    <w:link w:val="Hyperlink"/>
    <w:autoRedefine/>
    <w:uiPriority w:val="99"/>
    <w:qFormat/>
    <w:rsid w:val="00B946C4"/>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1">
    <w:name w:val="Boxes1"/>
    <w:basedOn w:val="Emphasis"/>
    <w:qFormat/>
    <w:rsid w:val="00B946C4"/>
    <w:rPr>
      <w:rFonts w:ascii="Calibri" w:hAnsi="Calibri" w:cs="Calibri" w:hint="default"/>
      <w:b/>
      <w:bCs w:val="0"/>
      <w:i w:val="0"/>
      <w:iCs/>
      <w:sz w:val="22"/>
      <w:u w:val="single"/>
      <w:bdr w:val="single" w:sz="8" w:space="0" w:color="auto" w:frame="1"/>
    </w:rPr>
  </w:style>
  <w:style w:type="paragraph" w:customStyle="1" w:styleId="Heading411">
    <w:name w:val="Heading 411"/>
    <w:basedOn w:val="Heading1"/>
    <w:next w:val="NoSpacing"/>
    <w:autoRedefine/>
    <w:uiPriority w:val="99"/>
    <w:qFormat/>
    <w:rsid w:val="00B946C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B946C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B946C4"/>
    <w:pPr>
      <w:pBdr>
        <w:top w:val="single" w:sz="4" w:space="0" w:color="auto"/>
        <w:left w:val="single" w:sz="4" w:space="0" w:color="auto"/>
        <w:bottom w:val="single" w:sz="4" w:space="0" w:color="auto"/>
        <w:right w:val="single" w:sz="4" w:space="0" w:color="auto"/>
      </w:pBdr>
      <w:spacing w:line="240" w:lineRule="auto"/>
      <w:ind w:left="720"/>
      <w:jc w:val="both"/>
    </w:pPr>
    <w:rPr>
      <w:b/>
      <w:iCs/>
      <w:u w:val="single"/>
    </w:rPr>
  </w:style>
  <w:style w:type="character" w:customStyle="1" w:styleId="apple-converted-space">
    <w:name w:val="apple-converted-space"/>
    <w:basedOn w:val="DefaultParagraphFont"/>
    <w:rsid w:val="004B0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imejusticejournal.com/article/view/1743/1030" TargetMode="External"/><Relationship Id="rId13" Type="http://schemas.openxmlformats.org/officeDocument/2006/relationships/hyperlink" Target="https://www.flra.gov/about/introduction-flra" TargetMode="External"/><Relationship Id="rId18" Type="http://schemas.openxmlformats.org/officeDocument/2006/relationships/hyperlink" Target="https://mises.org/power-market/trumps-gut-feeling" TargetMode="External"/><Relationship Id="rId3" Type="http://schemas.openxmlformats.org/officeDocument/2006/relationships/settings" Target="settings.xml"/><Relationship Id="rId21" Type="http://schemas.openxmlformats.org/officeDocument/2006/relationships/hyperlink" Target="https://phys.org/news/2015-09-democratic-peace-international-conflict.html)" TargetMode="External"/><Relationship Id="rId7" Type="http://schemas.openxmlformats.org/officeDocument/2006/relationships/hyperlink" Target="https://dsq-sds.org/index.php/dsq/article/view/9652/8014" TargetMode="External"/><Relationship Id="rId12" Type="http://schemas.openxmlformats.org/officeDocument/2006/relationships/image" Target="media/image1.png"/><Relationship Id="rId17" Type="http://schemas.openxmlformats.org/officeDocument/2006/relationships/hyperlink" Target="https://www.axios.com/trump-warns-lockdowns-if-biden-elected-scientists-c1263b65-15c9-47a1-9d6b-63161f6c5170.html" TargetMode="External"/><Relationship Id="rId2" Type="http://schemas.openxmlformats.org/officeDocument/2006/relationships/styles" Target="styles.xml"/><Relationship Id="rId16" Type="http://schemas.openxmlformats.org/officeDocument/2006/relationships/hyperlink" Target="https://thehill.com/people/donald-trump/" TargetMode="External"/><Relationship Id="rId20" Type="http://schemas.openxmlformats.org/officeDocument/2006/relationships/hyperlink" Target="https://www.eli.org/the-environmental-forum/reversing-tide" TargetMode="External"/><Relationship Id="rId1" Type="http://schemas.openxmlformats.org/officeDocument/2006/relationships/numbering" Target="numbering.xml"/><Relationship Id="rId6" Type="http://schemas.openxmlformats.org/officeDocument/2006/relationships/hyperlink" Target="https://scholarship.law.upenn.edu/cgi/viewcontent.cgi?article=1532&amp;context=jbl&amp;utm_source=chatgpt.com" TargetMode="External"/><Relationship Id="rId11" Type="http://schemas.openxmlformats.org/officeDocument/2006/relationships/hyperlink" Target="http://www.bls.gov/news.release/empsit.t01.htm" TargetMode="External"/><Relationship Id="rId24" Type="http://schemas.openxmlformats.org/officeDocument/2006/relationships/theme" Target="theme/theme1.xml"/><Relationship Id="rId5" Type="http://schemas.openxmlformats.org/officeDocument/2006/relationships/hyperlink" Target="https://www.theguardian.com/commentisfree/2025/apr/27/psychiatric-incarceration-mental-illness" TargetMode="External"/><Relationship Id="rId15" Type="http://schemas.openxmlformats.org/officeDocument/2006/relationships/hyperlink" Target="https://thehill.com/opinion/white-house/523279-listening-to-experts-isnt-perfect-but-ignoring-them-is-far-worse/" TargetMode="External"/><Relationship Id="rId23" Type="http://schemas.openxmlformats.org/officeDocument/2006/relationships/fontTable" Target="fontTable.xml"/><Relationship Id="rId10" Type="http://schemas.openxmlformats.org/officeDocument/2006/relationships/hyperlink" Target="https://www.courtlistener.com/opinion/4004798/tax-comm-v-am-humane-edn-society/" TargetMode="External"/><Relationship Id="rId19" Type="http://schemas.openxmlformats.org/officeDocument/2006/relationships/hyperlink" Target="https://scholarworks.wmich.edu/cgi/viewcontent.cgi?article=1420&amp;context=jssw" TargetMode="External"/><Relationship Id="rId4" Type="http://schemas.openxmlformats.org/officeDocument/2006/relationships/webSettings" Target="webSettings.xml"/><Relationship Id="rId9" Type="http://schemas.openxmlformats.org/officeDocument/2006/relationships/hyperlink" Target="https://sjdr.se/articles/10.16993/sjdr.1067?utm_source=chatgpt.com" TargetMode="External"/><Relationship Id="rId14" Type="http://schemas.openxmlformats.org/officeDocument/2006/relationships/hyperlink" Target="https://www.flra.gov/about/introduction-flra/statute" TargetMode="External"/><Relationship Id="rId22" Type="http://schemas.openxmlformats.org/officeDocument/2006/relationships/hyperlink" Target="https://founderspledge.com/research/Cause%20Area%20Report%20-%20Existential%20Ris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11</TotalTime>
  <Pages>1</Pages>
  <Words>14422</Words>
  <Characters>82211</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Vorontsova</dc:creator>
  <cp:keywords/>
  <dc:description/>
  <cp:lastModifiedBy>April Vorontsova</cp:lastModifiedBy>
  <cp:revision>6</cp:revision>
  <dcterms:created xsi:type="dcterms:W3CDTF">2025-09-26T19:20:00Z</dcterms:created>
  <dcterms:modified xsi:type="dcterms:W3CDTF">2025-09-26T20:11:00Z</dcterms:modified>
</cp:coreProperties>
</file>