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4AB1D30" w14:textId="2B0461BC" w:rsidR="005D388F" w:rsidRDefault="008D6AE6" w:rsidP="008D6AE6">
      <w:pPr>
        <w:pStyle w:val="Heading1"/>
      </w:pPr>
      <w:r>
        <w:t>1NC---Wake---R6---Missouri State NS</w:t>
      </w:r>
    </w:p>
    <w:p w14:paraId="6F6658D8" w14:textId="4FA18F1B" w:rsidR="008D6AE6" w:rsidRDefault="008D6AE6" w:rsidP="008D6AE6">
      <w:pPr>
        <w:pStyle w:val="Heading2"/>
      </w:pPr>
      <w:r>
        <w:t>1NC – Wake – R6</w:t>
      </w:r>
    </w:p>
    <w:p w14:paraId="71C86205" w14:textId="7DF9EA53" w:rsidR="008D6AE6" w:rsidRDefault="008D6AE6" w:rsidP="008D6AE6">
      <w:pPr>
        <w:pStyle w:val="Heading3"/>
      </w:pPr>
      <w:r>
        <w:t>1NC – OFF</w:t>
      </w:r>
    </w:p>
    <w:p w14:paraId="35D04572" w14:textId="77777777" w:rsidR="008D6AE6" w:rsidRPr="009D5D6A" w:rsidRDefault="008D6AE6" w:rsidP="008D6AE6">
      <w:pPr>
        <w:pStyle w:val="Heading4"/>
        <w:rPr>
          <w:bCs/>
        </w:rPr>
      </w:pPr>
      <w:r>
        <w:rPr>
          <w:bCs/>
        </w:rPr>
        <w:t xml:space="preserve">Interpretation – </w:t>
      </w:r>
      <w:r w:rsidRPr="009D5D6A">
        <w:rPr>
          <w:bCs/>
        </w:rPr>
        <w:t xml:space="preserve">“Strengthen” means make something currently existing greater. </w:t>
      </w:r>
    </w:p>
    <w:p w14:paraId="1204F637" w14:textId="77777777" w:rsidR="008D6AE6" w:rsidRDefault="008D6AE6" w:rsidP="008D6AE6">
      <w:r>
        <w:t xml:space="preserve">Jallles </w:t>
      </w:r>
      <w:r>
        <w:rPr>
          <w:rStyle w:val="Style13ptBold"/>
        </w:rPr>
        <w:t>Arthur et al. 01</w:t>
      </w:r>
      <w:r>
        <w:t xml:space="preserve">. Jallles Arthur is Professor of Education at Canterbury Christ Church University College. Ian Davies is Senior Lecturer in Educational Studies at the University of York. Andrew Wrenn is Adviser for History and Citizenship at Cambridgeshire Education Authority. Terry Haydn is Senior Lecturer in Education at the University of East Anglia. David Kerr is Principal Research Fellow at the National Foundation for Educational Research. “Citizenship Through Secondary History.” </w:t>
      </w:r>
    </w:p>
    <w:p w14:paraId="6366609D" w14:textId="77777777" w:rsidR="008D6AE6" w:rsidRPr="00AE3F3B" w:rsidRDefault="008D6AE6" w:rsidP="008D6AE6">
      <w:pPr>
        <w:rPr>
          <w:sz w:val="16"/>
        </w:rPr>
      </w:pPr>
      <w:r w:rsidRPr="00AE3F3B">
        <w:rPr>
          <w:sz w:val="16"/>
        </w:rPr>
        <w:t>The Citizenship Advisory Group: terms of reference and membership</w:t>
      </w:r>
    </w:p>
    <w:p w14:paraId="69954F8F" w14:textId="77777777" w:rsidR="008D6AE6" w:rsidRPr="00AE3F3B" w:rsidRDefault="008D6AE6" w:rsidP="008D6AE6">
      <w:pPr>
        <w:rPr>
          <w:sz w:val="16"/>
        </w:rPr>
      </w:pPr>
      <w:r w:rsidRPr="00AE3F3B">
        <w:rPr>
          <w:sz w:val="16"/>
        </w:rPr>
        <w:t xml:space="preserve">The latest review of citizenship education was heralded in the new Labour government’s first education White Paper, Excellence in Schools, early in 1997 (House of Commons, 1997). David </w:t>
      </w:r>
      <w:r>
        <w:rPr>
          <w:rStyle w:val="StyleUnderline"/>
        </w:rPr>
        <w:t>Blunkett pledged</w:t>
      </w:r>
      <w:r w:rsidRPr="00AE3F3B">
        <w:rPr>
          <w:sz w:val="16"/>
        </w:rPr>
        <w:t xml:space="preserve"> in the White Paper ‘</w:t>
      </w:r>
      <w:r>
        <w:rPr>
          <w:rStyle w:val="Emphasis"/>
        </w:rPr>
        <w:t>to strengthen</w:t>
      </w:r>
      <w:r>
        <w:rPr>
          <w:rStyle w:val="StyleUnderline"/>
        </w:rPr>
        <w:t xml:space="preserve"> education for citizenship</w:t>
      </w:r>
      <w:r w:rsidRPr="00AE3F3B">
        <w:rPr>
          <w:sz w:val="16"/>
        </w:rPr>
        <w:t xml:space="preserve"> and the teaching of democracy in schools’. Later that same year he announced the setting up of the Advisory Group on Education for Citizenship and the Teaching of Democracy in Schools with the remit ‘to provide advice on effective education for citizenship in schools – to include the nature and practices of participation in democracy, the duties, responsibilities and rights of individuals as citizens; and the value to individuals and society of community activity’. It is worth setting out the group’s title in full. It is a reminder that the group was concerned not just about education for citizenship but also about the promotion of democratic processes in schools.</w:t>
      </w:r>
    </w:p>
    <w:p w14:paraId="201A09B4" w14:textId="77777777" w:rsidR="008D6AE6" w:rsidRPr="00AE3F3B" w:rsidRDefault="008D6AE6" w:rsidP="008D6AE6">
      <w:pPr>
        <w:rPr>
          <w:sz w:val="16"/>
        </w:rPr>
      </w:pPr>
      <w:r w:rsidRPr="00AE3F3B">
        <w:rPr>
          <w:sz w:val="16"/>
        </w:rPr>
        <w:t>The Secretary of State also made clear that he expected the main outcomes of the group’s work to be:</w:t>
      </w:r>
    </w:p>
    <w:p w14:paraId="21F2EF52" w14:textId="77777777" w:rsidR="008D6AE6" w:rsidRPr="00AE3F3B" w:rsidRDefault="008D6AE6" w:rsidP="008D6AE6">
      <w:pPr>
        <w:ind w:left="720"/>
        <w:rPr>
          <w:sz w:val="16"/>
        </w:rPr>
      </w:pPr>
      <w:r w:rsidRPr="00AE3F3B">
        <w:rPr>
          <w:sz w:val="16"/>
        </w:rPr>
        <w:t>A statement of the aims and purposes of citizenship education in schools;</w:t>
      </w:r>
    </w:p>
    <w:p w14:paraId="7FD3E7B7" w14:textId="77777777" w:rsidR="008D6AE6" w:rsidRPr="00AE3F3B" w:rsidRDefault="008D6AE6" w:rsidP="008D6AE6">
      <w:pPr>
        <w:ind w:left="720"/>
        <w:rPr>
          <w:sz w:val="16"/>
        </w:rPr>
      </w:pPr>
      <w:r w:rsidRPr="00AE3F3B">
        <w:rPr>
          <w:sz w:val="16"/>
        </w:rPr>
        <w:t>A broad framework for what good citizenship education in schools might look like, and how it can be successfully delivered – covering opportunities for teaching about citizenship within and outside the formal curriculum and the development of personal and social skills through projects linking schools and the community, volunteering and the involvement of pupils in the development of school rules and policies.</w:t>
      </w:r>
    </w:p>
    <w:p w14:paraId="7F6D49E4" w14:textId="77777777" w:rsidR="008D6AE6" w:rsidRPr="00AE3F3B" w:rsidRDefault="008D6AE6" w:rsidP="008D6AE6">
      <w:pPr>
        <w:rPr>
          <w:sz w:val="16"/>
        </w:rPr>
      </w:pPr>
      <w:r w:rsidRPr="00AE3F3B">
        <w:rPr>
          <w:sz w:val="16"/>
        </w:rPr>
        <w:t xml:space="preserve">The group’s title, terms of reference and outcomes were carefully crafted. They reflected a keen understanding both of the lessons learnt from past policy approaches and of the underlying calls for the review of this area. The wording conveyed a number of important indicators about how the group would approach its work. Firstly, </w:t>
      </w:r>
      <w:r>
        <w:rPr>
          <w:rStyle w:val="Emphasis"/>
        </w:rPr>
        <w:t>the term ‘</w:t>
      </w:r>
      <w:r w:rsidRPr="006376E2">
        <w:rPr>
          <w:rStyle w:val="Emphasis"/>
          <w:highlight w:val="cyan"/>
        </w:rPr>
        <w:t>strengthen’</w:t>
      </w:r>
      <w:r w:rsidRPr="006376E2">
        <w:rPr>
          <w:rStyle w:val="StyleUnderline"/>
          <w:highlight w:val="cyan"/>
        </w:rPr>
        <w:t xml:space="preserve"> underlined </w:t>
      </w:r>
      <w:r>
        <w:rPr>
          <w:rStyle w:val="StyleUnderline"/>
        </w:rPr>
        <w:t xml:space="preserve">the </w:t>
      </w:r>
      <w:r w:rsidRPr="006376E2">
        <w:rPr>
          <w:rStyle w:val="StyleUnderline"/>
          <w:highlight w:val="cyan"/>
        </w:rPr>
        <w:t xml:space="preserve">fact </w:t>
      </w:r>
      <w:r>
        <w:rPr>
          <w:rStyle w:val="StyleUnderline"/>
        </w:rPr>
        <w:t xml:space="preserve">that citizenship education </w:t>
      </w:r>
      <w:r w:rsidRPr="006376E2">
        <w:rPr>
          <w:rStyle w:val="StyleUnderline"/>
          <w:highlight w:val="cyan"/>
        </w:rPr>
        <w:t xml:space="preserve">was </w:t>
      </w:r>
      <w:r w:rsidRPr="006376E2">
        <w:rPr>
          <w:rStyle w:val="Emphasis"/>
          <w:highlight w:val="cyan"/>
        </w:rPr>
        <w:t>not something new</w:t>
      </w:r>
      <w:r w:rsidRPr="006376E2">
        <w:rPr>
          <w:sz w:val="16"/>
          <w:highlight w:val="cyan"/>
        </w:rPr>
        <w:t xml:space="preserve"> </w:t>
      </w:r>
      <w:r w:rsidRPr="00AE3F3B">
        <w:rPr>
          <w:sz w:val="16"/>
        </w:rPr>
        <w:t xml:space="preserve">in schools </w:t>
      </w:r>
      <w:r w:rsidRPr="006376E2">
        <w:rPr>
          <w:rStyle w:val="StyleUnderline"/>
          <w:highlight w:val="cyan"/>
        </w:rPr>
        <w:t xml:space="preserve">but </w:t>
      </w:r>
      <w:r>
        <w:rPr>
          <w:rStyle w:val="StyleUnderline"/>
        </w:rPr>
        <w:t xml:space="preserve">rather an area that </w:t>
      </w:r>
      <w:r w:rsidRPr="006376E2">
        <w:rPr>
          <w:rStyle w:val="StyleUnderline"/>
          <w:highlight w:val="cyan"/>
        </w:rPr>
        <w:t>required</w:t>
      </w:r>
      <w:r w:rsidRPr="006376E2">
        <w:rPr>
          <w:sz w:val="16"/>
          <w:highlight w:val="cyan"/>
        </w:rPr>
        <w:t xml:space="preserve"> </w:t>
      </w:r>
      <w:r w:rsidRPr="00AE3F3B">
        <w:rPr>
          <w:sz w:val="16"/>
        </w:rPr>
        <w:t xml:space="preserve">clearer definition and </w:t>
      </w:r>
      <w:r w:rsidRPr="006376E2">
        <w:rPr>
          <w:rStyle w:val="StyleUnderline"/>
          <w:highlight w:val="cyan"/>
        </w:rPr>
        <w:t xml:space="preserve">greater </w:t>
      </w:r>
      <w:r>
        <w:rPr>
          <w:rStyle w:val="StyleUnderline"/>
        </w:rPr>
        <w:t xml:space="preserve">rigour in its </w:t>
      </w:r>
      <w:r w:rsidRPr="006376E2">
        <w:rPr>
          <w:rStyle w:val="StyleUnderline"/>
          <w:highlight w:val="cyan"/>
        </w:rPr>
        <w:t>delivery</w:t>
      </w:r>
      <w:r w:rsidRPr="00AE3F3B">
        <w:rPr>
          <w:sz w:val="16"/>
        </w:rPr>
        <w:t>. This was an important message, given the pressures on schools in managing the existing National Curriculum. Citizenship education was not something to be ‘bolted on’ to the National Curriculum. Many of its facets were present already in schools</w:t>
      </w:r>
    </w:p>
    <w:p w14:paraId="1EB8BE1F" w14:textId="77777777" w:rsidR="008D6AE6" w:rsidRPr="00AE3F3B" w:rsidRDefault="008D6AE6" w:rsidP="008D6AE6">
      <w:pPr>
        <w:rPr>
          <w:sz w:val="16"/>
        </w:rPr>
      </w:pPr>
    </w:p>
    <w:p w14:paraId="30625C57" w14:textId="2AA47FB8" w:rsidR="008D6AE6" w:rsidRDefault="008D6AE6" w:rsidP="008D6AE6">
      <w:pPr>
        <w:pStyle w:val="Heading4"/>
      </w:pPr>
      <w:r>
        <w:t xml:space="preserve">Violation – the plan </w:t>
      </w:r>
      <w:r>
        <w:t>creates a new right</w:t>
      </w:r>
    </w:p>
    <w:p w14:paraId="487D4E78" w14:textId="77777777" w:rsidR="008D6AE6" w:rsidRDefault="008D6AE6" w:rsidP="008D6AE6"/>
    <w:p w14:paraId="0A383BC5" w14:textId="77777777" w:rsidR="008D6AE6" w:rsidRDefault="008D6AE6" w:rsidP="008D6AE6">
      <w:pPr>
        <w:pStyle w:val="Heading4"/>
      </w:pPr>
      <w:r>
        <w:t xml:space="preserve">Vote negative – their interpretation </w:t>
      </w:r>
      <w:r>
        <w:rPr>
          <w:u w:val="single"/>
        </w:rPr>
        <w:t>opens the floodgates</w:t>
      </w:r>
      <w:r>
        <w:t xml:space="preserve"> to small, unnegatable affirmatives by </w:t>
      </w:r>
      <w:r>
        <w:rPr>
          <w:i/>
          <w:iCs w:val="0"/>
        </w:rPr>
        <w:t>creating new rights</w:t>
      </w:r>
      <w:r>
        <w:t xml:space="preserve">, which are </w:t>
      </w:r>
      <w:r>
        <w:rPr>
          <w:u w:val="single"/>
        </w:rPr>
        <w:t>unpredictable</w:t>
      </w:r>
      <w:r>
        <w:t xml:space="preserve"> and </w:t>
      </w:r>
      <w:r>
        <w:rPr>
          <w:u w:val="single"/>
        </w:rPr>
        <w:t>spike</w:t>
      </w:r>
      <w:r>
        <w:t xml:space="preserve"> out of negative link ground.</w:t>
      </w:r>
    </w:p>
    <w:p w14:paraId="115E84D4" w14:textId="77777777" w:rsidR="008D6AE6" w:rsidRDefault="008D6AE6" w:rsidP="008D6AE6"/>
    <w:p w14:paraId="3BDE9434" w14:textId="763555A7" w:rsidR="008D6AE6" w:rsidRDefault="008D6AE6" w:rsidP="008D6AE6">
      <w:pPr>
        <w:pStyle w:val="Heading3"/>
      </w:pPr>
      <w:r>
        <w:t>1NC – OFF</w:t>
      </w:r>
    </w:p>
    <w:p w14:paraId="2CE82BD8" w14:textId="77777777" w:rsidR="008D6AE6" w:rsidRDefault="008D6AE6" w:rsidP="008D6AE6">
      <w:pPr>
        <w:pStyle w:val="Heading4"/>
      </w:pPr>
      <w:r>
        <w:t xml:space="preserve">Dems win now—6 point generic ballot lead </w:t>
      </w:r>
    </w:p>
    <w:p w14:paraId="61E6C7B9" w14:textId="77777777" w:rsidR="008D6AE6" w:rsidRPr="00AB64EA" w:rsidRDefault="008D6AE6" w:rsidP="008D6AE6">
      <w:r w:rsidRPr="00AB64EA">
        <w:rPr>
          <w:rStyle w:val="Style13ptBold"/>
        </w:rPr>
        <w:t>Montgomery 11/11</w:t>
      </w:r>
      <w:r>
        <w:t xml:space="preserve">/25 (David – senior data journalist for </w:t>
      </w:r>
      <w:r>
        <w:rPr>
          <w:i/>
          <w:iCs/>
        </w:rPr>
        <w:t>YouGov</w:t>
      </w:r>
      <w:r>
        <w:t>, “Who's leading in the 2026 midterm elections?,” https://today.yougov.com/politics/articles/53374-2026-midterm-elections)</w:t>
      </w:r>
    </w:p>
    <w:p w14:paraId="6D88DE45" w14:textId="77777777" w:rsidR="008D6AE6" w:rsidRPr="00AB64EA" w:rsidRDefault="008D6AE6" w:rsidP="008D6AE6">
      <w:pPr>
        <w:rPr>
          <w:rStyle w:val="StyleUnderline"/>
        </w:rPr>
      </w:pPr>
      <w:r w:rsidRPr="006376E2">
        <w:rPr>
          <w:rStyle w:val="Emphasis"/>
          <w:highlight w:val="cyan"/>
        </w:rPr>
        <w:t>Democrats have their largest advantage</w:t>
      </w:r>
      <w:r w:rsidRPr="00AB64EA">
        <w:rPr>
          <w:rStyle w:val="Emphasis"/>
        </w:rPr>
        <w:t xml:space="preserve"> so far </w:t>
      </w:r>
      <w:r w:rsidRPr="006376E2">
        <w:rPr>
          <w:rStyle w:val="Emphasis"/>
          <w:highlight w:val="cyan"/>
        </w:rPr>
        <w:t>this year</w:t>
      </w:r>
      <w:r w:rsidRPr="006376E2">
        <w:rPr>
          <w:rStyle w:val="StyleUnderline"/>
          <w:highlight w:val="cyan"/>
        </w:rPr>
        <w:t xml:space="preserve"> in the race for</w:t>
      </w:r>
      <w:r w:rsidRPr="00AB64EA">
        <w:rPr>
          <w:rStyle w:val="StyleUnderline"/>
        </w:rPr>
        <w:t xml:space="preserve"> control of </w:t>
      </w:r>
      <w:r w:rsidRPr="006376E2">
        <w:rPr>
          <w:rStyle w:val="StyleUnderline"/>
          <w:highlight w:val="cyan"/>
        </w:rPr>
        <w:t>Congress</w:t>
      </w:r>
      <w:r w:rsidRPr="00AB64EA">
        <w:rPr>
          <w:rStyle w:val="StyleUnderline"/>
        </w:rPr>
        <w:t>. 46% of registered voters say they would vote for the Democratic candidate if elections for U.S. Congress were held today, compared to 39% who would vote for the Republican candidate.</w:t>
      </w:r>
    </w:p>
    <w:p w14:paraId="36C3E3A5" w14:textId="77777777" w:rsidR="008D6AE6" w:rsidRPr="00AB64EA" w:rsidRDefault="008D6AE6" w:rsidP="008D6AE6">
      <w:pPr>
        <w:rPr>
          <w:sz w:val="16"/>
          <w:szCs w:val="16"/>
        </w:rPr>
      </w:pPr>
      <w:r w:rsidRPr="00AB64EA">
        <w:rPr>
          <w:sz w:val="16"/>
          <w:szCs w:val="16"/>
        </w:rPr>
        <w:t>What you need to know about the race for Congress as of the November 7 - 10, 2025 Economist / YouGov Poll:</w:t>
      </w:r>
    </w:p>
    <w:p w14:paraId="1400FE0C" w14:textId="77777777" w:rsidR="008D6AE6" w:rsidRPr="00AB64EA" w:rsidRDefault="008D6AE6" w:rsidP="008D6AE6">
      <w:pPr>
        <w:rPr>
          <w:sz w:val="16"/>
        </w:rPr>
      </w:pPr>
      <w:r w:rsidRPr="006376E2">
        <w:rPr>
          <w:rStyle w:val="StyleUnderline"/>
          <w:highlight w:val="cyan"/>
        </w:rPr>
        <w:t xml:space="preserve">Democrats have a </w:t>
      </w:r>
      <w:r w:rsidRPr="006376E2">
        <w:rPr>
          <w:rStyle w:val="Emphasis"/>
          <w:highlight w:val="cyan"/>
        </w:rPr>
        <w:t>6-point lead</w:t>
      </w:r>
      <w:r w:rsidRPr="00AB64EA">
        <w:rPr>
          <w:sz w:val="16"/>
        </w:rPr>
        <w:t xml:space="preserve"> (accounting for rounding) — the biggest lead Democrats have had on this question since Economist / YouGov polls resumed asking it earlier this year</w:t>
      </w:r>
    </w:p>
    <w:p w14:paraId="051EC251" w14:textId="77777777" w:rsidR="008D6AE6" w:rsidRPr="00AB64EA" w:rsidRDefault="008D6AE6" w:rsidP="008D6AE6">
      <w:pPr>
        <w:rPr>
          <w:sz w:val="16"/>
        </w:rPr>
      </w:pPr>
      <w:r w:rsidRPr="00AB64EA">
        <w:rPr>
          <w:rStyle w:val="StyleUnderline"/>
        </w:rPr>
        <w:t>This is</w:t>
      </w:r>
      <w:r w:rsidRPr="00AB64EA">
        <w:rPr>
          <w:sz w:val="16"/>
        </w:rPr>
        <w:t xml:space="preserve"> also a </w:t>
      </w:r>
      <w:r w:rsidRPr="006376E2">
        <w:rPr>
          <w:rStyle w:val="StyleUnderline"/>
          <w:highlight w:val="cyan"/>
        </w:rPr>
        <w:t>larger</w:t>
      </w:r>
      <w:r w:rsidRPr="00AB64EA">
        <w:rPr>
          <w:rStyle w:val="StyleUnderline"/>
        </w:rPr>
        <w:t xml:space="preserve"> Democratic advantage </w:t>
      </w:r>
      <w:r w:rsidRPr="006376E2">
        <w:rPr>
          <w:rStyle w:val="StyleUnderline"/>
          <w:highlight w:val="cyan"/>
        </w:rPr>
        <w:t>than at this point before the</w:t>
      </w:r>
      <w:r w:rsidRPr="00AB64EA">
        <w:rPr>
          <w:sz w:val="16"/>
        </w:rPr>
        <w:t xml:space="preserve"> 2024 election (a 1-point Democratic advantage) and the </w:t>
      </w:r>
      <w:r w:rsidRPr="006376E2">
        <w:rPr>
          <w:rStyle w:val="StyleUnderline"/>
          <w:highlight w:val="cyan"/>
        </w:rPr>
        <w:t>2022 midterms</w:t>
      </w:r>
      <w:r w:rsidRPr="00AB64EA">
        <w:rPr>
          <w:sz w:val="16"/>
        </w:rPr>
        <w:t xml:space="preserve"> (4 points)</w:t>
      </w:r>
    </w:p>
    <w:p w14:paraId="08115A7F" w14:textId="77777777" w:rsidR="008D6AE6" w:rsidRPr="00AB64EA" w:rsidRDefault="008D6AE6" w:rsidP="008D6AE6">
      <w:pPr>
        <w:rPr>
          <w:sz w:val="16"/>
          <w:szCs w:val="16"/>
        </w:rPr>
      </w:pPr>
      <w:r w:rsidRPr="00AB64EA">
        <w:rPr>
          <w:sz w:val="16"/>
          <w:szCs w:val="16"/>
        </w:rPr>
        <w:t>Advantages for either party on this question about congressional voting intention have been volatile, with significant changes from week to week</w:t>
      </w:r>
    </w:p>
    <w:p w14:paraId="1CC96F0A" w14:textId="77777777" w:rsidR="008D6AE6" w:rsidRPr="00AB64EA" w:rsidRDefault="008D6AE6" w:rsidP="008D6AE6">
      <w:pPr>
        <w:rPr>
          <w:sz w:val="16"/>
          <w:szCs w:val="16"/>
        </w:rPr>
      </w:pPr>
      <w:r w:rsidRPr="00AB64EA">
        <w:rPr>
          <w:sz w:val="16"/>
          <w:szCs w:val="16"/>
        </w:rPr>
        <w:t>The 46% of registered voters who say they'll vote for the Democratic candidate is the largest share of voters to say this since YouGov first asked this question in February</w:t>
      </w:r>
    </w:p>
    <w:p w14:paraId="76B58F3F" w14:textId="77777777" w:rsidR="008D6AE6" w:rsidRPr="00AB64EA" w:rsidRDefault="008D6AE6" w:rsidP="008D6AE6">
      <w:pPr>
        <w:rPr>
          <w:sz w:val="16"/>
          <w:szCs w:val="16"/>
        </w:rPr>
      </w:pPr>
      <w:r w:rsidRPr="00AB64EA">
        <w:rPr>
          <w:sz w:val="16"/>
          <w:szCs w:val="16"/>
        </w:rPr>
        <w:t>The share of those registered voters who voted for Kamala Harris in the 2024 presidential election who say they'll vote for the Democratic candidate is higher than the share of 2024 Trump voters who say they'll vote for the Republican candidate (87% vs. 80%)</w:t>
      </w:r>
    </w:p>
    <w:p w14:paraId="2E456211" w14:textId="77777777" w:rsidR="008D6AE6" w:rsidRPr="00AB64EA" w:rsidRDefault="008D6AE6" w:rsidP="008D6AE6">
      <w:pPr>
        <w:rPr>
          <w:sz w:val="16"/>
          <w:szCs w:val="16"/>
        </w:rPr>
      </w:pPr>
      <w:r w:rsidRPr="00AB64EA">
        <w:rPr>
          <w:sz w:val="16"/>
          <w:szCs w:val="16"/>
        </w:rPr>
        <w:t>Democrats also lead Republicans among registered voters who didn't vote for president in 2024 (43% vs. 20%)</w:t>
      </w:r>
    </w:p>
    <w:p w14:paraId="36CFFB85" w14:textId="77777777" w:rsidR="008D6AE6" w:rsidRPr="00AB64EA" w:rsidRDefault="008D6AE6" w:rsidP="008D6AE6">
      <w:pPr>
        <w:rPr>
          <w:sz w:val="16"/>
        </w:rPr>
      </w:pPr>
      <w:r w:rsidRPr="006376E2">
        <w:rPr>
          <w:rStyle w:val="StyleUnderline"/>
          <w:highlight w:val="cyan"/>
        </w:rPr>
        <w:t>More voters expect the Democrats to win a</w:t>
      </w:r>
      <w:r w:rsidRPr="00AB64EA">
        <w:rPr>
          <w:rStyle w:val="StyleUnderline"/>
        </w:rPr>
        <w:t xml:space="preserve"> U.S. </w:t>
      </w:r>
      <w:r w:rsidRPr="006376E2">
        <w:rPr>
          <w:rStyle w:val="StyleUnderline"/>
          <w:highlight w:val="cyan"/>
        </w:rPr>
        <w:t>House majority in</w:t>
      </w:r>
      <w:r w:rsidRPr="00AB64EA">
        <w:rPr>
          <w:rStyle w:val="StyleUnderline"/>
        </w:rPr>
        <w:t xml:space="preserve"> the </w:t>
      </w:r>
      <w:r w:rsidRPr="006376E2">
        <w:rPr>
          <w:rStyle w:val="StyleUnderline"/>
          <w:highlight w:val="cyan"/>
        </w:rPr>
        <w:t>2026</w:t>
      </w:r>
      <w:r w:rsidRPr="00AB64EA">
        <w:rPr>
          <w:rStyle w:val="StyleUnderline"/>
        </w:rPr>
        <w:t xml:space="preserve"> elections than expect Republicans to</w:t>
      </w:r>
      <w:r w:rsidRPr="00AB64EA">
        <w:rPr>
          <w:sz w:val="16"/>
        </w:rPr>
        <w:t xml:space="preserve"> (41% vs. 28%)</w:t>
      </w:r>
    </w:p>
    <w:p w14:paraId="63F0F2E2" w14:textId="77777777" w:rsidR="008D6AE6" w:rsidRPr="00AB64EA" w:rsidRDefault="008D6AE6" w:rsidP="008D6AE6">
      <w:pPr>
        <w:rPr>
          <w:sz w:val="16"/>
          <w:szCs w:val="16"/>
        </w:rPr>
      </w:pPr>
      <w:r w:rsidRPr="00AB64EA">
        <w:rPr>
          <w:sz w:val="16"/>
          <w:szCs w:val="16"/>
        </w:rPr>
        <w:t>Supporters of Democratic House candidates overwhelmingly expect their side to win: 80% expect a Democratic majority and 5% a Republican majority, with 15% not sure</w:t>
      </w:r>
    </w:p>
    <w:p w14:paraId="2DA2B293" w14:textId="77777777" w:rsidR="008D6AE6" w:rsidRPr="00AB64EA" w:rsidRDefault="008D6AE6" w:rsidP="008D6AE6">
      <w:pPr>
        <w:rPr>
          <w:sz w:val="16"/>
          <w:szCs w:val="16"/>
        </w:rPr>
      </w:pPr>
      <w:r w:rsidRPr="00AB64EA">
        <w:rPr>
          <w:sz w:val="16"/>
          <w:szCs w:val="16"/>
        </w:rPr>
        <w:t>Most supporters of Republican House candidates also expect Republicans to win a majority — but by smaller margins. 68% of those who prefer Republican candidates expect a GOP majority, compared to 8% who expect a Democratic majority and 24% who are not sure</w:t>
      </w:r>
    </w:p>
    <w:p w14:paraId="075217FB" w14:textId="77777777" w:rsidR="008D6AE6" w:rsidRDefault="008D6AE6" w:rsidP="008D6AE6"/>
    <w:p w14:paraId="60449814" w14:textId="77777777" w:rsidR="008D6AE6" w:rsidRDefault="008D6AE6" w:rsidP="008D6AE6">
      <w:pPr>
        <w:pStyle w:val="Heading4"/>
      </w:pPr>
      <w:r>
        <w:t>Voters support sectoral bargaining</w:t>
      </w:r>
    </w:p>
    <w:p w14:paraId="428B2569" w14:textId="77777777" w:rsidR="008D6AE6" w:rsidRPr="009236CF" w:rsidRDefault="008D6AE6" w:rsidP="008D6AE6">
      <w:r w:rsidRPr="009E3468">
        <w:rPr>
          <w:rStyle w:val="Style13ptBold"/>
        </w:rPr>
        <w:t>Blank &amp; Hertz 22</w:t>
      </w:r>
      <w:r>
        <w:t xml:space="preserve"> (Lew &amp; Zachary – polling analysts at </w:t>
      </w:r>
      <w:r>
        <w:rPr>
          <w:i/>
          <w:iCs/>
        </w:rPr>
        <w:t>Data for Progress</w:t>
      </w:r>
      <w:r>
        <w:t>, “Voters Strongly Support Unions and Oppose Companies’ Anti-Union Tactics,” 11/21/22, https://www.dataforprogress.org/blog/2022/11/21/voters-strongly-support-unions-and-oppose-companies-anti-union-tactics)</w:t>
      </w:r>
    </w:p>
    <w:p w14:paraId="6F27076E" w14:textId="77777777" w:rsidR="008D6AE6" w:rsidRPr="009236CF" w:rsidRDefault="008D6AE6" w:rsidP="008D6AE6">
      <w:pPr>
        <w:rPr>
          <w:rStyle w:val="Emphasis"/>
        </w:rPr>
      </w:pPr>
      <w:r w:rsidRPr="006376E2">
        <w:rPr>
          <w:rStyle w:val="Emphasis"/>
          <w:highlight w:val="cyan"/>
        </w:rPr>
        <w:t>Voters Strongly Support Allowing Workers to Organize and Bargain Across Industries</w:t>
      </w:r>
    </w:p>
    <w:p w14:paraId="47550271" w14:textId="77777777" w:rsidR="008D6AE6" w:rsidRPr="00AA3EE8" w:rsidRDefault="008D6AE6" w:rsidP="008D6AE6">
      <w:pPr>
        <w:rPr>
          <w:sz w:val="16"/>
          <w:szCs w:val="16"/>
        </w:rPr>
      </w:pPr>
      <w:r w:rsidRPr="00AA3EE8">
        <w:rPr>
          <w:sz w:val="16"/>
          <w:szCs w:val="16"/>
        </w:rPr>
        <w:t>Under current law, workers are expected to unionize workplace by workplace. Forming a union across an entire industry — which would allow workers to negotiate for industry-wide wages, benefits, and working conditions — is very difficult.</w:t>
      </w:r>
    </w:p>
    <w:p w14:paraId="234B9014" w14:textId="77777777" w:rsidR="008D6AE6" w:rsidRPr="00AA3EE8" w:rsidRDefault="008D6AE6" w:rsidP="008D6AE6">
      <w:pPr>
        <w:rPr>
          <w:rStyle w:val="StyleUnderline"/>
        </w:rPr>
      </w:pPr>
      <w:r w:rsidRPr="00AA3EE8">
        <w:rPr>
          <w:sz w:val="16"/>
        </w:rPr>
        <w:t xml:space="preserve">Voters think this should change. We find that </w:t>
      </w:r>
      <w:r w:rsidRPr="006376E2">
        <w:rPr>
          <w:rStyle w:val="Emphasis"/>
          <w:highlight w:val="cyan"/>
        </w:rPr>
        <w:t>60 percent of voters</w:t>
      </w:r>
      <w:r w:rsidRPr="006376E2">
        <w:rPr>
          <w:sz w:val="16"/>
          <w:highlight w:val="cyan"/>
        </w:rPr>
        <w:t xml:space="preserve"> </w:t>
      </w:r>
      <w:r w:rsidRPr="006376E2">
        <w:rPr>
          <w:rStyle w:val="StyleUnderline"/>
          <w:highlight w:val="cyan"/>
        </w:rPr>
        <w:t>— including 77 percent of Democrats, 55 percent of Independents, and a plurality</w:t>
      </w:r>
      <w:r w:rsidRPr="00AA3EE8">
        <w:rPr>
          <w:rStyle w:val="StyleUnderline"/>
        </w:rPr>
        <w:t xml:space="preserve"> (47 percent) </w:t>
      </w:r>
      <w:r w:rsidRPr="006376E2">
        <w:rPr>
          <w:rStyle w:val="StyleUnderline"/>
          <w:highlight w:val="cyan"/>
        </w:rPr>
        <w:t>of Republicans — support allowing workers to unionize across their industry.</w:t>
      </w:r>
    </w:p>
    <w:p w14:paraId="25056F24" w14:textId="77777777" w:rsidR="008D6AE6" w:rsidRDefault="008D6AE6" w:rsidP="008D6AE6"/>
    <w:p w14:paraId="740A088D" w14:textId="77777777" w:rsidR="008D6AE6" w:rsidRDefault="008D6AE6" w:rsidP="008D6AE6">
      <w:pPr>
        <w:pStyle w:val="Heading4"/>
      </w:pPr>
      <w:r w:rsidRPr="00352684">
        <w:rPr>
          <w:u w:val="single"/>
        </w:rPr>
        <w:t>Labor support</w:t>
      </w:r>
      <w:r>
        <w:t xml:space="preserve"> wins the Midterms for the GOP—the plan aligns </w:t>
      </w:r>
      <w:r w:rsidRPr="00136BF8">
        <w:rPr>
          <w:u w:val="single"/>
        </w:rPr>
        <w:t>policy</w:t>
      </w:r>
      <w:r w:rsidRPr="00DD09EC">
        <w:t xml:space="preserve"> </w:t>
      </w:r>
      <w:r>
        <w:t xml:space="preserve">with pro-worker </w:t>
      </w:r>
      <w:r w:rsidRPr="00136BF8">
        <w:rPr>
          <w:u w:val="single"/>
        </w:rPr>
        <w:t xml:space="preserve">rhetoric </w:t>
      </w:r>
    </w:p>
    <w:p w14:paraId="3FF70E4C" w14:textId="77777777" w:rsidR="008D6AE6" w:rsidRPr="00AB20E3" w:rsidRDefault="008D6AE6" w:rsidP="008D6AE6">
      <w:r w:rsidRPr="00AB20E3">
        <w:rPr>
          <w:rStyle w:val="Style13ptBold"/>
        </w:rPr>
        <w:t>Fandos 24</w:t>
      </w:r>
      <w:r>
        <w:t xml:space="preserve"> (Nicholas – </w:t>
      </w:r>
      <w:r>
        <w:rPr>
          <w:i/>
          <w:iCs/>
        </w:rPr>
        <w:t>New York Times</w:t>
      </w:r>
      <w:r>
        <w:t xml:space="preserve"> reporter covering politics and government, “Republicans Pick Up Unlikely Allies in Key House Races: Unions,” 9/25/24, https://www.nytimes.com/2024/09/25/nyregion/republicans-union-labor-endorsement.html)</w:t>
      </w:r>
    </w:p>
    <w:p w14:paraId="03EC43DE" w14:textId="77777777" w:rsidR="008D6AE6" w:rsidRPr="0086424F" w:rsidRDefault="008D6AE6" w:rsidP="008D6AE6">
      <w:pPr>
        <w:rPr>
          <w:sz w:val="16"/>
          <w:szCs w:val="16"/>
        </w:rPr>
      </w:pPr>
      <w:r w:rsidRPr="0086424F">
        <w:rPr>
          <w:sz w:val="16"/>
          <w:szCs w:val="16"/>
        </w:rPr>
        <w:t>The president of the International Brotherhood of Teamsters praised one Republican congressman on national television. A major transportation union rated another among its most loyal supporters in Congress. And an influential building trades group said a third would help begin “restoring the sense of unity” the country had lost.</w:t>
      </w:r>
    </w:p>
    <w:p w14:paraId="19F44F5A" w14:textId="77777777" w:rsidR="008D6AE6" w:rsidRPr="003B26A6" w:rsidRDefault="008D6AE6" w:rsidP="008D6AE6">
      <w:pPr>
        <w:rPr>
          <w:rStyle w:val="StyleUnderline"/>
        </w:rPr>
      </w:pPr>
      <w:r w:rsidRPr="003B26A6">
        <w:rPr>
          <w:rStyle w:val="StyleUnderline"/>
        </w:rPr>
        <w:t xml:space="preserve">After years of antagonism between the labor movement and Republican Party leadership, a growing number of </w:t>
      </w:r>
      <w:r w:rsidRPr="006376E2">
        <w:rPr>
          <w:rStyle w:val="StyleUnderline"/>
          <w:highlight w:val="cyan"/>
        </w:rPr>
        <w:t xml:space="preserve">moderate Republican lawmakers are trying to </w:t>
      </w:r>
      <w:r w:rsidRPr="006376E2">
        <w:rPr>
          <w:rStyle w:val="Emphasis"/>
          <w:highlight w:val="cyan"/>
        </w:rPr>
        <w:t>break from their party’s union-hostile policies</w:t>
      </w:r>
      <w:r w:rsidRPr="006376E2">
        <w:rPr>
          <w:rStyle w:val="StyleUnderline"/>
          <w:highlight w:val="cyan"/>
        </w:rPr>
        <w:t xml:space="preserve"> as they </w:t>
      </w:r>
      <w:r w:rsidRPr="006376E2">
        <w:rPr>
          <w:rStyle w:val="Emphasis"/>
          <w:highlight w:val="cyan"/>
        </w:rPr>
        <w:t>defend House swing seats</w:t>
      </w:r>
      <w:r w:rsidRPr="003B26A6">
        <w:rPr>
          <w:rStyle w:val="Emphasis"/>
        </w:rPr>
        <w:t xml:space="preserve"> </w:t>
      </w:r>
      <w:r w:rsidRPr="003B26A6">
        <w:rPr>
          <w:rStyle w:val="StyleUnderline"/>
        </w:rPr>
        <w:t>this fall, and they have found surprising support.</w:t>
      </w:r>
    </w:p>
    <w:p w14:paraId="4C94EFE9" w14:textId="77777777" w:rsidR="008D6AE6" w:rsidRPr="0086424F" w:rsidRDefault="008D6AE6" w:rsidP="008D6AE6">
      <w:pPr>
        <w:rPr>
          <w:rStyle w:val="Emphasis"/>
        </w:rPr>
      </w:pPr>
      <w:r w:rsidRPr="0086424F">
        <w:rPr>
          <w:sz w:val="16"/>
        </w:rPr>
        <w:t xml:space="preserve">The shift remains nascent, largely limited to building trades and other blue-collar groups in the union-heavy Northeast. Yet, </w:t>
      </w:r>
      <w:r w:rsidRPr="006376E2">
        <w:rPr>
          <w:rStyle w:val="StyleUnderline"/>
          <w:highlight w:val="cyan"/>
        </w:rPr>
        <w:t>with</w:t>
      </w:r>
      <w:r w:rsidRPr="0086424F">
        <w:rPr>
          <w:sz w:val="16"/>
        </w:rPr>
        <w:t xml:space="preserve"> the </w:t>
      </w:r>
      <w:r w:rsidRPr="006376E2">
        <w:rPr>
          <w:rStyle w:val="StyleUnderline"/>
          <w:highlight w:val="cyan"/>
        </w:rPr>
        <w:t>elections looming, it has</w:t>
      </w:r>
      <w:r w:rsidRPr="0086424F">
        <w:rPr>
          <w:rStyle w:val="StyleUnderline"/>
        </w:rPr>
        <w:t xml:space="preserve"> already </w:t>
      </w:r>
      <w:r w:rsidRPr="006376E2">
        <w:rPr>
          <w:rStyle w:val="StyleUnderline"/>
          <w:highlight w:val="cyan"/>
        </w:rPr>
        <w:t>injected a</w:t>
      </w:r>
      <w:r w:rsidRPr="0086424F">
        <w:rPr>
          <w:rStyle w:val="StyleUnderline"/>
        </w:rPr>
        <w:t xml:space="preserve">n unpredictable </w:t>
      </w:r>
      <w:r w:rsidRPr="006376E2">
        <w:rPr>
          <w:rStyle w:val="StyleUnderline"/>
          <w:highlight w:val="cyan"/>
        </w:rPr>
        <w:t>new element into</w:t>
      </w:r>
      <w:r w:rsidRPr="0086424F">
        <w:rPr>
          <w:rStyle w:val="StyleUnderline"/>
        </w:rPr>
        <w:t xml:space="preserve"> a half-dozen </w:t>
      </w:r>
      <w:r w:rsidRPr="006376E2">
        <w:rPr>
          <w:rStyle w:val="StyleUnderline"/>
          <w:highlight w:val="cyan"/>
        </w:rPr>
        <w:t xml:space="preserve">races that could </w:t>
      </w:r>
      <w:r w:rsidRPr="006376E2">
        <w:rPr>
          <w:rStyle w:val="Emphasis"/>
          <w:highlight w:val="cyan"/>
        </w:rPr>
        <w:t>determine control of the House</w:t>
      </w:r>
      <w:r w:rsidRPr="0086424F">
        <w:rPr>
          <w:rStyle w:val="Emphasis"/>
        </w:rPr>
        <w:t xml:space="preserve"> of Representatives.</w:t>
      </w:r>
    </w:p>
    <w:p w14:paraId="08C48AAD" w14:textId="77777777" w:rsidR="008D6AE6" w:rsidRPr="00A644AD" w:rsidRDefault="008D6AE6" w:rsidP="008D6AE6">
      <w:pPr>
        <w:rPr>
          <w:sz w:val="16"/>
          <w:szCs w:val="16"/>
        </w:rPr>
      </w:pPr>
      <w:r w:rsidRPr="00A644AD">
        <w:rPr>
          <w:sz w:val="16"/>
          <w:szCs w:val="16"/>
        </w:rPr>
        <w:t>In New York’s Hudson Valley, Representative Mike Lawler has collected tens of thousands of dollars more in union donations than his Democratic opponent. Further upstate, a 1,500-member electrical workers’ union that once opposed Representative Marc Molinaro is now working to re-elect him. And in New Jersey, the state’s Building and Construction Trades Council not only flipped sides to support Representative Tom Kean Jr. but helped keep the Democrat-aligned A.F.L.-C.I.O. on the sidelines.</w:t>
      </w:r>
    </w:p>
    <w:p w14:paraId="7708B7D5" w14:textId="77777777" w:rsidR="008D6AE6" w:rsidRPr="00A644AD" w:rsidRDefault="008D6AE6" w:rsidP="008D6AE6">
      <w:pPr>
        <w:rPr>
          <w:rStyle w:val="StyleUnderline"/>
        </w:rPr>
      </w:pPr>
      <w:r w:rsidRPr="00A644AD">
        <w:rPr>
          <w:rStyle w:val="StyleUnderline"/>
        </w:rPr>
        <w:t>“Institutionally, the Republicans are still anti-worker,”</w:t>
      </w:r>
      <w:r w:rsidRPr="00A644AD">
        <w:rPr>
          <w:sz w:val="16"/>
        </w:rPr>
        <w:t xml:space="preserve"> said John Samuelsen, the head of the 150,000-member Transport Workers Union of America, a group that has turned heads by wading into several hard-fought contests to back Republicans. But he said he was also frustrated with the </w:t>
      </w:r>
      <w:r w:rsidRPr="00A644AD">
        <w:rPr>
          <w:rStyle w:val="StyleUnderline"/>
        </w:rPr>
        <w:t>Democrats</w:t>
      </w:r>
      <w:r w:rsidRPr="00A644AD">
        <w:rPr>
          <w:sz w:val="16"/>
        </w:rPr>
        <w:t xml:space="preserve"> who </w:t>
      </w:r>
      <w:r w:rsidRPr="00A644AD">
        <w:rPr>
          <w:rStyle w:val="StyleUnderline"/>
        </w:rPr>
        <w:t>appear</w:t>
      </w:r>
      <w:r w:rsidRPr="00A644AD">
        <w:rPr>
          <w:sz w:val="16"/>
        </w:rPr>
        <w:t xml:space="preserve">ed </w:t>
      </w:r>
      <w:r w:rsidRPr="00A644AD">
        <w:rPr>
          <w:rStyle w:val="StyleUnderline"/>
        </w:rPr>
        <w:t>to be taking union support for granted.</w:t>
      </w:r>
    </w:p>
    <w:p w14:paraId="24814DEF" w14:textId="77777777" w:rsidR="008D6AE6" w:rsidRDefault="008D6AE6" w:rsidP="008D6AE6">
      <w:r w:rsidRPr="00A644AD">
        <w:rPr>
          <w:rStyle w:val="StyleUnderline"/>
        </w:rPr>
        <w:t>“It makes it more important that those individual Republicans who stand up and support workers and their trade unions not be abandoned,”</w:t>
      </w:r>
      <w:r w:rsidRPr="00A644AD">
        <w:rPr>
          <w:sz w:val="16"/>
        </w:rPr>
        <w:t xml:space="preserve"> Mr. Samuelsen said.</w:t>
      </w:r>
    </w:p>
    <w:p w14:paraId="0F977E81" w14:textId="77777777" w:rsidR="008D6AE6" w:rsidRPr="00A644AD" w:rsidRDefault="008D6AE6" w:rsidP="008D6AE6">
      <w:pPr>
        <w:rPr>
          <w:sz w:val="16"/>
        </w:rPr>
      </w:pPr>
      <w:r w:rsidRPr="00A644AD">
        <w:rPr>
          <w:sz w:val="16"/>
        </w:rPr>
        <w:t xml:space="preserve">The high-profile endorsements, which often bring five-figure checks and armies of door knockers, reflect an emerging trend in American politics, where </w:t>
      </w:r>
      <w:r w:rsidRPr="00A644AD">
        <w:rPr>
          <w:rStyle w:val="StyleUnderline"/>
        </w:rPr>
        <w:t xml:space="preserve">the </w:t>
      </w:r>
      <w:r w:rsidRPr="00410BD6">
        <w:rPr>
          <w:rStyle w:val="StyleUnderline"/>
        </w:rPr>
        <w:t>ties that once bound Democrats and organized labor together appear to be loosening</w:t>
      </w:r>
      <w:r w:rsidRPr="00410BD6">
        <w:rPr>
          <w:sz w:val="16"/>
        </w:rPr>
        <w:t>,</w:t>
      </w:r>
      <w:r w:rsidRPr="00A644AD">
        <w:rPr>
          <w:sz w:val="16"/>
        </w:rPr>
        <w:t xml:space="preserve"> if not exactly broken.</w:t>
      </w:r>
    </w:p>
    <w:p w14:paraId="41DCC293" w14:textId="77777777" w:rsidR="008D6AE6" w:rsidRPr="00F75603" w:rsidRDefault="008D6AE6" w:rsidP="008D6AE6">
      <w:pPr>
        <w:rPr>
          <w:sz w:val="16"/>
        </w:rPr>
      </w:pPr>
      <w:r w:rsidRPr="00F75603">
        <w:rPr>
          <w:sz w:val="16"/>
        </w:rPr>
        <w:t xml:space="preserve">Last week, the 1.3-million-member Teamsters voted to stay neutral in the race for president, a blow to Democrats after years of support. </w:t>
      </w:r>
      <w:r w:rsidRPr="006376E2">
        <w:rPr>
          <w:rStyle w:val="StyleUnderline"/>
          <w:highlight w:val="cyan"/>
        </w:rPr>
        <w:t>Prominent Republicans</w:t>
      </w:r>
      <w:r w:rsidRPr="00F75603">
        <w:rPr>
          <w:sz w:val="16"/>
        </w:rPr>
        <w:t xml:space="preserve">, </w:t>
      </w:r>
      <w:r w:rsidRPr="00F75603">
        <w:rPr>
          <w:rStyle w:val="StyleUnderline"/>
        </w:rPr>
        <w:t>including</w:t>
      </w:r>
      <w:r w:rsidRPr="00F75603">
        <w:rPr>
          <w:sz w:val="16"/>
        </w:rPr>
        <w:t xml:space="preserve"> former President </w:t>
      </w:r>
      <w:r w:rsidRPr="00F75603">
        <w:rPr>
          <w:rStyle w:val="StyleUnderline"/>
        </w:rPr>
        <w:t>Trump and</w:t>
      </w:r>
      <w:r w:rsidRPr="00F75603">
        <w:rPr>
          <w:sz w:val="16"/>
        </w:rPr>
        <w:t xml:space="preserve"> his running mate, Senator JD </w:t>
      </w:r>
      <w:r w:rsidRPr="00F75603">
        <w:rPr>
          <w:rStyle w:val="StyleUnderline"/>
        </w:rPr>
        <w:t>Vance</w:t>
      </w:r>
      <w:r w:rsidRPr="00F75603">
        <w:rPr>
          <w:sz w:val="16"/>
        </w:rPr>
        <w:t xml:space="preserve"> of Ohio, </w:t>
      </w:r>
      <w:r w:rsidRPr="00F71003">
        <w:rPr>
          <w:rStyle w:val="StyleUnderline"/>
        </w:rPr>
        <w:t>have begun</w:t>
      </w:r>
      <w:r w:rsidRPr="00F75603">
        <w:rPr>
          <w:rStyle w:val="StyleUnderline"/>
        </w:rPr>
        <w:t xml:space="preserve"> to </w:t>
      </w:r>
      <w:r w:rsidRPr="006376E2">
        <w:rPr>
          <w:rStyle w:val="StyleUnderline"/>
          <w:highlight w:val="cyan"/>
        </w:rPr>
        <w:t>speak in</w:t>
      </w:r>
      <w:r w:rsidRPr="00F75603">
        <w:rPr>
          <w:rStyle w:val="StyleUnderline"/>
        </w:rPr>
        <w:t xml:space="preserve"> more explicitly </w:t>
      </w:r>
      <w:r w:rsidRPr="006376E2">
        <w:rPr>
          <w:rStyle w:val="StyleUnderline"/>
          <w:highlight w:val="cyan"/>
        </w:rPr>
        <w:t>pro-worker terms, though</w:t>
      </w:r>
      <w:r w:rsidRPr="00F75603">
        <w:rPr>
          <w:rStyle w:val="StyleUnderline"/>
        </w:rPr>
        <w:t xml:space="preserve"> many </w:t>
      </w:r>
      <w:r w:rsidRPr="006376E2">
        <w:rPr>
          <w:rStyle w:val="StyleUnderline"/>
          <w:highlight w:val="cyan"/>
        </w:rPr>
        <w:t xml:space="preserve">labor leaders say their </w:t>
      </w:r>
      <w:r w:rsidRPr="006376E2">
        <w:rPr>
          <w:rStyle w:val="Emphasis"/>
          <w:highlight w:val="cyan"/>
        </w:rPr>
        <w:t>policies do not match their rhetoric.</w:t>
      </w:r>
      <w:r w:rsidRPr="00F75603">
        <w:rPr>
          <w:sz w:val="16"/>
        </w:rPr>
        <w:t xml:space="preserve"> And leaders of some of the nation’s oldest unions increasingly find themselves grappling with how to respond to members shifting rightward.</w:t>
      </w:r>
    </w:p>
    <w:p w14:paraId="4D216595" w14:textId="77777777" w:rsidR="008D6AE6" w:rsidRPr="00916F41" w:rsidRDefault="008D6AE6" w:rsidP="008D6AE6">
      <w:pPr>
        <w:rPr>
          <w:sz w:val="18"/>
          <w:szCs w:val="18"/>
        </w:rPr>
      </w:pPr>
      <w:r w:rsidRPr="00916F41">
        <w:rPr>
          <w:sz w:val="18"/>
          <w:szCs w:val="18"/>
        </w:rPr>
        <w:t>“That might be giving cover to more down-ballot Republicans,” said Jake Rosenfeld, a sociologist who studies unions at Washington University in St. Louis. “Ten or 15 years ago, if you staked out a real pro-union position as a G.O.P. lawmaker, you were going to be hearing from the Chamber of Commerce or the National Association of Manufacturers.”</w:t>
      </w:r>
    </w:p>
    <w:p w14:paraId="1542D95A" w14:textId="77777777" w:rsidR="008D6AE6" w:rsidRDefault="008D6AE6" w:rsidP="008D6AE6">
      <w:pPr>
        <w:rPr>
          <w:sz w:val="16"/>
        </w:rPr>
      </w:pPr>
      <w:r w:rsidRPr="00AF4C52">
        <w:rPr>
          <w:sz w:val="16"/>
        </w:rPr>
        <w:t xml:space="preserve">Democrats say they see little reason for concern, arguing that endorsements represent tactical transactions between union leaders and </w:t>
      </w:r>
      <w:r w:rsidRPr="006376E2">
        <w:rPr>
          <w:rStyle w:val="Emphasis"/>
          <w:highlight w:val="cyan"/>
        </w:rPr>
        <w:t>Republican candidates</w:t>
      </w:r>
      <w:r w:rsidRPr="00AF4C52">
        <w:rPr>
          <w:sz w:val="16"/>
        </w:rPr>
        <w:t xml:space="preserve"> who </w:t>
      </w:r>
      <w:r w:rsidRPr="00F71003">
        <w:rPr>
          <w:rStyle w:val="StyleUnderline"/>
        </w:rPr>
        <w:t xml:space="preserve">know they </w:t>
      </w:r>
      <w:r w:rsidRPr="006376E2">
        <w:rPr>
          <w:rStyle w:val="Emphasis"/>
          <w:highlight w:val="cyan"/>
        </w:rPr>
        <w:t>need labor support to win on contested turf</w:t>
      </w:r>
      <w:r w:rsidRPr="00AF4C52">
        <w:rPr>
          <w:sz w:val="16"/>
        </w:rPr>
        <w:t>, rather than a more lasting realignment in the labor movement.</w:t>
      </w:r>
    </w:p>
    <w:p w14:paraId="40990B77" w14:textId="77777777" w:rsidR="008D6AE6" w:rsidRDefault="008D6AE6" w:rsidP="008D6AE6">
      <w:pPr>
        <w:pStyle w:val="Heading4"/>
      </w:pPr>
      <w:r w:rsidRPr="000002A7">
        <w:t>Congressional oversight s</w:t>
      </w:r>
      <w:r>
        <w:t xml:space="preserve">olves </w:t>
      </w:r>
      <w:r w:rsidRPr="000002A7">
        <w:rPr>
          <w:u w:val="single"/>
        </w:rPr>
        <w:t>nuclear war</w:t>
      </w:r>
      <w:r>
        <w:t xml:space="preserve"> and </w:t>
      </w:r>
      <w:r w:rsidRPr="000002A7">
        <w:rPr>
          <w:u w:val="single"/>
        </w:rPr>
        <w:t xml:space="preserve">miscalculation </w:t>
      </w:r>
    </w:p>
    <w:p w14:paraId="4A59AFCB" w14:textId="77777777" w:rsidR="008D6AE6" w:rsidRPr="000002A7" w:rsidRDefault="008D6AE6" w:rsidP="008D6AE6">
      <w:r w:rsidRPr="000002A7">
        <w:rPr>
          <w:rStyle w:val="Style13ptBold"/>
        </w:rPr>
        <w:t>HASC 21</w:t>
      </w:r>
      <w:r>
        <w:t xml:space="preserve"> (House Armed Services Committee, “OVERSIGHT PLAN FOR THE 117TH CONGRESS,” https://democrats-armedservices.house.gov/_cache/files/4/2/42937d09-ea23-4c07-bd55-8d09038727fe/A097F023F15DDC42E5ECCAB671E4EA2A.hasc-oversight-plan-117th-congress.pdf)</w:t>
      </w:r>
    </w:p>
    <w:p w14:paraId="6DB9D73C" w14:textId="77777777" w:rsidR="008D6AE6" w:rsidRPr="000002A7" w:rsidRDefault="008D6AE6" w:rsidP="008D6AE6">
      <w:pPr>
        <w:rPr>
          <w:sz w:val="16"/>
          <w:szCs w:val="16"/>
        </w:rPr>
      </w:pPr>
      <w:r w:rsidRPr="000002A7">
        <w:rPr>
          <w:sz w:val="16"/>
          <w:szCs w:val="16"/>
        </w:rPr>
        <w:t>Strategic Deterrence</w:t>
      </w:r>
    </w:p>
    <w:p w14:paraId="0D83067F" w14:textId="77777777" w:rsidR="008D6AE6" w:rsidRPr="000002A7" w:rsidRDefault="008D6AE6" w:rsidP="008D6AE6">
      <w:pPr>
        <w:rPr>
          <w:sz w:val="14"/>
        </w:rPr>
      </w:pPr>
      <w:r w:rsidRPr="000002A7">
        <w:rPr>
          <w:rStyle w:val="StyleUnderline"/>
        </w:rPr>
        <w:t>With regard to strategic deterrence</w:t>
      </w:r>
      <w:r w:rsidRPr="000002A7">
        <w:rPr>
          <w:sz w:val="14"/>
        </w:rPr>
        <w:t xml:space="preserve">, </w:t>
      </w:r>
      <w:r w:rsidRPr="009D00D3">
        <w:rPr>
          <w:rStyle w:val="StyleUnderline"/>
        </w:rPr>
        <w:t>the committee</w:t>
      </w:r>
      <w:r w:rsidRPr="009D00D3">
        <w:rPr>
          <w:sz w:val="14"/>
        </w:rPr>
        <w:t xml:space="preserve"> will continue to </w:t>
      </w:r>
      <w:r w:rsidRPr="009D00D3">
        <w:rPr>
          <w:rStyle w:val="StyleUnderline"/>
        </w:rPr>
        <w:t xml:space="preserve">conduct </w:t>
      </w:r>
      <w:r w:rsidRPr="006376E2">
        <w:rPr>
          <w:rStyle w:val="Emphasis"/>
          <w:highlight w:val="cyan"/>
        </w:rPr>
        <w:t>oversight of nuclear deterrence</w:t>
      </w:r>
      <w:r w:rsidRPr="000002A7">
        <w:rPr>
          <w:rStyle w:val="StyleUnderline"/>
        </w:rPr>
        <w:t xml:space="preserve"> </w:t>
      </w:r>
      <w:r w:rsidRPr="006376E2">
        <w:rPr>
          <w:rStyle w:val="StyleUnderline"/>
          <w:highlight w:val="cyan"/>
        </w:rPr>
        <w:t>policy and posture</w:t>
      </w:r>
      <w:r w:rsidRPr="000002A7">
        <w:rPr>
          <w:rStyle w:val="StyleUnderline"/>
        </w:rPr>
        <w:t xml:space="preserve">. This oversight </w:t>
      </w:r>
      <w:r w:rsidRPr="009D00D3">
        <w:rPr>
          <w:rStyle w:val="StyleUnderline"/>
        </w:rPr>
        <w:t xml:space="preserve">will </w:t>
      </w:r>
      <w:r w:rsidRPr="006376E2">
        <w:rPr>
          <w:rStyle w:val="StyleUnderline"/>
          <w:highlight w:val="cyan"/>
        </w:rPr>
        <w:t>include examining adversaries nuclear developments; the role</w:t>
      </w:r>
      <w:r w:rsidRPr="000002A7">
        <w:rPr>
          <w:rStyle w:val="StyleUnderline"/>
        </w:rPr>
        <w:t xml:space="preserve"> of nuclear weapons </w:t>
      </w:r>
      <w:r w:rsidRPr="006376E2">
        <w:rPr>
          <w:rStyle w:val="StyleUnderline"/>
          <w:highlight w:val="cyan"/>
        </w:rPr>
        <w:t>and purpose of nuclear deterrence</w:t>
      </w:r>
      <w:r w:rsidRPr="000002A7">
        <w:rPr>
          <w:rStyle w:val="StyleUnderline"/>
        </w:rPr>
        <w:t xml:space="preserve">; </w:t>
      </w:r>
      <w:r w:rsidRPr="009D00D3">
        <w:rPr>
          <w:rStyle w:val="StyleUnderline"/>
        </w:rPr>
        <w:t xml:space="preserve">options, such as </w:t>
      </w:r>
      <w:r w:rsidRPr="006376E2">
        <w:rPr>
          <w:rStyle w:val="StyleUnderline"/>
          <w:highlight w:val="cyan"/>
        </w:rPr>
        <w:t xml:space="preserve">arms control, to </w:t>
      </w:r>
      <w:r w:rsidRPr="006376E2">
        <w:rPr>
          <w:rStyle w:val="Emphasis"/>
          <w:highlight w:val="cyan"/>
        </w:rPr>
        <w:t>reduce</w:t>
      </w:r>
      <w:r w:rsidRPr="009D00D3">
        <w:rPr>
          <w:rStyle w:val="Emphasis"/>
        </w:rPr>
        <w:t xml:space="preserve"> the </w:t>
      </w:r>
      <w:r w:rsidRPr="006376E2">
        <w:rPr>
          <w:rStyle w:val="Emphasis"/>
          <w:highlight w:val="cyan"/>
        </w:rPr>
        <w:t>risk of miscalc</w:t>
      </w:r>
      <w:r w:rsidRPr="009D00D3">
        <w:rPr>
          <w:rStyle w:val="Emphasis"/>
        </w:rPr>
        <w:t>ulation</w:t>
      </w:r>
      <w:r w:rsidRPr="009D00D3">
        <w:rPr>
          <w:rStyle w:val="StyleUnderline"/>
        </w:rPr>
        <w:t xml:space="preserve"> </w:t>
      </w:r>
      <w:r w:rsidRPr="006376E2">
        <w:rPr>
          <w:rStyle w:val="StyleUnderline"/>
          <w:highlight w:val="cyan"/>
        </w:rPr>
        <w:t>that</w:t>
      </w:r>
      <w:r w:rsidRPr="00D95B21">
        <w:rPr>
          <w:rStyle w:val="StyleUnderline"/>
        </w:rPr>
        <w:t xml:space="preserve"> </w:t>
      </w:r>
      <w:r w:rsidRPr="009D00D3">
        <w:rPr>
          <w:rStyle w:val="StyleUnderline"/>
        </w:rPr>
        <w:t xml:space="preserve">could </w:t>
      </w:r>
      <w:r w:rsidRPr="006376E2">
        <w:rPr>
          <w:rStyle w:val="Emphasis"/>
          <w:highlight w:val="cyan"/>
        </w:rPr>
        <w:t>lead to nuclear war</w:t>
      </w:r>
      <w:r w:rsidRPr="000002A7">
        <w:rPr>
          <w:rStyle w:val="Emphasis"/>
        </w:rPr>
        <w:t xml:space="preserve"> in a crisis</w:t>
      </w:r>
      <w:r w:rsidRPr="000002A7">
        <w:rPr>
          <w:rStyle w:val="StyleUnderline"/>
        </w:rPr>
        <w:t xml:space="preserve"> </w:t>
      </w:r>
      <w:r w:rsidRPr="006376E2">
        <w:rPr>
          <w:rStyle w:val="StyleUnderline"/>
          <w:highlight w:val="cyan"/>
        </w:rPr>
        <w:t>and reduce the risk of a</w:t>
      </w:r>
      <w:r w:rsidRPr="000002A7">
        <w:rPr>
          <w:sz w:val="14"/>
        </w:rPr>
        <w:t xml:space="preserve"> 8 </w:t>
      </w:r>
      <w:r w:rsidRPr="006376E2">
        <w:rPr>
          <w:rStyle w:val="Emphasis"/>
          <w:highlight w:val="cyan"/>
        </w:rPr>
        <w:t>nuclear arms race</w:t>
      </w:r>
      <w:r w:rsidRPr="006376E2">
        <w:rPr>
          <w:rStyle w:val="StyleUnderline"/>
          <w:highlight w:val="cyan"/>
        </w:rPr>
        <w:t xml:space="preserve"> or a </w:t>
      </w:r>
      <w:r w:rsidRPr="006376E2">
        <w:rPr>
          <w:rStyle w:val="Emphasis"/>
          <w:highlight w:val="cyan"/>
        </w:rPr>
        <w:t>lowered threshold</w:t>
      </w:r>
      <w:r w:rsidRPr="006376E2">
        <w:rPr>
          <w:rStyle w:val="StyleUnderline"/>
          <w:highlight w:val="cyan"/>
        </w:rPr>
        <w:t xml:space="preserve"> to nuclear</w:t>
      </w:r>
      <w:r w:rsidRPr="009D00D3">
        <w:rPr>
          <w:rStyle w:val="StyleUnderline"/>
        </w:rPr>
        <w:t xml:space="preserve"> weapons </w:t>
      </w:r>
      <w:r w:rsidRPr="006376E2">
        <w:rPr>
          <w:rStyle w:val="StyleUnderline"/>
          <w:highlight w:val="cyan"/>
        </w:rPr>
        <w:t>use</w:t>
      </w:r>
      <w:r w:rsidRPr="000002A7">
        <w:rPr>
          <w:sz w:val="14"/>
        </w:rPr>
        <w:t>; options to maintain credible nuclear extended deterrence; and the impact of proposed new nuclear weapons capabilities and policies on regional and strategic stability and on deterring adversaries.</w:t>
      </w:r>
    </w:p>
    <w:p w14:paraId="769CE69D" w14:textId="77777777" w:rsidR="008D6AE6" w:rsidRPr="000002A7" w:rsidRDefault="008D6AE6" w:rsidP="008D6AE6">
      <w:pPr>
        <w:rPr>
          <w:sz w:val="16"/>
          <w:szCs w:val="16"/>
        </w:rPr>
      </w:pPr>
      <w:r w:rsidRPr="000002A7">
        <w:rPr>
          <w:sz w:val="16"/>
          <w:szCs w:val="16"/>
        </w:rPr>
        <w:t>The committee will also conduct oversight of issues both within the space, conventional prompt strike, and missile defense portfolios that contribute to strategic deterrence, particularly in regards to alignment of acquisition objectives within the military services, Missile Defense Agency, and Space Development Agency, with any potential impacts to strategic deterrent policies and priorities of the Department of Defense.</w:t>
      </w:r>
    </w:p>
    <w:p w14:paraId="7C4802E0" w14:textId="77777777" w:rsidR="008D6AE6" w:rsidRPr="000002A7" w:rsidRDefault="008D6AE6" w:rsidP="008D6AE6">
      <w:pPr>
        <w:rPr>
          <w:sz w:val="16"/>
          <w:szCs w:val="16"/>
        </w:rPr>
      </w:pPr>
      <w:r w:rsidRPr="000002A7">
        <w:rPr>
          <w:sz w:val="16"/>
          <w:szCs w:val="16"/>
        </w:rPr>
        <w:t>Irregular Warfare, Emerging Threats, and Countering Violent Extremist Organizations</w:t>
      </w:r>
    </w:p>
    <w:p w14:paraId="71A356AA" w14:textId="77777777" w:rsidR="008D6AE6" w:rsidRDefault="008D6AE6" w:rsidP="008D6AE6">
      <w:pPr>
        <w:rPr>
          <w:sz w:val="16"/>
        </w:rPr>
      </w:pPr>
      <w:r w:rsidRPr="000002A7">
        <w:rPr>
          <w:rStyle w:val="StyleUnderline"/>
        </w:rPr>
        <w:t xml:space="preserve">The committee will conduct </w:t>
      </w:r>
      <w:r w:rsidRPr="006376E2">
        <w:rPr>
          <w:rStyle w:val="StyleUnderline"/>
          <w:highlight w:val="cyan"/>
        </w:rPr>
        <w:t>oversight as the D</w:t>
      </w:r>
      <w:r w:rsidRPr="000002A7">
        <w:rPr>
          <w:rStyle w:val="StyleUnderline"/>
          <w:sz w:val="2"/>
          <w:szCs w:val="2"/>
          <w:u w:val="none"/>
        </w:rPr>
        <w:t xml:space="preserve">epartment </w:t>
      </w:r>
      <w:r w:rsidRPr="006376E2">
        <w:rPr>
          <w:rStyle w:val="StyleUnderline"/>
          <w:highlight w:val="cyan"/>
        </w:rPr>
        <w:t>o</w:t>
      </w:r>
      <w:r w:rsidRPr="000002A7">
        <w:rPr>
          <w:rStyle w:val="StyleUnderline"/>
          <w:sz w:val="2"/>
          <w:szCs w:val="2"/>
          <w:u w:val="none"/>
        </w:rPr>
        <w:t xml:space="preserve">f </w:t>
      </w:r>
      <w:r w:rsidRPr="006376E2">
        <w:rPr>
          <w:rStyle w:val="StyleUnderline"/>
          <w:highlight w:val="cyan"/>
        </w:rPr>
        <w:t>D</w:t>
      </w:r>
      <w:r w:rsidRPr="000002A7">
        <w:rPr>
          <w:rStyle w:val="StyleUnderline"/>
        </w:rPr>
        <w:t xml:space="preserve">efense </w:t>
      </w:r>
      <w:r w:rsidRPr="006376E2">
        <w:rPr>
          <w:rStyle w:val="StyleUnderline"/>
          <w:highlight w:val="cyan"/>
        </w:rPr>
        <w:t>addresses</w:t>
      </w:r>
      <w:r w:rsidRPr="000002A7">
        <w:rPr>
          <w:rStyle w:val="StyleUnderline"/>
        </w:rPr>
        <w:t xml:space="preserve"> irregular threats</w:t>
      </w:r>
      <w:r w:rsidRPr="000002A7">
        <w:rPr>
          <w:sz w:val="16"/>
        </w:rPr>
        <w:t xml:space="preserve"> in concert with other Government agencies. </w:t>
      </w:r>
      <w:r w:rsidRPr="000002A7">
        <w:rPr>
          <w:rStyle w:val="StyleUnderline"/>
        </w:rPr>
        <w:t xml:space="preserve">Malign actors employ both military and non-military means to accomplish their strategic national objectives. </w:t>
      </w:r>
      <w:r w:rsidRPr="006376E2">
        <w:rPr>
          <w:rStyle w:val="Emphasis"/>
          <w:highlight w:val="cyan"/>
        </w:rPr>
        <w:t>Hybrid warfare</w:t>
      </w:r>
      <w:r w:rsidRPr="000002A7">
        <w:rPr>
          <w:rStyle w:val="Emphasis"/>
        </w:rPr>
        <w:t xml:space="preserve"> tactics</w:t>
      </w:r>
      <w:r w:rsidRPr="000002A7">
        <w:rPr>
          <w:rStyle w:val="StyleUnderline"/>
        </w:rPr>
        <w:t xml:space="preserve"> applied across the spectrum of </w:t>
      </w:r>
      <w:r w:rsidRPr="006376E2">
        <w:rPr>
          <w:rStyle w:val="StyleUnderline"/>
          <w:highlight w:val="cyan"/>
        </w:rPr>
        <w:t>conflict</w:t>
      </w:r>
      <w:r w:rsidRPr="000002A7">
        <w:rPr>
          <w:rStyle w:val="StyleUnderline"/>
        </w:rPr>
        <w:t xml:space="preserve"> by threat actors </w:t>
      </w:r>
      <w:r w:rsidRPr="006376E2">
        <w:rPr>
          <w:rStyle w:val="StyleUnderline"/>
          <w:highlight w:val="cyan"/>
        </w:rPr>
        <w:t>undermine</w:t>
      </w:r>
      <w:r w:rsidRPr="000002A7">
        <w:rPr>
          <w:rStyle w:val="StyleUnderline"/>
        </w:rPr>
        <w:t xml:space="preserve"> the </w:t>
      </w:r>
      <w:r w:rsidRPr="006376E2">
        <w:rPr>
          <w:rStyle w:val="StyleUnderline"/>
          <w:highlight w:val="cyan"/>
        </w:rPr>
        <w:t>national security</w:t>
      </w:r>
      <w:r w:rsidRPr="000002A7">
        <w:rPr>
          <w:rStyle w:val="StyleUnderline"/>
        </w:rPr>
        <w:t xml:space="preserve"> interests of the United States</w:t>
      </w:r>
      <w:r w:rsidRPr="000002A7">
        <w:rPr>
          <w:sz w:val="16"/>
        </w:rPr>
        <w:t>, our allies, and our partners.</w:t>
      </w:r>
    </w:p>
    <w:p w14:paraId="2240AB60" w14:textId="77777777" w:rsidR="008D6AE6" w:rsidRPr="000002A7" w:rsidRDefault="008D6AE6" w:rsidP="008D6AE6">
      <w:pPr>
        <w:rPr>
          <w:sz w:val="16"/>
        </w:rPr>
      </w:pPr>
      <w:r>
        <w:rPr>
          <w:sz w:val="16"/>
        </w:rPr>
        <w:t xml:space="preserve">During the 117th </w:t>
      </w:r>
      <w:r w:rsidRPr="006376E2">
        <w:rPr>
          <w:rStyle w:val="Emphasis"/>
          <w:highlight w:val="cyan"/>
        </w:rPr>
        <w:t>Congress</w:t>
      </w:r>
      <w:r>
        <w:rPr>
          <w:sz w:val="16"/>
        </w:rPr>
        <w:t xml:space="preserve">, the committee </w:t>
      </w:r>
      <w:r w:rsidRPr="002F5008">
        <w:rPr>
          <w:rStyle w:val="StyleUnderline"/>
        </w:rPr>
        <w:t xml:space="preserve">will </w:t>
      </w:r>
      <w:r w:rsidRPr="006376E2">
        <w:rPr>
          <w:rStyle w:val="StyleUnderline"/>
          <w:highlight w:val="cyan"/>
        </w:rPr>
        <w:t>conduct oversight to ensure</w:t>
      </w:r>
      <w:r>
        <w:rPr>
          <w:rStyle w:val="StyleUnderline"/>
        </w:rPr>
        <w:t xml:space="preserve"> </w:t>
      </w:r>
      <w:r w:rsidRPr="002F5008">
        <w:rPr>
          <w:rStyle w:val="StyleUnderline"/>
        </w:rPr>
        <w:t xml:space="preserve">that the posture and </w:t>
      </w:r>
      <w:r w:rsidRPr="006376E2">
        <w:rPr>
          <w:rStyle w:val="StyleUnderline"/>
          <w:highlight w:val="cyan"/>
        </w:rPr>
        <w:t>policies</w:t>
      </w:r>
      <w:r w:rsidRPr="002F5008">
        <w:rPr>
          <w:rStyle w:val="StyleUnderline"/>
        </w:rPr>
        <w:t xml:space="preserve"> of the Department </w:t>
      </w:r>
      <w:r w:rsidRPr="006376E2">
        <w:rPr>
          <w:rStyle w:val="StyleUnderline"/>
          <w:highlight w:val="cyan"/>
        </w:rPr>
        <w:t>are</w:t>
      </w:r>
      <w:r w:rsidRPr="002F5008">
        <w:rPr>
          <w:rStyle w:val="StyleUnderline"/>
        </w:rPr>
        <w:t xml:space="preserve"> properly structured, resourced,</w:t>
      </w:r>
      <w:r>
        <w:rPr>
          <w:rStyle w:val="StyleUnderline"/>
        </w:rPr>
        <w:t xml:space="preserve"> </w:t>
      </w:r>
      <w:r w:rsidRPr="002F5008">
        <w:rPr>
          <w:rStyle w:val="StyleUnderline"/>
        </w:rPr>
        <w:t xml:space="preserve">and </w:t>
      </w:r>
      <w:r w:rsidRPr="006376E2">
        <w:rPr>
          <w:rStyle w:val="StyleUnderline"/>
          <w:highlight w:val="cyan"/>
        </w:rPr>
        <w:t>aligned to</w:t>
      </w:r>
      <w:r w:rsidRPr="002F5008">
        <w:rPr>
          <w:rStyle w:val="StyleUnderline"/>
        </w:rPr>
        <w:t xml:space="preserve"> effectively </w:t>
      </w:r>
      <w:r w:rsidRPr="006376E2">
        <w:rPr>
          <w:rStyle w:val="StyleUnderline"/>
          <w:highlight w:val="cyan"/>
        </w:rPr>
        <w:t>deter acts of terror</w:t>
      </w:r>
      <w:r w:rsidRPr="002F5008">
        <w:rPr>
          <w:rStyle w:val="StyleUnderline"/>
        </w:rPr>
        <w:t xml:space="preserve"> and counter violent extremist</w:t>
      </w:r>
      <w:r>
        <w:rPr>
          <w:rStyle w:val="StyleUnderline"/>
        </w:rPr>
        <w:t xml:space="preserve"> </w:t>
      </w:r>
      <w:r w:rsidRPr="002F5008">
        <w:rPr>
          <w:rStyle w:val="StyleUnderline"/>
        </w:rPr>
        <w:t>organizations that threaten the United States, its allies, and partners.</w:t>
      </w:r>
      <w:r>
        <w:rPr>
          <w:sz w:val="16"/>
        </w:rPr>
        <w:t xml:space="preserve"> This includes examining the planning for and execution of counterterrorism operations, efforts to strengthen the capabilities and practices employed by partners and allies to counter such violence, and the detention policy related to counterterrorism activities undertaken by the Department. The committee will also conduct rigorous oversight of unique operational authorities to enable operations to deter violent extremist activity and counter irregular efforts by certain adversaries. </w:t>
      </w:r>
    </w:p>
    <w:p w14:paraId="05FA7292" w14:textId="77777777" w:rsidR="008D6AE6" w:rsidRDefault="008D6AE6" w:rsidP="008D6AE6"/>
    <w:p w14:paraId="58D3073D" w14:textId="77777777" w:rsidR="007A56E6" w:rsidRDefault="007A56E6" w:rsidP="007A56E6">
      <w:pPr>
        <w:pStyle w:val="Heading3"/>
      </w:pPr>
      <w:r>
        <w:t>1NC – OFF</w:t>
      </w:r>
    </w:p>
    <w:p w14:paraId="32C9A087" w14:textId="77777777" w:rsidR="007A56E6" w:rsidRPr="00275C49" w:rsidRDefault="007A56E6" w:rsidP="007A56E6">
      <w:pPr>
        <w:pStyle w:val="Heading4"/>
        <w:rPr>
          <w:rFonts w:cs="Times New Roman"/>
        </w:rPr>
      </w:pPr>
      <w:r w:rsidRPr="00275C49">
        <w:rPr>
          <w:rFonts w:cs="Times New Roman"/>
        </w:rPr>
        <w:t xml:space="preserve">Text: The United States, through a limited constitutional convention called for by at least thirty-four of the States and ratified by at least thirty-eight of the States, should </w:t>
      </w:r>
      <w:r>
        <w:rPr>
          <w:rFonts w:cs="Times New Roman"/>
        </w:rPr>
        <w:t>at least implement sectoral bargaining.</w:t>
      </w:r>
    </w:p>
    <w:p w14:paraId="7C202E0F" w14:textId="77777777" w:rsidR="007A56E6" w:rsidRPr="00275C49" w:rsidRDefault="007A56E6" w:rsidP="007A56E6"/>
    <w:p w14:paraId="7993FF8A" w14:textId="77777777" w:rsidR="007A56E6" w:rsidRPr="00275C49" w:rsidRDefault="007A56E6" w:rsidP="007A56E6">
      <w:pPr>
        <w:pStyle w:val="Heading4"/>
        <w:rPr>
          <w:rStyle w:val="StyleUnderline"/>
          <w:rFonts w:cs="Times New Roman"/>
          <w:sz w:val="26"/>
          <w:szCs w:val="26"/>
          <w:u w:val="none"/>
        </w:rPr>
      </w:pPr>
      <w:r w:rsidRPr="00275C49">
        <w:rPr>
          <w:rStyle w:val="StyleUnderline"/>
          <w:rFonts w:cs="Times New Roman"/>
          <w:sz w:val="26"/>
          <w:szCs w:val="26"/>
          <w:u w:val="none"/>
        </w:rPr>
        <w:t xml:space="preserve">Solves and avoids politics </w:t>
      </w:r>
    </w:p>
    <w:p w14:paraId="3DBF4858" w14:textId="77777777" w:rsidR="007A56E6" w:rsidRPr="00275C49" w:rsidRDefault="007A56E6" w:rsidP="007A56E6">
      <w:r w:rsidRPr="00275C49">
        <w:rPr>
          <w:rStyle w:val="Style13ptBold"/>
        </w:rPr>
        <w:t>Peters 25</w:t>
      </w:r>
      <w:r w:rsidRPr="00275C49">
        <w:t xml:space="preserve"> (Rita – JD from Washington and Lee University School of Law, “Rita Peters: FACTS that Rebut the “Runaway Convention Myth”,” 3/26/25, https://conventionofstates.com/news/rita-peters-facts-that-rebut-the-runaway-convention-myth)</w:t>
      </w:r>
    </w:p>
    <w:p w14:paraId="6E473181" w14:textId="77777777" w:rsidR="007A56E6" w:rsidRPr="00275C49" w:rsidRDefault="007A56E6" w:rsidP="007A56E6">
      <w:pPr>
        <w:rPr>
          <w:sz w:val="16"/>
        </w:rPr>
      </w:pPr>
      <w:r w:rsidRPr="00275C49">
        <w:rPr>
          <w:rStyle w:val="StyleUnderline"/>
        </w:rPr>
        <w:t xml:space="preserve">The </w:t>
      </w:r>
      <w:r w:rsidRPr="006376E2">
        <w:rPr>
          <w:rStyle w:val="StyleUnderline"/>
          <w:highlight w:val="cyan"/>
        </w:rPr>
        <w:t xml:space="preserve">state legislatures </w:t>
      </w:r>
      <w:r w:rsidRPr="006376E2">
        <w:rPr>
          <w:rStyle w:val="Emphasis"/>
          <w:highlight w:val="cyan"/>
        </w:rPr>
        <w:t>define the agenda</w:t>
      </w:r>
      <w:r w:rsidRPr="006376E2">
        <w:rPr>
          <w:rStyle w:val="StyleUnderline"/>
          <w:highlight w:val="cyan"/>
        </w:rPr>
        <w:t xml:space="preserve"> for an Article V convention</w:t>
      </w:r>
      <w:r w:rsidRPr="00275C49">
        <w:rPr>
          <w:rStyle w:val="StyleUnderline"/>
        </w:rPr>
        <w:t xml:space="preserve"> through their applications.</w:t>
      </w:r>
      <w:r w:rsidRPr="00275C49">
        <w:rPr>
          <w:sz w:val="16"/>
        </w:rPr>
        <w:t xml:space="preserve"> Only when 34 states agree that a convention is needed to propose amendments on a given topic, thereby setting the agenda, can a convention be called (that’s why we haven’t had one yet!). </w:t>
      </w:r>
    </w:p>
    <w:p w14:paraId="3C432464" w14:textId="77777777" w:rsidR="007A56E6" w:rsidRPr="00275C49" w:rsidRDefault="007A56E6" w:rsidP="007A56E6">
      <w:pPr>
        <w:rPr>
          <w:sz w:val="16"/>
        </w:rPr>
      </w:pPr>
      <w:r w:rsidRPr="00275C49">
        <w:rPr>
          <w:rStyle w:val="StyleUnderline"/>
        </w:rPr>
        <w:t xml:space="preserve">The very reason the Founders added </w:t>
      </w:r>
      <w:r w:rsidRPr="006376E2">
        <w:rPr>
          <w:rStyle w:val="StyleUnderline"/>
          <w:highlight w:val="cyan"/>
        </w:rPr>
        <w:t>the convention mechanism</w:t>
      </w:r>
      <w:r w:rsidRPr="00275C49">
        <w:rPr>
          <w:rStyle w:val="StyleUnderline"/>
        </w:rPr>
        <w:t xml:space="preserve"> to Article V was to </w:t>
      </w:r>
      <w:r w:rsidRPr="006376E2">
        <w:rPr>
          <w:rStyle w:val="StyleUnderline"/>
          <w:highlight w:val="cyan"/>
        </w:rPr>
        <w:t>allow the states</w:t>
      </w:r>
      <w:r w:rsidRPr="00275C49">
        <w:rPr>
          <w:rStyle w:val="StyleUnderline"/>
        </w:rPr>
        <w:t xml:space="preserve"> a way </w:t>
      </w:r>
      <w:r w:rsidRPr="006376E2">
        <w:rPr>
          <w:rStyle w:val="StyleUnderline"/>
          <w:highlight w:val="cyan"/>
        </w:rPr>
        <w:t xml:space="preserve">to </w:t>
      </w:r>
      <w:r w:rsidRPr="006376E2">
        <w:rPr>
          <w:rStyle w:val="Emphasis"/>
          <w:highlight w:val="cyan"/>
        </w:rPr>
        <w:t>bypass Congress</w:t>
      </w:r>
      <w:r w:rsidRPr="006376E2">
        <w:rPr>
          <w:rStyle w:val="StyleUnderline"/>
          <w:highlight w:val="cyan"/>
        </w:rPr>
        <w:t xml:space="preserve"> in proposing</w:t>
      </w:r>
      <w:r w:rsidRPr="00275C49">
        <w:rPr>
          <w:rStyle w:val="StyleUnderline"/>
        </w:rPr>
        <w:t xml:space="preserve"> needed </w:t>
      </w:r>
      <w:r w:rsidRPr="006376E2">
        <w:rPr>
          <w:rStyle w:val="StyleUnderline"/>
          <w:highlight w:val="cyan"/>
        </w:rPr>
        <w:t>amendments.</w:t>
      </w:r>
      <w:r w:rsidRPr="00275C49">
        <w:rPr>
          <w:sz w:val="16"/>
        </w:rPr>
        <w:t xml:space="preserve"> See James Madison’s Notes on the Convention from September 15th, 1787. So the idea that the states cannot define and limit the scope of the convention makes no sense.</w:t>
      </w:r>
    </w:p>
    <w:p w14:paraId="76D7D3FC" w14:textId="77777777" w:rsidR="007A56E6" w:rsidRPr="00275C49" w:rsidRDefault="007A56E6" w:rsidP="007A56E6">
      <w:pPr>
        <w:rPr>
          <w:rStyle w:val="StyleUnderline"/>
        </w:rPr>
      </w:pPr>
      <w:r w:rsidRPr="00275C49">
        <w:rPr>
          <w:sz w:val="16"/>
        </w:rPr>
        <w:t xml:space="preserve">The delegates to the convention act as legal agents of the state legislatures who choose and commission them. This is a matter of well-documented, universal historical precedent. </w:t>
      </w:r>
      <w:r w:rsidRPr="006376E2">
        <w:rPr>
          <w:rStyle w:val="StyleUnderline"/>
          <w:highlight w:val="cyan"/>
        </w:rPr>
        <w:t>Any action taken by a delegate outside the scope of</w:t>
      </w:r>
      <w:r w:rsidRPr="00275C49">
        <w:rPr>
          <w:rStyle w:val="StyleUnderline"/>
        </w:rPr>
        <w:t xml:space="preserve"> his or her </w:t>
      </w:r>
      <w:r w:rsidRPr="006376E2">
        <w:rPr>
          <w:rStyle w:val="StyleUnderline"/>
          <w:highlight w:val="cyan"/>
        </w:rPr>
        <w:t xml:space="preserve">authority </w:t>
      </w:r>
      <w:r w:rsidRPr="006376E2">
        <w:rPr>
          <w:rStyle w:val="Emphasis"/>
          <w:highlight w:val="cyan"/>
        </w:rPr>
        <w:t>would be void</w:t>
      </w:r>
      <w:r w:rsidRPr="006376E2">
        <w:rPr>
          <w:rStyle w:val="StyleUnderline"/>
          <w:highlight w:val="cyan"/>
        </w:rPr>
        <w:t xml:space="preserve"> as a matter of common law</w:t>
      </w:r>
      <w:r w:rsidRPr="00275C49">
        <w:rPr>
          <w:rStyle w:val="StyleUnderline"/>
        </w:rPr>
        <w:t xml:space="preserve"> agency principles.</w:t>
      </w:r>
    </w:p>
    <w:p w14:paraId="50EC6B93" w14:textId="77777777" w:rsidR="007A56E6" w:rsidRPr="00275C49" w:rsidRDefault="007A56E6" w:rsidP="007A56E6">
      <w:pPr>
        <w:rPr>
          <w:sz w:val="16"/>
          <w:szCs w:val="16"/>
        </w:rPr>
      </w:pPr>
      <w:r w:rsidRPr="00275C49">
        <w:rPr>
          <w:sz w:val="16"/>
          <w:szCs w:val="16"/>
        </w:rPr>
        <w:t>In Chiafalo v. Washington, The Supreme Court Court concluded that “[a]mong the devices States have long used to achieve their object are pledge laws, designed to impress on electors their role as agents of others. A State follows in the same tradition if, like Washington, it chooses to sanction an elector for breaching his promise.” The same rationale applies to state delegates to an Article V convention.</w:t>
      </w:r>
    </w:p>
    <w:p w14:paraId="18E7B827" w14:textId="77777777" w:rsidR="007A56E6" w:rsidRPr="00275C49" w:rsidRDefault="007A56E6" w:rsidP="007A56E6">
      <w:pPr>
        <w:rPr>
          <w:sz w:val="16"/>
          <w:szCs w:val="16"/>
        </w:rPr>
      </w:pPr>
      <w:r w:rsidRPr="00275C49">
        <w:rPr>
          <w:sz w:val="16"/>
          <w:szCs w:val="16"/>
        </w:rPr>
        <w:t>In the Federalist Papers, both James Madison (Federalist #43) and Alexander Hamilton (Federalist #85) cited the states’ power under Article V for the proposition that the states retain ultimate authority over the federal system and could rein in an out-of-control federal government.</w:t>
      </w:r>
    </w:p>
    <w:p w14:paraId="0C906A2A" w14:textId="77777777" w:rsidR="007A56E6" w:rsidRPr="00275C49" w:rsidRDefault="007A56E6" w:rsidP="007A56E6">
      <w:pPr>
        <w:rPr>
          <w:sz w:val="16"/>
        </w:rPr>
      </w:pPr>
      <w:r w:rsidRPr="006376E2">
        <w:rPr>
          <w:rStyle w:val="StyleUnderline"/>
          <w:highlight w:val="cyan"/>
        </w:rPr>
        <w:t xml:space="preserve">There is </w:t>
      </w:r>
      <w:r w:rsidRPr="006376E2">
        <w:rPr>
          <w:rStyle w:val="Emphasis"/>
          <w:highlight w:val="cyan"/>
        </w:rPr>
        <w:t>zero precedent</w:t>
      </w:r>
      <w:r w:rsidRPr="006376E2">
        <w:rPr>
          <w:rStyle w:val="StyleUnderline"/>
          <w:highlight w:val="cyan"/>
        </w:rPr>
        <w:t xml:space="preserve"> for</w:t>
      </w:r>
      <w:r w:rsidRPr="00275C49">
        <w:rPr>
          <w:rStyle w:val="StyleUnderline"/>
        </w:rPr>
        <w:t xml:space="preserve"> any </w:t>
      </w:r>
      <w:r w:rsidRPr="006376E2">
        <w:rPr>
          <w:rStyle w:val="StyleUnderline"/>
          <w:highlight w:val="cyan"/>
        </w:rPr>
        <w:t>“runaway convention”</w:t>
      </w:r>
      <w:r w:rsidRPr="00275C49">
        <w:rPr>
          <w:rStyle w:val="StyleUnderline"/>
        </w:rPr>
        <w:t xml:space="preserve"> in American history.</w:t>
      </w:r>
      <w:r w:rsidRPr="00275C49">
        <w:rPr>
          <w:sz w:val="16"/>
        </w:rPr>
        <w:t xml:space="preserve"> Anyone who says otherwise should be asked to respond to Michael Farris’ definitive refutation of the runaway myth in Volume 40 of the Harvard Journal of Law &amp; Public Policy. The delegates to the 1787 Constitutional Convention were commissioned to “alter” and “revise” the Articles of Confederation to make it suitable for the needs of the Union—not to “propose amendments” to it.</w:t>
      </w:r>
    </w:p>
    <w:p w14:paraId="1B45975D" w14:textId="77777777" w:rsidR="007A56E6" w:rsidRDefault="007A56E6" w:rsidP="007A56E6"/>
    <w:p w14:paraId="030E03AC" w14:textId="1940B2D5" w:rsidR="008D6AE6" w:rsidRDefault="008D6AE6" w:rsidP="008D6AE6">
      <w:pPr>
        <w:pStyle w:val="Heading3"/>
      </w:pPr>
      <w:r>
        <w:t>1NC – OFF</w:t>
      </w:r>
    </w:p>
    <w:p w14:paraId="59B6FFBF" w14:textId="77777777" w:rsidR="007A56E6" w:rsidRDefault="007A56E6" w:rsidP="007A56E6">
      <w:pPr>
        <w:pStyle w:val="Heading4"/>
      </w:pPr>
      <w:r>
        <w:t xml:space="preserve">The United States Federal Government should </w:t>
      </w:r>
    </w:p>
    <w:p w14:paraId="70C24410" w14:textId="390429BF" w:rsidR="007A56E6" w:rsidRDefault="007A56E6" w:rsidP="007A56E6">
      <w:pPr>
        <w:pStyle w:val="Heading4"/>
        <w:numPr>
          <w:ilvl w:val="0"/>
          <w:numId w:val="46"/>
        </w:numPr>
      </w:pPr>
      <w:r>
        <w:t>Ban automation of industries</w:t>
      </w:r>
    </w:p>
    <w:p w14:paraId="00346B49" w14:textId="50804AB0" w:rsidR="007A56E6" w:rsidRDefault="007A56E6" w:rsidP="007A56E6">
      <w:pPr>
        <w:pStyle w:val="Heading4"/>
        <w:numPr>
          <w:ilvl w:val="0"/>
          <w:numId w:val="46"/>
        </w:numPr>
      </w:pPr>
      <w:r>
        <w:t xml:space="preserve">Adopt democratic reforms regarding voting processes, included but not limited to the abolition of voter identification laws, overturning Citizens United vs FEC, </w:t>
      </w:r>
      <w:r w:rsidR="006376E2">
        <w:t>restore the Voting Rights Act, pass the Deceptive Practices and Voter Intimidation Prevention Act.</w:t>
      </w:r>
    </w:p>
    <w:p w14:paraId="6F2AB135" w14:textId="04C483CE" w:rsidR="006376E2" w:rsidRDefault="006376E2" w:rsidP="006376E2">
      <w:pPr>
        <w:pStyle w:val="Heading4"/>
        <w:numPr>
          <w:ilvl w:val="0"/>
          <w:numId w:val="46"/>
        </w:numPr>
      </w:pPr>
      <w:r>
        <w:t>Establish a national and international board of pre-emptive artificial intelligence regulation led by the United States</w:t>
      </w:r>
      <w:r w:rsidR="00176ECF">
        <w:t xml:space="preserve">, prioritizing the regulation of artificial general intelligence </w:t>
      </w:r>
    </w:p>
    <w:p w14:paraId="343C60B9" w14:textId="77777777" w:rsidR="00176ECF" w:rsidRDefault="006376E2" w:rsidP="00176ECF">
      <w:pPr>
        <w:pStyle w:val="Heading4"/>
        <w:numPr>
          <w:ilvl w:val="0"/>
          <w:numId w:val="46"/>
        </w:numPr>
      </w:pPr>
      <w:r w:rsidRPr="009C0286">
        <w:t>adopt an annually increasing tax on greenhouse gas emissions in the United States.</w:t>
      </w:r>
      <w:r>
        <w:t xml:space="preserve"> </w:t>
      </w:r>
      <w:bookmarkStart w:id="0" w:name="_Hlk212903493"/>
    </w:p>
    <w:p w14:paraId="021B510B" w14:textId="3AD98B10" w:rsidR="00176ECF" w:rsidRDefault="00176ECF" w:rsidP="00176ECF">
      <w:pPr>
        <w:pStyle w:val="Heading4"/>
        <w:numPr>
          <w:ilvl w:val="0"/>
          <w:numId w:val="46"/>
        </w:numPr>
      </w:pPr>
      <w:r>
        <w:t>Increasing minimum wages through a prevailing wage standard</w:t>
      </w:r>
      <w:r w:rsidR="00626095">
        <w:t>, establishing a wage board to react to economic conditions</w:t>
      </w:r>
    </w:p>
    <w:p w14:paraId="4FC9DFAF" w14:textId="1C032CB8" w:rsidR="00176ECF" w:rsidRDefault="00176ECF" w:rsidP="00176ECF">
      <w:pPr>
        <w:pStyle w:val="Heading4"/>
        <w:numPr>
          <w:ilvl w:val="0"/>
          <w:numId w:val="46"/>
        </w:numPr>
      </w:pPr>
      <w:r>
        <w:t>Provid</w:t>
      </w:r>
      <w:r>
        <w:t>e</w:t>
      </w:r>
      <w:r>
        <w:t xml:space="preserve"> job security, prohibiting employers from terminating an employee without good cause, and</w:t>
      </w:r>
    </w:p>
    <w:p w14:paraId="78B64221" w14:textId="677A841A" w:rsidR="00176ECF" w:rsidRPr="00176ECF" w:rsidRDefault="00176ECF" w:rsidP="00176ECF">
      <w:pPr>
        <w:pStyle w:val="Heading4"/>
        <w:numPr>
          <w:ilvl w:val="0"/>
          <w:numId w:val="46"/>
        </w:numPr>
      </w:pPr>
      <w:r>
        <w:t>Provid</w:t>
      </w:r>
      <w:r>
        <w:t>e</w:t>
      </w:r>
      <w:r>
        <w:t xml:space="preserve"> labor inspections and strong anti-retaliation protection for workers who complain.</w:t>
      </w:r>
      <w:bookmarkEnd w:id="0"/>
    </w:p>
    <w:p w14:paraId="2EF4646B" w14:textId="61A9CC4E" w:rsidR="007A56E6" w:rsidRDefault="007A56E6" w:rsidP="006376E2">
      <w:pPr>
        <w:pStyle w:val="Heading4"/>
        <w:numPr>
          <w:ilvl w:val="0"/>
          <w:numId w:val="46"/>
        </w:numPr>
      </w:pPr>
      <w:r>
        <w:t xml:space="preserve">hold that collective bargaining rights violate the Takings Clause of the Fifth Amendment. </w:t>
      </w:r>
    </w:p>
    <w:p w14:paraId="3E1189A9" w14:textId="60796BE0" w:rsidR="006376E2" w:rsidRDefault="006376E2" w:rsidP="006376E2">
      <w:pPr>
        <w:pStyle w:val="Heading4"/>
        <w:numPr>
          <w:ilvl w:val="0"/>
          <w:numId w:val="46"/>
        </w:numPr>
      </w:pPr>
      <w:r>
        <w:t>Mike Johnson should resign as Speaker of the House. The House of Representatives should elect Albert Arnold Gore Jr. as Speaker of the House; and</w:t>
      </w:r>
    </w:p>
    <w:p w14:paraId="41DAFF59" w14:textId="36D24FE6" w:rsidR="006376E2" w:rsidRPr="00B32F30" w:rsidRDefault="006376E2" w:rsidP="006376E2">
      <w:pPr>
        <w:pStyle w:val="Heading4"/>
        <w:numPr>
          <w:ilvl w:val="0"/>
          <w:numId w:val="46"/>
        </w:numPr>
      </w:pPr>
      <w:r>
        <w:t xml:space="preserve">Donald Trump and James David Vance should, citing health concerns, resign. </w:t>
      </w:r>
    </w:p>
    <w:p w14:paraId="70BD3B6E" w14:textId="77777777" w:rsidR="007A56E6" w:rsidRPr="00266928" w:rsidRDefault="007A56E6" w:rsidP="007A56E6"/>
    <w:p w14:paraId="269DCDA5" w14:textId="77777777" w:rsidR="007A56E6" w:rsidRDefault="007A56E6" w:rsidP="007A56E6">
      <w:pPr>
        <w:pStyle w:val="Heading4"/>
      </w:pPr>
      <w:r>
        <w:t xml:space="preserve">The counterplan </w:t>
      </w:r>
      <w:r w:rsidRPr="00B94B73">
        <w:rPr>
          <w:u w:val="single"/>
        </w:rPr>
        <w:t>reinvigorates the Takings Clause</w:t>
      </w:r>
      <w:r>
        <w:t xml:space="preserve"> by adopting a classical view of property under the common law </w:t>
      </w:r>
    </w:p>
    <w:p w14:paraId="0EE6EEF6" w14:textId="77777777" w:rsidR="007A56E6" w:rsidRDefault="007A56E6" w:rsidP="007A56E6">
      <w:r w:rsidRPr="00776A13">
        <w:rPr>
          <w:rStyle w:val="Style13ptBold"/>
        </w:rPr>
        <w:t>MacDonald 24</w:t>
      </w:r>
      <w:r>
        <w:t xml:space="preserve"> (Alexander T. – JD from William and Mary Law School, “Does Modern Labor Law Violate the Fifth Amendment?,” 1/4/24, https://fedsoc.org/commentary/fedsoc-blog/does-modern-labor-law-violate-the-fifth-amendment)</w:t>
      </w:r>
    </w:p>
    <w:p w14:paraId="4C6A19CD" w14:textId="77777777" w:rsidR="007A56E6" w:rsidRPr="00776A13" w:rsidRDefault="007A56E6" w:rsidP="007A56E6">
      <w:pPr>
        <w:rPr>
          <w:u w:val="single"/>
        </w:rPr>
      </w:pPr>
      <w:r w:rsidRPr="00776A13">
        <w:rPr>
          <w:sz w:val="16"/>
        </w:rPr>
        <w:t xml:space="preserve">This basic problem was first stated by </w:t>
      </w:r>
      <w:r w:rsidRPr="008E1B29">
        <w:rPr>
          <w:rStyle w:val="StyleUnderline"/>
        </w:rPr>
        <w:t>Professor Richard Epstein</w:t>
      </w:r>
      <w:r w:rsidRPr="00776A13">
        <w:rPr>
          <w:sz w:val="16"/>
        </w:rPr>
        <w:t xml:space="preserve"> in his now-classic book, Takings. There, Epstein </w:t>
      </w:r>
      <w:r w:rsidRPr="008E1B29">
        <w:rPr>
          <w:rStyle w:val="StyleUnderline"/>
        </w:rPr>
        <w:t xml:space="preserve">articulated </w:t>
      </w:r>
      <w:r w:rsidRPr="006376E2">
        <w:rPr>
          <w:rStyle w:val="StyleUnderline"/>
          <w:highlight w:val="cyan"/>
        </w:rPr>
        <w:t xml:space="preserve">a </w:t>
      </w:r>
      <w:r w:rsidRPr="006376E2">
        <w:rPr>
          <w:rStyle w:val="Emphasis"/>
          <w:highlight w:val="cyan"/>
        </w:rPr>
        <w:t>“classical” view of the Takings Clause.</w:t>
      </w:r>
      <w:r w:rsidRPr="00776A13">
        <w:rPr>
          <w:sz w:val="16"/>
        </w:rPr>
        <w:t xml:space="preserve"> </w:t>
      </w:r>
      <w:r w:rsidRPr="008E1B29">
        <w:rPr>
          <w:rStyle w:val="StyleUnderline"/>
        </w:rPr>
        <w:t xml:space="preserve">He argued that the clause was </w:t>
      </w:r>
      <w:r w:rsidRPr="006376E2">
        <w:rPr>
          <w:rStyle w:val="StyleUnderline"/>
          <w:highlight w:val="cyan"/>
        </w:rPr>
        <w:t>built on</w:t>
      </w:r>
      <w:r w:rsidRPr="008E1B29">
        <w:rPr>
          <w:rStyle w:val="StyleUnderline"/>
        </w:rPr>
        <w:t xml:space="preserve"> social-contract theory and </w:t>
      </w:r>
      <w:r w:rsidRPr="006376E2">
        <w:rPr>
          <w:rStyle w:val="StyleUnderline"/>
          <w:highlight w:val="cyan"/>
        </w:rPr>
        <w:t>common-law notions about property</w:t>
      </w:r>
      <w:r w:rsidRPr="008E1B29">
        <w:rPr>
          <w:rStyle w:val="StyleUnderline"/>
        </w:rPr>
        <w:t xml:space="preserve"> rights. </w:t>
      </w:r>
      <w:r w:rsidRPr="00E6272D">
        <w:rPr>
          <w:rStyle w:val="StyleUnderline"/>
        </w:rPr>
        <w:t>The common law</w:t>
      </w:r>
      <w:r w:rsidRPr="00E6272D">
        <w:rPr>
          <w:sz w:val="16"/>
        </w:rPr>
        <w:t>,</w:t>
      </w:r>
      <w:r w:rsidRPr="00776A13">
        <w:rPr>
          <w:sz w:val="16"/>
        </w:rPr>
        <w:t xml:space="preserve"> he explained, </w:t>
      </w:r>
      <w:r w:rsidRPr="006376E2">
        <w:rPr>
          <w:rStyle w:val="StyleUnderline"/>
          <w:highlight w:val="cyan"/>
        </w:rPr>
        <w:t>saw property as a reserved right</w:t>
      </w:r>
      <w:r w:rsidRPr="008E1B29">
        <w:rPr>
          <w:rStyle w:val="StyleUnderline"/>
        </w:rPr>
        <w:t xml:space="preserve">, retained by individuals unless surrendered to the state. It also </w:t>
      </w:r>
      <w:r w:rsidRPr="006376E2">
        <w:rPr>
          <w:rStyle w:val="StyleUnderline"/>
          <w:highlight w:val="cyan"/>
        </w:rPr>
        <w:t>defined</w:t>
      </w:r>
      <w:r w:rsidRPr="008E1B29">
        <w:rPr>
          <w:rStyle w:val="StyleUnderline"/>
        </w:rPr>
        <w:t xml:space="preserve"> property </w:t>
      </w:r>
      <w:r w:rsidRPr="006376E2">
        <w:rPr>
          <w:rStyle w:val="StyleUnderline"/>
          <w:highlight w:val="cyan"/>
        </w:rPr>
        <w:t>broadly.</w:t>
      </w:r>
      <w:r w:rsidRPr="00776A13">
        <w:rPr>
          <w:sz w:val="16"/>
        </w:rPr>
        <w:t xml:space="preserve"> In the words of William Blackstone, </w:t>
      </w:r>
      <w:r w:rsidRPr="008E1B29">
        <w:rPr>
          <w:rStyle w:val="StyleUnderline"/>
        </w:rPr>
        <w:t>property was the “absolute right . . . which consists in the free use, enjoyment, and disposal of all [one’s] acquisitions.”</w:t>
      </w:r>
    </w:p>
    <w:p w14:paraId="1D6C9D6C" w14:textId="77777777" w:rsidR="007A56E6" w:rsidRPr="003924FA" w:rsidRDefault="007A56E6" w:rsidP="007A56E6">
      <w:pPr>
        <w:rPr>
          <w:sz w:val="16"/>
          <w:szCs w:val="16"/>
        </w:rPr>
      </w:pPr>
      <w:r w:rsidRPr="003924FA">
        <w:rPr>
          <w:sz w:val="16"/>
          <w:szCs w:val="16"/>
        </w:rPr>
        <w:t>Of course, if we define property that broadly, we find it quickly running into limitations imposed by the state. Consider the mundane example of setback requirements. When the state requires you to build your house a certain distance from the street, it limits your right to build on some part of your land. So too when it requires you to insure your car, recycle your paper, or leash your dog. Each of these requirements restricts your right to use your property as you see fit. Epstein saw each such restriction as a taking—a reduction, however slight, in the original bundle of property rights. And because every restriction was a taking, then most of what modern government did implicated the Fifth Amendment.</w:t>
      </w:r>
    </w:p>
    <w:p w14:paraId="6AE00ACE" w14:textId="77777777" w:rsidR="007A56E6" w:rsidRPr="00264063" w:rsidRDefault="007A56E6" w:rsidP="007A56E6">
      <w:pPr>
        <w:rPr>
          <w:rStyle w:val="StyleUnderline"/>
        </w:rPr>
      </w:pPr>
      <w:r w:rsidRPr="003924FA">
        <w:rPr>
          <w:sz w:val="16"/>
        </w:rPr>
        <w:t xml:space="preserve">Epstein acknowledged that result. But he softened it by explaining that not every taking is compensable. </w:t>
      </w:r>
      <w:r w:rsidRPr="00F367DD">
        <w:rPr>
          <w:rStyle w:val="StyleUnderline"/>
        </w:rPr>
        <w:t>Many takings can be justified as a way to limit negative externalities.</w:t>
      </w:r>
      <w:r w:rsidRPr="00264063">
        <w:rPr>
          <w:rStyle w:val="StyleUnderline"/>
        </w:rPr>
        <w:t xml:space="preserve"> At common law, </w:t>
      </w:r>
      <w:r w:rsidRPr="00264063">
        <w:rPr>
          <w:rStyle w:val="Emphasis"/>
        </w:rPr>
        <w:t>no one had a right to use property in a way that injured another person.</w:t>
      </w:r>
      <w:r w:rsidRPr="003924FA">
        <w:rPr>
          <w:sz w:val="16"/>
        </w:rPr>
        <w:t xml:space="preserve"> </w:t>
      </w:r>
      <w:r w:rsidRPr="00264063">
        <w:rPr>
          <w:rStyle w:val="StyleUnderline"/>
        </w:rPr>
        <w:t>You had no right, for example, to build a noxious factory in the middle of a neighborhood. So when the government limited your ability to engage in harmful conduct, it took nothing from you. It eliminated a right you never had.</w:t>
      </w:r>
    </w:p>
    <w:p w14:paraId="300B611F" w14:textId="77777777" w:rsidR="007A56E6" w:rsidRPr="003924FA" w:rsidRDefault="007A56E6" w:rsidP="007A56E6">
      <w:pPr>
        <w:rPr>
          <w:rStyle w:val="StyleUnderline"/>
        </w:rPr>
      </w:pPr>
      <w:r w:rsidRPr="003924FA">
        <w:rPr>
          <w:sz w:val="16"/>
        </w:rPr>
        <w:t xml:space="preserve">That theory more than justifies laws against, say, discharging chemicals into the local river. But it does nothing to justify modern labor law. </w:t>
      </w:r>
      <w:r w:rsidRPr="006376E2">
        <w:rPr>
          <w:rStyle w:val="Emphasis"/>
          <w:highlight w:val="cyan"/>
        </w:rPr>
        <w:t>Labor law limits property rights</w:t>
      </w:r>
      <w:r w:rsidRPr="00264063">
        <w:rPr>
          <w:rStyle w:val="StyleUnderline"/>
        </w:rPr>
        <w:t xml:space="preserve"> in a kaleidoscope of ways.</w:t>
      </w:r>
      <w:r w:rsidRPr="003924FA">
        <w:rPr>
          <w:sz w:val="16"/>
        </w:rPr>
        <w:t xml:space="preserve"> </w:t>
      </w:r>
      <w:r w:rsidRPr="006376E2">
        <w:rPr>
          <w:rStyle w:val="StyleUnderline"/>
          <w:highlight w:val="cyan"/>
        </w:rPr>
        <w:t>It</w:t>
      </w:r>
      <w:r w:rsidRPr="00264063">
        <w:rPr>
          <w:rStyle w:val="StyleUnderline"/>
        </w:rPr>
        <w:t xml:space="preserve"> </w:t>
      </w:r>
      <w:r w:rsidRPr="006376E2">
        <w:rPr>
          <w:rStyle w:val="StyleUnderline"/>
          <w:highlight w:val="cyan"/>
        </w:rPr>
        <w:t>requires people to bargain through</w:t>
      </w:r>
      <w:r w:rsidRPr="00264063">
        <w:rPr>
          <w:rStyle w:val="StyleUnderline"/>
        </w:rPr>
        <w:t xml:space="preserve"> a third party (</w:t>
      </w:r>
      <w:r w:rsidRPr="006376E2">
        <w:rPr>
          <w:rStyle w:val="StyleUnderline"/>
          <w:highlight w:val="cyan"/>
        </w:rPr>
        <w:t>a union)</w:t>
      </w:r>
      <w:r w:rsidRPr="00C740A2">
        <w:rPr>
          <w:rStyle w:val="StyleUnderline"/>
        </w:rPr>
        <w:t xml:space="preserve"> even </w:t>
      </w:r>
      <w:r w:rsidRPr="006376E2">
        <w:rPr>
          <w:rStyle w:val="StyleUnderline"/>
          <w:highlight w:val="cyan"/>
        </w:rPr>
        <w:t>when they would prefer to bargain directly. It</w:t>
      </w:r>
      <w:r w:rsidRPr="00264063">
        <w:rPr>
          <w:rStyle w:val="StyleUnderline"/>
        </w:rPr>
        <w:t xml:space="preserve"> sometimes </w:t>
      </w:r>
      <w:r w:rsidRPr="006376E2">
        <w:rPr>
          <w:rStyle w:val="StyleUnderline"/>
          <w:highlight w:val="cyan"/>
        </w:rPr>
        <w:t>requires employers to</w:t>
      </w:r>
      <w:r w:rsidRPr="00E6272D">
        <w:rPr>
          <w:rStyle w:val="StyleUnderline"/>
        </w:rPr>
        <w:t xml:space="preserve"> hand over proprietary information. It</w:t>
      </w:r>
      <w:r w:rsidRPr="00264063">
        <w:rPr>
          <w:rStyle w:val="StyleUnderline"/>
        </w:rPr>
        <w:t xml:space="preserve"> often </w:t>
      </w:r>
      <w:r w:rsidRPr="00E6272D">
        <w:rPr>
          <w:rStyle w:val="StyleUnderline"/>
        </w:rPr>
        <w:t xml:space="preserve">requires them </w:t>
      </w:r>
      <w:r w:rsidRPr="006376E2">
        <w:rPr>
          <w:rStyle w:val="StyleUnderline"/>
          <w:highlight w:val="cyan"/>
        </w:rPr>
        <w:t>to negotiate about</w:t>
      </w:r>
      <w:r w:rsidRPr="00264063">
        <w:rPr>
          <w:rStyle w:val="StyleUnderline"/>
        </w:rPr>
        <w:t xml:space="preserve"> fundamental </w:t>
      </w:r>
      <w:r w:rsidRPr="006376E2">
        <w:rPr>
          <w:rStyle w:val="StyleUnderline"/>
          <w:highlight w:val="cyan"/>
        </w:rPr>
        <w:t>decisions affecting the</w:t>
      </w:r>
      <w:r w:rsidRPr="00264063">
        <w:rPr>
          <w:rStyle w:val="StyleUnderline"/>
        </w:rPr>
        <w:t xml:space="preserve"> direction of </w:t>
      </w:r>
      <w:r w:rsidRPr="00C740A2">
        <w:rPr>
          <w:rStyle w:val="StyleUnderline"/>
        </w:rPr>
        <w:t xml:space="preserve">their </w:t>
      </w:r>
      <w:r w:rsidRPr="006376E2">
        <w:rPr>
          <w:rStyle w:val="StyleUnderline"/>
          <w:highlight w:val="cyan"/>
        </w:rPr>
        <w:t>businesses.</w:t>
      </w:r>
      <w:r w:rsidRPr="00264063">
        <w:rPr>
          <w:rStyle w:val="StyleUnderline"/>
        </w:rPr>
        <w:t xml:space="preserve"> And of course, at times, </w:t>
      </w:r>
      <w:r w:rsidRPr="006376E2">
        <w:rPr>
          <w:rStyle w:val="StyleUnderline"/>
          <w:highlight w:val="cyan"/>
        </w:rPr>
        <w:t>it requires</w:t>
      </w:r>
      <w:r w:rsidRPr="00264063">
        <w:rPr>
          <w:rStyle w:val="StyleUnderline"/>
        </w:rPr>
        <w:t xml:space="preserve"> employers to give unions physical access to their property.</w:t>
      </w:r>
      <w:r w:rsidRPr="00F367DD">
        <w:rPr>
          <w:rStyle w:val="StyleUnderline"/>
          <w:sz w:val="16"/>
          <w:szCs w:val="16"/>
          <w:u w:val="none"/>
        </w:rPr>
        <w:t xml:space="preserve"> I</w:t>
      </w:r>
      <w:r w:rsidRPr="003924FA">
        <w:rPr>
          <w:sz w:val="16"/>
        </w:rPr>
        <w:t xml:space="preserve">t is difficult if not impossible to place the rights restricted by these rules in the category of the noxious factory—they don’t inherently infringe on the rights of others. </w:t>
      </w:r>
      <w:r w:rsidRPr="003924FA">
        <w:rPr>
          <w:rStyle w:val="StyleUnderline"/>
        </w:rPr>
        <w:t xml:space="preserve">Epstein saw such limitations as </w:t>
      </w:r>
      <w:r w:rsidRPr="006376E2">
        <w:rPr>
          <w:rStyle w:val="Emphasis"/>
          <w:highlight w:val="cyan"/>
        </w:rPr>
        <w:t>unjustified takings of property.</w:t>
      </w:r>
      <w:r w:rsidRPr="003924FA">
        <w:rPr>
          <w:rStyle w:val="StyleUnderline"/>
        </w:rPr>
        <w:t xml:space="preserve"> And as unjustified takings, they required compensation.</w:t>
      </w:r>
    </w:p>
    <w:p w14:paraId="3F99A579" w14:textId="77777777" w:rsidR="007A56E6" w:rsidRPr="003924FA" w:rsidRDefault="007A56E6" w:rsidP="007A56E6">
      <w:pPr>
        <w:rPr>
          <w:sz w:val="16"/>
          <w:szCs w:val="16"/>
        </w:rPr>
      </w:pPr>
      <w:r w:rsidRPr="003924FA">
        <w:rPr>
          <w:sz w:val="16"/>
          <w:szCs w:val="16"/>
        </w:rPr>
        <w:t>That view dovetails with the Supreme Court’s conclusion in Cedar Point. Cedar Point recognized that union-access rules differed from other physical invasions of property, such as safety inspections. They could not be justified as a way to protect other people. Instead, they simply transferred a property interest from one private person to another. Epstein’s theory saw them the same way and would produce the same result.</w:t>
      </w:r>
    </w:p>
    <w:p w14:paraId="046DEA2D" w14:textId="77777777" w:rsidR="007A56E6" w:rsidRPr="003924FA" w:rsidRDefault="007A56E6" w:rsidP="007A56E6">
      <w:pPr>
        <w:rPr>
          <w:rStyle w:val="Emphasis"/>
        </w:rPr>
      </w:pPr>
      <w:r w:rsidRPr="003924FA">
        <w:rPr>
          <w:sz w:val="16"/>
        </w:rPr>
        <w:t xml:space="preserve">But as Epstein showed, </w:t>
      </w:r>
      <w:r w:rsidRPr="003924FA">
        <w:rPr>
          <w:rStyle w:val="StyleUnderline"/>
        </w:rPr>
        <w:t>the same analysis applies</w:t>
      </w:r>
      <w:r w:rsidRPr="003924FA">
        <w:rPr>
          <w:sz w:val="16"/>
        </w:rPr>
        <w:t xml:space="preserve"> not only to physical-access rules, but </w:t>
      </w:r>
      <w:r w:rsidRPr="003924FA">
        <w:rPr>
          <w:rStyle w:val="StyleUnderline"/>
        </w:rPr>
        <w:t xml:space="preserve">to </w:t>
      </w:r>
      <w:r w:rsidRPr="003924FA">
        <w:rPr>
          <w:rStyle w:val="Emphasis"/>
        </w:rPr>
        <w:t>nearly everything labor law does.</w:t>
      </w:r>
      <w:r w:rsidRPr="003924FA">
        <w:rPr>
          <w:sz w:val="16"/>
        </w:rPr>
        <w:t xml:space="preserve"> </w:t>
      </w:r>
      <w:r w:rsidRPr="003924FA">
        <w:rPr>
          <w:rStyle w:val="StyleUnderline"/>
        </w:rPr>
        <w:t xml:space="preserve">Labor law transfers the right to make decisions about contracting, labor, and other voluntary exchanges—and such </w:t>
      </w:r>
      <w:r w:rsidRPr="003924FA">
        <w:rPr>
          <w:rStyle w:val="Emphasis"/>
        </w:rPr>
        <w:t>decision-making rights were treated as property under the common law.</w:t>
      </w:r>
      <w:r w:rsidRPr="003924FA">
        <w:rPr>
          <w:rStyle w:val="StyleUnderline"/>
        </w:rPr>
        <w:t xml:space="preserve"> So </w:t>
      </w:r>
      <w:r w:rsidRPr="003924FA">
        <w:rPr>
          <w:rStyle w:val="Emphasis"/>
        </w:rPr>
        <w:t xml:space="preserve">if </w:t>
      </w:r>
      <w:r w:rsidRPr="006376E2">
        <w:rPr>
          <w:rStyle w:val="Emphasis"/>
          <w:highlight w:val="cyan"/>
        </w:rPr>
        <w:t>the common law is the right measure for takings, then most of labor law violates the Fifth Amendment.</w:t>
      </w:r>
    </w:p>
    <w:p w14:paraId="07BD8450" w14:textId="77777777" w:rsidR="007A56E6" w:rsidRPr="003924FA" w:rsidRDefault="007A56E6" w:rsidP="007A56E6">
      <w:pPr>
        <w:rPr>
          <w:sz w:val="16"/>
        </w:rPr>
      </w:pPr>
      <w:r w:rsidRPr="003924FA">
        <w:rPr>
          <w:sz w:val="16"/>
        </w:rPr>
        <w:t xml:space="preserve">That conclusion may seem dramatic. But sometimes, dramatic conclusions are the only reasonable ones. </w:t>
      </w:r>
      <w:r w:rsidRPr="003924FA">
        <w:rPr>
          <w:rStyle w:val="StyleUnderline"/>
        </w:rPr>
        <w:t>As regulators carve deeper and deeper into classical property rights, they lose all sense of balance. They forget that labor law was meant not to destroy property rights, but to preserve them. It was supposed to promote stability and peace</w:t>
      </w:r>
      <w:r w:rsidRPr="003924FA">
        <w:rPr>
          <w:sz w:val="16"/>
        </w:rPr>
        <w:t>—conditions that would benefit employers as well as workers. Yet that benefit is lost when the law becomes nothing but a way to transfer property from one person to another. The law no longer promotes the public interest by growing the pie; it carves the pie smaller and smaller to benefit entrenched factions.</w:t>
      </w:r>
    </w:p>
    <w:p w14:paraId="0C899AE0" w14:textId="77777777" w:rsidR="007A56E6" w:rsidRDefault="007A56E6" w:rsidP="007A56E6">
      <w:pPr>
        <w:rPr>
          <w:sz w:val="16"/>
          <w:szCs w:val="16"/>
        </w:rPr>
      </w:pPr>
      <w:r w:rsidRPr="003924FA">
        <w:rPr>
          <w:sz w:val="16"/>
          <w:szCs w:val="16"/>
        </w:rPr>
        <w:t xml:space="preserve">Professor Epstein made that point more than forty years ago. Maybe now, having gone further than even he could have predicted, we will start to listen.  </w:t>
      </w:r>
    </w:p>
    <w:p w14:paraId="1607447E" w14:textId="77777777" w:rsidR="007A56E6" w:rsidRDefault="007A56E6" w:rsidP="007A56E6">
      <w:pPr>
        <w:pStyle w:val="Heading4"/>
      </w:pPr>
      <w:r>
        <w:t xml:space="preserve">A </w:t>
      </w:r>
      <w:r w:rsidRPr="00DA0A3F">
        <w:rPr>
          <w:u w:val="single"/>
        </w:rPr>
        <w:t>stronger Takings Clause</w:t>
      </w:r>
      <w:r>
        <w:t xml:space="preserve"> built on an expansive view of property rights is key to </w:t>
      </w:r>
      <w:r w:rsidRPr="00DA0A3F">
        <w:rPr>
          <w:u w:val="single"/>
        </w:rPr>
        <w:t>climate adaptation</w:t>
      </w:r>
    </w:p>
    <w:p w14:paraId="2FDB4355" w14:textId="77777777" w:rsidR="007A56E6" w:rsidRDefault="007A56E6" w:rsidP="007A56E6">
      <w:r w:rsidRPr="00886A30">
        <w:rPr>
          <w:rStyle w:val="Style13ptBold"/>
        </w:rPr>
        <w:t>Wood 18</w:t>
      </w:r>
      <w:r>
        <w:t xml:space="preserve"> (Jonathan – Vice President of Law and Policy at the Property and Environment Research Center, “The role of property rights in steering climate adaptation,” 2/12/18, https://libertarianenvironmentalism.com/2018/02/12/the-role-of-property-rights-in-encouraging-climate-adaptation/)</w:t>
      </w:r>
    </w:p>
    <w:p w14:paraId="09B2D824" w14:textId="77777777" w:rsidR="007A56E6" w:rsidRPr="0006123E" w:rsidRDefault="007A56E6" w:rsidP="007A56E6">
      <w:pPr>
        <w:rPr>
          <w:sz w:val="16"/>
        </w:rPr>
      </w:pPr>
      <w:r w:rsidRPr="0006123E">
        <w:rPr>
          <w:sz w:val="16"/>
        </w:rPr>
        <w:t xml:space="preserve">I was recently in Charleston for a conference, where I spoke on a panel about property rights in an age of climate change. </w:t>
      </w:r>
      <w:r w:rsidRPr="007F16E9">
        <w:rPr>
          <w:rStyle w:val="StyleUnderline"/>
        </w:rPr>
        <w:t xml:space="preserve">Without interference, </w:t>
      </w:r>
      <w:r w:rsidRPr="006376E2">
        <w:rPr>
          <w:rStyle w:val="Emphasis"/>
          <w:highlight w:val="cyan"/>
        </w:rPr>
        <w:t>private property rights</w:t>
      </w:r>
      <w:r w:rsidRPr="006376E2">
        <w:rPr>
          <w:rStyle w:val="StyleUnderline"/>
          <w:highlight w:val="cyan"/>
        </w:rPr>
        <w:t xml:space="preserve"> enable</w:t>
      </w:r>
      <w:r w:rsidRPr="007F16E9">
        <w:rPr>
          <w:rStyle w:val="StyleUnderline"/>
        </w:rPr>
        <w:t xml:space="preserve"> and encourage property </w:t>
      </w:r>
      <w:r w:rsidRPr="006376E2">
        <w:rPr>
          <w:rStyle w:val="StyleUnderline"/>
          <w:highlight w:val="cyan"/>
        </w:rPr>
        <w:t xml:space="preserve">owners to make </w:t>
      </w:r>
      <w:r w:rsidRPr="006376E2">
        <w:rPr>
          <w:rStyle w:val="Emphasis"/>
          <w:highlight w:val="cyan"/>
        </w:rPr>
        <w:t>rational decisions</w:t>
      </w:r>
      <w:r w:rsidRPr="006376E2">
        <w:rPr>
          <w:rStyle w:val="StyleUnderline"/>
          <w:highlight w:val="cyan"/>
        </w:rPr>
        <w:t xml:space="preserve"> in the face of environmental</w:t>
      </w:r>
      <w:r w:rsidRPr="007F16E9">
        <w:rPr>
          <w:rStyle w:val="StyleUnderline"/>
        </w:rPr>
        <w:t xml:space="preserve"> and other </w:t>
      </w:r>
      <w:r w:rsidRPr="006376E2">
        <w:rPr>
          <w:rStyle w:val="StyleUnderline"/>
          <w:highlight w:val="cyan"/>
        </w:rPr>
        <w:t>threats</w:t>
      </w:r>
      <w:r w:rsidRPr="007F16E9">
        <w:rPr>
          <w:rStyle w:val="StyleUnderline"/>
        </w:rPr>
        <w:t>—whether that means solving the problem or making the best of a bad situation.</w:t>
      </w:r>
      <w:r w:rsidRPr="0006123E">
        <w:rPr>
          <w:sz w:val="16"/>
        </w:rPr>
        <w:t xml:space="preserve"> If a property has a flooding problem, for instance, the owner should have the best incentives to figure out the source of the flooding, identify cost-effective means of addressing the problem, and avoiding investment decisions that exacerbate those problems.</w:t>
      </w:r>
    </w:p>
    <w:p w14:paraId="2D1AA2C3" w14:textId="77777777" w:rsidR="007A56E6" w:rsidRPr="008A17C0" w:rsidRDefault="007A56E6" w:rsidP="007A56E6">
      <w:pPr>
        <w:rPr>
          <w:rStyle w:val="StyleUnderline"/>
        </w:rPr>
      </w:pPr>
      <w:r w:rsidRPr="0006123E">
        <w:rPr>
          <w:sz w:val="16"/>
        </w:rPr>
        <w:t xml:space="preserve">Thus, </w:t>
      </w:r>
      <w:r w:rsidRPr="008A17C0">
        <w:rPr>
          <w:rStyle w:val="StyleUnderline"/>
        </w:rPr>
        <w:t>property’s dynamic adaptability should play a significant role in steering the response to several of climate change’s likely impacts.</w:t>
      </w:r>
      <w:r w:rsidRPr="0006123E">
        <w:rPr>
          <w:sz w:val="16"/>
        </w:rPr>
        <w:t xml:space="preserve"> </w:t>
      </w:r>
      <w:r w:rsidRPr="008A17C0">
        <w:rPr>
          <w:rStyle w:val="StyleUnderline"/>
        </w:rPr>
        <w:t>However, in the modern United States, private property rights rarely exist “without interference.” Routine property decisions require government approval (perhaps from multiple levels of government). And the environmental factors that affect property are often significantly influenced by government decisions.</w:t>
      </w:r>
    </w:p>
    <w:p w14:paraId="71E2E9D4" w14:textId="77777777" w:rsidR="007A56E6" w:rsidRPr="008A17C0" w:rsidRDefault="007A56E6" w:rsidP="007A56E6">
      <w:pPr>
        <w:rPr>
          <w:rStyle w:val="StyleUnderline"/>
        </w:rPr>
      </w:pPr>
      <w:r w:rsidRPr="0006123E">
        <w:rPr>
          <w:sz w:val="16"/>
        </w:rPr>
        <w:t xml:space="preserve">Nevertheless, </w:t>
      </w:r>
      <w:r w:rsidRPr="006376E2">
        <w:rPr>
          <w:rStyle w:val="StyleUnderline"/>
          <w:highlight w:val="cyan"/>
        </w:rPr>
        <w:t xml:space="preserve">the </w:t>
      </w:r>
      <w:r w:rsidRPr="006376E2">
        <w:rPr>
          <w:rStyle w:val="Emphasis"/>
          <w:highlight w:val="cyan"/>
        </w:rPr>
        <w:t>Takings Clause</w:t>
      </w:r>
      <w:r w:rsidRPr="006376E2">
        <w:rPr>
          <w:rStyle w:val="StyleUnderline"/>
          <w:highlight w:val="cyan"/>
        </w:rPr>
        <w:t>’s protection for property rights</w:t>
      </w:r>
      <w:r w:rsidRPr="008A17C0">
        <w:rPr>
          <w:rStyle w:val="StyleUnderline"/>
        </w:rPr>
        <w:t xml:space="preserve"> can </w:t>
      </w:r>
      <w:r w:rsidRPr="006376E2">
        <w:rPr>
          <w:rStyle w:val="Emphasis"/>
          <w:highlight w:val="cyan"/>
        </w:rPr>
        <w:t>encourage governments to pursue rational adaptation to climate change.</w:t>
      </w:r>
      <w:r w:rsidRPr="0006123E">
        <w:rPr>
          <w:sz w:val="16"/>
        </w:rPr>
        <w:t xml:space="preserve"> </w:t>
      </w:r>
      <w:r w:rsidRPr="008A17C0">
        <w:rPr>
          <w:rStyle w:val="StyleUnderline"/>
        </w:rPr>
        <w:t xml:space="preserve">It can do so in at least two ways: (1) </w:t>
      </w:r>
      <w:r w:rsidRPr="006376E2">
        <w:rPr>
          <w:rStyle w:val="StyleUnderline"/>
          <w:highlight w:val="cyan"/>
        </w:rPr>
        <w:t>protecting</w:t>
      </w:r>
      <w:r w:rsidRPr="008A17C0">
        <w:rPr>
          <w:rStyle w:val="StyleUnderline"/>
        </w:rPr>
        <w:t xml:space="preserve"> the likely </w:t>
      </w:r>
      <w:r w:rsidRPr="006376E2">
        <w:rPr>
          <w:rStyle w:val="StyleUnderline"/>
          <w:highlight w:val="cyan"/>
        </w:rPr>
        <w:t>victims of climate change from</w:t>
      </w:r>
      <w:r w:rsidRPr="008A17C0">
        <w:rPr>
          <w:rStyle w:val="StyleUnderline"/>
        </w:rPr>
        <w:t xml:space="preserve"> overly exuberant governments that wipe out property rights in anticipation of those effects; </w:t>
      </w:r>
      <w:r w:rsidRPr="006376E2">
        <w:rPr>
          <w:rStyle w:val="StyleUnderline"/>
          <w:highlight w:val="cyan"/>
        </w:rPr>
        <w:t>and</w:t>
      </w:r>
      <w:r w:rsidRPr="008A17C0">
        <w:rPr>
          <w:rStyle w:val="StyleUnderline"/>
        </w:rPr>
        <w:t xml:space="preserve"> (2) </w:t>
      </w:r>
      <w:r w:rsidRPr="006376E2">
        <w:rPr>
          <w:rStyle w:val="StyleUnderline"/>
          <w:highlight w:val="cyan"/>
        </w:rPr>
        <w:t>ensuring</w:t>
      </w:r>
      <w:r w:rsidRPr="008A17C0">
        <w:rPr>
          <w:rStyle w:val="StyleUnderline"/>
        </w:rPr>
        <w:t xml:space="preserve"> that </w:t>
      </w:r>
      <w:r w:rsidRPr="006376E2">
        <w:rPr>
          <w:rStyle w:val="StyleUnderline"/>
          <w:highlight w:val="cyan"/>
        </w:rPr>
        <w:t>government designs</w:t>
      </w:r>
      <w:r w:rsidRPr="008A17C0">
        <w:rPr>
          <w:rStyle w:val="StyleUnderline"/>
        </w:rPr>
        <w:t xml:space="preserve"> climate </w:t>
      </w:r>
      <w:r w:rsidRPr="006376E2">
        <w:rPr>
          <w:rStyle w:val="StyleUnderline"/>
          <w:highlight w:val="cyan"/>
        </w:rPr>
        <w:t>adaptation in a rational way.</w:t>
      </w:r>
    </w:p>
    <w:p w14:paraId="293165CD" w14:textId="77777777" w:rsidR="007A56E6" w:rsidRPr="0006123E" w:rsidRDefault="007A56E6" w:rsidP="007A56E6">
      <w:pPr>
        <w:rPr>
          <w:sz w:val="16"/>
        </w:rPr>
      </w:pPr>
      <w:r w:rsidRPr="006376E2">
        <w:rPr>
          <w:rStyle w:val="StyleUnderline"/>
          <w:highlight w:val="cyan"/>
        </w:rPr>
        <w:t xml:space="preserve">Without the </w:t>
      </w:r>
      <w:r w:rsidRPr="006376E2">
        <w:rPr>
          <w:rStyle w:val="Emphasis"/>
          <w:highlight w:val="cyan"/>
        </w:rPr>
        <w:t>restraining influence of the Takings Clause</w:t>
      </w:r>
      <w:r w:rsidRPr="006376E2">
        <w:rPr>
          <w:rStyle w:val="StyleUnderline"/>
          <w:highlight w:val="cyan"/>
        </w:rPr>
        <w:t>, governments are</w:t>
      </w:r>
      <w:r w:rsidRPr="008A17C0">
        <w:rPr>
          <w:rStyle w:val="StyleUnderline"/>
        </w:rPr>
        <w:t xml:space="preserve"> too </w:t>
      </w:r>
      <w:r w:rsidRPr="006376E2">
        <w:rPr>
          <w:rStyle w:val="StyleUnderline"/>
          <w:highlight w:val="cyan"/>
        </w:rPr>
        <w:t>prone to</w:t>
      </w:r>
      <w:r w:rsidRPr="008A17C0">
        <w:rPr>
          <w:rStyle w:val="StyleUnderline"/>
        </w:rPr>
        <w:t xml:space="preserve"> leap from some environmental concern to </w:t>
      </w:r>
      <w:r w:rsidRPr="006376E2">
        <w:rPr>
          <w:rStyle w:val="StyleUnderline"/>
          <w:highlight w:val="cyan"/>
        </w:rPr>
        <w:t>unjustified bans on land use.</w:t>
      </w:r>
      <w:r w:rsidRPr="00F7711E">
        <w:rPr>
          <w:sz w:val="16"/>
        </w:rPr>
        <w:t xml:space="preserve"> Twenty</w:t>
      </w:r>
      <w:r w:rsidRPr="0006123E">
        <w:rPr>
          <w:sz w:val="16"/>
        </w:rPr>
        <w:t>-five years ago, the Supreme Court of the United States decided Lucas v. South Carolina Coastal Council, a case pitting property rights against sea level rise and beach erosion. Lucas owned two beachfront lots in a residential subdivision. Citing concerns that any development would adversely affect the beach, the state refused to permit homes to be constructed on either lot.</w:t>
      </w:r>
    </w:p>
    <w:p w14:paraId="671B1FA5" w14:textId="77777777" w:rsidR="007A56E6" w:rsidRPr="0006123E" w:rsidRDefault="007A56E6" w:rsidP="007A56E6">
      <w:pPr>
        <w:rPr>
          <w:sz w:val="16"/>
        </w:rPr>
      </w:pPr>
      <w:r w:rsidRPr="0006123E">
        <w:rPr>
          <w:sz w:val="16"/>
        </w:rPr>
        <w:t xml:space="preserve">Despite denying any economic use of the land, the state refused to pay Lucas for taking the lots. The Supreme Court called foul. It held that </w:t>
      </w:r>
      <w:r w:rsidRPr="00DE30E6">
        <w:rPr>
          <w:rStyle w:val="StyleUnderline"/>
        </w:rPr>
        <w:t>the Takings Clause requires the government to compensate landowners when regulations deprive them of all economically beneficial use of the property.</w:t>
      </w:r>
      <w:r w:rsidRPr="0006123E">
        <w:rPr>
          <w:sz w:val="16"/>
        </w:rPr>
        <w:t xml:space="preserve"> Since the state forbade any economic use of the lots, it must pay for them.</w:t>
      </w:r>
    </w:p>
    <w:p w14:paraId="1699E34C" w14:textId="77777777" w:rsidR="007A56E6" w:rsidRPr="0006123E" w:rsidRDefault="007A56E6" w:rsidP="007A56E6">
      <w:pPr>
        <w:rPr>
          <w:sz w:val="16"/>
          <w:szCs w:val="16"/>
        </w:rPr>
      </w:pPr>
      <w:r w:rsidRPr="0006123E">
        <w:rPr>
          <w:sz w:val="16"/>
          <w:szCs w:val="16"/>
        </w:rPr>
        <w:t>The most interesting thing about the case is what happened next. When the government owned the lots and bore the costs of the development restrictions, its calculations completely changed. The regulations that seemed worthwhile to an agency that expected to bear none of the costs suddenly seemed too harsh. The state sold the lots to a developer with a permit to construct an approximately 5,000 square foot mansion.</w:t>
      </w:r>
    </w:p>
    <w:p w14:paraId="28B192BB" w14:textId="77777777" w:rsidR="007A56E6" w:rsidRDefault="007A56E6" w:rsidP="007A56E6">
      <w:r w:rsidRPr="00DE30E6">
        <w:rPr>
          <w:rStyle w:val="StyleUnderline"/>
        </w:rPr>
        <w:t>Without the Takings Clause’s compensation requirement, states and local governments would likely respond to the risks of climate change by preemptively destroying the rights of property owners, in anticipation of future impacts</w:t>
      </w:r>
      <w:r w:rsidRPr="0006123E">
        <w:rPr>
          <w:rStyle w:val="StyleUnderline"/>
        </w:rPr>
        <w:t>.</w:t>
      </w:r>
      <w:r w:rsidRPr="0006123E">
        <w:rPr>
          <w:sz w:val="16"/>
        </w:rPr>
        <w:t xml:space="preserve"> Lucas compels them to consider the impacts of those regulations, including whether adaptation strategies can better address environmental concerns without such harsh burdens</w:t>
      </w:r>
      <w:r>
        <w:t>.</w:t>
      </w:r>
    </w:p>
    <w:p w14:paraId="3F56EBA5" w14:textId="77777777" w:rsidR="007A56E6" w:rsidRPr="0006123E" w:rsidRDefault="007A56E6" w:rsidP="007A56E6">
      <w:pPr>
        <w:rPr>
          <w:sz w:val="16"/>
        </w:rPr>
      </w:pPr>
      <w:r w:rsidRPr="0006123E">
        <w:rPr>
          <w:sz w:val="16"/>
        </w:rPr>
        <w:t xml:space="preserve">Similarly, </w:t>
      </w:r>
      <w:r w:rsidRPr="00DE30E6">
        <w:rPr>
          <w:rStyle w:val="StyleUnderline"/>
        </w:rPr>
        <w:t>property owners’ right to compensation will encourage governments to rationally design adaptation strategies.</w:t>
      </w:r>
      <w:r w:rsidRPr="0006123E">
        <w:rPr>
          <w:sz w:val="16"/>
        </w:rPr>
        <w:t xml:space="preserve"> It is inevitable that governments will pursue a variety of adaptation strategies that protect some property from sea level rise and other impacts. Charleston, for instance, will almost certainly never let the French Quarter be submerged. Many adaptations will inevitably shift impacts from some properties and onto other properties.</w:t>
      </w:r>
    </w:p>
    <w:p w14:paraId="049AFF5F" w14:textId="77777777" w:rsidR="007A56E6" w:rsidRPr="0006123E" w:rsidRDefault="007A56E6" w:rsidP="007A56E6">
      <w:pPr>
        <w:rPr>
          <w:sz w:val="16"/>
        </w:rPr>
      </w:pPr>
      <w:r w:rsidRPr="0006123E">
        <w:rPr>
          <w:sz w:val="16"/>
        </w:rPr>
        <w:t xml:space="preserve">The Takings Clause will influence those decisions too. If government could avoid compensation, decisions would be made politically—property owners with political influence would be protected at the expense of those without. But </w:t>
      </w:r>
      <w:r w:rsidRPr="006376E2">
        <w:rPr>
          <w:rStyle w:val="StyleUnderline"/>
          <w:highlight w:val="cyan"/>
        </w:rPr>
        <w:t>with robust Takings Clause protections, governments</w:t>
      </w:r>
      <w:r w:rsidRPr="00DE30E6">
        <w:rPr>
          <w:rStyle w:val="StyleUnderline"/>
        </w:rPr>
        <w:t xml:space="preserve"> have to consider the costs of those decisions. Consequently, they </w:t>
      </w:r>
      <w:r w:rsidRPr="006376E2">
        <w:rPr>
          <w:rStyle w:val="StyleUnderline"/>
          <w:highlight w:val="cyan"/>
        </w:rPr>
        <w:t>will be more likely to make economically rational decisions</w:t>
      </w:r>
      <w:r w:rsidRPr="00DE30E6">
        <w:rPr>
          <w:rStyle w:val="StyleUnderline"/>
        </w:rPr>
        <w:t xml:space="preserve"> about which properties to save</w:t>
      </w:r>
      <w:r w:rsidRPr="0006123E">
        <w:rPr>
          <w:sz w:val="16"/>
        </w:rPr>
        <w:t xml:space="preserve"> and which to sacrifice (knowing that they will have to pay for those sacrifices).</w:t>
      </w:r>
    </w:p>
    <w:p w14:paraId="49439E9A" w14:textId="77777777" w:rsidR="007A56E6" w:rsidRDefault="007A56E6" w:rsidP="007A56E6">
      <w:pPr>
        <w:rPr>
          <w:rStyle w:val="StyleUnderline"/>
        </w:rPr>
      </w:pPr>
      <w:r w:rsidRPr="006376E2">
        <w:rPr>
          <w:rStyle w:val="StyleUnderline"/>
          <w:highlight w:val="cyan"/>
        </w:rPr>
        <w:t>The result</w:t>
      </w:r>
      <w:r w:rsidRPr="00FF0875">
        <w:rPr>
          <w:rStyle w:val="StyleUnderline"/>
        </w:rPr>
        <w:t xml:space="preserve"> may</w:t>
      </w:r>
      <w:r w:rsidRPr="00DE30E6">
        <w:rPr>
          <w:rStyle w:val="StyleUnderline"/>
        </w:rPr>
        <w:t xml:space="preserve"> ultimately </w:t>
      </w:r>
      <w:r w:rsidRPr="00FF0875">
        <w:rPr>
          <w:rStyle w:val="StyleUnderline"/>
        </w:rPr>
        <w:t>be fewer</w:t>
      </w:r>
      <w:r w:rsidRPr="00DE30E6">
        <w:rPr>
          <w:rStyle w:val="StyleUnderline"/>
        </w:rPr>
        <w:t xml:space="preserve"> costly and </w:t>
      </w:r>
      <w:r w:rsidRPr="0097628D">
        <w:rPr>
          <w:rStyle w:val="StyleUnderline"/>
        </w:rPr>
        <w:t>environmentally disruptive adaptations</w:t>
      </w:r>
      <w:r w:rsidRPr="00DE30E6">
        <w:rPr>
          <w:rStyle w:val="StyleUnderline"/>
        </w:rPr>
        <w:t xml:space="preserve"> in remote areas</w:t>
      </w:r>
      <w:r w:rsidRPr="0006123E">
        <w:rPr>
          <w:sz w:val="16"/>
        </w:rPr>
        <w:t xml:space="preserve">, like sea walls. Instead, </w:t>
      </w:r>
      <w:r w:rsidRPr="00DE30E6">
        <w:rPr>
          <w:rStyle w:val="StyleUnderline"/>
        </w:rPr>
        <w:t xml:space="preserve">the economic incentives may </w:t>
      </w:r>
      <w:r w:rsidRPr="006376E2">
        <w:rPr>
          <w:rStyle w:val="StyleUnderline"/>
          <w:highlight w:val="cyan"/>
        </w:rPr>
        <w:t>favor</w:t>
      </w:r>
      <w:r w:rsidRPr="00DE30E6">
        <w:rPr>
          <w:rStyle w:val="StyleUnderline"/>
        </w:rPr>
        <w:t xml:space="preserve"> paying for coastal properties to pursue </w:t>
      </w:r>
      <w:r w:rsidRPr="006376E2">
        <w:rPr>
          <w:rStyle w:val="Emphasis"/>
          <w:highlight w:val="cyan"/>
        </w:rPr>
        <w:t>natural adaptation strategies</w:t>
      </w:r>
      <w:r w:rsidRPr="00DE30E6">
        <w:rPr>
          <w:rStyle w:val="StyleUnderline"/>
        </w:rPr>
        <w:t>, including vegetation and dune renewal.</w:t>
      </w:r>
    </w:p>
    <w:p w14:paraId="42285189" w14:textId="77777777" w:rsidR="007A56E6" w:rsidRDefault="007A56E6" w:rsidP="007A56E6">
      <w:pPr>
        <w:pStyle w:val="Heading4"/>
        <w:rPr>
          <w:rStyle w:val="StyleUnderline"/>
          <w:sz w:val="26"/>
          <w:szCs w:val="26"/>
          <w:u w:val="none"/>
        </w:rPr>
      </w:pPr>
      <w:r>
        <w:rPr>
          <w:rStyle w:val="StyleUnderline"/>
          <w:sz w:val="26"/>
          <w:szCs w:val="26"/>
          <w:u w:val="none"/>
        </w:rPr>
        <w:t xml:space="preserve">Climate adaptation solves the </w:t>
      </w:r>
      <w:r w:rsidRPr="00903D97">
        <w:rPr>
          <w:rStyle w:val="StyleUnderline"/>
          <w:sz w:val="26"/>
          <w:szCs w:val="26"/>
        </w:rPr>
        <w:t>existential impacts</w:t>
      </w:r>
      <w:r>
        <w:rPr>
          <w:rStyle w:val="StyleUnderline"/>
          <w:sz w:val="26"/>
          <w:szCs w:val="26"/>
          <w:u w:val="none"/>
        </w:rPr>
        <w:t xml:space="preserve"> of warming</w:t>
      </w:r>
    </w:p>
    <w:p w14:paraId="1FCCDB93" w14:textId="77777777" w:rsidR="007A56E6" w:rsidRDefault="007A56E6" w:rsidP="007A56E6">
      <w:r w:rsidRPr="00541AF2">
        <w:rPr>
          <w:rStyle w:val="Style13ptBold"/>
        </w:rPr>
        <w:t>Simpson et al. 23</w:t>
      </w:r>
      <w:r>
        <w:t xml:space="preserve"> (Nicholas P. – PhD in Environmental Science from the University of Cape Town in South Africa, “Adaptation to compound climate risks: A systematic global stocktake,” 2/17/23, https://www.sciencedirect.com/science/article/pii/S2589004223000032)</w:t>
      </w:r>
    </w:p>
    <w:p w14:paraId="111051F9" w14:textId="77777777" w:rsidR="007A56E6" w:rsidRPr="00E73E36" w:rsidRDefault="007A56E6" w:rsidP="007A56E6">
      <w:pPr>
        <w:rPr>
          <w:rStyle w:val="StyleUnderline"/>
        </w:rPr>
      </w:pPr>
      <w:r w:rsidRPr="00541AF2">
        <w:rPr>
          <w:rStyle w:val="StyleUnderline"/>
        </w:rPr>
        <w:t xml:space="preserve">The </w:t>
      </w:r>
      <w:r w:rsidRPr="006376E2">
        <w:rPr>
          <w:rStyle w:val="StyleUnderline"/>
          <w:highlight w:val="cyan"/>
        </w:rPr>
        <w:t>greatest risks from</w:t>
      </w:r>
      <w:r w:rsidRPr="00541AF2">
        <w:rPr>
          <w:rStyle w:val="StyleUnderline"/>
        </w:rPr>
        <w:t xml:space="preserve"> a changing </w:t>
      </w:r>
      <w:r w:rsidRPr="006376E2">
        <w:rPr>
          <w:rStyle w:val="StyleUnderline"/>
          <w:highlight w:val="cyan"/>
        </w:rPr>
        <w:t>climate</w:t>
      </w:r>
      <w:r w:rsidRPr="00110F95">
        <w:rPr>
          <w:sz w:val="16"/>
        </w:rPr>
        <w:t xml:space="preserve"> may not </w:t>
      </w:r>
      <w:r w:rsidRPr="006376E2">
        <w:rPr>
          <w:rStyle w:val="StyleUnderline"/>
          <w:highlight w:val="cyan"/>
        </w:rPr>
        <w:t>come from</w:t>
      </w:r>
      <w:r w:rsidRPr="00110F95">
        <w:rPr>
          <w:sz w:val="16"/>
        </w:rPr>
        <w:t xml:space="preserve"> individual climate impacts and risks but from </w:t>
      </w:r>
      <w:r w:rsidRPr="00541AF2">
        <w:rPr>
          <w:rStyle w:val="StyleUnderline"/>
        </w:rPr>
        <w:t xml:space="preserve">the interactions and interdependencies between </w:t>
      </w:r>
      <w:r w:rsidRPr="006376E2">
        <w:rPr>
          <w:rStyle w:val="Emphasis"/>
          <w:highlight w:val="cyan"/>
        </w:rPr>
        <w:t xml:space="preserve">cascading </w:t>
      </w:r>
      <w:r w:rsidRPr="006376E2">
        <w:rPr>
          <w:rStyle w:val="StyleUnderline"/>
          <w:highlight w:val="cyan"/>
        </w:rPr>
        <w:t xml:space="preserve">and </w:t>
      </w:r>
      <w:r w:rsidRPr="006376E2">
        <w:rPr>
          <w:rStyle w:val="Emphasis"/>
          <w:highlight w:val="cyan"/>
        </w:rPr>
        <w:t>compound</w:t>
      </w:r>
      <w:r w:rsidRPr="00541AF2">
        <w:rPr>
          <w:rStyle w:val="StyleUnderline"/>
        </w:rPr>
        <w:t xml:space="preserve"> </w:t>
      </w:r>
      <w:r w:rsidRPr="00903D97">
        <w:rPr>
          <w:rStyle w:val="StyleUnderline"/>
        </w:rPr>
        <w:t xml:space="preserve">climate </w:t>
      </w:r>
      <w:r w:rsidRPr="006376E2">
        <w:rPr>
          <w:rStyle w:val="StyleUnderline"/>
          <w:highlight w:val="cyan"/>
        </w:rPr>
        <w:t>impacts</w:t>
      </w:r>
      <w:r w:rsidRPr="00110F95">
        <w:rPr>
          <w:sz w:val="16"/>
        </w:rPr>
        <w:t xml:space="preserve"> and socio-economic and geopolitical vulnerabilities—in other words, the nexus between compound climate hazards, exposures, existing intersectional vulnerabilities, and multiple types of human responses. These interactions can be mapped via available tools and analytic methods such as the Circle tool for infrastructure and system interactions,139,140,155 exploratory modeling analysis with integrated models that capture interactions between sectors,58 pathways analysis,36 and predictive modeling through the use of artificial intelligence techniques.20 However, compounding risk increases complexity, and existing tools to support decision makers would need to be further tailored to systematically assess interactions of risk and responses across space and time, to support the development of adaptation plans that properly account for compounding risks. This will not, however, rule out surprises, which points to the need for warning and response capability in the context of learned experience. Analogues exist from which we can learn. </w:t>
      </w:r>
      <w:r w:rsidRPr="00E73E36">
        <w:rPr>
          <w:rStyle w:val="StyleUnderline"/>
        </w:rPr>
        <w:t>Disruptions in global food supply chains arising from</w:t>
      </w:r>
      <w:r w:rsidRPr="00110F95">
        <w:rPr>
          <w:sz w:val="16"/>
        </w:rPr>
        <w:t xml:space="preserve"> a combination of </w:t>
      </w:r>
      <w:r w:rsidRPr="00E73E36">
        <w:rPr>
          <w:rStyle w:val="StyleUnderline"/>
        </w:rPr>
        <w:t>COVID</w:t>
      </w:r>
      <w:r w:rsidRPr="00110F95">
        <w:rPr>
          <w:sz w:val="16"/>
        </w:rPr>
        <w:t xml:space="preserve">-19 </w:t>
      </w:r>
      <w:r w:rsidRPr="00E73E36">
        <w:rPr>
          <w:rStyle w:val="StyleUnderline"/>
        </w:rPr>
        <w:t>and the war in Ukraine are demonstrations of the types of risks we can expect from climate change and a reminder of the importance of compound and interacting risks.</w:t>
      </w:r>
    </w:p>
    <w:p w14:paraId="3A258072" w14:textId="77777777" w:rsidR="007A56E6" w:rsidRPr="00110F95" w:rsidRDefault="007A56E6" w:rsidP="007A56E6">
      <w:pPr>
        <w:rPr>
          <w:sz w:val="16"/>
        </w:rPr>
      </w:pPr>
      <w:r w:rsidRPr="00110F95">
        <w:rPr>
          <w:sz w:val="16"/>
        </w:rPr>
        <w:t xml:space="preserve">Kemp et al.156 highlight the potential for </w:t>
      </w:r>
      <w:r w:rsidRPr="00E73E36">
        <w:rPr>
          <w:rStyle w:val="StyleUnderline"/>
        </w:rPr>
        <w:t xml:space="preserve">catastrophic and extreme </w:t>
      </w:r>
      <w:r w:rsidRPr="00E73E36">
        <w:rPr>
          <w:rStyle w:val="Emphasis"/>
        </w:rPr>
        <w:t xml:space="preserve">climate scenarios </w:t>
      </w:r>
      <w:r w:rsidRPr="006376E2">
        <w:rPr>
          <w:rStyle w:val="Emphasis"/>
          <w:highlight w:val="cyan"/>
        </w:rPr>
        <w:t>leading to societal collapse</w:t>
      </w:r>
      <w:r w:rsidRPr="00110F95">
        <w:rPr>
          <w:sz w:val="16"/>
        </w:rPr>
        <w:t xml:space="preserve">, </w:t>
      </w:r>
      <w:r w:rsidRPr="00E73E36">
        <w:rPr>
          <w:rStyle w:val="StyleUnderline"/>
        </w:rPr>
        <w:t>with compound events and their interactions as key drivers of social fragility.</w:t>
      </w:r>
      <w:r w:rsidRPr="00110F95">
        <w:rPr>
          <w:sz w:val="16"/>
        </w:rPr>
        <w:t xml:space="preserve"> Consistent with Kemp et al.,156 we contend that </w:t>
      </w:r>
      <w:r w:rsidRPr="00E73E36">
        <w:rPr>
          <w:rStyle w:val="StyleUnderline"/>
        </w:rPr>
        <w:t>catastrophic climate scenarios are not entirely unpredictable and argue that there is significant potential to identify the common drivers and mechanisms underpinning diverse compound and catastrophic risk scenarios</w:t>
      </w:r>
      <w:r w:rsidRPr="00110F95">
        <w:rPr>
          <w:sz w:val="16"/>
        </w:rPr>
        <w:t xml:space="preserve"> from other domains of learning. In particular, </w:t>
      </w:r>
      <w:r w:rsidRPr="00E73E36">
        <w:rPr>
          <w:rStyle w:val="StyleUnderline"/>
        </w:rPr>
        <w:t xml:space="preserve">we highlight the importance of </w:t>
      </w:r>
      <w:r w:rsidRPr="006376E2">
        <w:rPr>
          <w:rStyle w:val="StyleUnderline"/>
          <w:highlight w:val="cyan"/>
        </w:rPr>
        <w:t>integrating</w:t>
      </w:r>
      <w:r w:rsidRPr="00E73E36">
        <w:rPr>
          <w:rStyle w:val="StyleUnderline"/>
        </w:rPr>
        <w:t xml:space="preserve"> consideration of </w:t>
      </w:r>
      <w:r w:rsidRPr="006376E2">
        <w:rPr>
          <w:rStyle w:val="StyleUnderline"/>
          <w:highlight w:val="cyan"/>
        </w:rPr>
        <w:t>compound</w:t>
      </w:r>
      <w:r w:rsidRPr="003C7583">
        <w:rPr>
          <w:rStyle w:val="StyleUnderline"/>
        </w:rPr>
        <w:t xml:space="preserve"> </w:t>
      </w:r>
      <w:r w:rsidRPr="00357650">
        <w:rPr>
          <w:rStyle w:val="StyleUnderline"/>
        </w:rPr>
        <w:t xml:space="preserve">and cascading </w:t>
      </w:r>
      <w:r w:rsidRPr="006376E2">
        <w:rPr>
          <w:rStyle w:val="StyleUnderline"/>
          <w:highlight w:val="cyan"/>
        </w:rPr>
        <w:t>risks into adaptation planning</w:t>
      </w:r>
      <w:r w:rsidRPr="00E73E36">
        <w:rPr>
          <w:rStyle w:val="StyleUnderline"/>
        </w:rPr>
        <w:t>.</w:t>
      </w:r>
      <w:r w:rsidRPr="00110F95">
        <w:rPr>
          <w:sz w:val="16"/>
        </w:rPr>
        <w:t xml:space="preserve"> In doing so, and consistent with the recent IPCC Sixth Assessment Report, </w:t>
      </w:r>
      <w:r w:rsidRPr="007B0BAE">
        <w:rPr>
          <w:rStyle w:val="StyleUnderline"/>
        </w:rPr>
        <w:t xml:space="preserve">we </w:t>
      </w:r>
      <w:r w:rsidRPr="006376E2">
        <w:rPr>
          <w:rStyle w:val="StyleUnderline"/>
          <w:highlight w:val="cyan"/>
        </w:rPr>
        <w:t xml:space="preserve">situate </w:t>
      </w:r>
      <w:r w:rsidRPr="006376E2">
        <w:rPr>
          <w:rStyle w:val="Emphasis"/>
          <w:highlight w:val="cyan"/>
        </w:rPr>
        <w:t>adaptation responses</w:t>
      </w:r>
      <w:r w:rsidRPr="006376E2">
        <w:rPr>
          <w:sz w:val="16"/>
          <w:highlight w:val="cyan"/>
        </w:rPr>
        <w:t xml:space="preserve"> </w:t>
      </w:r>
      <w:r w:rsidRPr="006376E2">
        <w:rPr>
          <w:rStyle w:val="StyleUnderline"/>
          <w:highlight w:val="cyan"/>
        </w:rPr>
        <w:t xml:space="preserve">as a </w:t>
      </w:r>
      <w:r w:rsidRPr="006376E2">
        <w:rPr>
          <w:rStyle w:val="Emphasis"/>
          <w:highlight w:val="cyan"/>
        </w:rPr>
        <w:t>core component</w:t>
      </w:r>
      <w:r w:rsidRPr="006376E2">
        <w:rPr>
          <w:rStyle w:val="StyleUnderline"/>
          <w:highlight w:val="cyan"/>
        </w:rPr>
        <w:t xml:space="preserve"> of risk</w:t>
      </w:r>
      <w:r w:rsidRPr="007B0BAE">
        <w:rPr>
          <w:rStyle w:val="StyleUnderline"/>
        </w:rPr>
        <w:t xml:space="preserve"> alongside climate hazards and human exposure and vulnerability.</w:t>
      </w:r>
      <w:r w:rsidRPr="00110F95">
        <w:rPr>
          <w:sz w:val="16"/>
        </w:rPr>
        <w:t xml:space="preserve"> These findings highlight that </w:t>
      </w:r>
      <w:r w:rsidRPr="006376E2">
        <w:rPr>
          <w:rStyle w:val="Emphasis"/>
          <w:highlight w:val="cyan"/>
        </w:rPr>
        <w:t>averting catastrophic climate scenarios is a function of climate change adaptation</w:t>
      </w:r>
      <w:r w:rsidRPr="007B0BAE">
        <w:rPr>
          <w:rStyle w:val="StyleUnderline"/>
        </w:rPr>
        <w:t xml:space="preserve"> and actions addressing existing human vulnerability.</w:t>
      </w:r>
      <w:r w:rsidRPr="00110F95">
        <w:rPr>
          <w:sz w:val="16"/>
        </w:rPr>
        <w:t xml:space="preserve"> Importantly, however, the findings also show how the efficacy of adaptation is influenced by the ways in which we choose to adapt, including choices to delay or avoid responses to climate change.</w:t>
      </w:r>
    </w:p>
    <w:p w14:paraId="4BBD57BA" w14:textId="77777777" w:rsidR="007A56E6" w:rsidRDefault="007A56E6" w:rsidP="007A56E6">
      <w:pPr>
        <w:rPr>
          <w:rStyle w:val="Emphasis"/>
        </w:rPr>
      </w:pPr>
      <w:r w:rsidRPr="00110F95">
        <w:rPr>
          <w:sz w:val="16"/>
        </w:rPr>
        <w:t xml:space="preserve">These findings highlight the importance of understanding how context, including system capital and connectedness, affects differential effectiveness and feasibility of responses to compound climate events. </w:t>
      </w:r>
      <w:r w:rsidRPr="006376E2">
        <w:rPr>
          <w:rStyle w:val="StyleUnderline"/>
          <w:highlight w:val="cyan"/>
        </w:rPr>
        <w:t>Addressing</w:t>
      </w:r>
      <w:r w:rsidRPr="00F3590E">
        <w:rPr>
          <w:rStyle w:val="StyleUnderline"/>
        </w:rPr>
        <w:t xml:space="preserve"> many of the </w:t>
      </w:r>
      <w:r w:rsidRPr="00357650">
        <w:rPr>
          <w:rStyle w:val="StyleUnderline"/>
        </w:rPr>
        <w:t xml:space="preserve">factors affecting the soft limits to </w:t>
      </w:r>
      <w:r w:rsidRPr="006376E2">
        <w:rPr>
          <w:rStyle w:val="StyleUnderline"/>
          <w:highlight w:val="cyan"/>
        </w:rPr>
        <w:t>adaptation</w:t>
      </w:r>
      <w:r w:rsidRPr="00F3590E">
        <w:rPr>
          <w:rStyle w:val="StyleUnderline"/>
        </w:rPr>
        <w:t xml:space="preserve"> can </w:t>
      </w:r>
      <w:r w:rsidRPr="006376E2">
        <w:rPr>
          <w:rStyle w:val="StyleUnderline"/>
          <w:highlight w:val="cyan"/>
        </w:rPr>
        <w:t xml:space="preserve">provide an </w:t>
      </w:r>
      <w:r w:rsidRPr="006376E2">
        <w:rPr>
          <w:rStyle w:val="Emphasis"/>
          <w:highlight w:val="cyan"/>
        </w:rPr>
        <w:t>entry point for</w:t>
      </w:r>
      <w:r w:rsidRPr="00F3590E">
        <w:rPr>
          <w:rStyle w:val="Emphasis"/>
        </w:rPr>
        <w:t xml:space="preserve"> more </w:t>
      </w:r>
      <w:r w:rsidRPr="006376E2">
        <w:rPr>
          <w:rStyle w:val="Emphasis"/>
          <w:highlight w:val="cyan"/>
        </w:rPr>
        <w:t>effective responses to compound extreme events</w:t>
      </w:r>
      <w:r w:rsidRPr="00110F95">
        <w:rPr>
          <w:sz w:val="16"/>
        </w:rPr>
        <w:t xml:space="preserve">—for example, improving access to finance, affordability of new technologies, and good governance and government responsiveness; enhancing social, gender, and cultural capital; reducing poverty and inequality; and boosting climate change literacy and education and safeguarding indigenous and traditional knowledge, while better addressing inequality and other economic vulnerabilities to improve climate change responses.157 This requires greater attention to the complexity of interactions affecting risk and application of both qualitative and quantitative studies to empirically demonstrate these effects across different scales and contexts. Failure to do so will underestimate the urgency and severity of risk from responses to climate change, fail to ensure safeguards for vulnerability and exposure concerning responses (both </w:t>
      </w:r>
      <w:r w:rsidRPr="00357650">
        <w:rPr>
          <w:sz w:val="16"/>
        </w:rPr>
        <w:t xml:space="preserve">for </w:t>
      </w:r>
      <w:r w:rsidRPr="006376E2">
        <w:rPr>
          <w:rStyle w:val="StyleUnderline"/>
          <w:highlight w:val="cyan"/>
        </w:rPr>
        <w:t>adaptation</w:t>
      </w:r>
      <w:r w:rsidRPr="00110F95">
        <w:rPr>
          <w:sz w:val="16"/>
        </w:rPr>
        <w:t xml:space="preserve"> and mitigation), and miss the opportunity to better inform how </w:t>
      </w:r>
      <w:r w:rsidRPr="006376E2">
        <w:rPr>
          <w:rStyle w:val="StyleUnderline"/>
          <w:highlight w:val="cyan"/>
        </w:rPr>
        <w:t>responses</w:t>
      </w:r>
      <w:r w:rsidRPr="00110F95">
        <w:rPr>
          <w:rStyle w:val="StyleUnderline"/>
        </w:rPr>
        <w:t xml:space="preserve"> can </w:t>
      </w:r>
      <w:r w:rsidRPr="006376E2">
        <w:rPr>
          <w:rStyle w:val="Emphasis"/>
          <w:highlight w:val="cyan"/>
        </w:rPr>
        <w:t>effectively reduce risk</w:t>
      </w:r>
      <w:r w:rsidRPr="00110F95">
        <w:rPr>
          <w:rStyle w:val="StyleUnderline"/>
        </w:rPr>
        <w:t xml:space="preserve"> that can unlock inaction, policy inertia, and uninformed adaptation and mitigation responses to climate change </w:t>
      </w:r>
      <w:r w:rsidRPr="006376E2">
        <w:rPr>
          <w:rStyle w:val="StyleUnderline"/>
          <w:highlight w:val="cyan"/>
        </w:rPr>
        <w:t xml:space="preserve">and </w:t>
      </w:r>
      <w:r w:rsidRPr="006376E2">
        <w:rPr>
          <w:rStyle w:val="Emphasis"/>
          <w:highlight w:val="cyan"/>
        </w:rPr>
        <w:t>enable climate resilient development.</w:t>
      </w:r>
    </w:p>
    <w:p w14:paraId="421C1D9E" w14:textId="77777777" w:rsidR="007A56E6" w:rsidRDefault="007A56E6" w:rsidP="008D6AE6"/>
    <w:p w14:paraId="6952A437" w14:textId="77777777" w:rsidR="007A56E6" w:rsidRDefault="007A56E6" w:rsidP="007A56E6">
      <w:pPr>
        <w:pStyle w:val="Heading3"/>
      </w:pPr>
      <w:r>
        <w:t>1NC – OFF</w:t>
      </w:r>
    </w:p>
    <w:p w14:paraId="2272BC28" w14:textId="77777777" w:rsidR="007A56E6" w:rsidRDefault="007A56E6" w:rsidP="007A56E6">
      <w:pPr>
        <w:pStyle w:val="Heading4"/>
      </w:pPr>
      <w:r>
        <w:t>The United States federal government should substantially strengthen collective bargaining rights for workers in the United States by at least implementing sectoral bargaining, excluding tribal enterprises. The United States federal government should enter into legal and binding compacts to develop tribal labor relations ordinances with all relevant tribal nations over at least implementing sectoral bargaining.</w:t>
      </w:r>
    </w:p>
    <w:p w14:paraId="26A90CC5" w14:textId="77777777" w:rsidR="007A56E6" w:rsidRPr="003B517C" w:rsidRDefault="007A56E6" w:rsidP="007A56E6"/>
    <w:p w14:paraId="3E5BAAEC" w14:textId="77777777" w:rsidR="007A56E6" w:rsidRPr="003B517C" w:rsidRDefault="007A56E6" w:rsidP="007A56E6">
      <w:pPr>
        <w:pStyle w:val="Heading4"/>
      </w:pPr>
      <w:r>
        <w:t xml:space="preserve">Compacts </w:t>
      </w:r>
      <w:r>
        <w:rPr>
          <w:i/>
          <w:iCs w:val="0"/>
        </w:rPr>
        <w:t>reduce uncertainty</w:t>
      </w:r>
      <w:r>
        <w:t xml:space="preserve">, strengthen bargaining power and </w:t>
      </w:r>
      <w:r>
        <w:rPr>
          <w:i/>
          <w:iCs w:val="0"/>
        </w:rPr>
        <w:t>enshrine</w:t>
      </w:r>
      <w:r>
        <w:t xml:space="preserve"> tribal sovereignty over labor relations.</w:t>
      </w:r>
    </w:p>
    <w:p w14:paraId="5DB8F2E7" w14:textId="77777777" w:rsidR="007A56E6" w:rsidRPr="004D7446" w:rsidRDefault="007A56E6" w:rsidP="007A56E6">
      <w:r w:rsidRPr="004D7446">
        <w:rPr>
          <w:rStyle w:val="Style13ptBold"/>
        </w:rPr>
        <w:t>Harvard Law Review 21</w:t>
      </w:r>
      <w:r>
        <w:t xml:space="preserve"> – “</w:t>
      </w:r>
      <w:r w:rsidRPr="004D7446">
        <w:t>Tribal Power, Worker Power: Organizing Unions in the Context of Native Sovereignty</w:t>
      </w:r>
      <w:r>
        <w:t xml:space="preserve">,” Harvard Law Review, Volume 134, Issue 3, </w:t>
      </w:r>
      <w:hyperlink r:id="rId8" w:history="1">
        <w:r w:rsidRPr="004E0716">
          <w:rPr>
            <w:rStyle w:val="Hyperlink"/>
          </w:rPr>
          <w:t>https://harvardlawreview.org/print/vol-134/tribal-power-worker-power-organizing-unions-in-the-context-of-native-sovereignty/</w:t>
        </w:r>
      </w:hyperlink>
      <w:r>
        <w:t>, January 2021, accessed November 4, 2025, -ekh-</w:t>
      </w:r>
    </w:p>
    <w:p w14:paraId="1B4B7996" w14:textId="77777777" w:rsidR="007A56E6" w:rsidRPr="004D7446" w:rsidRDefault="007A56E6" w:rsidP="007A56E6">
      <w:pPr>
        <w:rPr>
          <w:rStyle w:val="StyleUnderline"/>
        </w:rPr>
      </w:pPr>
      <w:r w:rsidRPr="006376E2">
        <w:rPr>
          <w:rStyle w:val="Emphasis"/>
          <w:highlight w:val="cyan"/>
        </w:rPr>
        <w:t>Unions’</w:t>
      </w:r>
      <w:r w:rsidRPr="003B517C">
        <w:rPr>
          <w:rStyle w:val="Emphasis"/>
        </w:rPr>
        <w:t xml:space="preserve"> fight to </w:t>
      </w:r>
      <w:r w:rsidRPr="006376E2">
        <w:rPr>
          <w:rStyle w:val="Emphasis"/>
          <w:highlight w:val="cyan"/>
        </w:rPr>
        <w:t>apply</w:t>
      </w:r>
      <w:r w:rsidRPr="003B517C">
        <w:rPr>
          <w:rStyle w:val="Emphasis"/>
        </w:rPr>
        <w:t xml:space="preserve"> the </w:t>
      </w:r>
      <w:r w:rsidRPr="006376E2">
        <w:rPr>
          <w:rStyle w:val="Emphasis"/>
          <w:highlight w:val="cyan"/>
        </w:rPr>
        <w:t xml:space="preserve">NLRA to tribal enterprises </w:t>
      </w:r>
      <w:r w:rsidRPr="003B517C">
        <w:rPr>
          <w:rStyle w:val="Emphasis"/>
        </w:rPr>
        <w:t xml:space="preserve">rests on a </w:t>
      </w:r>
      <w:r w:rsidRPr="006376E2">
        <w:rPr>
          <w:rStyle w:val="Emphasis"/>
          <w:highlight w:val="cyan"/>
        </w:rPr>
        <w:t>false premise</w:t>
      </w:r>
      <w:r w:rsidRPr="006376E2">
        <w:rPr>
          <w:rStyle w:val="StyleUnderline"/>
          <w:highlight w:val="cyan"/>
        </w:rPr>
        <w:t xml:space="preserve">: </w:t>
      </w:r>
      <w:r w:rsidRPr="003B517C">
        <w:rPr>
          <w:rStyle w:val="StyleUnderline"/>
        </w:rPr>
        <w:t xml:space="preserve">that </w:t>
      </w:r>
      <w:r w:rsidRPr="006376E2">
        <w:rPr>
          <w:rStyle w:val="StyleUnderline"/>
          <w:highlight w:val="cyan"/>
        </w:rPr>
        <w:t>without federal law, tribal employees</w:t>
      </w:r>
      <w:r w:rsidRPr="004D7446">
        <w:rPr>
          <w:rStyle w:val="StyleUnderline"/>
        </w:rPr>
        <w:t xml:space="preserve"> will </w:t>
      </w:r>
      <w:r w:rsidRPr="006376E2">
        <w:rPr>
          <w:rStyle w:val="StyleUnderline"/>
          <w:highlight w:val="cyan"/>
        </w:rPr>
        <w:t>lack</w:t>
      </w:r>
      <w:r w:rsidRPr="004D7446">
        <w:rPr>
          <w:sz w:val="16"/>
        </w:rPr>
        <w:t xml:space="preserve"> any </w:t>
      </w:r>
      <w:r w:rsidRPr="004D7446">
        <w:rPr>
          <w:rStyle w:val="StyleUnderline"/>
        </w:rPr>
        <w:t xml:space="preserve">legal </w:t>
      </w:r>
      <w:r w:rsidRPr="006376E2">
        <w:rPr>
          <w:rStyle w:val="StyleUnderline"/>
          <w:highlight w:val="cyan"/>
        </w:rPr>
        <w:t>protections</w:t>
      </w:r>
      <w:r w:rsidRPr="004D7446">
        <w:rPr>
          <w:sz w:val="16"/>
        </w:rPr>
        <w:t xml:space="preserve">.140 Like other sovereigns exempted from the NLRA, Native nations have the authority to promulgate labor regulations and an economic and sovereign interest in doing so.141 Many </w:t>
      </w:r>
      <w:r w:rsidRPr="006376E2">
        <w:rPr>
          <w:rStyle w:val="StyleUnderline"/>
          <w:highlight w:val="cyan"/>
        </w:rPr>
        <w:t>tribal governments</w:t>
      </w:r>
      <w:r w:rsidRPr="004D7446">
        <w:rPr>
          <w:sz w:val="16"/>
        </w:rPr>
        <w:t xml:space="preserve"> have </w:t>
      </w:r>
      <w:r w:rsidRPr="006376E2">
        <w:rPr>
          <w:rStyle w:val="StyleUnderline"/>
          <w:highlight w:val="cyan"/>
        </w:rPr>
        <w:t xml:space="preserve">developed </w:t>
      </w:r>
      <w:r w:rsidRPr="006376E2">
        <w:rPr>
          <w:rStyle w:val="Emphasis"/>
          <w:highlight w:val="cyan"/>
        </w:rPr>
        <w:t>comprehensive</w:t>
      </w:r>
      <w:r w:rsidRPr="003B517C">
        <w:rPr>
          <w:rStyle w:val="Emphasis"/>
        </w:rPr>
        <w:t xml:space="preserve"> </w:t>
      </w:r>
      <w:r w:rsidRPr="006376E2">
        <w:rPr>
          <w:rStyle w:val="Emphasis"/>
          <w:highlight w:val="cyan"/>
        </w:rPr>
        <w:t>labor codes</w:t>
      </w:r>
      <w:r w:rsidRPr="004D7446">
        <w:rPr>
          <w:sz w:val="16"/>
        </w:rPr>
        <w:t xml:space="preserve">. The following examples </w:t>
      </w:r>
      <w:r w:rsidRPr="004D7446">
        <w:rPr>
          <w:rStyle w:val="StyleUnderline"/>
        </w:rPr>
        <w:t>provide</w:t>
      </w:r>
      <w:r w:rsidRPr="004D7446">
        <w:rPr>
          <w:sz w:val="16"/>
        </w:rPr>
        <w:t xml:space="preserve"> some </w:t>
      </w:r>
      <w:r w:rsidRPr="004D7446">
        <w:rPr>
          <w:rStyle w:val="StyleUnderline"/>
        </w:rPr>
        <w:t xml:space="preserve">insight into how unions and Native nations can coexist and exhibit mutual respect </w:t>
      </w:r>
      <w:r w:rsidRPr="004D7446">
        <w:rPr>
          <w:sz w:val="16"/>
        </w:rPr>
        <w:t xml:space="preserve">— even, in some cases, </w:t>
      </w:r>
      <w:r w:rsidRPr="006376E2">
        <w:rPr>
          <w:rStyle w:val="StyleUnderline"/>
          <w:highlight w:val="cyan"/>
        </w:rPr>
        <w:t>allowing</w:t>
      </w:r>
      <w:r w:rsidRPr="004D7446">
        <w:rPr>
          <w:rStyle w:val="StyleUnderline"/>
        </w:rPr>
        <w:t xml:space="preserve"> workers </w:t>
      </w:r>
      <w:r w:rsidRPr="006376E2">
        <w:rPr>
          <w:rStyle w:val="Emphasis"/>
          <w:highlight w:val="cyan"/>
        </w:rPr>
        <w:t>greater</w:t>
      </w:r>
      <w:r w:rsidRPr="004D7446">
        <w:rPr>
          <w:rStyle w:val="StyleUnderline"/>
        </w:rPr>
        <w:t xml:space="preserve"> </w:t>
      </w:r>
      <w:r w:rsidRPr="006376E2">
        <w:rPr>
          <w:rStyle w:val="Emphasis"/>
          <w:highlight w:val="cyan"/>
        </w:rPr>
        <w:t>protection</w:t>
      </w:r>
      <w:r w:rsidRPr="006376E2">
        <w:rPr>
          <w:rStyle w:val="StyleUnderline"/>
          <w:highlight w:val="cyan"/>
        </w:rPr>
        <w:t xml:space="preserve"> than</w:t>
      </w:r>
      <w:r w:rsidRPr="004D7446">
        <w:rPr>
          <w:sz w:val="16"/>
        </w:rPr>
        <w:t xml:space="preserve"> is </w:t>
      </w:r>
      <w:r w:rsidRPr="004D7446">
        <w:rPr>
          <w:rStyle w:val="StyleUnderline"/>
        </w:rPr>
        <w:t xml:space="preserve">currently available under </w:t>
      </w:r>
      <w:r w:rsidRPr="006376E2">
        <w:rPr>
          <w:rStyle w:val="StyleUnderline"/>
          <w:highlight w:val="cyan"/>
        </w:rPr>
        <w:t>federal law.</w:t>
      </w:r>
    </w:p>
    <w:p w14:paraId="39843806" w14:textId="77777777" w:rsidR="007A56E6" w:rsidRPr="004D7446" w:rsidRDefault="007A56E6" w:rsidP="007A56E6">
      <w:pPr>
        <w:rPr>
          <w:sz w:val="16"/>
        </w:rPr>
      </w:pPr>
      <w:r w:rsidRPr="004D7446">
        <w:rPr>
          <w:sz w:val="16"/>
        </w:rPr>
        <w:t xml:space="preserve">The Navajo Nation provides a </w:t>
      </w:r>
      <w:r w:rsidRPr="004D7446">
        <w:rPr>
          <w:rStyle w:val="StyleUnderline"/>
        </w:rPr>
        <w:t xml:space="preserve">leading example of </w:t>
      </w:r>
      <w:r w:rsidRPr="006376E2">
        <w:rPr>
          <w:rStyle w:val="StyleUnderline"/>
          <w:highlight w:val="cyan"/>
        </w:rPr>
        <w:t>effective</w:t>
      </w:r>
      <w:r w:rsidRPr="004D7446">
        <w:rPr>
          <w:rStyle w:val="StyleUnderline"/>
        </w:rPr>
        <w:t xml:space="preserve"> tribal</w:t>
      </w:r>
      <w:r>
        <w:rPr>
          <w:rStyle w:val="StyleUnderline"/>
        </w:rPr>
        <w:t xml:space="preserve"> </w:t>
      </w:r>
      <w:r w:rsidRPr="004D7446">
        <w:rPr>
          <w:rStyle w:val="StyleUnderline"/>
        </w:rPr>
        <w:t xml:space="preserve">labor </w:t>
      </w:r>
      <w:r w:rsidRPr="006376E2">
        <w:rPr>
          <w:rStyle w:val="StyleUnderline"/>
          <w:highlight w:val="cyan"/>
        </w:rPr>
        <w:t>relations</w:t>
      </w:r>
      <w:r w:rsidRPr="004D7446">
        <w:rPr>
          <w:sz w:val="16"/>
        </w:rPr>
        <w:t xml:space="preserve">. In the 1990s, the Navajo Council </w:t>
      </w:r>
      <w:r w:rsidRPr="004D7446">
        <w:rPr>
          <w:rStyle w:val="StyleUnderline"/>
        </w:rPr>
        <w:t xml:space="preserve">promulgated a labor code that </w:t>
      </w:r>
      <w:r w:rsidRPr="006376E2">
        <w:rPr>
          <w:rStyle w:val="StyleUnderline"/>
          <w:highlight w:val="cyan"/>
        </w:rPr>
        <w:t xml:space="preserve">established </w:t>
      </w:r>
      <w:r w:rsidRPr="006376E2">
        <w:rPr>
          <w:rStyle w:val="Emphasis"/>
          <w:highlight w:val="cyan"/>
        </w:rPr>
        <w:t>collective bargaining rights</w:t>
      </w:r>
      <w:r w:rsidRPr="004D7446">
        <w:rPr>
          <w:rStyle w:val="StyleUnderline"/>
        </w:rPr>
        <w:t xml:space="preserve"> for employees of the Navajo government and tribally owned corporations</w:t>
      </w:r>
      <w:r w:rsidRPr="004D7446">
        <w:rPr>
          <w:sz w:val="16"/>
        </w:rPr>
        <w:t xml:space="preserve">.142 The Laborers’ International Union of North America (LiUNA) subsequently campaigned to unionize the Navajo Area Indian Health Service (IHS).143 </w:t>
      </w:r>
      <w:r w:rsidRPr="004D7446">
        <w:rPr>
          <w:rStyle w:val="StyleUnderline"/>
        </w:rPr>
        <w:t>The IHS</w:t>
      </w:r>
      <w:r w:rsidRPr="004D7446">
        <w:rPr>
          <w:sz w:val="16"/>
        </w:rPr>
        <w:t xml:space="preserve"> — unlike many tribal enterprises — employs a majority Native workforce.144 The </w:t>
      </w:r>
      <w:r w:rsidRPr="004D7446">
        <w:rPr>
          <w:rStyle w:val="StyleUnderline"/>
        </w:rPr>
        <w:t>union</w:t>
      </w:r>
      <w:r w:rsidRPr="004D7446">
        <w:rPr>
          <w:sz w:val="16"/>
        </w:rPr>
        <w:t xml:space="preserve"> therefore </w:t>
      </w:r>
      <w:r w:rsidRPr="004D7446">
        <w:rPr>
          <w:rStyle w:val="StyleUnderline"/>
        </w:rPr>
        <w:t xml:space="preserve">served as a tool for both </w:t>
      </w:r>
      <w:r w:rsidRPr="006376E2">
        <w:rPr>
          <w:rStyle w:val="StyleUnderline"/>
          <w:highlight w:val="cyan"/>
        </w:rPr>
        <w:t>improving workplace conditions</w:t>
      </w:r>
      <w:r w:rsidRPr="004D7446">
        <w:rPr>
          <w:rStyle w:val="StyleUnderline"/>
        </w:rPr>
        <w:t xml:space="preserve"> and </w:t>
      </w:r>
      <w:r w:rsidRPr="006376E2">
        <w:rPr>
          <w:rStyle w:val="StyleUnderline"/>
          <w:highlight w:val="cyan"/>
        </w:rPr>
        <w:t>amplifying</w:t>
      </w:r>
      <w:r w:rsidRPr="004D7446">
        <w:rPr>
          <w:rStyle w:val="StyleUnderline"/>
        </w:rPr>
        <w:t xml:space="preserve"> the </w:t>
      </w:r>
      <w:r w:rsidRPr="006376E2">
        <w:rPr>
          <w:rStyle w:val="StyleUnderline"/>
          <w:highlight w:val="cyan"/>
        </w:rPr>
        <w:t>political will of tribal citizens</w:t>
      </w:r>
      <w:r w:rsidRPr="004D7446">
        <w:rPr>
          <w:sz w:val="16"/>
        </w:rPr>
        <w:t xml:space="preserve">.145 Union </w:t>
      </w:r>
      <w:r w:rsidRPr="004D7446">
        <w:rPr>
          <w:rStyle w:val="StyleUnderline"/>
        </w:rPr>
        <w:t>organizers</w:t>
      </w:r>
      <w:r w:rsidRPr="004D7446">
        <w:rPr>
          <w:sz w:val="16"/>
        </w:rPr>
        <w:t xml:space="preserve"> </w:t>
      </w:r>
      <w:r w:rsidRPr="004D7446">
        <w:rPr>
          <w:rStyle w:val="StyleUnderline"/>
        </w:rPr>
        <w:t>found</w:t>
      </w:r>
      <w:r w:rsidRPr="004D7446">
        <w:rPr>
          <w:sz w:val="16"/>
        </w:rPr>
        <w:t xml:space="preserve"> that Navajo law presented some </w:t>
      </w:r>
      <w:r w:rsidRPr="006376E2">
        <w:rPr>
          <w:rStyle w:val="Emphasis"/>
          <w:highlight w:val="cyan"/>
        </w:rPr>
        <w:t>advantages over federal law</w:t>
      </w:r>
      <w:r w:rsidRPr="004D7446">
        <w:rPr>
          <w:rStyle w:val="StyleUnderline"/>
        </w:rPr>
        <w:t xml:space="preserve">: Unlike federal law, the Navajo code </w:t>
      </w:r>
      <w:r w:rsidRPr="006376E2">
        <w:rPr>
          <w:rStyle w:val="Emphasis"/>
          <w:highlight w:val="cyan"/>
        </w:rPr>
        <w:t>mandates employer neutrality</w:t>
      </w:r>
      <w:r w:rsidRPr="004D7446">
        <w:rPr>
          <w:sz w:val="16"/>
        </w:rPr>
        <w:t xml:space="preserve">, thus </w:t>
      </w:r>
      <w:r w:rsidRPr="006376E2">
        <w:rPr>
          <w:rStyle w:val="Emphasis"/>
          <w:highlight w:val="cyan"/>
        </w:rPr>
        <w:t>prohibiting</w:t>
      </w:r>
      <w:r w:rsidRPr="004D7446">
        <w:rPr>
          <w:rStyle w:val="StyleUnderline"/>
        </w:rPr>
        <w:t xml:space="preserve"> employers from engaging in </w:t>
      </w:r>
      <w:r w:rsidRPr="006376E2">
        <w:rPr>
          <w:rStyle w:val="Emphasis"/>
          <w:highlight w:val="cyan"/>
        </w:rPr>
        <w:t>anti-union campaigns</w:t>
      </w:r>
      <w:r w:rsidRPr="004D7446">
        <w:rPr>
          <w:sz w:val="16"/>
        </w:rPr>
        <w:t xml:space="preserve">.146 Navajo law also </w:t>
      </w:r>
      <w:r w:rsidRPr="004D7446">
        <w:rPr>
          <w:rStyle w:val="StyleUnderline"/>
        </w:rPr>
        <w:t xml:space="preserve">provides for </w:t>
      </w:r>
      <w:r w:rsidRPr="006376E2">
        <w:rPr>
          <w:rStyle w:val="Emphasis"/>
          <w:highlight w:val="cyan"/>
        </w:rPr>
        <w:t>cardcheck</w:t>
      </w:r>
      <w:r w:rsidRPr="004D7446">
        <w:rPr>
          <w:rStyle w:val="StyleUnderline"/>
        </w:rPr>
        <w:t xml:space="preserve"> recognition</w:t>
      </w:r>
      <w:r w:rsidRPr="004D7446">
        <w:rPr>
          <w:sz w:val="16"/>
        </w:rPr>
        <w:t xml:space="preserve">, whereby a union is automatically recognized if more than fifty-five percent of workers express support by signing union cards.147 Ultimately, </w:t>
      </w:r>
      <w:r w:rsidRPr="006376E2">
        <w:rPr>
          <w:rStyle w:val="StyleUnderline"/>
          <w:highlight w:val="cyan"/>
        </w:rPr>
        <w:t xml:space="preserve">the IHS campaign yielded a collective bargaining agreement </w:t>
      </w:r>
      <w:r w:rsidRPr="006376E2">
        <w:rPr>
          <w:rStyle w:val="Emphasis"/>
          <w:highlight w:val="cyan"/>
        </w:rPr>
        <w:t>without Board or court involvement</w:t>
      </w:r>
      <w:r w:rsidRPr="003B517C">
        <w:rPr>
          <w:rStyle w:val="Emphasis"/>
        </w:rPr>
        <w:t>.</w:t>
      </w:r>
      <w:r w:rsidRPr="004D7446">
        <w:rPr>
          <w:sz w:val="16"/>
        </w:rPr>
        <w:t>148</w:t>
      </w:r>
    </w:p>
    <w:p w14:paraId="2066116D" w14:textId="77777777" w:rsidR="007A56E6" w:rsidRPr="004D7446" w:rsidRDefault="007A56E6" w:rsidP="007A56E6">
      <w:pPr>
        <w:rPr>
          <w:sz w:val="16"/>
        </w:rPr>
      </w:pPr>
      <w:r w:rsidRPr="004D7446">
        <w:rPr>
          <w:rStyle w:val="StyleUnderline"/>
        </w:rPr>
        <w:t xml:space="preserve">The </w:t>
      </w:r>
      <w:r w:rsidRPr="006376E2">
        <w:rPr>
          <w:rStyle w:val="StyleUnderline"/>
          <w:highlight w:val="cyan"/>
        </w:rPr>
        <w:t>Mashantucket Pequot</w:t>
      </w:r>
      <w:r w:rsidRPr="004D7446">
        <w:rPr>
          <w:rStyle w:val="StyleUnderline"/>
        </w:rPr>
        <w:t xml:space="preserve"> Tribal Nation</w:t>
      </w:r>
      <w:r w:rsidRPr="004D7446">
        <w:rPr>
          <w:sz w:val="16"/>
        </w:rPr>
        <w:t xml:space="preserve"> provides a contrasting example.149 In 2007, the United Auto Workers (UAW) won an NLRBadministered election among majority non-Native dealers at Foxwoods Casino.150 Earlier that year, in response to both the UAW campaign and the San Manuel decisions, the Tribe, which owns Foxwoods, had </w:t>
      </w:r>
      <w:r w:rsidRPr="004D7446">
        <w:rPr>
          <w:rStyle w:val="StyleUnderline"/>
        </w:rPr>
        <w:t xml:space="preserve">promulgated a labor code that </w:t>
      </w:r>
      <w:r w:rsidRPr="006376E2">
        <w:rPr>
          <w:rStyle w:val="StyleUnderline"/>
          <w:highlight w:val="cyan"/>
        </w:rPr>
        <w:t>was</w:t>
      </w:r>
      <w:r w:rsidRPr="004D7446">
        <w:rPr>
          <w:rStyle w:val="StyleUnderline"/>
        </w:rPr>
        <w:t xml:space="preserve"> largely </w:t>
      </w:r>
      <w:r w:rsidRPr="006376E2">
        <w:rPr>
          <w:rStyle w:val="StyleUnderline"/>
          <w:highlight w:val="cyan"/>
        </w:rPr>
        <w:t>hostile</w:t>
      </w:r>
      <w:r w:rsidRPr="004D7446">
        <w:rPr>
          <w:rStyle w:val="StyleUnderline"/>
        </w:rPr>
        <w:t xml:space="preserve"> to unions</w:t>
      </w:r>
      <w:r w:rsidRPr="004D7446">
        <w:rPr>
          <w:sz w:val="16"/>
        </w:rPr>
        <w:t xml:space="preserve">.151 Following the election, the Tribe unsuccessfully challenged the NLRB’s jurisdiction;152 in parallel, the Tribe and union negotiated. Following this negotiation, </w:t>
      </w:r>
      <w:r w:rsidRPr="006376E2">
        <w:rPr>
          <w:rStyle w:val="StyleUnderline"/>
          <w:highlight w:val="cyan"/>
        </w:rPr>
        <w:t>the</w:t>
      </w:r>
      <w:r w:rsidRPr="004D7446">
        <w:rPr>
          <w:rStyle w:val="StyleUnderline"/>
        </w:rPr>
        <w:t xml:space="preserve"> Tribe’s </w:t>
      </w:r>
      <w:r w:rsidRPr="006376E2">
        <w:rPr>
          <w:rStyle w:val="StyleUnderline"/>
          <w:highlight w:val="cyan"/>
        </w:rPr>
        <w:t>labor ordinance was amended</w:t>
      </w:r>
      <w:r w:rsidRPr="004D7446">
        <w:rPr>
          <w:rStyle w:val="StyleUnderline"/>
        </w:rPr>
        <w:t xml:space="preserve"> both to allow union security agreements for contracts negotiated under tribal law and to establish a neutral third-party dispute resolution procedure</w:t>
      </w:r>
      <w:r w:rsidRPr="004D7446">
        <w:rPr>
          <w:sz w:val="16"/>
        </w:rPr>
        <w:t xml:space="preserve">.153 The ordinance retained its no-strike provision.154 </w:t>
      </w:r>
      <w:r w:rsidRPr="004D7446">
        <w:rPr>
          <w:rStyle w:val="StyleUnderline"/>
        </w:rPr>
        <w:t xml:space="preserve">The result was a legal framework </w:t>
      </w:r>
      <w:r w:rsidRPr="006376E2">
        <w:rPr>
          <w:rStyle w:val="Emphasis"/>
          <w:highlight w:val="cyan"/>
        </w:rPr>
        <w:t>resembling</w:t>
      </w:r>
      <w:r w:rsidRPr="003B517C">
        <w:rPr>
          <w:rStyle w:val="Emphasis"/>
        </w:rPr>
        <w:t xml:space="preserve"> many </w:t>
      </w:r>
      <w:r w:rsidRPr="006376E2">
        <w:rPr>
          <w:rStyle w:val="Emphasis"/>
          <w:highlight w:val="cyan"/>
        </w:rPr>
        <w:t>public-sector collective bargaining laws, without injuring Mashantucket Pequot sovereignty</w:t>
      </w:r>
      <w:r w:rsidRPr="004D7446">
        <w:rPr>
          <w:sz w:val="16"/>
        </w:rPr>
        <w:t>.155 At least three unions have since organized under Mashantucket Pequot law.156</w:t>
      </w:r>
    </w:p>
    <w:p w14:paraId="06B754DF" w14:textId="77777777" w:rsidR="007A56E6" w:rsidRPr="004D7446" w:rsidRDefault="007A56E6" w:rsidP="007A56E6">
      <w:pPr>
        <w:rPr>
          <w:sz w:val="16"/>
        </w:rPr>
      </w:pPr>
      <w:r w:rsidRPr="006376E2">
        <w:rPr>
          <w:rStyle w:val="StyleUnderline"/>
          <w:highlight w:val="cyan"/>
        </w:rPr>
        <w:t>California’s</w:t>
      </w:r>
      <w:r w:rsidRPr="004D7446">
        <w:rPr>
          <w:rStyle w:val="StyleUnderline"/>
        </w:rPr>
        <w:t xml:space="preserve"> IGRA </w:t>
      </w:r>
      <w:r w:rsidRPr="006376E2">
        <w:rPr>
          <w:rStyle w:val="StyleUnderline"/>
          <w:highlight w:val="cyan"/>
        </w:rPr>
        <w:t>compacting</w:t>
      </w:r>
      <w:r w:rsidRPr="004D7446">
        <w:rPr>
          <w:sz w:val="16"/>
        </w:rPr>
        <w:t xml:space="preserve"> process has </w:t>
      </w:r>
      <w:r w:rsidRPr="004D7446">
        <w:rPr>
          <w:rStyle w:val="StyleUnderline"/>
        </w:rPr>
        <w:t xml:space="preserve">created a third </w:t>
      </w:r>
      <w:r w:rsidRPr="006376E2">
        <w:rPr>
          <w:rStyle w:val="StyleUnderline"/>
          <w:highlight w:val="cyan"/>
        </w:rPr>
        <w:t>example of how</w:t>
      </w:r>
      <w:r w:rsidRPr="004D7446">
        <w:rPr>
          <w:rStyle w:val="StyleUnderline"/>
        </w:rPr>
        <w:t xml:space="preserve"> Native </w:t>
      </w:r>
      <w:r w:rsidRPr="006376E2">
        <w:rPr>
          <w:rStyle w:val="StyleUnderline"/>
          <w:highlight w:val="cyan"/>
        </w:rPr>
        <w:t>nations may regulate tribal labor relations</w:t>
      </w:r>
      <w:r w:rsidRPr="004D7446">
        <w:rPr>
          <w:sz w:val="16"/>
        </w:rPr>
        <w:t xml:space="preserve">. Many </w:t>
      </w:r>
      <w:r w:rsidRPr="006376E2">
        <w:rPr>
          <w:rStyle w:val="StyleUnderline"/>
          <w:highlight w:val="cyan"/>
        </w:rPr>
        <w:t>Native nations</w:t>
      </w:r>
      <w:r w:rsidRPr="004D7446">
        <w:rPr>
          <w:rStyle w:val="StyleUnderline"/>
        </w:rPr>
        <w:t xml:space="preserve"> in California</w:t>
      </w:r>
      <w:r w:rsidRPr="004D7446">
        <w:rPr>
          <w:sz w:val="16"/>
        </w:rPr>
        <w:t xml:space="preserve"> have </w:t>
      </w:r>
      <w:r w:rsidRPr="006376E2">
        <w:rPr>
          <w:rStyle w:val="StyleUnderline"/>
          <w:highlight w:val="cyan"/>
        </w:rPr>
        <w:t>adopted</w:t>
      </w:r>
      <w:r w:rsidRPr="004D7446">
        <w:rPr>
          <w:rStyle w:val="StyleUnderline"/>
        </w:rPr>
        <w:t xml:space="preserve"> tribal labor relations ordinances</w:t>
      </w:r>
      <w:r w:rsidRPr="004D7446">
        <w:rPr>
          <w:sz w:val="16"/>
        </w:rPr>
        <w:t xml:space="preserve"> (TLROs) </w:t>
      </w:r>
      <w:r w:rsidRPr="004D7446">
        <w:rPr>
          <w:rStyle w:val="StyleUnderline"/>
        </w:rPr>
        <w:t>as a condition of</w:t>
      </w:r>
      <w:r w:rsidRPr="004D7446">
        <w:rPr>
          <w:sz w:val="16"/>
        </w:rPr>
        <w:t xml:space="preserve"> their </w:t>
      </w:r>
      <w:r w:rsidRPr="004D7446">
        <w:rPr>
          <w:rStyle w:val="StyleUnderline"/>
        </w:rPr>
        <w:t>gaming compacts</w:t>
      </w:r>
      <w:r w:rsidRPr="004D7446">
        <w:rPr>
          <w:sz w:val="16"/>
        </w:rPr>
        <w:t xml:space="preserve"> negotiated with the state.157 </w:t>
      </w:r>
      <w:r w:rsidRPr="006376E2">
        <w:rPr>
          <w:rStyle w:val="StyleUnderline"/>
          <w:highlight w:val="cyan"/>
        </w:rPr>
        <w:t>TLROs</w:t>
      </w:r>
      <w:r w:rsidRPr="004D7446">
        <w:rPr>
          <w:sz w:val="16"/>
        </w:rPr>
        <w:t xml:space="preserve"> promulgated in response to compacting </w:t>
      </w:r>
      <w:r w:rsidRPr="004D7446">
        <w:rPr>
          <w:rStyle w:val="StyleUnderline"/>
        </w:rPr>
        <w:t xml:space="preserve">provide </w:t>
      </w:r>
      <w:r w:rsidRPr="006376E2">
        <w:rPr>
          <w:rStyle w:val="StyleUnderline"/>
          <w:highlight w:val="cyan"/>
        </w:rPr>
        <w:t>an</w:t>
      </w:r>
      <w:r w:rsidRPr="004D7446">
        <w:rPr>
          <w:rStyle w:val="StyleUnderline"/>
        </w:rPr>
        <w:t xml:space="preserve"> interesting model of what Professor David Kamper calls “</w:t>
      </w:r>
      <w:r w:rsidRPr="006376E2">
        <w:rPr>
          <w:rStyle w:val="Emphasis"/>
          <w:highlight w:val="cyan"/>
        </w:rPr>
        <w:t>interdependent self-determination</w:t>
      </w:r>
      <w:r w:rsidRPr="004D7446">
        <w:rPr>
          <w:rStyle w:val="StyleUnderline"/>
        </w:rPr>
        <w:t>,”</w:t>
      </w:r>
      <w:r w:rsidRPr="004D7446">
        <w:rPr>
          <w:sz w:val="16"/>
        </w:rPr>
        <w:t xml:space="preserve">158 </w:t>
      </w:r>
      <w:r w:rsidRPr="004D7446">
        <w:rPr>
          <w:rStyle w:val="StyleUnderline"/>
        </w:rPr>
        <w:t xml:space="preserve">as </w:t>
      </w:r>
      <w:r w:rsidRPr="006376E2">
        <w:rPr>
          <w:rStyle w:val="Emphasis"/>
          <w:highlight w:val="cyan"/>
        </w:rPr>
        <w:t>compacting</w:t>
      </w:r>
      <w:r w:rsidRPr="006376E2">
        <w:rPr>
          <w:rStyle w:val="StyleUnderline"/>
          <w:highlight w:val="cyan"/>
        </w:rPr>
        <w:t xml:space="preserve"> requires </w:t>
      </w:r>
      <w:r w:rsidRPr="006376E2">
        <w:rPr>
          <w:rStyle w:val="Emphasis"/>
          <w:highlight w:val="cyan"/>
        </w:rPr>
        <w:t>unions</w:t>
      </w:r>
      <w:r w:rsidRPr="006376E2">
        <w:rPr>
          <w:rStyle w:val="StyleUnderline"/>
          <w:highlight w:val="cyan"/>
        </w:rPr>
        <w:t xml:space="preserve"> and </w:t>
      </w:r>
      <w:r w:rsidRPr="006376E2">
        <w:rPr>
          <w:rStyle w:val="Emphasis"/>
          <w:highlight w:val="cyan"/>
        </w:rPr>
        <w:t>Native governments to work together</w:t>
      </w:r>
      <w:r w:rsidRPr="006376E2">
        <w:rPr>
          <w:rStyle w:val="StyleUnderline"/>
          <w:highlight w:val="cyan"/>
        </w:rPr>
        <w:t xml:space="preserve"> to build a labor-relations framework</w:t>
      </w:r>
      <w:r w:rsidRPr="004D7446">
        <w:rPr>
          <w:sz w:val="16"/>
        </w:rPr>
        <w:t xml:space="preserve"> that is </w:t>
      </w:r>
      <w:r w:rsidRPr="004D7446">
        <w:rPr>
          <w:rStyle w:val="StyleUnderline"/>
        </w:rPr>
        <w:t>rooted in Native sovereign power</w:t>
      </w:r>
      <w:r w:rsidRPr="004D7446">
        <w:rPr>
          <w:sz w:val="16"/>
        </w:rPr>
        <w:t xml:space="preserve">. </w:t>
      </w:r>
      <w:r w:rsidRPr="004D7446">
        <w:rPr>
          <w:rStyle w:val="StyleUnderline"/>
        </w:rPr>
        <w:t>In some cases, the resulting ordinances are more friendly to labor than many state labor laws</w:t>
      </w:r>
      <w:r w:rsidRPr="004D7446">
        <w:rPr>
          <w:sz w:val="16"/>
        </w:rPr>
        <w:t xml:space="preserve">. Although the model California TLRO prohibits most strikes, it allows them when collective bargaining has reached an impasse.159 In these cases, the TLRO also permits secondary boycotting — thus offering protection beyond that offered by the NLRA.160 The San Manuel ordinance </w:t>
      </w:r>
      <w:r w:rsidRPr="006376E2">
        <w:rPr>
          <w:rStyle w:val="StyleUnderline"/>
          <w:highlight w:val="cyan"/>
        </w:rPr>
        <w:t xml:space="preserve">authorizes unions to negotiate subjects </w:t>
      </w:r>
      <w:r w:rsidRPr="006376E2">
        <w:rPr>
          <w:rStyle w:val="Emphasis"/>
          <w:highlight w:val="cyan"/>
        </w:rPr>
        <w:t>beyond the “terms and conditions of employment,”</w:t>
      </w:r>
      <w:r w:rsidRPr="004D7446">
        <w:rPr>
          <w:sz w:val="16"/>
        </w:rPr>
        <w:t>161 and the Tribe’s gaming compact prohibited discrimination on the basis of sexual orientation before federal law did.162 California’s TLROs have been criticized by champions of sovereignty.163</w:t>
      </w:r>
    </w:p>
    <w:p w14:paraId="423FB36C" w14:textId="77777777" w:rsidR="007A56E6" w:rsidRPr="004D7446" w:rsidRDefault="007A56E6" w:rsidP="007A56E6">
      <w:pPr>
        <w:rPr>
          <w:rStyle w:val="StyleUnderline"/>
        </w:rPr>
      </w:pPr>
      <w:r w:rsidRPr="004D7446">
        <w:rPr>
          <w:sz w:val="16"/>
        </w:rPr>
        <w:t xml:space="preserve">But </w:t>
      </w:r>
      <w:r w:rsidRPr="004D7446">
        <w:rPr>
          <w:rStyle w:val="StyleUnderline"/>
        </w:rPr>
        <w:t xml:space="preserve">the underlying principle of encouraging the promulgation of tribal labor law through the compacting process presents </w:t>
      </w:r>
      <w:r w:rsidRPr="006376E2">
        <w:rPr>
          <w:rStyle w:val="StyleUnderline"/>
          <w:highlight w:val="cyan"/>
        </w:rPr>
        <w:t xml:space="preserve">a </w:t>
      </w:r>
      <w:r w:rsidRPr="006376E2">
        <w:rPr>
          <w:rStyle w:val="Emphasis"/>
          <w:highlight w:val="cyan"/>
        </w:rPr>
        <w:t>promising model</w:t>
      </w:r>
      <w:r w:rsidRPr="004D7446">
        <w:rPr>
          <w:rStyle w:val="StyleUnderline"/>
        </w:rPr>
        <w:t xml:space="preserve"> of interdependent self-determination.</w:t>
      </w:r>
    </w:p>
    <w:p w14:paraId="20D309DB" w14:textId="77777777" w:rsidR="007A56E6" w:rsidRPr="004D7446" w:rsidRDefault="007A56E6" w:rsidP="007A56E6">
      <w:pPr>
        <w:rPr>
          <w:rStyle w:val="StyleUnderline"/>
        </w:rPr>
      </w:pPr>
      <w:r w:rsidRPr="004D7446">
        <w:rPr>
          <w:sz w:val="16"/>
        </w:rPr>
        <w:t xml:space="preserve">As the California and Mashantucket Pequot examples illustrate, </w:t>
      </w:r>
      <w:r w:rsidRPr="004D7446">
        <w:rPr>
          <w:rStyle w:val="StyleUnderline"/>
        </w:rPr>
        <w:t xml:space="preserve">many </w:t>
      </w:r>
      <w:r w:rsidRPr="006376E2">
        <w:rPr>
          <w:rStyle w:val="StyleUnderline"/>
          <w:highlight w:val="cyan"/>
        </w:rPr>
        <w:t>tribal labor codes</w:t>
      </w:r>
      <w:r w:rsidRPr="004D7446">
        <w:rPr>
          <w:rStyle w:val="StyleUnderline"/>
        </w:rPr>
        <w:t xml:space="preserve"> are promulgated in response to ongoing union organizing.</w:t>
      </w:r>
      <w:r w:rsidRPr="004D7446">
        <w:rPr>
          <w:sz w:val="16"/>
        </w:rPr>
        <w:t xml:space="preserve"> As a result, </w:t>
      </w:r>
      <w:r w:rsidRPr="004D7446">
        <w:rPr>
          <w:rStyle w:val="StyleUnderline"/>
        </w:rPr>
        <w:t xml:space="preserve">these codes, </w:t>
      </w:r>
      <w:r w:rsidRPr="006376E2">
        <w:rPr>
          <w:rStyle w:val="StyleUnderline"/>
          <w:highlight w:val="cyan"/>
        </w:rPr>
        <w:t>unlike state and federal laws</w:t>
      </w:r>
      <w:r w:rsidRPr="004D7446">
        <w:rPr>
          <w:rStyle w:val="StyleUnderline"/>
        </w:rPr>
        <w:t>, arise out of both explicit and implicit negotiations over jurisdiction, sovereignty, and worker power</w:t>
      </w:r>
      <w:r w:rsidRPr="004D7446">
        <w:rPr>
          <w:sz w:val="16"/>
        </w:rPr>
        <w:t xml:space="preserve">. This </w:t>
      </w:r>
      <w:r w:rsidRPr="005E6300">
        <w:rPr>
          <w:sz w:val="16"/>
        </w:rPr>
        <w:t xml:space="preserve">context </w:t>
      </w:r>
      <w:r w:rsidRPr="005E6300">
        <w:rPr>
          <w:rStyle w:val="StyleUnderline"/>
        </w:rPr>
        <w:t xml:space="preserve">provides an opportunity for worker advocates and tribal governments to </w:t>
      </w:r>
      <w:r w:rsidRPr="006376E2">
        <w:rPr>
          <w:rStyle w:val="StyleUnderline"/>
          <w:highlight w:val="cyan"/>
        </w:rPr>
        <w:t xml:space="preserve">engage in </w:t>
      </w:r>
      <w:r w:rsidRPr="006376E2">
        <w:rPr>
          <w:rStyle w:val="Emphasis"/>
          <w:highlight w:val="cyan"/>
        </w:rPr>
        <w:t>collaborative lawmaking</w:t>
      </w:r>
      <w:r w:rsidRPr="004D7446">
        <w:rPr>
          <w:rStyle w:val="StyleUnderline"/>
        </w:rPr>
        <w:t>, moving</w:t>
      </w:r>
      <w:r w:rsidRPr="004D7446">
        <w:rPr>
          <w:sz w:val="16"/>
        </w:rPr>
        <w:t xml:space="preserve"> away from the “negative” approach identified by Guss and </w:t>
      </w:r>
      <w:r w:rsidRPr="006376E2">
        <w:rPr>
          <w:rStyle w:val="StyleUnderline"/>
          <w:highlight w:val="cyan"/>
        </w:rPr>
        <w:t xml:space="preserve">toward a </w:t>
      </w:r>
      <w:r w:rsidRPr="006376E2">
        <w:rPr>
          <w:rStyle w:val="Emphasis"/>
          <w:highlight w:val="cyan"/>
        </w:rPr>
        <w:t>positive</w:t>
      </w:r>
      <w:r w:rsidRPr="006376E2">
        <w:rPr>
          <w:rStyle w:val="StyleUnderline"/>
          <w:highlight w:val="cyan"/>
        </w:rPr>
        <w:t xml:space="preserve">, </w:t>
      </w:r>
      <w:r w:rsidRPr="006376E2">
        <w:rPr>
          <w:rStyle w:val="Emphasis"/>
          <w:highlight w:val="cyan"/>
        </w:rPr>
        <w:t>interdependent approach to</w:t>
      </w:r>
      <w:r w:rsidRPr="003B517C">
        <w:rPr>
          <w:rStyle w:val="Emphasis"/>
        </w:rPr>
        <w:t xml:space="preserve"> </w:t>
      </w:r>
      <w:r w:rsidRPr="006376E2">
        <w:rPr>
          <w:rStyle w:val="Emphasis"/>
          <w:highlight w:val="cyan"/>
        </w:rPr>
        <w:t>power</w:t>
      </w:r>
      <w:r w:rsidRPr="006376E2">
        <w:rPr>
          <w:rStyle w:val="StyleUnderline"/>
          <w:highlight w:val="cyan"/>
        </w:rPr>
        <w:t>-</w:t>
      </w:r>
      <w:r w:rsidRPr="006376E2">
        <w:rPr>
          <w:rStyle w:val="Emphasis"/>
          <w:highlight w:val="cyan"/>
        </w:rPr>
        <w:t>building</w:t>
      </w:r>
      <w:r w:rsidRPr="004D7446">
        <w:rPr>
          <w:rStyle w:val="StyleUnderline"/>
        </w:rPr>
        <w:t xml:space="preserve"> that better serves both workers and sovereignty</w:t>
      </w:r>
      <w:r w:rsidRPr="004D7446">
        <w:rPr>
          <w:sz w:val="16"/>
        </w:rPr>
        <w:t xml:space="preserve">.164 Against the backdrop of a legal landscape that is hostile to tribal jurisdiction over labor relations, </w:t>
      </w:r>
      <w:r w:rsidRPr="004D7446">
        <w:rPr>
          <w:rStyle w:val="StyleUnderline"/>
        </w:rPr>
        <w:t xml:space="preserve">unions may voluntarily </w:t>
      </w:r>
      <w:r w:rsidRPr="006376E2">
        <w:rPr>
          <w:rStyle w:val="StyleUnderline"/>
          <w:highlight w:val="cyan"/>
        </w:rPr>
        <w:t xml:space="preserve">recognize a </w:t>
      </w:r>
      <w:r w:rsidRPr="006376E2">
        <w:rPr>
          <w:rStyle w:val="Emphasis"/>
          <w:highlight w:val="cyan"/>
        </w:rPr>
        <w:t>tribal government’s authority to gain bargaining power</w:t>
      </w:r>
      <w:r w:rsidRPr="004D7446">
        <w:rPr>
          <w:rStyle w:val="StyleUnderline"/>
        </w:rPr>
        <w:t xml:space="preserve"> in tribal enterprises</w:t>
      </w:r>
      <w:r w:rsidRPr="004D7446">
        <w:rPr>
          <w:sz w:val="16"/>
        </w:rPr>
        <w:t xml:space="preserve">.165 On the other hand, if, as this Note argues, </w:t>
      </w:r>
      <w:r w:rsidRPr="006376E2">
        <w:rPr>
          <w:rStyle w:val="StyleUnderline"/>
          <w:highlight w:val="cyan"/>
        </w:rPr>
        <w:t>tribal enterprises are not employers under</w:t>
      </w:r>
      <w:r w:rsidRPr="004D7446">
        <w:rPr>
          <w:rStyle w:val="StyleUnderline"/>
        </w:rPr>
        <w:t xml:space="preserve"> </w:t>
      </w:r>
      <w:r w:rsidRPr="006376E2">
        <w:rPr>
          <w:rStyle w:val="StyleUnderline"/>
          <w:highlight w:val="cyan"/>
        </w:rPr>
        <w:t>the NLRA</w:t>
      </w:r>
      <w:r w:rsidRPr="004D7446">
        <w:rPr>
          <w:rStyle w:val="StyleUnderline"/>
        </w:rPr>
        <w:t xml:space="preserve">, the </w:t>
      </w:r>
      <w:r w:rsidRPr="005264D1">
        <w:rPr>
          <w:rStyle w:val="StyleUnderline"/>
        </w:rPr>
        <w:t>absence</w:t>
      </w:r>
      <w:r w:rsidRPr="004D7446">
        <w:rPr>
          <w:rStyle w:val="StyleUnderline"/>
        </w:rPr>
        <w:t xml:space="preserve"> of federal law allows Native nations to build systems that better support workers.</w:t>
      </w:r>
    </w:p>
    <w:p w14:paraId="5B2DE54F" w14:textId="77777777" w:rsidR="007A56E6" w:rsidRPr="004D7446" w:rsidRDefault="007A56E6" w:rsidP="007A56E6">
      <w:pPr>
        <w:rPr>
          <w:sz w:val="16"/>
        </w:rPr>
      </w:pPr>
      <w:r w:rsidRPr="004D7446">
        <w:rPr>
          <w:rStyle w:val="StyleUnderline"/>
        </w:rPr>
        <w:t>Scholars</w:t>
      </w:r>
      <w:r w:rsidRPr="004D7446">
        <w:rPr>
          <w:sz w:val="16"/>
        </w:rPr>
        <w:t xml:space="preserve"> have </w:t>
      </w:r>
      <w:r w:rsidRPr="004D7446">
        <w:rPr>
          <w:rStyle w:val="StyleUnderline"/>
        </w:rPr>
        <w:t>argued</w:t>
      </w:r>
      <w:r w:rsidRPr="004D7446">
        <w:rPr>
          <w:sz w:val="16"/>
        </w:rPr>
        <w:t xml:space="preserve"> that </w:t>
      </w:r>
      <w:r w:rsidRPr="006376E2">
        <w:rPr>
          <w:rStyle w:val="StyleUnderline"/>
          <w:highlight w:val="cyan"/>
        </w:rPr>
        <w:t xml:space="preserve">the </w:t>
      </w:r>
      <w:r w:rsidRPr="006376E2">
        <w:rPr>
          <w:rStyle w:val="Emphasis"/>
          <w:highlight w:val="cyan"/>
        </w:rPr>
        <w:t>NLRA is inadequate</w:t>
      </w:r>
      <w:r w:rsidRPr="004D7446">
        <w:rPr>
          <w:rStyle w:val="StyleUnderline"/>
        </w:rPr>
        <w:t xml:space="preserve"> to protect efforts to build worker power.</w:t>
      </w:r>
      <w:r w:rsidRPr="004D7446">
        <w:rPr>
          <w:sz w:val="16"/>
        </w:rPr>
        <w:t xml:space="preserve">166 Professors Sharon Block and Benjamin Sachs have </w:t>
      </w:r>
      <w:r w:rsidRPr="004D7446">
        <w:rPr>
          <w:rStyle w:val="StyleUnderline"/>
        </w:rPr>
        <w:t>called for a “clean slate” for labor law</w:t>
      </w:r>
      <w:r w:rsidRPr="004D7446">
        <w:rPr>
          <w:sz w:val="16"/>
        </w:rPr>
        <w:t xml:space="preserve">.167 </w:t>
      </w:r>
      <w:r w:rsidRPr="006376E2">
        <w:rPr>
          <w:rStyle w:val="StyleUnderline"/>
          <w:highlight w:val="cyan"/>
        </w:rPr>
        <w:t>Tribal labor regulation presents</w:t>
      </w:r>
      <w:r w:rsidRPr="004D7446">
        <w:rPr>
          <w:rStyle w:val="StyleUnderline"/>
        </w:rPr>
        <w:t xml:space="preserve"> just such </w:t>
      </w:r>
      <w:r w:rsidRPr="006376E2">
        <w:rPr>
          <w:rStyle w:val="StyleUnderline"/>
          <w:highlight w:val="cyan"/>
        </w:rPr>
        <w:t xml:space="preserve">a </w:t>
      </w:r>
      <w:r w:rsidRPr="006376E2">
        <w:rPr>
          <w:rStyle w:val="Emphasis"/>
          <w:highlight w:val="cyan"/>
        </w:rPr>
        <w:t>clean slate</w:t>
      </w:r>
      <w:r w:rsidRPr="004D7446">
        <w:rPr>
          <w:sz w:val="16"/>
        </w:rPr>
        <w:t xml:space="preserve">. </w:t>
      </w:r>
      <w:r w:rsidRPr="004D7446">
        <w:rPr>
          <w:rStyle w:val="StyleUnderline"/>
        </w:rPr>
        <w:t>Several</w:t>
      </w:r>
      <w:r w:rsidRPr="004D7446">
        <w:rPr>
          <w:sz w:val="16"/>
        </w:rPr>
        <w:t xml:space="preserve"> of the Clean Slate </w:t>
      </w:r>
      <w:r w:rsidRPr="004D7446">
        <w:rPr>
          <w:rStyle w:val="StyleUnderline"/>
        </w:rPr>
        <w:t xml:space="preserve">proposals have already been </w:t>
      </w:r>
      <w:r w:rsidRPr="006376E2">
        <w:rPr>
          <w:rStyle w:val="StyleUnderline"/>
          <w:highlight w:val="cyan"/>
        </w:rPr>
        <w:t>implemented</w:t>
      </w:r>
      <w:r w:rsidRPr="004D7446">
        <w:rPr>
          <w:rStyle w:val="StyleUnderline"/>
        </w:rPr>
        <w:t xml:space="preserve"> in tribal labor codes, including </w:t>
      </w:r>
      <w:r w:rsidRPr="006376E2">
        <w:rPr>
          <w:rStyle w:val="StyleUnderline"/>
          <w:highlight w:val="cyan"/>
        </w:rPr>
        <w:t>improved</w:t>
      </w:r>
      <w:r w:rsidRPr="004D7446">
        <w:rPr>
          <w:rStyle w:val="StyleUnderline"/>
        </w:rPr>
        <w:t xml:space="preserve"> </w:t>
      </w:r>
      <w:r w:rsidRPr="006376E2">
        <w:rPr>
          <w:rStyle w:val="StyleUnderline"/>
          <w:highlight w:val="cyan"/>
        </w:rPr>
        <w:t>organizer access to workers</w:t>
      </w:r>
      <w:r w:rsidRPr="004D7446">
        <w:rPr>
          <w:sz w:val="16"/>
        </w:rPr>
        <w:t xml:space="preserve">,168 </w:t>
      </w:r>
      <w:r w:rsidRPr="004D7446">
        <w:rPr>
          <w:rStyle w:val="StyleUnderline"/>
        </w:rPr>
        <w:t>card-check recognition</w:t>
      </w:r>
      <w:r w:rsidRPr="004D7446">
        <w:rPr>
          <w:sz w:val="16"/>
        </w:rPr>
        <w:t xml:space="preserve">,169 and an </w:t>
      </w:r>
      <w:r w:rsidRPr="004D7446">
        <w:rPr>
          <w:rStyle w:val="StyleUnderline"/>
        </w:rPr>
        <w:t>expanded range of bargaining subjects</w:t>
      </w:r>
      <w:r w:rsidRPr="004D7446">
        <w:rPr>
          <w:sz w:val="16"/>
        </w:rPr>
        <w:t xml:space="preserve">.170 </w:t>
      </w:r>
      <w:r w:rsidRPr="004D7446">
        <w:rPr>
          <w:rStyle w:val="StyleUnderline"/>
        </w:rPr>
        <w:t xml:space="preserve">The </w:t>
      </w:r>
      <w:r w:rsidRPr="006376E2">
        <w:rPr>
          <w:rStyle w:val="StyleUnderline"/>
          <w:highlight w:val="cyan"/>
        </w:rPr>
        <w:t>resolution</w:t>
      </w:r>
      <w:r w:rsidRPr="004D7446">
        <w:rPr>
          <w:rStyle w:val="StyleUnderline"/>
        </w:rPr>
        <w:t xml:space="preserve"> of labor disputes </w:t>
      </w:r>
      <w:r w:rsidRPr="006376E2">
        <w:rPr>
          <w:rStyle w:val="StyleUnderline"/>
          <w:highlight w:val="cyan"/>
        </w:rPr>
        <w:t>under tribal jurisdiction</w:t>
      </w:r>
      <w:r w:rsidRPr="004D7446">
        <w:rPr>
          <w:rStyle w:val="StyleUnderline"/>
        </w:rPr>
        <w:t xml:space="preserve"> also </w:t>
      </w:r>
      <w:r w:rsidRPr="006376E2">
        <w:rPr>
          <w:rStyle w:val="StyleUnderline"/>
          <w:highlight w:val="cyan"/>
        </w:rPr>
        <w:t xml:space="preserve">benefits from </w:t>
      </w:r>
      <w:r w:rsidRPr="006376E2">
        <w:rPr>
          <w:rStyle w:val="Emphasis"/>
          <w:highlight w:val="cyan"/>
        </w:rPr>
        <w:t>small dockets</w:t>
      </w:r>
      <w:r w:rsidRPr="006376E2">
        <w:rPr>
          <w:rStyle w:val="StyleUnderline"/>
          <w:highlight w:val="cyan"/>
        </w:rPr>
        <w:t xml:space="preserve"> and </w:t>
      </w:r>
      <w:r w:rsidRPr="006376E2">
        <w:rPr>
          <w:rStyle w:val="Emphasis"/>
          <w:highlight w:val="cyan"/>
        </w:rPr>
        <w:t>culturally specific alternative dispute resolution mechanisms</w:t>
      </w:r>
      <w:r w:rsidRPr="004D7446">
        <w:rPr>
          <w:sz w:val="16"/>
        </w:rPr>
        <w:t>.171</w:t>
      </w:r>
    </w:p>
    <w:p w14:paraId="0AC2DDDF" w14:textId="77777777" w:rsidR="007A56E6" w:rsidRDefault="007A56E6" w:rsidP="007A56E6">
      <w:pPr>
        <w:rPr>
          <w:sz w:val="16"/>
        </w:rPr>
      </w:pPr>
      <w:r w:rsidRPr="004D7446">
        <w:rPr>
          <w:rStyle w:val="StyleUnderline"/>
        </w:rPr>
        <w:t>Federal labor law’s inadequacy as a tool for building worker power therefore grants Native governments their own positive leverage</w:t>
      </w:r>
      <w:r w:rsidRPr="004D7446">
        <w:rPr>
          <w:sz w:val="16"/>
        </w:rPr>
        <w:t xml:space="preserve"> </w:t>
      </w:r>
      <w:r w:rsidRPr="004D7446">
        <w:rPr>
          <w:rStyle w:val="StyleUnderline"/>
        </w:rPr>
        <w:t xml:space="preserve">— not the implicit threat that accompanies the lack of NLRB jurisdiction, but the </w:t>
      </w:r>
      <w:r w:rsidRPr="003B517C">
        <w:rPr>
          <w:rStyle w:val="Emphasis"/>
        </w:rPr>
        <w:t>promise of a better alternative</w:t>
      </w:r>
      <w:r w:rsidRPr="004D7446">
        <w:rPr>
          <w:sz w:val="16"/>
        </w:rPr>
        <w:t>. It is this promise of a better alternative that Professor Scott Lyons had in mind when, shortly after San Manuel, he calle</w:t>
      </w:r>
      <w:r w:rsidRPr="004D7446">
        <w:rPr>
          <w:rStyle w:val="StyleUnderline"/>
        </w:rPr>
        <w:t xml:space="preserve">d on Native nations to “head [the Board] off at the pass and develop even stronger labor laws and worker protections — that is, stronger unions </w:t>
      </w:r>
      <w:r w:rsidRPr="004D7446">
        <w:rPr>
          <w:sz w:val="16"/>
        </w:rPr>
        <w:t>— than what the Americans currently enjoy. Make Indian enterprises the envy of workers everywhere.”172</w:t>
      </w:r>
    </w:p>
    <w:p w14:paraId="70C66324" w14:textId="77777777" w:rsidR="007A56E6" w:rsidRDefault="007A56E6" w:rsidP="007A56E6">
      <w:pPr>
        <w:rPr>
          <w:sz w:val="16"/>
        </w:rPr>
      </w:pPr>
    </w:p>
    <w:p w14:paraId="05D63F96" w14:textId="77777777" w:rsidR="007A56E6" w:rsidRDefault="007A56E6" w:rsidP="007A56E6">
      <w:pPr>
        <w:rPr>
          <w:sz w:val="16"/>
        </w:rPr>
      </w:pPr>
    </w:p>
    <w:p w14:paraId="0752195D" w14:textId="77777777" w:rsidR="007A56E6" w:rsidRDefault="007A56E6" w:rsidP="007A56E6">
      <w:pPr>
        <w:pStyle w:val="Heading4"/>
      </w:pPr>
      <w:r>
        <w:t xml:space="preserve">Indigenous right to self-determination is an </w:t>
      </w:r>
      <w:r>
        <w:rPr>
          <w:i/>
          <w:iCs w:val="0"/>
        </w:rPr>
        <w:t>axiomatic ethical imperative</w:t>
      </w:r>
      <w:r>
        <w:t xml:space="preserve"> for lawmaking.</w:t>
      </w:r>
    </w:p>
    <w:p w14:paraId="73A3BD47" w14:textId="77777777" w:rsidR="007A56E6" w:rsidRDefault="007A56E6" w:rsidP="007A56E6">
      <w:r>
        <w:t xml:space="preserve">Rashwet </w:t>
      </w:r>
      <w:r w:rsidRPr="007A419A">
        <w:rPr>
          <w:rStyle w:val="Style13ptBold"/>
        </w:rPr>
        <w:t>Shrinkhal 21</w:t>
      </w:r>
      <w:r>
        <w:t xml:space="preserve"> – Department of Contemporary &amp; Tribal Customary Law, Central University of Jharkhand, “</w:t>
      </w:r>
      <w:r w:rsidRPr="007A419A">
        <w:t>“Indigenous sovereignty” and right to self-determination in international law: a critical appraisal</w:t>
      </w:r>
      <w:r>
        <w:t xml:space="preserve">,” AlterNative: An International Journal of Indigenous Peoples, 17(1), 71-82. </w:t>
      </w:r>
      <w:hyperlink r:id="rId9" w:history="1">
        <w:r w:rsidRPr="004E0716">
          <w:rPr>
            <w:rStyle w:val="Hyperlink"/>
          </w:rPr>
          <w:t>https://doi.org/10.1177/1177180121994681</w:t>
        </w:r>
      </w:hyperlink>
      <w:r>
        <w:t>, March 15, 2021, accessed November 4, 2025, -ekh-</w:t>
      </w:r>
    </w:p>
    <w:p w14:paraId="6BA14B58" w14:textId="77777777" w:rsidR="007A56E6" w:rsidRPr="007A419A" w:rsidRDefault="007A56E6" w:rsidP="007A56E6">
      <w:pPr>
        <w:rPr>
          <w:sz w:val="16"/>
        </w:rPr>
      </w:pPr>
      <w:r w:rsidRPr="007A419A">
        <w:rPr>
          <w:sz w:val="16"/>
        </w:rPr>
        <w:t xml:space="preserve">In addition to symbolising the emergence of modern nation-state system founded on the reciprocal regard of sovereignty, </w:t>
      </w:r>
      <w:r w:rsidRPr="007A419A">
        <w:rPr>
          <w:rStyle w:val="StyleUnderline"/>
        </w:rPr>
        <w:t xml:space="preserve">the Treaty of </w:t>
      </w:r>
      <w:r w:rsidRPr="006376E2">
        <w:rPr>
          <w:rStyle w:val="Emphasis"/>
          <w:highlight w:val="cyan"/>
        </w:rPr>
        <w:t>Westphalia</w:t>
      </w:r>
      <w:r w:rsidRPr="007A419A">
        <w:rPr>
          <w:sz w:val="16"/>
        </w:rPr>
        <w:t xml:space="preserve"> delayed in dealing with issues </w:t>
      </w:r>
      <w:r w:rsidRPr="006376E2">
        <w:rPr>
          <w:rStyle w:val="StyleUnderline"/>
          <w:highlight w:val="cyan"/>
        </w:rPr>
        <w:t>spawned</w:t>
      </w:r>
      <w:r w:rsidRPr="007A419A">
        <w:rPr>
          <w:sz w:val="16"/>
        </w:rPr>
        <w:t xml:space="preserve"> from cultural difference (Inayatullah &amp; Blaney, 2004; Keal, 2008). Westphalia treaty may have secured forbearance between States, but within them it hatched a </w:t>
      </w:r>
      <w:r w:rsidRPr="006376E2">
        <w:rPr>
          <w:rStyle w:val="StyleUnderline"/>
          <w:highlight w:val="cyan"/>
        </w:rPr>
        <w:t>cultural separateness exposed to</w:t>
      </w:r>
      <w:r w:rsidRPr="007A419A">
        <w:rPr>
          <w:rStyle w:val="StyleUnderline"/>
        </w:rPr>
        <w:t xml:space="preserve"> political and social </w:t>
      </w:r>
      <w:r w:rsidRPr="006376E2">
        <w:rPr>
          <w:rStyle w:val="StyleUnderline"/>
          <w:highlight w:val="cyan"/>
        </w:rPr>
        <w:t>actors</w:t>
      </w:r>
      <w:r w:rsidRPr="007A419A">
        <w:rPr>
          <w:rStyle w:val="StyleUnderline"/>
        </w:rPr>
        <w:t>,</w:t>
      </w:r>
      <w:r w:rsidRPr="007A419A">
        <w:rPr>
          <w:sz w:val="16"/>
        </w:rPr>
        <w:t xml:space="preserve"> discourteous or </w:t>
      </w:r>
      <w:r w:rsidRPr="007A419A">
        <w:rPr>
          <w:rStyle w:val="Emphasis"/>
        </w:rPr>
        <w:t xml:space="preserve">brazenly </w:t>
      </w:r>
      <w:r w:rsidRPr="006376E2">
        <w:rPr>
          <w:rStyle w:val="Emphasis"/>
          <w:highlight w:val="cyan"/>
        </w:rPr>
        <w:t>xenophobic of diversity</w:t>
      </w:r>
      <w:r w:rsidRPr="007A419A">
        <w:rPr>
          <w:sz w:val="16"/>
        </w:rPr>
        <w:t xml:space="preserve"> (Keal, 2008). Consequently, a cardinal legal phenomenon was absorbed in the form of “Empire of Uniformity” (Tully, 1995, 2000). It implies that, </w:t>
      </w:r>
      <w:r w:rsidRPr="006376E2">
        <w:rPr>
          <w:rStyle w:val="StyleUnderline"/>
          <w:highlight w:val="cyan"/>
        </w:rPr>
        <w:t>modern constitutions</w:t>
      </w:r>
      <w:r w:rsidRPr="007A419A">
        <w:rPr>
          <w:rStyle w:val="StyleUnderline"/>
        </w:rPr>
        <w:t xml:space="preserve"> are </w:t>
      </w:r>
      <w:r w:rsidRPr="006376E2">
        <w:rPr>
          <w:rStyle w:val="StyleUnderline"/>
          <w:highlight w:val="cyan"/>
        </w:rPr>
        <w:t>drafted</w:t>
      </w:r>
      <w:r w:rsidRPr="007A419A">
        <w:rPr>
          <w:rStyle w:val="StyleUnderline"/>
        </w:rPr>
        <w:t xml:space="preserve"> in a manner to undermine cultural diversity </w:t>
      </w:r>
      <w:r w:rsidRPr="006376E2">
        <w:rPr>
          <w:rStyle w:val="StyleUnderline"/>
          <w:highlight w:val="cyan"/>
        </w:rPr>
        <w:t xml:space="preserve">through </w:t>
      </w:r>
      <w:r w:rsidRPr="006376E2">
        <w:rPr>
          <w:rStyle w:val="Emphasis"/>
          <w:highlight w:val="cyan"/>
        </w:rPr>
        <w:t>exclusion or assimilation</w:t>
      </w:r>
      <w:r w:rsidRPr="007A419A">
        <w:rPr>
          <w:sz w:val="16"/>
        </w:rPr>
        <w:t xml:space="preserve">. To break the silence caused by uniformity of rules, indigenous peoples need to raise their voice. The question, however, remains that what shall entail indigenous peoples to speak? (Spivak, 1988). The answer to the question is embedded in the idea of indigenous sovereignty. </w:t>
      </w:r>
      <w:r w:rsidRPr="007A419A">
        <w:rPr>
          <w:rStyle w:val="StyleUnderline"/>
        </w:rPr>
        <w:t>“</w:t>
      </w:r>
      <w:r w:rsidRPr="006376E2">
        <w:rPr>
          <w:rStyle w:val="Emphasis"/>
          <w:highlight w:val="cyan"/>
        </w:rPr>
        <w:t>Indigenous sovereignty</w:t>
      </w:r>
      <w:r w:rsidRPr="006376E2">
        <w:rPr>
          <w:rStyle w:val="StyleUnderline"/>
          <w:highlight w:val="cyan"/>
        </w:rPr>
        <w:t xml:space="preserve">” </w:t>
      </w:r>
      <w:r w:rsidRPr="006376E2">
        <w:rPr>
          <w:rStyle w:val="Emphasis"/>
          <w:highlight w:val="cyan"/>
        </w:rPr>
        <w:t>challenges</w:t>
      </w:r>
      <w:r w:rsidRPr="007A419A">
        <w:rPr>
          <w:rStyle w:val="StyleUnderline"/>
        </w:rPr>
        <w:t xml:space="preserve"> the </w:t>
      </w:r>
      <w:r w:rsidRPr="006376E2">
        <w:rPr>
          <w:rStyle w:val="Emphasis"/>
          <w:highlight w:val="cyan"/>
        </w:rPr>
        <w:t>political</w:t>
      </w:r>
      <w:r w:rsidRPr="006376E2">
        <w:rPr>
          <w:rStyle w:val="StyleUnderline"/>
          <w:highlight w:val="cyan"/>
        </w:rPr>
        <w:t xml:space="preserve"> and </w:t>
      </w:r>
      <w:r w:rsidRPr="006376E2">
        <w:rPr>
          <w:rStyle w:val="Emphasis"/>
          <w:highlight w:val="cyan"/>
        </w:rPr>
        <w:t>moral authority</w:t>
      </w:r>
      <w:r w:rsidRPr="006376E2">
        <w:rPr>
          <w:rStyle w:val="StyleUnderline"/>
          <w:highlight w:val="cyan"/>
        </w:rPr>
        <w:t xml:space="preserve"> of States</w:t>
      </w:r>
      <w:r w:rsidRPr="007A419A">
        <w:rPr>
          <w:rStyle w:val="StyleUnderline"/>
        </w:rPr>
        <w:t xml:space="preserve"> with the purpose </w:t>
      </w:r>
      <w:r w:rsidRPr="006376E2">
        <w:rPr>
          <w:rStyle w:val="StyleUnderline"/>
          <w:highlight w:val="cyan"/>
        </w:rPr>
        <w:t>to secure respect and recognition</w:t>
      </w:r>
      <w:r w:rsidRPr="007A419A">
        <w:rPr>
          <w:rStyle w:val="StyleUnderline"/>
        </w:rPr>
        <w:t xml:space="preserve"> for “difference and diversity” </w:t>
      </w:r>
      <w:r w:rsidRPr="006376E2">
        <w:rPr>
          <w:rStyle w:val="StyleUnderline"/>
          <w:highlight w:val="cyan"/>
        </w:rPr>
        <w:t xml:space="preserve">across </w:t>
      </w:r>
      <w:r w:rsidRPr="007A419A">
        <w:rPr>
          <w:rStyle w:val="Emphasis"/>
        </w:rPr>
        <w:t xml:space="preserve">different level of </w:t>
      </w:r>
      <w:r w:rsidRPr="006376E2">
        <w:rPr>
          <w:rStyle w:val="Emphasis"/>
          <w:highlight w:val="cyan"/>
        </w:rPr>
        <w:t>governance</w:t>
      </w:r>
      <w:r w:rsidRPr="007A419A">
        <w:rPr>
          <w:rStyle w:val="StyleUnderline"/>
        </w:rPr>
        <w:t xml:space="preserve"> </w:t>
      </w:r>
      <w:r w:rsidRPr="007A419A">
        <w:rPr>
          <w:sz w:val="16"/>
        </w:rPr>
        <w:t>(Keal, 2008).</w:t>
      </w:r>
    </w:p>
    <w:p w14:paraId="25D4673B" w14:textId="77777777" w:rsidR="007A56E6" w:rsidRPr="007A419A" w:rsidRDefault="007A56E6" w:rsidP="007A56E6">
      <w:pPr>
        <w:rPr>
          <w:sz w:val="16"/>
        </w:rPr>
      </w:pPr>
      <w:r w:rsidRPr="007A419A">
        <w:rPr>
          <w:sz w:val="16"/>
        </w:rPr>
        <w:t>The review of academic literature reveals that “Indigenous sovereignty” does not have fixed contours. Different scholars have attributed different meaning to the concept of “indigenous sovereignty.” Siegfried Wiessner (2008), refers to the idea of “</w:t>
      </w:r>
      <w:r w:rsidRPr="007A419A">
        <w:rPr>
          <w:rStyle w:val="StyleUnderline"/>
        </w:rPr>
        <w:t>authentic indigenous sovereignty</w:t>
      </w:r>
      <w:r w:rsidRPr="007A419A">
        <w:rPr>
          <w:sz w:val="16"/>
        </w:rPr>
        <w:t xml:space="preserve">,” by which he </w:t>
      </w:r>
      <w:r w:rsidRPr="007A419A">
        <w:rPr>
          <w:rStyle w:val="StyleUnderline"/>
        </w:rPr>
        <w:t xml:space="preserve">means the power </w:t>
      </w:r>
      <w:r w:rsidRPr="006376E2">
        <w:rPr>
          <w:rStyle w:val="StyleUnderline"/>
          <w:highlight w:val="cyan"/>
        </w:rPr>
        <w:t>to create a “safe space”</w:t>
      </w:r>
      <w:r w:rsidRPr="007A419A">
        <w:rPr>
          <w:rStyle w:val="StyleUnderline"/>
        </w:rPr>
        <w:t xml:space="preserve"> for indigenous peoples; </w:t>
      </w:r>
      <w:r w:rsidRPr="006376E2">
        <w:rPr>
          <w:rStyle w:val="StyleUnderline"/>
          <w:highlight w:val="cyan"/>
        </w:rPr>
        <w:t>enabling</w:t>
      </w:r>
      <w:r w:rsidRPr="007A419A">
        <w:rPr>
          <w:rStyle w:val="StyleUnderline"/>
        </w:rPr>
        <w:t xml:space="preserve"> them </w:t>
      </w:r>
      <w:r w:rsidRPr="006376E2">
        <w:rPr>
          <w:rStyle w:val="StyleUnderline"/>
          <w:highlight w:val="cyan"/>
        </w:rPr>
        <w:t>to live</w:t>
      </w:r>
      <w:r w:rsidRPr="007A419A">
        <w:rPr>
          <w:rStyle w:val="StyleUnderline"/>
        </w:rPr>
        <w:t xml:space="preserve"> a life </w:t>
      </w:r>
      <w:r w:rsidRPr="006376E2">
        <w:rPr>
          <w:rStyle w:val="StyleUnderline"/>
          <w:highlight w:val="cyan"/>
        </w:rPr>
        <w:t>with</w:t>
      </w:r>
      <w:r w:rsidRPr="007A419A">
        <w:rPr>
          <w:rStyle w:val="StyleUnderline"/>
        </w:rPr>
        <w:t xml:space="preserve"> the </w:t>
      </w:r>
      <w:r w:rsidRPr="006376E2">
        <w:rPr>
          <w:rStyle w:val="StyleUnderline"/>
          <w:highlight w:val="cyan"/>
        </w:rPr>
        <w:t>difference</w:t>
      </w:r>
      <w:r w:rsidRPr="007A419A">
        <w:rPr>
          <w:rStyle w:val="StyleUnderline"/>
        </w:rPr>
        <w:t xml:space="preserve">; </w:t>
      </w:r>
      <w:r w:rsidRPr="006376E2">
        <w:rPr>
          <w:rStyle w:val="StyleUnderline"/>
          <w:highlight w:val="cyan"/>
        </w:rPr>
        <w:t>ensuring</w:t>
      </w:r>
      <w:r w:rsidRPr="007A419A">
        <w:rPr>
          <w:rStyle w:val="StyleUnderline"/>
        </w:rPr>
        <w:t xml:space="preserve"> their </w:t>
      </w:r>
      <w:r w:rsidRPr="006376E2">
        <w:rPr>
          <w:rStyle w:val="StyleUnderline"/>
          <w:highlight w:val="cyan"/>
        </w:rPr>
        <w:t xml:space="preserve">right of </w:t>
      </w:r>
      <w:r w:rsidRPr="006376E2">
        <w:rPr>
          <w:rStyle w:val="Emphasis"/>
          <w:highlight w:val="cyan"/>
        </w:rPr>
        <w:t>free, prior, informed consent</w:t>
      </w:r>
      <w:r w:rsidRPr="007A419A">
        <w:rPr>
          <w:rStyle w:val="StyleUnderline"/>
        </w:rPr>
        <w:t xml:space="preserve">; </w:t>
      </w:r>
      <w:r w:rsidRPr="007A419A">
        <w:rPr>
          <w:rStyle w:val="Emphasis"/>
        </w:rPr>
        <w:t xml:space="preserve">the </w:t>
      </w:r>
      <w:r w:rsidRPr="006376E2">
        <w:rPr>
          <w:rStyle w:val="Emphasis"/>
          <w:highlight w:val="cyan"/>
        </w:rPr>
        <w:t>right to have self-governance</w:t>
      </w:r>
      <w:r w:rsidRPr="007A419A">
        <w:rPr>
          <w:rStyle w:val="StyleUnderline"/>
        </w:rPr>
        <w:t xml:space="preserve">; the right </w:t>
      </w:r>
      <w:r w:rsidRPr="006376E2">
        <w:rPr>
          <w:rStyle w:val="StyleUnderline"/>
          <w:highlight w:val="cyan"/>
        </w:rPr>
        <w:t xml:space="preserve">to </w:t>
      </w:r>
      <w:r w:rsidRPr="006376E2">
        <w:rPr>
          <w:rStyle w:val="Emphasis"/>
          <w:highlight w:val="cyan"/>
        </w:rPr>
        <w:t>enter into treaties</w:t>
      </w:r>
      <w:r w:rsidRPr="007A419A">
        <w:rPr>
          <w:rStyle w:val="StyleUnderline"/>
        </w:rPr>
        <w:t xml:space="preserve"> and other agreement; and </w:t>
      </w:r>
      <w:r w:rsidRPr="006376E2">
        <w:rPr>
          <w:rStyle w:val="StyleUnderline"/>
          <w:highlight w:val="cyan"/>
        </w:rPr>
        <w:t xml:space="preserve">casting a </w:t>
      </w:r>
      <w:r w:rsidRPr="006376E2">
        <w:rPr>
          <w:rStyle w:val="Emphasis"/>
          <w:highlight w:val="cyan"/>
        </w:rPr>
        <w:t>legal duty on the State</w:t>
      </w:r>
      <w:r w:rsidRPr="007A419A">
        <w:rPr>
          <w:rStyle w:val="StyleUnderline"/>
        </w:rPr>
        <w:t xml:space="preserve"> to </w:t>
      </w:r>
      <w:r w:rsidRPr="007A419A">
        <w:rPr>
          <w:rStyle w:val="Emphasis"/>
        </w:rPr>
        <w:t>respect</w:t>
      </w:r>
      <w:r w:rsidRPr="007A419A">
        <w:rPr>
          <w:rStyle w:val="StyleUnderline"/>
        </w:rPr>
        <w:t xml:space="preserve">, </w:t>
      </w:r>
      <w:r w:rsidRPr="007A419A">
        <w:rPr>
          <w:rStyle w:val="Emphasis"/>
        </w:rPr>
        <w:t>protect</w:t>
      </w:r>
      <w:r w:rsidRPr="007A419A">
        <w:rPr>
          <w:rStyle w:val="StyleUnderline"/>
        </w:rPr>
        <w:t xml:space="preserve"> and </w:t>
      </w:r>
      <w:r w:rsidRPr="007A419A">
        <w:rPr>
          <w:rStyle w:val="Emphasis"/>
        </w:rPr>
        <w:t>promote</w:t>
      </w:r>
      <w:r w:rsidRPr="007A419A">
        <w:rPr>
          <w:rStyle w:val="StyleUnderline"/>
        </w:rPr>
        <w:t xml:space="preserve"> indigenous languages and culture</w:t>
      </w:r>
      <w:r w:rsidRPr="007A419A">
        <w:rPr>
          <w:sz w:val="16"/>
        </w:rPr>
        <w:t>. Subsequently, along with Lorie Graham and Wiessner (2011), he argues that indigenous sovereignty should be solely equated in terms of Western notion of “original power over territory”.</w:t>
      </w:r>
    </w:p>
    <w:p w14:paraId="60890A70" w14:textId="77777777" w:rsidR="007A56E6" w:rsidRPr="007A419A" w:rsidRDefault="007A56E6" w:rsidP="007A56E6">
      <w:pPr>
        <w:rPr>
          <w:sz w:val="16"/>
        </w:rPr>
      </w:pPr>
      <w:r w:rsidRPr="007A419A">
        <w:rPr>
          <w:sz w:val="16"/>
        </w:rPr>
        <w:t>Social activist and lawyer, Frank Brennan (1995) SJ maintained that aboriginal sovereignty is about recognising and respecting that there is “sovereign people within the nation” (p. 127). Brennan (1995) contends that for practical purpose, sovereignty is valuable only in relation to a nation that has “its own land base, economic resources and social structure” (p. 319) which is clearly not enjoyed by indigenous peoples across the globe. Therefore, the goal and objective of indigenous struggle, he argues, should be self-determination (Brennan, 1995).</w:t>
      </w:r>
    </w:p>
    <w:p w14:paraId="046259E3" w14:textId="77777777" w:rsidR="007A56E6" w:rsidRPr="007A419A" w:rsidRDefault="007A56E6" w:rsidP="007A56E6">
      <w:pPr>
        <w:rPr>
          <w:sz w:val="16"/>
        </w:rPr>
      </w:pPr>
      <w:r w:rsidRPr="007A419A">
        <w:rPr>
          <w:sz w:val="16"/>
        </w:rPr>
        <w:t xml:space="preserve">For Professor Stefano Varese, indigenous sovereignty implies “the recognition that there is no external supreme” and “absolute power over the indigenous community” does not lie somewhere else but “within the community, in the collective body.” And, </w:t>
      </w:r>
      <w:r w:rsidRPr="007A419A">
        <w:rPr>
          <w:rStyle w:val="StyleUnderline"/>
        </w:rPr>
        <w:t xml:space="preserve">these issues </w:t>
      </w:r>
      <w:r w:rsidRPr="006376E2">
        <w:rPr>
          <w:rStyle w:val="StyleUnderline"/>
          <w:highlight w:val="cyan"/>
        </w:rPr>
        <w:t>can’t be resolved unless “</w:t>
      </w:r>
      <w:r w:rsidRPr="006376E2">
        <w:rPr>
          <w:rStyle w:val="Emphasis"/>
          <w:highlight w:val="cyan"/>
        </w:rPr>
        <w:t>indigenous territorial possession and full jurisdiction</w:t>
      </w:r>
      <w:r w:rsidRPr="006376E2">
        <w:rPr>
          <w:rStyle w:val="StyleUnderline"/>
          <w:highlight w:val="cyan"/>
        </w:rPr>
        <w:t xml:space="preserve"> are in place</w:t>
      </w:r>
      <w:r w:rsidRPr="007A419A">
        <w:rPr>
          <w:rStyle w:val="StyleUnderline"/>
        </w:rPr>
        <w:t>”</w:t>
      </w:r>
      <w:r w:rsidRPr="007A419A">
        <w:rPr>
          <w:sz w:val="16"/>
        </w:rPr>
        <w:t xml:space="preserve"> (Varese, 2006, p. 270). He further explains the </w:t>
      </w:r>
      <w:r w:rsidRPr="006376E2">
        <w:rPr>
          <w:rStyle w:val="StyleUnderline"/>
          <w:highlight w:val="cyan"/>
        </w:rPr>
        <w:t>meaning</w:t>
      </w:r>
      <w:r w:rsidRPr="007A419A">
        <w:rPr>
          <w:rStyle w:val="StyleUnderline"/>
        </w:rPr>
        <w:t xml:space="preserve"> of </w:t>
      </w:r>
      <w:r w:rsidRPr="006376E2">
        <w:rPr>
          <w:rStyle w:val="StyleUnderline"/>
          <w:highlight w:val="cyan"/>
        </w:rPr>
        <w:t xml:space="preserve">indigenous jurisdiction in terms of rights and authority to </w:t>
      </w:r>
      <w:r w:rsidRPr="006376E2">
        <w:rPr>
          <w:rStyle w:val="Emphasis"/>
          <w:highlight w:val="cyan"/>
        </w:rPr>
        <w:t>interpret and apply law</w:t>
      </w:r>
      <w:r w:rsidRPr="007A419A">
        <w:rPr>
          <w:rStyle w:val="StyleUnderline"/>
        </w:rPr>
        <w:t xml:space="preserve"> created by indigenous peoples within the limits of territory controlled by the indigenous communities</w:t>
      </w:r>
      <w:r w:rsidRPr="007A419A">
        <w:rPr>
          <w:sz w:val="16"/>
        </w:rPr>
        <w:t xml:space="preserve"> (Varese, 2006).</w:t>
      </w:r>
    </w:p>
    <w:p w14:paraId="4C1EFBDB" w14:textId="77777777" w:rsidR="007A56E6" w:rsidRDefault="007A56E6" w:rsidP="007A56E6"/>
    <w:p w14:paraId="46EF50D8" w14:textId="74D24FA3" w:rsidR="008D6AE6" w:rsidRDefault="008D6AE6" w:rsidP="008D6AE6">
      <w:pPr>
        <w:pStyle w:val="Heading3"/>
      </w:pPr>
      <w:r>
        <w:t>1NC – OFF</w:t>
      </w:r>
    </w:p>
    <w:p w14:paraId="47C84938" w14:textId="77777777" w:rsidR="008D6AE6" w:rsidRPr="00E55D20" w:rsidRDefault="008D6AE6" w:rsidP="008D6AE6">
      <w:pPr>
        <w:pStyle w:val="Heading4"/>
      </w:pPr>
      <w:r>
        <w:t xml:space="preserve">Legal regimes structured around </w:t>
      </w:r>
      <w:r>
        <w:rPr>
          <w:i/>
          <w:iCs w:val="0"/>
        </w:rPr>
        <w:t>shifts in market norms</w:t>
      </w:r>
      <w:r>
        <w:t xml:space="preserve"> entrench </w:t>
      </w:r>
      <w:r>
        <w:rPr>
          <w:u w:val="single"/>
        </w:rPr>
        <w:t>exclusion-loops</w:t>
      </w:r>
      <w:r>
        <w:t xml:space="preserve"> from collective bargaining that </w:t>
      </w:r>
      <w:r>
        <w:rPr>
          <w:i/>
          <w:iCs w:val="0"/>
        </w:rPr>
        <w:t>reproduce</w:t>
      </w:r>
      <w:r>
        <w:t xml:space="preserve"> </w:t>
      </w:r>
      <w:r w:rsidRPr="00B56C1F">
        <w:rPr>
          <w:i/>
          <w:iCs w:val="0"/>
        </w:rPr>
        <w:t>oppression</w:t>
      </w:r>
      <w:r>
        <w:t>.</w:t>
      </w:r>
    </w:p>
    <w:p w14:paraId="69ADCD98" w14:textId="77777777" w:rsidR="008D6AE6" w:rsidRPr="005229EE" w:rsidRDefault="008D6AE6" w:rsidP="008D6AE6">
      <w:r>
        <w:t xml:space="preserve">Clare </w:t>
      </w:r>
      <w:r w:rsidRPr="006C468B">
        <w:rPr>
          <w:rStyle w:val="Style13ptBold"/>
        </w:rPr>
        <w:t>Williams 24</w:t>
      </w:r>
      <w:r>
        <w:t xml:space="preserve"> – Lecturer at Kent Law School, “</w:t>
      </w:r>
      <w:r w:rsidRPr="006C468B">
        <w:t>Ability Capitalism: Law’s Constitutive Role in Constructing Disability</w:t>
      </w:r>
      <w:r>
        <w:t xml:space="preserve">,” Oxford Academic Industrial Law Journal, </w:t>
      </w:r>
      <w:r w:rsidRPr="009A48E0">
        <w:t>https://doi.org/10.1093/indlaw/dwae043</w:t>
      </w:r>
      <w:r>
        <w:t>, October 18, 2024, accessed August 28, 2025, -ekh-</w:t>
      </w:r>
    </w:p>
    <w:p w14:paraId="4BB541C5" w14:textId="77777777" w:rsidR="008D6AE6" w:rsidRPr="00562F79" w:rsidRDefault="008D6AE6" w:rsidP="008D6AE6">
      <w:pPr>
        <w:rPr>
          <w:sz w:val="16"/>
        </w:rPr>
      </w:pPr>
      <w:r w:rsidRPr="00562F79">
        <w:rPr>
          <w:sz w:val="16"/>
        </w:rPr>
        <w:t xml:space="preserve">As noted, an ESL lens can shift our focus from an individualised to a structural account of the production of categories of ability. Owing to the social model of disability, there are already some mainstream strands of disability theorising that argue for structural and systemic accounts of the reproduction of ability oppression. Nevertheless, the law’s continuing reliance on combinations of individual, medical and social models of disability suggests that an ESL lens exploring law’s constitutive role can offer valuable insights.152 One key contribution in the context of </w:t>
      </w:r>
      <w:r w:rsidRPr="00562F79">
        <w:rPr>
          <w:rStyle w:val="StyleUnderline"/>
        </w:rPr>
        <w:t xml:space="preserve">the </w:t>
      </w:r>
      <w:r w:rsidRPr="006376E2">
        <w:rPr>
          <w:rStyle w:val="StyleUnderline"/>
          <w:highlight w:val="cyan"/>
        </w:rPr>
        <w:t>labour market is law’s role in</w:t>
      </w:r>
      <w:r w:rsidRPr="00562F79">
        <w:rPr>
          <w:rStyle w:val="StyleUnderline"/>
        </w:rPr>
        <w:t xml:space="preserve"> the </w:t>
      </w:r>
      <w:r w:rsidRPr="006376E2">
        <w:rPr>
          <w:rStyle w:val="StyleUnderline"/>
          <w:highlight w:val="cyan"/>
        </w:rPr>
        <w:t>commodification</w:t>
      </w:r>
      <w:r w:rsidRPr="00562F79">
        <w:rPr>
          <w:rStyle w:val="StyleUnderline"/>
        </w:rPr>
        <w:t xml:space="preserve"> of labour-power</w:t>
      </w:r>
      <w:r w:rsidRPr="00562F79">
        <w:rPr>
          <w:sz w:val="16"/>
        </w:rPr>
        <w:t xml:space="preserve"> and the ways in which </w:t>
      </w:r>
      <w:r w:rsidRPr="006376E2">
        <w:rPr>
          <w:rStyle w:val="Emphasis"/>
          <w:highlight w:val="cyan"/>
        </w:rPr>
        <w:t>legal predistribution</w:t>
      </w:r>
      <w:r w:rsidRPr="00562F79">
        <w:rPr>
          <w:rStyle w:val="StyleUnderline"/>
        </w:rPr>
        <w:t xml:space="preserve"> and coding processes </w:t>
      </w:r>
      <w:r w:rsidRPr="006376E2">
        <w:rPr>
          <w:rStyle w:val="StyleUnderline"/>
          <w:highlight w:val="cyan"/>
        </w:rPr>
        <w:t>reproduce</w:t>
      </w:r>
      <w:r w:rsidRPr="00562F79">
        <w:rPr>
          <w:rStyle w:val="StyleUnderline"/>
        </w:rPr>
        <w:t xml:space="preserve"> </w:t>
      </w:r>
      <w:r w:rsidRPr="006376E2">
        <w:rPr>
          <w:rStyle w:val="Emphasis"/>
          <w:highlight w:val="cyan"/>
        </w:rPr>
        <w:t>normalised</w:t>
      </w:r>
      <w:r w:rsidRPr="00562F79">
        <w:rPr>
          <w:rStyle w:val="Emphasis"/>
        </w:rPr>
        <w:t xml:space="preserve"> worker </w:t>
      </w:r>
      <w:r w:rsidRPr="006376E2">
        <w:rPr>
          <w:rStyle w:val="Emphasis"/>
          <w:highlight w:val="cyan"/>
        </w:rPr>
        <w:t>standardisation</w:t>
      </w:r>
      <w:r w:rsidRPr="00562F79">
        <w:rPr>
          <w:sz w:val="16"/>
        </w:rPr>
        <w:t>. Accordingly, three insights are worth noting here.</w:t>
      </w:r>
      <w:r>
        <w:rPr>
          <w:sz w:val="16"/>
        </w:rPr>
        <w:t xml:space="preserve"> </w:t>
      </w:r>
      <w:r w:rsidRPr="00562F79">
        <w:rPr>
          <w:sz w:val="16"/>
        </w:rPr>
        <w:t xml:space="preserve">Firstly, </w:t>
      </w:r>
      <w:r w:rsidRPr="00562F79">
        <w:rPr>
          <w:rStyle w:val="StyleUnderline"/>
        </w:rPr>
        <w:t xml:space="preserve">natural market narratives in which the law exclusively </w:t>
      </w:r>
      <w:r w:rsidRPr="006376E2">
        <w:rPr>
          <w:rStyle w:val="StyleUnderline"/>
          <w:highlight w:val="cyan"/>
        </w:rPr>
        <w:t xml:space="preserve">makes </w:t>
      </w:r>
      <w:r w:rsidRPr="006376E2">
        <w:rPr>
          <w:rStyle w:val="Emphasis"/>
          <w:highlight w:val="cyan"/>
        </w:rPr>
        <w:t>visible standard employment relations</w:t>
      </w:r>
      <w:r w:rsidRPr="00562F79">
        <w:rPr>
          <w:rStyle w:val="StyleUnderline"/>
        </w:rPr>
        <w:t xml:space="preserve"> means that </w:t>
      </w:r>
      <w:r w:rsidRPr="006376E2">
        <w:rPr>
          <w:rStyle w:val="StyleUnderline"/>
          <w:highlight w:val="cyan"/>
        </w:rPr>
        <w:t>relations that fall outside</w:t>
      </w:r>
      <w:r w:rsidRPr="00562F79">
        <w:rPr>
          <w:rStyle w:val="StyleUnderline"/>
        </w:rPr>
        <w:t xml:space="preserve"> of this norm tend to be </w:t>
      </w:r>
      <w:r w:rsidRPr="006376E2">
        <w:rPr>
          <w:rStyle w:val="Emphasis"/>
          <w:highlight w:val="cyan"/>
        </w:rPr>
        <w:t>invisibilised</w:t>
      </w:r>
      <w:r w:rsidRPr="00562F79">
        <w:rPr>
          <w:rStyle w:val="StyleUnderline"/>
        </w:rPr>
        <w:t>. Processes and structures</w:t>
      </w:r>
      <w:r w:rsidRPr="00562F79">
        <w:rPr>
          <w:sz w:val="16"/>
        </w:rPr>
        <w:t xml:space="preserve"> that </w:t>
      </w:r>
      <w:r w:rsidRPr="00562F79">
        <w:rPr>
          <w:rStyle w:val="StyleUnderline"/>
        </w:rPr>
        <w:t>push</w:t>
      </w:r>
      <w:r w:rsidRPr="00562F79">
        <w:rPr>
          <w:sz w:val="16"/>
        </w:rPr>
        <w:t xml:space="preserve"> racialised and gendered </w:t>
      </w:r>
      <w:r w:rsidRPr="00562F79">
        <w:rPr>
          <w:rStyle w:val="StyleUnderline"/>
        </w:rPr>
        <w:t>workers to the margins of the labour</w:t>
      </w:r>
      <w:r w:rsidRPr="00562F79">
        <w:rPr>
          <w:sz w:val="16"/>
        </w:rPr>
        <w:t xml:space="preserve"> market have been recognised as reproducing racial and gender inequalities.153 Given the disability education gap as well as employment and pay gaps, </w:t>
      </w:r>
      <w:r w:rsidRPr="00562F79">
        <w:rPr>
          <w:rStyle w:val="StyleUnderline"/>
        </w:rPr>
        <w:t>disabled workers are similarly likely to rely on</w:t>
      </w:r>
      <w:r w:rsidRPr="00562F79">
        <w:rPr>
          <w:sz w:val="16"/>
        </w:rPr>
        <w:t xml:space="preserve">, and indeed be pushed towards, </w:t>
      </w:r>
      <w:r w:rsidRPr="00562F79">
        <w:rPr>
          <w:rStyle w:val="StyleUnderline"/>
        </w:rPr>
        <w:t>precarious</w:t>
      </w:r>
      <w:r w:rsidRPr="00562F79">
        <w:rPr>
          <w:sz w:val="16"/>
        </w:rPr>
        <w:t xml:space="preserve"> or gig </w:t>
      </w:r>
      <w:r w:rsidRPr="00562F79">
        <w:rPr>
          <w:rStyle w:val="StyleUnderline"/>
        </w:rPr>
        <w:t>work</w:t>
      </w:r>
      <w:r w:rsidRPr="00562F79">
        <w:rPr>
          <w:sz w:val="16"/>
        </w:rPr>
        <w:t xml:space="preserve">, </w:t>
      </w:r>
      <w:r w:rsidRPr="00562F79">
        <w:rPr>
          <w:rStyle w:val="StyleUnderline"/>
        </w:rPr>
        <w:t xml:space="preserve">and the </w:t>
      </w:r>
      <w:r w:rsidRPr="006376E2">
        <w:rPr>
          <w:rStyle w:val="Emphasis"/>
          <w:highlight w:val="cyan"/>
        </w:rPr>
        <w:t>structural mechanisms</w:t>
      </w:r>
      <w:r w:rsidRPr="00562F79">
        <w:rPr>
          <w:rStyle w:val="StyleUnderline"/>
        </w:rPr>
        <w:t xml:space="preserve"> that determine lower wages and fewer protections similarly </w:t>
      </w:r>
      <w:r w:rsidRPr="006376E2">
        <w:rPr>
          <w:rStyle w:val="Emphasis"/>
          <w:highlight w:val="cyan"/>
        </w:rPr>
        <w:t>instantiate ableised norms within the labour market</w:t>
      </w:r>
      <w:r w:rsidRPr="00562F79">
        <w:rPr>
          <w:sz w:val="16"/>
        </w:rPr>
        <w:t xml:space="preserve">.154 Secondly, </w:t>
      </w:r>
      <w:r w:rsidRPr="00562F79">
        <w:rPr>
          <w:rStyle w:val="StyleUnderline"/>
        </w:rPr>
        <w:t>a theory of ability capitalism centres the reproduction of ableist norms and practices at the productive-redistributive nexus, or the interface between labour markets and the welfare state</w:t>
      </w:r>
      <w:r w:rsidRPr="00562F79">
        <w:rPr>
          <w:sz w:val="16"/>
        </w:rPr>
        <w:t xml:space="preserve">. It highlights </w:t>
      </w:r>
      <w:r w:rsidRPr="006376E2">
        <w:rPr>
          <w:rStyle w:val="StyleUnderline"/>
          <w:highlight w:val="cyan"/>
        </w:rPr>
        <w:t>disability</w:t>
      </w:r>
      <w:r w:rsidRPr="00562F79">
        <w:rPr>
          <w:sz w:val="16"/>
        </w:rPr>
        <w:t xml:space="preserve"> as a key concept that </w:t>
      </w:r>
      <w:r w:rsidRPr="00562F79">
        <w:rPr>
          <w:rStyle w:val="StyleUnderline"/>
        </w:rPr>
        <w:t xml:space="preserve">not only </w:t>
      </w:r>
      <w:r w:rsidRPr="006376E2">
        <w:rPr>
          <w:rStyle w:val="Emphasis"/>
          <w:highlight w:val="cyan"/>
        </w:rPr>
        <w:t>regulates labour</w:t>
      </w:r>
      <w:r w:rsidRPr="00562F79">
        <w:rPr>
          <w:rStyle w:val="StyleUnderline"/>
        </w:rPr>
        <w:t xml:space="preserve"> and </w:t>
      </w:r>
      <w:r w:rsidRPr="006376E2">
        <w:rPr>
          <w:rStyle w:val="Emphasis"/>
          <w:highlight w:val="cyan"/>
        </w:rPr>
        <w:t>manages labour markets</w:t>
      </w:r>
      <w:r w:rsidRPr="00562F79">
        <w:rPr>
          <w:rStyle w:val="StyleUnderline"/>
        </w:rPr>
        <w:t>, but</w:t>
      </w:r>
      <w:r w:rsidRPr="00562F79">
        <w:rPr>
          <w:sz w:val="16"/>
        </w:rPr>
        <w:t xml:space="preserve"> </w:t>
      </w:r>
      <w:r w:rsidRPr="00562F79">
        <w:rPr>
          <w:rStyle w:val="StyleUnderline"/>
        </w:rPr>
        <w:t>which is also an econo-socio-legal and political construct</w:t>
      </w:r>
      <w:r w:rsidRPr="00562F79">
        <w:rPr>
          <w:sz w:val="16"/>
        </w:rPr>
        <w:t xml:space="preserve">. An ability continuum therefore emerges as a central concept in processes of both commodification and decommodification. This leads on to the third insight which results from a shift in focus from the individual worker to structural accounts. A focus on feedback loops can </w:t>
      </w:r>
      <w:r w:rsidRPr="00997094">
        <w:rPr>
          <w:sz w:val="16"/>
        </w:rPr>
        <w:t xml:space="preserve">highlight </w:t>
      </w:r>
      <w:r w:rsidRPr="00997094">
        <w:rPr>
          <w:rStyle w:val="StyleUnderline"/>
        </w:rPr>
        <w:t>assumptions of ableised labour market regimes</w:t>
      </w:r>
      <w:r w:rsidRPr="00997094">
        <w:rPr>
          <w:sz w:val="16"/>
        </w:rPr>
        <w:t xml:space="preserve">, </w:t>
      </w:r>
      <w:r w:rsidRPr="00997094">
        <w:rPr>
          <w:rStyle w:val="StyleUnderline"/>
        </w:rPr>
        <w:t>and</w:t>
      </w:r>
      <w:r w:rsidRPr="00997094">
        <w:rPr>
          <w:sz w:val="16"/>
        </w:rPr>
        <w:t xml:space="preserve"> similarly </w:t>
      </w:r>
      <w:r w:rsidRPr="00997094">
        <w:rPr>
          <w:rStyle w:val="StyleUnderline"/>
        </w:rPr>
        <w:t>ableised rationalities</w:t>
      </w:r>
      <w:r w:rsidRPr="00997094">
        <w:rPr>
          <w:sz w:val="16"/>
        </w:rPr>
        <w:t xml:space="preserve"> of the typical homo economicus, and how these </w:t>
      </w:r>
      <w:r w:rsidRPr="00997094">
        <w:rPr>
          <w:rStyle w:val="StyleUnderline"/>
        </w:rPr>
        <w:t xml:space="preserve">are </w:t>
      </w:r>
      <w:r w:rsidRPr="00997094">
        <w:rPr>
          <w:rStyle w:val="Emphasis"/>
        </w:rPr>
        <w:t>mutually re-constituted</w:t>
      </w:r>
      <w:r w:rsidRPr="00997094">
        <w:rPr>
          <w:sz w:val="16"/>
        </w:rPr>
        <w:t>. We might consequently begin to imagine pathways to the full realisation of the social model at the econo-socio-legal nexus such that it is unencumbered by lingering medical and individual models.</w:t>
      </w:r>
      <w:r>
        <w:rPr>
          <w:sz w:val="16"/>
        </w:rPr>
        <w:t xml:space="preserve"> </w:t>
      </w:r>
      <w:r w:rsidRPr="00562F79">
        <w:rPr>
          <w:sz w:val="16"/>
        </w:rPr>
        <w:t xml:space="preserve">Thus, an exploration of law’s constitutive role and a focus on the feedback loops that reproduce ability capitalism can suggest pathways to challenge oppression, notably through decommodification strategies. This leads to the question of </w:t>
      </w:r>
      <w:r w:rsidRPr="00562F79">
        <w:rPr>
          <w:rStyle w:val="StyleUnderline"/>
        </w:rPr>
        <w:t>how decommodification might ‘unbound’ the labour market</w:t>
      </w:r>
      <w:r w:rsidRPr="00562F79">
        <w:rPr>
          <w:sz w:val="16"/>
        </w:rPr>
        <w:t>. Additionally, how might decommodification avoid compounding ableised assumptions constitutive of processes of ability capitalism? Finally, how might decommodification be realised in such a way that challenges to the production of ability capitalism do not exacerbate or entrench other grounds of oppression such as race or gender?</w:t>
      </w:r>
      <w:r>
        <w:rPr>
          <w:sz w:val="16"/>
        </w:rPr>
        <w:t xml:space="preserve"> </w:t>
      </w:r>
      <w:r w:rsidRPr="00562F79">
        <w:rPr>
          <w:rStyle w:val="StyleUnderline"/>
        </w:rPr>
        <w:t>‘[P]ostwar welfare states</w:t>
      </w:r>
      <w:r w:rsidRPr="00562F79">
        <w:rPr>
          <w:sz w:val="16"/>
        </w:rPr>
        <w:t xml:space="preserve"> – but also </w:t>
      </w:r>
      <w:r w:rsidRPr="00562F79">
        <w:rPr>
          <w:rStyle w:val="StyleUnderline"/>
        </w:rPr>
        <w:t xml:space="preserve">the presence of trade </w:t>
      </w:r>
      <w:r w:rsidRPr="006376E2">
        <w:rPr>
          <w:rStyle w:val="StyleUnderline"/>
          <w:highlight w:val="cyan"/>
        </w:rPr>
        <w:t>unions, collective bargaining</w:t>
      </w:r>
      <w:r w:rsidRPr="00562F79">
        <w:rPr>
          <w:rStyle w:val="StyleUnderline"/>
        </w:rPr>
        <w:t xml:space="preserve">, labour </w:t>
      </w:r>
      <w:r w:rsidRPr="006376E2">
        <w:rPr>
          <w:rStyle w:val="StyleUnderline"/>
          <w:highlight w:val="cyan"/>
        </w:rPr>
        <w:t>regulation</w:t>
      </w:r>
      <w:r w:rsidRPr="00562F79">
        <w:rPr>
          <w:rStyle w:val="StyleUnderline"/>
        </w:rPr>
        <w:t xml:space="preserve"> and social welfare law – can be </w:t>
      </w:r>
      <w:r w:rsidRPr="006376E2">
        <w:rPr>
          <w:rStyle w:val="StyleUnderline"/>
          <w:highlight w:val="cyan"/>
        </w:rPr>
        <w:t>understood as</w:t>
      </w:r>
      <w:r w:rsidRPr="00562F79">
        <w:rPr>
          <w:sz w:val="16"/>
        </w:rPr>
        <w:t xml:space="preserve"> a form of de-commodification’,155 offering one way towards ‘</w:t>
      </w:r>
      <w:r w:rsidRPr="00562F79">
        <w:rPr>
          <w:rStyle w:val="StyleUnderline"/>
        </w:rPr>
        <w:t xml:space="preserve">a transition period of </w:t>
      </w:r>
      <w:r w:rsidRPr="006376E2">
        <w:rPr>
          <w:rStyle w:val="Emphasis"/>
          <w:highlight w:val="cyan"/>
        </w:rPr>
        <w:t>limited commodification’</w:t>
      </w:r>
      <w:r w:rsidRPr="00562F79">
        <w:rPr>
          <w:sz w:val="16"/>
        </w:rPr>
        <w:t xml:space="preserve">.156 The role of social rights in the decommodification of labour ‘through the existence of a social safety net and labour standards that ameliorate the harshness of the market’ have been highlighted, noting the role of the public sector or state, and positioning ex post rights-based narratives as a socio-legal foundation on which resistance can be built.157 </w:t>
      </w:r>
      <w:r w:rsidRPr="00562F79">
        <w:rPr>
          <w:rStyle w:val="StyleUnderline"/>
        </w:rPr>
        <w:t>Nevertheless</w:t>
      </w:r>
      <w:r w:rsidRPr="00562F79">
        <w:rPr>
          <w:sz w:val="16"/>
        </w:rPr>
        <w:t xml:space="preserve">, while scholarship focused on the complex ways in which markets race and gender actors can offer useful insights, </w:t>
      </w:r>
      <w:r w:rsidRPr="00562F79">
        <w:rPr>
          <w:rStyle w:val="StyleUnderline"/>
        </w:rPr>
        <w:t xml:space="preserve">the </w:t>
      </w:r>
      <w:r w:rsidRPr="001F26F9">
        <w:rPr>
          <w:rStyle w:val="StyleUnderline"/>
        </w:rPr>
        <w:t>coding and ranking</w:t>
      </w:r>
      <w:r w:rsidRPr="00562F79">
        <w:rPr>
          <w:rStyle w:val="StyleUnderline"/>
        </w:rPr>
        <w:t xml:space="preserve"> of workers </w:t>
      </w:r>
      <w:r w:rsidRPr="001F26F9">
        <w:rPr>
          <w:rStyle w:val="StyleUnderline"/>
        </w:rPr>
        <w:t xml:space="preserve">on </w:t>
      </w:r>
      <w:r w:rsidRPr="001F26F9">
        <w:rPr>
          <w:rStyle w:val="Emphasis"/>
        </w:rPr>
        <w:t>grounds of ability</w:t>
      </w:r>
      <w:r w:rsidRPr="001F26F9">
        <w:rPr>
          <w:rStyle w:val="StyleUnderline"/>
        </w:rPr>
        <w:t xml:space="preserve"> presents</w:t>
      </w:r>
      <w:r w:rsidRPr="00562F79">
        <w:rPr>
          <w:rStyle w:val="StyleUnderline"/>
        </w:rPr>
        <w:t xml:space="preserve"> different </w:t>
      </w:r>
      <w:r w:rsidRPr="001F26F9">
        <w:rPr>
          <w:rStyle w:val="Emphasis"/>
        </w:rPr>
        <w:t>challenges</w:t>
      </w:r>
      <w:r w:rsidRPr="00562F79">
        <w:rPr>
          <w:rStyle w:val="StyleUnderline"/>
        </w:rPr>
        <w:t xml:space="preserve"> for decommodification strategies</w:t>
      </w:r>
      <w:r w:rsidRPr="00562F79">
        <w:rPr>
          <w:sz w:val="16"/>
        </w:rPr>
        <w:t xml:space="preserve"> to take account of if they are to be effective. It is worth noting three of these challenges.</w:t>
      </w:r>
      <w:r>
        <w:rPr>
          <w:sz w:val="16"/>
        </w:rPr>
        <w:t xml:space="preserve"> </w:t>
      </w:r>
      <w:r w:rsidRPr="00562F79">
        <w:rPr>
          <w:sz w:val="16"/>
        </w:rPr>
        <w:t xml:space="preserve">Firstly, </w:t>
      </w:r>
      <w:r w:rsidRPr="006376E2">
        <w:rPr>
          <w:rStyle w:val="StyleUnderline"/>
          <w:highlight w:val="cyan"/>
        </w:rPr>
        <w:t>disability</w:t>
      </w:r>
      <w:r w:rsidRPr="00562F79">
        <w:rPr>
          <w:sz w:val="16"/>
        </w:rPr>
        <w:t xml:space="preserve"> discrimination ‘</w:t>
      </w:r>
      <w:r w:rsidRPr="006376E2">
        <w:rPr>
          <w:rStyle w:val="StyleUnderline"/>
          <w:highlight w:val="cyan"/>
        </w:rPr>
        <w:t>is a</w:t>
      </w:r>
      <w:r w:rsidRPr="00562F79">
        <w:rPr>
          <w:rStyle w:val="StyleUnderline"/>
        </w:rPr>
        <w:t xml:space="preserve"> distinct but </w:t>
      </w:r>
      <w:r w:rsidRPr="006376E2">
        <w:rPr>
          <w:rStyle w:val="Emphasis"/>
          <w:highlight w:val="cyan"/>
        </w:rPr>
        <w:t>complex form of oppression</w:t>
      </w:r>
      <w:r w:rsidRPr="00562F79">
        <w:rPr>
          <w:rStyle w:val="StyleUnderline"/>
        </w:rPr>
        <w:t>, based on</w:t>
      </w:r>
      <w:r w:rsidRPr="00562F79">
        <w:rPr>
          <w:sz w:val="16"/>
        </w:rPr>
        <w:t xml:space="preserve"> the (negligibly to substantially) </w:t>
      </w:r>
      <w:r w:rsidRPr="00562F79">
        <w:rPr>
          <w:rStyle w:val="StyleUnderline"/>
        </w:rPr>
        <w:t>greater expense to capital of the labour power of impaired people’</w:t>
      </w:r>
      <w:r w:rsidRPr="00562F79">
        <w:rPr>
          <w:sz w:val="16"/>
        </w:rPr>
        <w:t xml:space="preserve">.158 Reasonable adjustments, as well as sick leave and so on, cost money. But </w:t>
      </w:r>
      <w:r w:rsidRPr="00562F79">
        <w:rPr>
          <w:rStyle w:val="StyleUnderline"/>
        </w:rPr>
        <w:t>the reproduction of disabled labour-power</w:t>
      </w:r>
      <w:r w:rsidRPr="00562F79">
        <w:rPr>
          <w:sz w:val="16"/>
        </w:rPr>
        <w:t xml:space="preserve">, including required assistive aids and additional care, also </w:t>
      </w:r>
      <w:r w:rsidRPr="00562F79">
        <w:rPr>
          <w:rStyle w:val="StyleUnderline"/>
        </w:rPr>
        <w:t>entails greater expense</w:t>
      </w:r>
      <w:r w:rsidRPr="00562F79">
        <w:rPr>
          <w:sz w:val="16"/>
        </w:rPr>
        <w:t xml:space="preserve">. </w:t>
      </w:r>
      <w:r w:rsidRPr="006376E2">
        <w:rPr>
          <w:rStyle w:val="StyleUnderline"/>
          <w:highlight w:val="cyan"/>
        </w:rPr>
        <w:t>In</w:t>
      </w:r>
      <w:r w:rsidRPr="00562F79">
        <w:rPr>
          <w:rStyle w:val="StyleUnderline"/>
        </w:rPr>
        <w:t xml:space="preserve"> a </w:t>
      </w:r>
      <w:r w:rsidRPr="00562F79">
        <w:rPr>
          <w:rStyle w:val="Emphasis"/>
        </w:rPr>
        <w:t xml:space="preserve">system of </w:t>
      </w:r>
      <w:r w:rsidRPr="006376E2">
        <w:rPr>
          <w:rStyle w:val="Emphasis"/>
          <w:highlight w:val="cyan"/>
        </w:rPr>
        <w:t>capitalist logics</w:t>
      </w:r>
      <w:r w:rsidRPr="00562F79">
        <w:rPr>
          <w:rStyle w:val="StyleUnderline"/>
        </w:rPr>
        <w:t xml:space="preserve"> where individual competition between </w:t>
      </w:r>
      <w:r w:rsidRPr="00330A9A">
        <w:rPr>
          <w:rStyle w:val="StyleUnderline"/>
        </w:rPr>
        <w:t>workers</w:t>
      </w:r>
      <w:r w:rsidRPr="00562F79">
        <w:rPr>
          <w:rStyle w:val="StyleUnderline"/>
        </w:rPr>
        <w:t xml:space="preserve"> informs the production of surplus value, those </w:t>
      </w:r>
      <w:r w:rsidRPr="00562F79">
        <w:rPr>
          <w:rStyle w:val="Emphasis"/>
        </w:rPr>
        <w:t>unable to normalise themselves</w:t>
      </w:r>
      <w:r w:rsidRPr="00562F79">
        <w:rPr>
          <w:sz w:val="16"/>
        </w:rPr>
        <w:t xml:space="preserve"> fully—that is, inter alia, to reduce the costs of the reproduction of their own labour-power—</w:t>
      </w:r>
      <w:r w:rsidRPr="00562F79">
        <w:rPr>
          <w:rStyle w:val="StyleUnderline"/>
        </w:rPr>
        <w:t>are</w:t>
      </w:r>
      <w:r w:rsidRPr="00562F79">
        <w:rPr>
          <w:sz w:val="16"/>
        </w:rPr>
        <w:t xml:space="preserve"> inevitably </w:t>
      </w:r>
      <w:r w:rsidRPr="00562F79">
        <w:rPr>
          <w:rStyle w:val="StyleUnderline"/>
        </w:rPr>
        <w:t>likely to realise reduced wages when selling</w:t>
      </w:r>
      <w:r w:rsidRPr="00562F79">
        <w:rPr>
          <w:sz w:val="16"/>
        </w:rPr>
        <w:t xml:space="preserve"> that (</w:t>
      </w:r>
      <w:r w:rsidRPr="00562F79">
        <w:rPr>
          <w:rStyle w:val="StyleUnderline"/>
        </w:rPr>
        <w:t>devalued</w:t>
      </w:r>
      <w:r w:rsidRPr="00562F79">
        <w:rPr>
          <w:sz w:val="16"/>
        </w:rPr>
        <w:t xml:space="preserve">) </w:t>
      </w:r>
      <w:r w:rsidRPr="00562F79">
        <w:rPr>
          <w:rStyle w:val="StyleUnderline"/>
        </w:rPr>
        <w:t>labour-power</w:t>
      </w:r>
      <w:r w:rsidRPr="00562F79">
        <w:rPr>
          <w:sz w:val="16"/>
        </w:rPr>
        <w:t xml:space="preserve">. The funding of social care, for example, then emerges as one decommodification strategy with potential to challenge the devaluing of disabled labour-power and the resulting disability employment and pay gaps. However, </w:t>
      </w:r>
      <w:r w:rsidRPr="006376E2">
        <w:rPr>
          <w:rStyle w:val="StyleUnderline"/>
          <w:highlight w:val="cyan"/>
        </w:rPr>
        <w:t>social welfare</w:t>
      </w:r>
      <w:r w:rsidRPr="00562F79">
        <w:rPr>
          <w:rStyle w:val="StyleUnderline"/>
        </w:rPr>
        <w:t xml:space="preserve"> as decommodification strategy </w:t>
      </w:r>
      <w:r w:rsidRPr="006376E2">
        <w:rPr>
          <w:rStyle w:val="StyleUnderline"/>
          <w:highlight w:val="cyan"/>
        </w:rPr>
        <w:t>seeks</w:t>
      </w:r>
      <w:r w:rsidRPr="00562F79">
        <w:rPr>
          <w:rStyle w:val="StyleUnderline"/>
        </w:rPr>
        <w:t xml:space="preserve"> the </w:t>
      </w:r>
      <w:r w:rsidRPr="006376E2">
        <w:rPr>
          <w:rStyle w:val="Emphasis"/>
          <w:highlight w:val="cyan"/>
        </w:rPr>
        <w:t>normalisation of the disabled bodymind</w:t>
      </w:r>
      <w:r w:rsidRPr="006376E2">
        <w:rPr>
          <w:rStyle w:val="StyleUnderline"/>
          <w:highlight w:val="cyan"/>
        </w:rPr>
        <w:t>, aligning</w:t>
      </w:r>
      <w:r w:rsidRPr="0030264F">
        <w:rPr>
          <w:rStyle w:val="StyleUnderline"/>
        </w:rPr>
        <w:t xml:space="preserve"> it ever more closely </w:t>
      </w:r>
      <w:r w:rsidRPr="006376E2">
        <w:rPr>
          <w:rStyle w:val="StyleUnderline"/>
          <w:highlight w:val="cyan"/>
        </w:rPr>
        <w:t>with</w:t>
      </w:r>
      <w:r w:rsidRPr="0030264F">
        <w:rPr>
          <w:rStyle w:val="StyleUnderline"/>
        </w:rPr>
        <w:t xml:space="preserve"> the ableised ideal worker.</w:t>
      </w:r>
      <w:r w:rsidRPr="00562F79">
        <w:rPr>
          <w:rStyle w:val="StyleUnderline"/>
        </w:rPr>
        <w:t xml:space="preserve"> It </w:t>
      </w:r>
      <w:r w:rsidRPr="001F26F9">
        <w:rPr>
          <w:rStyle w:val="StyleUnderline"/>
        </w:rPr>
        <w:t xml:space="preserve">does little to </w:t>
      </w:r>
      <w:r w:rsidRPr="001F26F9">
        <w:rPr>
          <w:rStyle w:val="Emphasis"/>
        </w:rPr>
        <w:t>challenge</w:t>
      </w:r>
      <w:r w:rsidRPr="00562F79">
        <w:rPr>
          <w:rStyle w:val="Emphasis"/>
        </w:rPr>
        <w:t xml:space="preserve"> </w:t>
      </w:r>
      <w:r w:rsidRPr="006376E2">
        <w:rPr>
          <w:rStyle w:val="Emphasis"/>
          <w:highlight w:val="cyan"/>
        </w:rPr>
        <w:t>the</w:t>
      </w:r>
      <w:r w:rsidRPr="00562F79">
        <w:rPr>
          <w:rStyle w:val="Emphasis"/>
        </w:rPr>
        <w:t xml:space="preserve"> </w:t>
      </w:r>
      <w:r w:rsidRPr="0030264F">
        <w:rPr>
          <w:rStyle w:val="Emphasis"/>
        </w:rPr>
        <w:t xml:space="preserve">underlying </w:t>
      </w:r>
      <w:r w:rsidRPr="006376E2">
        <w:rPr>
          <w:rStyle w:val="Emphasis"/>
          <w:highlight w:val="cyan"/>
        </w:rPr>
        <w:t xml:space="preserve">capitalist logics which produce </w:t>
      </w:r>
      <w:r w:rsidRPr="0030264F">
        <w:rPr>
          <w:rStyle w:val="Emphasis"/>
        </w:rPr>
        <w:t xml:space="preserve">the </w:t>
      </w:r>
      <w:r w:rsidRPr="006376E2">
        <w:rPr>
          <w:rStyle w:val="Emphasis"/>
          <w:highlight w:val="cyan"/>
        </w:rPr>
        <w:t>oppression</w:t>
      </w:r>
      <w:r w:rsidRPr="00562F79">
        <w:rPr>
          <w:rStyle w:val="StyleUnderline"/>
        </w:rPr>
        <w:t xml:space="preserve">, and </w:t>
      </w:r>
      <w:r w:rsidRPr="0030264F">
        <w:rPr>
          <w:rStyle w:val="StyleUnderline"/>
        </w:rPr>
        <w:t xml:space="preserve">which </w:t>
      </w:r>
      <w:r w:rsidRPr="006376E2">
        <w:rPr>
          <w:rStyle w:val="Emphasis"/>
          <w:highlight w:val="cyan"/>
        </w:rPr>
        <w:t>rely on concepts of inclusion</w:t>
      </w:r>
      <w:r w:rsidRPr="006376E2">
        <w:rPr>
          <w:rStyle w:val="StyleUnderline"/>
          <w:highlight w:val="cyan"/>
        </w:rPr>
        <w:t xml:space="preserve"> and</w:t>
      </w:r>
      <w:r w:rsidRPr="0030264F">
        <w:rPr>
          <w:rStyle w:val="StyleUnderline"/>
        </w:rPr>
        <w:t xml:space="preserve"> its dialectical inverse, </w:t>
      </w:r>
      <w:r w:rsidRPr="006376E2">
        <w:rPr>
          <w:rStyle w:val="Emphasis"/>
          <w:highlight w:val="cyan"/>
        </w:rPr>
        <w:t>exclusion</w:t>
      </w:r>
      <w:r w:rsidRPr="006376E2">
        <w:rPr>
          <w:rStyle w:val="StyleUnderline"/>
          <w:highlight w:val="cyan"/>
        </w:rPr>
        <w:t>, for the</w:t>
      </w:r>
      <w:r w:rsidRPr="0030264F">
        <w:rPr>
          <w:rStyle w:val="StyleUnderline"/>
        </w:rPr>
        <w:t xml:space="preserve"> form and </w:t>
      </w:r>
      <w:r w:rsidRPr="006376E2">
        <w:rPr>
          <w:rStyle w:val="StyleUnderline"/>
          <w:highlight w:val="cyan"/>
        </w:rPr>
        <w:t>function of markets</w:t>
      </w:r>
      <w:r w:rsidRPr="0030264F">
        <w:rPr>
          <w:rStyle w:val="StyleUnderline"/>
        </w:rPr>
        <w:t xml:space="preserve"> in the first place</w:t>
      </w:r>
      <w:r w:rsidRPr="0030264F">
        <w:rPr>
          <w:sz w:val="16"/>
        </w:rPr>
        <w:t>.159</w:t>
      </w:r>
      <w:r>
        <w:rPr>
          <w:sz w:val="16"/>
        </w:rPr>
        <w:t xml:space="preserve"> </w:t>
      </w:r>
      <w:r w:rsidRPr="00562F79">
        <w:rPr>
          <w:sz w:val="16"/>
        </w:rPr>
        <w:t xml:space="preserve">Secondly, despite above-average union representation of disabled workers, </w:t>
      </w:r>
      <w:r w:rsidRPr="00562F79">
        <w:rPr>
          <w:rStyle w:val="StyleUnderline"/>
        </w:rPr>
        <w:t xml:space="preserve">the </w:t>
      </w:r>
      <w:r w:rsidRPr="006376E2">
        <w:rPr>
          <w:rStyle w:val="Emphasis"/>
          <w:highlight w:val="cyan"/>
        </w:rPr>
        <w:t>lack of effective collective bargaining mechanisms</w:t>
      </w:r>
      <w:r w:rsidRPr="00562F79">
        <w:rPr>
          <w:sz w:val="16"/>
        </w:rPr>
        <w:t xml:space="preserve"> in recent decades </w:t>
      </w:r>
      <w:r w:rsidRPr="00562F79">
        <w:rPr>
          <w:rStyle w:val="StyleUnderline"/>
        </w:rPr>
        <w:t xml:space="preserve">on matters of disability equality </w:t>
      </w:r>
      <w:r w:rsidRPr="006376E2">
        <w:rPr>
          <w:rStyle w:val="StyleUnderline"/>
          <w:highlight w:val="cyan"/>
        </w:rPr>
        <w:t xml:space="preserve">suggests a </w:t>
      </w:r>
      <w:r w:rsidRPr="006376E2">
        <w:rPr>
          <w:rStyle w:val="Emphasis"/>
          <w:highlight w:val="cyan"/>
        </w:rPr>
        <w:t>disinterested union sector</w:t>
      </w:r>
      <w:r w:rsidRPr="00562F79">
        <w:rPr>
          <w:rStyle w:val="StyleUnderline"/>
        </w:rPr>
        <w:t xml:space="preserve"> and a reduced bargaining power in the labour market</w:t>
      </w:r>
      <w:r w:rsidRPr="00562F79">
        <w:rPr>
          <w:sz w:val="16"/>
        </w:rPr>
        <w:t>.160 Diversity of ability differentiation means that collective bargaining potential is reduced, especially considering that different disabilities are likely to require different adjustments</w:t>
      </w:r>
      <w:r w:rsidRPr="00562F79">
        <w:rPr>
          <w:rStyle w:val="StyleUnderline"/>
        </w:rPr>
        <w:t xml:space="preserve">. A </w:t>
      </w:r>
      <w:r w:rsidRPr="006376E2">
        <w:rPr>
          <w:rStyle w:val="Emphasis"/>
          <w:highlight w:val="cyan"/>
        </w:rPr>
        <w:t>one-size-fits-all decommodification</w:t>
      </w:r>
      <w:r w:rsidRPr="00562F79">
        <w:rPr>
          <w:rStyle w:val="Emphasis"/>
        </w:rPr>
        <w:t xml:space="preserve"> strategy</w:t>
      </w:r>
      <w:r w:rsidRPr="00562F79">
        <w:rPr>
          <w:rStyle w:val="StyleUnderline"/>
        </w:rPr>
        <w:t xml:space="preserve"> challenging ability oppression </w:t>
      </w:r>
      <w:r w:rsidRPr="0030264F">
        <w:rPr>
          <w:rStyle w:val="StyleUnderline"/>
        </w:rPr>
        <w:t xml:space="preserve">is likely to </w:t>
      </w:r>
      <w:r w:rsidRPr="006376E2">
        <w:rPr>
          <w:rStyle w:val="StyleUnderline"/>
          <w:highlight w:val="cyan"/>
        </w:rPr>
        <w:t>satisfy no one</w:t>
      </w:r>
      <w:r w:rsidRPr="00562F79">
        <w:rPr>
          <w:rStyle w:val="StyleUnderline"/>
        </w:rPr>
        <w:t>.</w:t>
      </w:r>
      <w:r w:rsidRPr="00562F79">
        <w:rPr>
          <w:sz w:val="16"/>
        </w:rPr>
        <w:t xml:space="preserve"> Similarly, </w:t>
      </w:r>
      <w:r w:rsidRPr="0030264F">
        <w:rPr>
          <w:rStyle w:val="StyleUnderline"/>
        </w:rPr>
        <w:t xml:space="preserve">ongoing </w:t>
      </w:r>
      <w:r w:rsidRPr="006376E2">
        <w:rPr>
          <w:rStyle w:val="Emphasis"/>
          <w:highlight w:val="cyan"/>
        </w:rPr>
        <w:t>stigmatisation</w:t>
      </w:r>
      <w:r w:rsidRPr="00562F79">
        <w:rPr>
          <w:rStyle w:val="StyleUnderline"/>
        </w:rPr>
        <w:t xml:space="preserve"> of disabled people disincentivises workers from identifying or declaring themselves as ‘disabled’, </w:t>
      </w:r>
      <w:r w:rsidRPr="00562F79">
        <w:rPr>
          <w:sz w:val="16"/>
        </w:rPr>
        <w:t xml:space="preserve">further </w:t>
      </w:r>
      <w:r w:rsidRPr="006376E2">
        <w:rPr>
          <w:rStyle w:val="Emphasis"/>
          <w:highlight w:val="cyan"/>
        </w:rPr>
        <w:t>limiting</w:t>
      </w:r>
      <w:r w:rsidRPr="00562F79">
        <w:rPr>
          <w:rStyle w:val="Emphasis"/>
        </w:rPr>
        <w:t xml:space="preserve"> the </w:t>
      </w:r>
      <w:r w:rsidRPr="006376E2">
        <w:rPr>
          <w:rStyle w:val="Emphasis"/>
          <w:highlight w:val="cyan"/>
        </w:rPr>
        <w:t>pool of</w:t>
      </w:r>
      <w:r w:rsidRPr="00562F79">
        <w:rPr>
          <w:rStyle w:val="Emphasis"/>
        </w:rPr>
        <w:t xml:space="preserve"> potential collective </w:t>
      </w:r>
      <w:r w:rsidRPr="006376E2">
        <w:rPr>
          <w:rStyle w:val="Emphasis"/>
          <w:highlight w:val="cyan"/>
        </w:rPr>
        <w:t>bargainers</w:t>
      </w:r>
      <w:r w:rsidRPr="00562F79">
        <w:rPr>
          <w:sz w:val="16"/>
        </w:rPr>
        <w:t xml:space="preserve">. Additionally, </w:t>
      </w:r>
      <w:r w:rsidRPr="0030264F">
        <w:rPr>
          <w:rStyle w:val="Emphasis"/>
        </w:rPr>
        <w:t>membership organisations</w:t>
      </w:r>
      <w:r w:rsidRPr="0030264F">
        <w:rPr>
          <w:rStyle w:val="StyleUnderline"/>
        </w:rPr>
        <w:t xml:space="preserve"> like</w:t>
      </w:r>
      <w:r w:rsidRPr="00562F79">
        <w:rPr>
          <w:rStyle w:val="StyleUnderline"/>
        </w:rPr>
        <w:t xml:space="preserve"> trade </w:t>
      </w:r>
      <w:r w:rsidRPr="006376E2">
        <w:rPr>
          <w:rStyle w:val="StyleUnderline"/>
          <w:highlight w:val="cyan"/>
        </w:rPr>
        <w:t xml:space="preserve">unions </w:t>
      </w:r>
      <w:r w:rsidRPr="006376E2">
        <w:rPr>
          <w:rStyle w:val="Emphasis"/>
          <w:highlight w:val="cyan"/>
        </w:rPr>
        <w:t>cannot represent people who cannot be members</w:t>
      </w:r>
      <w:r w:rsidRPr="00562F79">
        <w:rPr>
          <w:rStyle w:val="StyleUnderline"/>
        </w:rPr>
        <w:t xml:space="preserve">, even if they would like to be. </w:t>
      </w:r>
      <w:r w:rsidRPr="0030264F">
        <w:rPr>
          <w:rStyle w:val="StyleUnderline"/>
        </w:rPr>
        <w:t xml:space="preserve">Thus, </w:t>
      </w:r>
      <w:r w:rsidRPr="006376E2">
        <w:rPr>
          <w:rStyle w:val="Emphasis"/>
          <w:highlight w:val="cyan"/>
        </w:rPr>
        <w:t>exclusion</w:t>
      </w:r>
      <w:r w:rsidRPr="006376E2">
        <w:rPr>
          <w:rStyle w:val="StyleUnderline"/>
          <w:highlight w:val="cyan"/>
        </w:rPr>
        <w:t xml:space="preserve"> from </w:t>
      </w:r>
      <w:r w:rsidRPr="0030264F">
        <w:rPr>
          <w:rStyle w:val="StyleUnderline"/>
        </w:rPr>
        <w:t xml:space="preserve">the </w:t>
      </w:r>
      <w:r w:rsidRPr="006376E2">
        <w:rPr>
          <w:rStyle w:val="StyleUnderline"/>
          <w:highlight w:val="cyan"/>
        </w:rPr>
        <w:t xml:space="preserve">labour </w:t>
      </w:r>
      <w:r w:rsidRPr="0030264F">
        <w:rPr>
          <w:rStyle w:val="StyleUnderline"/>
        </w:rPr>
        <w:t xml:space="preserve">market </w:t>
      </w:r>
      <w:r w:rsidRPr="006376E2">
        <w:rPr>
          <w:rStyle w:val="Emphasis"/>
          <w:highlight w:val="cyan"/>
        </w:rPr>
        <w:t xml:space="preserve">precludes </w:t>
      </w:r>
      <w:r w:rsidRPr="0030264F">
        <w:rPr>
          <w:rStyle w:val="Emphasis"/>
        </w:rPr>
        <w:t xml:space="preserve">organised </w:t>
      </w:r>
      <w:r w:rsidRPr="006376E2">
        <w:rPr>
          <w:rStyle w:val="Emphasis"/>
          <w:highlight w:val="cyan"/>
        </w:rPr>
        <w:t>collective bargaining against said exclusion</w:t>
      </w:r>
      <w:r w:rsidRPr="006376E2">
        <w:rPr>
          <w:rStyle w:val="StyleUnderline"/>
          <w:highlight w:val="cyan"/>
        </w:rPr>
        <w:t xml:space="preserve">, echoing </w:t>
      </w:r>
      <w:r w:rsidRPr="0030264F">
        <w:rPr>
          <w:rStyle w:val="StyleUnderline"/>
        </w:rPr>
        <w:t xml:space="preserve">a consensus </w:t>
      </w:r>
      <w:r w:rsidRPr="006376E2">
        <w:rPr>
          <w:rStyle w:val="StyleUnderline"/>
          <w:highlight w:val="cyan"/>
        </w:rPr>
        <w:t xml:space="preserve">that </w:t>
      </w:r>
      <w:r w:rsidRPr="0030264F">
        <w:rPr>
          <w:rStyle w:val="StyleUnderline"/>
        </w:rPr>
        <w:t xml:space="preserve">disability </w:t>
      </w:r>
      <w:r w:rsidRPr="006376E2">
        <w:rPr>
          <w:rStyle w:val="StyleUnderline"/>
          <w:highlight w:val="cyan"/>
        </w:rPr>
        <w:t xml:space="preserve">equality is </w:t>
      </w:r>
      <w:r w:rsidRPr="0030264F">
        <w:rPr>
          <w:rStyle w:val="Emphasis"/>
        </w:rPr>
        <w:t xml:space="preserve">more </w:t>
      </w:r>
      <w:r w:rsidRPr="006376E2">
        <w:rPr>
          <w:rStyle w:val="Emphasis"/>
          <w:highlight w:val="cyan"/>
        </w:rPr>
        <w:t>a matter for government policy than collective bargaining</w:t>
      </w:r>
      <w:r w:rsidRPr="00562F79">
        <w:rPr>
          <w:sz w:val="16"/>
        </w:rPr>
        <w:t>.161</w:t>
      </w:r>
      <w:r>
        <w:rPr>
          <w:sz w:val="16"/>
        </w:rPr>
        <w:t xml:space="preserve"> </w:t>
      </w:r>
      <w:r w:rsidRPr="00562F79">
        <w:rPr>
          <w:sz w:val="16"/>
        </w:rPr>
        <w:t xml:space="preserve">Thirdly, in contrast to other grounds of oppression, </w:t>
      </w:r>
      <w:r w:rsidRPr="0030264F">
        <w:rPr>
          <w:rStyle w:val="Emphasis"/>
        </w:rPr>
        <w:t>ability</w:t>
      </w:r>
      <w:r w:rsidRPr="0030264F">
        <w:rPr>
          <w:rStyle w:val="StyleUnderline"/>
        </w:rPr>
        <w:t xml:space="preserve"> has come to be a </w:t>
      </w:r>
      <w:r w:rsidRPr="0030264F">
        <w:rPr>
          <w:rStyle w:val="Emphasis"/>
        </w:rPr>
        <w:t>defining rationality determinative of the productive-reproductive boundary</w:t>
      </w:r>
      <w:r w:rsidRPr="0030264F">
        <w:rPr>
          <w:sz w:val="16"/>
        </w:rPr>
        <w:t xml:space="preserve">, and </w:t>
      </w:r>
      <w:r w:rsidRPr="0030264F">
        <w:rPr>
          <w:rStyle w:val="StyleUnderline"/>
        </w:rPr>
        <w:t>it</w:t>
      </w:r>
      <w:r w:rsidRPr="0030264F">
        <w:rPr>
          <w:sz w:val="16"/>
        </w:rPr>
        <w:t xml:space="preserve"> both </w:t>
      </w:r>
      <w:r w:rsidRPr="0030264F">
        <w:rPr>
          <w:rStyle w:val="StyleUnderline"/>
        </w:rPr>
        <w:t>structures and populates these locations of activity. The universally inclusive welfare state was premised on the basis of ‘industrial citizenship’, which</w:t>
      </w:r>
      <w:r w:rsidRPr="0030264F">
        <w:rPr>
          <w:sz w:val="16"/>
        </w:rPr>
        <w:t xml:space="preserve"> similarly </w:t>
      </w:r>
      <w:r w:rsidRPr="0030264F">
        <w:rPr>
          <w:rStyle w:val="StyleUnderline"/>
        </w:rPr>
        <w:t>presupposes labour market activity</w:t>
      </w:r>
      <w:r w:rsidRPr="0030264F">
        <w:rPr>
          <w:sz w:val="16"/>
        </w:rPr>
        <w:t xml:space="preserve">.162 While ableised labour markets presume labour mobility, </w:t>
      </w:r>
      <w:r w:rsidRPr="0030264F">
        <w:rPr>
          <w:rStyle w:val="StyleUnderline"/>
        </w:rPr>
        <w:t>this</w:t>
      </w:r>
      <w:r w:rsidRPr="0030264F">
        <w:rPr>
          <w:sz w:val="16"/>
        </w:rPr>
        <w:t xml:space="preserve"> ableist norm </w:t>
      </w:r>
      <w:r w:rsidRPr="0030264F">
        <w:rPr>
          <w:rStyle w:val="StyleUnderline"/>
        </w:rPr>
        <w:t>is</w:t>
      </w:r>
      <w:r w:rsidRPr="0030264F">
        <w:rPr>
          <w:sz w:val="16"/>
        </w:rPr>
        <w:t xml:space="preserve"> frequently </w:t>
      </w:r>
      <w:r w:rsidRPr="0030264F">
        <w:rPr>
          <w:rStyle w:val="StyleUnderline"/>
        </w:rPr>
        <w:t>unattainable to those with non-standard bodies, minds and energy</w:t>
      </w:r>
      <w:r w:rsidRPr="0030264F">
        <w:rPr>
          <w:sz w:val="16"/>
        </w:rPr>
        <w:t xml:space="preserve">, especially in a wider, relational context of relying on (local) healthcare provision and (local) family and community support. </w:t>
      </w:r>
      <w:r w:rsidRPr="0030264F">
        <w:rPr>
          <w:rStyle w:val="StyleUnderline"/>
        </w:rPr>
        <w:t xml:space="preserve">This creates a </w:t>
      </w:r>
      <w:r w:rsidRPr="0030264F">
        <w:rPr>
          <w:rStyle w:val="Emphasis"/>
        </w:rPr>
        <w:t>double-bind</w:t>
      </w:r>
      <w:r w:rsidRPr="0030264F">
        <w:rPr>
          <w:rStyle w:val="StyleUnderline"/>
        </w:rPr>
        <w:t xml:space="preserve"> for disabled workers who</w:t>
      </w:r>
      <w:r w:rsidRPr="0030264F">
        <w:rPr>
          <w:sz w:val="16"/>
        </w:rPr>
        <w:t xml:space="preserve">, facing increased barriers to labour market participation in the first place, </w:t>
      </w:r>
      <w:r w:rsidRPr="0030264F">
        <w:rPr>
          <w:rStyle w:val="StyleUnderline"/>
        </w:rPr>
        <w:t>are less likely to enjoy the ‘</w:t>
      </w:r>
      <w:r w:rsidRPr="0030264F">
        <w:rPr>
          <w:rStyle w:val="Emphasis"/>
        </w:rPr>
        <w:t>industrial citizenship’</w:t>
      </w:r>
      <w:r w:rsidRPr="0030264F">
        <w:rPr>
          <w:rStyle w:val="StyleUnderline"/>
        </w:rPr>
        <w:t xml:space="preserve"> and social welfare protections that derive from labour market participation and are thus similarly excluded from the possibilities of labour migration</w:t>
      </w:r>
      <w:r w:rsidRPr="0030264F">
        <w:rPr>
          <w:sz w:val="16"/>
        </w:rPr>
        <w:t>, be</w:t>
      </w:r>
      <w:r w:rsidRPr="00562F79">
        <w:rPr>
          <w:sz w:val="16"/>
        </w:rPr>
        <w:t xml:space="preserve"> this local or global.</w:t>
      </w:r>
      <w:r>
        <w:rPr>
          <w:sz w:val="16"/>
        </w:rPr>
        <w:t xml:space="preserve"> </w:t>
      </w:r>
      <w:r w:rsidRPr="00562F79">
        <w:rPr>
          <w:sz w:val="16"/>
        </w:rPr>
        <w:t xml:space="preserve">These examples of how and why </w:t>
      </w:r>
      <w:r w:rsidRPr="00562F79">
        <w:rPr>
          <w:rStyle w:val="StyleUnderline"/>
        </w:rPr>
        <w:t xml:space="preserve">ability capitalism might require different decommodification strategies hint at a wider issue which is the possibility that </w:t>
      </w:r>
      <w:r w:rsidRPr="006376E2">
        <w:rPr>
          <w:rStyle w:val="Emphasis"/>
          <w:highlight w:val="cyan"/>
        </w:rPr>
        <w:t xml:space="preserve">in mitigating ability capitalism through shifts in market norms, we </w:t>
      </w:r>
      <w:r w:rsidRPr="0030264F">
        <w:rPr>
          <w:rStyle w:val="Emphasis"/>
        </w:rPr>
        <w:t xml:space="preserve">can </w:t>
      </w:r>
      <w:r w:rsidRPr="006376E2">
        <w:rPr>
          <w:rStyle w:val="Emphasis"/>
          <w:highlight w:val="cyan"/>
        </w:rPr>
        <w:t xml:space="preserve">end up entrenching </w:t>
      </w:r>
      <w:r w:rsidRPr="0030264F">
        <w:rPr>
          <w:rStyle w:val="Emphasis"/>
        </w:rPr>
        <w:t xml:space="preserve">or exacerbating other forms of </w:t>
      </w:r>
      <w:r w:rsidRPr="006376E2">
        <w:rPr>
          <w:rStyle w:val="Emphasis"/>
          <w:highlight w:val="cyan"/>
        </w:rPr>
        <w:t>oppression</w:t>
      </w:r>
      <w:r w:rsidRPr="00562F79">
        <w:rPr>
          <w:rStyle w:val="StyleUnderline"/>
        </w:rPr>
        <w:t>.</w:t>
      </w:r>
      <w:r w:rsidRPr="00562F79">
        <w:rPr>
          <w:sz w:val="16"/>
        </w:rPr>
        <w:t xml:space="preserve"> Ashiagbor notes that numerous factors such as the ‘privatisation of the public sector, deindustrialisation, the rise of the service economy, decline in trade union power and employer preferences for flexibility’ have meant </w:t>
      </w:r>
      <w:r w:rsidRPr="00562F79">
        <w:rPr>
          <w:rStyle w:val="StyleUnderline"/>
        </w:rPr>
        <w:t>shifts away from the standard employment relationship that the law is able to ‘see’, pushing racialised workers to the periphery of the labour market where they are disadvantaged.</w:t>
      </w:r>
      <w:r w:rsidRPr="00562F79">
        <w:rPr>
          <w:sz w:val="16"/>
        </w:rPr>
        <w:t xml:space="preserve">163 Yet while labour market flexibility has produced detrimental effects for racialised workers, certain forms of flexibility have proven to be radically effective inclusion mechanisms for those with ability differences, as The Great Prefiguration illustrated.164 </w:t>
      </w:r>
      <w:r w:rsidRPr="0030264F">
        <w:rPr>
          <w:rStyle w:val="StyleUnderline"/>
        </w:rPr>
        <w:t>This underscores</w:t>
      </w:r>
      <w:r w:rsidRPr="0030264F">
        <w:rPr>
          <w:sz w:val="16"/>
        </w:rPr>
        <w:t xml:space="preserve"> the</w:t>
      </w:r>
      <w:r w:rsidRPr="00562F79">
        <w:rPr>
          <w:sz w:val="16"/>
        </w:rPr>
        <w:t xml:space="preserve"> </w:t>
      </w:r>
      <w:r w:rsidRPr="006376E2">
        <w:rPr>
          <w:rStyle w:val="StyleUnderline"/>
          <w:highlight w:val="cyan"/>
        </w:rPr>
        <w:t>need for</w:t>
      </w:r>
      <w:r w:rsidRPr="00562F79">
        <w:rPr>
          <w:rStyle w:val="StyleUnderline"/>
        </w:rPr>
        <w:t xml:space="preserve"> an </w:t>
      </w:r>
      <w:r w:rsidRPr="006376E2">
        <w:rPr>
          <w:rStyle w:val="Emphasis"/>
          <w:highlight w:val="cyan"/>
        </w:rPr>
        <w:t>intersectional analysis</w:t>
      </w:r>
      <w:r w:rsidRPr="006376E2">
        <w:rPr>
          <w:rStyle w:val="StyleUnderline"/>
          <w:highlight w:val="cyan"/>
        </w:rPr>
        <w:t xml:space="preserve"> of </w:t>
      </w:r>
      <w:r w:rsidRPr="0030264F">
        <w:rPr>
          <w:rStyle w:val="StyleUnderline"/>
        </w:rPr>
        <w:t xml:space="preserve">labour market </w:t>
      </w:r>
      <w:r w:rsidRPr="006376E2">
        <w:rPr>
          <w:rStyle w:val="StyleUnderline"/>
          <w:highlight w:val="cyan"/>
        </w:rPr>
        <w:t>inclusion that</w:t>
      </w:r>
      <w:r w:rsidRPr="00562F79">
        <w:rPr>
          <w:rStyle w:val="StyleUnderline"/>
        </w:rPr>
        <w:t xml:space="preserve"> can </w:t>
      </w:r>
      <w:r w:rsidRPr="006376E2">
        <w:rPr>
          <w:rStyle w:val="StyleUnderline"/>
          <w:highlight w:val="cyan"/>
        </w:rPr>
        <w:t>understand</w:t>
      </w:r>
      <w:r w:rsidRPr="00562F79">
        <w:rPr>
          <w:rStyle w:val="StyleUnderline"/>
        </w:rPr>
        <w:t xml:space="preserve"> the complex </w:t>
      </w:r>
      <w:r w:rsidRPr="0030264F">
        <w:rPr>
          <w:rStyle w:val="StyleUnderline"/>
        </w:rPr>
        <w:t xml:space="preserve">ways in which </w:t>
      </w:r>
      <w:r w:rsidRPr="006376E2">
        <w:rPr>
          <w:rStyle w:val="StyleUnderline"/>
          <w:highlight w:val="cyan"/>
        </w:rPr>
        <w:t xml:space="preserve">labour markets </w:t>
      </w:r>
      <w:r w:rsidRPr="006376E2">
        <w:rPr>
          <w:rStyle w:val="Emphasis"/>
          <w:highlight w:val="cyan"/>
        </w:rPr>
        <w:t xml:space="preserve">re-co-construct </w:t>
      </w:r>
      <w:r w:rsidRPr="0030264F">
        <w:rPr>
          <w:rStyle w:val="Emphasis"/>
        </w:rPr>
        <w:t xml:space="preserve">myriad forms of </w:t>
      </w:r>
      <w:r w:rsidRPr="006376E2">
        <w:rPr>
          <w:rStyle w:val="Emphasis"/>
          <w:highlight w:val="cyan"/>
        </w:rPr>
        <w:t>oppression</w:t>
      </w:r>
      <w:r w:rsidRPr="00562F79">
        <w:rPr>
          <w:rStyle w:val="StyleUnderline"/>
        </w:rPr>
        <w:t>,</w:t>
      </w:r>
      <w:r w:rsidRPr="00562F79">
        <w:rPr>
          <w:sz w:val="16"/>
        </w:rPr>
        <w:t xml:space="preserve"> whether on grounds of gender, race, ability, class, sexual orientation, or others.165</w:t>
      </w:r>
    </w:p>
    <w:p w14:paraId="03A8FE95" w14:textId="77777777" w:rsidR="008D6AE6" w:rsidRPr="00E55D20" w:rsidRDefault="008D6AE6" w:rsidP="008D6AE6"/>
    <w:p w14:paraId="053B4FB5" w14:textId="77777777" w:rsidR="008D6AE6" w:rsidRDefault="008D6AE6" w:rsidP="008D6AE6"/>
    <w:p w14:paraId="4F6D815C" w14:textId="77777777" w:rsidR="008D6AE6" w:rsidRPr="00B63F83" w:rsidRDefault="008D6AE6" w:rsidP="008D6AE6">
      <w:pPr>
        <w:pStyle w:val="Heading4"/>
      </w:pPr>
      <w:r>
        <w:t xml:space="preserve">The alternative is </w:t>
      </w:r>
      <w:r>
        <w:rPr>
          <w:i/>
          <w:iCs w:val="0"/>
        </w:rPr>
        <w:t>abolition of disablement capitalism</w:t>
      </w:r>
      <w:r>
        <w:t xml:space="preserve"> through </w:t>
      </w:r>
      <w:r>
        <w:rPr>
          <w:i/>
          <w:iCs w:val="0"/>
        </w:rPr>
        <w:t>interdependent living</w:t>
      </w:r>
      <w:r>
        <w:t xml:space="preserve">. </w:t>
      </w:r>
    </w:p>
    <w:p w14:paraId="37087F83" w14:textId="77777777" w:rsidR="008D6AE6" w:rsidRPr="00B63F83" w:rsidRDefault="008D6AE6" w:rsidP="008D6AE6">
      <w:r>
        <w:t xml:space="preserve">Ioana Cerasella </w:t>
      </w:r>
      <w:r w:rsidRPr="006D1D2D">
        <w:rPr>
          <w:rStyle w:val="Style13ptBold"/>
        </w:rPr>
        <w:t>Chis 24</w:t>
      </w:r>
      <w:r>
        <w:t xml:space="preserve"> – social researcher and teacher currently based at the University of Birmingham, “</w:t>
      </w:r>
      <w:r w:rsidRPr="006D1D2D">
        <w:t>Theorising Disablement through the Collective-Materialist Approach to Disabling Capitalism</w:t>
      </w:r>
      <w:r>
        <w:t xml:space="preserve">,” International Journal of Disability and Social Justice, </w:t>
      </w:r>
      <w:r w:rsidRPr="006D1D2D">
        <w:t>https://www.scienceopen.com/hosted-document?doi=10.13169/intljofdissocjus.4.2.0025</w:t>
      </w:r>
      <w:r>
        <w:t>, September 20, 2024, accessed June 12, 2025, -ekh-</w:t>
      </w:r>
    </w:p>
    <w:p w14:paraId="5C109D4E" w14:textId="77777777" w:rsidR="008D6AE6" w:rsidRPr="006220D3" w:rsidRDefault="008D6AE6" w:rsidP="008D6AE6">
      <w:pPr>
        <w:rPr>
          <w:rStyle w:val="StyleUnderline"/>
        </w:rPr>
      </w:pPr>
      <w:r w:rsidRPr="006220D3">
        <w:rPr>
          <w:sz w:val="16"/>
        </w:rPr>
        <w:t xml:space="preserve">Most social research is laden with productivist assumptions (Abberley, 1996, 2002). The state and capital owners have framed waged </w:t>
      </w:r>
      <w:r w:rsidRPr="00E613B8">
        <w:rPr>
          <w:sz w:val="16"/>
        </w:rPr>
        <w:t xml:space="preserve">work as a marker of morality, worth, and a good in itself, work compulsion being a rite of passage for (mere) survival and a coping mechanism to extract meaning out of meaningless jobs (Fleming, 2015, 23; Graeber, 2015). In capitalist society, </w:t>
      </w:r>
      <w:r w:rsidRPr="00E613B8">
        <w:rPr>
          <w:rStyle w:val="StyleUnderline"/>
        </w:rPr>
        <w:t xml:space="preserve">autonomy is replaced by the </w:t>
      </w:r>
      <w:r w:rsidRPr="00E613B8">
        <w:rPr>
          <w:rStyle w:val="Emphasis"/>
        </w:rPr>
        <w:t xml:space="preserve">ideology of “self-sufficiency” </w:t>
      </w:r>
      <w:r w:rsidRPr="00E613B8">
        <w:rPr>
          <w:rStyle w:val="StyleUnderline"/>
        </w:rPr>
        <w:t xml:space="preserve">and the </w:t>
      </w:r>
      <w:r w:rsidRPr="00E613B8">
        <w:rPr>
          <w:rStyle w:val="Emphasis"/>
        </w:rPr>
        <w:t>capacity/access</w:t>
      </w:r>
      <w:r w:rsidRPr="00E613B8">
        <w:rPr>
          <w:rStyle w:val="StyleUnderline"/>
        </w:rPr>
        <w:t xml:space="preserve"> to </w:t>
      </w:r>
      <w:r w:rsidRPr="00E613B8">
        <w:rPr>
          <w:rStyle w:val="Emphasis"/>
        </w:rPr>
        <w:t>undertake</w:t>
      </w:r>
      <w:r w:rsidRPr="00E613B8">
        <w:rPr>
          <w:rStyle w:val="StyleUnderline"/>
        </w:rPr>
        <w:t xml:space="preserve"> particular types of </w:t>
      </w:r>
      <w:r w:rsidRPr="00E613B8">
        <w:rPr>
          <w:rStyle w:val="Emphasis"/>
        </w:rPr>
        <w:t>work</w:t>
      </w:r>
      <w:r w:rsidRPr="00E613B8">
        <w:rPr>
          <w:sz w:val="16"/>
        </w:rPr>
        <w:t xml:space="preserve">. For instance, </w:t>
      </w:r>
      <w:r w:rsidRPr="00E613B8">
        <w:rPr>
          <w:rStyle w:val="StyleUnderline"/>
        </w:rPr>
        <w:t>Work Capability Assessments test</w:t>
      </w:r>
      <w:r w:rsidRPr="00E613B8">
        <w:rPr>
          <w:sz w:val="16"/>
        </w:rPr>
        <w:t xml:space="preserve"> </w:t>
      </w:r>
      <w:r w:rsidRPr="00E613B8">
        <w:rPr>
          <w:rStyle w:val="StyleUnderline"/>
        </w:rPr>
        <w:t>the</w:t>
      </w:r>
      <w:r w:rsidRPr="00E613B8">
        <w:rPr>
          <w:sz w:val="16"/>
        </w:rPr>
        <w:t xml:space="preserve"> subjects of </w:t>
      </w:r>
      <w:r w:rsidRPr="00E613B8">
        <w:rPr>
          <w:rStyle w:val="StyleUnderline"/>
        </w:rPr>
        <w:t>disablement’s individual “functioning capacities”, with those who pass the state-imposed threshold of functionality being deemed “independent”.</w:t>
      </w:r>
      <w:r w:rsidRPr="00E613B8">
        <w:rPr>
          <w:sz w:val="16"/>
        </w:rPr>
        <w:t xml:space="preserve"> Ho</w:t>
      </w:r>
      <w:r w:rsidRPr="006220D3">
        <w:rPr>
          <w:sz w:val="16"/>
        </w:rPr>
        <w:t>wever, the level of autonomy granted within the workplaces where job seekers are forced to join is not assessed. Conversely</w:t>
      </w:r>
      <w:r w:rsidRPr="00E613B8">
        <w:rPr>
          <w:sz w:val="16"/>
        </w:rPr>
        <w:t xml:space="preserve">, </w:t>
      </w:r>
      <w:r w:rsidRPr="00E613B8">
        <w:rPr>
          <w:rStyle w:val="StyleUnderline"/>
        </w:rPr>
        <w:t xml:space="preserve">when the subjects of disablement cannot access waged work, they face </w:t>
      </w:r>
      <w:r w:rsidRPr="00E613B8">
        <w:rPr>
          <w:rStyle w:val="Emphasis"/>
        </w:rPr>
        <w:t>nudges</w:t>
      </w:r>
      <w:r w:rsidRPr="00E613B8">
        <w:rPr>
          <w:rStyle w:val="StyleUnderline"/>
        </w:rPr>
        <w:t xml:space="preserve">, </w:t>
      </w:r>
      <w:r w:rsidRPr="00E613B8">
        <w:rPr>
          <w:rStyle w:val="Emphasis"/>
        </w:rPr>
        <w:t>monitoring</w:t>
      </w:r>
      <w:r w:rsidRPr="00E613B8">
        <w:rPr>
          <w:rStyle w:val="StyleUnderline"/>
        </w:rPr>
        <w:t xml:space="preserve">, </w:t>
      </w:r>
      <w:r w:rsidRPr="00E613B8">
        <w:rPr>
          <w:rStyle w:val="Emphasis"/>
        </w:rPr>
        <w:t>financial sanctions</w:t>
      </w:r>
      <w:r w:rsidRPr="00E613B8">
        <w:rPr>
          <w:rStyle w:val="StyleUnderline"/>
        </w:rPr>
        <w:t xml:space="preserve"> and </w:t>
      </w:r>
      <w:r w:rsidRPr="00E613B8">
        <w:rPr>
          <w:rStyle w:val="Emphasis"/>
        </w:rPr>
        <w:t>destitution</w:t>
      </w:r>
      <w:r w:rsidRPr="00E613B8">
        <w:rPr>
          <w:sz w:val="16"/>
        </w:rPr>
        <w:t xml:space="preserve"> (Geffen, 2013, 51). Relatedly, whilst undertaking research for this paper</w:t>
      </w:r>
      <w:r w:rsidRPr="006220D3">
        <w:rPr>
          <w:sz w:val="16"/>
        </w:rPr>
        <w:t>, the following news story was published:</w:t>
      </w:r>
      <w:r>
        <w:rPr>
          <w:sz w:val="16"/>
        </w:rPr>
        <w:t xml:space="preserve"> </w:t>
      </w:r>
      <w:r w:rsidRPr="006220D3">
        <w:rPr>
          <w:sz w:val="16"/>
        </w:rPr>
        <w:t>A coroner has called on the Department for Work and Pensions (DWP) to make urgent policy changes, after it ordered a disabled patient to leave hospital to visit a job centre despite being severely ill with a condition that later killed him (Pring, 2022).</w:t>
      </w:r>
      <w:r>
        <w:rPr>
          <w:sz w:val="16"/>
        </w:rPr>
        <w:t xml:space="preserve"> </w:t>
      </w:r>
      <w:r w:rsidRPr="0097300C">
        <w:rPr>
          <w:rStyle w:val="StyleUnderline"/>
        </w:rPr>
        <w:t xml:space="preserve">The principle of </w:t>
      </w:r>
      <w:r w:rsidRPr="006376E2">
        <w:rPr>
          <w:rStyle w:val="StyleUnderline"/>
          <w:highlight w:val="cyan"/>
        </w:rPr>
        <w:t>Independent Living</w:t>
      </w:r>
      <w:r w:rsidRPr="0097300C">
        <w:rPr>
          <w:rStyle w:val="StyleUnderline"/>
        </w:rPr>
        <w:t xml:space="preserve"> has been a core demand of the Disabled People’s Movement</w:t>
      </w:r>
      <w:r w:rsidRPr="006220D3">
        <w:rPr>
          <w:sz w:val="16"/>
        </w:rPr>
        <w:t xml:space="preserve"> in the UK since the 1970s – </w:t>
      </w:r>
      <w:r w:rsidRPr="006376E2">
        <w:rPr>
          <w:rStyle w:val="StyleUnderline"/>
          <w:highlight w:val="cyan"/>
        </w:rPr>
        <w:t>centring</w:t>
      </w:r>
      <w:r w:rsidRPr="006220D3">
        <w:rPr>
          <w:sz w:val="16"/>
        </w:rPr>
        <w:t xml:space="preserve"> the </w:t>
      </w:r>
      <w:r w:rsidRPr="006376E2">
        <w:rPr>
          <w:rStyle w:val="Emphasis"/>
          <w:highlight w:val="cyan"/>
        </w:rPr>
        <w:t>self-determination</w:t>
      </w:r>
      <w:r w:rsidRPr="0097300C">
        <w:rPr>
          <w:rStyle w:val="StyleUnderline"/>
        </w:rPr>
        <w:t xml:space="preserve"> </w:t>
      </w:r>
      <w:r w:rsidRPr="006376E2">
        <w:rPr>
          <w:rStyle w:val="StyleUnderline"/>
          <w:highlight w:val="cyan"/>
        </w:rPr>
        <w:t>of</w:t>
      </w:r>
      <w:r w:rsidRPr="0097300C">
        <w:rPr>
          <w:rStyle w:val="StyleUnderline"/>
        </w:rPr>
        <w:t xml:space="preserve"> the </w:t>
      </w:r>
      <w:r w:rsidRPr="006376E2">
        <w:rPr>
          <w:rStyle w:val="StyleUnderline"/>
          <w:highlight w:val="cyan"/>
        </w:rPr>
        <w:t>subjects of disablement</w:t>
      </w:r>
      <w:r w:rsidRPr="0097300C">
        <w:rPr>
          <w:rStyle w:val="StyleUnderline"/>
        </w:rPr>
        <w:t xml:space="preserve">, active </w:t>
      </w:r>
      <w:r w:rsidRPr="006376E2">
        <w:rPr>
          <w:rStyle w:val="StyleUnderline"/>
          <w:highlight w:val="cyan"/>
        </w:rPr>
        <w:t>participation</w:t>
      </w:r>
      <w:r w:rsidRPr="0097300C">
        <w:rPr>
          <w:rStyle w:val="StyleUnderline"/>
        </w:rPr>
        <w:t xml:space="preserve"> within society, </w:t>
      </w:r>
      <w:r w:rsidRPr="006376E2">
        <w:rPr>
          <w:rStyle w:val="StyleUnderline"/>
          <w:highlight w:val="cyan"/>
        </w:rPr>
        <w:t>choice, and control over what happens to</w:t>
      </w:r>
      <w:r w:rsidRPr="0097300C">
        <w:rPr>
          <w:rStyle w:val="StyleUnderline"/>
        </w:rPr>
        <w:t xml:space="preserve"> and around </w:t>
      </w:r>
      <w:r w:rsidRPr="006376E2">
        <w:rPr>
          <w:rStyle w:val="StyleUnderline"/>
          <w:highlight w:val="cyan"/>
        </w:rPr>
        <w:t>them</w:t>
      </w:r>
      <w:r w:rsidRPr="0097300C">
        <w:rPr>
          <w:rStyle w:val="StyleUnderline"/>
        </w:rPr>
        <w:t xml:space="preserve"> “at work and as members of the community”</w:t>
      </w:r>
      <w:r w:rsidRPr="006220D3">
        <w:rPr>
          <w:sz w:val="16"/>
        </w:rPr>
        <w:t xml:space="preserve"> (Barnes &amp; Mercer, 2006, 33). Through Independent Living (and institutionally through Centres for Independent Living, run by and for the subjects of disablement), disabled activists </w:t>
      </w:r>
      <w:r w:rsidRPr="0097300C">
        <w:rPr>
          <w:rStyle w:val="StyleUnderline"/>
        </w:rPr>
        <w:t xml:space="preserve">focus on the opportunity </w:t>
      </w:r>
      <w:r w:rsidRPr="006376E2">
        <w:rPr>
          <w:rStyle w:val="StyleUnderline"/>
          <w:highlight w:val="cyan"/>
        </w:rPr>
        <w:t xml:space="preserve">to </w:t>
      </w:r>
      <w:r w:rsidRPr="006376E2">
        <w:rPr>
          <w:rStyle w:val="Emphasis"/>
          <w:highlight w:val="cyan"/>
        </w:rPr>
        <w:t>dismantle</w:t>
      </w:r>
      <w:r w:rsidRPr="006376E2">
        <w:rPr>
          <w:rStyle w:val="StyleUnderline"/>
          <w:highlight w:val="cyan"/>
        </w:rPr>
        <w:t xml:space="preserve"> the cycle of </w:t>
      </w:r>
      <w:r w:rsidRPr="006376E2">
        <w:rPr>
          <w:rStyle w:val="Emphasis"/>
          <w:highlight w:val="cyan"/>
        </w:rPr>
        <w:t>imposed “dependency”</w:t>
      </w:r>
      <w:r w:rsidRPr="006220D3">
        <w:rPr>
          <w:sz w:val="16"/>
        </w:rPr>
        <w:t xml:space="preserve"> (Morris, 1993, 27–28; Oliver, 2009, 103) </w:t>
      </w:r>
      <w:r w:rsidRPr="006376E2">
        <w:rPr>
          <w:rStyle w:val="StyleUnderline"/>
          <w:highlight w:val="cyan"/>
        </w:rPr>
        <w:t>and</w:t>
      </w:r>
      <w:r w:rsidRPr="0097300C">
        <w:rPr>
          <w:rStyle w:val="StyleUnderline"/>
        </w:rPr>
        <w:t xml:space="preserve"> the </w:t>
      </w:r>
      <w:r w:rsidRPr="006376E2">
        <w:rPr>
          <w:rStyle w:val="StyleUnderline"/>
          <w:highlight w:val="cyan"/>
        </w:rPr>
        <w:t>top-down conceptualisation of “care”</w:t>
      </w:r>
      <w:r w:rsidRPr="006220D3">
        <w:rPr>
          <w:sz w:val="16"/>
        </w:rPr>
        <w:t xml:space="preserve"> (Woodin, 2014, 249; Chis, 2024) that exist through current state-shaped infrastructures. Independent Living </w:t>
      </w:r>
      <w:r w:rsidRPr="000A6149">
        <w:rPr>
          <w:rStyle w:val="StyleUnderline"/>
        </w:rPr>
        <w:t>entails “disabled people having adequate support to be able to live and participate in the community with the same opportunities as non-disabled people and with choice and control over that support”</w:t>
      </w:r>
      <w:r w:rsidRPr="006220D3">
        <w:rPr>
          <w:sz w:val="16"/>
        </w:rPr>
        <w:t xml:space="preserve"> (Clifford, 2020, 54).</w:t>
      </w:r>
      <w:r>
        <w:rPr>
          <w:sz w:val="16"/>
        </w:rPr>
        <w:t xml:space="preserve"> </w:t>
      </w:r>
      <w:r w:rsidRPr="006220D3">
        <w:rPr>
          <w:sz w:val="16"/>
        </w:rPr>
        <w:t xml:space="preserve">The “independence” invoked in the Disabled People’s Movement’s proposals for </w:t>
      </w:r>
      <w:r w:rsidRPr="006376E2">
        <w:rPr>
          <w:rStyle w:val="Emphasis"/>
          <w:highlight w:val="cyan"/>
        </w:rPr>
        <w:t>Independent Living</w:t>
      </w:r>
      <w:r w:rsidRPr="006376E2">
        <w:rPr>
          <w:rStyle w:val="StyleUnderline"/>
          <w:highlight w:val="cyan"/>
        </w:rPr>
        <w:t xml:space="preserve"> </w:t>
      </w:r>
      <w:r w:rsidRPr="0048226A">
        <w:rPr>
          <w:rStyle w:val="StyleUnderline"/>
        </w:rPr>
        <w:t>is not</w:t>
      </w:r>
      <w:r w:rsidRPr="0048226A">
        <w:rPr>
          <w:sz w:val="16"/>
        </w:rPr>
        <w:t xml:space="preserve"> of </w:t>
      </w:r>
      <w:r w:rsidRPr="0048226A">
        <w:rPr>
          <w:rStyle w:val="StyleUnderline"/>
        </w:rPr>
        <w:t>the neoliberal kind</w:t>
      </w:r>
      <w:r w:rsidRPr="006220D3">
        <w:rPr>
          <w:sz w:val="16"/>
        </w:rPr>
        <w:t xml:space="preserve">. It </w:t>
      </w:r>
      <w:r w:rsidRPr="006376E2">
        <w:rPr>
          <w:rStyle w:val="StyleUnderline"/>
          <w:highlight w:val="cyan"/>
        </w:rPr>
        <w:t>refers to people</w:t>
      </w:r>
      <w:r w:rsidRPr="000A6149">
        <w:rPr>
          <w:rStyle w:val="StyleUnderline"/>
        </w:rPr>
        <w:t xml:space="preserve"> currently </w:t>
      </w:r>
      <w:r w:rsidRPr="006376E2">
        <w:rPr>
          <w:rStyle w:val="StyleUnderline"/>
          <w:highlight w:val="cyan"/>
        </w:rPr>
        <w:t>subjected to disablement having</w:t>
      </w:r>
      <w:r w:rsidRPr="000A6149">
        <w:rPr>
          <w:rStyle w:val="StyleUnderline"/>
        </w:rPr>
        <w:t xml:space="preserve"> “</w:t>
      </w:r>
      <w:r w:rsidRPr="006376E2">
        <w:rPr>
          <w:rStyle w:val="StyleUnderline"/>
          <w:highlight w:val="cyan"/>
        </w:rPr>
        <w:t xml:space="preserve">control </w:t>
      </w:r>
      <w:r w:rsidRPr="0048226A">
        <w:rPr>
          <w:rStyle w:val="StyleUnderline"/>
        </w:rPr>
        <w:t>over their lives</w:t>
      </w:r>
      <w:r w:rsidRPr="000A6149">
        <w:rPr>
          <w:rStyle w:val="StyleUnderline"/>
        </w:rPr>
        <w:t>, not that they perform every task themselves”</w:t>
      </w:r>
      <w:r w:rsidRPr="006220D3">
        <w:rPr>
          <w:sz w:val="16"/>
        </w:rPr>
        <w:t xml:space="preserve"> (Brisenden in Morris, 1993, 23; Barnes &amp; Mercer, 2006, 33; Morris, 2001, 8). It could equally be </w:t>
      </w:r>
      <w:r w:rsidRPr="000A6149">
        <w:rPr>
          <w:rStyle w:val="StyleUnderline"/>
        </w:rPr>
        <w:t>called “</w:t>
      </w:r>
      <w:r w:rsidRPr="006376E2">
        <w:rPr>
          <w:rStyle w:val="Emphasis"/>
          <w:highlight w:val="cyan"/>
        </w:rPr>
        <w:t>interdependence</w:t>
      </w:r>
      <w:r w:rsidRPr="000A6149">
        <w:rPr>
          <w:rStyle w:val="StyleUnderline"/>
        </w:rPr>
        <w:t>”</w:t>
      </w:r>
      <w:r w:rsidRPr="006220D3">
        <w:rPr>
          <w:sz w:val="16"/>
        </w:rPr>
        <w:t xml:space="preserve"> instead (Barnes, 2000, 452). Indeed, </w:t>
      </w:r>
      <w:r w:rsidRPr="000A6149">
        <w:rPr>
          <w:rStyle w:val="StyleUnderline"/>
        </w:rPr>
        <w:t xml:space="preserve">independence </w:t>
      </w:r>
      <w:r w:rsidRPr="0048226A">
        <w:rPr>
          <w:rStyle w:val="StyleUnderline"/>
        </w:rPr>
        <w:t>as self-sufficiency is “neither possible nor desirable”, and it frames the social category “disabled” as lacking and dependent</w:t>
      </w:r>
      <w:r w:rsidRPr="0048226A">
        <w:rPr>
          <w:sz w:val="16"/>
        </w:rPr>
        <w:t xml:space="preserve"> (Graby, 2015; Woodin, 2014, 248). </w:t>
      </w:r>
      <w:r w:rsidRPr="0048226A">
        <w:rPr>
          <w:rStyle w:val="StyleUnderline"/>
        </w:rPr>
        <w:t>Autonomy</w:t>
      </w:r>
      <w:r w:rsidRPr="0048226A">
        <w:rPr>
          <w:sz w:val="16"/>
        </w:rPr>
        <w:t xml:space="preserve">, on the other hand, </w:t>
      </w:r>
      <w:r w:rsidRPr="0048226A">
        <w:rPr>
          <w:rStyle w:val="StyleUnderline"/>
        </w:rPr>
        <w:t>is</w:t>
      </w:r>
      <w:r w:rsidRPr="0048226A">
        <w:rPr>
          <w:sz w:val="16"/>
        </w:rPr>
        <w:t xml:space="preserve"> – put simply – </w:t>
      </w:r>
      <w:r w:rsidRPr="0048226A">
        <w:rPr>
          <w:rStyle w:val="Emphasis"/>
        </w:rPr>
        <w:t>independence from capitalist processes, time, and control</w:t>
      </w:r>
      <w:r w:rsidRPr="0048226A">
        <w:rPr>
          <w:sz w:val="16"/>
        </w:rPr>
        <w:t xml:space="preserve"> (Berardi, 2009, 75–76). Taking the ideas above into consideration, Graby and Greenstein (2016) propose the term </w:t>
      </w:r>
      <w:r w:rsidRPr="0048226A">
        <w:rPr>
          <w:rStyle w:val="StyleUnderline"/>
        </w:rPr>
        <w:t>“relational autonomy” due to its genealogical meaning that centres self-determination</w:t>
      </w:r>
      <w:r w:rsidRPr="0048226A">
        <w:rPr>
          <w:sz w:val="16"/>
        </w:rPr>
        <w:t xml:space="preserve"> (always in-relation) </w:t>
      </w:r>
      <w:r w:rsidRPr="0048226A">
        <w:rPr>
          <w:rStyle w:val="StyleUnderline"/>
        </w:rPr>
        <w:t>rather than self-sufficiency</w:t>
      </w:r>
      <w:r w:rsidRPr="006220D3">
        <w:rPr>
          <w:sz w:val="16"/>
        </w:rPr>
        <w:t>, emphasising relatedness as part of our socialised being-in-the-world. Reflecting on the relationship between her and her personal care assistant, Johnson offers an excellent critique of self-sufficiency:</w:t>
      </w:r>
      <w:r>
        <w:rPr>
          <w:sz w:val="16"/>
        </w:rPr>
        <w:t xml:space="preserve"> </w:t>
      </w:r>
      <w:r w:rsidRPr="006220D3">
        <w:rPr>
          <w:sz w:val="16"/>
        </w:rPr>
        <w:t>I sometimes think how strange it would be to do these morning things in solitude as non-disabled people do, and to regard, as many of them do, a life like mine as a dreadful and unnatural thing. To me it is so natural to feel the touch of the washc</w:t>
      </w:r>
      <w:r w:rsidRPr="00E613B8">
        <w:rPr>
          <w:sz w:val="16"/>
        </w:rPr>
        <w:t>loth-covered hands on flesh that is glad to be flesh, to rejoice that other hands are here (McBryde Johnson in Goering, 2015, 137).</w:t>
      </w:r>
      <w:r>
        <w:rPr>
          <w:sz w:val="16"/>
        </w:rPr>
        <w:t xml:space="preserve"> </w:t>
      </w:r>
      <w:r w:rsidRPr="00E613B8">
        <w:rPr>
          <w:sz w:val="16"/>
        </w:rPr>
        <w:t xml:space="preserve">Independent Living, therefore, </w:t>
      </w:r>
      <w:r w:rsidRPr="00E613B8">
        <w:rPr>
          <w:rStyle w:val="StyleUnderline"/>
        </w:rPr>
        <w:t xml:space="preserve">means </w:t>
      </w:r>
      <w:r w:rsidRPr="006376E2">
        <w:rPr>
          <w:rStyle w:val="StyleUnderline"/>
          <w:highlight w:val="cyan"/>
        </w:rPr>
        <w:t xml:space="preserve">moving </w:t>
      </w:r>
      <w:r w:rsidRPr="006376E2">
        <w:rPr>
          <w:rStyle w:val="Emphasis"/>
          <w:highlight w:val="cyan"/>
        </w:rPr>
        <w:t>beyond</w:t>
      </w:r>
      <w:r w:rsidRPr="006376E2">
        <w:rPr>
          <w:rStyle w:val="StyleUnderline"/>
          <w:highlight w:val="cyan"/>
        </w:rPr>
        <w:t xml:space="preserve"> </w:t>
      </w:r>
      <w:r w:rsidRPr="0048226A">
        <w:rPr>
          <w:rStyle w:val="StyleUnderline"/>
        </w:rPr>
        <w:t xml:space="preserve">the </w:t>
      </w:r>
      <w:r w:rsidRPr="006376E2">
        <w:rPr>
          <w:rStyle w:val="Emphasis"/>
          <w:highlight w:val="cyan"/>
        </w:rPr>
        <w:t xml:space="preserve">liberal </w:t>
      </w:r>
      <w:r w:rsidRPr="0048226A">
        <w:rPr>
          <w:rStyle w:val="Emphasis"/>
        </w:rPr>
        <w:t>demand of</w:t>
      </w:r>
      <w:r w:rsidRPr="00E613B8">
        <w:rPr>
          <w:rStyle w:val="Emphasis"/>
        </w:rPr>
        <w:t xml:space="preserve"> “</w:t>
      </w:r>
      <w:r w:rsidRPr="006376E2">
        <w:rPr>
          <w:rStyle w:val="Emphasis"/>
          <w:highlight w:val="cyan"/>
        </w:rPr>
        <w:t>equality of opportunity”</w:t>
      </w:r>
      <w:r w:rsidRPr="006376E2">
        <w:rPr>
          <w:rStyle w:val="StyleUnderline"/>
          <w:highlight w:val="cyan"/>
        </w:rPr>
        <w:t xml:space="preserve"> and </w:t>
      </w:r>
      <w:r w:rsidRPr="006376E2">
        <w:rPr>
          <w:rStyle w:val="Emphasis"/>
          <w:highlight w:val="cyan"/>
        </w:rPr>
        <w:t>towards “guaranteed material outcomes”</w:t>
      </w:r>
      <w:r w:rsidRPr="00E613B8">
        <w:rPr>
          <w:sz w:val="16"/>
        </w:rPr>
        <w:t xml:space="preserve"> (Zarb, 2004, 7–8). It also entails transforming “professions allied t</w:t>
      </w:r>
      <w:r w:rsidRPr="006220D3">
        <w:rPr>
          <w:sz w:val="16"/>
        </w:rPr>
        <w:t xml:space="preserve">o medicine” into “professions allied to the community” (Finkelstein, 1999). In a prefigurative fashion, the Centres for Independent Living set up in the UK by disabled activists have, arguably, already offered “embryonic services” and created possibilities for such transformation of professions (Finkelstein, 1999, 2). </w:t>
      </w:r>
      <w:r w:rsidRPr="006220D3">
        <w:rPr>
          <w:rStyle w:val="StyleUnderline"/>
        </w:rPr>
        <w:t xml:space="preserve">Thus, </w:t>
      </w:r>
      <w:r w:rsidRPr="006376E2">
        <w:rPr>
          <w:rStyle w:val="StyleUnderline"/>
          <w:highlight w:val="cyan"/>
        </w:rPr>
        <w:t xml:space="preserve">to </w:t>
      </w:r>
      <w:r w:rsidRPr="006376E2">
        <w:rPr>
          <w:rStyle w:val="Emphasis"/>
          <w:highlight w:val="cyan"/>
        </w:rPr>
        <w:t>prefigure</w:t>
      </w:r>
      <w:r w:rsidRPr="006220D3">
        <w:rPr>
          <w:sz w:val="16"/>
        </w:rPr>
        <w:t xml:space="preserve"> (</w:t>
      </w:r>
      <w:r w:rsidRPr="00A45DD1">
        <w:rPr>
          <w:sz w:val="16"/>
        </w:rPr>
        <w:t>through trade unions, activist</w:t>
      </w:r>
      <w:r w:rsidRPr="006220D3">
        <w:rPr>
          <w:sz w:val="16"/>
        </w:rPr>
        <w:t xml:space="preserve"> groups, and Disabled People’s Organisations) </w:t>
      </w:r>
      <w:r w:rsidRPr="006220D3">
        <w:rPr>
          <w:rStyle w:val="StyleUnderline"/>
        </w:rPr>
        <w:t xml:space="preserve">is </w:t>
      </w:r>
      <w:r w:rsidRPr="006376E2">
        <w:rPr>
          <w:rStyle w:val="StyleUnderline"/>
          <w:highlight w:val="cyan"/>
        </w:rPr>
        <w:t xml:space="preserve">to think </w:t>
      </w:r>
      <w:r w:rsidRPr="001F26F9">
        <w:rPr>
          <w:rStyle w:val="StyleUnderline"/>
        </w:rPr>
        <w:t xml:space="preserve">about </w:t>
      </w:r>
      <w:r w:rsidRPr="006376E2">
        <w:rPr>
          <w:rStyle w:val="StyleUnderline"/>
          <w:highlight w:val="cyan"/>
        </w:rPr>
        <w:t xml:space="preserve">the role </w:t>
      </w:r>
      <w:r w:rsidRPr="001F26F9">
        <w:rPr>
          <w:rStyle w:val="StyleUnderline"/>
        </w:rPr>
        <w:t xml:space="preserve">that </w:t>
      </w:r>
      <w:r w:rsidRPr="006376E2">
        <w:rPr>
          <w:rStyle w:val="StyleUnderline"/>
          <w:highlight w:val="cyan"/>
        </w:rPr>
        <w:t xml:space="preserve">people </w:t>
      </w:r>
      <w:r w:rsidRPr="001F26F9">
        <w:rPr>
          <w:rStyle w:val="Emphasis"/>
        </w:rPr>
        <w:t xml:space="preserve">currently </w:t>
      </w:r>
      <w:r w:rsidRPr="006376E2">
        <w:rPr>
          <w:rStyle w:val="Emphasis"/>
          <w:highlight w:val="cyan"/>
        </w:rPr>
        <w:t>subjected</w:t>
      </w:r>
      <w:r w:rsidRPr="006376E2">
        <w:rPr>
          <w:rStyle w:val="StyleUnderline"/>
          <w:highlight w:val="cyan"/>
        </w:rPr>
        <w:t xml:space="preserve"> to disablement would have in a </w:t>
      </w:r>
      <w:r w:rsidRPr="006376E2">
        <w:rPr>
          <w:rStyle w:val="Emphasis"/>
          <w:highlight w:val="cyan"/>
        </w:rPr>
        <w:t>non-disabling society</w:t>
      </w:r>
      <w:r w:rsidRPr="006220D3">
        <w:rPr>
          <w:sz w:val="16"/>
        </w:rPr>
        <w:t xml:space="preserve"> (Abberley, 1996, 67–68) </w:t>
      </w:r>
      <w:r w:rsidRPr="006220D3">
        <w:rPr>
          <w:rStyle w:val="StyleUnderline"/>
        </w:rPr>
        <w:t>and find practical ways to bring these possibilities into current society.</w:t>
      </w:r>
      <w:r w:rsidRPr="006220D3">
        <w:rPr>
          <w:sz w:val="16"/>
        </w:rPr>
        <w:t xml:space="preserve"> With the identification and prefiguring of the world we wish to inhabit, </w:t>
      </w:r>
      <w:r w:rsidRPr="001F26F9">
        <w:rPr>
          <w:rStyle w:val="StyleUnderline"/>
        </w:rPr>
        <w:t xml:space="preserve">we can </w:t>
      </w:r>
      <w:r w:rsidRPr="0048226A">
        <w:rPr>
          <w:rStyle w:val="Emphasis"/>
        </w:rPr>
        <w:t>identify the work that could be completely abolished</w:t>
      </w:r>
      <w:r w:rsidRPr="0048226A">
        <w:rPr>
          <w:sz w:val="16"/>
        </w:rPr>
        <w:t xml:space="preserve"> (Jones, 2018, 79), </w:t>
      </w:r>
      <w:r w:rsidRPr="0048226A">
        <w:rPr>
          <w:rStyle w:val="Emphasis"/>
        </w:rPr>
        <w:t>expanded on</w:t>
      </w:r>
      <w:r w:rsidRPr="0048226A">
        <w:rPr>
          <w:rStyle w:val="StyleUnderline"/>
        </w:rPr>
        <w:t xml:space="preserve">, and/or </w:t>
      </w:r>
      <w:r w:rsidRPr="0048226A">
        <w:rPr>
          <w:rStyle w:val="Emphasis"/>
        </w:rPr>
        <w:t>transformed</w:t>
      </w:r>
      <w:r w:rsidRPr="0048226A">
        <w:rPr>
          <w:rStyle w:val="StyleUnderline"/>
        </w:rPr>
        <w:t xml:space="preserve"> – for non-disabling capitalist ways of relating to one another. Struggles for abolishing disablement ought to take an </w:t>
      </w:r>
      <w:r w:rsidRPr="0048226A">
        <w:rPr>
          <w:rStyle w:val="Emphasis"/>
        </w:rPr>
        <w:t>anti-productivist stance</w:t>
      </w:r>
      <w:r w:rsidRPr="0048226A">
        <w:rPr>
          <w:rStyle w:val="StyleUnderline"/>
        </w:rPr>
        <w:t xml:space="preserve"> that seeks the</w:t>
      </w:r>
      <w:r w:rsidRPr="006220D3">
        <w:rPr>
          <w:rStyle w:val="StyleUnderline"/>
        </w:rPr>
        <w:t xml:space="preserve"> transformation of the institution of work </w:t>
      </w:r>
      <w:r w:rsidRPr="006376E2">
        <w:rPr>
          <w:rStyle w:val="StyleUnderline"/>
          <w:highlight w:val="cyan"/>
        </w:rPr>
        <w:t xml:space="preserve">through </w:t>
      </w:r>
      <w:r w:rsidRPr="006376E2">
        <w:rPr>
          <w:rStyle w:val="Emphasis"/>
          <w:highlight w:val="cyan"/>
        </w:rPr>
        <w:t>collective struggle</w:t>
      </w:r>
      <w:r w:rsidRPr="006376E2">
        <w:rPr>
          <w:rStyle w:val="StyleUnderline"/>
          <w:highlight w:val="cyan"/>
        </w:rPr>
        <w:t xml:space="preserve"> for </w:t>
      </w:r>
      <w:r w:rsidRPr="006376E2">
        <w:rPr>
          <w:rStyle w:val="Emphasis"/>
          <w:highlight w:val="cyan"/>
        </w:rPr>
        <w:t>autonomous/self-determined</w:t>
      </w:r>
      <w:r w:rsidRPr="006376E2">
        <w:rPr>
          <w:rStyle w:val="StyleUnderline"/>
          <w:highlight w:val="cyan"/>
        </w:rPr>
        <w:t xml:space="preserve"> and </w:t>
      </w:r>
      <w:r w:rsidRPr="006376E2">
        <w:rPr>
          <w:rStyle w:val="Emphasis"/>
          <w:highlight w:val="cyan"/>
        </w:rPr>
        <w:t>interdependent modes of living.</w:t>
      </w:r>
      <w:r>
        <w:rPr>
          <w:rStyle w:val="Emphasis"/>
        </w:rPr>
        <w:t xml:space="preserve"> </w:t>
      </w:r>
      <w:r w:rsidRPr="006220D3">
        <w:rPr>
          <w:sz w:val="16"/>
        </w:rPr>
        <w:t xml:space="preserve">Alongside Abberley’s anti-productivist (and mostly theoretical) argument for destabilising the centrality of work from the social </w:t>
      </w:r>
      <w:r w:rsidRPr="00E613B8">
        <w:rPr>
          <w:sz w:val="16"/>
        </w:rPr>
        <w:t xml:space="preserve">organisation of society (1987, 1996, 2002), Barnes </w:t>
      </w:r>
      <w:r w:rsidRPr="00E613B8">
        <w:rPr>
          <w:rStyle w:val="StyleUnderline"/>
        </w:rPr>
        <w:t xml:space="preserve">argues for </w:t>
      </w:r>
      <w:r w:rsidRPr="006376E2">
        <w:rPr>
          <w:rStyle w:val="StyleUnderline"/>
          <w:highlight w:val="cyan"/>
        </w:rPr>
        <w:t>the recognition of a wider variety of activities</w:t>
      </w:r>
      <w:r w:rsidRPr="00E613B8">
        <w:rPr>
          <w:rStyle w:val="StyleUnderline"/>
        </w:rPr>
        <w:t xml:space="preserve"> outside of employment, </w:t>
      </w:r>
      <w:r w:rsidRPr="006376E2">
        <w:rPr>
          <w:rStyle w:val="StyleUnderline"/>
          <w:highlight w:val="cyan"/>
        </w:rPr>
        <w:t>as “work</w:t>
      </w:r>
      <w:r w:rsidRPr="00E613B8">
        <w:rPr>
          <w:rStyle w:val="StyleUnderline"/>
        </w:rPr>
        <w:t>”</w:t>
      </w:r>
      <w:r w:rsidRPr="00E613B8">
        <w:rPr>
          <w:sz w:val="16"/>
        </w:rPr>
        <w:t xml:space="preserve"> (2012a). Noting Marxist feminists’ strategies of revealing social reproduction as work, Barnes and Mercer (2005, 537) and Barnes (2012a, 480) identified a series of activities that only the subjects of disablement undertake frequently. These activities are related to “health maintenance” and routines such as “getting out of bed, washing, dressing”, taking part in consultations as service users, and employing/managing Personal Assistants (Barnes, 2012a, 480). Although these activities take time and energy, within capi</w:t>
      </w:r>
      <w:r w:rsidRPr="006220D3">
        <w:rPr>
          <w:sz w:val="16"/>
        </w:rPr>
        <w:t xml:space="preserve">talist societies they are not conceptualised as “work” due to them not producing services or goods for others to consume (Barnes &amp; Mercer, 2005). However, this is where Barnes and Mercer’s argument ends – whilst demanding greater valorisation of activities, </w:t>
      </w:r>
      <w:r w:rsidRPr="0048226A">
        <w:rPr>
          <w:sz w:val="16"/>
        </w:rPr>
        <w:t xml:space="preserve">they </w:t>
      </w:r>
      <w:r w:rsidRPr="0048226A">
        <w:rPr>
          <w:rStyle w:val="Emphasis"/>
        </w:rPr>
        <w:t>fail to question the capitalist system’s institution of work as a whole</w:t>
      </w:r>
      <w:r w:rsidRPr="0048226A">
        <w:rPr>
          <w:sz w:val="16"/>
        </w:rPr>
        <w:t>. Separately, Oliver made a nuanced (albeit brief) suggestion for “broaden[ing] our idea of the nature of production itself”, including the “production of ourselves” (1999, 189</w:t>
      </w:r>
      <w:r w:rsidRPr="006220D3">
        <w:rPr>
          <w:sz w:val="16"/>
        </w:rPr>
        <w:t>).</w:t>
      </w:r>
      <w:r>
        <w:rPr>
          <w:sz w:val="16"/>
        </w:rPr>
        <w:t xml:space="preserve"> </w:t>
      </w:r>
      <w:r w:rsidRPr="006220D3">
        <w:rPr>
          <w:sz w:val="16"/>
        </w:rPr>
        <w:t xml:space="preserve">Informed by the anti-productivism of Autonomist Marxism and anarchism, </w:t>
      </w:r>
      <w:r w:rsidRPr="006220D3">
        <w:rPr>
          <w:rStyle w:val="StyleUnderline"/>
        </w:rPr>
        <w:t xml:space="preserve">the collective-materialist approach </w:t>
      </w:r>
      <w:r w:rsidRPr="001F26F9">
        <w:rPr>
          <w:rStyle w:val="StyleUnderline"/>
        </w:rPr>
        <w:t>opposes the “</w:t>
      </w:r>
      <w:r w:rsidRPr="001F26F9">
        <w:rPr>
          <w:rStyle w:val="Emphasis"/>
        </w:rPr>
        <w:t>work-based model of social membership and identity</w:t>
      </w:r>
      <w:r w:rsidRPr="006220D3">
        <w:rPr>
          <w:rStyle w:val="StyleUnderline"/>
        </w:rPr>
        <w:t>”</w:t>
      </w:r>
      <w:r w:rsidRPr="006220D3">
        <w:rPr>
          <w:sz w:val="16"/>
        </w:rPr>
        <w:t xml:space="preserve"> (Abberley, 1996, 74). </w:t>
      </w:r>
      <w:r w:rsidRPr="00E613B8">
        <w:rPr>
          <w:rStyle w:val="StyleUnderline"/>
        </w:rPr>
        <w:t xml:space="preserve">Whilst removing the social restrictions standing in the way of accessing waged work is important, these strategies ought not to be an end in itself – </w:t>
      </w:r>
      <w:r w:rsidRPr="006376E2">
        <w:rPr>
          <w:rStyle w:val="Emphasis"/>
          <w:highlight w:val="cyan"/>
        </w:rPr>
        <w:t xml:space="preserve">inclusion </w:t>
      </w:r>
      <w:r w:rsidRPr="001F26F9">
        <w:rPr>
          <w:rStyle w:val="Emphasis"/>
        </w:rPr>
        <w:t xml:space="preserve">into waged work </w:t>
      </w:r>
      <w:r w:rsidRPr="006376E2">
        <w:rPr>
          <w:rStyle w:val="Emphasis"/>
          <w:highlight w:val="cyan"/>
        </w:rPr>
        <w:t xml:space="preserve">is not desired </w:t>
      </w:r>
      <w:r w:rsidRPr="001F26F9">
        <w:rPr>
          <w:rStyle w:val="Emphasis"/>
        </w:rPr>
        <w:t xml:space="preserve">by </w:t>
      </w:r>
      <w:r w:rsidRPr="006376E2">
        <w:rPr>
          <w:rStyle w:val="Emphasis"/>
          <w:highlight w:val="cyan"/>
        </w:rPr>
        <w:t>or suitable for, everyone</w:t>
      </w:r>
      <w:r w:rsidRPr="006220D3">
        <w:rPr>
          <w:rStyle w:val="StyleUnderline"/>
        </w:rPr>
        <w:t xml:space="preserve"> </w:t>
      </w:r>
      <w:r w:rsidRPr="006220D3">
        <w:rPr>
          <w:sz w:val="16"/>
        </w:rPr>
        <w:t>(Dearing, 2021; Graby, 2015; McKenna et</w:t>
      </w:r>
      <w:r>
        <w:rPr>
          <w:sz w:val="16"/>
        </w:rPr>
        <w:t xml:space="preserve"> </w:t>
      </w:r>
      <w:r w:rsidRPr="006220D3">
        <w:rPr>
          <w:sz w:val="16"/>
        </w:rPr>
        <w:t xml:space="preserve">al., 2019). </w:t>
      </w:r>
      <w:r w:rsidRPr="001F26F9">
        <w:rPr>
          <w:rStyle w:val="StyleUnderline"/>
        </w:rPr>
        <w:t>A struggle</w:t>
      </w:r>
      <w:r w:rsidRPr="006376E2">
        <w:rPr>
          <w:rStyle w:val="StyleUnderline"/>
          <w:highlight w:val="cyan"/>
        </w:rPr>
        <w:t xml:space="preserve"> to abolish disablement ought to be a struggle against the </w:t>
      </w:r>
      <w:r w:rsidRPr="006376E2">
        <w:rPr>
          <w:rStyle w:val="Emphasis"/>
          <w:highlight w:val="cyan"/>
        </w:rPr>
        <w:t>capitalist imposition of work as a vehicle for social control</w:t>
      </w:r>
      <w:r w:rsidRPr="006220D3">
        <w:rPr>
          <w:rStyle w:val="StyleUnderline"/>
        </w:rPr>
        <w:t xml:space="preserve"> and, by implication, for a different kind of social relations</w:t>
      </w:r>
      <w:r w:rsidRPr="006220D3">
        <w:rPr>
          <w:sz w:val="16"/>
        </w:rPr>
        <w:t xml:space="preserve"> (Cleaver, 2005, 127; Russell &amp; Malhotra, 2002). A </w:t>
      </w:r>
      <w:r w:rsidRPr="006220D3">
        <w:rPr>
          <w:rStyle w:val="StyleUnderline"/>
        </w:rPr>
        <w:t>transformation of work would end the distinction between “productive” waged work and all other forms of work that currently take place outside the</w:t>
      </w:r>
      <w:r w:rsidRPr="006220D3">
        <w:rPr>
          <w:sz w:val="16"/>
        </w:rPr>
        <w:t xml:space="preserve"> wage. Abberley (1996, 2002), Barnes and Mercer (2005) and Barnes (2000) argue that </w:t>
      </w:r>
      <w:r w:rsidRPr="006376E2">
        <w:rPr>
          <w:rStyle w:val="StyleUnderline"/>
          <w:highlight w:val="cyan"/>
        </w:rPr>
        <w:t xml:space="preserve">the </w:t>
      </w:r>
      <w:r w:rsidRPr="006376E2">
        <w:rPr>
          <w:rStyle w:val="Emphasis"/>
          <w:highlight w:val="cyan"/>
        </w:rPr>
        <w:t>starting point</w:t>
      </w:r>
      <w:r w:rsidRPr="006220D3">
        <w:rPr>
          <w:rStyle w:val="StyleUnderline"/>
        </w:rPr>
        <w:t xml:space="preserve"> for such transformation can start with </w:t>
      </w:r>
      <w:r w:rsidRPr="006376E2">
        <w:rPr>
          <w:rStyle w:val="Emphasis"/>
          <w:highlight w:val="cyan"/>
        </w:rPr>
        <w:t>articulating an alternative system of non-productivist values</w:t>
      </w:r>
      <w:r w:rsidRPr="006220D3">
        <w:rPr>
          <w:rStyle w:val="StyleUnderline"/>
        </w:rPr>
        <w:t xml:space="preserve"> – this can be done through a prefigurative politics.</w:t>
      </w:r>
      <w:r>
        <w:rPr>
          <w:rStyle w:val="StyleUnderline"/>
        </w:rPr>
        <w:t xml:space="preserve"> </w:t>
      </w:r>
      <w:r w:rsidRPr="006220D3">
        <w:rPr>
          <w:sz w:val="16"/>
        </w:rPr>
        <w:t xml:space="preserve">Instances of “prefigurative politics” can be </w:t>
      </w:r>
      <w:r w:rsidRPr="006220D3">
        <w:rPr>
          <w:rStyle w:val="StyleUnderline"/>
        </w:rPr>
        <w:t>found in struggles and debates of antiracist, feminist, Autonomist Marxist, and other movements</w:t>
      </w:r>
      <w:r w:rsidRPr="006220D3">
        <w:rPr>
          <w:sz w:val="16"/>
        </w:rPr>
        <w:t xml:space="preserve"> (Raekstad &amp; Gradin, 2020, 20–28) as well as through Disabled People’s Organisations’ anti-disablement politics, campaigning </w:t>
      </w:r>
      <w:r w:rsidRPr="00A45DD1">
        <w:rPr>
          <w:sz w:val="16"/>
        </w:rPr>
        <w:t>groups, trade unions (Aronowitz, 1998), and various</w:t>
      </w:r>
      <w:r w:rsidRPr="006220D3">
        <w:rPr>
          <w:sz w:val="16"/>
        </w:rPr>
        <w:t xml:space="preserve"> other collectivities, alliances, and social relations (Abberley, 1996, 75; Bailey et</w:t>
      </w:r>
      <w:r>
        <w:rPr>
          <w:sz w:val="16"/>
        </w:rPr>
        <w:t xml:space="preserve"> </w:t>
      </w:r>
      <w:r w:rsidRPr="006220D3">
        <w:rPr>
          <w:sz w:val="16"/>
        </w:rPr>
        <w:t>al., 2018; Greer, 2016, 169). A useful definition of prefigurative politics is “</w:t>
      </w:r>
      <w:r w:rsidRPr="006220D3">
        <w:rPr>
          <w:rStyle w:val="StyleUnderline"/>
        </w:rPr>
        <w:t>the deliberate experimental implementation of desired future social relations and practices in the here-and-now</w:t>
      </w:r>
      <w:r w:rsidRPr="006220D3">
        <w:rPr>
          <w:sz w:val="16"/>
        </w:rPr>
        <w:t>” (Raekstad &amp; Gradin, 2020, 10, emphasis added). The term started to be adopted more actively in the UK in the 1970s, with the emergence of antiauthoritarian and anti-oppression New Left Movements (Raekstad &amp; Gradin, 2020, 8–10; Leach, 2013).</w:t>
      </w:r>
      <w:r>
        <w:rPr>
          <w:sz w:val="16"/>
        </w:rPr>
        <w:t xml:space="preserve"> </w:t>
      </w:r>
      <w:r w:rsidRPr="006220D3">
        <w:rPr>
          <w:sz w:val="16"/>
        </w:rPr>
        <w:t xml:space="preserve">Put simply, </w:t>
      </w:r>
      <w:r w:rsidRPr="006220D3">
        <w:rPr>
          <w:rStyle w:val="StyleUnderline"/>
        </w:rPr>
        <w:t>prefigurative work entails “forming the structure of the new society within the shell of the old”</w:t>
      </w:r>
      <w:r w:rsidRPr="006220D3">
        <w:rPr>
          <w:sz w:val="16"/>
        </w:rPr>
        <w:t xml:space="preserve"> (IWW 2022 [1905]) or </w:t>
      </w:r>
      <w:r w:rsidRPr="006220D3">
        <w:rPr>
          <w:rStyle w:val="StyleUnderline"/>
        </w:rPr>
        <w:t xml:space="preserve">planting the seeds for a new future </w:t>
      </w:r>
      <w:r w:rsidRPr="006220D3">
        <w:rPr>
          <w:sz w:val="16"/>
        </w:rPr>
        <w:t xml:space="preserve">– that is, </w:t>
      </w:r>
      <w:r w:rsidRPr="006220D3">
        <w:rPr>
          <w:rStyle w:val="StyleUnderline"/>
        </w:rPr>
        <w:t xml:space="preserve">undertaking work that </w:t>
      </w:r>
      <w:r w:rsidRPr="006376E2">
        <w:rPr>
          <w:rStyle w:val="Emphasis"/>
          <w:highlight w:val="cyan"/>
        </w:rPr>
        <w:t>establishes social relations</w:t>
      </w:r>
      <w:r w:rsidRPr="006376E2">
        <w:rPr>
          <w:rStyle w:val="StyleUnderline"/>
          <w:highlight w:val="cyan"/>
        </w:rPr>
        <w:t xml:space="preserve"> that are </w:t>
      </w:r>
      <w:r w:rsidRPr="006376E2">
        <w:rPr>
          <w:rStyle w:val="Emphasis"/>
          <w:highlight w:val="cyan"/>
        </w:rPr>
        <w:t>antagonistic</w:t>
      </w:r>
      <w:r w:rsidRPr="006376E2">
        <w:rPr>
          <w:rStyle w:val="StyleUnderline"/>
          <w:highlight w:val="cyan"/>
        </w:rPr>
        <w:t xml:space="preserve"> to those of </w:t>
      </w:r>
      <w:r w:rsidRPr="006376E2">
        <w:rPr>
          <w:rStyle w:val="Emphasis"/>
          <w:highlight w:val="cyan"/>
        </w:rPr>
        <w:t>disabling capitalism</w:t>
      </w:r>
      <w:r w:rsidRPr="006220D3">
        <w:rPr>
          <w:rStyle w:val="StyleUnderline"/>
        </w:rPr>
        <w:t xml:space="preserve"> and that “</w:t>
      </w:r>
      <w:r w:rsidRPr="006376E2">
        <w:rPr>
          <w:rStyle w:val="StyleUnderline"/>
          <w:highlight w:val="cyan"/>
        </w:rPr>
        <w:t xml:space="preserve">secure </w:t>
      </w:r>
      <w:r w:rsidRPr="006376E2">
        <w:rPr>
          <w:rStyle w:val="Emphasis"/>
          <w:highlight w:val="cyan"/>
        </w:rPr>
        <w:t>autonomous forms of social reproduction</w:t>
      </w:r>
      <w:r w:rsidRPr="006220D3">
        <w:rPr>
          <w:rStyle w:val="StyleUnderline"/>
        </w:rPr>
        <w:t>”</w:t>
      </w:r>
      <w:r w:rsidRPr="006220D3">
        <w:rPr>
          <w:sz w:val="16"/>
        </w:rPr>
        <w:t xml:space="preserve"> (Bailey et</w:t>
      </w:r>
      <w:r>
        <w:rPr>
          <w:sz w:val="16"/>
        </w:rPr>
        <w:t xml:space="preserve"> </w:t>
      </w:r>
      <w:r w:rsidRPr="006220D3">
        <w:rPr>
          <w:sz w:val="16"/>
        </w:rPr>
        <w:t xml:space="preserve">al., 2018, 31). This is, </w:t>
      </w:r>
      <w:r w:rsidRPr="006220D3">
        <w:rPr>
          <w:rStyle w:val="StyleUnderline"/>
        </w:rPr>
        <w:t>therefore, a rejection of hierarchical, vanguardist politics that is assumed to wait for change to happen after the revolution, and an assertion that there cannot be a distinction between means and ends</w:t>
      </w:r>
      <w:r w:rsidRPr="006220D3">
        <w:rPr>
          <w:sz w:val="16"/>
        </w:rPr>
        <w:t xml:space="preserve"> (Raekstad &amp; Gradin, 2020, 31–35; </w:t>
      </w:r>
      <w:r w:rsidRPr="00E613B8">
        <w:rPr>
          <w:sz w:val="16"/>
        </w:rPr>
        <w:t xml:space="preserve">Leach, 2013). </w:t>
      </w:r>
      <w:r w:rsidRPr="00E613B8">
        <w:rPr>
          <w:rStyle w:val="StyleUnderline"/>
        </w:rPr>
        <w:t>Prefigurative politics entails developing powers, drives, and consciousness through praxis</w:t>
      </w:r>
      <w:r w:rsidRPr="00E613B8">
        <w:rPr>
          <w:sz w:val="16"/>
        </w:rPr>
        <w:t xml:space="preserve"> (reflective practice), </w:t>
      </w:r>
      <w:r w:rsidRPr="00E613B8">
        <w:rPr>
          <w:rStyle w:val="StyleUnderline"/>
        </w:rPr>
        <w:t>which in turn leads to being and relating to others</w:t>
      </w:r>
      <w:r w:rsidRPr="006220D3">
        <w:rPr>
          <w:rStyle w:val="StyleUnderline"/>
        </w:rPr>
        <w:t xml:space="preserve"> and the world more generally outside the impositions of capital accumulation</w:t>
      </w:r>
      <w:r w:rsidRPr="006220D3">
        <w:rPr>
          <w:sz w:val="16"/>
        </w:rPr>
        <w:t xml:space="preserve"> (Raekstad &amp; Gradin, 2020, 21). The purpose of prefiguration may include “substituting or supplanting”, to “experimentation, innovation and learning”, </w:t>
      </w:r>
      <w:r w:rsidRPr="006220D3">
        <w:rPr>
          <w:rStyle w:val="StyleUnderline"/>
        </w:rPr>
        <w:t>“preparing or resourcing collective actors</w:t>
      </w:r>
      <w:r w:rsidRPr="0048226A">
        <w:rPr>
          <w:rStyle w:val="StyleUnderline"/>
        </w:rPr>
        <w:t>”, “directly achieving something in the here and now” and</w:t>
      </w:r>
      <w:r w:rsidRPr="006220D3">
        <w:rPr>
          <w:rStyle w:val="StyleUnderline"/>
        </w:rPr>
        <w:t xml:space="preserve"> </w:t>
      </w:r>
      <w:r w:rsidRPr="006376E2">
        <w:rPr>
          <w:rStyle w:val="StyleUnderline"/>
          <w:highlight w:val="cyan"/>
        </w:rPr>
        <w:t>emphasising</w:t>
      </w:r>
      <w:r w:rsidRPr="006220D3">
        <w:rPr>
          <w:rStyle w:val="StyleUnderline"/>
        </w:rPr>
        <w:t xml:space="preserve"> </w:t>
      </w:r>
      <w:r w:rsidRPr="006376E2">
        <w:rPr>
          <w:rStyle w:val="StyleUnderline"/>
          <w:highlight w:val="cyan"/>
        </w:rPr>
        <w:t>the “</w:t>
      </w:r>
      <w:r w:rsidRPr="006376E2">
        <w:rPr>
          <w:rStyle w:val="Emphasis"/>
          <w:highlight w:val="cyan"/>
        </w:rPr>
        <w:t>micropolitics of political activity</w:t>
      </w:r>
      <w:r w:rsidRPr="006376E2">
        <w:rPr>
          <w:rStyle w:val="StyleUnderline"/>
          <w:highlight w:val="cyan"/>
        </w:rPr>
        <w:t>”</w:t>
      </w:r>
      <w:r w:rsidRPr="006220D3">
        <w:rPr>
          <w:sz w:val="16"/>
        </w:rPr>
        <w:t xml:space="preserve"> (Yates, 2021, 1044).</w:t>
      </w:r>
      <w:r>
        <w:rPr>
          <w:sz w:val="16"/>
        </w:rPr>
        <w:t xml:space="preserve"> </w:t>
      </w:r>
      <w:r w:rsidRPr="006220D3">
        <w:rPr>
          <w:sz w:val="16"/>
        </w:rPr>
        <w:t xml:space="preserve">Despite their recent ascendance within scholarly and activist writings and practice, the term and theory of prefiguration have been critiqued for being loose; overly privileging local, small-scale practice; overlooking the role of organising and centralisation; collapsing the means and the ends of prefigurative work, and romanticising prefiguration more generally (Parker, 2021). </w:t>
      </w:r>
      <w:r w:rsidRPr="006220D3">
        <w:rPr>
          <w:rStyle w:val="StyleUnderline"/>
        </w:rPr>
        <w:t>However, a clear distinction between “</w:t>
      </w:r>
      <w:r w:rsidRPr="00B63F83">
        <w:rPr>
          <w:rStyle w:val="Emphasis"/>
        </w:rPr>
        <w:t>strategising</w:t>
      </w:r>
      <w:r w:rsidRPr="006220D3">
        <w:rPr>
          <w:rStyle w:val="StyleUnderline"/>
        </w:rPr>
        <w:t>” and “</w:t>
      </w:r>
      <w:r w:rsidRPr="00B63F83">
        <w:rPr>
          <w:rStyle w:val="Emphasis"/>
        </w:rPr>
        <w:t>prefiguring</w:t>
      </w:r>
      <w:r w:rsidRPr="006220D3">
        <w:rPr>
          <w:rStyle w:val="StyleUnderline"/>
        </w:rPr>
        <w:t>” is often difficult to make, as both elements are present within the work that seeks to change society</w:t>
      </w:r>
      <w:r w:rsidRPr="006220D3">
        <w:rPr>
          <w:sz w:val="16"/>
        </w:rPr>
        <w:t xml:space="preserve"> (Yates, 202</w:t>
      </w:r>
      <w:r w:rsidRPr="0048226A">
        <w:rPr>
          <w:sz w:val="16"/>
        </w:rPr>
        <w:t xml:space="preserve">1). In any case, </w:t>
      </w:r>
      <w:r w:rsidRPr="0048226A">
        <w:rPr>
          <w:rStyle w:val="StyleUnderline"/>
        </w:rPr>
        <w:t>collective struggle “</w:t>
      </w:r>
      <w:r w:rsidRPr="0048226A">
        <w:rPr>
          <w:rStyle w:val="Emphasis"/>
        </w:rPr>
        <w:t>increases class capacity</w:t>
      </w:r>
      <w:r w:rsidRPr="0048226A">
        <w:rPr>
          <w:rStyle w:val="StyleUnderline"/>
        </w:rPr>
        <w:t>”</w:t>
      </w:r>
      <w:r w:rsidRPr="0048226A">
        <w:rPr>
          <w:sz w:val="16"/>
        </w:rPr>
        <w:t xml:space="preserve"> (Fincher, 1984, 310), </w:t>
      </w:r>
      <w:r w:rsidRPr="0048226A">
        <w:rPr>
          <w:rStyle w:val="StyleUnderline"/>
        </w:rPr>
        <w:t xml:space="preserve">and </w:t>
      </w:r>
      <w:r w:rsidRPr="0048226A">
        <w:rPr>
          <w:rStyle w:val="Emphasis"/>
        </w:rPr>
        <w:t>antiproductivism</w:t>
      </w:r>
      <w:r w:rsidRPr="0048226A">
        <w:rPr>
          <w:rStyle w:val="StyleUnderline"/>
        </w:rPr>
        <w:t xml:space="preserve"> is part of the dismantling of the oppression and exploitation of the subjects of disablement</w:t>
      </w:r>
      <w:r w:rsidRPr="001F26F9">
        <w:rPr>
          <w:rStyle w:val="StyleUnderline"/>
        </w:rPr>
        <w:t>.</w:t>
      </w:r>
    </w:p>
    <w:p w14:paraId="50C9ABE8" w14:textId="77777777" w:rsidR="008D6AE6" w:rsidRDefault="008D6AE6" w:rsidP="008D6AE6"/>
    <w:p w14:paraId="19286B9C" w14:textId="08517AAC" w:rsidR="008D6AE6" w:rsidRDefault="008D6AE6" w:rsidP="008D6AE6">
      <w:pPr>
        <w:pStyle w:val="Heading3"/>
      </w:pPr>
      <w:r>
        <w:t xml:space="preserve">1NC </w:t>
      </w:r>
      <w:r w:rsidR="006376E2">
        <w:t>– Automation</w:t>
      </w:r>
    </w:p>
    <w:p w14:paraId="269A672F" w14:textId="0EFF9EDB" w:rsidR="006376E2" w:rsidRDefault="006376E2" w:rsidP="006376E2">
      <w:pPr>
        <w:pStyle w:val="Heading4"/>
      </w:pPr>
      <w:r>
        <w:t xml:space="preserve">1 – Non-unique –automation has been happening for a </w:t>
      </w:r>
      <w:r>
        <w:rPr>
          <w:i/>
          <w:iCs w:val="0"/>
        </w:rPr>
        <w:t>decade now</w:t>
      </w:r>
      <w:r>
        <w:t xml:space="preserve">. Either populism is the status quo and the AFF can’t reverse the next </w:t>
      </w:r>
      <w:r>
        <w:rPr>
          <w:u w:val="single"/>
        </w:rPr>
        <w:t>three years of trump</w:t>
      </w:r>
      <w:r>
        <w:t xml:space="preserve"> or no internal link.</w:t>
      </w:r>
    </w:p>
    <w:p w14:paraId="1CBA096D" w14:textId="77777777" w:rsidR="006376E2" w:rsidRDefault="006376E2" w:rsidP="006376E2"/>
    <w:p w14:paraId="64E3DB54" w14:textId="02E1D157" w:rsidR="006376E2" w:rsidRDefault="006376E2" w:rsidP="006376E2">
      <w:pPr>
        <w:pStyle w:val="Heading4"/>
      </w:pPr>
      <w:r>
        <w:t xml:space="preserve">2 – Can’t solve the automation internal. None of their evidence reverse causally says that unions </w:t>
      </w:r>
      <w:r>
        <w:rPr>
          <w:u w:val="single"/>
        </w:rPr>
        <w:t>reduce automation</w:t>
      </w:r>
      <w:r>
        <w:t xml:space="preserve">, just that </w:t>
      </w:r>
      <w:r>
        <w:rPr>
          <w:u w:val="single"/>
        </w:rPr>
        <w:t>automation reduces unionism</w:t>
      </w:r>
      <w:r>
        <w:t xml:space="preserve">, which is an </w:t>
      </w:r>
      <w:r>
        <w:rPr>
          <w:i/>
          <w:iCs w:val="0"/>
        </w:rPr>
        <w:t>alt cause</w:t>
      </w:r>
      <w:r>
        <w:t xml:space="preserve"> and </w:t>
      </w:r>
      <w:r>
        <w:rPr>
          <w:i/>
          <w:iCs w:val="0"/>
        </w:rPr>
        <w:t>deficit to the AFF</w:t>
      </w:r>
      <w:r>
        <w:t>.</w:t>
      </w:r>
    </w:p>
    <w:p w14:paraId="2DFAE5D9" w14:textId="77777777" w:rsidR="006376E2" w:rsidRDefault="006376E2" w:rsidP="006376E2"/>
    <w:p w14:paraId="33102B50" w14:textId="74570B7A" w:rsidR="00176ECF" w:rsidRPr="007E11AD" w:rsidRDefault="006376E2" w:rsidP="00176ECF">
      <w:pPr>
        <w:pStyle w:val="Heading4"/>
        <w:rPr>
          <w:u w:val="single"/>
        </w:rPr>
      </w:pPr>
      <w:r>
        <w:t>3 –</w:t>
      </w:r>
      <w:r w:rsidR="00176ECF" w:rsidRPr="00176ECF">
        <w:t xml:space="preserve"> </w:t>
      </w:r>
      <w:r w:rsidR="00176ECF">
        <w:t xml:space="preserve">Collective bargaining does </w:t>
      </w:r>
      <w:r w:rsidR="00176ECF" w:rsidRPr="007E11AD">
        <w:rPr>
          <w:u w:val="single"/>
        </w:rPr>
        <w:t>not solve democracy</w:t>
      </w:r>
      <w:r w:rsidR="00176ECF">
        <w:t xml:space="preserve"> – studies are </w:t>
      </w:r>
      <w:r w:rsidR="00176ECF" w:rsidRPr="007E11AD">
        <w:rPr>
          <w:u w:val="single"/>
        </w:rPr>
        <w:t>contradictory</w:t>
      </w:r>
      <w:r w:rsidR="00176ECF">
        <w:t xml:space="preserve"> at best</w:t>
      </w:r>
    </w:p>
    <w:p w14:paraId="0E5A5D1B" w14:textId="77777777" w:rsidR="00176ECF" w:rsidRPr="007E11AD" w:rsidRDefault="00176ECF" w:rsidP="00176ECF">
      <w:r w:rsidRPr="007E11AD">
        <w:rPr>
          <w:rStyle w:val="Style13ptBold"/>
        </w:rPr>
        <w:t>Rybnikova '22</w:t>
      </w:r>
      <w:r>
        <w:t xml:space="preserve"> [Irma Rybnikova; Dec. 8; Professor of HRM and Organisation at Hamm-Lippstadt University of Applied Sciences; "Spillover effect of workplace democracy: A conceptual revision," PubMed Central (PMC), https://pmc.ncbi.nlm.nih.gov/articles/PMC9773872/#s3] jt</w:t>
      </w:r>
    </w:p>
    <w:p w14:paraId="3BB27B66" w14:textId="77777777" w:rsidR="00176ECF" w:rsidRPr="00F41E12" w:rsidRDefault="00176ECF" w:rsidP="00176ECF">
      <w:pPr>
        <w:rPr>
          <w:sz w:val="16"/>
        </w:rPr>
      </w:pPr>
      <w:r w:rsidRPr="00F41E12">
        <w:rPr>
          <w:sz w:val="16"/>
        </w:rPr>
        <w:t xml:space="preserve">For many decades, workplace democracy has attracted the attention of scholars and researchers from different subfields of social sciences, including organizational psychology. </w:t>
      </w:r>
      <w:r w:rsidRPr="00F41E12">
        <w:rPr>
          <w:rStyle w:val="StyleUnderline"/>
        </w:rPr>
        <w:t>One of the questions workplace democracy research traditionally deals with is the issue of the consequences of democratic and participative schemes in companies</w:t>
      </w:r>
      <w:r w:rsidRPr="00F41E12">
        <w:rPr>
          <w:sz w:val="16"/>
        </w:rPr>
        <w:t>. The vast majority of existing research has focused on organizational and thus company-based consequences, either in terms of psychological performance, such as employee satisfaction, motivation, loyalty, and innovative behaviors (e.g., Jenkins and Lawler, 1981; Miller and Monge, 1986; Geralis and Terziovski, 2003; Bakan et al., 2004; Wright and Kim, 2004; Pereira and Osburn, 2007), or in terms of financial performance (e.g., Long, 1982; McNabb and Whitfield, 1998; Cox et al., 2006).</w:t>
      </w:r>
    </w:p>
    <w:p w14:paraId="4934C06F" w14:textId="77777777" w:rsidR="00176ECF" w:rsidRPr="00F41E12" w:rsidRDefault="00176ECF" w:rsidP="00176ECF">
      <w:pPr>
        <w:rPr>
          <w:rStyle w:val="StyleUnderline"/>
        </w:rPr>
      </w:pPr>
      <w:r w:rsidRPr="00F41E12">
        <w:rPr>
          <w:sz w:val="16"/>
        </w:rPr>
        <w:t xml:space="preserve">Although mentioned several times (e.g., Dachler and Wilpert, 1978; Adams, 1992), </w:t>
      </w:r>
      <w:r w:rsidRPr="00F41E12">
        <w:rPr>
          <w:rStyle w:val="StyleUnderline"/>
        </w:rPr>
        <w:t xml:space="preserve">the extent to which </w:t>
      </w:r>
      <w:r w:rsidRPr="00ED5B5C">
        <w:rPr>
          <w:rStyle w:val="StyleUnderline"/>
          <w:highlight w:val="cyan"/>
        </w:rPr>
        <w:t xml:space="preserve">workplace democracy </w:t>
      </w:r>
      <w:r w:rsidRPr="00F41E12">
        <w:rPr>
          <w:rStyle w:val="StyleUnderline"/>
        </w:rPr>
        <w:t xml:space="preserve">can contribute to society by </w:t>
      </w:r>
      <w:r w:rsidRPr="00ED5B5C">
        <w:rPr>
          <w:rStyle w:val="StyleUnderline"/>
          <w:highlight w:val="cyan"/>
        </w:rPr>
        <w:t xml:space="preserve">strengthening processes of political democracy </w:t>
      </w:r>
      <w:r w:rsidRPr="00F41E12">
        <w:rPr>
          <w:rStyle w:val="StyleUnderline"/>
        </w:rPr>
        <w:t xml:space="preserve">has been addressed considerably less, with the result that </w:t>
      </w:r>
      <w:r w:rsidRPr="00ED5B5C">
        <w:rPr>
          <w:rStyle w:val="StyleUnderline"/>
          <w:highlight w:val="cyan"/>
        </w:rPr>
        <w:t xml:space="preserve">empirical findings are </w:t>
      </w:r>
      <w:r w:rsidRPr="00ED5B5C">
        <w:rPr>
          <w:rStyle w:val="Emphasis"/>
          <w:highlight w:val="cyan"/>
        </w:rPr>
        <w:t>relatively scant</w:t>
      </w:r>
      <w:r w:rsidRPr="00F41E12">
        <w:rPr>
          <w:rStyle w:val="StyleUnderline"/>
        </w:rPr>
        <w:t xml:space="preserve">. </w:t>
      </w:r>
      <w:r w:rsidRPr="00F41E12">
        <w:rPr>
          <w:sz w:val="16"/>
        </w:rPr>
        <w:t xml:space="preserve">In his critical overview, Kim (2021) identified 25 studies published in international journals between 1981 and 2020, where scholars have explicitly dealt with the relationship between workplace democracy and political participation. </w:t>
      </w:r>
      <w:r w:rsidRPr="00F41E12">
        <w:rPr>
          <w:rStyle w:val="StyleUnderline"/>
        </w:rPr>
        <w:t xml:space="preserve">Empirical findings regarding </w:t>
      </w:r>
      <w:r w:rsidRPr="00ED5B5C">
        <w:rPr>
          <w:rStyle w:val="StyleUnderline"/>
          <w:highlight w:val="cyan"/>
        </w:rPr>
        <w:t xml:space="preserve">the spillover effect have been </w:t>
      </w:r>
      <w:r w:rsidRPr="00ED5B5C">
        <w:rPr>
          <w:rStyle w:val="Emphasis"/>
          <w:highlight w:val="cyan"/>
        </w:rPr>
        <w:t>heterogeneous</w:t>
      </w:r>
      <w:r w:rsidRPr="00ED5B5C">
        <w:rPr>
          <w:rStyle w:val="StyleUnderline"/>
          <w:highlight w:val="cyan"/>
        </w:rPr>
        <w:t xml:space="preserve"> and </w:t>
      </w:r>
      <w:r w:rsidRPr="00ED5B5C">
        <w:rPr>
          <w:rStyle w:val="Emphasis"/>
          <w:highlight w:val="cyan"/>
        </w:rPr>
        <w:t>contradicting</w:t>
      </w:r>
      <w:r w:rsidRPr="00ED5B5C">
        <w:rPr>
          <w:rStyle w:val="StyleUnderline"/>
          <w:highlight w:val="cyan"/>
        </w:rPr>
        <w:t xml:space="preserve"> </w:t>
      </w:r>
      <w:r w:rsidRPr="00F41E12">
        <w:rPr>
          <w:rStyle w:val="StyleUnderline"/>
        </w:rPr>
        <w:t>so far.</w:t>
      </w:r>
    </w:p>
    <w:p w14:paraId="07C74E00" w14:textId="77777777" w:rsidR="00176ECF" w:rsidRPr="00F41E12" w:rsidRDefault="00176ECF" w:rsidP="00176ECF">
      <w:pPr>
        <w:rPr>
          <w:sz w:val="16"/>
        </w:rPr>
      </w:pPr>
      <w:r w:rsidRPr="00F41E12">
        <w:rPr>
          <w:sz w:val="16"/>
        </w:rPr>
        <w:t>The majority of empirical findings from previous studies (Elden, 1981; Peterson, 1992; Madsen, 1997; Spreitzer, 2007; Weber et al., 2008, 2009; Pircher Verdorfer et al., 2013; Lopes et al., 2014; Tak, 2017; Budd et al., 2018; Timming and Summers, 2020) has indicated a more or less significant relationship between workplace democracy and political activities. This result proves true despite the highly diverse research settings and contexts that are encountered here. Some studies are based on cross-sectional data from one particular country, like the United States, Italy, Denmark, or Venezuela (Elden, 1981; Peterson, 1992; Madsen, 1997; Pircher Verdorfer et al., 2013; Tak, 2017); other studies are conducted by drawing on international panel data (Spreitzer, 2007; Lopes et al., 2014; Budd et al., 2018; Timming and Summers, 2020). Some work particularly has focused on cooperatives and employee-owned organizations (e.g., Weber et al., 2008; Pircher Verdorfer et al., 2013; Tak, 2017) while assuming a dense workplace democracy there; the remaining work has not taken this specific form of organizations into account.</w:t>
      </w:r>
    </w:p>
    <w:p w14:paraId="66B00AA3" w14:textId="75765103" w:rsidR="006376E2" w:rsidRDefault="00176ECF" w:rsidP="00176ECF">
      <w:pPr>
        <w:rPr>
          <w:rStyle w:val="StyleUnderline"/>
        </w:rPr>
      </w:pPr>
      <w:r w:rsidRPr="00F41E12">
        <w:rPr>
          <w:sz w:val="16"/>
        </w:rPr>
        <w:t xml:space="preserve">However, </w:t>
      </w:r>
      <w:r w:rsidRPr="00F41E12">
        <w:rPr>
          <w:rStyle w:val="StyleUnderline"/>
        </w:rPr>
        <w:t>there is</w:t>
      </w:r>
      <w:r w:rsidRPr="00F41E12">
        <w:rPr>
          <w:sz w:val="16"/>
        </w:rPr>
        <w:t xml:space="preserve"> also </w:t>
      </w:r>
      <w:r w:rsidRPr="00F41E12">
        <w:rPr>
          <w:rStyle w:val="StyleUnderline"/>
        </w:rPr>
        <w:t xml:space="preserve">empirical </w:t>
      </w:r>
      <w:r w:rsidRPr="00ED5B5C">
        <w:rPr>
          <w:rStyle w:val="StyleUnderline"/>
          <w:highlight w:val="cyan"/>
        </w:rPr>
        <w:t xml:space="preserve">work </w:t>
      </w:r>
      <w:r w:rsidRPr="00F41E12">
        <w:rPr>
          <w:rStyle w:val="StyleUnderline"/>
        </w:rPr>
        <w:t xml:space="preserve">that has </w:t>
      </w:r>
      <w:r w:rsidRPr="00ED5B5C">
        <w:rPr>
          <w:rStyle w:val="StyleUnderline"/>
          <w:highlight w:val="cyan"/>
        </w:rPr>
        <w:t xml:space="preserve">yielded </w:t>
      </w:r>
      <w:r w:rsidRPr="00F41E12">
        <w:rPr>
          <w:rStyle w:val="StyleUnderline"/>
        </w:rPr>
        <w:t xml:space="preserve">only partial or </w:t>
      </w:r>
      <w:r w:rsidRPr="00ED5B5C">
        <w:rPr>
          <w:rStyle w:val="StyleUnderline"/>
          <w:highlight w:val="cyan"/>
        </w:rPr>
        <w:t>limited empirical proof</w:t>
      </w:r>
      <w:r w:rsidRPr="00ED5B5C">
        <w:rPr>
          <w:sz w:val="16"/>
          <w:highlight w:val="cyan"/>
        </w:rPr>
        <w:t xml:space="preserve"> </w:t>
      </w:r>
      <w:r w:rsidRPr="00F41E12">
        <w:rPr>
          <w:sz w:val="16"/>
        </w:rPr>
        <w:t xml:space="preserve">(Sobel, 1993; Jian and Jeffres, 2008; Mays, 2018; Weber et al., 2020). Studies performed by Greenberg (1986), Greenberg et al. (1996), and Adman (2008) </w:t>
      </w:r>
      <w:r w:rsidRPr="00F41E12">
        <w:rPr>
          <w:rStyle w:val="StyleUnderline"/>
        </w:rPr>
        <w:t xml:space="preserve">have shown that </w:t>
      </w:r>
      <w:r w:rsidRPr="00ED5B5C">
        <w:rPr>
          <w:rStyle w:val="StyleUnderline"/>
          <w:highlight w:val="cyan"/>
        </w:rPr>
        <w:t xml:space="preserve">the relationship between workplace democracy and </w:t>
      </w:r>
      <w:r w:rsidRPr="00F41E12">
        <w:rPr>
          <w:rStyle w:val="StyleUnderline"/>
        </w:rPr>
        <w:t xml:space="preserve">political </w:t>
      </w:r>
      <w:r w:rsidRPr="00ED5B5C">
        <w:rPr>
          <w:rStyle w:val="StyleUnderline"/>
          <w:highlight w:val="cyan"/>
        </w:rPr>
        <w:t xml:space="preserve">participation is </w:t>
      </w:r>
      <w:r w:rsidRPr="00F41E12">
        <w:rPr>
          <w:rStyle w:val="StyleUnderline"/>
        </w:rPr>
        <w:t xml:space="preserve">either </w:t>
      </w:r>
      <w:r w:rsidRPr="00ED5B5C">
        <w:rPr>
          <w:rStyle w:val="Emphasis"/>
          <w:highlight w:val="cyan"/>
        </w:rPr>
        <w:t xml:space="preserve">insignificant </w:t>
      </w:r>
      <w:r w:rsidRPr="00F41E12">
        <w:rPr>
          <w:rStyle w:val="Emphasis"/>
        </w:rPr>
        <w:t>or inconclusive</w:t>
      </w:r>
      <w:r w:rsidRPr="00F41E12">
        <w:rPr>
          <w:rStyle w:val="StyleUnderline"/>
        </w:rPr>
        <w:t xml:space="preserve"> </w:t>
      </w:r>
      <w:r w:rsidRPr="00ED5B5C">
        <w:rPr>
          <w:rStyle w:val="StyleUnderline"/>
          <w:highlight w:val="cyan"/>
        </w:rPr>
        <w:t xml:space="preserve">or there is </w:t>
      </w:r>
      <w:r w:rsidRPr="00ED5B5C">
        <w:rPr>
          <w:rStyle w:val="Emphasis"/>
          <w:highlight w:val="cyan"/>
        </w:rPr>
        <w:t>no link</w:t>
      </w:r>
      <w:r w:rsidRPr="00F41E12">
        <w:rPr>
          <w:sz w:val="16"/>
        </w:rPr>
        <w:t xml:space="preserve">. Moreover, </w:t>
      </w:r>
      <w:r w:rsidRPr="00ED5B5C">
        <w:rPr>
          <w:rStyle w:val="StyleUnderline"/>
          <w:highlight w:val="cyan"/>
        </w:rPr>
        <w:t xml:space="preserve">Geurkink </w:t>
      </w:r>
      <w:r w:rsidRPr="00F41E12">
        <w:rPr>
          <w:rStyle w:val="StyleUnderline"/>
        </w:rPr>
        <w:t xml:space="preserve">et al. (2020) </w:t>
      </w:r>
      <w:r w:rsidRPr="00ED5B5C">
        <w:rPr>
          <w:rStyle w:val="StyleUnderline"/>
          <w:highlight w:val="cyan"/>
        </w:rPr>
        <w:t>observed</w:t>
      </w:r>
      <w:r w:rsidRPr="00ED5B5C">
        <w:rPr>
          <w:sz w:val="16"/>
          <w:highlight w:val="cyan"/>
        </w:rPr>
        <w:t xml:space="preserve"> </w:t>
      </w:r>
      <w:r w:rsidRPr="00ED5B5C">
        <w:rPr>
          <w:rStyle w:val="StyleUnderline"/>
          <w:highlight w:val="cyan"/>
        </w:rPr>
        <w:t xml:space="preserve">an </w:t>
      </w:r>
      <w:r w:rsidRPr="00ED5B5C">
        <w:rPr>
          <w:rStyle w:val="Emphasis"/>
          <w:highlight w:val="cyan"/>
        </w:rPr>
        <w:t>oppositional relationship</w:t>
      </w:r>
      <w:r w:rsidRPr="00ED5B5C">
        <w:rPr>
          <w:rStyle w:val="StyleUnderline"/>
          <w:highlight w:val="cyan"/>
        </w:rPr>
        <w:t xml:space="preserve"> </w:t>
      </w:r>
      <w:r w:rsidRPr="00F41E12">
        <w:rPr>
          <w:rStyle w:val="StyleUnderline"/>
        </w:rPr>
        <w:t xml:space="preserve">in their study, </w:t>
      </w:r>
      <w:r w:rsidRPr="00ED5B5C">
        <w:rPr>
          <w:rStyle w:val="StyleUnderline"/>
          <w:highlight w:val="cyan"/>
        </w:rPr>
        <w:t xml:space="preserve">with political participation </w:t>
      </w:r>
      <w:r w:rsidRPr="00F41E12">
        <w:rPr>
          <w:rStyle w:val="StyleUnderline"/>
        </w:rPr>
        <w:t xml:space="preserve">being </w:t>
      </w:r>
      <w:r w:rsidRPr="00ED5B5C">
        <w:rPr>
          <w:rStyle w:val="StyleUnderline"/>
          <w:highlight w:val="cyan"/>
        </w:rPr>
        <w:t xml:space="preserve">triggered </w:t>
      </w:r>
      <w:r w:rsidRPr="00F41E12">
        <w:rPr>
          <w:rStyle w:val="StyleUnderline"/>
        </w:rPr>
        <w:t xml:space="preserve">not because of democratic workplaces but also </w:t>
      </w:r>
      <w:r w:rsidRPr="00ED5B5C">
        <w:rPr>
          <w:rStyle w:val="StyleUnderline"/>
          <w:highlight w:val="cyan"/>
        </w:rPr>
        <w:t xml:space="preserve">because democratic instances at work are </w:t>
      </w:r>
      <w:r w:rsidRPr="00ED5B5C">
        <w:rPr>
          <w:rStyle w:val="Emphasis"/>
          <w:highlight w:val="cyan"/>
        </w:rPr>
        <w:t>lacking</w:t>
      </w:r>
      <w:r w:rsidRPr="00ED5B5C">
        <w:rPr>
          <w:rStyle w:val="StyleUnderline"/>
          <w:highlight w:val="cyan"/>
        </w:rPr>
        <w:t xml:space="preserve"> </w:t>
      </w:r>
      <w:r w:rsidRPr="00F41E12">
        <w:rPr>
          <w:rStyle w:val="StyleUnderline"/>
        </w:rPr>
        <w:t>or opportunities for workplace democracy and voice expression are suppressed by supervisors</w:t>
      </w:r>
      <w:r w:rsidRPr="00F41E12">
        <w:rPr>
          <w:sz w:val="16"/>
        </w:rPr>
        <w:t xml:space="preserve">. This shows that </w:t>
      </w:r>
      <w:r w:rsidRPr="00F41E12">
        <w:rPr>
          <w:rStyle w:val="StyleUnderline"/>
        </w:rPr>
        <w:t xml:space="preserve">not workplace democracy but </w:t>
      </w:r>
      <w:r w:rsidRPr="00ED5B5C">
        <w:rPr>
          <w:rStyle w:val="StyleUnderline"/>
          <w:highlight w:val="cyan"/>
        </w:rPr>
        <w:t xml:space="preserve">its </w:t>
      </w:r>
      <w:r w:rsidRPr="00ED5B5C">
        <w:rPr>
          <w:rStyle w:val="Emphasis"/>
          <w:highlight w:val="cyan"/>
        </w:rPr>
        <w:t>prevention</w:t>
      </w:r>
      <w:r w:rsidRPr="00ED5B5C">
        <w:rPr>
          <w:rStyle w:val="StyleUnderline"/>
          <w:highlight w:val="cyan"/>
        </w:rPr>
        <w:t xml:space="preserve"> leads to political activities</w:t>
      </w:r>
      <w:r w:rsidRPr="00F41E12">
        <w:rPr>
          <w:rStyle w:val="StyleUnderline"/>
        </w:rPr>
        <w:t>, such as voting or becoming a member of a political party.</w:t>
      </w:r>
    </w:p>
    <w:p w14:paraId="6F805D45" w14:textId="77777777" w:rsidR="00176ECF" w:rsidRPr="00176ECF" w:rsidRDefault="00176ECF" w:rsidP="00176ECF">
      <w:pPr>
        <w:rPr>
          <w:u w:val="single"/>
        </w:rPr>
      </w:pPr>
    </w:p>
    <w:p w14:paraId="6183012D" w14:textId="312C80F5" w:rsidR="006376E2" w:rsidRDefault="006376E2" w:rsidP="006376E2">
      <w:pPr>
        <w:pStyle w:val="Heading3"/>
      </w:pPr>
      <w:r>
        <w:t>1NC – Corporatism</w:t>
      </w:r>
    </w:p>
    <w:p w14:paraId="73C29796" w14:textId="4287F92A" w:rsidR="00176ECF" w:rsidRDefault="00176ECF" w:rsidP="00176ECF">
      <w:pPr>
        <w:pStyle w:val="Heading4"/>
      </w:pPr>
      <w:r>
        <w:t xml:space="preserve">1 – Alt causes to international regulations – cites the necessity for </w:t>
      </w:r>
      <w:r>
        <w:rPr>
          <w:u w:val="single"/>
        </w:rPr>
        <w:t>international frameworks</w:t>
      </w:r>
      <w:r>
        <w:t xml:space="preserve"> and the need for public private partnerships which unionization doesn’t spur.</w:t>
      </w:r>
    </w:p>
    <w:p w14:paraId="2D123A2A" w14:textId="77777777" w:rsidR="00176ECF" w:rsidRDefault="00176ECF" w:rsidP="00176ECF"/>
    <w:p w14:paraId="6362F142" w14:textId="17359BF5" w:rsidR="00176ECF" w:rsidRPr="00176ECF" w:rsidRDefault="00176ECF" w:rsidP="00176ECF">
      <w:pPr>
        <w:pStyle w:val="Heading4"/>
        <w:rPr>
          <w:b w:val="0"/>
          <w:bCs/>
        </w:rPr>
      </w:pPr>
      <w:r>
        <w:t xml:space="preserve">2 – Green bargaining cites alt causes and is about </w:t>
      </w:r>
      <w:r>
        <w:rPr>
          <w:u w:val="single"/>
        </w:rPr>
        <w:t>trade union priorities</w:t>
      </w:r>
      <w:r>
        <w:t xml:space="preserve">, which the aff doesn’t solve. </w:t>
      </w:r>
      <w:r>
        <w:rPr>
          <w:b w:val="0"/>
          <w:bCs/>
        </w:rPr>
        <w:t>– GREEN</w:t>
      </w:r>
    </w:p>
    <w:p w14:paraId="61D6937B" w14:textId="77777777" w:rsidR="00176ECF" w:rsidRDefault="00176ECF" w:rsidP="00176ECF">
      <w:r w:rsidRPr="00E66B2F">
        <w:rPr>
          <w:rStyle w:val="Style13ptBold"/>
        </w:rPr>
        <w:t xml:space="preserve">Crawford </w:t>
      </w:r>
      <w:r>
        <w:rPr>
          <w:rStyle w:val="Style13ptBold"/>
        </w:rPr>
        <w:t>‘</w:t>
      </w:r>
      <w:r w:rsidRPr="00E66B2F">
        <w:rPr>
          <w:rStyle w:val="Style13ptBold"/>
        </w:rPr>
        <w:t>23</w:t>
      </w:r>
      <w:r w:rsidRPr="00E66B2F">
        <w:t xml:space="preserve"> </w:t>
      </w:r>
      <w:r>
        <w:t>[</w:t>
      </w:r>
      <w:r w:rsidRPr="00E66B2F">
        <w:t>Benjamin</w:t>
      </w:r>
      <w:r>
        <w:t xml:space="preserve"> Crawford</w:t>
      </w:r>
      <w:r w:rsidRPr="00E66B2F">
        <w:t xml:space="preserve"> </w:t>
      </w:r>
      <w:r>
        <w:t>(</w:t>
      </w:r>
      <w:r w:rsidRPr="00E66B2F">
        <w:t>London School of Economics &amp; Political Science (LSE) - Grantham Research Institute on Climate Change and the Environment</w:t>
      </w:r>
      <w:r>
        <w:t xml:space="preserve">) </w:t>
      </w:r>
      <w:r w:rsidRPr="00E66B2F">
        <w:t>and David</w:t>
      </w:r>
      <w:r>
        <w:t xml:space="preserve"> Whyte (</w:t>
      </w:r>
      <w:r w:rsidRPr="00E66B2F">
        <w:t>Queen Mary University of London, School of Law</w:t>
      </w:r>
      <w:r>
        <w:t>)</w:t>
      </w:r>
      <w:r w:rsidRPr="00E66B2F">
        <w:t xml:space="preserve">, </w:t>
      </w:r>
      <w:r>
        <w:t>“</w:t>
      </w:r>
      <w:r w:rsidRPr="00E66B2F">
        <w:t>Working for Climate Justice: trade unions in the front line against climate change</w:t>
      </w:r>
      <w:r>
        <w:t>”, 11-</w:t>
      </w:r>
      <w:r w:rsidRPr="00E66B2F">
        <w:t>1</w:t>
      </w:r>
      <w:r>
        <w:t>-</w:t>
      </w:r>
      <w:r w:rsidRPr="00E66B2F">
        <w:t>2023</w:t>
      </w:r>
      <w:r>
        <w:t>,</w:t>
      </w:r>
      <w:r w:rsidRPr="00E66B2F">
        <w:t xml:space="preserve"> </w:t>
      </w:r>
      <w:r w:rsidRPr="00E66B2F">
        <w:rPr>
          <w:i/>
          <w:iCs/>
        </w:rPr>
        <w:t>Queen Mary Law Research Paper No. 420/2024</w:t>
      </w:r>
      <w:r w:rsidRPr="00E66B2F">
        <w:t>, https://ssrn.com/abstract=4709316</w:t>
      </w:r>
      <w:r>
        <w:t>, ashtar]</w:t>
      </w:r>
    </w:p>
    <w:p w14:paraId="7FE4C253" w14:textId="77777777" w:rsidR="00176ECF" w:rsidRPr="00FB7A7B" w:rsidRDefault="00176ECF" w:rsidP="00176ECF">
      <w:pPr>
        <w:rPr>
          <w:sz w:val="16"/>
        </w:rPr>
      </w:pPr>
      <w:r w:rsidRPr="00FB7A7B">
        <w:rPr>
          <w:sz w:val="16"/>
        </w:rPr>
        <w:t xml:space="preserve">With this in mind, </w:t>
      </w:r>
      <w:r w:rsidRPr="0048226A">
        <w:rPr>
          <w:szCs w:val="32"/>
        </w:rPr>
        <w:t xml:space="preserve">we </w:t>
      </w:r>
      <w:r w:rsidRPr="0048226A">
        <w:rPr>
          <w:szCs w:val="32"/>
          <w:highlight w:val="green"/>
        </w:rPr>
        <w:t>propose</w:t>
      </w:r>
      <w:r w:rsidRPr="0048226A">
        <w:rPr>
          <w:szCs w:val="32"/>
        </w:rPr>
        <w:t xml:space="preserve"> the following </w:t>
      </w:r>
      <w:r w:rsidRPr="0048226A">
        <w:rPr>
          <w:szCs w:val="32"/>
          <w:highlight w:val="green"/>
        </w:rPr>
        <w:t>priorities for the trade union movement</w:t>
      </w:r>
      <w:r w:rsidRPr="0048226A">
        <w:rPr>
          <w:szCs w:val="32"/>
        </w:rPr>
        <w:t xml:space="preserve"> to assert its role in managing and taking control over the transition from a high carbon economy</w:t>
      </w:r>
      <w:r w:rsidRPr="00FB7A7B">
        <w:rPr>
          <w:sz w:val="16"/>
        </w:rPr>
        <w:t xml:space="preserve">: </w:t>
      </w:r>
    </w:p>
    <w:p w14:paraId="05FFF8E5" w14:textId="77777777" w:rsidR="00176ECF" w:rsidRPr="00FB7A7B" w:rsidRDefault="00176ECF" w:rsidP="00176ECF">
      <w:pPr>
        <w:rPr>
          <w:sz w:val="16"/>
        </w:rPr>
      </w:pPr>
      <w:r w:rsidRPr="009F3CA5">
        <w:rPr>
          <w:rStyle w:val="Emphasis"/>
        </w:rPr>
        <w:t>1</w:t>
      </w:r>
      <w:r w:rsidRPr="009F3CA5">
        <w:rPr>
          <w:rStyle w:val="StyleUnderline"/>
        </w:rPr>
        <w:t xml:space="preserve">. </w:t>
      </w:r>
      <w:r w:rsidRPr="005831CC">
        <w:rPr>
          <w:rStyle w:val="StyleUnderline"/>
          <w:highlight w:val="cyan"/>
        </w:rPr>
        <w:t xml:space="preserve">Members must be </w:t>
      </w:r>
      <w:r w:rsidRPr="00B106EA">
        <w:rPr>
          <w:rStyle w:val="Emphasis"/>
          <w:highlight w:val="cyan"/>
        </w:rPr>
        <w:t>empowered</w:t>
      </w:r>
      <w:r w:rsidRPr="005831CC">
        <w:rPr>
          <w:rStyle w:val="StyleUnderline"/>
          <w:highlight w:val="cyan"/>
        </w:rPr>
        <w:t xml:space="preserve"> to</w:t>
      </w:r>
      <w:r w:rsidRPr="00FB7A7B">
        <w:rPr>
          <w:rStyle w:val="StyleUnderline"/>
        </w:rPr>
        <w:t xml:space="preserve"> put climate change </w:t>
      </w:r>
      <w:r w:rsidRPr="00FB7A7B">
        <w:rPr>
          <w:rStyle w:val="Emphasis"/>
        </w:rPr>
        <w:t>on an industrial footing</w:t>
      </w:r>
      <w:r w:rsidRPr="00FB7A7B">
        <w:rPr>
          <w:sz w:val="16"/>
        </w:rPr>
        <w:t xml:space="preserve">. Virtually all of the initiatives that we have discussed in this pamphlet have come from the grassroots of the trade union movement. In order to build this power base as a means for leveraging clean jobs and for managing our way out of declining industries without losing out, </w:t>
      </w:r>
      <w:r w:rsidRPr="00E52E24">
        <w:rPr>
          <w:rStyle w:val="StyleUnderline"/>
        </w:rPr>
        <w:t>we</w:t>
      </w:r>
      <w:r w:rsidRPr="00FB7A7B">
        <w:rPr>
          <w:sz w:val="16"/>
        </w:rPr>
        <w:t xml:space="preserve"> will </w:t>
      </w:r>
      <w:r w:rsidRPr="00E52E24">
        <w:rPr>
          <w:rStyle w:val="StyleUnderline"/>
        </w:rPr>
        <w:t xml:space="preserve">need to </w:t>
      </w:r>
      <w:r w:rsidRPr="005831CC">
        <w:rPr>
          <w:rStyle w:val="StyleUnderline"/>
          <w:highlight w:val="cyan"/>
        </w:rPr>
        <w:t>build an army of</w:t>
      </w:r>
      <w:r w:rsidRPr="00E52E24">
        <w:rPr>
          <w:rStyle w:val="StyleUnderline"/>
        </w:rPr>
        <w:t xml:space="preserve"> workplace </w:t>
      </w:r>
      <w:r w:rsidRPr="005831CC">
        <w:rPr>
          <w:rStyle w:val="StyleUnderline"/>
          <w:highlight w:val="cyan"/>
        </w:rPr>
        <w:t xml:space="preserve">reps coordinated </w:t>
      </w:r>
      <w:r w:rsidRPr="005831CC">
        <w:rPr>
          <w:rStyle w:val="Emphasis"/>
          <w:highlight w:val="cyan"/>
        </w:rPr>
        <w:t>across</w:t>
      </w:r>
      <w:r w:rsidRPr="00E52E24">
        <w:rPr>
          <w:rStyle w:val="Emphasis"/>
        </w:rPr>
        <w:t xml:space="preserve"> industrial </w:t>
      </w:r>
      <w:r w:rsidRPr="005831CC">
        <w:rPr>
          <w:rStyle w:val="Emphasis"/>
          <w:highlight w:val="cyan"/>
        </w:rPr>
        <w:t>sectors</w:t>
      </w:r>
      <w:r w:rsidRPr="00FB7A7B">
        <w:rPr>
          <w:sz w:val="16"/>
        </w:rPr>
        <w:t xml:space="preserve">. The Hazards Campaign serves as a model for this. For years it has managed to organise a non-sectarian movement, not anchored to any political party, funded by the trade union movement but autonomous from any single trade union. The Hazards annual conference, held every year, has attracted hundreds of angry and committed trade union reps., exchanging experience and building mutual support. We need to build something along those lines and build it even bigger. </w:t>
      </w:r>
      <w:r w:rsidRPr="0048226A">
        <w:rPr>
          <w:rStyle w:val="StyleUnderline"/>
          <w:highlight w:val="green"/>
        </w:rPr>
        <w:t xml:space="preserve">Workers’ </w:t>
      </w:r>
      <w:r w:rsidRPr="0048226A">
        <w:rPr>
          <w:rStyle w:val="Emphasis"/>
          <w:highlight w:val="green"/>
        </w:rPr>
        <w:t>political education</w:t>
      </w:r>
      <w:r w:rsidRPr="00E52E24">
        <w:rPr>
          <w:rStyle w:val="StyleUnderline"/>
        </w:rPr>
        <w:t xml:space="preserve"> is a</w:t>
      </w:r>
      <w:r w:rsidRPr="00FB7A7B">
        <w:rPr>
          <w:sz w:val="16"/>
        </w:rPr>
        <w:t xml:space="preserve">nother </w:t>
      </w:r>
      <w:r w:rsidRPr="00E52E24">
        <w:rPr>
          <w:rStyle w:val="StyleUnderline"/>
        </w:rPr>
        <w:t xml:space="preserve">crucial step in </w:t>
      </w:r>
      <w:r w:rsidRPr="00FB7A7B">
        <w:rPr>
          <w:rStyle w:val="Emphasis"/>
        </w:rPr>
        <w:t>empower</w:t>
      </w:r>
      <w:r w:rsidRPr="00E52E24">
        <w:rPr>
          <w:rStyle w:val="StyleUnderline"/>
        </w:rPr>
        <w:t>ing members to build</w:t>
      </w:r>
      <w:r w:rsidRPr="00FB7A7B">
        <w:rPr>
          <w:sz w:val="16"/>
        </w:rPr>
        <w:t xml:space="preserve"> a </w:t>
      </w:r>
      <w:r w:rsidRPr="00FB7A7B">
        <w:rPr>
          <w:rStyle w:val="Emphasis"/>
        </w:rPr>
        <w:t>climate bargaining</w:t>
      </w:r>
      <w:r w:rsidRPr="00E52E24">
        <w:rPr>
          <w:rStyle w:val="StyleUnderline"/>
        </w:rPr>
        <w:t xml:space="preserve"> </w:t>
      </w:r>
      <w:r w:rsidRPr="00FB7A7B">
        <w:rPr>
          <w:sz w:val="16"/>
        </w:rPr>
        <w:t xml:space="preserve">approach. However, to be effective such programs must develop concrete understanding of the ways in which workers, firms and sectors are exposed to present and future climate impacts. </w:t>
      </w:r>
      <w:r w:rsidRPr="0048226A">
        <w:rPr>
          <w:szCs w:val="32"/>
        </w:rPr>
        <w:t xml:space="preserve">Union </w:t>
      </w:r>
      <w:r w:rsidRPr="0048226A">
        <w:rPr>
          <w:szCs w:val="32"/>
          <w:highlight w:val="green"/>
        </w:rPr>
        <w:t>research</w:t>
      </w:r>
      <w:r w:rsidRPr="0048226A">
        <w:rPr>
          <w:szCs w:val="32"/>
        </w:rPr>
        <w:t xml:space="preserve"> into these exposures </w:t>
      </w:r>
      <w:r w:rsidRPr="0048226A">
        <w:rPr>
          <w:szCs w:val="32"/>
          <w:highlight w:val="green"/>
        </w:rPr>
        <w:t>underpins effective education programs</w:t>
      </w:r>
      <w:r w:rsidRPr="0048226A">
        <w:rPr>
          <w:szCs w:val="32"/>
        </w:rPr>
        <w:t xml:space="preserve"> and the development of worker-led strategies</w:t>
      </w:r>
      <w:r w:rsidRPr="00FB7A7B">
        <w:rPr>
          <w:sz w:val="16"/>
        </w:rPr>
        <w:t xml:space="preserve">. One crucial aspect of this is supply chain mapping, which links analysis of social and environmental harms within supply chains to analysis of how to build workers power across the supply chain. </w:t>
      </w:r>
    </w:p>
    <w:p w14:paraId="47FC1DB7" w14:textId="77777777" w:rsidR="00176ECF" w:rsidRPr="0048226A" w:rsidRDefault="00176ECF" w:rsidP="00176ECF">
      <w:pPr>
        <w:rPr>
          <w:szCs w:val="32"/>
        </w:rPr>
      </w:pPr>
      <w:r w:rsidRPr="009F3CA5">
        <w:rPr>
          <w:rStyle w:val="Emphasis"/>
        </w:rPr>
        <w:t>2</w:t>
      </w:r>
      <w:r w:rsidRPr="009F3CA5">
        <w:rPr>
          <w:rStyle w:val="StyleUnderline"/>
        </w:rPr>
        <w:t xml:space="preserve">. </w:t>
      </w:r>
      <w:r w:rsidRPr="0048226A">
        <w:rPr>
          <w:rStyle w:val="StyleUnderline"/>
          <w:highlight w:val="green"/>
        </w:rPr>
        <w:t>Climate bargaining needs to be</w:t>
      </w:r>
      <w:r w:rsidRPr="0048226A">
        <w:rPr>
          <w:sz w:val="16"/>
          <w:highlight w:val="green"/>
        </w:rPr>
        <w:t xml:space="preserve"> integrated into trade union campaigns for employment rights</w:t>
      </w:r>
      <w:r w:rsidRPr="00FB7A7B">
        <w:rPr>
          <w:sz w:val="16"/>
        </w:rPr>
        <w:t xml:space="preserve">. We need to demand that climate organising and bargaining are given a stronger basis in law. As we have argued, this must be </w:t>
      </w:r>
      <w:r w:rsidRPr="005831CC">
        <w:rPr>
          <w:rStyle w:val="StyleUnderline"/>
          <w:highlight w:val="cyan"/>
        </w:rPr>
        <w:t>integrated into the</w:t>
      </w:r>
      <w:r w:rsidRPr="00067CEC">
        <w:rPr>
          <w:rStyle w:val="StyleUnderline"/>
        </w:rPr>
        <w:t xml:space="preserve"> architecture of the </w:t>
      </w:r>
      <w:r w:rsidRPr="005831CC">
        <w:rPr>
          <w:rStyle w:val="Emphasis"/>
          <w:highlight w:val="cyan"/>
        </w:rPr>
        <w:t>right to take industrial action</w:t>
      </w:r>
      <w:r w:rsidRPr="00FB7A7B">
        <w:rPr>
          <w:sz w:val="16"/>
        </w:rPr>
        <w:t xml:space="preserve">, rather than segregated into a separate sphere of consultation. In order to give some of the initiatives showcased in this pamphlet impetus, we need to put the right to bargain on climate and ecology on a statutory footing. </w:t>
      </w:r>
      <w:r w:rsidRPr="00067CEC">
        <w:rPr>
          <w:rStyle w:val="StyleUnderline"/>
        </w:rPr>
        <w:t xml:space="preserve">Trade </w:t>
      </w:r>
      <w:r w:rsidRPr="005831CC">
        <w:rPr>
          <w:rStyle w:val="StyleUnderline"/>
          <w:highlight w:val="cyan"/>
        </w:rPr>
        <w:t>unions need any</w:t>
      </w:r>
      <w:r w:rsidRPr="00067CEC">
        <w:rPr>
          <w:rStyle w:val="StyleUnderline"/>
        </w:rPr>
        <w:t xml:space="preserve"> legal </w:t>
      </w:r>
      <w:r w:rsidRPr="005831CC">
        <w:rPr>
          <w:rStyle w:val="StyleUnderline"/>
          <w:highlight w:val="cyan"/>
        </w:rPr>
        <w:t xml:space="preserve">obstacle that </w:t>
      </w:r>
      <w:r w:rsidRPr="005831CC">
        <w:rPr>
          <w:rStyle w:val="Emphasis"/>
          <w:highlight w:val="cyan"/>
        </w:rPr>
        <w:t>prevent industrial action</w:t>
      </w:r>
      <w:r w:rsidRPr="00FB7A7B">
        <w:rPr>
          <w:rStyle w:val="StyleUnderline"/>
        </w:rPr>
        <w:t xml:space="preserve"> to be</w:t>
      </w:r>
      <w:r w:rsidRPr="00067CEC">
        <w:rPr>
          <w:rStyle w:val="StyleUnderline"/>
        </w:rPr>
        <w:t xml:space="preserve"> taken on climate and environmental issues </w:t>
      </w:r>
      <w:r w:rsidRPr="00FB7A7B">
        <w:rPr>
          <w:rStyle w:val="StyleUnderline"/>
        </w:rPr>
        <w:t xml:space="preserve">to be </w:t>
      </w:r>
      <w:r w:rsidRPr="005831CC">
        <w:rPr>
          <w:rStyle w:val="Emphasis"/>
          <w:highlight w:val="cyan"/>
        </w:rPr>
        <w:t>removed</w:t>
      </w:r>
      <w:r w:rsidRPr="00FB7A7B">
        <w:rPr>
          <w:sz w:val="16"/>
        </w:rPr>
        <w:t xml:space="preserve">. </w:t>
      </w:r>
      <w:r w:rsidRPr="0048226A">
        <w:rPr>
          <w:szCs w:val="32"/>
        </w:rPr>
        <w:t xml:space="preserve">The </w:t>
      </w:r>
      <w:r w:rsidRPr="0048226A">
        <w:rPr>
          <w:szCs w:val="32"/>
          <w:highlight w:val="green"/>
        </w:rPr>
        <w:t>Institute of Employment Rights could</w:t>
      </w:r>
      <w:r w:rsidRPr="0048226A">
        <w:rPr>
          <w:szCs w:val="32"/>
        </w:rPr>
        <w:t xml:space="preserve"> play its role in this by </w:t>
      </w:r>
      <w:r w:rsidRPr="0048226A">
        <w:rPr>
          <w:szCs w:val="32"/>
          <w:highlight w:val="green"/>
        </w:rPr>
        <w:t>develop</w:t>
      </w:r>
      <w:r w:rsidRPr="0048226A">
        <w:rPr>
          <w:szCs w:val="32"/>
        </w:rPr>
        <w:t xml:space="preserve">ing </w:t>
      </w:r>
      <w:r w:rsidRPr="0048226A">
        <w:rPr>
          <w:szCs w:val="32"/>
          <w:highlight w:val="green"/>
        </w:rPr>
        <w:t>a section</w:t>
      </w:r>
      <w:r w:rsidRPr="0048226A">
        <w:rPr>
          <w:szCs w:val="32"/>
        </w:rPr>
        <w:t xml:space="preserve"> in its Manifesto for Labour Law </w:t>
      </w:r>
      <w:r w:rsidRPr="0048226A">
        <w:rPr>
          <w:szCs w:val="32"/>
          <w:highlight w:val="green"/>
        </w:rPr>
        <w:t>setting out</w:t>
      </w:r>
      <w:r w:rsidRPr="0048226A">
        <w:rPr>
          <w:szCs w:val="32"/>
        </w:rPr>
        <w:t xml:space="preserve"> the </w:t>
      </w:r>
      <w:r w:rsidRPr="0048226A">
        <w:rPr>
          <w:szCs w:val="32"/>
          <w:highlight w:val="green"/>
        </w:rPr>
        <w:t>reforms</w:t>
      </w:r>
      <w:r w:rsidRPr="0048226A">
        <w:rPr>
          <w:szCs w:val="32"/>
        </w:rPr>
        <w:t xml:space="preserve"> needed </w:t>
      </w:r>
      <w:r w:rsidRPr="0048226A">
        <w:rPr>
          <w:szCs w:val="32"/>
          <w:highlight w:val="green"/>
        </w:rPr>
        <w:t>to strengthen the role of reps and their unions</w:t>
      </w:r>
      <w:r w:rsidRPr="0048226A">
        <w:rPr>
          <w:szCs w:val="32"/>
        </w:rPr>
        <w:t xml:space="preserve"> in climate bargaining. </w:t>
      </w:r>
    </w:p>
    <w:p w14:paraId="2E0CDBFC" w14:textId="77777777" w:rsidR="00176ECF" w:rsidRPr="00575AC6" w:rsidRDefault="00176ECF" w:rsidP="00176ECF">
      <w:pPr>
        <w:rPr>
          <w:sz w:val="16"/>
        </w:rPr>
      </w:pPr>
      <w:r w:rsidRPr="009F3CA5">
        <w:rPr>
          <w:rStyle w:val="Emphasis"/>
        </w:rPr>
        <w:t>3</w:t>
      </w:r>
      <w:r w:rsidRPr="009F3CA5">
        <w:rPr>
          <w:rStyle w:val="StyleUnderline"/>
        </w:rPr>
        <w:t>.</w:t>
      </w:r>
      <w:r w:rsidRPr="00FB7A7B">
        <w:rPr>
          <w:rStyle w:val="StyleUnderline"/>
        </w:rPr>
        <w:t xml:space="preserve"> Trade </w:t>
      </w:r>
      <w:r w:rsidRPr="005831CC">
        <w:rPr>
          <w:rStyle w:val="StyleUnderline"/>
          <w:highlight w:val="cyan"/>
        </w:rPr>
        <w:t>unions must channel greater resources</w:t>
      </w:r>
      <w:r w:rsidRPr="00FB7A7B">
        <w:rPr>
          <w:rStyle w:val="StyleUnderline"/>
        </w:rPr>
        <w:t xml:space="preserve"> to climate campaigning</w:t>
      </w:r>
      <w:r w:rsidRPr="00FB7A7B">
        <w:rPr>
          <w:sz w:val="16"/>
        </w:rPr>
        <w:t xml:space="preserve">. The trade union movement will face increased pressure from a false market logic that says the battle ahead is between jobs and a green economy. At the moment, working class people are disproportionately paying the price for many ‘green’ reforms such as Ultra Low Emission Zones. Instead of taking on arguments about inequality and taking seriously the impact on some working people those policies are clearly having, the Labour Party is leaving a vacuum for the Conservative Party to gain ground. The trade union movement must step into this gap. A coordinated campaign for taking key public amenities into public ownership is a crucial part of this. The argument for public ownership of energy, public transport and of key infrastructure and sectors such as steel, road and housing construction is where trade unionism and climate activism come together. We must step up organising around unified demands for sustainable jobs and economies in those sectors. At the same time, we must take seriously people who are being left behind by a half-baked green policy agenda now. One way of doing this is to </w:t>
      </w:r>
      <w:r w:rsidRPr="005831CC">
        <w:rPr>
          <w:rStyle w:val="StyleUnderline"/>
          <w:highlight w:val="cyan"/>
        </w:rPr>
        <w:t xml:space="preserve">build </w:t>
      </w:r>
      <w:r w:rsidRPr="005831CC">
        <w:rPr>
          <w:rStyle w:val="Emphasis"/>
          <w:highlight w:val="cyan"/>
        </w:rPr>
        <w:t>cross-sectoral demands</w:t>
      </w:r>
      <w:r w:rsidRPr="00FB7A7B">
        <w:rPr>
          <w:rStyle w:val="Emphasis"/>
        </w:rPr>
        <w:t xml:space="preserve"> </w:t>
      </w:r>
      <w:r w:rsidRPr="00FB7A7B">
        <w:rPr>
          <w:rStyle w:val="StyleUnderline"/>
        </w:rPr>
        <w:t>for a reversal of precarious working and casualisation into bargaining as a climate demand. Struggles against</w:t>
      </w:r>
      <w:r w:rsidRPr="00FB7A7B">
        <w:rPr>
          <w:sz w:val="16"/>
        </w:rPr>
        <w:t xml:space="preserve"> workers’ </w:t>
      </w:r>
      <w:r w:rsidRPr="00FB7A7B">
        <w:rPr>
          <w:rStyle w:val="StyleUnderline"/>
        </w:rPr>
        <w:t>precarity</w:t>
      </w:r>
      <w:r w:rsidRPr="00FB7A7B">
        <w:rPr>
          <w:sz w:val="16"/>
        </w:rPr>
        <w:t xml:space="preserve"> are struggles that </w:t>
      </w:r>
      <w:r w:rsidRPr="00FB7A7B">
        <w:rPr>
          <w:rStyle w:val="StyleUnderline"/>
        </w:rPr>
        <w:t xml:space="preserve">allow us to build </w:t>
      </w:r>
      <w:r w:rsidRPr="00FB7A7B">
        <w:rPr>
          <w:rStyle w:val="Emphasis"/>
        </w:rPr>
        <w:t>sustainable economic alternatives</w:t>
      </w:r>
      <w:r w:rsidRPr="00FB7A7B">
        <w:rPr>
          <w:sz w:val="16"/>
        </w:rPr>
        <w:t xml:space="preserve">. As we have argued, there is an umbilical relationship between the precarity of jobs – unsustainable labour practices – and the unsustainable production practices that stand at the foundations of our economy. One of the most inspiring trends in the British trade union movement in recent years is the number of initiatives that seek to organise workers in the gig economy sectors, workers on zero hours contracts and agency workers. Such initiatives have involved established trade unions like BWAFU and Unite target large parts of the workforce that they previously did not recruit from and has led to the emergence of new trade unions organising gig economy and migrant workers like the UVW and the IWGB. </w:t>
      </w:r>
    </w:p>
    <w:p w14:paraId="61AC5CC6" w14:textId="77777777" w:rsidR="00176ECF" w:rsidRDefault="00176ECF" w:rsidP="00176ECF"/>
    <w:p w14:paraId="1AF6D54C" w14:textId="577724DE" w:rsidR="0048226A" w:rsidRDefault="0048226A" w:rsidP="0048226A">
      <w:pPr>
        <w:pStyle w:val="Heading4"/>
      </w:pPr>
      <w:r>
        <w:t xml:space="preserve">3 – </w:t>
      </w:r>
      <w:r>
        <w:t>Stronger unions won’t solve climate change – unions advocate against environmental protection</w:t>
      </w:r>
    </w:p>
    <w:p w14:paraId="0A61794A" w14:textId="77777777" w:rsidR="0048226A" w:rsidRPr="004D4A99" w:rsidRDefault="0048226A" w:rsidP="0048226A">
      <w:r>
        <w:t xml:space="preserve">Debba </w:t>
      </w:r>
      <w:r w:rsidRPr="004D4A99">
        <w:rPr>
          <w:rStyle w:val="Style13ptBold"/>
        </w:rPr>
        <w:t>Kahn 20</w:t>
      </w:r>
      <w:r>
        <w:t xml:space="preserve">, Samanth Maldonado, Catherine Boudreau, 9-1-2020, Kahn is California policy editor at POLITICO. She previously served as deputy sustainability editor, California bureau chief and California environment and transportation reporter, where she covered climate, water, air pollution, electric vehicles, fuel economy, high-speed rail and wildfires. She came to POLITICO in 2019 after 13 years at E&amp;E News, 10 of those in California. “Unions fracture over climate,” Politico, </w:t>
      </w:r>
      <w:hyperlink r:id="rId10" w:history="1">
        <w:r w:rsidRPr="008B3274">
          <w:rPr>
            <w:rStyle w:val="Hyperlink"/>
          </w:rPr>
          <w:t>https://www.politico.com/newsletters/the-long-game/2020/09/01/unions-fracture-over-climate-490237</w:t>
        </w:r>
      </w:hyperlink>
      <w:r>
        <w:t xml:space="preserve"> lp </w:t>
      </w:r>
    </w:p>
    <w:p w14:paraId="5876B398" w14:textId="77777777" w:rsidR="0048226A" w:rsidRPr="000721F3" w:rsidRDefault="0048226A" w:rsidP="0048226A">
      <w:pPr>
        <w:rPr>
          <w:sz w:val="14"/>
        </w:rPr>
      </w:pPr>
      <w:r w:rsidRPr="000721F3">
        <w:rPr>
          <w:sz w:val="14"/>
        </w:rPr>
        <w:t xml:space="preserve">A DIVIDED MOVEMENT — </w:t>
      </w:r>
      <w:r w:rsidRPr="000721F3">
        <w:rPr>
          <w:rStyle w:val="StyleUnderline"/>
        </w:rPr>
        <w:t>Organized labor is often viewed as a cheerleader for the left,</w:t>
      </w:r>
      <w:r w:rsidRPr="000721F3">
        <w:rPr>
          <w:sz w:val="14"/>
        </w:rPr>
        <w:t xml:space="preserve"> helping shape the agendas of Democratic lawmakers. But in statehouses from coast to coast and at the national level, </w:t>
      </w:r>
      <w:r w:rsidRPr="003121AA">
        <w:rPr>
          <w:rStyle w:val="Emphasis"/>
          <w:highlight w:val="cyan"/>
        </w:rPr>
        <w:t>unions have</w:t>
      </w:r>
      <w:r w:rsidRPr="000721F3">
        <w:rPr>
          <w:rStyle w:val="Emphasis"/>
        </w:rPr>
        <w:t xml:space="preserve"> had </w:t>
      </w:r>
      <w:r w:rsidRPr="003121AA">
        <w:rPr>
          <w:rStyle w:val="Emphasis"/>
          <w:highlight w:val="cyan"/>
        </w:rPr>
        <w:t>no problem blocking green initiatives</w:t>
      </w:r>
      <w:r w:rsidRPr="003121AA">
        <w:rPr>
          <w:sz w:val="14"/>
          <w:highlight w:val="cyan"/>
        </w:rPr>
        <w:t xml:space="preserve"> </w:t>
      </w:r>
      <w:r w:rsidRPr="003121AA">
        <w:rPr>
          <w:rStyle w:val="StyleUnderline"/>
          <w:highlight w:val="cyan"/>
        </w:rPr>
        <w:t>if</w:t>
      </w:r>
      <w:r w:rsidRPr="000721F3">
        <w:rPr>
          <w:rStyle w:val="StyleUnderline"/>
        </w:rPr>
        <w:t xml:space="preserve"> </w:t>
      </w:r>
      <w:r w:rsidRPr="003121AA">
        <w:rPr>
          <w:rStyle w:val="StyleUnderline"/>
        </w:rPr>
        <w:t>they</w:t>
      </w:r>
      <w:r w:rsidRPr="000721F3">
        <w:rPr>
          <w:rStyle w:val="StyleUnderline"/>
        </w:rPr>
        <w:t xml:space="preserve"> decide </w:t>
      </w:r>
      <w:r w:rsidRPr="003121AA">
        <w:rPr>
          <w:rStyle w:val="StyleUnderline"/>
          <w:highlight w:val="cyan"/>
        </w:rPr>
        <w:t>they’re not in their members’ interests</w:t>
      </w:r>
      <w:r w:rsidRPr="000721F3">
        <w:rPr>
          <w:sz w:val="14"/>
        </w:rPr>
        <w:t>.</w:t>
      </w:r>
    </w:p>
    <w:p w14:paraId="5CD4B265" w14:textId="77777777" w:rsidR="0048226A" w:rsidRPr="000721F3" w:rsidRDefault="0048226A" w:rsidP="0048226A">
      <w:pPr>
        <w:rPr>
          <w:sz w:val="14"/>
        </w:rPr>
      </w:pPr>
      <w:r w:rsidRPr="003121AA">
        <w:rPr>
          <w:rStyle w:val="StyleUnderline"/>
          <w:highlight w:val="cyan"/>
        </w:rPr>
        <w:t>Those who stand to lose the</w:t>
      </w:r>
      <w:r w:rsidRPr="000721F3">
        <w:rPr>
          <w:rStyle w:val="StyleUnderline"/>
        </w:rPr>
        <w:t xml:space="preserve"> most from tightening environmental policies </w:t>
      </w:r>
      <w:r w:rsidRPr="003121AA">
        <w:rPr>
          <w:rStyle w:val="StyleUnderline"/>
          <w:highlight w:val="cyan"/>
        </w:rPr>
        <w:t>have been wielding</w:t>
      </w:r>
      <w:r w:rsidRPr="000721F3">
        <w:rPr>
          <w:rStyle w:val="StyleUnderline"/>
        </w:rPr>
        <w:t xml:space="preserve"> their </w:t>
      </w:r>
      <w:r w:rsidRPr="003121AA">
        <w:rPr>
          <w:rStyle w:val="StyleUnderline"/>
          <w:highlight w:val="cyan"/>
        </w:rPr>
        <w:t>power</w:t>
      </w:r>
      <w:r w:rsidRPr="000721F3">
        <w:rPr>
          <w:rStyle w:val="StyleUnderline"/>
        </w:rPr>
        <w:t xml:space="preserve"> the past few months </w:t>
      </w:r>
      <w:r w:rsidRPr="003121AA">
        <w:rPr>
          <w:rStyle w:val="StyleUnderline"/>
          <w:highlight w:val="cyan"/>
        </w:rPr>
        <w:t>to kill proposals</w:t>
      </w:r>
      <w:r w:rsidRPr="000721F3">
        <w:rPr>
          <w:rStyle w:val="StyleUnderline"/>
        </w:rPr>
        <w:t xml:space="preserve"> in statehouses</w:t>
      </w:r>
      <w:r w:rsidRPr="000721F3">
        <w:rPr>
          <w:sz w:val="14"/>
        </w:rPr>
        <w:t xml:space="preserve"> across the country. Broadly, </w:t>
      </w:r>
      <w:r w:rsidRPr="003121AA">
        <w:rPr>
          <w:rStyle w:val="StyleUnderline"/>
        </w:rPr>
        <w:t>the split</w:t>
      </w:r>
      <w:r w:rsidRPr="000721F3">
        <w:rPr>
          <w:rStyle w:val="StyleUnderline"/>
        </w:rPr>
        <w:t xml:space="preserve"> among unions is most marked between trade </w:t>
      </w:r>
      <w:r w:rsidRPr="003121AA">
        <w:rPr>
          <w:rStyle w:val="StyleUnderline"/>
          <w:highlight w:val="cyan"/>
        </w:rPr>
        <w:t>unions</w:t>
      </w:r>
      <w:r w:rsidRPr="000721F3">
        <w:rPr>
          <w:rStyle w:val="StyleUnderline"/>
        </w:rPr>
        <w:t xml:space="preserve"> whose </w:t>
      </w:r>
      <w:r w:rsidRPr="003121AA">
        <w:rPr>
          <w:rStyle w:val="Emphasis"/>
          <w:highlight w:val="cyan"/>
        </w:rPr>
        <w:t>jobs are tied to the fossil fuel industry</w:t>
      </w:r>
      <w:r w:rsidRPr="000721F3">
        <w:rPr>
          <w:rStyle w:val="StyleUnderline"/>
        </w:rPr>
        <w:t xml:space="preserve"> </w:t>
      </w:r>
      <w:r w:rsidRPr="000721F3">
        <w:rPr>
          <w:sz w:val="14"/>
        </w:rPr>
        <w:t>and those representing the service sector, like health care, government and custodial workers.</w:t>
      </w:r>
    </w:p>
    <w:p w14:paraId="66CCC746" w14:textId="77777777" w:rsidR="0048226A" w:rsidRPr="000721F3" w:rsidRDefault="0048226A" w:rsidP="0048226A">
      <w:pPr>
        <w:rPr>
          <w:sz w:val="14"/>
        </w:rPr>
      </w:pPr>
      <w:r w:rsidRPr="000721F3">
        <w:rPr>
          <w:sz w:val="14"/>
        </w:rPr>
        <w:t xml:space="preserve">“In recent years, the public employees have been siding mostly with the environmentalists and the </w:t>
      </w:r>
      <w:r w:rsidRPr="000721F3">
        <w:rPr>
          <w:rStyle w:val="StyleUnderline"/>
        </w:rPr>
        <w:t>private sector have been siding with</w:t>
      </w:r>
      <w:r w:rsidRPr="000721F3">
        <w:rPr>
          <w:sz w:val="14"/>
        </w:rPr>
        <w:t xml:space="preserve"> our opinion, which is yes, we’re pro-environment but ... we also want to be able to afford to live here and have </w:t>
      </w:r>
      <w:r w:rsidRPr="000721F3">
        <w:rPr>
          <w:rStyle w:val="StyleUnderline"/>
        </w:rPr>
        <w:t>jobs</w:t>
      </w:r>
      <w:r w:rsidRPr="000721F3">
        <w:rPr>
          <w:sz w:val="14"/>
        </w:rPr>
        <w:t xml:space="preserve"> here,” said Kate Gibbs, deputy director of the Engineers Labor-Employer Cooperative, a trades union.</w:t>
      </w:r>
    </w:p>
    <w:p w14:paraId="5905A890" w14:textId="77777777" w:rsidR="0048226A" w:rsidRPr="000721F3" w:rsidRDefault="0048226A" w:rsidP="0048226A">
      <w:pPr>
        <w:rPr>
          <w:sz w:val="14"/>
        </w:rPr>
      </w:pPr>
      <w:r w:rsidRPr="003121AA">
        <w:rPr>
          <w:rStyle w:val="StyleUnderline"/>
          <w:highlight w:val="cyan"/>
        </w:rPr>
        <w:t>Environmental protection and</w:t>
      </w:r>
      <w:r w:rsidRPr="000721F3">
        <w:rPr>
          <w:rStyle w:val="StyleUnderline"/>
        </w:rPr>
        <w:t xml:space="preserve"> union </w:t>
      </w:r>
      <w:r w:rsidRPr="003121AA">
        <w:rPr>
          <w:rStyle w:val="StyleUnderline"/>
          <w:highlight w:val="cyan"/>
        </w:rPr>
        <w:t xml:space="preserve">jobs are a </w:t>
      </w:r>
      <w:r w:rsidRPr="003121AA">
        <w:rPr>
          <w:rStyle w:val="Emphasis"/>
          <w:highlight w:val="cyan"/>
        </w:rPr>
        <w:t>fault line</w:t>
      </w:r>
      <w:r w:rsidRPr="000721F3">
        <w:rPr>
          <w:rStyle w:val="Emphasis"/>
        </w:rPr>
        <w:t xml:space="preserve"> among Democrats</w:t>
      </w:r>
      <w:r w:rsidRPr="000721F3">
        <w:rPr>
          <w:sz w:val="14"/>
        </w:rPr>
        <w:t>, which will only be magnified nationwide if Joe Biden defeats President Donald Trump in November. Biden will be under pressure from the left to enact major climate action similar to the “Green New Deal,” which many national labor union leaders oppose. The Democratic National Committee last month scrapped language in its platform calling for an end to fossil fuel tax breaks and subsidies, despite Biden’s campaign arguing the move would ultimately benefit unions.</w:t>
      </w:r>
    </w:p>
    <w:p w14:paraId="492077E0" w14:textId="77777777" w:rsidR="0048226A" w:rsidRPr="000721F3" w:rsidRDefault="0048226A" w:rsidP="0048226A">
      <w:pPr>
        <w:rPr>
          <w:sz w:val="14"/>
        </w:rPr>
      </w:pPr>
      <w:r w:rsidRPr="000721F3">
        <w:rPr>
          <w:sz w:val="14"/>
        </w:rPr>
        <w:t xml:space="preserve">Take California, where Democrats dominate state government. </w:t>
      </w:r>
      <w:r w:rsidRPr="003121AA">
        <w:rPr>
          <w:rStyle w:val="StyleUnderline"/>
          <w:highlight w:val="cyan"/>
        </w:rPr>
        <w:t>In a recent tug of war</w:t>
      </w:r>
      <w:r w:rsidRPr="000721F3">
        <w:rPr>
          <w:rStyle w:val="StyleUnderline"/>
        </w:rPr>
        <w:t xml:space="preserve"> over the blue-collar constituency, the </w:t>
      </w:r>
      <w:r w:rsidRPr="003121AA">
        <w:rPr>
          <w:rStyle w:val="Emphasis"/>
          <w:highlight w:val="cyan"/>
        </w:rPr>
        <w:t>unions proved decisive</w:t>
      </w:r>
      <w:r w:rsidRPr="000721F3">
        <w:rPr>
          <w:rStyle w:val="Emphasis"/>
        </w:rPr>
        <w:t>.</w:t>
      </w:r>
      <w:r w:rsidRPr="000721F3">
        <w:rPr>
          <w:sz w:val="14"/>
        </w:rPr>
        <w:t xml:space="preserve"> </w:t>
      </w:r>
      <w:r w:rsidRPr="003121AA">
        <w:rPr>
          <w:rStyle w:val="StyleUnderline"/>
          <w:highlight w:val="cyan"/>
        </w:rPr>
        <w:t>Electrical</w:t>
      </w:r>
      <w:r w:rsidRPr="000721F3">
        <w:rPr>
          <w:rStyle w:val="StyleUnderline"/>
        </w:rPr>
        <w:t xml:space="preserve"> and </w:t>
      </w:r>
      <w:r w:rsidRPr="003121AA">
        <w:rPr>
          <w:rStyle w:val="StyleUnderline"/>
          <w:highlight w:val="cyan"/>
        </w:rPr>
        <w:t>ironworkers</w:t>
      </w:r>
      <w:r w:rsidRPr="000721F3">
        <w:rPr>
          <w:rStyle w:val="StyleUnderline"/>
        </w:rPr>
        <w:t xml:space="preserve">, </w:t>
      </w:r>
      <w:r w:rsidRPr="003121AA">
        <w:rPr>
          <w:rStyle w:val="StyleUnderline"/>
          <w:highlight w:val="cyan"/>
        </w:rPr>
        <w:t>pipe fitters,</w:t>
      </w:r>
      <w:r w:rsidRPr="000721F3">
        <w:rPr>
          <w:rStyle w:val="StyleUnderline"/>
        </w:rPr>
        <w:t xml:space="preserve"> </w:t>
      </w:r>
      <w:r w:rsidRPr="003121AA">
        <w:rPr>
          <w:rStyle w:val="StyleUnderline"/>
          <w:highlight w:val="cyan"/>
        </w:rPr>
        <w:t>boilermakers</w:t>
      </w:r>
      <w:r w:rsidRPr="000721F3">
        <w:rPr>
          <w:rStyle w:val="StyleUnderline"/>
        </w:rPr>
        <w:t xml:space="preserve"> and </w:t>
      </w:r>
      <w:r w:rsidRPr="003121AA">
        <w:rPr>
          <w:rStyle w:val="StyleUnderline"/>
          <w:highlight w:val="cyan"/>
        </w:rPr>
        <w:t>construction workers</w:t>
      </w:r>
      <w:r w:rsidRPr="000721F3">
        <w:rPr>
          <w:rStyle w:val="StyleUnderline"/>
        </w:rPr>
        <w:t xml:space="preserve">, along with oil companies and the state Chamber of Commerce, </w:t>
      </w:r>
      <w:r w:rsidRPr="003121AA">
        <w:rPr>
          <w:rStyle w:val="StyleUnderline"/>
          <w:highlight w:val="cyan"/>
        </w:rPr>
        <w:t>persuaded</w:t>
      </w:r>
      <w:r w:rsidRPr="000721F3">
        <w:rPr>
          <w:rStyle w:val="StyleUnderline"/>
        </w:rPr>
        <w:t xml:space="preserve"> three Democratic </w:t>
      </w:r>
      <w:r w:rsidRPr="003121AA">
        <w:rPr>
          <w:rStyle w:val="StyleUnderline"/>
          <w:highlight w:val="cyan"/>
        </w:rPr>
        <w:t xml:space="preserve">senators to </w:t>
      </w:r>
      <w:r w:rsidRPr="003121AA">
        <w:rPr>
          <w:rStyle w:val="Emphasis"/>
          <w:highlight w:val="cyan"/>
        </w:rPr>
        <w:t>vote against a bill that</w:t>
      </w:r>
      <w:r w:rsidRPr="000721F3">
        <w:rPr>
          <w:rStyle w:val="Emphasis"/>
        </w:rPr>
        <w:t xml:space="preserve"> </w:t>
      </w:r>
      <w:r w:rsidRPr="003121AA">
        <w:rPr>
          <w:rStyle w:val="Emphasis"/>
          <w:highlight w:val="cyan"/>
        </w:rPr>
        <w:t>would have mandated no-drill zones</w:t>
      </w:r>
      <w:r w:rsidRPr="000721F3">
        <w:rPr>
          <w:rStyle w:val="StyleUnderline"/>
        </w:rPr>
        <w:t xml:space="preserve"> around certain populous areas</w:t>
      </w:r>
      <w:r w:rsidRPr="000721F3">
        <w:rPr>
          <w:sz w:val="14"/>
        </w:rPr>
        <w:t xml:space="preserve"> — killing the effort for the year.</w:t>
      </w:r>
    </w:p>
    <w:p w14:paraId="7DA3A4DD" w14:textId="77777777" w:rsidR="0048226A" w:rsidRPr="000721F3" w:rsidRDefault="0048226A" w:rsidP="0048226A">
      <w:pPr>
        <w:rPr>
          <w:sz w:val="14"/>
        </w:rPr>
      </w:pPr>
      <w:r w:rsidRPr="000721F3">
        <w:rPr>
          <w:sz w:val="14"/>
        </w:rPr>
        <w:t>“We’ve got a little bit stronger voice for working people than most other people,” said Robbie Hunter, president of the State Building and Construction Trades Council of California, the parent organization for 160 local unions that represent 400,000 workers across more than a dozen different trades, which spearheaded opposition to the bill.</w:t>
      </w:r>
    </w:p>
    <w:p w14:paraId="09F89FFC" w14:textId="77777777" w:rsidR="0048226A" w:rsidRPr="000721F3" w:rsidRDefault="0048226A" w:rsidP="0048226A">
      <w:pPr>
        <w:rPr>
          <w:sz w:val="14"/>
        </w:rPr>
      </w:pPr>
      <w:r w:rsidRPr="003121AA">
        <w:rPr>
          <w:rStyle w:val="StyleUnderline"/>
          <w:highlight w:val="cyan"/>
        </w:rPr>
        <w:t>In Pennsylvania</w:t>
      </w:r>
      <w:r w:rsidRPr="000721F3">
        <w:rPr>
          <w:rStyle w:val="StyleUnderline"/>
        </w:rPr>
        <w:t xml:space="preserve">, Democratic state lawmakers were recently frustrated by </w:t>
      </w:r>
      <w:r w:rsidRPr="003121AA">
        <w:rPr>
          <w:rStyle w:val="StyleUnderline"/>
          <w:highlight w:val="cyan"/>
        </w:rPr>
        <w:t>AFL</w:t>
      </w:r>
      <w:r w:rsidRPr="000721F3">
        <w:rPr>
          <w:rStyle w:val="StyleUnderline"/>
        </w:rPr>
        <w:t>-</w:t>
      </w:r>
      <w:r w:rsidRPr="003121AA">
        <w:rPr>
          <w:rStyle w:val="StyleUnderline"/>
          <w:highlight w:val="cyan"/>
        </w:rPr>
        <w:t>CIO</w:t>
      </w:r>
      <w:r w:rsidRPr="000721F3">
        <w:rPr>
          <w:rStyle w:val="StyleUnderline"/>
        </w:rPr>
        <w:t xml:space="preserve">, Building Trades and International Brotherhood of Electrical Workers’ support of a bill that would </w:t>
      </w:r>
      <w:r w:rsidRPr="003121AA">
        <w:rPr>
          <w:rStyle w:val="Emphasis"/>
          <w:highlight w:val="cyan"/>
        </w:rPr>
        <w:t>block the state from joining</w:t>
      </w:r>
      <w:r w:rsidRPr="000721F3">
        <w:rPr>
          <w:rStyle w:val="Emphasis"/>
        </w:rPr>
        <w:t xml:space="preserve"> the </w:t>
      </w:r>
      <w:r w:rsidRPr="003121AA">
        <w:rPr>
          <w:rStyle w:val="Emphasis"/>
          <w:highlight w:val="cyan"/>
        </w:rPr>
        <w:t>Regional Greenhouse Gas Initiative</w:t>
      </w:r>
      <w:r w:rsidRPr="000721F3">
        <w:rPr>
          <w:sz w:val="14"/>
        </w:rPr>
        <w:t>, a cap-and-trade program to reduce emissions from the power sector.</w:t>
      </w:r>
    </w:p>
    <w:p w14:paraId="221E3707" w14:textId="77777777" w:rsidR="0048226A" w:rsidRPr="000721F3" w:rsidRDefault="0048226A" w:rsidP="0048226A">
      <w:pPr>
        <w:rPr>
          <w:sz w:val="14"/>
        </w:rPr>
      </w:pPr>
      <w:r w:rsidRPr="000721F3">
        <w:rPr>
          <w:sz w:val="14"/>
        </w:rPr>
        <w:t>“It’s this fundamental tension,” a California state lawmaker said on condition of anonymity to avoid political repercussion. “It underlies everything from the Green New Deal at the national level to California’s climate action agenda.”</w:t>
      </w:r>
    </w:p>
    <w:p w14:paraId="316F6EB5" w14:textId="10CE3976" w:rsidR="0048226A" w:rsidRDefault="0048226A" w:rsidP="0048226A">
      <w:pPr>
        <w:tabs>
          <w:tab w:val="left" w:pos="2337"/>
        </w:tabs>
      </w:pPr>
      <w:r>
        <w:tab/>
      </w:r>
    </w:p>
    <w:p w14:paraId="6ED7F1D9" w14:textId="11A46C3A" w:rsidR="0048226A" w:rsidRDefault="0048226A" w:rsidP="0048226A">
      <w:pPr>
        <w:pStyle w:val="Heading3"/>
      </w:pPr>
      <w:r>
        <w:t>1NC – Stagnation</w:t>
      </w:r>
    </w:p>
    <w:p w14:paraId="16334BAA" w14:textId="4D62F78A" w:rsidR="0048226A" w:rsidRDefault="0048226A" w:rsidP="0048226A">
      <w:pPr>
        <w:pStyle w:val="Heading4"/>
      </w:pPr>
      <w:r>
        <w:t xml:space="preserve">1 – </w:t>
      </w:r>
      <w:r>
        <w:t xml:space="preserve">Unions can’t solve. </w:t>
      </w:r>
    </w:p>
    <w:p w14:paraId="48EA852F" w14:textId="77777777" w:rsidR="0048226A" w:rsidRPr="00FF37C8" w:rsidRDefault="0048226A" w:rsidP="0048226A">
      <w:r w:rsidRPr="00FF37C8">
        <w:t xml:space="preserve">Liya </w:t>
      </w:r>
      <w:r w:rsidRPr="00FF37C8">
        <w:rPr>
          <w:rStyle w:val="Style13ptBold"/>
        </w:rPr>
        <w:t>Palagashvili</w:t>
      </w:r>
      <w:r>
        <w:t>, R</w:t>
      </w:r>
      <w:r w:rsidRPr="00FF37C8">
        <w:t xml:space="preserve">evana </w:t>
      </w:r>
      <w:r w:rsidRPr="00FF37C8">
        <w:rPr>
          <w:rStyle w:val="Style13ptBold"/>
        </w:rPr>
        <w:t>Sharfuddin</w:t>
      </w:r>
      <w:r>
        <w:rPr>
          <w:rStyle w:val="Style13ptBold"/>
        </w:rPr>
        <w:t xml:space="preserve"> 5/7</w:t>
      </w:r>
      <w:r w:rsidRPr="00FF37C8">
        <w:t xml:space="preserve">, 5-7-2025, </w:t>
      </w:r>
      <w:r>
        <w:t xml:space="preserve">Palagashvili is a senior research fellow and director of the Labor Policy Project at the Mercatus Center at George Mason University. Her research focuses on labor regulations, the gig economy, and the changing nature of work. Her writing has been published in academic journals, in books, and in media outlets such as the New York Times and the Wall Street Journal. She regularly writes for her Substack, Labor Market Matters, and for a column at The Hill. </w:t>
      </w:r>
      <w:r w:rsidRPr="00FF37C8">
        <w:t xml:space="preserve">"Do More Powerful Unions Generate Better Pro-Worker Outcomes?", Mercatus Center, </w:t>
      </w:r>
      <w:hyperlink r:id="rId11" w:history="1">
        <w:r w:rsidRPr="00293ABB">
          <w:rPr>
            <w:rStyle w:val="Hyperlink"/>
          </w:rPr>
          <w:t>https://www.mercatus.org/research/working-papers/do-more-powerful-unions-generate-better-pro-worker-outcomes</w:t>
        </w:r>
      </w:hyperlink>
      <w:r>
        <w:t xml:space="preserve"> lp </w:t>
      </w:r>
    </w:p>
    <w:p w14:paraId="68044067" w14:textId="77777777" w:rsidR="0048226A" w:rsidRPr="002B2627" w:rsidRDefault="0048226A" w:rsidP="0048226A">
      <w:pPr>
        <w:rPr>
          <w:sz w:val="14"/>
        </w:rPr>
      </w:pPr>
      <w:r w:rsidRPr="002B2627">
        <w:rPr>
          <w:sz w:val="14"/>
        </w:rPr>
        <w:t xml:space="preserve">Historically, unionized workers have earned higher wages than nonunionized workers, a trend widely documented in earlier literature.[7] </w:t>
      </w:r>
      <w:r w:rsidRPr="002B2627">
        <w:rPr>
          <w:rStyle w:val="StyleUnderline"/>
        </w:rPr>
        <w:t xml:space="preserve">Recent studies, however, suggest that the </w:t>
      </w:r>
      <w:r w:rsidRPr="0026539B">
        <w:rPr>
          <w:rStyle w:val="StyleUnderline"/>
          <w:highlight w:val="cyan"/>
        </w:rPr>
        <w:t>labor union wage premium</w:t>
      </w:r>
      <w:r w:rsidRPr="002B2627">
        <w:rPr>
          <w:rStyle w:val="StyleUnderline"/>
        </w:rPr>
        <w:t xml:space="preserve">, which is </w:t>
      </w:r>
      <w:r w:rsidRPr="00FC7FAC">
        <w:rPr>
          <w:rStyle w:val="StyleUnderline"/>
        </w:rPr>
        <w:t xml:space="preserve">the </w:t>
      </w:r>
      <w:r w:rsidRPr="0026539B">
        <w:rPr>
          <w:rStyle w:val="StyleUnderline"/>
          <w:highlight w:val="cyan"/>
        </w:rPr>
        <w:t>difference be</w:t>
      </w:r>
      <w:r w:rsidRPr="00FC7FAC">
        <w:rPr>
          <w:rStyle w:val="StyleUnderline"/>
          <w:highlight w:val="cyan"/>
        </w:rPr>
        <w:t>tween</w:t>
      </w:r>
      <w:r w:rsidRPr="002B2627">
        <w:rPr>
          <w:rStyle w:val="StyleUnderline"/>
        </w:rPr>
        <w:t xml:space="preserve"> the </w:t>
      </w:r>
      <w:r w:rsidRPr="0026539B">
        <w:rPr>
          <w:rStyle w:val="StyleUnderline"/>
          <w:highlight w:val="cyan"/>
        </w:rPr>
        <w:t xml:space="preserve">wages of unionized </w:t>
      </w:r>
      <w:r w:rsidRPr="0026539B">
        <w:rPr>
          <w:rStyle w:val="StyleUnderline"/>
        </w:rPr>
        <w:t xml:space="preserve">workers </w:t>
      </w:r>
      <w:r w:rsidRPr="0026539B">
        <w:rPr>
          <w:rStyle w:val="StyleUnderline"/>
          <w:highlight w:val="cyan"/>
        </w:rPr>
        <w:t>and nonunionized</w:t>
      </w:r>
      <w:r w:rsidRPr="002B2627">
        <w:rPr>
          <w:rStyle w:val="StyleUnderline"/>
        </w:rPr>
        <w:t xml:space="preserve"> </w:t>
      </w:r>
      <w:r w:rsidRPr="0026539B">
        <w:rPr>
          <w:rStyle w:val="StyleUnderline"/>
          <w:highlight w:val="cyan"/>
        </w:rPr>
        <w:t>workers</w:t>
      </w:r>
      <w:r w:rsidRPr="002B2627">
        <w:rPr>
          <w:sz w:val="14"/>
        </w:rPr>
        <w:t xml:space="preserve">, </w:t>
      </w:r>
      <w:r w:rsidRPr="00FC7FAC">
        <w:rPr>
          <w:rStyle w:val="Emphasis"/>
        </w:rPr>
        <w:t xml:space="preserve">has </w:t>
      </w:r>
      <w:r w:rsidRPr="0026539B">
        <w:rPr>
          <w:rStyle w:val="Emphasis"/>
          <w:highlight w:val="cyan"/>
        </w:rPr>
        <w:t xml:space="preserve">declined in recent years and may </w:t>
      </w:r>
      <w:r w:rsidRPr="0026539B">
        <w:rPr>
          <w:rStyle w:val="Emphasis"/>
        </w:rPr>
        <w:t>even</w:t>
      </w:r>
      <w:r w:rsidRPr="002B2627">
        <w:rPr>
          <w:rStyle w:val="Emphasis"/>
        </w:rPr>
        <w:t xml:space="preserve"> </w:t>
      </w:r>
      <w:r w:rsidRPr="0026539B">
        <w:rPr>
          <w:rStyle w:val="Emphasis"/>
          <w:highlight w:val="cyan"/>
        </w:rPr>
        <w:t>be negligible or zero</w:t>
      </w:r>
      <w:r w:rsidRPr="0026539B">
        <w:rPr>
          <w:sz w:val="14"/>
          <w:highlight w:val="cyan"/>
        </w:rPr>
        <w:t>.</w:t>
      </w:r>
      <w:r w:rsidRPr="0026539B">
        <w:rPr>
          <w:sz w:val="14"/>
        </w:rPr>
        <w:t>[</w:t>
      </w:r>
      <w:r w:rsidRPr="002B2627">
        <w:rPr>
          <w:sz w:val="14"/>
        </w:rPr>
        <w:t xml:space="preserve">8] </w:t>
      </w:r>
      <w:r w:rsidRPr="002B2627">
        <w:rPr>
          <w:rStyle w:val="StyleUnderline"/>
        </w:rPr>
        <w:t>In other words, partly because of increased global competition and technology changes</w:t>
      </w:r>
      <w:r w:rsidRPr="002B2627">
        <w:rPr>
          <w:sz w:val="14"/>
        </w:rPr>
        <w:t xml:space="preserve">, </w:t>
      </w:r>
      <w:r w:rsidRPr="002B2627">
        <w:rPr>
          <w:rStyle w:val="StyleUnderline"/>
        </w:rPr>
        <w:t xml:space="preserve">the advantage in wages that unionized workers once held over nonunionized workers has diminished to the point where </w:t>
      </w:r>
      <w:r w:rsidRPr="005A6D98">
        <w:rPr>
          <w:rStyle w:val="StyleUnderline"/>
        </w:rPr>
        <w:t>union membership may no longer guarantee higher</w:t>
      </w:r>
      <w:r w:rsidRPr="002B2627">
        <w:rPr>
          <w:rStyle w:val="StyleUnderline"/>
        </w:rPr>
        <w:t xml:space="preserve"> </w:t>
      </w:r>
      <w:r w:rsidRPr="005A6D98">
        <w:rPr>
          <w:rStyle w:val="StyleUnderline"/>
        </w:rPr>
        <w:t>earnings</w:t>
      </w:r>
      <w:r w:rsidRPr="002B2627">
        <w:rPr>
          <w:sz w:val="14"/>
        </w:rPr>
        <w:t xml:space="preserve">. The </w:t>
      </w:r>
      <w:r w:rsidRPr="002B2627">
        <w:rPr>
          <w:rStyle w:val="StyleUnderline"/>
        </w:rPr>
        <w:t xml:space="preserve">diminished union wage premium is also </w:t>
      </w:r>
      <w:r w:rsidRPr="005A6D98">
        <w:rPr>
          <w:rStyle w:val="StyleUnderline"/>
        </w:rPr>
        <w:t xml:space="preserve">partly related to </w:t>
      </w:r>
      <w:r w:rsidRPr="005A6D98">
        <w:rPr>
          <w:rStyle w:val="StyleUnderline"/>
          <w:highlight w:val="cyan"/>
        </w:rPr>
        <w:t>long-term rigid collective</w:t>
      </w:r>
      <w:r w:rsidRPr="002B2627">
        <w:rPr>
          <w:rStyle w:val="StyleUnderline"/>
        </w:rPr>
        <w:t xml:space="preserve"> </w:t>
      </w:r>
      <w:r w:rsidRPr="005A6D98">
        <w:rPr>
          <w:rStyle w:val="StyleUnderline"/>
          <w:highlight w:val="cyan"/>
        </w:rPr>
        <w:t xml:space="preserve">bargaining contracts </w:t>
      </w:r>
      <w:r w:rsidRPr="00FC7FAC">
        <w:rPr>
          <w:rStyle w:val="StyleUnderline"/>
        </w:rPr>
        <w:t xml:space="preserve">that </w:t>
      </w:r>
      <w:r w:rsidRPr="005A6D98">
        <w:rPr>
          <w:rStyle w:val="StyleUnderline"/>
          <w:highlight w:val="cyan"/>
        </w:rPr>
        <w:t>limit firms</w:t>
      </w:r>
      <w:r w:rsidRPr="002B2627">
        <w:rPr>
          <w:rStyle w:val="StyleUnderline"/>
        </w:rPr>
        <w:t>’ ability to adjust wages to economic changes</w:t>
      </w:r>
      <w:r w:rsidRPr="002B2627">
        <w:rPr>
          <w:sz w:val="14"/>
        </w:rPr>
        <w:t xml:space="preserve">. While this rigidity helps stabilize unionized wages during downturns, </w:t>
      </w:r>
      <w:r w:rsidRPr="005A6D98">
        <w:rPr>
          <w:rStyle w:val="Emphasis"/>
        </w:rPr>
        <w:t>it</w:t>
      </w:r>
      <w:r w:rsidRPr="002B2627">
        <w:rPr>
          <w:rStyle w:val="Emphasis"/>
        </w:rPr>
        <w:t xml:space="preserve"> </w:t>
      </w:r>
      <w:r w:rsidRPr="005A6D98">
        <w:rPr>
          <w:rStyle w:val="Emphasis"/>
        </w:rPr>
        <w:t>can</w:t>
      </w:r>
      <w:r w:rsidRPr="002B2627">
        <w:rPr>
          <w:rStyle w:val="Emphasis"/>
        </w:rPr>
        <w:t xml:space="preserve"> </w:t>
      </w:r>
      <w:r w:rsidRPr="005A6D98">
        <w:rPr>
          <w:rStyle w:val="Emphasis"/>
        </w:rPr>
        <w:t xml:space="preserve">also prevent them </w:t>
      </w:r>
      <w:r w:rsidRPr="005A6D98">
        <w:rPr>
          <w:rStyle w:val="Emphasis"/>
          <w:highlight w:val="cyan"/>
        </w:rPr>
        <w:t>from rising during economic expansions</w:t>
      </w:r>
      <w:r w:rsidRPr="002B2627">
        <w:rPr>
          <w:sz w:val="14"/>
        </w:rPr>
        <w:t xml:space="preserve">, </w:t>
      </w:r>
      <w:r w:rsidRPr="002B2627">
        <w:rPr>
          <w:rStyle w:val="Emphasis"/>
        </w:rPr>
        <w:t xml:space="preserve">thereby </w:t>
      </w:r>
      <w:r w:rsidRPr="005A6D98">
        <w:rPr>
          <w:rStyle w:val="Emphasis"/>
          <w:highlight w:val="cyan"/>
        </w:rPr>
        <w:t>lead</w:t>
      </w:r>
      <w:r w:rsidRPr="00FC7FAC">
        <w:rPr>
          <w:rStyle w:val="Emphasis"/>
        </w:rPr>
        <w:t xml:space="preserve">ing </w:t>
      </w:r>
      <w:r w:rsidRPr="005A6D98">
        <w:rPr>
          <w:rStyle w:val="Emphasis"/>
          <w:highlight w:val="cyan"/>
        </w:rPr>
        <w:t>to unionized wage stagnation</w:t>
      </w:r>
      <w:r w:rsidRPr="002B2627">
        <w:rPr>
          <w:sz w:val="14"/>
        </w:rPr>
        <w:t xml:space="preserve"> and potentially compression compared to nonunionized wages.</w:t>
      </w:r>
    </w:p>
    <w:p w14:paraId="06279194" w14:textId="77777777" w:rsidR="0048226A" w:rsidRPr="002B2627" w:rsidRDefault="0048226A" w:rsidP="0048226A">
      <w:pPr>
        <w:rPr>
          <w:sz w:val="14"/>
        </w:rPr>
      </w:pPr>
      <w:r w:rsidRPr="002B2627">
        <w:rPr>
          <w:sz w:val="14"/>
        </w:rPr>
        <w:t xml:space="preserve">Some evidence also suggests that declining labor union power (as measured by union density) in the 20th century has contributed, in part, to income inequality, </w:t>
      </w:r>
      <w:r w:rsidRPr="002B2627">
        <w:rPr>
          <w:rStyle w:val="StyleUnderline"/>
        </w:rPr>
        <w:t xml:space="preserve">although most economists attribute rising </w:t>
      </w:r>
      <w:r w:rsidRPr="002B2627">
        <w:rPr>
          <w:rStyle w:val="Emphasis"/>
        </w:rPr>
        <w:t>income equality to the primarily skill-based technological change</w:t>
      </w:r>
      <w:r w:rsidRPr="002B2627">
        <w:rPr>
          <w:rStyle w:val="StyleUnderline"/>
        </w:rPr>
        <w:t xml:space="preserve"> that has led to job polarization in the United States</w:t>
      </w:r>
      <w:r w:rsidRPr="002B2627">
        <w:rPr>
          <w:sz w:val="14"/>
        </w:rPr>
        <w:t xml:space="preserve">.[9] Additionally, </w:t>
      </w:r>
      <w:r w:rsidRPr="002B2627">
        <w:rPr>
          <w:rStyle w:val="StyleUnderline"/>
        </w:rPr>
        <w:t>because of a lack of consensus on how to properly measure income inequality</w:t>
      </w:r>
      <w:r w:rsidRPr="002B2627">
        <w:rPr>
          <w:sz w:val="14"/>
        </w:rPr>
        <w:t xml:space="preserve">,[10]we can say that </w:t>
      </w:r>
      <w:r w:rsidRPr="002B2627">
        <w:rPr>
          <w:rStyle w:val="Emphasis"/>
        </w:rPr>
        <w:t>the effect of labor union power on income inequality is, at best, mixed.</w:t>
      </w:r>
      <w:r w:rsidRPr="002B2627">
        <w:rPr>
          <w:sz w:val="14"/>
        </w:rPr>
        <w:t xml:space="preserve"> </w:t>
      </w:r>
    </w:p>
    <w:p w14:paraId="0568475B" w14:textId="37088C4B" w:rsidR="0048226A" w:rsidRPr="0048226A" w:rsidRDefault="0048226A" w:rsidP="0048226A">
      <w:r w:rsidRPr="002B2627">
        <w:rPr>
          <w:sz w:val="14"/>
        </w:rPr>
        <w:t xml:space="preserve">Looking to the cost side of powerful labor unions, studies show that </w:t>
      </w:r>
      <w:r w:rsidRPr="002B2627">
        <w:rPr>
          <w:rStyle w:val="StyleUnderline"/>
        </w:rPr>
        <w:t xml:space="preserve">powerful </w:t>
      </w:r>
      <w:r w:rsidRPr="005A6D98">
        <w:rPr>
          <w:rStyle w:val="StyleUnderline"/>
          <w:highlight w:val="cyan"/>
        </w:rPr>
        <w:t>labor unions</w:t>
      </w:r>
      <w:r w:rsidRPr="002B2627">
        <w:rPr>
          <w:rStyle w:val="StyleUnderline"/>
        </w:rPr>
        <w:t xml:space="preserve"> can </w:t>
      </w:r>
      <w:r w:rsidRPr="005A6D98">
        <w:rPr>
          <w:rStyle w:val="StyleUnderline"/>
          <w:highlight w:val="cyan"/>
        </w:rPr>
        <w:t>bring</w:t>
      </w:r>
      <w:r w:rsidRPr="002B2627">
        <w:rPr>
          <w:rStyle w:val="StyleUnderline"/>
        </w:rPr>
        <w:t xml:space="preserve"> about </w:t>
      </w:r>
      <w:r w:rsidRPr="005A6D98">
        <w:rPr>
          <w:rStyle w:val="Emphasis"/>
          <w:highlight w:val="cyan"/>
        </w:rPr>
        <w:t>slower</w:t>
      </w:r>
      <w:r w:rsidRPr="002B2627">
        <w:rPr>
          <w:rStyle w:val="Emphasis"/>
        </w:rPr>
        <w:t xml:space="preserve"> </w:t>
      </w:r>
      <w:r w:rsidRPr="005A6D98">
        <w:rPr>
          <w:rStyle w:val="Emphasis"/>
          <w:highlight w:val="cyan"/>
        </w:rPr>
        <w:t>employment growth and fewer jobs</w:t>
      </w:r>
      <w:r w:rsidRPr="002B2627">
        <w:rPr>
          <w:sz w:val="14"/>
        </w:rPr>
        <w:t xml:space="preserve"> for unionized workers </w:t>
      </w:r>
      <w:r w:rsidRPr="005A6D98">
        <w:rPr>
          <w:rStyle w:val="Emphasis"/>
          <w:highlight w:val="cyan"/>
        </w:rPr>
        <w:t>and</w:t>
      </w:r>
      <w:r w:rsidRPr="002B2627">
        <w:rPr>
          <w:rStyle w:val="Emphasis"/>
        </w:rPr>
        <w:t xml:space="preserve"> can </w:t>
      </w:r>
      <w:r w:rsidRPr="005A6D98">
        <w:rPr>
          <w:rStyle w:val="Emphasis"/>
          <w:highlight w:val="cyan"/>
        </w:rPr>
        <w:t>reduce</w:t>
      </w:r>
      <w:r w:rsidRPr="002B2627">
        <w:rPr>
          <w:rStyle w:val="Emphasis"/>
        </w:rPr>
        <w:t xml:space="preserve"> company </w:t>
      </w:r>
      <w:r w:rsidRPr="005A6D98">
        <w:rPr>
          <w:rStyle w:val="Emphasis"/>
          <w:highlight w:val="cyan"/>
        </w:rPr>
        <w:t>investments in R&amp;D</w:t>
      </w:r>
      <w:r w:rsidRPr="002B2627">
        <w:rPr>
          <w:rStyle w:val="Emphasis"/>
        </w:rPr>
        <w:t xml:space="preserve"> and long-lived tangible capital</w:t>
      </w:r>
      <w:r w:rsidRPr="002B2627">
        <w:rPr>
          <w:sz w:val="14"/>
        </w:rPr>
        <w:t xml:space="preserve">.[11] Research also shows that </w:t>
      </w:r>
      <w:r w:rsidRPr="002B2627">
        <w:rPr>
          <w:rStyle w:val="StyleUnderline"/>
        </w:rPr>
        <w:t xml:space="preserve">these </w:t>
      </w:r>
      <w:r w:rsidRPr="005A6D98">
        <w:rPr>
          <w:rStyle w:val="StyleUnderline"/>
          <w:highlight w:val="cyan"/>
        </w:rPr>
        <w:t>effects</w:t>
      </w:r>
      <w:r w:rsidRPr="002B2627">
        <w:rPr>
          <w:rStyle w:val="StyleUnderline"/>
        </w:rPr>
        <w:t xml:space="preserve"> slightly </w:t>
      </w:r>
      <w:r w:rsidRPr="005A6D98">
        <w:rPr>
          <w:rStyle w:val="StyleUnderline"/>
          <w:highlight w:val="cyan"/>
        </w:rPr>
        <w:t>increase</w:t>
      </w:r>
      <w:r w:rsidRPr="002B2627">
        <w:rPr>
          <w:rStyle w:val="StyleUnderline"/>
        </w:rPr>
        <w:t xml:space="preserve"> the </w:t>
      </w:r>
      <w:r w:rsidRPr="005A6D98">
        <w:rPr>
          <w:rStyle w:val="StyleUnderline"/>
          <w:highlight w:val="cyan"/>
        </w:rPr>
        <w:t>likelihood of</w:t>
      </w:r>
      <w:r w:rsidRPr="002B2627">
        <w:rPr>
          <w:rStyle w:val="StyleUnderline"/>
        </w:rPr>
        <w:t xml:space="preserve"> a </w:t>
      </w:r>
      <w:r w:rsidRPr="005A6D98">
        <w:rPr>
          <w:rStyle w:val="StyleUnderline"/>
          <w:highlight w:val="cyan"/>
        </w:rPr>
        <w:t>company closing</w:t>
      </w:r>
      <w:r w:rsidRPr="002B2627">
        <w:rPr>
          <w:sz w:val="14"/>
        </w:rPr>
        <w:t xml:space="preserve">, </w:t>
      </w:r>
      <w:r w:rsidRPr="002B2627">
        <w:rPr>
          <w:rStyle w:val="Emphasis"/>
        </w:rPr>
        <w:t xml:space="preserve">further </w:t>
      </w:r>
      <w:r w:rsidRPr="005A6D98">
        <w:rPr>
          <w:rStyle w:val="Emphasis"/>
          <w:highlight w:val="cyan"/>
        </w:rPr>
        <w:t>worsening</w:t>
      </w:r>
      <w:r w:rsidRPr="002B2627">
        <w:rPr>
          <w:rStyle w:val="Emphasis"/>
        </w:rPr>
        <w:t xml:space="preserve"> the </w:t>
      </w:r>
      <w:r w:rsidRPr="005A6D98">
        <w:rPr>
          <w:rStyle w:val="Emphasis"/>
          <w:highlight w:val="cyan"/>
        </w:rPr>
        <w:t>employment outlook</w:t>
      </w:r>
      <w:r w:rsidRPr="002B2627">
        <w:rPr>
          <w:sz w:val="14"/>
        </w:rPr>
        <w:t xml:space="preserve"> for unionized workers.[</w:t>
      </w:r>
    </w:p>
    <w:p w14:paraId="20C83A7C" w14:textId="05CA5B14" w:rsidR="0048226A" w:rsidRDefault="0048226A" w:rsidP="0048226A">
      <w:pPr>
        <w:pStyle w:val="Heading4"/>
        <w:rPr>
          <w:u w:val="single"/>
        </w:rPr>
      </w:pPr>
      <w:r>
        <w:t xml:space="preserve">2 – </w:t>
      </w:r>
      <w:r>
        <w:t xml:space="preserve">Reduced economic inequality doesn’t </w:t>
      </w:r>
      <w:r w:rsidRPr="001835D9">
        <w:rPr>
          <w:u w:val="single"/>
        </w:rPr>
        <w:t>increase growth</w:t>
      </w:r>
      <w:r>
        <w:t xml:space="preserve"> – results are </w:t>
      </w:r>
      <w:r w:rsidRPr="001835D9">
        <w:rPr>
          <w:u w:val="single"/>
        </w:rPr>
        <w:t>inconclusive</w:t>
      </w:r>
      <w:r>
        <w:t xml:space="preserve"> and if there is a relationship, </w:t>
      </w:r>
      <w:r w:rsidRPr="001835D9">
        <w:rPr>
          <w:u w:val="single"/>
        </w:rPr>
        <w:t>it goes neg</w:t>
      </w:r>
    </w:p>
    <w:p w14:paraId="3C786563" w14:textId="77777777" w:rsidR="0048226A" w:rsidRPr="001835D9" w:rsidRDefault="0048226A" w:rsidP="0048226A">
      <w:r w:rsidRPr="001835D9">
        <w:rPr>
          <w:rStyle w:val="Style13ptBold"/>
        </w:rPr>
        <w:t>Mdingi '21</w:t>
      </w:r>
      <w:r>
        <w:t xml:space="preserve"> [Kholeka Mdingi and Sin-Yu Ho; 2021; Department of Economics, University of South Africa; "Literature review on income inequality and economic growth," MethodsX Volume 8, 2021, 101402, https://www.sciencedirect.com/science/article/pii/S2215016121001953#sec0011] jt</w:t>
      </w:r>
    </w:p>
    <w:p w14:paraId="71D66599" w14:textId="77777777" w:rsidR="0048226A" w:rsidRPr="00C103DC" w:rsidRDefault="0048226A" w:rsidP="0048226A">
      <w:pPr>
        <w:rPr>
          <w:sz w:val="16"/>
        </w:rPr>
      </w:pPr>
      <w:r w:rsidRPr="00C103DC">
        <w:rPr>
          <w:sz w:val="16"/>
        </w:rPr>
        <w:t xml:space="preserve">A study which found a positive relationship is that of Partridge [47], who investigated </w:t>
      </w:r>
      <w:r w:rsidRPr="00ED5B5C">
        <w:rPr>
          <w:rStyle w:val="StyleUnderline"/>
          <w:highlight w:val="cyan"/>
        </w:rPr>
        <w:t xml:space="preserve">whether </w:t>
      </w:r>
      <w:r w:rsidRPr="00ED5B5C">
        <w:rPr>
          <w:rStyle w:val="Emphasis"/>
          <w:highlight w:val="cyan"/>
        </w:rPr>
        <w:t xml:space="preserve">inequality benefited </w:t>
      </w:r>
      <w:r w:rsidRPr="00C103DC">
        <w:rPr>
          <w:rStyle w:val="Emphasis"/>
        </w:rPr>
        <w:t xml:space="preserve">or hindered </w:t>
      </w:r>
      <w:r w:rsidRPr="00ED5B5C">
        <w:rPr>
          <w:rStyle w:val="Emphasis"/>
          <w:highlight w:val="cyan"/>
        </w:rPr>
        <w:t>growth</w:t>
      </w:r>
      <w:r w:rsidRPr="00ED5B5C">
        <w:rPr>
          <w:rStyle w:val="StyleUnderline"/>
          <w:highlight w:val="cyan"/>
        </w:rPr>
        <w:t xml:space="preserve"> in the U</w:t>
      </w:r>
      <w:r w:rsidRPr="00C103DC">
        <w:rPr>
          <w:rStyle w:val="StyleUnderline"/>
        </w:rPr>
        <w:t xml:space="preserve">nited </w:t>
      </w:r>
      <w:r w:rsidRPr="00ED5B5C">
        <w:rPr>
          <w:rStyle w:val="StyleUnderline"/>
          <w:highlight w:val="cyan"/>
        </w:rPr>
        <w:t>S</w:t>
      </w:r>
      <w:r w:rsidRPr="00C103DC">
        <w:rPr>
          <w:rStyle w:val="StyleUnderline"/>
        </w:rPr>
        <w:t>tates</w:t>
      </w:r>
      <w:r w:rsidRPr="00C103DC">
        <w:rPr>
          <w:sz w:val="16"/>
        </w:rPr>
        <w:t xml:space="preserve"> between 1960 and 1990. </w:t>
      </w:r>
      <w:r w:rsidRPr="00C103DC">
        <w:rPr>
          <w:rStyle w:val="StyleUnderline"/>
        </w:rPr>
        <w:t>That study</w:t>
      </w:r>
      <w:r w:rsidRPr="00C103DC">
        <w:rPr>
          <w:sz w:val="16"/>
        </w:rPr>
        <w:t xml:space="preserve">, which employed OLS, </w:t>
      </w:r>
      <w:r w:rsidRPr="00ED5B5C">
        <w:rPr>
          <w:rStyle w:val="StyleUnderline"/>
          <w:highlight w:val="cyan"/>
        </w:rPr>
        <w:t xml:space="preserve">yielded </w:t>
      </w:r>
      <w:r w:rsidRPr="00C103DC">
        <w:rPr>
          <w:rStyle w:val="StyleUnderline"/>
        </w:rPr>
        <w:t>the following results</w:t>
      </w:r>
      <w:r w:rsidRPr="00C103DC">
        <w:rPr>
          <w:sz w:val="16"/>
        </w:rPr>
        <w:t xml:space="preserve">: first, during the period of the study, </w:t>
      </w:r>
      <w:r w:rsidRPr="00ED5B5C">
        <w:rPr>
          <w:rStyle w:val="StyleUnderline"/>
          <w:highlight w:val="cyan"/>
        </w:rPr>
        <w:t xml:space="preserve">a </w:t>
      </w:r>
      <w:r w:rsidRPr="00ED5B5C">
        <w:rPr>
          <w:rStyle w:val="Emphasis"/>
          <w:highlight w:val="cyan"/>
        </w:rPr>
        <w:t>positive relationship</w:t>
      </w:r>
      <w:r w:rsidRPr="00ED5B5C">
        <w:rPr>
          <w:rStyle w:val="StyleUnderline"/>
          <w:highlight w:val="cyan"/>
        </w:rPr>
        <w:t xml:space="preserve"> </w:t>
      </w:r>
      <w:r w:rsidRPr="00C103DC">
        <w:rPr>
          <w:rStyle w:val="StyleUnderline"/>
        </w:rPr>
        <w:t>was found between inequality and economic growth</w:t>
      </w:r>
      <w:r w:rsidRPr="00C103DC">
        <w:rPr>
          <w:sz w:val="16"/>
        </w:rPr>
        <w:t xml:space="preserve">. That is, </w:t>
      </w:r>
      <w:r w:rsidRPr="00C103DC">
        <w:rPr>
          <w:rStyle w:val="StyleUnderline"/>
        </w:rPr>
        <w:t xml:space="preserve">American </w:t>
      </w:r>
      <w:r w:rsidRPr="00ED5B5C">
        <w:rPr>
          <w:rStyle w:val="StyleUnderline"/>
          <w:highlight w:val="cyan"/>
        </w:rPr>
        <w:t xml:space="preserve">states with high inequality </w:t>
      </w:r>
      <w:r w:rsidRPr="00ED5B5C">
        <w:rPr>
          <w:rStyle w:val="Emphasis"/>
          <w:highlight w:val="cyan"/>
        </w:rPr>
        <w:t>grew faster</w:t>
      </w:r>
      <w:r w:rsidRPr="00C103DC">
        <w:rPr>
          <w:sz w:val="16"/>
        </w:rPr>
        <w:t xml:space="preserve">. Second, the study reported that the wellbeing of the median voter had a positive impact on growth. This implies that </w:t>
      </w:r>
      <w:r w:rsidRPr="00C103DC">
        <w:rPr>
          <w:rStyle w:val="StyleUnderline"/>
        </w:rPr>
        <w:t xml:space="preserve">the </w:t>
      </w:r>
      <w:r w:rsidRPr="00ED5B5C">
        <w:rPr>
          <w:rStyle w:val="StyleUnderline"/>
          <w:highlight w:val="cyan"/>
        </w:rPr>
        <w:t xml:space="preserve">unequal distribution </w:t>
      </w:r>
      <w:r w:rsidRPr="00C103DC">
        <w:rPr>
          <w:rStyle w:val="StyleUnderline"/>
        </w:rPr>
        <w:t xml:space="preserve">of income and resources among the population </w:t>
      </w:r>
      <w:r w:rsidRPr="00ED5B5C">
        <w:rPr>
          <w:rStyle w:val="Emphasis"/>
          <w:highlight w:val="cyan"/>
        </w:rPr>
        <w:t>encouraged economic activity</w:t>
      </w:r>
      <w:r w:rsidRPr="00ED5B5C">
        <w:rPr>
          <w:rStyle w:val="StyleUnderline"/>
          <w:highlight w:val="cyan"/>
        </w:rPr>
        <w:t xml:space="preserve"> </w:t>
      </w:r>
      <w:r w:rsidRPr="00C103DC">
        <w:rPr>
          <w:rStyle w:val="StyleUnderline"/>
        </w:rPr>
        <w:t>and</w:t>
      </w:r>
      <w:r w:rsidRPr="00C103DC">
        <w:rPr>
          <w:sz w:val="16"/>
        </w:rPr>
        <w:t xml:space="preserve">, in turn, </w:t>
      </w:r>
      <w:r w:rsidRPr="00C103DC">
        <w:rPr>
          <w:rStyle w:val="StyleUnderline"/>
        </w:rPr>
        <w:t>grew the economy</w:t>
      </w:r>
      <w:r w:rsidRPr="00C103DC">
        <w:rPr>
          <w:sz w:val="16"/>
        </w:rPr>
        <w:t xml:space="preserve">. In another single-country study, Rangel et al. [52] focused on growth and income inequality by investigating the linear correlation and inverted-U shape hypothesis in Brazil, from 1991–2000. They found that, in the long run, </w:t>
      </w:r>
      <w:r w:rsidRPr="00C103DC">
        <w:rPr>
          <w:rStyle w:val="StyleUnderline"/>
        </w:rPr>
        <w:t xml:space="preserve">income inequality and growth tended to </w:t>
      </w:r>
      <w:r w:rsidRPr="00C103DC">
        <w:rPr>
          <w:rStyle w:val="Emphasis"/>
        </w:rPr>
        <w:t>move together</w:t>
      </w:r>
      <w:r w:rsidRPr="00C103DC">
        <w:rPr>
          <w:sz w:val="16"/>
        </w:rPr>
        <w:t>. The results also confirmed the existence of the inverted-U hypothesis between income inequality and economic growth.</w:t>
      </w:r>
    </w:p>
    <w:p w14:paraId="4904883B" w14:textId="77777777" w:rsidR="0048226A" w:rsidRPr="00C103DC" w:rsidRDefault="0048226A" w:rsidP="0048226A">
      <w:pPr>
        <w:rPr>
          <w:sz w:val="16"/>
        </w:rPr>
      </w:pPr>
      <w:r w:rsidRPr="00C103DC">
        <w:rPr>
          <w:sz w:val="16"/>
        </w:rPr>
        <w:t xml:space="preserve">Bhorat and Van der Westhuizen [16] investigated the relationship between economic growth, poverty and inequality in South Africa, for the period 1995–2005. The study employed a distribution-neutral measure, poverty inequality elasticity estimates, and the marginal proportional rate of substitution. During the period under study, the </w:t>
      </w:r>
      <w:r w:rsidRPr="00ED5B5C">
        <w:rPr>
          <w:rStyle w:val="StyleUnderline"/>
          <w:highlight w:val="cyan"/>
        </w:rPr>
        <w:t xml:space="preserve">researchers found a shift in </w:t>
      </w:r>
      <w:r w:rsidRPr="00C103DC">
        <w:rPr>
          <w:rStyle w:val="StyleUnderline"/>
        </w:rPr>
        <w:t xml:space="preserve">the </w:t>
      </w:r>
      <w:r w:rsidRPr="00ED5B5C">
        <w:rPr>
          <w:rStyle w:val="StyleUnderline"/>
          <w:highlight w:val="cyan"/>
        </w:rPr>
        <w:t xml:space="preserve">distribution of income </w:t>
      </w:r>
      <w:r w:rsidRPr="00C103DC">
        <w:rPr>
          <w:rStyle w:val="StyleUnderline"/>
        </w:rPr>
        <w:t xml:space="preserve">and resources </w:t>
      </w:r>
      <w:r w:rsidRPr="00ED5B5C">
        <w:rPr>
          <w:rStyle w:val="StyleUnderline"/>
          <w:highlight w:val="cyan"/>
        </w:rPr>
        <w:t>during periods of growth</w:t>
      </w:r>
      <w:r w:rsidRPr="00C103DC">
        <w:rPr>
          <w:rStyle w:val="StyleUnderline"/>
        </w:rPr>
        <w:t>, and hence income inequality tended to increase with increases in economic growth</w:t>
      </w:r>
      <w:r w:rsidRPr="00C103DC">
        <w:rPr>
          <w:sz w:val="16"/>
        </w:rPr>
        <w:t xml:space="preserve">. Later, Shahbaz [58] and Majeed [40] both employed the ARDL technique to study the income inequality–growth nexus in Pakistan, with the first investigation spanning the years 1971–2005, and the second, 1975–2013. Both </w:t>
      </w:r>
      <w:r w:rsidRPr="00C103DC">
        <w:rPr>
          <w:rStyle w:val="StyleUnderline"/>
        </w:rPr>
        <w:t>studies identified a positive correlation between income inequality and economic growth in Pakistan during the period under investigation</w:t>
      </w:r>
      <w:r w:rsidRPr="00C103DC">
        <w:rPr>
          <w:sz w:val="16"/>
        </w:rPr>
        <w:t>. Majeed [40] further argued that because the poor population did not participate in the growth process, growth became unsustainable.</w:t>
      </w:r>
    </w:p>
    <w:p w14:paraId="4DEB1DC5" w14:textId="77777777" w:rsidR="0048226A" w:rsidRPr="00C103DC" w:rsidRDefault="0048226A" w:rsidP="0048226A">
      <w:pPr>
        <w:rPr>
          <w:sz w:val="16"/>
        </w:rPr>
      </w:pPr>
      <w:r w:rsidRPr="00ED5B5C">
        <w:rPr>
          <w:rStyle w:val="StyleUnderline"/>
          <w:highlight w:val="cyan"/>
        </w:rPr>
        <w:t xml:space="preserve">Studies on multiple countries </w:t>
      </w:r>
      <w:r w:rsidRPr="00C103DC">
        <w:rPr>
          <w:rStyle w:val="StyleUnderline"/>
        </w:rPr>
        <w:t xml:space="preserve">also </w:t>
      </w:r>
      <w:r w:rsidRPr="00ED5B5C">
        <w:rPr>
          <w:rStyle w:val="StyleUnderline"/>
          <w:highlight w:val="cyan"/>
        </w:rPr>
        <w:t xml:space="preserve">reported </w:t>
      </w:r>
      <w:r w:rsidRPr="00C103DC">
        <w:rPr>
          <w:rStyle w:val="Emphasis"/>
        </w:rPr>
        <w:t>positive results</w:t>
      </w:r>
      <w:r w:rsidRPr="00C103DC">
        <w:rPr>
          <w:sz w:val="16"/>
        </w:rPr>
        <w:t xml:space="preserve">. For example, Li and Zou [39] re-examined the relation between inequality and growth from 1947–1994 for a group of developed and developing countries. Using FE and RE methods and expanded data, they found that </w:t>
      </w:r>
      <w:r w:rsidRPr="00ED5B5C">
        <w:rPr>
          <w:rStyle w:val="StyleUnderline"/>
          <w:highlight w:val="cyan"/>
        </w:rPr>
        <w:t xml:space="preserve">high </w:t>
      </w:r>
      <w:r w:rsidRPr="00C103DC">
        <w:rPr>
          <w:rStyle w:val="StyleUnderline"/>
        </w:rPr>
        <w:t xml:space="preserve">income </w:t>
      </w:r>
      <w:r w:rsidRPr="00ED5B5C">
        <w:rPr>
          <w:rStyle w:val="StyleUnderline"/>
          <w:highlight w:val="cyan"/>
        </w:rPr>
        <w:t xml:space="preserve">inequality resulted </w:t>
      </w:r>
      <w:r w:rsidRPr="00C103DC">
        <w:rPr>
          <w:rStyle w:val="StyleUnderline"/>
        </w:rPr>
        <w:t xml:space="preserve">in </w:t>
      </w:r>
      <w:r w:rsidRPr="00ED5B5C">
        <w:rPr>
          <w:rStyle w:val="StyleUnderline"/>
          <w:highlight w:val="cyan"/>
        </w:rPr>
        <w:t xml:space="preserve">an </w:t>
      </w:r>
      <w:r w:rsidRPr="00ED5B5C">
        <w:rPr>
          <w:rStyle w:val="Emphasis"/>
          <w:highlight w:val="cyan"/>
        </w:rPr>
        <w:t xml:space="preserve">increase </w:t>
      </w:r>
      <w:r w:rsidRPr="00C103DC">
        <w:rPr>
          <w:rStyle w:val="Emphasis"/>
        </w:rPr>
        <w:t xml:space="preserve">in economic </w:t>
      </w:r>
      <w:r w:rsidRPr="00ED5B5C">
        <w:rPr>
          <w:rStyle w:val="Emphasis"/>
          <w:highlight w:val="cyan"/>
        </w:rPr>
        <w:t>growth</w:t>
      </w:r>
      <w:r w:rsidRPr="00C103DC">
        <w:rPr>
          <w:sz w:val="16"/>
        </w:rPr>
        <w:t>. Later, Forbes [28] also re-assessed the inequality–growth relationship in 45 countries, from 1966–1995. With the use of FE and RE, Chamberlain's ᴫ matrix procedure and Arrelano and Bond's GMM, the findings showed that as income increased in the short to medium term, economic growth tended to increase. A recent study by Scholl and Klasen [57] revisited the inequality-growth relationship, paying special attention to the role of transition (post-Soviet) countries. The study was based on the specification used by Forbes [28] on a sample of 122 countries over the period of 1961–2012. By using FE, GMM and IV estimation techniques, they found a positive association between inequality and growth in the overall sample which was driven by transition countries.</w:t>
      </w:r>
    </w:p>
    <w:p w14:paraId="4FE1DC57" w14:textId="77777777" w:rsidR="0048226A" w:rsidRPr="00C103DC" w:rsidRDefault="0048226A" w:rsidP="0048226A">
      <w:pPr>
        <w:rPr>
          <w:sz w:val="16"/>
        </w:rPr>
      </w:pPr>
      <w:r w:rsidRPr="00C103DC">
        <w:rPr>
          <w:sz w:val="16"/>
        </w:rPr>
        <w:t>Studies with inconclusive results on the relationship between income inequality and economic growth</w:t>
      </w:r>
    </w:p>
    <w:p w14:paraId="26CEE447" w14:textId="77777777" w:rsidR="0048226A" w:rsidRPr="00C103DC" w:rsidRDefault="0048226A" w:rsidP="0048226A">
      <w:pPr>
        <w:rPr>
          <w:rStyle w:val="StyleUnderline"/>
        </w:rPr>
      </w:pPr>
      <w:r w:rsidRPr="00ED5B5C">
        <w:rPr>
          <w:rStyle w:val="StyleUnderline"/>
          <w:highlight w:val="cyan"/>
        </w:rPr>
        <w:t xml:space="preserve">A number of studies yielded </w:t>
      </w:r>
      <w:r w:rsidRPr="00ED5B5C">
        <w:rPr>
          <w:rStyle w:val="Emphasis"/>
          <w:highlight w:val="cyan"/>
        </w:rPr>
        <w:t>inconclusive findings</w:t>
      </w:r>
      <w:r w:rsidRPr="00ED5B5C">
        <w:rPr>
          <w:rStyle w:val="StyleUnderline"/>
          <w:highlight w:val="cyan"/>
        </w:rPr>
        <w:t xml:space="preserve"> </w:t>
      </w:r>
      <w:r w:rsidRPr="00C103DC">
        <w:rPr>
          <w:rStyle w:val="StyleUnderline"/>
        </w:rPr>
        <w:t>on the inequality–growth nexus</w:t>
      </w:r>
      <w:r w:rsidRPr="00C103DC">
        <w:rPr>
          <w:sz w:val="16"/>
        </w:rPr>
        <w:t xml:space="preserve">. In particular, most reported that the relationship was positive in high-income countries and negative in the low-income countries. For example, Deininger and Squire [25] employed cross-country samples from 1960–1992 to analyse the influence of inequality (income and distribution of assets) on economic growth, and also studied the effect it exerts on reducing poverty. Using OLS and panel data, that study found that income inequality had a negative effect on future growth. In addition, Deininger and Squire [25] reported that high income inequality reduced the income of the poor and boosted the income of the rich. Barro [13] used 2SLS to study the inequality–growth relationship in a panel of countries for the period 1965–1995. The results showed that, in rich countries, inequality positively affected economic growth, while in poor countries it negatively affected growth during the period under study. This means that, </w:t>
      </w:r>
      <w:r w:rsidRPr="00ED5B5C">
        <w:rPr>
          <w:rStyle w:val="StyleUnderline"/>
          <w:highlight w:val="cyan"/>
        </w:rPr>
        <w:t xml:space="preserve">for </w:t>
      </w:r>
      <w:r w:rsidRPr="00ED5B5C">
        <w:rPr>
          <w:rStyle w:val="Emphasis"/>
          <w:highlight w:val="cyan"/>
        </w:rPr>
        <w:t>rich countries</w:t>
      </w:r>
      <w:r w:rsidRPr="00C103DC">
        <w:rPr>
          <w:rStyle w:val="StyleUnderline"/>
        </w:rPr>
        <w:t>, as inequality increased, the economy</w:t>
      </w:r>
      <w:r w:rsidRPr="00C103DC">
        <w:rPr>
          <w:sz w:val="16"/>
        </w:rPr>
        <w:t xml:space="preserve"> (as measured by Gross Domestic Product [GDP] per capita) </w:t>
      </w:r>
      <w:r w:rsidRPr="00C103DC">
        <w:rPr>
          <w:rStyle w:val="StyleUnderline"/>
        </w:rPr>
        <w:t>tended to increase as well, while in poor countries, the economy tended to decline as inequality increased.</w:t>
      </w:r>
    </w:p>
    <w:p w14:paraId="6A183622" w14:textId="77777777" w:rsidR="0048226A" w:rsidRPr="00C103DC" w:rsidRDefault="0048226A" w:rsidP="0048226A">
      <w:pPr>
        <w:rPr>
          <w:sz w:val="16"/>
        </w:rPr>
      </w:pPr>
      <w:r w:rsidRPr="00C103DC">
        <w:rPr>
          <w:sz w:val="16"/>
        </w:rPr>
        <w:t xml:space="preserve">Studies using GMM methods reached similar results. For example, Voitchovsky [63] analysed the link between income distribution and economic growth in 21 developing countries, from 1975–2000. The findings showed that income inequality had a positive effect on growth at the upper decile of income distribution, while inequality negatively affected growth at the lower decile. Similarly, </w:t>
      </w:r>
      <w:r w:rsidRPr="00C103DC">
        <w:rPr>
          <w:rStyle w:val="StyleUnderline"/>
        </w:rPr>
        <w:t>Castelló-Climent</w:t>
      </w:r>
      <w:r w:rsidRPr="00C103DC">
        <w:rPr>
          <w:sz w:val="16"/>
        </w:rPr>
        <w:t xml:space="preserve"> [21] </w:t>
      </w:r>
      <w:r w:rsidRPr="00C103DC">
        <w:rPr>
          <w:rStyle w:val="StyleUnderline"/>
        </w:rPr>
        <w:t>confirmed that th</w:t>
      </w:r>
      <w:r w:rsidRPr="00ED5B5C">
        <w:rPr>
          <w:rStyle w:val="StyleUnderline"/>
          <w:highlight w:val="cyan"/>
        </w:rPr>
        <w:t>e relationship</w:t>
      </w:r>
      <w:r w:rsidRPr="00C103DC">
        <w:rPr>
          <w:rStyle w:val="StyleUnderline"/>
        </w:rPr>
        <w:t xml:space="preserve"> between income and growth </w:t>
      </w:r>
      <w:r w:rsidRPr="00ED5B5C">
        <w:rPr>
          <w:rStyle w:val="StyleUnderline"/>
          <w:highlight w:val="cyan"/>
        </w:rPr>
        <w:t xml:space="preserve">was </w:t>
      </w:r>
      <w:r w:rsidRPr="00ED5B5C">
        <w:rPr>
          <w:rStyle w:val="Emphasis"/>
          <w:highlight w:val="cyan"/>
        </w:rPr>
        <w:t xml:space="preserve">positive </w:t>
      </w:r>
      <w:r w:rsidRPr="00C103DC">
        <w:rPr>
          <w:rStyle w:val="Emphasis"/>
        </w:rPr>
        <w:t>in high-income countries</w:t>
      </w:r>
      <w:r w:rsidRPr="00C103DC">
        <w:rPr>
          <w:rStyle w:val="StyleUnderline"/>
        </w:rPr>
        <w:t xml:space="preserve"> and negative in low- and middle-income countries</w:t>
      </w:r>
      <w:r w:rsidRPr="00C103DC">
        <w:rPr>
          <w:sz w:val="16"/>
        </w:rPr>
        <w:t xml:space="preserve">. That study examined the correlation between income and human capital and economic growth across countries during the period 1992–2000. The results further indicated that both income and human capital inequality constrained economic growth for low- and middle-income countries. However, </w:t>
      </w:r>
      <w:r w:rsidRPr="00C103DC">
        <w:rPr>
          <w:rStyle w:val="StyleUnderline"/>
        </w:rPr>
        <w:t xml:space="preserve">in high-income countries, income and human capital </w:t>
      </w:r>
      <w:r w:rsidRPr="00ED5B5C">
        <w:rPr>
          <w:rStyle w:val="StyleUnderline"/>
          <w:highlight w:val="cyan"/>
        </w:rPr>
        <w:t xml:space="preserve">inequality </w:t>
      </w:r>
      <w:r w:rsidRPr="00ED5B5C">
        <w:rPr>
          <w:rStyle w:val="Emphasis"/>
          <w:highlight w:val="cyan"/>
        </w:rPr>
        <w:t>encouraged economic growth</w:t>
      </w:r>
      <w:r w:rsidRPr="00ED5B5C">
        <w:rPr>
          <w:rStyle w:val="StyleUnderline"/>
          <w:highlight w:val="cyan"/>
        </w:rPr>
        <w:t xml:space="preserve"> </w:t>
      </w:r>
      <w:r w:rsidRPr="00C103DC">
        <w:rPr>
          <w:rStyle w:val="StyleUnderline"/>
        </w:rPr>
        <w:t>during the period under study</w:t>
      </w:r>
      <w:r w:rsidRPr="00C103DC">
        <w:rPr>
          <w:sz w:val="16"/>
        </w:rPr>
        <w:t>. In yet another investigation, Fawaz et al. [27] studied the income inequality–growth nexus, focusing on its link to credit constraints in high- and low-income developing countries from 1960–2010. The study found similar results, namely that in low-income developing countries, income inequality is negatively related to economic growth. For high-income developing countries, income inequality was positively related to economic growth.</w:t>
      </w:r>
    </w:p>
    <w:p w14:paraId="3DE194FD" w14:textId="77777777" w:rsidR="0048226A" w:rsidRPr="00C103DC" w:rsidRDefault="0048226A" w:rsidP="0048226A">
      <w:pPr>
        <w:rPr>
          <w:sz w:val="16"/>
        </w:rPr>
      </w:pPr>
      <w:r w:rsidRPr="00C103DC">
        <w:rPr>
          <w:sz w:val="16"/>
        </w:rPr>
        <w:t>Halter et al. [32] reported that this relationship changed over time, having studied the relationship across countries from 1965–2005, using GMM. The findings showed that, in the short run, high inequality encouraged economic growth, but over the long run, high inequality slowed down the economy and impeded growth. Likewise, Ostry et al. [45] investigated the link between redistribution, inequality and growth in various countries, and found that net inequality was positively correlated to economic performance during the early stage of economic development, but turned negative during the mature stage. Research by Brueckner and Lederman [20] studied the relationship between inequality and GDP per capita growth. Using panel data from 1970 to 2010, the findings documented that in low income countries transitional growth was positively affected by higher income inequality while such effect turned negative in high income countries.</w:t>
      </w:r>
    </w:p>
    <w:p w14:paraId="121D7133" w14:textId="77777777" w:rsidR="0048226A" w:rsidRPr="00C103DC" w:rsidRDefault="0048226A" w:rsidP="0048226A">
      <w:pPr>
        <w:rPr>
          <w:sz w:val="16"/>
        </w:rPr>
      </w:pPr>
      <w:r w:rsidRPr="00C103DC">
        <w:rPr>
          <w:sz w:val="16"/>
        </w:rPr>
        <w:t>Studies with evidence of no relationship between income inequality and economic growth</w:t>
      </w:r>
    </w:p>
    <w:p w14:paraId="0E8C695A" w14:textId="77777777" w:rsidR="0048226A" w:rsidRPr="00C103DC" w:rsidRDefault="0048226A" w:rsidP="0048226A">
      <w:pPr>
        <w:rPr>
          <w:sz w:val="16"/>
        </w:rPr>
      </w:pPr>
      <w:r w:rsidRPr="00ED5B5C">
        <w:rPr>
          <w:rStyle w:val="StyleUnderline"/>
          <w:highlight w:val="cyan"/>
        </w:rPr>
        <w:t xml:space="preserve">Some studies reported </w:t>
      </w:r>
      <w:r w:rsidRPr="00ED5B5C">
        <w:rPr>
          <w:rStyle w:val="Emphasis"/>
          <w:highlight w:val="cyan"/>
        </w:rPr>
        <w:t>no relationship</w:t>
      </w:r>
      <w:r w:rsidRPr="00ED5B5C">
        <w:rPr>
          <w:rStyle w:val="StyleUnderline"/>
          <w:highlight w:val="cyan"/>
        </w:rPr>
        <w:t xml:space="preserve"> </w:t>
      </w:r>
      <w:r w:rsidRPr="00C103DC">
        <w:rPr>
          <w:rStyle w:val="StyleUnderline"/>
        </w:rPr>
        <w:t>between income inequality and economic growth</w:t>
      </w:r>
      <w:r w:rsidRPr="00C103DC">
        <w:rPr>
          <w:sz w:val="16"/>
        </w:rPr>
        <w:t>. For example, research by Niyimbanira [44] focused on how economic growth affected income inequality from 1996–2014. That study employed the FE method and the pooled regression model, using data from 18 municipalities across the provinces of South Africa. The findings confirmed that economic growth reduced poverty, but had no effect on income inequality, which implies that there was no relationship between income inequality and economic growth. Benos and Karagiannis [15] examined the relationship between top income inequality and growth under the influence of physical and human capital accumulation in the U.S. By using 2SLS and GMM on the annual panel of U.S. state-level data during 1929 to 2013, they concluded that changes in inequality do not have an impact on growth. Table 1 shows the summary of empirical studies discussed in this section.</w:t>
      </w:r>
    </w:p>
    <w:p w14:paraId="3BB26189" w14:textId="77777777" w:rsidR="0048226A" w:rsidRPr="00C103DC" w:rsidRDefault="0048226A" w:rsidP="0048226A">
      <w:pPr>
        <w:rPr>
          <w:sz w:val="16"/>
        </w:rPr>
      </w:pPr>
      <w:r w:rsidRPr="00C103DC">
        <w:rPr>
          <w:sz w:val="16"/>
        </w:rPr>
        <w:t>[TABLE 1 OMITTED]</w:t>
      </w:r>
    </w:p>
    <w:p w14:paraId="45549551" w14:textId="77777777" w:rsidR="0048226A" w:rsidRPr="00C103DC" w:rsidRDefault="0048226A" w:rsidP="0048226A">
      <w:pPr>
        <w:rPr>
          <w:sz w:val="16"/>
        </w:rPr>
      </w:pPr>
      <w:r w:rsidRPr="00C103DC">
        <w:rPr>
          <w:sz w:val="16"/>
        </w:rPr>
        <w:t>Methodology</w:t>
      </w:r>
    </w:p>
    <w:p w14:paraId="58F12861" w14:textId="77777777" w:rsidR="0048226A" w:rsidRPr="00C103DC" w:rsidRDefault="0048226A" w:rsidP="0048226A">
      <w:pPr>
        <w:rPr>
          <w:sz w:val="16"/>
        </w:rPr>
      </w:pPr>
      <w:r w:rsidRPr="00C103DC">
        <w:rPr>
          <w:sz w:val="16"/>
        </w:rPr>
        <w:t xml:space="preserve">As we have discussed in the previous section, </w:t>
      </w:r>
      <w:r w:rsidRPr="00C103DC">
        <w:rPr>
          <w:rStyle w:val="StyleUnderline"/>
        </w:rPr>
        <w:t xml:space="preserve">the </w:t>
      </w:r>
      <w:r w:rsidRPr="00ED5B5C">
        <w:rPr>
          <w:rStyle w:val="StyleUnderline"/>
          <w:highlight w:val="cyan"/>
        </w:rPr>
        <w:t xml:space="preserve">empirical findings </w:t>
      </w:r>
      <w:r w:rsidRPr="00C103DC">
        <w:rPr>
          <w:rStyle w:val="StyleUnderline"/>
        </w:rPr>
        <w:t xml:space="preserve">on income inequality and growth </w:t>
      </w:r>
      <w:r w:rsidRPr="00ED5B5C">
        <w:rPr>
          <w:rStyle w:val="StyleUnderline"/>
          <w:highlight w:val="cyan"/>
        </w:rPr>
        <w:t xml:space="preserve">are </w:t>
      </w:r>
      <w:r w:rsidRPr="00ED5B5C">
        <w:rPr>
          <w:rStyle w:val="Emphasis"/>
          <w:highlight w:val="cyan"/>
        </w:rPr>
        <w:t>highly inconclusive</w:t>
      </w:r>
      <w:r w:rsidRPr="00C103DC">
        <w:rPr>
          <w:sz w:val="16"/>
        </w:rPr>
        <w:t xml:space="preserve">. In this section, by providing a critical survey on methodology issues employed in the prior studies, we offer possible explanations on the disparity found in the empirical findings, particularly on multiple-countries studies. The </w:t>
      </w:r>
      <w:r w:rsidRPr="00C103DC">
        <w:rPr>
          <w:rStyle w:val="StyleUnderline"/>
        </w:rPr>
        <w:t xml:space="preserve">early multiple-countries </w:t>
      </w:r>
      <w:r w:rsidRPr="00ED5B5C">
        <w:rPr>
          <w:rStyle w:val="StyleUnderline"/>
          <w:highlight w:val="cyan"/>
        </w:rPr>
        <w:t>studies</w:t>
      </w:r>
      <w:r w:rsidRPr="00ED5B5C">
        <w:rPr>
          <w:sz w:val="16"/>
          <w:highlight w:val="cyan"/>
        </w:rPr>
        <w:t xml:space="preserve"> </w:t>
      </w:r>
      <w:r w:rsidRPr="00C103DC">
        <w:rPr>
          <w:sz w:val="16"/>
        </w:rPr>
        <w:t xml:space="preserve">[9,49,50] </w:t>
      </w:r>
      <w:r w:rsidRPr="00C103DC">
        <w:rPr>
          <w:rStyle w:val="StyleUnderline"/>
        </w:rPr>
        <w:t xml:space="preserve">in general reached a consensus </w:t>
      </w:r>
      <w:r w:rsidRPr="00ED5B5C">
        <w:rPr>
          <w:rStyle w:val="StyleUnderline"/>
          <w:highlight w:val="cyan"/>
        </w:rPr>
        <w:t>on the negative impact of inequality on growth</w:t>
      </w:r>
      <w:r w:rsidRPr="00C103DC">
        <w:rPr>
          <w:sz w:val="16"/>
        </w:rPr>
        <w:t>. Although they used different measures of inequality and samples, they all employed the Ordinary Least Squares (OLS) and Two-Stage Least Squares (2SLS) estimation techniques on cross-section data to estimate the coefficient on the inequality variable.</w:t>
      </w:r>
    </w:p>
    <w:p w14:paraId="36A6F6EB" w14:textId="77777777" w:rsidR="0048226A" w:rsidRPr="00C103DC" w:rsidRDefault="0048226A" w:rsidP="0048226A">
      <w:pPr>
        <w:rPr>
          <w:sz w:val="16"/>
        </w:rPr>
      </w:pPr>
      <w:r w:rsidRPr="00C103DC">
        <w:rPr>
          <w:sz w:val="16"/>
        </w:rPr>
        <w:t xml:space="preserve">By the late 1990s, </w:t>
      </w:r>
      <w:r w:rsidRPr="00C103DC">
        <w:rPr>
          <w:rStyle w:val="StyleUnderline"/>
        </w:rPr>
        <w:t>however, the general consensus on the negative relationship</w:t>
      </w:r>
      <w:r w:rsidRPr="00C103DC">
        <w:rPr>
          <w:sz w:val="16"/>
        </w:rPr>
        <w:t xml:space="preserve"> between income inequality and growth </w:t>
      </w:r>
      <w:r w:rsidRPr="00ED5B5C">
        <w:rPr>
          <w:rStyle w:val="StyleUnderline"/>
          <w:highlight w:val="cyan"/>
        </w:rPr>
        <w:t xml:space="preserve">was challenged by concerns over </w:t>
      </w:r>
      <w:r w:rsidRPr="00ED5B5C">
        <w:rPr>
          <w:rStyle w:val="Emphasis"/>
          <w:highlight w:val="cyan"/>
        </w:rPr>
        <w:t>data quality</w:t>
      </w:r>
      <w:r w:rsidRPr="00ED5B5C">
        <w:rPr>
          <w:rStyle w:val="StyleUnderline"/>
          <w:highlight w:val="cyan"/>
        </w:rPr>
        <w:t xml:space="preserve"> and </w:t>
      </w:r>
      <w:r w:rsidRPr="00C103DC">
        <w:rPr>
          <w:rStyle w:val="StyleUnderline"/>
        </w:rPr>
        <w:t xml:space="preserve">the </w:t>
      </w:r>
      <w:r w:rsidRPr="00ED5B5C">
        <w:rPr>
          <w:rStyle w:val="Emphasis"/>
          <w:highlight w:val="cyan"/>
        </w:rPr>
        <w:t>methodological procedures</w:t>
      </w:r>
      <w:r w:rsidRPr="00ED5B5C">
        <w:rPr>
          <w:rStyle w:val="StyleUnderline"/>
          <w:highlight w:val="cyan"/>
        </w:rPr>
        <w:t xml:space="preserve"> </w:t>
      </w:r>
      <w:r w:rsidRPr="00C103DC">
        <w:rPr>
          <w:rStyle w:val="StyleUnderline"/>
        </w:rPr>
        <w:t>used</w:t>
      </w:r>
      <w:r w:rsidRPr="00C103DC">
        <w:rPr>
          <w:sz w:val="16"/>
        </w:rPr>
        <w:t xml:space="preserve"> (see Neves and |Silva, [43]). With regard to the data quality, some studies argued that the dataset used in the previous studies, which lacked comparability due to the use of different income definitions (gross income versus expenditures) can lead to different results (see [10,36]). According to Knowles [36], </w:t>
      </w:r>
      <w:r w:rsidRPr="00C103DC">
        <w:rPr>
          <w:rStyle w:val="StyleUnderline"/>
        </w:rPr>
        <w:t>European countries, the U.S. and most of the Latin American countries use gross income data whereas most of the African and Asian countries use expenditure data</w:t>
      </w:r>
      <w:r w:rsidRPr="00C103DC">
        <w:rPr>
          <w:sz w:val="16"/>
        </w:rPr>
        <w:t>. Since expenditure is more equally distributed than gross income, such difference in income distribution may lead to a difference in the final results.</w:t>
      </w:r>
    </w:p>
    <w:p w14:paraId="7ABF465D" w14:textId="77777777" w:rsidR="00176ECF" w:rsidRPr="00176ECF" w:rsidRDefault="00176ECF" w:rsidP="00176ECF"/>
    <w:sectPr w:rsidR="00176ECF" w:rsidRPr="00176ECF">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C9123FC" w14:textId="77777777" w:rsidR="00CC3E68" w:rsidRDefault="00CC3E68" w:rsidP="00066D2C">
      <w:pPr>
        <w:spacing w:after="0" w:line="240" w:lineRule="auto"/>
      </w:pPr>
      <w:r>
        <w:separator/>
      </w:r>
    </w:p>
  </w:endnote>
  <w:endnote w:type="continuationSeparator" w:id="0">
    <w:p w14:paraId="41A0CB40" w14:textId="77777777" w:rsidR="00CC3E68" w:rsidRDefault="00CC3E68" w:rsidP="00066D2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B3132D9" w14:textId="77777777" w:rsidR="00CC3E68" w:rsidRDefault="00CC3E68" w:rsidP="00066D2C">
      <w:pPr>
        <w:spacing w:after="0" w:line="240" w:lineRule="auto"/>
      </w:pPr>
      <w:r>
        <w:separator/>
      </w:r>
    </w:p>
  </w:footnote>
  <w:footnote w:type="continuationSeparator" w:id="0">
    <w:p w14:paraId="04BA8B36" w14:textId="77777777" w:rsidR="00CC3E68" w:rsidRDefault="00CC3E68" w:rsidP="00066D2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16E51C1"/>
    <w:multiLevelType w:val="hybridMultilevel"/>
    <w:tmpl w:val="4140C408"/>
    <w:lvl w:ilvl="0" w:tplc="C944F44A">
      <w:numFmt w:val="bullet"/>
      <w:lvlText w:val="-"/>
      <w:lvlJc w:val="left"/>
      <w:pPr>
        <w:ind w:left="720" w:hanging="360"/>
      </w:pPr>
      <w:rPr>
        <w:rFonts w:ascii="Calibri" w:eastAsiaTheme="majorEastAsia" w:hAnsi="Calibri"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 w15:restartNumberingAfterBreak="0">
    <w:nsid w:val="12C4101A"/>
    <w:multiLevelType w:val="hybridMultilevel"/>
    <w:tmpl w:val="1C7E4ED8"/>
    <w:lvl w:ilvl="0" w:tplc="13ECA680">
      <w:numFmt w:val="bullet"/>
      <w:lvlText w:val=""/>
      <w:lvlJc w:val="left"/>
      <w:pPr>
        <w:ind w:left="720" w:hanging="360"/>
      </w:pPr>
      <w:rPr>
        <w:rFonts w:ascii="Wingdings" w:eastAsiaTheme="majorEastAsia" w:hAnsi="Wingdings" w:cstheme="maj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4A8A6279"/>
    <w:multiLevelType w:val="hybridMultilevel"/>
    <w:tmpl w:val="990618DC"/>
    <w:lvl w:ilvl="0" w:tplc="A6B4DC4A">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909073978">
    <w:abstractNumId w:val="15"/>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4"/>
  </w:num>
  <w:num w:numId="43" w16cid:durableId="1695883432">
    <w:abstractNumId w:val="13"/>
  </w:num>
  <w:num w:numId="44" w16cid:durableId="720713117">
    <w:abstractNumId w:val="12"/>
  </w:num>
  <w:num w:numId="45" w16cid:durableId="2111318981">
    <w:abstractNumId w:val="16"/>
  </w:num>
  <w:num w:numId="46" w16cid:durableId="1032414827">
    <w:abstractNumId w:val="10"/>
  </w:num>
  <w:num w:numId="47" w16cid:durableId="1048920742">
    <w:abstractNumId w:val="1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95"/>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2410200226960"/>
    <w:docVar w:name="VerbatimVersion" w:val="6.0.0"/>
    <w:docVar w:name="WordVersion" w:val="16.0"/>
  </w:docVars>
  <w:rsids>
    <w:rsidRoot w:val="008D6AE6"/>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AD4"/>
    <w:rsid w:val="00146731"/>
    <w:rsid w:val="00146F2E"/>
    <w:rsid w:val="00150A2E"/>
    <w:rsid w:val="00152BF7"/>
    <w:rsid w:val="00163574"/>
    <w:rsid w:val="001645D4"/>
    <w:rsid w:val="0016567B"/>
    <w:rsid w:val="0016568A"/>
    <w:rsid w:val="00170A72"/>
    <w:rsid w:val="00171A2A"/>
    <w:rsid w:val="001723BA"/>
    <w:rsid w:val="00175A0C"/>
    <w:rsid w:val="00176ECF"/>
    <w:rsid w:val="00180A4E"/>
    <w:rsid w:val="00181F58"/>
    <w:rsid w:val="00185090"/>
    <w:rsid w:val="00186B65"/>
    <w:rsid w:val="00190CDA"/>
    <w:rsid w:val="00196816"/>
    <w:rsid w:val="0019779A"/>
    <w:rsid w:val="001977CD"/>
    <w:rsid w:val="0019782C"/>
    <w:rsid w:val="001A07A2"/>
    <w:rsid w:val="001A1422"/>
    <w:rsid w:val="001A3079"/>
    <w:rsid w:val="001A4D9A"/>
    <w:rsid w:val="001A6960"/>
    <w:rsid w:val="001B1595"/>
    <w:rsid w:val="001B1762"/>
    <w:rsid w:val="001B18CF"/>
    <w:rsid w:val="001B2C27"/>
    <w:rsid w:val="001C0A69"/>
    <w:rsid w:val="001C48D7"/>
    <w:rsid w:val="001D1994"/>
    <w:rsid w:val="001D6D5C"/>
    <w:rsid w:val="001D7A6D"/>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5AD7"/>
    <w:rsid w:val="004127EF"/>
    <w:rsid w:val="00414EB4"/>
    <w:rsid w:val="004208C6"/>
    <w:rsid w:val="00425531"/>
    <w:rsid w:val="00425A83"/>
    <w:rsid w:val="00426CC6"/>
    <w:rsid w:val="00431905"/>
    <w:rsid w:val="004326E6"/>
    <w:rsid w:val="00432F5F"/>
    <w:rsid w:val="0043419E"/>
    <w:rsid w:val="0043450D"/>
    <w:rsid w:val="004348C6"/>
    <w:rsid w:val="00434BCC"/>
    <w:rsid w:val="004350BF"/>
    <w:rsid w:val="00435588"/>
    <w:rsid w:val="004433A0"/>
    <w:rsid w:val="004436F8"/>
    <w:rsid w:val="00447BAE"/>
    <w:rsid w:val="00450DA4"/>
    <w:rsid w:val="00457F13"/>
    <w:rsid w:val="004604DA"/>
    <w:rsid w:val="00462267"/>
    <w:rsid w:val="00462B60"/>
    <w:rsid w:val="00474720"/>
    <w:rsid w:val="00480A40"/>
    <w:rsid w:val="0048226A"/>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495"/>
    <w:rsid w:val="005268F8"/>
    <w:rsid w:val="0053626E"/>
    <w:rsid w:val="00544936"/>
    <w:rsid w:val="005449A8"/>
    <w:rsid w:val="0055242A"/>
    <w:rsid w:val="005525AE"/>
    <w:rsid w:val="005546C5"/>
    <w:rsid w:val="005558FC"/>
    <w:rsid w:val="00557B59"/>
    <w:rsid w:val="00565142"/>
    <w:rsid w:val="00567D6A"/>
    <w:rsid w:val="00567D90"/>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095"/>
    <w:rsid w:val="0062614B"/>
    <w:rsid w:val="006266E2"/>
    <w:rsid w:val="0063037B"/>
    <w:rsid w:val="00632C54"/>
    <w:rsid w:val="00635616"/>
    <w:rsid w:val="006376E2"/>
    <w:rsid w:val="00641E99"/>
    <w:rsid w:val="006463F8"/>
    <w:rsid w:val="00650C88"/>
    <w:rsid w:val="0065258E"/>
    <w:rsid w:val="00655035"/>
    <w:rsid w:val="00656814"/>
    <w:rsid w:val="00657A00"/>
    <w:rsid w:val="006633F4"/>
    <w:rsid w:val="0066638E"/>
    <w:rsid w:val="00666CC0"/>
    <w:rsid w:val="00673C22"/>
    <w:rsid w:val="0067482D"/>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767A"/>
    <w:rsid w:val="006E2A45"/>
    <w:rsid w:val="006E37D4"/>
    <w:rsid w:val="006F3768"/>
    <w:rsid w:val="006F71DE"/>
    <w:rsid w:val="00704573"/>
    <w:rsid w:val="007072CC"/>
    <w:rsid w:val="0071254A"/>
    <w:rsid w:val="007131D2"/>
    <w:rsid w:val="00713917"/>
    <w:rsid w:val="00717AF8"/>
    <w:rsid w:val="00720F86"/>
    <w:rsid w:val="00722E77"/>
    <w:rsid w:val="007245F1"/>
    <w:rsid w:val="007247B8"/>
    <w:rsid w:val="007268FD"/>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56E6"/>
    <w:rsid w:val="007A7EAB"/>
    <w:rsid w:val="007B5238"/>
    <w:rsid w:val="007C0AED"/>
    <w:rsid w:val="007C0BEE"/>
    <w:rsid w:val="007C42F3"/>
    <w:rsid w:val="007C4FA7"/>
    <w:rsid w:val="007C5531"/>
    <w:rsid w:val="007C63A0"/>
    <w:rsid w:val="007C6D52"/>
    <w:rsid w:val="007C6F91"/>
    <w:rsid w:val="007C72C0"/>
    <w:rsid w:val="007D034D"/>
    <w:rsid w:val="007D12ED"/>
    <w:rsid w:val="007D2F9C"/>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D6AE6"/>
    <w:rsid w:val="008E30D8"/>
    <w:rsid w:val="008E447C"/>
    <w:rsid w:val="008E596E"/>
    <w:rsid w:val="008E6741"/>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53AF"/>
    <w:rsid w:val="009E6D4B"/>
    <w:rsid w:val="009E6DF5"/>
    <w:rsid w:val="009F02C5"/>
    <w:rsid w:val="009F076C"/>
    <w:rsid w:val="009F34CC"/>
    <w:rsid w:val="009F3C4D"/>
    <w:rsid w:val="009F479E"/>
    <w:rsid w:val="009F66D9"/>
    <w:rsid w:val="00A035A3"/>
    <w:rsid w:val="00A06DF8"/>
    <w:rsid w:val="00A1128F"/>
    <w:rsid w:val="00A16440"/>
    <w:rsid w:val="00A169AC"/>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671D4"/>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3E68"/>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DA1"/>
    <w:rsid w:val="00E90EC0"/>
    <w:rsid w:val="00E944C1"/>
    <w:rsid w:val="00E97D8B"/>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685D"/>
    <w:rsid w:val="00F06A5D"/>
    <w:rsid w:val="00F0700E"/>
    <w:rsid w:val="00F14A61"/>
    <w:rsid w:val="00F17B58"/>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9D6"/>
    <w:rsid w:val="00F57FCC"/>
    <w:rsid w:val="00F61907"/>
    <w:rsid w:val="00F61AB2"/>
    <w:rsid w:val="00F65464"/>
    <w:rsid w:val="00F70E1C"/>
    <w:rsid w:val="00F72FCE"/>
    <w:rsid w:val="00F734F9"/>
    <w:rsid w:val="00F73F90"/>
    <w:rsid w:val="00F74D13"/>
    <w:rsid w:val="00F80FBD"/>
    <w:rsid w:val="00F821A3"/>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8824F98"/>
  <w15:chartTrackingRefBased/>
  <w15:docId w15:val="{5D28D7E0-E13A-4E3B-8962-5800D7BBE4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8D6AE6"/>
    <w:rPr>
      <w:rFonts w:ascii="Calibri" w:hAnsi="Calibri" w:cs="Calibri"/>
    </w:rPr>
  </w:style>
  <w:style w:type="paragraph" w:styleId="Heading1">
    <w:name w:val="heading 1"/>
    <w:aliases w:val="Pocket"/>
    <w:basedOn w:val="Normal"/>
    <w:next w:val="Normal"/>
    <w:link w:val="Heading1Char"/>
    <w:qFormat/>
    <w:rsid w:val="008D6AE6"/>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8D6AE6"/>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
    <w:basedOn w:val="Normal"/>
    <w:next w:val="Normal"/>
    <w:link w:val="Heading3Char"/>
    <w:uiPriority w:val="2"/>
    <w:qFormat/>
    <w:rsid w:val="008D6AE6"/>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heading 2,Heading 2 Char2 Char,Heading 2 Char1 Char Char,TAG, Ch,Big card,body,small text,Normal Tag,Ch,no read,No Spacing1121,No Spacing111111,small space,ta,Heading 41,Card,No Spacing1,Debate Text,No Spacing11,Read stuff,No Spacing111,t,T"/>
    <w:basedOn w:val="Normal"/>
    <w:next w:val="Normal"/>
    <w:link w:val="Heading4Char"/>
    <w:uiPriority w:val="3"/>
    <w:qFormat/>
    <w:rsid w:val="008D6AE6"/>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semiHidden/>
    <w:unhideWhenUsed/>
    <w:rsid w:val="008D6AE6"/>
    <w:pPr>
      <w:keepNext/>
      <w:keepLines/>
      <w:spacing w:before="40" w:after="0"/>
      <w:outlineLvl w:val="4"/>
    </w:pPr>
    <w:rPr>
      <w:rFonts w:asciiTheme="majorHAnsi" w:eastAsiaTheme="majorEastAsia" w:hAnsiTheme="majorHAnsi" w:cstheme="majorBidi"/>
      <w:color w:val="2F5496" w:themeColor="accent1" w:themeShade="BF"/>
    </w:rPr>
  </w:style>
  <w:style w:type="character" w:default="1" w:styleId="DefaultParagraphFont">
    <w:name w:val="Default Paragraph Font"/>
    <w:uiPriority w:val="1"/>
    <w:unhideWhenUsed/>
    <w:rsid w:val="008D6AE6"/>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8D6AE6"/>
  </w:style>
  <w:style w:type="character" w:styleId="Emphasis">
    <w:name w:val="Emphasis"/>
    <w:aliases w:val="Evidence,Minimized,minimized,Highlighted,tag2,Size 10,emphasis in card,CD Card,ED - Tag,Underlined,emphasis,Emphasis!!,small,Qualifications,bold underline,normal card text,Shrunk,qualifications in card,qualifications,Box,Style1,Bold Underline,B,s"/>
    <w:basedOn w:val="DefaultParagraphFont"/>
    <w:link w:val="textbold"/>
    <w:uiPriority w:val="8"/>
    <w:qFormat/>
    <w:rsid w:val="008D6AE6"/>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8D6AE6"/>
    <w:rPr>
      <w:color w:val="auto"/>
      <w:u w:val="none"/>
    </w:rPr>
  </w:style>
  <w:style w:type="character" w:customStyle="1" w:styleId="Heading1Char">
    <w:name w:val="Heading 1 Char"/>
    <w:aliases w:val="Pocket Char"/>
    <w:basedOn w:val="DefaultParagraphFont"/>
    <w:link w:val="Heading1"/>
    <w:rsid w:val="008D6AE6"/>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8D6AE6"/>
    <w:rPr>
      <w:rFonts w:ascii="Calibri" w:eastAsiaTheme="majorEastAsia" w:hAnsi="Calibri" w:cstheme="majorBidi"/>
      <w:b/>
      <w:sz w:val="44"/>
      <w:szCs w:val="26"/>
      <w:u w:val="double"/>
    </w:rPr>
  </w:style>
  <w:style w:type="character" w:customStyle="1" w:styleId="Heading3Char">
    <w:name w:val="Heading 3 Char"/>
    <w:aliases w:val="Block Char"/>
    <w:basedOn w:val="DefaultParagraphFont"/>
    <w:link w:val="Heading3"/>
    <w:uiPriority w:val="2"/>
    <w:rsid w:val="008D6AE6"/>
    <w:rPr>
      <w:rFonts w:ascii="Calibri" w:eastAsiaTheme="majorEastAsia" w:hAnsi="Calibri" w:cstheme="majorBidi"/>
      <w:b/>
      <w:sz w:val="32"/>
      <w:szCs w:val="24"/>
      <w:u w:val="single"/>
    </w:rPr>
  </w:style>
  <w:style w:type="character" w:customStyle="1" w:styleId="Heading4Char">
    <w:name w:val="Heading 4 Char"/>
    <w:aliases w:val="Tag Char,heading 2 Char,Heading 2 Char2 Char Char,Heading 2 Char1 Char Char Char,TAG Char, Ch Char,Big card Char,body Char,small text Char,Normal Tag Char,Ch Char,no read Char,No Spacing1121 Char,No Spacing111111 Char,small space Char"/>
    <w:basedOn w:val="DefaultParagraphFont"/>
    <w:link w:val="Heading4"/>
    <w:uiPriority w:val="3"/>
    <w:rsid w:val="008D6AE6"/>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3 pt,Style Style Bold + 11 pt,tag + 12 pt,Not...,Not.,Not"/>
    <w:basedOn w:val="DefaultParagraphFont"/>
    <w:uiPriority w:val="6"/>
    <w:qFormat/>
    <w:rsid w:val="008D6AE6"/>
    <w:rPr>
      <w:b/>
      <w:bCs/>
      <w:sz w:val="26"/>
      <w:u w:val="none"/>
    </w:rPr>
  </w:style>
  <w:style w:type="character" w:customStyle="1" w:styleId="StyleUnderline">
    <w:name w:val="Style Underline"/>
    <w:aliases w:val="Underline,Style Bold Underline,apple-style-span + 6 pt,Kern at 16 pt,Style,Bold,Intense Emphasis1,Intense Emphasis2,HHeading 3 + 12 pt,Bold Cite Char,Cards + Font: 12 pt Char,Citation Char Char Char,Heading 3 Char1 Char Char Char,ci,c,Bo,S"/>
    <w:basedOn w:val="DefaultParagraphFont"/>
    <w:link w:val="UnderlinePara"/>
    <w:uiPriority w:val="7"/>
    <w:qFormat/>
    <w:rsid w:val="008D6AE6"/>
    <w:rPr>
      <w:b w:val="0"/>
      <w:sz w:val="22"/>
      <w:u w:val="single"/>
    </w:rPr>
  </w:style>
  <w:style w:type="character" w:styleId="Strong">
    <w:name w:val="Strong"/>
    <w:basedOn w:val="DefaultParagraphFont"/>
    <w:uiPriority w:val="22"/>
    <w:semiHidden/>
    <w:qFormat/>
    <w:rsid w:val="008D6AE6"/>
    <w:rPr>
      <w:b/>
      <w:bCs/>
    </w:rPr>
  </w:style>
  <w:style w:type="character" w:styleId="BookTitle">
    <w:name w:val="Book Title"/>
    <w:basedOn w:val="DefaultParagraphFont"/>
    <w:uiPriority w:val="33"/>
    <w:semiHidden/>
    <w:qFormat/>
    <w:rsid w:val="008D6AE6"/>
    <w:rPr>
      <w:b/>
      <w:bCs/>
      <w:i/>
      <w:iCs/>
      <w:spacing w:val="5"/>
    </w:rPr>
  </w:style>
  <w:style w:type="character" w:customStyle="1" w:styleId="Heading5Char">
    <w:name w:val="Heading 5 Char"/>
    <w:basedOn w:val="DefaultParagraphFont"/>
    <w:link w:val="Heading5"/>
    <w:uiPriority w:val="9"/>
    <w:semiHidden/>
    <w:rsid w:val="008D6AE6"/>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8D6AE6"/>
  </w:style>
  <w:style w:type="paragraph" w:styleId="Header">
    <w:name w:val="header"/>
    <w:basedOn w:val="Normal"/>
    <w:link w:val="HeaderChar"/>
    <w:uiPriority w:val="99"/>
    <w:semiHidden/>
    <w:rsid w:val="008D6AE6"/>
    <w:pPr>
      <w:tabs>
        <w:tab w:val="center" w:pos="4680"/>
        <w:tab w:val="right" w:pos="9360"/>
      </w:tabs>
      <w:spacing w:after="0" w:line="240" w:lineRule="auto"/>
    </w:pPr>
  </w:style>
  <w:style w:type="character" w:customStyle="1" w:styleId="HeaderChar">
    <w:name w:val="Header Char"/>
    <w:basedOn w:val="DefaultParagraphFont"/>
    <w:link w:val="Header"/>
    <w:uiPriority w:val="99"/>
    <w:semiHidden/>
    <w:rsid w:val="008D6AE6"/>
    <w:rPr>
      <w:rFonts w:ascii="Calibri" w:hAnsi="Calibri" w:cs="Calibri"/>
    </w:rPr>
  </w:style>
  <w:style w:type="paragraph" w:styleId="Footer">
    <w:name w:val="footer"/>
    <w:basedOn w:val="Normal"/>
    <w:link w:val="FooterChar"/>
    <w:uiPriority w:val="99"/>
    <w:semiHidden/>
    <w:rsid w:val="008D6AE6"/>
    <w:pPr>
      <w:tabs>
        <w:tab w:val="center" w:pos="4680"/>
        <w:tab w:val="right" w:pos="9360"/>
      </w:tabs>
      <w:spacing w:after="0" w:line="240" w:lineRule="auto"/>
    </w:pPr>
  </w:style>
  <w:style w:type="character" w:customStyle="1" w:styleId="FooterChar">
    <w:name w:val="Footer Char"/>
    <w:basedOn w:val="DefaultParagraphFont"/>
    <w:link w:val="Footer"/>
    <w:uiPriority w:val="99"/>
    <w:semiHidden/>
    <w:rsid w:val="008D6AE6"/>
    <w:rPr>
      <w:rFonts w:ascii="Calibri" w:hAnsi="Calibri" w:cs="Calibri"/>
    </w:rPr>
  </w:style>
  <w:style w:type="paragraph" w:styleId="BodyText">
    <w:name w:val="Body Text"/>
    <w:basedOn w:val="Normal"/>
    <w:link w:val="BodyTextChar"/>
    <w:uiPriority w:val="99"/>
    <w:semiHidden/>
    <w:unhideWhenUsed/>
    <w:rsid w:val="008D6AE6"/>
    <w:pPr>
      <w:spacing w:after="120"/>
    </w:pPr>
  </w:style>
  <w:style w:type="character" w:customStyle="1" w:styleId="BodyTextChar">
    <w:name w:val="Body Text Char"/>
    <w:basedOn w:val="DefaultParagraphFont"/>
    <w:link w:val="BodyText"/>
    <w:uiPriority w:val="99"/>
    <w:semiHidden/>
    <w:rsid w:val="008D6AE6"/>
    <w:rPr>
      <w:rFonts w:ascii="Calibri" w:hAnsi="Calibri" w:cs="Calibri"/>
    </w:rPr>
  </w:style>
  <w:style w:type="paragraph" w:styleId="NoSpacing">
    <w:name w:val="No Spacing"/>
    <w:link w:val="NoSpacingChar"/>
    <w:uiPriority w:val="99"/>
    <w:semiHidden/>
    <w:unhideWhenUsed/>
    <w:qFormat/>
    <w:rsid w:val="008D6AE6"/>
    <w:pPr>
      <w:spacing w:after="0" w:line="240" w:lineRule="auto"/>
    </w:pPr>
    <w:rPr>
      <w:rFonts w:ascii="Calibri" w:hAnsi="Calibri" w:cs="Calibri"/>
    </w:rPr>
  </w:style>
  <w:style w:type="character" w:customStyle="1" w:styleId="NoSpacingChar">
    <w:name w:val="No Spacing Char"/>
    <w:basedOn w:val="DefaultParagraphFont"/>
    <w:link w:val="NoSpacing"/>
    <w:uiPriority w:val="99"/>
    <w:semiHidden/>
    <w:rsid w:val="008D6AE6"/>
    <w:rPr>
      <w:rFonts w:ascii="Calibri" w:hAnsi="Calibri" w:cs="Calibri"/>
    </w:rPr>
  </w:style>
  <w:style w:type="character" w:styleId="Hyperlink">
    <w:name w:val="Hyperlink"/>
    <w:aliases w:val="heading 1 (block title),Important,Read,Card Text,Internet Link,Analytic Text,Internet link,Underline Char Char Char Char1,Heading 3 Char Char Char Char Char Char Char Char Char Char1,BlockText Char1,TAG ,Char Char1,Tags v 2 Char1,Text 7 Char1"/>
    <w:basedOn w:val="DefaultParagraphFont"/>
    <w:link w:val="Heading411"/>
    <w:uiPriority w:val="99"/>
    <w:unhideWhenUsed/>
    <w:rsid w:val="008D6AE6"/>
    <w:rPr>
      <w:color w:val="0563C1" w:themeColor="hyperlink"/>
      <w:u w:val="single"/>
    </w:rPr>
  </w:style>
  <w:style w:type="character" w:styleId="UnresolvedMention">
    <w:name w:val="Unresolved Mention"/>
    <w:basedOn w:val="DefaultParagraphFont"/>
    <w:uiPriority w:val="99"/>
    <w:semiHidden/>
    <w:unhideWhenUsed/>
    <w:rsid w:val="008D6AE6"/>
    <w:rPr>
      <w:color w:val="605E5C"/>
      <w:shd w:val="clear" w:color="auto" w:fill="E1DFDD"/>
    </w:rPr>
  </w:style>
  <w:style w:type="paragraph" w:customStyle="1" w:styleId="textbold">
    <w:name w:val="text bold"/>
    <w:basedOn w:val="Normal"/>
    <w:link w:val="Emphasis"/>
    <w:uiPriority w:val="8"/>
    <w:qFormat/>
    <w:rsid w:val="008D6AE6"/>
    <w:pPr>
      <w:widowControl w:val="0"/>
      <w:pBdr>
        <w:top w:val="single" w:sz="8" w:space="0" w:color="auto"/>
        <w:left w:val="single" w:sz="8" w:space="0" w:color="auto"/>
        <w:bottom w:val="single" w:sz="8" w:space="0" w:color="auto"/>
        <w:right w:val="single" w:sz="8" w:space="0" w:color="auto"/>
      </w:pBdr>
      <w:spacing w:after="0" w:line="254" w:lineRule="auto"/>
      <w:ind w:left="720"/>
      <w:jc w:val="both"/>
    </w:pPr>
    <w:rPr>
      <w:b/>
      <w:iCs/>
      <w:u w:val="single"/>
      <w:bdr w:val="single" w:sz="8" w:space="0" w:color="auto"/>
    </w:rPr>
  </w:style>
  <w:style w:type="paragraph" w:customStyle="1" w:styleId="UnderlinePara">
    <w:name w:val="Underline Para"/>
    <w:basedOn w:val="Normal"/>
    <w:link w:val="StyleUnderline"/>
    <w:uiPriority w:val="7"/>
    <w:qFormat/>
    <w:rsid w:val="008D6AE6"/>
    <w:pPr>
      <w:widowControl w:val="0"/>
      <w:suppressAutoHyphens/>
      <w:spacing w:after="200"/>
      <w:contextualSpacing/>
    </w:pPr>
    <w:rPr>
      <w:rFonts w:asciiTheme="minorHAnsi" w:hAnsiTheme="minorHAnsi" w:cstheme="minorBidi"/>
      <w:u w:val="single"/>
    </w:rPr>
  </w:style>
  <w:style w:type="paragraph" w:customStyle="1" w:styleId="Emphasis0">
    <w:name w:val="!!_Emphasis"/>
    <w:basedOn w:val="Normal"/>
    <w:uiPriority w:val="8"/>
    <w:qFormat/>
    <w:rsid w:val="008D6AE6"/>
    <w:pPr>
      <w:pBdr>
        <w:top w:val="single" w:sz="4" w:space="0" w:color="auto"/>
        <w:left w:val="single" w:sz="4" w:space="0" w:color="auto"/>
        <w:bottom w:val="single" w:sz="4" w:space="0" w:color="auto"/>
        <w:right w:val="single" w:sz="4" w:space="0" w:color="auto"/>
      </w:pBdr>
      <w:spacing w:line="254" w:lineRule="auto"/>
      <w:ind w:left="720"/>
    </w:pPr>
    <w:rPr>
      <w:b/>
      <w:iCs/>
      <w:u w:val="single"/>
      <w:bdr w:val="single" w:sz="8" w:space="0" w:color="auto"/>
    </w:rPr>
  </w:style>
  <w:style w:type="paragraph" w:customStyle="1" w:styleId="Emphasis1">
    <w:name w:val="Emphasis1"/>
    <w:basedOn w:val="Normal"/>
    <w:uiPriority w:val="8"/>
    <w:qFormat/>
    <w:rsid w:val="007A56E6"/>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styleId="ListParagraph">
    <w:name w:val="List Paragraph"/>
    <w:basedOn w:val="Normal"/>
    <w:uiPriority w:val="34"/>
    <w:unhideWhenUsed/>
    <w:qFormat/>
    <w:rsid w:val="007A56E6"/>
    <w:pPr>
      <w:ind w:left="720"/>
      <w:contextualSpacing/>
    </w:pPr>
  </w:style>
  <w:style w:type="paragraph" w:customStyle="1" w:styleId="Heading411">
    <w:name w:val="Heading 411"/>
    <w:basedOn w:val="Heading1"/>
    <w:next w:val="NoSpacing"/>
    <w:link w:val="Hyperlink"/>
    <w:autoRedefine/>
    <w:uiPriority w:val="99"/>
    <w:qFormat/>
    <w:rsid w:val="0048226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harvardlawreview.org/print/vol-134/tribal-power-worker-power-organizing-unions-in-the-context-of-native-sovereignty/"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www.mercatus.org/research/working-papers/do-more-powerful-unions-generate-better-pro-worker-outcomes" TargetMode="External"/><Relationship Id="rId5" Type="http://schemas.openxmlformats.org/officeDocument/2006/relationships/webSettings" Target="webSettings.xml"/><Relationship Id="rId10" Type="http://schemas.openxmlformats.org/officeDocument/2006/relationships/hyperlink" Target="https://www.politico.com/newsletters/the-long-game/2020/09/01/unions-fracture-over-climate-490237" TargetMode="External"/><Relationship Id="rId4" Type="http://schemas.openxmlformats.org/officeDocument/2006/relationships/settings" Target="settings.xml"/><Relationship Id="rId9" Type="http://schemas.openxmlformats.org/officeDocument/2006/relationships/hyperlink" Target="https://doi.org/10.1177/1177180121994681" TargetMode="Externa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esh5a\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32</TotalTime>
  <Pages>1</Pages>
  <Words>13069</Words>
  <Characters>74497</Characters>
  <Application>Microsoft Office Word</Application>
  <DocSecurity>0</DocSecurity>
  <Lines>620</Lines>
  <Paragraphs>174</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87392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Eshkar Kaidar-Heafetz</dc:creator>
  <cp:keywords>6.0.0</cp:keywords>
  <dc:description/>
  <cp:lastModifiedBy>Eshkar Kaidar-Heafetz</cp:lastModifiedBy>
  <cp:revision>2</cp:revision>
  <dcterms:created xsi:type="dcterms:W3CDTF">2025-11-16T15:51:00Z</dcterms:created>
  <dcterms:modified xsi:type="dcterms:W3CDTF">2025-11-16T16:38:00Z</dcterms:modified>
</cp:coreProperties>
</file>