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convicted..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"[t]he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ajudge's permission.'0 Servants who broke the contract could be arrested and returned back to their masters with ajudge's order." Meanwhile, the Mississippi Black Codes defined vagrants as anyone who was guilty of theft..,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This new kind of slave-to-master relationship was not just constitutional,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proj ects.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ratesall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criminalbackground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state’s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This is a form of superexploitation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superexploitation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Superexploitation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superexploitation.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The prison wall serves as "a legal fiction .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superexploitation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atomizes, indivdualizes</w:t>
      </w:r>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lift up their four demands: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2. Closure of most jails and prisons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CoreCivic,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barring novel legislation that deems prisoners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outside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Disembedded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UPU ,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family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nonprison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componant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developments in American penality</w:t>
      </w:r>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penality prizing responsibilization,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Iss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prisoners “laborers” while simultaneously denying labor rights—these contradictions create ruptures in colonial regimes that are a crisis for capitalist accumulation </w:t>
      </w:r>
    </w:p>
    <w:p w14:paraId="10E6F67A" w14:textId="77777777" w:rsidR="0023310E" w:rsidRPr="00760117" w:rsidRDefault="0023310E" w:rsidP="0023310E">
      <w:r w:rsidRPr="00442C09">
        <w:rPr>
          <w:rStyle w:val="Style13ptBold"/>
        </w:rPr>
        <w:t>Bhandar 12</w:t>
      </w:r>
      <w:r>
        <w:t xml:space="preserve"> [</w:t>
      </w:r>
      <w:r w:rsidRPr="00760117">
        <w:t>Brenna </w:t>
      </w:r>
      <w:r w:rsidRPr="00442C09">
        <w:t xml:space="preserve">Bhandar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question remains: how does one utilise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the ruptural defence</w:t>
      </w:r>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703C20AD" w14:textId="77777777" w:rsidR="0023310E" w:rsidRPr="00002247" w:rsidRDefault="0023310E" w:rsidP="0023310E">
      <w:pPr>
        <w:rPr>
          <w:sz w:val="14"/>
        </w:rPr>
      </w:pPr>
      <w:r w:rsidRPr="00002247">
        <w:rPr>
          <w:sz w:val="14"/>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The problem wasn’t to play for sympathy as left - wing lawyers advised us to do, from the murderous fools who judged us, but to taunt them, to provoke incidents that would reac h people in Paris, London, Brussels and Cairo...</w:t>
      </w:r>
    </w:p>
    <w:p w14:paraId="1E256C4A" w14:textId="77777777" w:rsidR="0023310E" w:rsidRPr="00002247" w:rsidRDefault="0023310E" w:rsidP="0023310E">
      <w:pPr>
        <w:rPr>
          <w:sz w:val="14"/>
        </w:rPr>
      </w:pPr>
      <w:r w:rsidRPr="00002247">
        <w:rPr>
          <w:sz w:val="14"/>
        </w:rPr>
        <w:t>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760117">
        <w:rPr>
          <w:u w:val="single"/>
        </w:rPr>
        <w:t>The ruptural defence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But more than this, his strategy is ruptural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In Christodoulidis’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Christodoulidis characterises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To quote from Christodoulidis:</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r w:rsidRPr="00002247">
        <w:rPr>
          <w:sz w:val="14"/>
        </w:rPr>
        <w:t>Christodoulidis explores how the strategy of </w:t>
      </w:r>
      <w:r w:rsidRPr="00442C09">
        <w:rPr>
          <w:highlight w:val="cyan"/>
          <w:u w:val="single"/>
        </w:rPr>
        <w:t>rupture can be utilised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that could cause a crisis for globalised capita</w:t>
      </w:r>
      <w:r w:rsidRPr="00760117">
        <w:rPr>
          <w:u w:val="single"/>
        </w:rPr>
        <w:t>l</w:t>
      </w:r>
      <w:r w:rsidRPr="00002247">
        <w:rPr>
          <w:sz w:val="14"/>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After the Trial: From Defence to Judgment</w:t>
      </w:r>
    </w:p>
    <w:p w14:paraId="4DEFB62E" w14:textId="77777777" w:rsidR="0023310E" w:rsidRPr="00002247" w:rsidRDefault="0023310E" w:rsidP="0023310E">
      <w:pPr>
        <w:rPr>
          <w:sz w:val="14"/>
        </w:rPr>
      </w:pPr>
      <w:r w:rsidRPr="00002247">
        <w:rPr>
          <w:sz w:val="14"/>
        </w:rPr>
        <w:t>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760117">
        <w:rPr>
          <w:u w:val="single"/>
        </w:rPr>
        <w:t>The strategy of rupture is a tactic utilised to</w:t>
      </w:r>
      <w:r w:rsidRPr="00002247">
        <w:rPr>
          <w:sz w:val="14"/>
        </w:rPr>
        <w:t> subvert the order and structure of a trial; to </w:t>
      </w:r>
      <w:r w:rsidRPr="00760117">
        <w:rPr>
          <w:u w:val="single"/>
        </w:rPr>
        <w:t>re-define the very terms upon which the trial is premised</w:t>
      </w:r>
      <w:r w:rsidRPr="00002247">
        <w:rPr>
          <w:sz w:val="14"/>
        </w:rPr>
        <w:t>. On this view, the judge, charged with the obligation to uphold the rule o f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contradicts and violates rights to basic political freedoms</w:t>
      </w:r>
      <w:r w:rsidRPr="00002247">
        <w:rPr>
          <w:rStyle w:val="StyleUnderline"/>
        </w:rPr>
        <w:t xml:space="preserve"> ,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Would the redefinition, for instance, of constitutional provisions guaranteeing r ights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that are inevitably and invariably utilised to justify state repression of rights </w:t>
      </w:r>
      <w:r w:rsidRPr="00760117">
        <w:rPr>
          <w:u w:val="single"/>
        </w:rPr>
        <w:t>in favour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We may be reluctant to ever claim a judgment as ruptural out of fear that it would contaminate the radical nature of this form of immanent critique</w:t>
      </w:r>
      <w:r w:rsidRPr="00002247">
        <w:rPr>
          <w:sz w:val="14"/>
        </w:rPr>
        <w:t>.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r w:rsidRPr="00442C09">
        <w:rPr>
          <w:highlight w:val="cyan"/>
          <w:u w:val="single"/>
        </w:rPr>
        <w:t>ruptural,</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capitalist development imperatives and the exploitation of tribal peoples by the state of Chattisgarh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of the people of Chattisgarh</w:t>
      </w:r>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long term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jobcreation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r w:rsidRPr="004C7458">
        <w:rPr>
          <w:sz w:val="16"/>
        </w:rPr>
        <w:t>Decarceration strategies included fighting against indeterminate sentencing and parole, advocating for shorter sentences, and organizing community-restitution programs. Abolitionists advocated methods of excarceration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18F66BB9" w14:textId="77777777" w:rsidR="00442C09" w:rsidRPr="00DB4C08" w:rsidRDefault="00442C09" w:rsidP="00442C09">
      <w:pPr>
        <w:rPr>
          <w:rStyle w:val="StyleUnderline"/>
        </w:rPr>
      </w:pPr>
      <w:r w:rsidRPr="00DB4C08">
        <w:rPr>
          <w:rStyle w:val="StyleUnderline"/>
        </w:rPr>
        <w:t>1. Abolish prisons as they exist and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3. Deal with problems that are NOW facing prisoners,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normalization of prison labour and the creation of a prisoners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Jordan is an assistant professor in the Department of Labour Studies at Brock University,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it will be very difficult to maintain that they are not a part of the labour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pris-oners</w:t>
      </w:r>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People in prison are largely there for crimes of poverty, mental health and addiction. So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Prisoners have never stopped trying in their efforts to unionize. We detailed the efforts of prisoners at GCC, working at the Guelph abat-toir, unionizing with the CFAW Union Local 240 in 1977. They were successful and were able to achieve pay parity with their non-incarcer-ated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possi-ble.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clear the law is not on the side of prisoners who seek unionization. However, it is also the case the law was never on the side of any workers who wanted to unionize. There has always been a fight - nothing was given and everything was won through struggle.</w:t>
      </w:r>
      <w:r w:rsidRPr="0080167A">
        <w:rPr>
          <w:sz w:val="14"/>
        </w:rPr>
        <w:t>* Lawyers, advocates, and unions must support prisoners as they wade through the fog of "rehabilitation" and climb over bar-</w:t>
      </w:r>
      <w:r w:rsidRPr="00F41210">
        <w:rPr>
          <w:sz w:val="14"/>
        </w:rPr>
        <w:t xml:space="preserve"> </w:t>
      </w:r>
      <w:r w:rsidRPr="0080167A">
        <w:rPr>
          <w:sz w:val="14"/>
        </w:rPr>
        <w:t>riers set by labour boards that have continued to deny them jurisdiction.</w:t>
      </w:r>
      <w:r w:rsidRPr="00F41210">
        <w:rPr>
          <w:sz w:val="14"/>
        </w:rPr>
        <w:t xml:space="preserve"> </w:t>
      </w:r>
      <w:r w:rsidRPr="0080167A">
        <w:rPr>
          <w:sz w:val="14"/>
        </w:rPr>
        <w:t>They have to fight for their rights and make the case. The case does exist, but it will be a very intense battle to assert it. Labour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 xml:space="preserve">We realize this is not a simple task. It would require unions to recon-ceptualize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labour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The prison justice movement has not, thus far, been primarily concerned with issues of prison labour.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labour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labour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organiza-tion, Prisoners United. The website lists a number of projects designed to assert rights of prisoners and bring about improvements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advocate for prisoners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con-ditions,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sys-tem,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Prisoners' exclusion from normal employment standards, occupational health and safety and labour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ar-gued,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r w:rsidRPr="0080167A">
        <w:rPr>
          <w:rStyle w:val="StyleUnderline"/>
        </w:rPr>
        <w:t xml:space="preserve">Labour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r>
        <w:rPr>
          <w:rStyle w:val="Style13ptBold"/>
        </w:rPr>
        <w:t>Antojado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Antojado et  al., 2023; Martinovic et  al.,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(Fayter, 2016; Kilty &amp; Lehalle,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w:t>
      </w:r>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(Antojado,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4108CC82" w14:textId="77777777" w:rsidR="00B61276" w:rsidRPr="00020DEB" w:rsidRDefault="00B61276" w:rsidP="00B61276">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0FEA1EA6" w14:textId="77777777" w:rsidR="00BA0F83" w:rsidRDefault="00BA0F83" w:rsidP="00BA0F83">
      <w:pPr>
        <w:pStyle w:val="Heading4"/>
      </w:pPr>
      <w:r w:rsidRPr="00B252F7">
        <w:t xml:space="preserve">Reject normative risk calculus—numerous fallacies overprioritize high magnitude low probability impacts </w:t>
      </w:r>
      <w:r>
        <w:t xml:space="preserve">at the expense of real world considerations </w:t>
      </w:r>
    </w:p>
    <w:p w14:paraId="23A67908" w14:textId="77777777" w:rsidR="00BA0F83" w:rsidRPr="00B252F7" w:rsidRDefault="00BA0F83" w:rsidP="00BA0F83">
      <w:r w:rsidRPr="00B252F7">
        <w:rPr>
          <w:rStyle w:val="Style13ptBold"/>
        </w:rPr>
        <w:t>Herbeck &amp; Katsulas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447E009F" w14:textId="77777777" w:rsidR="00BA0F83" w:rsidRDefault="00BA0F83" w:rsidP="00BA0F83">
      <w:pPr>
        <w:rPr>
          <w:rStyle w:val="StyleUnderlin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a number of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Recognizing this tendency, advocates have become quite adept at framing their arguments to justify the attribution of some amount or probability. Consider, for example, the following quotation from Unberto Saffiotti of the National Cancer Institute: "The most 'prudent' policy is to consider all agents, for which the evidence is not clearly negative under accepted minimum conditions of observation as if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to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trom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well aware of this fact. </w:t>
      </w:r>
      <w:r w:rsidRPr="00F23F77">
        <w:rPr>
          <w:rStyle w:val="StyleUnderline"/>
        </w:rPr>
        <w:t>It is, therefore, not surprising that the vast majority of all debate arguments eventually culminate in a nuclear war</w:t>
      </w:r>
      <w:r w:rsidRPr="00F23F77">
        <w:rPr>
          <w:sz w:val="14"/>
        </w:rPr>
        <w:t>. By offering the penultimate of impacts, the skilled advocate can effectively moot the importance of probability</w:t>
      </w:r>
      <w:r w:rsidRPr="00F23F77">
        <w:rPr>
          <w:rStyle w:val="StyleUnderline"/>
        </w:rPr>
        <w:t>. For the purpose of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This takes form in two disturbing tendencies: an unwillingness to examine more real world impacts of policies, and a jaded view of global devastation</w:t>
      </w:r>
      <w:r w:rsidRPr="00F23F77">
        <w:rPr>
          <w:sz w:val="14"/>
        </w:rPr>
        <w:t xml:space="preserve">. That first is apparent in the unwillingness of the debaters to argue that a recession, per se, is bad; that a regional war, not escalating to superpower conflict, w( uld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p w14:paraId="1E460D69" w14:textId="77777777" w:rsidR="00442C09" w:rsidRDefault="00442C09" w:rsidP="00442C09"/>
    <w:p w14:paraId="0A9EF2D9" w14:textId="77777777" w:rsidR="00442C09" w:rsidRPr="00442C09" w:rsidRDefault="00442C09" w:rsidP="00442C09"/>
    <w:sectPr w:rsidR="00442C09" w:rsidRPr="00442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EB6D" w14:textId="77777777" w:rsidR="004B17F2" w:rsidRDefault="004B17F2" w:rsidP="00066D2C">
      <w:pPr>
        <w:spacing w:after="0" w:line="240" w:lineRule="auto"/>
      </w:pPr>
      <w:r>
        <w:separator/>
      </w:r>
    </w:p>
  </w:endnote>
  <w:endnote w:type="continuationSeparator" w:id="0">
    <w:p w14:paraId="6A0A07E5" w14:textId="77777777" w:rsidR="004B17F2" w:rsidRDefault="004B17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C5E93" w14:textId="77777777" w:rsidR="004B17F2" w:rsidRDefault="004B17F2" w:rsidP="00066D2C">
      <w:pPr>
        <w:spacing w:after="0" w:line="240" w:lineRule="auto"/>
      </w:pPr>
      <w:r>
        <w:separator/>
      </w:r>
    </w:p>
  </w:footnote>
  <w:footnote w:type="continuationSeparator" w:id="0">
    <w:p w14:paraId="5C60C12C" w14:textId="77777777" w:rsidR="004B17F2" w:rsidRDefault="004B17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2C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BCD"/>
    <w:rsid w:val="002005AF"/>
    <w:rsid w:val="00200C1A"/>
    <w:rsid w:val="002052E3"/>
    <w:rsid w:val="00210DC2"/>
    <w:rsid w:val="002110D6"/>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F83"/>
    <w:rPr>
      <w:rFonts w:ascii="Calibri" w:hAnsi="Calibri" w:cs="Calibri"/>
    </w:rPr>
  </w:style>
  <w:style w:type="paragraph" w:styleId="Heading1">
    <w:name w:val="heading 1"/>
    <w:aliases w:val="Pocket"/>
    <w:basedOn w:val="Normal"/>
    <w:next w:val="Normal"/>
    <w:link w:val="Heading1Char"/>
    <w:qFormat/>
    <w:rsid w:val="00BA0F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0F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A0F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BA0F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0F8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0F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F83"/>
  </w:style>
  <w:style w:type="character" w:styleId="Emphasis">
    <w:name w:val="Emphasis"/>
    <w:basedOn w:val="DefaultParagraphFont"/>
    <w:uiPriority w:val="8"/>
    <w:qFormat/>
    <w:rsid w:val="00BA0F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0F83"/>
    <w:rPr>
      <w:color w:val="auto"/>
      <w:u w:val="none"/>
    </w:rPr>
  </w:style>
  <w:style w:type="character" w:customStyle="1" w:styleId="Heading1Char">
    <w:name w:val="Heading 1 Char"/>
    <w:aliases w:val="Pocket Char"/>
    <w:basedOn w:val="DefaultParagraphFont"/>
    <w:link w:val="Heading1"/>
    <w:rsid w:val="00BA0F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0F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0F8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A0F8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BA0F83"/>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BA0F83"/>
    <w:rPr>
      <w:b w:val="0"/>
      <w:sz w:val="22"/>
      <w:u w:val="single"/>
    </w:rPr>
  </w:style>
  <w:style w:type="character" w:styleId="Strong">
    <w:name w:val="Strong"/>
    <w:basedOn w:val="DefaultParagraphFont"/>
    <w:uiPriority w:val="22"/>
    <w:semiHidden/>
    <w:qFormat/>
    <w:rsid w:val="00BA0F83"/>
    <w:rPr>
      <w:b/>
      <w:bCs/>
    </w:rPr>
  </w:style>
  <w:style w:type="character" w:styleId="BookTitle">
    <w:name w:val="Book Title"/>
    <w:basedOn w:val="DefaultParagraphFont"/>
    <w:uiPriority w:val="33"/>
    <w:semiHidden/>
    <w:qFormat/>
    <w:rsid w:val="00BA0F83"/>
    <w:rPr>
      <w:b/>
      <w:bCs/>
      <w:i/>
      <w:iCs/>
      <w:spacing w:val="5"/>
    </w:rPr>
  </w:style>
  <w:style w:type="character" w:customStyle="1" w:styleId="Heading5Char">
    <w:name w:val="Heading 5 Char"/>
    <w:basedOn w:val="DefaultParagraphFont"/>
    <w:link w:val="Heading5"/>
    <w:uiPriority w:val="9"/>
    <w:semiHidden/>
    <w:rsid w:val="00BA0F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0F83"/>
  </w:style>
  <w:style w:type="paragraph" w:styleId="Header">
    <w:name w:val="header"/>
    <w:basedOn w:val="Normal"/>
    <w:link w:val="HeaderChar"/>
    <w:uiPriority w:val="99"/>
    <w:semiHidden/>
    <w:rsid w:val="00BA0F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0F83"/>
    <w:rPr>
      <w:rFonts w:ascii="Calibri" w:hAnsi="Calibri" w:cs="Calibri"/>
    </w:rPr>
  </w:style>
  <w:style w:type="paragraph" w:styleId="Footer">
    <w:name w:val="footer"/>
    <w:basedOn w:val="Normal"/>
    <w:link w:val="FooterChar"/>
    <w:uiPriority w:val="99"/>
    <w:semiHidden/>
    <w:rsid w:val="00BA0F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0F83"/>
    <w:rPr>
      <w:rFonts w:ascii="Calibri" w:hAnsi="Calibri" w:cs="Calibri"/>
    </w:rPr>
  </w:style>
  <w:style w:type="paragraph" w:styleId="BodyText">
    <w:name w:val="Body Text"/>
    <w:basedOn w:val="Normal"/>
    <w:link w:val="BodyTextChar"/>
    <w:uiPriority w:val="99"/>
    <w:semiHidden/>
    <w:unhideWhenUsed/>
    <w:rsid w:val="00BA0F83"/>
    <w:pPr>
      <w:spacing w:after="120"/>
    </w:pPr>
  </w:style>
  <w:style w:type="character" w:customStyle="1" w:styleId="BodyTextChar">
    <w:name w:val="Body Text Char"/>
    <w:basedOn w:val="DefaultParagraphFont"/>
    <w:link w:val="BodyText"/>
    <w:uiPriority w:val="99"/>
    <w:semiHidden/>
    <w:rsid w:val="00BA0F83"/>
    <w:rPr>
      <w:rFonts w:ascii="Calibri" w:hAnsi="Calibri" w:cs="Calibri"/>
    </w:rPr>
  </w:style>
  <w:style w:type="paragraph" w:styleId="NoSpacing">
    <w:name w:val="No Spacing"/>
    <w:link w:val="NoSpacingChar"/>
    <w:uiPriority w:val="99"/>
    <w:semiHidden/>
    <w:unhideWhenUsed/>
    <w:qFormat/>
    <w:rsid w:val="00BA0F8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0F83"/>
    <w:rPr>
      <w:rFonts w:ascii="Calibri" w:hAnsi="Calibri" w:cs="Calibri"/>
    </w:rPr>
  </w:style>
  <w:style w:type="character" w:styleId="Hyperlink">
    <w:name w:val="Hyperlink"/>
    <w:basedOn w:val="DefaultParagraphFont"/>
    <w:uiPriority w:val="99"/>
    <w:unhideWhenUsed/>
    <w:rsid w:val="00BA0F83"/>
    <w:rPr>
      <w:color w:val="0563C1" w:themeColor="hyperlink"/>
      <w:u w:val="single"/>
    </w:rPr>
  </w:style>
  <w:style w:type="character" w:styleId="UnresolvedMention">
    <w:name w:val="Unresolved Mention"/>
    <w:basedOn w:val="DefaultParagraphFont"/>
    <w:uiPriority w:val="99"/>
    <w:semiHidden/>
    <w:unhideWhenUsed/>
    <w:rsid w:val="00BA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101</TotalTime>
  <Pages>1</Pages>
  <Words>30139</Words>
  <Characters>171793</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8</cp:revision>
  <dcterms:created xsi:type="dcterms:W3CDTF">2025-09-01T17:29:00Z</dcterms:created>
  <dcterms:modified xsi:type="dcterms:W3CDTF">2025-09-27T19:30:00Z</dcterms:modified>
</cp:coreProperties>
</file>