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1F35F" w14:textId="77777777" w:rsidR="008D1AF4" w:rsidRDefault="008D1AF4" w:rsidP="008D1AF4">
      <w:pPr>
        <w:pStyle w:val="Heading3"/>
      </w:pPr>
      <w:r>
        <w:t>1.</w:t>
      </w:r>
    </w:p>
    <w:p w14:paraId="22C248D3" w14:textId="77777777" w:rsidR="008D1AF4" w:rsidRDefault="008D1AF4" w:rsidP="008D1AF4">
      <w:r>
        <w:t>T-FW</w:t>
      </w:r>
    </w:p>
    <w:p w14:paraId="12707ACE" w14:textId="77777777" w:rsidR="008D1AF4" w:rsidRPr="003374BB" w:rsidRDefault="008D1AF4" w:rsidP="008D1AF4">
      <w:pPr>
        <w:pStyle w:val="Heading4"/>
      </w:pPr>
      <w:r>
        <w:t>Interpretation: The affirmative must defend the hypothetical implementation of a plan.</w:t>
      </w:r>
    </w:p>
    <w:p w14:paraId="0023F480" w14:textId="77777777" w:rsidR="008D1AF4" w:rsidRPr="003374BB" w:rsidRDefault="008D1AF4" w:rsidP="008D1AF4">
      <w:pPr>
        <w:pStyle w:val="Heading4"/>
      </w:pPr>
      <w:r>
        <w:t xml:space="preserve">Violation: they don’t -- </w:t>
      </w:r>
    </w:p>
    <w:p w14:paraId="7E6786CC" w14:textId="77777777" w:rsidR="008D1AF4" w:rsidRDefault="008D1AF4" w:rsidP="008D1AF4">
      <w:pPr>
        <w:pStyle w:val="Heading4"/>
        <w:rPr>
          <w:rFonts w:cs="Times New Roman"/>
        </w:rPr>
      </w:pPr>
      <w:r w:rsidRPr="00F66083">
        <w:rPr>
          <w:rFonts w:cs="Times New Roman"/>
        </w:rPr>
        <w:t>United States federal government means the three branches</w:t>
      </w:r>
      <w:r>
        <w:rPr>
          <w:rFonts w:cs="Times New Roman"/>
        </w:rPr>
        <w:t xml:space="preserve">. </w:t>
      </w:r>
    </w:p>
    <w:p w14:paraId="64AB3812" w14:textId="77777777" w:rsidR="008D1AF4" w:rsidRPr="00F66083" w:rsidRDefault="008D1AF4" w:rsidP="008D1AF4">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1792EB6D" w14:textId="77777777" w:rsidR="008D1AF4" w:rsidRPr="00F66083" w:rsidRDefault="008D1AF4" w:rsidP="008D1AF4">
      <w:pPr>
        <w:rPr>
          <w:sz w:val="16"/>
        </w:rPr>
      </w:pPr>
      <w:r w:rsidRPr="00F66083">
        <w:rPr>
          <w:sz w:val="16"/>
        </w:rPr>
        <w:t xml:space="preserve">1. Political and organisational structure of government </w:t>
      </w:r>
    </w:p>
    <w:p w14:paraId="7A5E62C0" w14:textId="77777777" w:rsidR="008D1AF4" w:rsidRPr="00F66083" w:rsidRDefault="008D1AF4" w:rsidP="008D1AF4">
      <w:pPr>
        <w:rPr>
          <w:sz w:val="16"/>
        </w:rPr>
      </w:pPr>
      <w:r w:rsidRPr="00F66083">
        <w:rPr>
          <w:sz w:val="16"/>
        </w:rPr>
        <w:t xml:space="preserve">of </w:t>
      </w:r>
      <w:r w:rsidRPr="003A26A9">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3A26A9">
        <w:rPr>
          <w:rStyle w:val="StyleUnderline"/>
          <w:highlight w:val="cyan"/>
        </w:rPr>
        <w:t xml:space="preserve">Federal Government is composed of </w:t>
      </w:r>
      <w:r w:rsidRPr="003A26A9">
        <w:rPr>
          <w:rStyle w:val="Emphasis"/>
          <w:highlight w:val="cyan"/>
        </w:rPr>
        <w:t>three branches</w:t>
      </w:r>
      <w:r w:rsidRPr="003A26A9">
        <w:rPr>
          <w:rStyle w:val="StyleUnderline"/>
          <w:highlight w:val="cyan"/>
        </w:rPr>
        <w:t xml:space="preserve">: the </w:t>
      </w:r>
      <w:r w:rsidRPr="003A26A9">
        <w:rPr>
          <w:rStyle w:val="Emphasis"/>
          <w:highlight w:val="cyan"/>
        </w:rPr>
        <w:t>legislative</w:t>
      </w:r>
      <w:r w:rsidRPr="00F66083">
        <w:rPr>
          <w:rStyle w:val="StyleUnderline"/>
        </w:rPr>
        <w:t xml:space="preserve"> branch, the </w:t>
      </w:r>
      <w:r w:rsidRPr="003A26A9">
        <w:rPr>
          <w:rStyle w:val="Emphasis"/>
          <w:highlight w:val="cyan"/>
        </w:rPr>
        <w:t>executive</w:t>
      </w:r>
      <w:r w:rsidRPr="00F66083">
        <w:rPr>
          <w:rStyle w:val="StyleUnderline"/>
        </w:rPr>
        <w:t xml:space="preserve"> branch, </w:t>
      </w:r>
      <w:r w:rsidRPr="003A26A9">
        <w:rPr>
          <w:rStyle w:val="StyleUnderline"/>
          <w:highlight w:val="cyan"/>
        </w:rPr>
        <w:t>and</w:t>
      </w:r>
      <w:r w:rsidRPr="00F66083">
        <w:rPr>
          <w:rStyle w:val="StyleUnderline"/>
        </w:rPr>
        <w:t xml:space="preserve"> the </w:t>
      </w:r>
      <w:r w:rsidRPr="003A26A9">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11FF5BC2" w14:textId="77777777" w:rsidR="008D1AF4" w:rsidRDefault="008D1AF4" w:rsidP="008D1AF4">
      <w:pPr>
        <w:rPr>
          <w:sz w:val="16"/>
        </w:rPr>
      </w:pPr>
    </w:p>
    <w:p w14:paraId="0C6FECA2" w14:textId="77777777" w:rsidR="008D1AF4" w:rsidRDefault="008D1AF4" w:rsidP="008D1AF4">
      <w:pPr>
        <w:pStyle w:val="Heading4"/>
      </w:pPr>
      <w:r>
        <w:t xml:space="preserve">‘Collective bargaining’ refers to </w:t>
      </w:r>
      <w:r w:rsidRPr="002C0896">
        <w:rPr>
          <w:u w:val="single"/>
        </w:rPr>
        <w:t>negotiations</w:t>
      </w:r>
      <w:r>
        <w:t xml:space="preserve"> between </w:t>
      </w:r>
      <w:r w:rsidRPr="002C0896">
        <w:rPr>
          <w:u w:val="single"/>
        </w:rPr>
        <w:t>unions</w:t>
      </w:r>
      <w:r>
        <w:t xml:space="preserve"> and their </w:t>
      </w:r>
      <w:r w:rsidRPr="002C0896">
        <w:rPr>
          <w:u w:val="single"/>
        </w:rPr>
        <w:t>employers</w:t>
      </w:r>
      <w:r w:rsidRPr="000C0258">
        <w:t>.</w:t>
      </w:r>
      <w:r>
        <w:t xml:space="preserve">  </w:t>
      </w:r>
    </w:p>
    <w:p w14:paraId="3CD5BD72" w14:textId="77777777" w:rsidR="008D1AF4" w:rsidRDefault="008D1AF4" w:rsidP="008D1AF4">
      <w:r>
        <w:rPr>
          <w:rStyle w:val="Style13ptBold"/>
        </w:rPr>
        <w:t xml:space="preserve">BLD ‘90 </w:t>
      </w:r>
      <w:r w:rsidRPr="00463A00">
        <w:t>[</w:t>
      </w:r>
      <w:r>
        <w:t>Black’s Law Dictionary (6</w:t>
      </w:r>
      <w:r w:rsidRPr="008E7C81">
        <w:rPr>
          <w:vertAlign w:val="superscript"/>
        </w:rPr>
        <w:t>th</w:t>
      </w:r>
      <w:r>
        <w:t xml:space="preserve"> ed.); Academic Dictionaries and Encyclopedias, “collective bargaining,” </w:t>
      </w:r>
      <w:r w:rsidRPr="0092471C">
        <w:t>https://blacks_law.en-academic.com/4864</w:t>
      </w:r>
      <w:r>
        <w:t>]</w:t>
      </w:r>
    </w:p>
    <w:p w14:paraId="6ED199E6" w14:textId="77777777" w:rsidR="008D1AF4" w:rsidRPr="00F44F8D" w:rsidRDefault="008D1AF4" w:rsidP="008D1AF4">
      <w:pPr>
        <w:rPr>
          <w:rStyle w:val="Emphasis"/>
          <w:lang w:val="en"/>
        </w:rPr>
      </w:pPr>
      <w:r w:rsidRPr="00F44F8D">
        <w:rPr>
          <w:rStyle w:val="Emphasis"/>
          <w:lang w:val="en"/>
        </w:rPr>
        <w:t>collective bargaining</w:t>
      </w:r>
    </w:p>
    <w:p w14:paraId="7A0A0470" w14:textId="77777777" w:rsidR="008D1AF4" w:rsidRPr="00F44F8D" w:rsidRDefault="008D1AF4" w:rsidP="008D1AF4">
      <w:pPr>
        <w:rPr>
          <w:sz w:val="16"/>
          <w:lang w:val="en"/>
        </w:rPr>
      </w:pPr>
      <w:r w:rsidRPr="00F44F8D">
        <w:rPr>
          <w:sz w:val="16"/>
          <w:lang w:val="en"/>
        </w:rPr>
        <w:t xml:space="preserve">As contemplated by National Labor Relations Act, is </w:t>
      </w:r>
      <w:r w:rsidRPr="00F44F8D">
        <w:rPr>
          <w:rStyle w:val="StyleUnderline"/>
          <w:lang w:val="en"/>
        </w:rPr>
        <w:t xml:space="preserve">a </w:t>
      </w:r>
      <w:r w:rsidRPr="003A26A9">
        <w:rPr>
          <w:rStyle w:val="StyleUnderline"/>
          <w:highlight w:val="cyan"/>
          <w:lang w:val="en"/>
        </w:rPr>
        <w:t>procedure</w:t>
      </w:r>
      <w:r w:rsidRPr="00F44F8D">
        <w:rPr>
          <w:sz w:val="16"/>
          <w:lang w:val="en"/>
        </w:rPr>
        <w:t xml:space="preserve"> looking </w:t>
      </w:r>
      <w:r w:rsidRPr="00F44F8D">
        <w:rPr>
          <w:rStyle w:val="StyleUnderline"/>
          <w:lang w:val="en"/>
        </w:rPr>
        <w:t>toward making</w:t>
      </w:r>
      <w:r w:rsidRPr="00F44F8D">
        <w:rPr>
          <w:sz w:val="16"/>
          <w:lang w:val="en"/>
        </w:rPr>
        <w:t xml:space="preserve"> of </w:t>
      </w:r>
      <w:r w:rsidRPr="00F44F8D">
        <w:rPr>
          <w:rStyle w:val="StyleUnderline"/>
          <w:lang w:val="en"/>
        </w:rPr>
        <w:t xml:space="preserve">collective agreements </w:t>
      </w:r>
      <w:r w:rsidRPr="003A26A9">
        <w:rPr>
          <w:rStyle w:val="StyleUnderline"/>
          <w:highlight w:val="cyan"/>
          <w:lang w:val="en"/>
        </w:rPr>
        <w:t xml:space="preserve">between </w:t>
      </w:r>
      <w:r w:rsidRPr="003A26A9">
        <w:rPr>
          <w:rStyle w:val="Emphasis"/>
          <w:highlight w:val="cyan"/>
          <w:lang w:val="en"/>
        </w:rPr>
        <w:t>employer</w:t>
      </w:r>
      <w:r w:rsidRPr="003A26A9">
        <w:rPr>
          <w:rStyle w:val="StyleUnderline"/>
          <w:highlight w:val="cyan"/>
          <w:lang w:val="en"/>
        </w:rPr>
        <w:t xml:space="preserve"> and</w:t>
      </w:r>
      <w:r w:rsidRPr="00F44F8D">
        <w:rPr>
          <w:sz w:val="16"/>
          <w:lang w:val="en"/>
        </w:rPr>
        <w:t xml:space="preserve"> accredited representative of </w:t>
      </w:r>
      <w:r w:rsidRPr="003A26A9">
        <w:rPr>
          <w:rStyle w:val="Emphasis"/>
          <w:highlight w:val="cyan"/>
          <w:lang w:val="en"/>
        </w:rPr>
        <w:t>union employees</w:t>
      </w:r>
      <w:r w:rsidRPr="003A26A9">
        <w:rPr>
          <w:rStyle w:val="StyleUnderline"/>
          <w:highlight w:val="cyan"/>
          <w:lang w:val="en"/>
        </w:rPr>
        <w:t xml:space="preserve"> concerning </w:t>
      </w:r>
      <w:r w:rsidRPr="003A26A9">
        <w:rPr>
          <w:rStyle w:val="Emphasis"/>
          <w:highlight w:val="cyan"/>
          <w:lang w:val="en"/>
        </w:rPr>
        <w:t>wages</w:t>
      </w:r>
      <w:r w:rsidRPr="003A26A9">
        <w:rPr>
          <w:rStyle w:val="StyleUnderline"/>
          <w:highlight w:val="cyan"/>
          <w:lang w:val="en"/>
        </w:rPr>
        <w:t xml:space="preserve">, </w:t>
      </w:r>
      <w:r w:rsidRPr="003A26A9">
        <w:rPr>
          <w:rStyle w:val="Emphasis"/>
          <w:highlight w:val="cyan"/>
          <w:lang w:val="en"/>
        </w:rPr>
        <w:t>hours</w:t>
      </w:r>
      <w:r w:rsidRPr="003A26A9">
        <w:rPr>
          <w:rStyle w:val="StyleUnderline"/>
          <w:highlight w:val="cyan"/>
          <w:lang w:val="en"/>
        </w:rPr>
        <w:t xml:space="preserve">, and </w:t>
      </w:r>
      <w:r w:rsidRPr="003A26A9">
        <w:rPr>
          <w:rStyle w:val="Emphasis"/>
          <w:highlight w:val="cyan"/>
          <w:lang w:val="en"/>
        </w:rPr>
        <w:t>other</w:t>
      </w:r>
      <w:r w:rsidRPr="003A26A9">
        <w:rPr>
          <w:rStyle w:val="StyleUnderline"/>
          <w:highlight w:val="cyan"/>
          <w:lang w:val="en"/>
        </w:rPr>
        <w:t xml:space="preserve"> conditions</w:t>
      </w:r>
      <w:r w:rsidRPr="00F44F8D">
        <w:rPr>
          <w:rStyle w:val="StyleUnderline"/>
          <w:lang w:val="en"/>
        </w:rPr>
        <w:t xml:space="preserve"> of employment</w:t>
      </w:r>
      <w:r w:rsidRPr="00F44F8D">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F44F8D">
        <w:rPr>
          <w:i/>
          <w:iCs/>
          <w:sz w:val="16"/>
          <w:lang w:val="en"/>
        </w:rPr>
        <w:t>National Labor Relations Act No. 8(5), 29 U.S.C.A. No. 158(5). Rapid Roller Co. v. National Labor Relations Board, C.C.A.7, 126 F.2d 452, 460</w:t>
      </w:r>
      <w:r w:rsidRPr="00F44F8D">
        <w:rPr>
          <w:sz w:val="16"/>
          <w:lang w:val="en"/>
        </w:rPr>
        <w:t>.</w:t>
      </w:r>
    </w:p>
    <w:p w14:paraId="6D592E80" w14:textId="77777777" w:rsidR="008D1AF4" w:rsidRDefault="008D1AF4" w:rsidP="008D1AF4">
      <w:pPr>
        <w:rPr>
          <w:sz w:val="16"/>
          <w:lang w:val="en"/>
        </w:rPr>
      </w:pPr>
      <w:r w:rsidRPr="00F44F8D">
        <w:rPr>
          <w:rStyle w:val="StyleUnderline"/>
          <w:lang w:val="en"/>
        </w:rPr>
        <w:t>Negotiation between</w:t>
      </w:r>
      <w:r w:rsidRPr="00F44F8D">
        <w:rPr>
          <w:sz w:val="16"/>
          <w:lang w:val="en"/>
        </w:rPr>
        <w:t xml:space="preserve"> an </w:t>
      </w:r>
      <w:r w:rsidRPr="00F44F8D">
        <w:rPr>
          <w:rStyle w:val="Emphasis"/>
          <w:lang w:val="en"/>
        </w:rPr>
        <w:t>employer</w:t>
      </w:r>
      <w:r w:rsidRPr="00F44F8D">
        <w:rPr>
          <w:rStyle w:val="StyleUnderline"/>
          <w:lang w:val="en"/>
        </w:rPr>
        <w:t xml:space="preserve"> and </w:t>
      </w:r>
      <w:r w:rsidRPr="00F44F8D">
        <w:rPr>
          <w:rStyle w:val="Emphasis"/>
          <w:lang w:val="en"/>
        </w:rPr>
        <w:t>organized employees</w:t>
      </w:r>
      <w:r w:rsidRPr="00F44F8D">
        <w:rPr>
          <w:sz w:val="16"/>
          <w:lang w:val="en"/>
        </w:rPr>
        <w:t xml:space="preserve"> as </w:t>
      </w:r>
      <w:r w:rsidRPr="00F44F8D">
        <w:rPr>
          <w:rStyle w:val="Emphasis"/>
          <w:lang w:val="en"/>
        </w:rPr>
        <w:t>distinguished from individuals</w:t>
      </w:r>
      <w:r w:rsidRPr="00F44F8D">
        <w:rPr>
          <w:sz w:val="16"/>
          <w:lang w:val="en"/>
        </w:rPr>
        <w:t xml:space="preserve">, </w:t>
      </w:r>
      <w:r w:rsidRPr="003A26A9">
        <w:rPr>
          <w:rStyle w:val="StyleUnderline"/>
          <w:highlight w:val="cyan"/>
          <w:lang w:val="en"/>
        </w:rPr>
        <w:t>for</w:t>
      </w:r>
      <w:r w:rsidRPr="00F44F8D">
        <w:rPr>
          <w:sz w:val="16"/>
          <w:lang w:val="en"/>
        </w:rPr>
        <w:t xml:space="preserve"> the purpose of </w:t>
      </w:r>
      <w:r w:rsidRPr="003A26A9">
        <w:rPr>
          <w:rStyle w:val="StyleUnderline"/>
          <w:highlight w:val="cyan"/>
          <w:lang w:val="en"/>
        </w:rPr>
        <w:t xml:space="preserve">determining by </w:t>
      </w:r>
      <w:r w:rsidRPr="003A26A9">
        <w:rPr>
          <w:rStyle w:val="Emphasis"/>
          <w:highlight w:val="cyan"/>
          <w:lang w:val="en"/>
        </w:rPr>
        <w:t>joint agreement</w:t>
      </w:r>
      <w:r w:rsidRPr="00F44F8D">
        <w:rPr>
          <w:rStyle w:val="StyleUnderline"/>
          <w:lang w:val="en"/>
        </w:rPr>
        <w:t xml:space="preserve"> </w:t>
      </w:r>
      <w:r w:rsidRPr="00F44F8D">
        <w:rPr>
          <w:rStyle w:val="StyleUnderline"/>
        </w:rPr>
        <w:t xml:space="preserve">the </w:t>
      </w:r>
      <w:r w:rsidRPr="003A26A9">
        <w:rPr>
          <w:rStyle w:val="StyleUnderline"/>
          <w:highlight w:val="cyan"/>
        </w:rPr>
        <w:t>co</w:t>
      </w:r>
      <w:r w:rsidRPr="003A26A9">
        <w:rPr>
          <w:rStyle w:val="StyleUnderline"/>
          <w:highlight w:val="cyan"/>
          <w:lang w:val="en"/>
        </w:rPr>
        <w:t>nditions of employment</w:t>
      </w:r>
      <w:r w:rsidRPr="00F44F8D">
        <w:rPr>
          <w:sz w:val="16"/>
          <w:lang w:val="en"/>
        </w:rPr>
        <w:t>.</w:t>
      </w:r>
    </w:p>
    <w:p w14:paraId="1159E169" w14:textId="77777777" w:rsidR="008D1AF4" w:rsidRDefault="008D1AF4" w:rsidP="008D1AF4">
      <w:pPr>
        <w:rPr>
          <w:sz w:val="16"/>
        </w:rPr>
      </w:pPr>
    </w:p>
    <w:p w14:paraId="402924D4" w14:textId="77777777" w:rsidR="008D1AF4" w:rsidRPr="00CD2EC0" w:rsidRDefault="008D1AF4" w:rsidP="008D1AF4">
      <w:pPr>
        <w:pStyle w:val="Heading4"/>
        <w:rPr>
          <w:rFonts w:cs="Calibri"/>
        </w:rPr>
      </w:pPr>
      <w:r w:rsidRPr="00CD2EC0">
        <w:rPr>
          <w:rFonts w:cs="Calibri"/>
        </w:rPr>
        <w:lastRenderedPageBreak/>
        <w:t xml:space="preserve">Vote </w:t>
      </w:r>
      <w:r w:rsidRPr="00CD2EC0">
        <w:rPr>
          <w:rFonts w:cs="Calibri"/>
          <w:u w:val="single"/>
        </w:rPr>
        <w:t>Neg</w:t>
      </w:r>
      <w:r w:rsidRPr="00CD2EC0">
        <w:rPr>
          <w:rFonts w:cs="Calibri"/>
        </w:rPr>
        <w:t>:</w:t>
      </w:r>
    </w:p>
    <w:p w14:paraId="0576AEE3" w14:textId="77777777" w:rsidR="008D1AF4" w:rsidRPr="00CD2EC0" w:rsidRDefault="008D1AF4" w:rsidP="008D1AF4">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351FF416" w14:textId="77777777" w:rsidR="008D1AF4" w:rsidRPr="00530665" w:rsidRDefault="008D1AF4" w:rsidP="008D1AF4">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the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w:t>
      </w:r>
      <w:r>
        <w:rPr>
          <w:rFonts w:cs="Calibri"/>
        </w:rPr>
        <w:t xml:space="preserve">They deck the predictability that the topic gives for research which destroys the neg’s ability to prep and moots neg ground. </w:t>
      </w:r>
    </w:p>
    <w:p w14:paraId="25E3BD9F" w14:textId="77777777" w:rsidR="008D1AF4" w:rsidRDefault="008D1AF4" w:rsidP="008D1AF4">
      <w:pPr>
        <w:pStyle w:val="Heading3"/>
      </w:pPr>
      <w:r>
        <w:lastRenderedPageBreak/>
        <w:t xml:space="preserve">2. </w:t>
      </w:r>
    </w:p>
    <w:p w14:paraId="2CEE3722" w14:textId="77777777" w:rsidR="008D1AF4" w:rsidRPr="009D52A8" w:rsidRDefault="008D1AF4" w:rsidP="008D1AF4">
      <w:pPr>
        <w:keepNext/>
        <w:keepLines/>
        <w:spacing w:before="200" w:after="0" w:line="240" w:lineRule="auto"/>
        <w:outlineLvl w:val="3"/>
        <w:rPr>
          <w:rFonts w:eastAsia="MS Gothic" w:cs="Times New Roman"/>
          <w:b/>
          <w:iCs/>
          <w:sz w:val="26"/>
        </w:rPr>
      </w:pPr>
      <w:r>
        <w:rPr>
          <w:rFonts w:eastAsia="MS Gothic" w:cs="Times New Roman"/>
          <w:b/>
          <w:iCs/>
          <w:sz w:val="26"/>
          <w:u w:val="single"/>
        </w:rPr>
        <w:t>All</w:t>
      </w:r>
      <w:r w:rsidRPr="009D52A8">
        <w:rPr>
          <w:rFonts w:eastAsia="MS Gothic" w:cs="Times New Roman"/>
          <w:b/>
          <w:sz w:val="26"/>
          <w:u w:val="single"/>
        </w:rPr>
        <w:t xml:space="preserve"> </w:t>
      </w:r>
      <w:r w:rsidRPr="009D52A8">
        <w:rPr>
          <w:rFonts w:eastAsia="MS Gothic" w:cs="Times New Roman"/>
          <w:b/>
          <w:iCs/>
          <w:sz w:val="26"/>
        </w:rPr>
        <w:t xml:space="preserve">capital is </w:t>
      </w:r>
      <w:r w:rsidRPr="009D52A8">
        <w:rPr>
          <w:rFonts w:eastAsia="MS Gothic" w:cs="Times New Roman"/>
          <w:b/>
          <w:iCs/>
          <w:sz w:val="26"/>
          <w:u w:val="single"/>
        </w:rPr>
        <w:t>racial capitalism</w:t>
      </w:r>
      <w:r w:rsidRPr="009D52A8">
        <w:rPr>
          <w:rFonts w:eastAsia="MS Gothic" w:cs="Times New Roman"/>
          <w:b/>
          <w:iCs/>
          <w:sz w:val="26"/>
        </w:rPr>
        <w:t xml:space="preserve">, but the aff’s </w:t>
      </w:r>
      <w:r w:rsidRPr="009D52A8">
        <w:rPr>
          <w:rFonts w:eastAsia="MS Gothic" w:cs="Times New Roman"/>
          <w:b/>
          <w:iCs/>
          <w:sz w:val="26"/>
          <w:u w:val="single"/>
        </w:rPr>
        <w:t>grammar</w:t>
      </w:r>
      <w:r w:rsidRPr="009D52A8">
        <w:rPr>
          <w:rFonts w:eastAsia="MS Gothic" w:cs="Times New Roman"/>
          <w:b/>
          <w:iCs/>
          <w:sz w:val="26"/>
        </w:rPr>
        <w:t xml:space="preserve"> of labor and exploitation sustains </w:t>
      </w:r>
      <w:r w:rsidRPr="009D52A8">
        <w:rPr>
          <w:rFonts w:eastAsia="MS Gothic" w:cs="Times New Roman"/>
          <w:b/>
          <w:iCs/>
          <w:sz w:val="26"/>
          <w:u w:val="single"/>
        </w:rPr>
        <w:t>indigenous annihilation</w:t>
      </w:r>
      <w:r w:rsidRPr="009D52A8">
        <w:rPr>
          <w:rFonts w:eastAsia="MS Gothic" w:cs="Times New Roman"/>
          <w:b/>
          <w:iCs/>
          <w:sz w:val="26"/>
        </w:rPr>
        <w:t xml:space="preserve"> and </w:t>
      </w:r>
      <w:r w:rsidRPr="009D52A8">
        <w:rPr>
          <w:rFonts w:eastAsia="MS Gothic" w:cs="Times New Roman"/>
          <w:b/>
          <w:iCs/>
          <w:sz w:val="26"/>
          <w:u w:val="single"/>
        </w:rPr>
        <w:t>anti-blackness</w:t>
      </w:r>
    </w:p>
    <w:p w14:paraId="49C5D9EF" w14:textId="77777777" w:rsidR="008D1AF4" w:rsidRPr="009D52A8" w:rsidRDefault="008D1AF4" w:rsidP="008D1AF4">
      <w:pPr>
        <w:spacing w:after="0" w:line="240" w:lineRule="auto"/>
        <w:rPr>
          <w:rFonts w:eastAsia="Cambria"/>
        </w:rPr>
      </w:pPr>
      <w:r w:rsidRPr="009D52A8">
        <w:rPr>
          <w:rFonts w:eastAsia="Cambria"/>
          <w:b/>
          <w:bCs/>
        </w:rPr>
        <w:t>Day ‘20</w:t>
      </w:r>
      <w:r w:rsidRPr="009D52A8">
        <w:rPr>
          <w:rFonts w:eastAsia="Cambria"/>
        </w:rPr>
        <w:t xml:space="preserve"> [Iyko Day – Associate Professor of English at Mount Holyoke College, “Racial Capitalism, Colonialism, and Death-Dealing Abstraction,” American Quarterfly 72(4):1033-1046, </w:t>
      </w:r>
      <w:hyperlink r:id="rId5" w:history="1">
        <w:r w:rsidRPr="009D52A8">
          <w:rPr>
            <w:rFonts w:eastAsia="Cambria"/>
            <w:color w:val="0000FF"/>
            <w:u w:val="single"/>
          </w:rPr>
          <w:t>https://doi.org/10.1353/aq.2020.0059</w:t>
        </w:r>
      </w:hyperlink>
      <w:r w:rsidRPr="009D52A8">
        <w:rPr>
          <w:rFonts w:eastAsia="Cambria"/>
        </w:rPr>
        <w:t xml:space="preserve"> //Bosley]</w:t>
      </w:r>
    </w:p>
    <w:p w14:paraId="464683B6" w14:textId="77777777" w:rsidR="008D1AF4" w:rsidRPr="009D52A8" w:rsidRDefault="008D1AF4" w:rsidP="008D1AF4">
      <w:pPr>
        <w:spacing w:after="0" w:line="240" w:lineRule="auto"/>
        <w:rPr>
          <w:rFonts w:eastAsia="Cambria"/>
          <w:sz w:val="16"/>
        </w:rPr>
      </w:pPr>
      <w:r w:rsidRPr="009D52A8">
        <w:rPr>
          <w:rFonts w:eastAsia="Cambria"/>
          <w:sz w:val="16"/>
          <w:highlight w:val="green"/>
        </w:rPr>
        <w:t>“</w:t>
      </w:r>
      <w:r w:rsidRPr="009D52A8">
        <w:rPr>
          <w:rFonts w:eastAsia="MS Mincho"/>
          <w:b/>
          <w:iCs/>
          <w:highlight w:val="green"/>
          <w:u w:val="single"/>
        </w:rPr>
        <w:t>Racial capitalism is all capitalism</w:t>
      </w:r>
      <w:r w:rsidRPr="009D52A8">
        <w:rPr>
          <w:rFonts w:eastAsia="Cambria"/>
          <w:sz w:val="16"/>
        </w:rPr>
        <w:t>” writes Ruth Wilson Gilmore. “</w:t>
      </w:r>
      <w:r w:rsidRPr="009D52A8">
        <w:rPr>
          <w:rFonts w:eastAsia="Cambria"/>
          <w:b/>
          <w:u w:val="single"/>
        </w:rPr>
        <w:t>There was not one minute in the entire story of capitalism that it was not racial</w:t>
      </w:r>
      <w:r w:rsidRPr="009D52A8">
        <w:rPr>
          <w:rFonts w:eastAsia="Cambria"/>
          <w:sz w:val="16"/>
        </w:rPr>
        <w:t xml:space="preserve">.”1 And so this story goes: </w:t>
      </w:r>
      <w:r w:rsidRPr="009D52A8">
        <w:rPr>
          <w:rFonts w:eastAsia="Cambria"/>
          <w:b/>
          <w:highlight w:val="green"/>
          <w:u w:val="single"/>
        </w:rPr>
        <w:t>the “explorer</w:t>
      </w:r>
      <w:r w:rsidRPr="009D52A8">
        <w:rPr>
          <w:rFonts w:eastAsia="Cambria"/>
          <w:sz w:val="16"/>
        </w:rPr>
        <w:t xml:space="preserve">,” the </w:t>
      </w:r>
      <w:r w:rsidRPr="009D52A8">
        <w:rPr>
          <w:rFonts w:eastAsia="Cambria"/>
          <w:b/>
          <w:u w:val="single"/>
        </w:rPr>
        <w:t>survey</w:t>
      </w:r>
      <w:r w:rsidRPr="009D52A8">
        <w:rPr>
          <w:rFonts w:eastAsia="Cambria"/>
          <w:sz w:val="16"/>
        </w:rPr>
        <w:t xml:space="preserve">, the </w:t>
      </w:r>
      <w:r w:rsidRPr="009D52A8">
        <w:rPr>
          <w:rFonts w:eastAsia="Cambria"/>
          <w:b/>
          <w:highlight w:val="green"/>
          <w:u w:val="single"/>
        </w:rPr>
        <w:t>map</w:t>
      </w:r>
      <w:r w:rsidRPr="009D52A8">
        <w:rPr>
          <w:rFonts w:eastAsia="Cambria"/>
          <w:sz w:val="16"/>
        </w:rPr>
        <w:t xml:space="preserve">, the </w:t>
      </w:r>
      <w:r w:rsidRPr="009D52A8">
        <w:rPr>
          <w:rFonts w:eastAsia="Cambria"/>
          <w:b/>
          <w:highlight w:val="green"/>
          <w:u w:val="single"/>
        </w:rPr>
        <w:t>property owner</w:t>
      </w:r>
      <w:r w:rsidRPr="009D52A8">
        <w:rPr>
          <w:rFonts w:eastAsia="Cambria"/>
          <w:b/>
          <w:u w:val="single"/>
        </w:rPr>
        <w:t>,</w:t>
      </w:r>
      <w:r w:rsidRPr="009D52A8">
        <w:rPr>
          <w:rFonts w:eastAsia="Cambria"/>
          <w:sz w:val="16"/>
        </w:rPr>
        <w:t xml:space="preserve"> the </w:t>
      </w:r>
      <w:r w:rsidRPr="009D52A8">
        <w:rPr>
          <w:rFonts w:eastAsia="Cambria"/>
          <w:b/>
          <w:highlight w:val="green"/>
          <w:u w:val="single"/>
        </w:rPr>
        <w:t>corporation</w:t>
      </w:r>
      <w:r w:rsidRPr="009D52A8">
        <w:rPr>
          <w:rFonts w:eastAsia="Cambria"/>
          <w:sz w:val="16"/>
          <w:highlight w:val="green"/>
        </w:rPr>
        <w:t xml:space="preserve">, </w:t>
      </w:r>
      <w:r w:rsidRPr="009D52A8">
        <w:rPr>
          <w:rFonts w:eastAsia="Cambria"/>
          <w:b/>
          <w:highlight w:val="green"/>
          <w:u w:val="single"/>
        </w:rPr>
        <w:t>and</w:t>
      </w:r>
      <w:r w:rsidRPr="009D52A8">
        <w:rPr>
          <w:rFonts w:eastAsia="Cambria"/>
          <w:sz w:val="16"/>
        </w:rPr>
        <w:t xml:space="preserve"> the </w:t>
      </w:r>
      <w:r w:rsidRPr="009D52A8">
        <w:rPr>
          <w:rFonts w:eastAsia="Cambria"/>
          <w:b/>
          <w:highlight w:val="green"/>
          <w:u w:val="single"/>
        </w:rPr>
        <w:t xml:space="preserve">shareholder stake a </w:t>
      </w:r>
      <w:r w:rsidRPr="009D52A8">
        <w:rPr>
          <w:rFonts w:eastAsia="MS Mincho"/>
          <w:b/>
          <w:iCs/>
          <w:highlight w:val="green"/>
          <w:u w:val="single"/>
        </w:rPr>
        <w:t>claim to the future</w:t>
      </w:r>
      <w:r w:rsidRPr="009D52A8">
        <w:rPr>
          <w:rFonts w:eastAsia="Cambria"/>
          <w:sz w:val="16"/>
        </w:rPr>
        <w:t xml:space="preserve"> that is “</w:t>
      </w:r>
      <w:r w:rsidRPr="009D52A8">
        <w:rPr>
          <w:rFonts w:eastAsia="MS Mincho"/>
          <w:b/>
          <w:iCs/>
          <w:highlight w:val="green"/>
          <w:u w:val="single"/>
        </w:rPr>
        <w:t>dripping</w:t>
      </w:r>
      <w:r w:rsidRPr="009D52A8">
        <w:rPr>
          <w:rFonts w:eastAsia="Cambria"/>
          <w:sz w:val="16"/>
        </w:rPr>
        <w:t xml:space="preserve"> from head to toe, from every pore, </w:t>
      </w:r>
      <w:r w:rsidRPr="009D52A8">
        <w:rPr>
          <w:rFonts w:eastAsia="MS Mincho"/>
          <w:b/>
          <w:iCs/>
          <w:highlight w:val="green"/>
          <w:u w:val="single"/>
        </w:rPr>
        <w:t>with blood and dirt</w:t>
      </w:r>
      <w:r w:rsidRPr="009D52A8">
        <w:rPr>
          <w:rFonts w:eastAsia="Cambria"/>
          <w:sz w:val="16"/>
        </w:rPr>
        <w:t>.”2 The four monographs discussed here offer powerful illumination and insight to Gilmore’s words, demonstrating the need to unravel the relations of capitalism and colonialism in order to grasp the promise of abolition and decolonization. Extending the interventions of scholars working in and across Native and Indigenous studies, Black studies, and critical ethnic studies, these authors showcase the rewards of critical reassessment and reorientation, transporting us beyond conventional distinctions between land and labor, structure and event, theft and property. Cheryl Harris’s iconic “Whiteness as Property” appears in these works as an indispensable critical touchstone, as does Karl Marx’s theory of “so-called primitive accumulation.” Sylvia Wynter’s critique of liberal humanism comes into focus as a critical nexus that bridges Black and Native studies. These works bring deep historical texture and bold theoretical interventions to the imperial project of “shareholder whiteness” (Karuka) and “conquistador humanism” (King) while delineating the colonial modality of “recursive dispossession” (Nichols) and the interplay of racism and abstraction embedded in property relations (Bhandar).</w:t>
      </w:r>
    </w:p>
    <w:p w14:paraId="1A37A773" w14:textId="77777777" w:rsidR="008D1AF4" w:rsidRPr="009D52A8" w:rsidRDefault="008D1AF4" w:rsidP="008D1AF4">
      <w:pPr>
        <w:spacing w:after="0" w:line="240" w:lineRule="auto"/>
        <w:rPr>
          <w:rFonts w:eastAsia="Cambria"/>
          <w:sz w:val="16"/>
        </w:rPr>
      </w:pPr>
      <w:r w:rsidRPr="009D52A8">
        <w:rPr>
          <w:rFonts w:eastAsia="Cambria"/>
          <w:sz w:val="16"/>
        </w:rPr>
        <w:t xml:space="preserve">Although the concerns of these texts are deeply interconnected, their methods remain distinctive. The scope of Brenna Bhandar’s monograph draws on a transnational archive of legal history, while Robert Nichols offers a historical and genealogical reconstruction of critical theory as it pertains to Anglocolonialism. </w:t>
      </w:r>
      <w:r w:rsidRPr="009D52A8">
        <w:rPr>
          <w:rFonts w:eastAsia="Cambria"/>
          <w:b/>
          <w:u w:val="single"/>
        </w:rPr>
        <w:t>Tiffany</w:t>
      </w:r>
      <w:r w:rsidRPr="009D52A8">
        <w:rPr>
          <w:rFonts w:eastAsia="Cambria"/>
          <w:sz w:val="16"/>
        </w:rPr>
        <w:t xml:space="preserve"> Lethabo </w:t>
      </w:r>
      <w:r w:rsidRPr="009D52A8">
        <w:rPr>
          <w:rFonts w:eastAsia="Cambria"/>
          <w:b/>
          <w:u w:val="single"/>
        </w:rPr>
        <w:t>King offers the rich and conceptually versatile motif of the shoal</w:t>
      </w:r>
      <w:r w:rsidRPr="009D52A8">
        <w:rPr>
          <w:rFonts w:eastAsia="Cambria"/>
          <w:sz w:val="16"/>
        </w:rPr>
        <w:t>—</w:t>
      </w:r>
      <w:r w:rsidRPr="009D52A8">
        <w:rPr>
          <w:rFonts w:eastAsia="Cambria"/>
          <w:b/>
          <w:u w:val="single"/>
        </w:rPr>
        <w:t>a geologic and oceanic term to refer to the zone between sand and sea</w:t>
      </w:r>
      <w:r w:rsidRPr="009D52A8">
        <w:rPr>
          <w:rFonts w:eastAsia="Cambria"/>
          <w:sz w:val="16"/>
        </w:rPr>
        <w:t>—</w:t>
      </w:r>
      <w:r w:rsidRPr="009D52A8">
        <w:rPr>
          <w:rFonts w:eastAsia="Cambria"/>
          <w:b/>
          <w:u w:val="single"/>
        </w:rPr>
        <w:t>to approach the contact zone between Black and Native studies</w:t>
      </w:r>
      <w:r w:rsidRPr="009D52A8">
        <w:rPr>
          <w:rFonts w:eastAsia="Cambria"/>
          <w:sz w:val="16"/>
        </w:rPr>
        <w:t xml:space="preserve">. Manu Karuka presents his methodology as a “meditation” that is opposed to the “impulse of discovery [or] the desire for novelty (xv). Approaching meditation as a practice of liberation, he defines this effort as one attuned to “realize questions and capacities that have been there all along” (xv). While Nichols’s and Bhandar’s works zero in on the vicissitudes of property and dispossession in settler colonies such as Canada, the US, Australia, South Africa, and Israel/ Palestine, </w:t>
      </w:r>
      <w:r w:rsidRPr="009D52A8">
        <w:rPr>
          <w:rFonts w:eastAsia="Cambria"/>
          <w:b/>
          <w:u w:val="single"/>
        </w:rPr>
        <w:t>Karuka and King broaden the conceptual frame of Anglo settler colonialism toward a theorization of continental imperialism</w:t>
      </w:r>
      <w:r w:rsidRPr="009D52A8">
        <w:rPr>
          <w:rFonts w:eastAsia="Cambria"/>
          <w:sz w:val="16"/>
        </w:rPr>
        <w:t xml:space="preserve"> (Karuka) </w:t>
      </w:r>
      <w:r w:rsidRPr="009D52A8">
        <w:rPr>
          <w:rFonts w:eastAsia="Cambria"/>
          <w:b/>
          <w:u w:val="single"/>
        </w:rPr>
        <w:t>and genocidal conquest</w:t>
      </w:r>
      <w:r w:rsidRPr="009D52A8">
        <w:rPr>
          <w:rFonts w:eastAsia="Cambria"/>
          <w:sz w:val="16"/>
        </w:rPr>
        <w:t xml:space="preserve"> (King).</w:t>
      </w:r>
    </w:p>
    <w:p w14:paraId="641FA172" w14:textId="77777777" w:rsidR="008D1AF4" w:rsidRPr="009D52A8" w:rsidRDefault="008D1AF4" w:rsidP="008D1AF4">
      <w:pPr>
        <w:spacing w:after="0" w:line="240" w:lineRule="auto"/>
        <w:rPr>
          <w:rFonts w:eastAsia="Cambria"/>
          <w:sz w:val="16"/>
        </w:rPr>
      </w:pPr>
      <w:r w:rsidRPr="009D52A8">
        <w:rPr>
          <w:rFonts w:eastAsia="Cambria"/>
          <w:sz w:val="16"/>
        </w:rPr>
        <w:t xml:space="preserve">One of the many achievements of Nichols’s Theft Is Property! Dispossession and Critical Theory is the way it brings historical, genealogical, and conceptual specificity to the concept of dispossession and its relation to land and racial bodies. Nichols’s main contention is that </w:t>
      </w:r>
      <w:r w:rsidRPr="009D52A8">
        <w:rPr>
          <w:rFonts w:eastAsia="Cambria"/>
          <w:b/>
          <w:highlight w:val="green"/>
          <w:u w:val="single"/>
        </w:rPr>
        <w:t xml:space="preserve">within the Marxian tradition, </w:t>
      </w:r>
      <w:r w:rsidRPr="009D52A8">
        <w:rPr>
          <w:rFonts w:eastAsia="MS Mincho"/>
          <w:b/>
          <w:iCs/>
          <w:highlight w:val="green"/>
          <w:u w:val="single"/>
        </w:rPr>
        <w:t>dispossession is subordinated</w:t>
      </w:r>
      <w:r w:rsidRPr="009D52A8">
        <w:rPr>
          <w:rFonts w:eastAsia="Cambria"/>
          <w:b/>
          <w:highlight w:val="green"/>
          <w:u w:val="single"/>
        </w:rPr>
        <w:t xml:space="preserve"> by</w:t>
      </w:r>
      <w:r w:rsidRPr="009D52A8">
        <w:rPr>
          <w:rFonts w:eastAsia="Cambria"/>
          <w:b/>
          <w:u w:val="single"/>
        </w:rPr>
        <w:t xml:space="preserve"> other categories of analysis, namely</w:t>
      </w:r>
      <w:r w:rsidRPr="009D52A8">
        <w:rPr>
          <w:rFonts w:eastAsia="Cambria"/>
          <w:sz w:val="16"/>
        </w:rPr>
        <w:t xml:space="preserve"> </w:t>
      </w:r>
      <w:r w:rsidRPr="009D52A8">
        <w:rPr>
          <w:rFonts w:eastAsia="MS Mincho"/>
          <w:b/>
          <w:iCs/>
          <w:highlight w:val="green"/>
          <w:u w:val="single"/>
        </w:rPr>
        <w:t>labor exploitation</w:t>
      </w:r>
      <w:r w:rsidRPr="009D52A8">
        <w:rPr>
          <w:rFonts w:eastAsia="Cambria"/>
          <w:sz w:val="16"/>
          <w:highlight w:val="green"/>
        </w:rPr>
        <w:t xml:space="preserve">, </w:t>
      </w:r>
      <w:r w:rsidRPr="009D52A8">
        <w:rPr>
          <w:rFonts w:eastAsia="Cambria"/>
          <w:b/>
          <w:highlight w:val="green"/>
          <w:u w:val="single"/>
        </w:rPr>
        <w:t xml:space="preserve">which obscures its role as a </w:t>
      </w:r>
      <w:r w:rsidRPr="009D52A8">
        <w:rPr>
          <w:rFonts w:eastAsia="MS Mincho"/>
          <w:b/>
          <w:iCs/>
          <w:highlight w:val="green"/>
          <w:u w:val="single"/>
        </w:rPr>
        <w:t>unique and contemporary means of colonial violence</w:t>
      </w:r>
      <w:r w:rsidRPr="009D52A8">
        <w:rPr>
          <w:rFonts w:eastAsia="Cambria"/>
          <w:sz w:val="16"/>
        </w:rPr>
        <w:t xml:space="preserve">. A key example is in Marx’s interpretation of so-called primitive accumulation, which challenges a bourgeois political economic account of the origins of capitalism that emerged as a peaceful emancipation from feudalism. In contrast, Marx’s account expounds on the horrifying extra-economic violence of the transition to capitalism. As Nichols delineates, </w:t>
      </w:r>
      <w:r w:rsidRPr="009D52A8">
        <w:rPr>
          <w:rFonts w:eastAsia="Cambria"/>
          <w:b/>
          <w:u w:val="single"/>
        </w:rPr>
        <w:t>Marx saw the transition from feudalism to capitalism as a sequential development with four stages: dispossession, proletarianization, market formation, and the separation of agricultural from urban industry</w:t>
      </w:r>
      <w:r w:rsidRPr="009D52A8">
        <w:rPr>
          <w:rFonts w:eastAsia="Cambria"/>
          <w:sz w:val="16"/>
        </w:rPr>
        <w:t xml:space="preserve"> (59), whose violence would eventually give way to the “silent compulsion” of economic relations.</w:t>
      </w:r>
    </w:p>
    <w:p w14:paraId="2C8174DF" w14:textId="77777777" w:rsidR="008D1AF4" w:rsidRPr="009D52A8" w:rsidRDefault="008D1AF4" w:rsidP="008D1AF4">
      <w:pPr>
        <w:spacing w:after="0" w:line="240" w:lineRule="auto"/>
        <w:rPr>
          <w:rFonts w:eastAsia="Cambria"/>
          <w:sz w:val="16"/>
        </w:rPr>
      </w:pPr>
      <w:r w:rsidRPr="009D52A8">
        <w:rPr>
          <w:rFonts w:eastAsia="Cambria"/>
          <w:sz w:val="16"/>
        </w:rPr>
        <w:t xml:space="preserve">For the last 150 years, scholars have adapted and supplemented Marx’s account, rejecting its linear assumptions and emphasizing how </w:t>
      </w:r>
      <w:r w:rsidRPr="009D52A8">
        <w:rPr>
          <w:rFonts w:eastAsia="MS Mincho"/>
          <w:b/>
          <w:iCs/>
          <w:highlight w:val="green"/>
          <w:u w:val="single"/>
        </w:rPr>
        <w:t>extra-economic violence was a general</w:t>
      </w:r>
      <w:r w:rsidRPr="009D52A8">
        <w:rPr>
          <w:rFonts w:eastAsia="Cambria"/>
          <w:b/>
          <w:highlight w:val="green"/>
          <w:u w:val="single"/>
        </w:rPr>
        <w:t xml:space="preserve"> rather than “</w:t>
      </w:r>
      <w:r w:rsidRPr="009D52A8">
        <w:rPr>
          <w:rFonts w:eastAsia="MS Mincho"/>
          <w:b/>
          <w:iCs/>
          <w:highlight w:val="green"/>
          <w:u w:val="single"/>
        </w:rPr>
        <w:t>primitive</w:t>
      </w:r>
      <w:r w:rsidRPr="009D52A8">
        <w:rPr>
          <w:rFonts w:eastAsia="Cambria"/>
          <w:b/>
          <w:highlight w:val="green"/>
          <w:u w:val="single"/>
        </w:rPr>
        <w:t>” law of accumulation</w:t>
      </w:r>
      <w:r w:rsidRPr="009D52A8">
        <w:rPr>
          <w:rFonts w:eastAsia="Cambria"/>
          <w:sz w:val="16"/>
        </w:rPr>
        <w:t xml:space="preserve">. Nichols clarifies that these empirical inaccuracies have to do less with Marx’s failures of observation than with the fact that they were limited to conditions in England. Alternatively, </w:t>
      </w:r>
      <w:r w:rsidRPr="009D52A8">
        <w:rPr>
          <w:rFonts w:eastAsia="Cambria"/>
          <w:b/>
          <w:u w:val="single"/>
        </w:rPr>
        <w:t xml:space="preserve">in Anglo settler colonial contexts, land </w:t>
      </w:r>
      <w:r w:rsidRPr="009D52A8">
        <w:rPr>
          <w:rFonts w:eastAsia="Cambria"/>
          <w:b/>
          <w:highlight w:val="green"/>
          <w:u w:val="single"/>
        </w:rPr>
        <w:t>dispossession was associated not with the transition out of a feudal order but</w:t>
      </w:r>
      <w:r w:rsidRPr="009D52A8">
        <w:rPr>
          <w:rFonts w:eastAsia="Cambria"/>
          <w:sz w:val="16"/>
        </w:rPr>
        <w:t xml:space="preserve"> with the </w:t>
      </w:r>
      <w:r w:rsidRPr="009D52A8">
        <w:rPr>
          <w:rFonts w:eastAsia="MS Mincho"/>
          <w:b/>
          <w:iCs/>
          <w:highlight w:val="green"/>
          <w:u w:val="single"/>
        </w:rPr>
        <w:t>elimination of Indigenous modes of relation</w:t>
      </w:r>
      <w:r w:rsidRPr="009D52A8">
        <w:rPr>
          <w:rFonts w:eastAsia="Cambria"/>
          <w:sz w:val="16"/>
        </w:rPr>
        <w:t xml:space="preserve">. What makes Nichols’s approach distinctive is his focus on the specificity of dispossession as </w:t>
      </w:r>
      <w:r w:rsidRPr="009D52A8">
        <w:rPr>
          <w:rFonts w:eastAsia="Cambria"/>
          <w:b/>
          <w:u w:val="single"/>
        </w:rPr>
        <w:t xml:space="preserve">a discrete logic </w:t>
      </w:r>
      <w:r w:rsidRPr="009D52A8">
        <w:rPr>
          <w:rFonts w:eastAsia="Cambria"/>
          <w:b/>
          <w:highlight w:val="green"/>
          <w:u w:val="single"/>
        </w:rPr>
        <w:t xml:space="preserve">that </w:t>
      </w:r>
      <w:r w:rsidRPr="009D52A8">
        <w:rPr>
          <w:rFonts w:eastAsia="MS Mincho"/>
          <w:b/>
          <w:iCs/>
          <w:highlight w:val="green"/>
          <w:u w:val="single"/>
        </w:rPr>
        <w:t>cannot be subsumed into the</w:t>
      </w:r>
      <w:r w:rsidRPr="009D52A8">
        <w:rPr>
          <w:rFonts w:eastAsia="MS Mincho"/>
          <w:b/>
          <w:iCs/>
          <w:u w:val="single"/>
        </w:rPr>
        <w:t xml:space="preserve"> paradigm of </w:t>
      </w:r>
      <w:r w:rsidRPr="009D52A8">
        <w:rPr>
          <w:rFonts w:eastAsia="MS Mincho"/>
          <w:b/>
          <w:iCs/>
          <w:highlight w:val="green"/>
          <w:u w:val="single"/>
        </w:rPr>
        <w:t>exploitation and proletarianization</w:t>
      </w:r>
      <w:r w:rsidRPr="009D52A8">
        <w:rPr>
          <w:rFonts w:eastAsia="Cambria"/>
          <w:sz w:val="16"/>
        </w:rPr>
        <w:t>. This builds on Glen Coulthard’s intervention in Marx’s primitive accumulation thesis, which demonstrates that “</w:t>
      </w:r>
      <w:r w:rsidRPr="009D52A8">
        <w:rPr>
          <w:rFonts w:eastAsia="Cambria"/>
          <w:b/>
          <w:u w:val="single"/>
        </w:rPr>
        <w:t>the history and experience of dispossession, not proletarianization, has been the dominant background structure shaping the character of the historical relation between Indigenous people and the Canadian [and US] state</w:t>
      </w:r>
      <w:r w:rsidRPr="009D52A8">
        <w:rPr>
          <w:rFonts w:eastAsia="Cambria"/>
          <w:sz w:val="16"/>
        </w:rPr>
        <w:t xml:space="preserve">.”3 Moreover, </w:t>
      </w:r>
      <w:r w:rsidRPr="009D52A8">
        <w:rPr>
          <w:rFonts w:eastAsia="Cambria"/>
          <w:b/>
          <w:u w:val="single"/>
        </w:rPr>
        <w:t>Nichols approaches land itself as a dialectical relation rather than a static object</w:t>
      </w:r>
      <w:r w:rsidRPr="009D52A8">
        <w:rPr>
          <w:rFonts w:eastAsia="Cambria"/>
          <w:sz w:val="16"/>
        </w:rPr>
        <w:t xml:space="preserve">. As a mediating category that connects labor to nature (as both a tool of labor and outside labor), land is a way to express human relation to a socially and historically mediated natural world—as opposed to a conception of a pristine nature that is external to historical mediation. By approaching land as a medium of expression not reducible to labor exploitation, Nichols </w:t>
      </w:r>
      <w:r w:rsidRPr="009D52A8">
        <w:rPr>
          <w:rFonts w:eastAsia="Cambria"/>
          <w:sz w:val="16"/>
        </w:rPr>
        <w:lastRenderedPageBreak/>
        <w:t xml:space="preserve">demonstrates that </w:t>
      </w:r>
      <w:r w:rsidRPr="009D52A8">
        <w:rPr>
          <w:rFonts w:eastAsia="Cambria"/>
          <w:b/>
          <w:u w:val="single"/>
        </w:rPr>
        <w:t xml:space="preserve">land dispossession represents a distinct form of colonial violence </w:t>
      </w:r>
      <w:r w:rsidRPr="009D52A8">
        <w:rPr>
          <w:rFonts w:eastAsia="Cambria"/>
          <w:b/>
          <w:highlight w:val="green"/>
          <w:u w:val="single"/>
        </w:rPr>
        <w:t>that marks a separation of humans from the</w:t>
      </w:r>
      <w:r w:rsidRPr="009D52A8">
        <w:rPr>
          <w:rFonts w:eastAsia="Cambria"/>
          <w:b/>
          <w:u w:val="single"/>
        </w:rPr>
        <w:t xml:space="preserve"> productive powers of </w:t>
      </w:r>
      <w:r w:rsidRPr="009D52A8">
        <w:rPr>
          <w:rFonts w:eastAsia="Cambria"/>
          <w:b/>
          <w:highlight w:val="green"/>
          <w:u w:val="single"/>
        </w:rPr>
        <w:t>the natural world</w:t>
      </w:r>
      <w:r w:rsidRPr="009D52A8">
        <w:rPr>
          <w:rFonts w:eastAsia="Cambria"/>
          <w:sz w:val="16"/>
        </w:rPr>
        <w:t>. Land is thus the term that expresses the proprietary character of humans’ relation to the natural world.</w:t>
      </w:r>
    </w:p>
    <w:p w14:paraId="7D6D5C69" w14:textId="77777777" w:rsidR="008D1AF4" w:rsidRPr="009D52A8" w:rsidRDefault="008D1AF4" w:rsidP="008D1AF4">
      <w:pPr>
        <w:spacing w:after="0" w:line="240" w:lineRule="auto"/>
        <w:rPr>
          <w:rFonts w:eastAsia="Cambria"/>
          <w:b/>
          <w:u w:val="single"/>
        </w:rPr>
      </w:pPr>
      <w:r w:rsidRPr="009D52A8">
        <w:rPr>
          <w:rFonts w:eastAsia="Cambria"/>
          <w:sz w:val="16"/>
        </w:rPr>
        <w:t xml:space="preserve">In reversing Pierre-Joseph Proudhon’s famous anarchist slogan “property is theft!,” Nichols captures the way </w:t>
      </w:r>
      <w:r w:rsidRPr="009D52A8">
        <w:rPr>
          <w:rFonts w:eastAsia="MS Mincho"/>
          <w:b/>
          <w:iCs/>
          <w:highlight w:val="green"/>
          <w:u w:val="single"/>
        </w:rPr>
        <w:t>dispossession actually produces property</w:t>
      </w:r>
      <w:r w:rsidRPr="009D52A8">
        <w:rPr>
          <w:rFonts w:eastAsia="Cambria"/>
          <w:sz w:val="16"/>
        </w:rPr>
        <w:t xml:space="preserve">, one whose legal justifications Bhandar’s monograph takes up in great detail. From homesteaders to squatters, their legal and extralegal occupation of Indigenous lands retroactively legitimized them as property owners. Thus </w:t>
      </w:r>
      <w:r w:rsidRPr="009D52A8">
        <w:rPr>
          <w:rFonts w:eastAsia="Cambria"/>
          <w:b/>
          <w:u w:val="single"/>
        </w:rPr>
        <w:t xml:space="preserve">dispossession entailed the </w:t>
      </w:r>
      <w:r w:rsidRPr="009D52A8">
        <w:rPr>
          <w:rFonts w:eastAsia="MS Mincho"/>
          <w:b/>
          <w:iCs/>
          <w:u w:val="single"/>
        </w:rPr>
        <w:t>transformation of nonproprietary relations into property ones</w:t>
      </w:r>
      <w:r w:rsidRPr="009D52A8">
        <w:rPr>
          <w:rFonts w:eastAsia="Cambria"/>
          <w:b/>
          <w:u w:val="single"/>
        </w:rPr>
        <w:t xml:space="preserve">, </w:t>
      </w:r>
      <w:r w:rsidRPr="009D52A8">
        <w:rPr>
          <w:rFonts w:eastAsia="Cambria"/>
          <w:sz w:val="16"/>
        </w:rPr>
        <w:t>meaning that, as Nichols puts it, “</w:t>
      </w:r>
      <w:r w:rsidRPr="009D52A8">
        <w:rPr>
          <w:rFonts w:eastAsia="MS Mincho"/>
          <w:b/>
          <w:iCs/>
          <w:u w:val="single"/>
        </w:rPr>
        <w:t>what belongs to no one can in fact be stolen</w:t>
      </w:r>
      <w:r w:rsidRPr="009D52A8">
        <w:rPr>
          <w:rFonts w:eastAsia="Cambria"/>
          <w:sz w:val="16"/>
        </w:rPr>
        <w:t xml:space="preserve">” (34). In this schema, </w:t>
      </w:r>
      <w:r w:rsidRPr="009D52A8">
        <w:rPr>
          <w:rFonts w:eastAsia="Cambria"/>
          <w:b/>
          <w:highlight w:val="green"/>
          <w:u w:val="single"/>
        </w:rPr>
        <w:t>Indigenous peoples could only actualize property rights through alienation</w:t>
      </w:r>
      <w:r w:rsidRPr="009D52A8">
        <w:rPr>
          <w:rFonts w:eastAsia="Cambria"/>
          <w:sz w:val="16"/>
          <w:highlight w:val="green"/>
        </w:rPr>
        <w:t>.</w:t>
      </w:r>
      <w:r w:rsidRPr="009D52A8">
        <w:rPr>
          <w:rFonts w:eastAsia="Cambria"/>
          <w:sz w:val="16"/>
        </w:rPr>
        <w:t xml:space="preserve"> Mediating between structure and event, recursive dispossession illuminates the iterative and self-fortifying activity of property-generating theft. Delineating the capitalist violence of colonial dispossession, he elaborates the way </w:t>
      </w:r>
      <w:r w:rsidRPr="009D52A8">
        <w:rPr>
          <w:rFonts w:eastAsia="Cambria"/>
          <w:b/>
          <w:u w:val="single"/>
        </w:rPr>
        <w:t>Indigenous politics are forged in resistance to the alienating modes of impersonal domination under capital and divisive forces of diremption.</w:t>
      </w:r>
    </w:p>
    <w:p w14:paraId="677F1A55" w14:textId="77777777" w:rsidR="008D1AF4" w:rsidRPr="00DE5CAC" w:rsidRDefault="008D1AF4" w:rsidP="008D1AF4"/>
    <w:p w14:paraId="12222831" w14:textId="77777777" w:rsidR="008D1AF4" w:rsidRPr="001B2352" w:rsidRDefault="008D1AF4" w:rsidP="008D1AF4">
      <w:pPr>
        <w:pStyle w:val="Heading4"/>
      </w:pPr>
      <w:r w:rsidRPr="001B2352">
        <w:t>The affirmative posits rejections of participation in labor and capitalistic economies without contending with its implications. The only way to plan alternative economies is through engagement and analysis of them – their rejection dooms place-based analyses that decolonize the way we plan political futures</w:t>
      </w:r>
    </w:p>
    <w:p w14:paraId="436C9633" w14:textId="77777777" w:rsidR="008D1AF4" w:rsidRPr="00320AC2" w:rsidRDefault="008D1AF4" w:rsidP="008D1AF4">
      <w:pPr>
        <w:rPr>
          <w:sz w:val="16"/>
          <w:szCs w:val="16"/>
        </w:rPr>
      </w:pPr>
      <w:r w:rsidRPr="00B30559">
        <w:rPr>
          <w:rStyle w:val="Style13ptBold"/>
        </w:rPr>
        <w:t>Coulthard et al 14</w:t>
      </w:r>
      <w:r>
        <w:t xml:space="preserve"> </w:t>
      </w:r>
      <w:r w:rsidRPr="00B30559">
        <w:rPr>
          <w:sz w:val="16"/>
          <w:szCs w:val="16"/>
        </w:rPr>
        <w:t>[Matthew Wildcat is a PhD student in the Political Science department at the University of British Columbia. Mandy McDonald holds a B.A. Honours in Political Science with a Minor in Indigenous Studies from the University of Victoria, and is currently an M.A. candidate in the Indigenous Governance Program. Stephanie Irlbacher-Fox, PhD (Cantab.) has spent the past two decades working for Indigenous peoples' organizations in the Northwest Territories, Canada. Glen Coulthard is an assistant professor in the First Nations Studies Program and the Department of Political Science at the University of British Columbia.</w:t>
      </w:r>
      <w:r w:rsidRPr="00B30559">
        <w:rPr>
          <w:rFonts w:ascii="Arial" w:hAnsi="Arial" w:cs="Arial"/>
          <w:color w:val="545454"/>
          <w:sz w:val="16"/>
          <w:szCs w:val="16"/>
          <w:shd w:val="clear" w:color="auto" w:fill="FFFFFF"/>
        </w:rPr>
        <w:t xml:space="preserve"> </w:t>
      </w:r>
      <w:r w:rsidRPr="00B30559">
        <w:rPr>
          <w:sz w:val="16"/>
          <w:szCs w:val="16"/>
        </w:rPr>
        <w:t>Decolonization: Indigeneity, Education &amp; Society Vol. 3, No. 3, 2014, pp. I-XV 2014 M. Wildcat, M. Simpson, S. Irlbacher-Fox &amp; G. Coulthard Learning from the land: Indigenous land based pedagogy and decolonization</w:t>
      </w:r>
      <w:r>
        <w:rPr>
          <w:sz w:val="16"/>
          <w:szCs w:val="16"/>
        </w:rPr>
        <w:t>, pages XI-XII,</w:t>
      </w:r>
      <w:r w:rsidRPr="00B30559">
        <w:rPr>
          <w:sz w:val="16"/>
          <w:szCs w:val="16"/>
        </w:rPr>
        <w:t xml:space="preserve"> accessed 12.4.2015]//TRossow</w:t>
      </w:r>
    </w:p>
    <w:p w14:paraId="37CAF76C" w14:textId="77777777" w:rsidR="008D1AF4" w:rsidRDefault="008D1AF4" w:rsidP="008D1AF4">
      <w:pPr>
        <w:rPr>
          <w:u w:val="single"/>
        </w:rPr>
      </w:pPr>
      <w:r w:rsidRPr="00320AC2">
        <w:rPr>
          <w:sz w:val="16"/>
        </w:rPr>
        <w:t xml:space="preserve">Finally, </w:t>
      </w:r>
      <w:r w:rsidRPr="008E5B64">
        <w:rPr>
          <w:highlight w:val="cyan"/>
          <w:u w:val="single"/>
        </w:rPr>
        <w:t>we cannot ignore</w:t>
      </w:r>
      <w:r w:rsidRPr="00320AC2">
        <w:rPr>
          <w:u w:val="single"/>
        </w:rPr>
        <w:t xml:space="preserve"> the issue of </w:t>
      </w:r>
      <w:r w:rsidRPr="008E5B64">
        <w:rPr>
          <w:highlight w:val="cyan"/>
          <w:u w:val="single"/>
        </w:rPr>
        <w:t>funding</w:t>
      </w:r>
      <w:r w:rsidRPr="00320AC2">
        <w:rPr>
          <w:sz w:val="16"/>
        </w:rPr>
        <w:t xml:space="preserve"> and institutional capacity </w:t>
      </w:r>
      <w:r w:rsidRPr="008E5B64">
        <w:rPr>
          <w:highlight w:val="cyan"/>
          <w:u w:val="single"/>
        </w:rPr>
        <w:t>for land-based initiatives</w:t>
      </w:r>
      <w:r w:rsidRPr="008E5B64">
        <w:rPr>
          <w:sz w:val="16"/>
          <w:highlight w:val="cyan"/>
        </w:rPr>
        <w:t>.</w:t>
      </w:r>
      <w:r w:rsidRPr="00320AC2">
        <w:rPr>
          <w:sz w:val="16"/>
        </w:rPr>
        <w:t xml:space="preserve"> One of the reasons we believe Leanne </w:t>
      </w:r>
      <w:r w:rsidRPr="00320AC2">
        <w:rPr>
          <w:u w:val="single"/>
        </w:rPr>
        <w:t>Simpson</w:t>
      </w:r>
      <w:r w:rsidRPr="00320AC2">
        <w:rPr>
          <w:sz w:val="16"/>
        </w:rPr>
        <w:t xml:space="preserve">’s article is a vital read for people working in Indigenous education is because she </w:t>
      </w:r>
      <w:r w:rsidRPr="00320AC2">
        <w:rPr>
          <w:u w:val="single"/>
        </w:rPr>
        <w:t>calls on us to increase the energy we devote to fostering sites of land-based education</w:t>
      </w:r>
      <w:r w:rsidRPr="00320AC2">
        <w:rPr>
          <w:sz w:val="16"/>
        </w:rPr>
        <w:t xml:space="preserve">. Yerxa and Gardner &amp; Giibwanisi show us how </w:t>
      </w:r>
      <w:r w:rsidRPr="008E5B64">
        <w:rPr>
          <w:highlight w:val="cyan"/>
          <w:u w:val="single"/>
        </w:rPr>
        <w:t>it is possible</w:t>
      </w:r>
      <w:r w:rsidRPr="00320AC2">
        <w:rPr>
          <w:u w:val="single"/>
        </w:rPr>
        <w:t xml:space="preserve"> for people </w:t>
      </w:r>
      <w:r w:rsidRPr="008E5B64">
        <w:rPr>
          <w:highlight w:val="cyan"/>
          <w:u w:val="single"/>
        </w:rPr>
        <w:t>to undertake these activities without funding</w:t>
      </w:r>
      <w:r w:rsidRPr="00320AC2">
        <w:rPr>
          <w:u w:val="single"/>
        </w:rPr>
        <w:t xml:space="preserve"> </w:t>
      </w:r>
      <w:r w:rsidRPr="008E5B64">
        <w:rPr>
          <w:highlight w:val="cyan"/>
          <w:u w:val="single"/>
        </w:rPr>
        <w:t>from mainstream institutions</w:t>
      </w:r>
      <w:r w:rsidRPr="00320AC2">
        <w:rPr>
          <w:sz w:val="16"/>
        </w:rPr>
        <w:t xml:space="preserve">. These and other </w:t>
      </w:r>
      <w:r w:rsidRPr="00320AC2">
        <w:rPr>
          <w:u w:val="single"/>
        </w:rPr>
        <w:t>grassroots initiatives provide us with an important baseline</w:t>
      </w:r>
      <w:r w:rsidRPr="00320AC2">
        <w:rPr>
          <w:sz w:val="16"/>
        </w:rPr>
        <w:t xml:space="preserve"> for those who may argue that we lack the funds to undertake land-based practices. </w:t>
      </w:r>
      <w:r w:rsidRPr="00320AC2">
        <w:rPr>
          <w:u w:val="single"/>
        </w:rPr>
        <w:t>Yet</w:t>
      </w:r>
      <w:r w:rsidRPr="00320AC2">
        <w:rPr>
          <w:sz w:val="16"/>
        </w:rPr>
        <w:t xml:space="preserve">, </w:t>
      </w:r>
      <w:r w:rsidRPr="00320AC2">
        <w:rPr>
          <w:u w:val="single"/>
        </w:rPr>
        <w:t>simply saying funding is not an issue ignores how economic disparities within Indigenous communities gives those with resources greater access to the land</w:t>
      </w:r>
      <w:r w:rsidRPr="00320AC2">
        <w:rPr>
          <w:sz w:val="16"/>
        </w:rPr>
        <w:t xml:space="preserve">. This is a tension brought to light by Eden Robinson (2008), “For instance, you have to be fairly well-off to eat traditional Haisla cuisine. Sure, the fish and game are free, but after factoring in fuel, time, equipment, and maintenance of various vehicles, it’s cheaper to buy frozen fish from the grocery store than it is to physically go out and get it” (pp. 214-215). Freeland also discusses this phenomenon, in her discussion of students who have grown up in northern communities, where histories of dispossession have hindered young people from acquiring bush skills and denied them access to the land. This brings us to the dilemma outlined by Coulthard (2013) in regards to land-based practices: </w:t>
      </w:r>
      <w:r w:rsidRPr="008E5B64">
        <w:rPr>
          <w:highlight w:val="cyan"/>
          <w:u w:val="single"/>
        </w:rPr>
        <w:t>Although</w:t>
      </w:r>
      <w:r w:rsidRPr="00320AC2">
        <w:rPr>
          <w:u w:val="single"/>
        </w:rPr>
        <w:t xml:space="preserve"> all of these </w:t>
      </w:r>
      <w:r w:rsidRPr="008E5B64">
        <w:rPr>
          <w:highlight w:val="cyan"/>
          <w:u w:val="single"/>
        </w:rPr>
        <w:t>place-based practices</w:t>
      </w:r>
      <w:r w:rsidRPr="00320AC2">
        <w:rPr>
          <w:u w:val="single"/>
        </w:rPr>
        <w:t xml:space="preserve"> are crucial to our well-being and offer profound insights into life-ways that </w:t>
      </w:r>
      <w:r w:rsidRPr="008E5B64">
        <w:rPr>
          <w:highlight w:val="cyan"/>
          <w:u w:val="single"/>
        </w:rPr>
        <w:t>provide frameworks for thinking about alternatives to an economy predicated on</w:t>
      </w:r>
      <w:r w:rsidRPr="00320AC2">
        <w:rPr>
          <w:u w:val="single"/>
        </w:rPr>
        <w:t xml:space="preserve"> the perpetual </w:t>
      </w:r>
      <w:r w:rsidRPr="008E5B64">
        <w:rPr>
          <w:highlight w:val="cyan"/>
          <w:u w:val="single"/>
        </w:rPr>
        <w:t>exploitation</w:t>
      </w:r>
      <w:r w:rsidRPr="00320AC2">
        <w:rPr>
          <w:u w:val="single"/>
        </w:rPr>
        <w:t xml:space="preserve"> of the human and non-human world</w:t>
      </w:r>
      <w:r w:rsidRPr="00320AC2">
        <w:rPr>
          <w:sz w:val="16"/>
        </w:rPr>
        <w:t>, [</w:t>
      </w:r>
      <w:r w:rsidRPr="008E5B64">
        <w:rPr>
          <w:b/>
          <w:highlight w:val="cyan"/>
          <w:u w:val="single"/>
        </w:rPr>
        <w:t>these practices require participation in capitalist economies</w:t>
      </w:r>
      <w:r w:rsidRPr="00320AC2">
        <w:rPr>
          <w:sz w:val="16"/>
        </w:rPr>
        <w:t xml:space="preserve">] </w:t>
      </w:r>
      <w:r w:rsidRPr="00320AC2">
        <w:rPr>
          <w:u w:val="single"/>
        </w:rPr>
        <w:t xml:space="preserve">in order </w:t>
      </w:r>
      <w:r w:rsidRPr="008E5B64">
        <w:rPr>
          <w:highlight w:val="cyan"/>
          <w:u w:val="single"/>
        </w:rPr>
        <w:t>to generate the cash required</w:t>
      </w:r>
      <w:r w:rsidRPr="00320AC2">
        <w:rPr>
          <w:u w:val="single"/>
        </w:rPr>
        <w:t xml:space="preserve"> to spend this regenerative time on the land</w:t>
      </w:r>
      <w:r w:rsidRPr="00320AC2">
        <w:rPr>
          <w:sz w:val="16"/>
        </w:rPr>
        <w:t xml:space="preserve">. </w:t>
      </w:r>
      <w:r w:rsidRPr="00320AC2">
        <w:rPr>
          <w:u w:val="single"/>
        </w:rPr>
        <w:t xml:space="preserve">A similar problem informs </w:t>
      </w:r>
      <w:r w:rsidRPr="008E5B64">
        <w:rPr>
          <w:highlight w:val="cyan"/>
          <w:u w:val="single"/>
        </w:rPr>
        <w:t>self-determination efforts</w:t>
      </w:r>
      <w:r w:rsidRPr="00320AC2">
        <w:rPr>
          <w:u w:val="single"/>
        </w:rPr>
        <w:t xml:space="preserve"> that seek to </w:t>
      </w:r>
      <w:r w:rsidRPr="008E5B64">
        <w:rPr>
          <w:highlight w:val="cyan"/>
          <w:u w:val="single"/>
        </w:rPr>
        <w:t>ameliorate</w:t>
      </w:r>
      <w:r w:rsidRPr="00320AC2">
        <w:rPr>
          <w:u w:val="single"/>
        </w:rPr>
        <w:t xml:space="preserve"> our </w:t>
      </w:r>
      <w:r w:rsidRPr="008E5B64">
        <w:rPr>
          <w:highlight w:val="cyan"/>
          <w:u w:val="single"/>
        </w:rPr>
        <w:t>poverty</w:t>
      </w:r>
      <w:r w:rsidRPr="00320AC2">
        <w:rPr>
          <w:u w:val="single"/>
        </w:rPr>
        <w:t xml:space="preserve"> and economic dependency </w:t>
      </w:r>
      <w:r w:rsidRPr="008E5B64">
        <w:rPr>
          <w:highlight w:val="cyan"/>
          <w:u w:val="single"/>
        </w:rPr>
        <w:t>through</w:t>
      </w:r>
      <w:r w:rsidRPr="00320AC2">
        <w:rPr>
          <w:u w:val="single"/>
        </w:rPr>
        <w:t xml:space="preserve"> resource </w:t>
      </w:r>
      <w:r w:rsidRPr="008E5B64">
        <w:rPr>
          <w:highlight w:val="cyan"/>
          <w:u w:val="single"/>
        </w:rPr>
        <w:t>revenue sharing</w:t>
      </w:r>
      <w:r w:rsidRPr="00320AC2">
        <w:rPr>
          <w:u w:val="single"/>
        </w:rPr>
        <w:t xml:space="preserve">, more comprehensive </w:t>
      </w:r>
      <w:r w:rsidRPr="008E5B64">
        <w:rPr>
          <w:highlight w:val="cyan"/>
          <w:u w:val="single"/>
        </w:rPr>
        <w:t>impact benefit agreements</w:t>
      </w:r>
      <w:r w:rsidRPr="00320AC2">
        <w:rPr>
          <w:u w:val="single"/>
        </w:rPr>
        <w:t xml:space="preserve">, </w:t>
      </w:r>
      <w:r w:rsidRPr="008E5B64">
        <w:rPr>
          <w:highlight w:val="cyan"/>
          <w:u w:val="single"/>
        </w:rPr>
        <w:t>and affirmative action</w:t>
      </w:r>
      <w:r w:rsidRPr="00320AC2">
        <w:rPr>
          <w:u w:val="single"/>
        </w:rPr>
        <w:t xml:space="preserve"> employment strategies </w:t>
      </w:r>
      <w:r w:rsidRPr="008E5B64">
        <w:rPr>
          <w:highlight w:val="cyan"/>
          <w:u w:val="single"/>
        </w:rPr>
        <w:t>negotiated through</w:t>
      </w:r>
      <w:r w:rsidRPr="00320AC2">
        <w:rPr>
          <w:u w:val="single"/>
        </w:rPr>
        <w:t xml:space="preserve"> the state and with </w:t>
      </w:r>
      <w:r w:rsidRPr="008E5B64">
        <w:rPr>
          <w:highlight w:val="cyan"/>
          <w:u w:val="single"/>
        </w:rPr>
        <w:t>industries</w:t>
      </w:r>
      <w:r w:rsidRPr="00320AC2">
        <w:rPr>
          <w:u w:val="single"/>
        </w:rPr>
        <w:t xml:space="preserve"> tearing-up Indigenous territories. </w:t>
      </w:r>
      <w:r w:rsidRPr="00320AC2">
        <w:rPr>
          <w:sz w:val="16"/>
        </w:rPr>
        <w:t xml:space="preserve">[Although these resources could be spent on cultural revitalization, they are] entirely at odds with the deep reciprocity that forms the cultural core of many Indigenous peoples’ relationships with land. Freeland-Ballentyne makes a valuable first foray into addressing this dilemma but more </w:t>
      </w:r>
      <w:r w:rsidRPr="00320AC2">
        <w:rPr>
          <w:u w:val="single"/>
        </w:rPr>
        <w:t xml:space="preserve">work needs to be done to explore the </w:t>
      </w:r>
      <w:r w:rsidRPr="008E5B64">
        <w:rPr>
          <w:highlight w:val="cyan"/>
          <w:u w:val="single"/>
        </w:rPr>
        <w:t>forms of education</w:t>
      </w:r>
      <w:r w:rsidRPr="00320AC2">
        <w:rPr>
          <w:u w:val="single"/>
        </w:rPr>
        <w:t xml:space="preserve"> that are capable of </w:t>
      </w:r>
      <w:r w:rsidRPr="008E5B64">
        <w:rPr>
          <w:highlight w:val="cyan"/>
          <w:u w:val="single"/>
        </w:rPr>
        <w:t>fosteri</w:t>
      </w:r>
      <w:r w:rsidRPr="00320AC2">
        <w:rPr>
          <w:u w:val="single"/>
        </w:rPr>
        <w:t>ng</w:t>
      </w:r>
      <w:r w:rsidRPr="00320AC2">
        <w:rPr>
          <w:sz w:val="16"/>
        </w:rPr>
        <w:t xml:space="preserve"> Coulthard’s call for </w:t>
      </w:r>
      <w:r w:rsidRPr="00320AC2">
        <w:rPr>
          <w:u w:val="single"/>
        </w:rPr>
        <w:t>the creation of</w:t>
      </w:r>
      <w:r w:rsidRPr="00320AC2">
        <w:rPr>
          <w:sz w:val="16"/>
        </w:rPr>
        <w:t xml:space="preserve"> “</w:t>
      </w:r>
      <w:r w:rsidRPr="008E5B64">
        <w:rPr>
          <w:b/>
          <w:highlight w:val="cyan"/>
          <w:u w:val="single"/>
        </w:rPr>
        <w:t>Indigenous political economic alternatives</w:t>
      </w:r>
      <w:r w:rsidRPr="00320AC2">
        <w:rPr>
          <w:sz w:val="16"/>
        </w:rPr>
        <w:t xml:space="preserve">.” At the very least, </w:t>
      </w:r>
      <w:r w:rsidRPr="008E5B64">
        <w:rPr>
          <w:highlight w:val="cyan"/>
          <w:u w:val="single"/>
        </w:rPr>
        <w:t>this will</w:t>
      </w:r>
      <w:r w:rsidRPr="00320AC2">
        <w:rPr>
          <w:u w:val="single"/>
        </w:rPr>
        <w:t xml:space="preserve"> mean </w:t>
      </w:r>
      <w:r w:rsidRPr="00320AC2">
        <w:rPr>
          <w:u w:val="single"/>
        </w:rPr>
        <w:lastRenderedPageBreak/>
        <w:t xml:space="preserve">creating forms of education that </w:t>
      </w:r>
      <w:r w:rsidRPr="008E5B64">
        <w:rPr>
          <w:highlight w:val="cyan"/>
          <w:u w:val="single"/>
        </w:rPr>
        <w:t>allow us to teach</w:t>
      </w:r>
      <w:r w:rsidRPr="00320AC2">
        <w:rPr>
          <w:u w:val="single"/>
        </w:rPr>
        <w:t xml:space="preserve"> people within </w:t>
      </w:r>
      <w:r w:rsidRPr="008E5B64">
        <w:rPr>
          <w:highlight w:val="cyan"/>
          <w:u w:val="single"/>
        </w:rPr>
        <w:t>Indigenous philosophies and pedagogies</w:t>
      </w:r>
      <w:r w:rsidRPr="00320AC2">
        <w:rPr>
          <w:sz w:val="16"/>
        </w:rPr>
        <w:t xml:space="preserve">, </w:t>
      </w:r>
      <w:r w:rsidRPr="008E5B64">
        <w:rPr>
          <w:highlight w:val="cyan"/>
          <w:u w:val="single"/>
        </w:rPr>
        <w:t>that</w:t>
      </w:r>
      <w:r w:rsidRPr="00320AC2">
        <w:rPr>
          <w:u w:val="single"/>
        </w:rPr>
        <w:t xml:space="preserve"> in turn will </w:t>
      </w:r>
      <w:r w:rsidRPr="008E5B64">
        <w:rPr>
          <w:highlight w:val="cyan"/>
          <w:u w:val="single"/>
        </w:rPr>
        <w:t>guide how we select</w:t>
      </w:r>
      <w:r w:rsidRPr="00320AC2">
        <w:rPr>
          <w:u w:val="single"/>
        </w:rPr>
        <w:t xml:space="preserve"> </w:t>
      </w:r>
      <w:r w:rsidRPr="008E5B64">
        <w:rPr>
          <w:highlight w:val="cyan"/>
          <w:u w:val="single"/>
        </w:rPr>
        <w:t>economic activities to engage in,</w:t>
      </w:r>
      <w:r w:rsidRPr="00320AC2">
        <w:rPr>
          <w:u w:val="single"/>
        </w:rPr>
        <w:t xml:space="preserve"> how we organize work and labour within our economic activities, </w:t>
      </w:r>
      <w:r w:rsidRPr="008E5B64">
        <w:rPr>
          <w:highlight w:val="cyan"/>
          <w:u w:val="single"/>
        </w:rPr>
        <w:t>and</w:t>
      </w:r>
      <w:r w:rsidRPr="00320AC2">
        <w:rPr>
          <w:u w:val="single"/>
        </w:rPr>
        <w:t xml:space="preserve"> how we </w:t>
      </w:r>
      <w:r w:rsidRPr="008E5B64">
        <w:rPr>
          <w:highlight w:val="cyan"/>
          <w:u w:val="single"/>
        </w:rPr>
        <w:t>distribute</w:t>
      </w:r>
      <w:r w:rsidRPr="00320AC2">
        <w:rPr>
          <w:u w:val="single"/>
        </w:rPr>
        <w:t xml:space="preserve"> the products and </w:t>
      </w:r>
      <w:r w:rsidRPr="008E5B64">
        <w:rPr>
          <w:highlight w:val="cyan"/>
          <w:u w:val="single"/>
        </w:rPr>
        <w:t>resources</w:t>
      </w:r>
      <w:r w:rsidRPr="00320AC2">
        <w:rPr>
          <w:u w:val="single"/>
        </w:rPr>
        <w:t xml:space="preserve"> generated through our economic activities.</w:t>
      </w:r>
      <w:r w:rsidRPr="00320AC2">
        <w:rPr>
          <w:sz w:val="16"/>
        </w:rPr>
        <w:t xml:space="preserve"> </w:t>
      </w:r>
      <w:r w:rsidRPr="00320AC2">
        <w:rPr>
          <w:u w:val="single"/>
        </w:rPr>
        <w:t>To create these sites of education we</w:t>
      </w:r>
      <w:r w:rsidRPr="00320AC2">
        <w:rPr>
          <w:sz w:val="16"/>
        </w:rPr>
        <w:t xml:space="preserve"> must also think about how we can push forward institutional capacity. Although Indigenous peoples as a whole remain in an impoverished condition and resources are scarce, </w:t>
      </w:r>
      <w:r w:rsidRPr="00320AC2">
        <w:rPr>
          <w:u w:val="single"/>
        </w:rPr>
        <w:t>furthering land-based education</w:t>
      </w:r>
      <w:r w:rsidRPr="00320AC2">
        <w:rPr>
          <w:sz w:val="16"/>
        </w:rPr>
        <w:t xml:space="preserve"> is a necessary undertaking. Increasing capacity to offer land-based education is going to require a discussion of how various First Nation governments and organizations might cooperate with each other in order to foster these sites of learning. </w:t>
      </w:r>
      <w:r w:rsidRPr="00320AC2">
        <w:rPr>
          <w:u w:val="single"/>
        </w:rPr>
        <w:t>This is going to require moving beyond a practice where individual First Nations governments undertake programs and services in isolation from each other</w:t>
      </w:r>
      <w:r w:rsidRPr="00320AC2">
        <w:rPr>
          <w:sz w:val="16"/>
        </w:rPr>
        <w:t xml:space="preserve">, as well as in isolation from other parts of the Indigenous political landscape such as urban communities, and Métis and non-status people. As Giibwanisi states in regard to the Oshkimaadziig Unity camp, “We want to be a connector between the city and the land. The broader work of being a connector is bringing together community-building strategies in urban areas and community building work at Oshkimaadziig. Settler colonialism, here and now, affects and implicates us all” (p. 173). Of course, this does not mean centralizing or standardizing the delivery of land-based education. </w:t>
      </w:r>
      <w:r w:rsidRPr="00320AC2">
        <w:rPr>
          <w:u w:val="single"/>
        </w:rPr>
        <w:t xml:space="preserve">While we will learn from each other, the delivery of </w:t>
      </w:r>
      <w:r w:rsidRPr="008E5B64">
        <w:rPr>
          <w:b/>
          <w:highlight w:val="cyan"/>
          <w:u w:val="single"/>
        </w:rPr>
        <w:t>land-based education must always be rooted in place and the histories of Indigenous peoples from those places</w:t>
      </w:r>
      <w:r w:rsidRPr="00320AC2">
        <w:rPr>
          <w:sz w:val="16"/>
        </w:rPr>
        <w:t xml:space="preserve">. Rather, the call to consider how we foster cooperation in service of furthering land-based education is a call to consider how we practice forms of governance between communities. </w:t>
      </w:r>
      <w:r w:rsidRPr="00320AC2">
        <w:rPr>
          <w:u w:val="single"/>
        </w:rPr>
        <w:t xml:space="preserve">While grassroots initiatives will always remain important within land-based learning, the </w:t>
      </w:r>
      <w:r w:rsidRPr="008E5B64">
        <w:rPr>
          <w:highlight w:val="cyan"/>
          <w:u w:val="single"/>
        </w:rPr>
        <w:t>institutional funding</w:t>
      </w:r>
      <w:r w:rsidRPr="00320AC2">
        <w:rPr>
          <w:u w:val="single"/>
        </w:rPr>
        <w:t xml:space="preserve"> that Indigenous peoples do have control of </w:t>
      </w:r>
      <w:r w:rsidRPr="008E5B64">
        <w:rPr>
          <w:highlight w:val="cyan"/>
          <w:u w:val="single"/>
        </w:rPr>
        <w:t>must</w:t>
      </w:r>
      <w:r w:rsidRPr="00320AC2">
        <w:rPr>
          <w:u w:val="single"/>
        </w:rPr>
        <w:t xml:space="preserve"> also </w:t>
      </w:r>
      <w:r w:rsidRPr="008E5B64">
        <w:rPr>
          <w:highlight w:val="cyan"/>
          <w:u w:val="single"/>
        </w:rPr>
        <w:t>contribute</w:t>
      </w:r>
      <w:r w:rsidRPr="00320AC2">
        <w:rPr>
          <w:u w:val="single"/>
        </w:rPr>
        <w:t xml:space="preserve"> to land based initiatives</w:t>
      </w:r>
      <w:r w:rsidRPr="00320AC2">
        <w:rPr>
          <w:sz w:val="16"/>
        </w:rPr>
        <w:t>. Typically, Band Councils in Canada have political authority over a membership and territory (both reserve and traditional) that is held in exclusion to other Band Councils and other aspects of the Indigenous political landscape. If we maintain these rigid boundaries, First Nations governments will not only limit their ability to support land-based education, but we will hinder traditional forms of governance that fostered connections between communities. As James Anaya (2004) argues: “</w:t>
      </w:r>
      <w:r w:rsidRPr="008E5B64">
        <w:rPr>
          <w:highlight w:val="cyan"/>
          <w:u w:val="single"/>
        </w:rPr>
        <w:t>Any conception of self-determination</w:t>
      </w:r>
      <w:r w:rsidRPr="00320AC2">
        <w:rPr>
          <w:u w:val="single"/>
        </w:rPr>
        <w:t xml:space="preserve"> </w:t>
      </w:r>
      <w:r w:rsidRPr="008E5B64">
        <w:rPr>
          <w:highlight w:val="cyan"/>
          <w:u w:val="single"/>
        </w:rPr>
        <w:t>that does not take into account</w:t>
      </w:r>
      <w:r w:rsidRPr="00320AC2">
        <w:rPr>
          <w:u w:val="single"/>
        </w:rPr>
        <w:t xml:space="preserve"> the multiple patterns of human association and </w:t>
      </w:r>
      <w:r w:rsidRPr="008E5B64">
        <w:rPr>
          <w:highlight w:val="cyan"/>
          <w:u w:val="single"/>
        </w:rPr>
        <w:t>interdependency</w:t>
      </w:r>
      <w:r w:rsidRPr="00320AC2">
        <w:rPr>
          <w:u w:val="single"/>
        </w:rPr>
        <w:t xml:space="preserve"> </w:t>
      </w:r>
      <w:r w:rsidRPr="008E5B64">
        <w:rPr>
          <w:highlight w:val="cyan"/>
          <w:u w:val="single"/>
        </w:rPr>
        <w:t>is</w:t>
      </w:r>
      <w:r w:rsidRPr="00320AC2">
        <w:rPr>
          <w:u w:val="single"/>
        </w:rPr>
        <w:t xml:space="preserve"> at best incomplete and more likely </w:t>
      </w:r>
      <w:r w:rsidRPr="008E5B64">
        <w:rPr>
          <w:highlight w:val="cyan"/>
          <w:u w:val="single"/>
        </w:rPr>
        <w:t>distorted</w:t>
      </w:r>
      <w:r w:rsidRPr="00320AC2">
        <w:rPr>
          <w:sz w:val="16"/>
        </w:rPr>
        <w:t xml:space="preserve">” (p. 103). In short, </w:t>
      </w:r>
      <w:r w:rsidRPr="00320AC2">
        <w:rPr>
          <w:u w:val="single"/>
        </w:rPr>
        <w:t>we need to find ways for multiple communities to weave their authority together in service of fostering sites of land-based education.</w:t>
      </w:r>
    </w:p>
    <w:p w14:paraId="0082BC5C" w14:textId="77777777" w:rsidR="008D1AF4" w:rsidRPr="006E214E" w:rsidRDefault="008D1AF4" w:rsidP="008D1AF4">
      <w:pPr>
        <w:pStyle w:val="Heading4"/>
      </w:pPr>
      <w:r>
        <w:t xml:space="preserve">Indigeneity predates capitalism – privileging class struggle prevents decolonization movements from being successful which turns case. </w:t>
      </w:r>
    </w:p>
    <w:p w14:paraId="3280CBE5" w14:textId="77777777" w:rsidR="008D1AF4" w:rsidRPr="006E214E" w:rsidRDefault="008D1AF4" w:rsidP="008D1AF4">
      <w:pPr>
        <w:rPr>
          <w:rFonts w:asciiTheme="minorHAnsi" w:hAnsiTheme="minorHAnsi"/>
        </w:rPr>
      </w:pPr>
      <w:r w:rsidRPr="006E214E">
        <w:rPr>
          <w:rStyle w:val="Style13ptBold"/>
          <w:rFonts w:asciiTheme="minorHAnsi" w:hAnsiTheme="minorHAnsi"/>
        </w:rPr>
        <w:t>Grande 4</w:t>
      </w:r>
      <w:r w:rsidRPr="006E214E">
        <w:rPr>
          <w:rFonts w:asciiTheme="minorHAnsi" w:hAnsiTheme="minorHAnsi"/>
        </w:rPr>
        <w:t xml:space="preserve"> [Sandy, Associate Professor of Education at Connecticut College, </w:t>
      </w:r>
      <w:r w:rsidRPr="006E214E">
        <w:rPr>
          <w:rFonts w:asciiTheme="minorHAnsi" w:hAnsiTheme="minorHAnsi"/>
          <w:i/>
        </w:rPr>
        <w:t>Red Pedagogy: Native American Social and Political Thought</w:t>
      </w:r>
      <w:r w:rsidRPr="006E214E">
        <w:rPr>
          <w:rFonts w:asciiTheme="minorHAnsi" w:hAnsiTheme="minorHAnsi"/>
        </w:rPr>
        <w:t>, p 51] // myost</w:t>
      </w:r>
    </w:p>
    <w:p w14:paraId="121AEC0F" w14:textId="77777777" w:rsidR="008D1AF4" w:rsidRPr="006E214E" w:rsidRDefault="008D1AF4" w:rsidP="008D1AF4">
      <w:pPr>
        <w:rPr>
          <w:rFonts w:asciiTheme="minorHAnsi" w:hAnsiTheme="minorHAnsi"/>
          <w:sz w:val="16"/>
        </w:rPr>
      </w:pPr>
      <w:r w:rsidRPr="006E214E">
        <w:rPr>
          <w:rFonts w:asciiTheme="minorHAnsi" w:hAnsiTheme="minorHAnsi"/>
          <w:sz w:val="16"/>
        </w:rPr>
        <w:t xml:space="preserve">Though the precepts of a revolutionary critical pedagogy and Red pedagogy agree on the enduring relevancy of the nation-state and its role as an agent of capital, they diverge in their ideas of how these relations should reconceptualize democracy. Revolutionary theorists insist that the only way to manage diversity is through the practice of "genuine democracy," which is only possible in a socialist economy (McLaren and Farahmandpur 2001, 295)-that is, by foregrounding class struggle. For example , McLaren and Farahmandpur (2001, 20) write: "Following Samir Amin, we believe that it is important to resist attempts to devalue the term ‘democracy’ by vulgarizing it and domesticating it as synonymous with community development that ‘negates the unity of the human race in favor of races, communities, cultural groups and the like.’" In this context "democracy" remains a universalist construct that not only is reconceptualized along class lines but also is indivisible along the lines of race, gender, and sexuality. Indeed they explicitly argue against "dividing up democracy" into such "isolated communities" (McLaren and Farahmandpur 2001, 295). The history of federal Indian law clearly demonstrates that it was not indigenous peoples who divided up democracy" but rather democracy that divided them. </w:t>
      </w:r>
      <w:r w:rsidRPr="008E5B64">
        <w:rPr>
          <w:rStyle w:val="StyleUnderline"/>
          <w:rFonts w:asciiTheme="minorHAnsi" w:hAnsiTheme="minorHAnsi"/>
          <w:highlight w:val="cyan"/>
        </w:rPr>
        <w:t xml:space="preserve">Indigenous peoples </w:t>
      </w:r>
      <w:r w:rsidRPr="006E214E">
        <w:rPr>
          <w:rFonts w:asciiTheme="minorHAnsi" w:hAnsiTheme="minorHAnsi"/>
          <w:sz w:val="16"/>
        </w:rPr>
        <w:t>and their political organizations</w:t>
      </w:r>
      <w:r w:rsidRPr="006E214E">
        <w:rPr>
          <w:rStyle w:val="StyleUnderline"/>
          <w:rFonts w:asciiTheme="minorHAnsi" w:hAnsiTheme="minorHAnsi"/>
        </w:rPr>
        <w:t xml:space="preserve"> </w:t>
      </w:r>
      <w:r w:rsidRPr="008E5B64">
        <w:rPr>
          <w:rStyle w:val="StyleUnderline"/>
          <w:rFonts w:asciiTheme="minorHAnsi" w:hAnsiTheme="minorHAnsi"/>
          <w:highlight w:val="cyan"/>
        </w:rPr>
        <w:t>predate</w:t>
      </w:r>
      <w:r w:rsidRPr="006E214E">
        <w:rPr>
          <w:rFonts w:asciiTheme="minorHAnsi" w:hAnsiTheme="minorHAnsi"/>
          <w:sz w:val="16"/>
        </w:rPr>
        <w:t xml:space="preserve"> both </w:t>
      </w:r>
      <w:r w:rsidRPr="008E5B64">
        <w:rPr>
          <w:rStyle w:val="StyleUnderline"/>
          <w:rFonts w:asciiTheme="minorHAnsi" w:hAnsiTheme="minorHAnsi"/>
          <w:highlight w:val="cyan"/>
        </w:rPr>
        <w:t>capitalism</w:t>
      </w:r>
      <w:r w:rsidRPr="006E214E">
        <w:rPr>
          <w:rFonts w:asciiTheme="minorHAnsi" w:hAnsiTheme="minorHAnsi"/>
          <w:sz w:val="16"/>
        </w:rPr>
        <w:t xml:space="preserve"> and (whitestream) democracy's advent </w:t>
      </w:r>
      <w:r w:rsidRPr="008E5B64">
        <w:rPr>
          <w:rStyle w:val="StyleUnderline"/>
          <w:rFonts w:asciiTheme="minorHAnsi" w:hAnsiTheme="minorHAnsi"/>
          <w:highlight w:val="cyan"/>
        </w:rPr>
        <w:t>on this continent</w:t>
      </w:r>
      <w:r w:rsidRPr="006E214E">
        <w:rPr>
          <w:rStyle w:val="StyleUnderline"/>
          <w:rFonts w:asciiTheme="minorHAnsi" w:hAnsiTheme="minorHAnsi"/>
        </w:rPr>
        <w:t>.</w:t>
      </w:r>
      <w:r w:rsidRPr="006E214E">
        <w:rPr>
          <w:rFonts w:asciiTheme="minorHAnsi" w:hAnsiTheme="minorHAnsi"/>
          <w:sz w:val="16"/>
        </w:rPr>
        <w:t xml:space="preserve"> </w:t>
      </w:r>
      <w:r w:rsidRPr="006E214E">
        <w:rPr>
          <w:rStyle w:val="StyleUnderline"/>
          <w:rFonts w:asciiTheme="minorHAnsi" w:hAnsiTheme="minorHAnsi"/>
        </w:rPr>
        <w:t xml:space="preserve">Thus, </w:t>
      </w:r>
      <w:r w:rsidRPr="008E5B64">
        <w:rPr>
          <w:rStyle w:val="StyleUnderline"/>
          <w:rFonts w:asciiTheme="minorHAnsi" w:hAnsiTheme="minorHAnsi"/>
          <w:highlight w:val="cyan"/>
        </w:rPr>
        <w:t xml:space="preserve">contrary to the assertions </w:t>
      </w:r>
      <w:r w:rsidRPr="006E214E">
        <w:rPr>
          <w:rStyle w:val="StyleUnderline"/>
          <w:rFonts w:asciiTheme="minorHAnsi" w:hAnsiTheme="minorHAnsi"/>
        </w:rPr>
        <w:t>of</w:t>
      </w:r>
      <w:r w:rsidRPr="006E214E">
        <w:rPr>
          <w:rFonts w:asciiTheme="minorHAnsi" w:hAnsiTheme="minorHAnsi"/>
          <w:sz w:val="16"/>
        </w:rPr>
        <w:t xml:space="preserve"> </w:t>
      </w:r>
      <w:r w:rsidRPr="006E214E">
        <w:rPr>
          <w:rStyle w:val="StyleUnderline"/>
          <w:rFonts w:asciiTheme="minorHAnsi" w:hAnsiTheme="minorHAnsi"/>
        </w:rPr>
        <w:t xml:space="preserve">revolutionary theorists, </w:t>
      </w:r>
      <w:r w:rsidRPr="008E5B64">
        <w:rPr>
          <w:rStyle w:val="StyleUnderline"/>
          <w:rFonts w:asciiTheme="minorHAnsi" w:hAnsiTheme="minorHAnsi"/>
          <w:highlight w:val="cyan"/>
        </w:rPr>
        <w:t>capitalist</w:t>
      </w:r>
      <w:r w:rsidRPr="006E214E">
        <w:rPr>
          <w:rFonts w:asciiTheme="minorHAnsi" w:hAnsiTheme="minorHAnsi"/>
          <w:sz w:val="16"/>
        </w:rPr>
        <w:t xml:space="preserve"> (exploitative) </w:t>
      </w:r>
      <w:r w:rsidRPr="006E214E">
        <w:rPr>
          <w:rStyle w:val="StyleUnderline"/>
          <w:rFonts w:asciiTheme="minorHAnsi" w:hAnsiTheme="minorHAnsi"/>
        </w:rPr>
        <w:t xml:space="preserve">modes of </w:t>
      </w:r>
      <w:r w:rsidRPr="008E5B64">
        <w:rPr>
          <w:rStyle w:val="StyleUnderline"/>
          <w:rFonts w:asciiTheme="minorHAnsi" w:hAnsiTheme="minorHAnsi"/>
          <w:highlight w:val="cyan"/>
        </w:rPr>
        <w:t xml:space="preserve">production are not predicated on </w:t>
      </w:r>
      <w:r w:rsidRPr="006E214E">
        <w:rPr>
          <w:rStyle w:val="StyleUnderline"/>
          <w:rFonts w:asciiTheme="minorHAnsi" w:hAnsiTheme="minorHAnsi"/>
        </w:rPr>
        <w:t>the exploitation of</w:t>
      </w:r>
      <w:r w:rsidRPr="006E214E">
        <w:rPr>
          <w:rFonts w:asciiTheme="minorHAnsi" w:hAnsiTheme="minorHAnsi"/>
          <w:sz w:val="16"/>
        </w:rPr>
        <w:t xml:space="preserve"> free (slave) </w:t>
      </w:r>
      <w:r w:rsidRPr="008E5B64">
        <w:rPr>
          <w:rStyle w:val="StyleUnderline"/>
          <w:rFonts w:asciiTheme="minorHAnsi" w:hAnsiTheme="minorHAnsi"/>
          <w:highlight w:val="cyan"/>
        </w:rPr>
        <w:t>labor but</w:t>
      </w:r>
      <w:r w:rsidRPr="008E5B64">
        <w:rPr>
          <w:rFonts w:asciiTheme="minorHAnsi" w:hAnsiTheme="minorHAnsi"/>
          <w:sz w:val="16"/>
          <w:highlight w:val="cyan"/>
        </w:rPr>
        <w:t xml:space="preserve"> </w:t>
      </w:r>
      <w:r w:rsidRPr="006E214E">
        <w:rPr>
          <w:rFonts w:asciiTheme="minorHAnsi" w:hAnsiTheme="minorHAnsi"/>
          <w:sz w:val="16"/>
        </w:rPr>
        <w:t xml:space="preserve">rather, </w:t>
      </w:r>
      <w:r w:rsidRPr="006E214E">
        <w:rPr>
          <w:rStyle w:val="StyleUnderline"/>
          <w:rFonts w:asciiTheme="minorHAnsi" w:hAnsiTheme="minorHAnsi"/>
        </w:rPr>
        <w:t>first and foremost,</w:t>
      </w:r>
      <w:r w:rsidRPr="006E214E">
        <w:rPr>
          <w:rFonts w:asciiTheme="minorHAnsi" w:hAnsiTheme="minorHAnsi"/>
          <w:sz w:val="16"/>
        </w:rPr>
        <w:t xml:space="preserve"> premised on </w:t>
      </w:r>
      <w:r w:rsidRPr="008E5B64">
        <w:rPr>
          <w:rStyle w:val="StyleUnderline"/>
          <w:rFonts w:asciiTheme="minorHAnsi" w:hAnsiTheme="minorHAnsi"/>
          <w:highlight w:val="cyan"/>
        </w:rPr>
        <w:t>the annihilation of tribalism</w:t>
      </w:r>
      <w:r w:rsidRPr="006E214E">
        <w:rPr>
          <w:rFonts w:asciiTheme="minorHAnsi" w:hAnsiTheme="minorHAnsi"/>
          <w:sz w:val="16"/>
        </w:rPr>
        <w:t xml:space="preserve">. </w:t>
      </w:r>
      <w:r w:rsidRPr="006E214E">
        <w:rPr>
          <w:rStyle w:val="StyleUnderline"/>
          <w:rFonts w:asciiTheme="minorHAnsi" w:hAnsiTheme="minorHAnsi"/>
        </w:rPr>
        <w:t xml:space="preserve">The </w:t>
      </w:r>
      <w:r w:rsidRPr="008E5B64">
        <w:rPr>
          <w:rStyle w:val="StyleUnderline"/>
          <w:rFonts w:asciiTheme="minorHAnsi" w:hAnsiTheme="minorHAnsi"/>
          <w:highlight w:val="cyan"/>
        </w:rPr>
        <w:t>privileging</w:t>
      </w:r>
      <w:r w:rsidRPr="006E214E">
        <w:rPr>
          <w:rFonts w:asciiTheme="minorHAnsi" w:hAnsiTheme="minorHAnsi"/>
          <w:sz w:val="16"/>
        </w:rPr>
        <w:t xml:space="preserve"> and distinguishing </w:t>
      </w:r>
      <w:r w:rsidRPr="006E214E">
        <w:rPr>
          <w:rStyle w:val="StyleUnderline"/>
          <w:rFonts w:asciiTheme="minorHAnsi" w:hAnsiTheme="minorHAnsi"/>
        </w:rPr>
        <w:t>of "</w:t>
      </w:r>
      <w:r w:rsidRPr="008E5B64">
        <w:rPr>
          <w:rStyle w:val="StyleUnderline"/>
          <w:rFonts w:asciiTheme="minorHAnsi" w:hAnsiTheme="minorHAnsi"/>
          <w:highlight w:val="cyan"/>
        </w:rPr>
        <w:t>class struggle</w:t>
      </w:r>
      <w:r w:rsidRPr="006E214E">
        <w:rPr>
          <w:rFonts w:asciiTheme="minorHAnsi" w:hAnsiTheme="minorHAnsi"/>
          <w:sz w:val="16"/>
        </w:rPr>
        <w:t xml:space="preserve">" and concomitant assertion </w:t>
      </w:r>
      <w:r w:rsidRPr="008E5B64">
        <w:rPr>
          <w:rStyle w:val="StyleUnderline"/>
          <w:rFonts w:asciiTheme="minorHAnsi" w:hAnsiTheme="minorHAnsi"/>
          <w:highlight w:val="cyan"/>
        </w:rPr>
        <w:t xml:space="preserve">of capitalism </w:t>
      </w:r>
      <w:r w:rsidRPr="006E214E">
        <w:rPr>
          <w:rStyle w:val="StyleUnderline"/>
          <w:rFonts w:asciiTheme="minorHAnsi" w:hAnsiTheme="minorHAnsi"/>
        </w:rPr>
        <w:t xml:space="preserve">as the totality </w:t>
      </w:r>
      <w:r w:rsidRPr="008E5B64">
        <w:rPr>
          <w:rStyle w:val="StyleUnderline"/>
          <w:rFonts w:asciiTheme="minorHAnsi" w:hAnsiTheme="minorHAnsi"/>
          <w:highlight w:val="cyan"/>
        </w:rPr>
        <w:t>underestimates the</w:t>
      </w:r>
      <w:r w:rsidRPr="006E214E">
        <w:rPr>
          <w:rStyle w:val="StyleUnderline"/>
          <w:rFonts w:asciiTheme="minorHAnsi" w:hAnsiTheme="minorHAnsi"/>
        </w:rPr>
        <w:t xml:space="preserve"> overarching </w:t>
      </w:r>
      <w:r w:rsidRPr="008E5B64">
        <w:rPr>
          <w:rStyle w:val="StyleUnderline"/>
          <w:rFonts w:asciiTheme="minorHAnsi" w:hAnsiTheme="minorHAnsi"/>
          <w:highlight w:val="cyan"/>
        </w:rPr>
        <w:t xml:space="preserve">nature of decolonization </w:t>
      </w:r>
      <w:r w:rsidRPr="006E214E">
        <w:rPr>
          <w:rStyle w:val="StyleUnderline"/>
          <w:rFonts w:asciiTheme="minorHAnsi" w:hAnsiTheme="minorHAnsi"/>
        </w:rPr>
        <w:t>- a totality that places capitalism, patriarchy, white supremacy, and Western Christianity in radical contingency</w:t>
      </w:r>
      <w:r w:rsidRPr="008E5B64">
        <w:rPr>
          <w:rStyle w:val="StyleUnderline"/>
          <w:rFonts w:asciiTheme="minorHAnsi" w:hAnsiTheme="minorHAnsi"/>
          <w:highlight w:val="cyan"/>
        </w:rPr>
        <w:t xml:space="preserve">. This </w:t>
      </w:r>
      <w:r w:rsidRPr="006E214E">
        <w:rPr>
          <w:rStyle w:val="StyleUnderline"/>
          <w:rFonts w:asciiTheme="minorHAnsi" w:hAnsiTheme="minorHAnsi"/>
        </w:rPr>
        <w:t xml:space="preserve">tension alone </w:t>
      </w:r>
      <w:r w:rsidRPr="008E5B64">
        <w:rPr>
          <w:rStyle w:val="StyleUnderline"/>
          <w:rFonts w:asciiTheme="minorHAnsi" w:hAnsiTheme="minorHAnsi"/>
          <w:highlight w:val="cyan"/>
        </w:rPr>
        <w:t xml:space="preserve">necessitates an indigenous reenvisioning of the precepts of revolutionary theory, bringing them into </w:t>
      </w:r>
      <w:r w:rsidRPr="006E214E">
        <w:rPr>
          <w:rStyle w:val="StyleUnderline"/>
          <w:rFonts w:asciiTheme="minorHAnsi" w:hAnsiTheme="minorHAnsi"/>
        </w:rPr>
        <w:t xml:space="preserve">alignment with the </w:t>
      </w:r>
      <w:r w:rsidRPr="008E5B64">
        <w:rPr>
          <w:rStyle w:val="StyleUnderline"/>
          <w:rFonts w:asciiTheme="minorHAnsi" w:hAnsiTheme="minorHAnsi"/>
          <w:highlight w:val="cyan"/>
        </w:rPr>
        <w:t>realities of indigenous struggle</w:t>
      </w:r>
      <w:r w:rsidRPr="006E214E">
        <w:rPr>
          <w:rStyle w:val="StyleUnderline"/>
          <w:rFonts w:asciiTheme="minorHAnsi" w:hAnsiTheme="minorHAnsi"/>
        </w:rPr>
        <w:t>.</w:t>
      </w:r>
    </w:p>
    <w:p w14:paraId="2DDEAE97" w14:textId="77777777" w:rsidR="008D1AF4" w:rsidRPr="00034FBC" w:rsidRDefault="008D1AF4" w:rsidP="008D1AF4"/>
    <w:p w14:paraId="52DC9C5A" w14:textId="77777777" w:rsidR="008D1AF4" w:rsidRPr="00267336" w:rsidRDefault="008D1AF4" w:rsidP="008D1AF4">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74670172" w14:textId="77777777" w:rsidR="008D1AF4" w:rsidRDefault="008D1AF4" w:rsidP="008D1AF4">
      <w:r w:rsidRPr="00B363F2">
        <w:rPr>
          <w:rStyle w:val="Style13ptBold"/>
        </w:rPr>
        <w:t>Collins 23</w:t>
      </w:r>
      <w:r>
        <w:t xml:space="preserve"> (Bennett Joseph Collins – Phd Candidate at the University of St. Andrews, “Moralising dispossession : tracing ethnogeographies of settler colonial environmental governance in the United States,” 6-13-23, https://doi.org/10.17630/sta/443) //Bosley</w:t>
      </w:r>
    </w:p>
    <w:p w14:paraId="2EAF655B" w14:textId="77777777" w:rsidR="008D1AF4" w:rsidRPr="00267336" w:rsidRDefault="008D1AF4" w:rsidP="008D1AF4">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8E5B64">
        <w:rPr>
          <w:rStyle w:val="StyleUnderline"/>
          <w:highlight w:val="cyan"/>
        </w:rPr>
        <w:t>Slow violence is ‘</w:t>
      </w:r>
      <w:r w:rsidRPr="008E5B64">
        <w:rPr>
          <w:rStyle w:val="Emphasis"/>
          <w:highlight w:val="cyan"/>
        </w:rPr>
        <w:t>neither spectacular nor instantaneous</w:t>
      </w:r>
      <w:r w:rsidRPr="00267336">
        <w:rPr>
          <w:sz w:val="14"/>
        </w:rPr>
        <w:t xml:space="preserve"> </w:t>
      </w:r>
      <w:r w:rsidRPr="008E5B64">
        <w:rPr>
          <w:rStyle w:val="StyleUnderline"/>
          <w:highlight w:val="cyan"/>
        </w:rPr>
        <w:t>but</w:t>
      </w:r>
      <w:r w:rsidRPr="00C97F9B">
        <w:rPr>
          <w:rStyle w:val="StyleUnderline"/>
        </w:rPr>
        <w:t xml:space="preserve"> rather incremental and </w:t>
      </w:r>
      <w:r w:rsidRPr="008E5B64">
        <w:rPr>
          <w:rStyle w:val="StyleUnderline"/>
          <w:highlight w:val="cyan"/>
        </w:rPr>
        <w:t>accretive</w:t>
      </w:r>
      <w:r w:rsidRPr="00267336">
        <w:rPr>
          <w:sz w:val="14"/>
        </w:rPr>
        <w:t xml:space="preserve">, its calamitous repercussions </w:t>
      </w:r>
      <w:r w:rsidRPr="00C97F9B">
        <w:rPr>
          <w:rStyle w:val="StyleUnderline"/>
        </w:rPr>
        <w:t xml:space="preserve">playing out </w:t>
      </w:r>
      <w:r w:rsidRPr="008E5B64">
        <w:rPr>
          <w:rStyle w:val="StyleUnderline"/>
          <w:highlight w:val="cyan"/>
        </w:rPr>
        <w:t>across</w:t>
      </w:r>
      <w:r w:rsidRPr="00C97F9B">
        <w:rPr>
          <w:rStyle w:val="StyleUnderline"/>
        </w:rPr>
        <w:t xml:space="preserve"> a range of </w:t>
      </w:r>
      <w:r w:rsidRPr="008E5B64">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8E5B64">
        <w:rPr>
          <w:rStyle w:val="StyleUnderline"/>
          <w:highlight w:val="cyan"/>
        </w:rPr>
        <w:t>typically</w:t>
      </w:r>
      <w:r w:rsidRPr="008E5B64">
        <w:rPr>
          <w:sz w:val="14"/>
          <w:highlight w:val="cyan"/>
        </w:rPr>
        <w:t xml:space="preserve"> </w:t>
      </w:r>
      <w:r w:rsidRPr="008E5B64">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8E5B64">
        <w:rPr>
          <w:rStyle w:val="StyleUnderline"/>
          <w:highlight w:val="cyan"/>
        </w:rPr>
        <w:t>Compared to</w:t>
      </w:r>
      <w:r w:rsidRPr="00267336">
        <w:rPr>
          <w:sz w:val="14"/>
        </w:rPr>
        <w:t xml:space="preserve"> Galtung’s well-cited concept of ‘</w:t>
      </w:r>
      <w:r w:rsidRPr="008E5B64">
        <w:rPr>
          <w:rStyle w:val="Emphasis"/>
          <w:highlight w:val="cyan"/>
        </w:rPr>
        <w:t>structural violence’</w:t>
      </w:r>
      <w:r w:rsidRPr="00267336">
        <w:rPr>
          <w:sz w:val="14"/>
        </w:rPr>
        <w:t xml:space="preserve"> (1969), </w:t>
      </w:r>
      <w:r w:rsidRPr="008E5B64">
        <w:rPr>
          <w:rStyle w:val="StyleUnderline"/>
          <w:highlight w:val="cyan"/>
        </w:rPr>
        <w:t>slow violence</w:t>
      </w:r>
      <w:r w:rsidRPr="00267336">
        <w:rPr>
          <w:sz w:val="14"/>
        </w:rPr>
        <w:t xml:space="preserve">, according to Nixon, </w:t>
      </w:r>
      <w:r w:rsidRPr="008E5B64">
        <w:rPr>
          <w:rStyle w:val="StyleUnderline"/>
          <w:highlight w:val="cyan"/>
        </w:rPr>
        <w:t xml:space="preserve">is </w:t>
      </w:r>
      <w:r w:rsidRPr="008E5B64">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disasters are ‘long dyings’ and ‘mass forms of slow motion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8E5B64">
        <w:rPr>
          <w:rStyle w:val="StyleUnderline"/>
          <w:highlight w:val="cyan"/>
        </w:rPr>
        <w:t>Slow violence</w:t>
      </w:r>
      <w:r w:rsidRPr="00C97F9B">
        <w:rPr>
          <w:rStyle w:val="StyleUnderline"/>
        </w:rPr>
        <w:t xml:space="preserve"> reveals its insidious nature as it </w:t>
      </w:r>
      <w:r w:rsidRPr="008E5B64">
        <w:rPr>
          <w:rStyle w:val="Emphasis"/>
          <w:highlight w:val="cyan"/>
        </w:rPr>
        <w:t xml:space="preserve">requires a ‘rethinking’ </w:t>
      </w:r>
      <w:r w:rsidRPr="008E5B64">
        <w:rPr>
          <w:rStyle w:val="StyleUnderline"/>
          <w:highlight w:val="cyan"/>
        </w:rPr>
        <w:t>around ‘</w:t>
      </w:r>
      <w:r w:rsidRPr="008E5B64">
        <w:rPr>
          <w:rStyle w:val="Emphasis"/>
          <w:highlight w:val="cyan"/>
        </w:rPr>
        <w:t>conventional assumptions about violence as a</w:t>
      </w:r>
      <w:r w:rsidRPr="00C97F9B">
        <w:rPr>
          <w:rStyle w:val="Emphasis"/>
        </w:rPr>
        <w:t xml:space="preserve"> highly </w:t>
      </w:r>
      <w:r w:rsidRPr="008E5B64">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8E5B64">
        <w:rPr>
          <w:rStyle w:val="StyleUnderline"/>
          <w:highlight w:val="cyan"/>
        </w:rPr>
        <w:t xml:space="preserve">a </w:t>
      </w:r>
      <w:r w:rsidRPr="008E5B64">
        <w:rPr>
          <w:rStyle w:val="Emphasis"/>
          <w:highlight w:val="cyan"/>
        </w:rPr>
        <w:t>major threat multiplier</w:t>
      </w:r>
      <w:r w:rsidRPr="00267336">
        <w:rPr>
          <w:sz w:val="14"/>
        </w:rPr>
        <w:t xml:space="preserve">. </w:t>
      </w:r>
      <w:r w:rsidRPr="008E5B64">
        <w:rPr>
          <w:rStyle w:val="StyleUnderline"/>
          <w:highlight w:val="cyan"/>
        </w:rPr>
        <w:t>It can fuel</w:t>
      </w:r>
      <w:r w:rsidRPr="008E5B64">
        <w:rPr>
          <w:sz w:val="14"/>
          <w:highlight w:val="cyan"/>
        </w:rPr>
        <w:t xml:space="preserve"> </w:t>
      </w:r>
      <w:r w:rsidRPr="008E5B64">
        <w:rPr>
          <w:rStyle w:val="Emphasis"/>
          <w:highlight w:val="cyan"/>
        </w:rPr>
        <w:t>long term proliferating conflicts</w:t>
      </w:r>
      <w:r w:rsidRPr="00267336">
        <w:rPr>
          <w:sz w:val="14"/>
        </w:rPr>
        <w:t xml:space="preserve"> in situations </w:t>
      </w:r>
      <w:r w:rsidRPr="008E5B64">
        <w:rPr>
          <w:rStyle w:val="StyleUnderline"/>
          <w:highlight w:val="cyan"/>
        </w:rPr>
        <w:t xml:space="preserve">where the </w:t>
      </w:r>
      <w:r w:rsidRPr="008E5B64">
        <w:rPr>
          <w:rStyle w:val="Emphasis"/>
          <w:highlight w:val="cyan"/>
        </w:rPr>
        <w:t>conditions for sustaining life</w:t>
      </w:r>
      <w:r w:rsidRPr="008E5B64">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8E5B64">
        <w:rPr>
          <w:rStyle w:val="Emphasis"/>
          <w:highlight w:val="cyan"/>
        </w:rPr>
        <w:t>degraded</w:t>
      </w:r>
      <w:r w:rsidRPr="00267336">
        <w:rPr>
          <w:sz w:val="14"/>
        </w:rPr>
        <w:t>.</w:t>
      </w:r>
    </w:p>
    <w:p w14:paraId="19D0201D" w14:textId="77777777" w:rsidR="008D1AF4" w:rsidRPr="00267336" w:rsidRDefault="008D1AF4" w:rsidP="008D1AF4">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realised.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perpetrated by the settler-colonial state, private industry, and settlercolonial culture as a whole'</w:t>
      </w:r>
      <w:r w:rsidRPr="00267336">
        <w:rPr>
          <w:sz w:val="14"/>
        </w:rPr>
        <w:t xml:space="preserve">. They offer the wilful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8E5B64">
        <w:rPr>
          <w:rStyle w:val="StyleUnderline"/>
          <w:highlight w:val="cyan"/>
        </w:rPr>
        <w:t>the ‘</w:t>
      </w:r>
      <w:r w:rsidRPr="008E5B64">
        <w:rPr>
          <w:rStyle w:val="Emphasis"/>
          <w:highlight w:val="cyan"/>
        </w:rPr>
        <w:t>cumulative emotional and psychological wounding</w:t>
      </w:r>
      <w:r w:rsidRPr="00267336">
        <w:rPr>
          <w:sz w:val="14"/>
        </w:rPr>
        <w:t xml:space="preserve">, over the lifespan and </w:t>
      </w:r>
      <w:r w:rsidRPr="008E5B64">
        <w:rPr>
          <w:rStyle w:val="Emphasis"/>
          <w:highlight w:val="cyan"/>
        </w:rPr>
        <w:t>across generations</w:t>
      </w:r>
      <w:r w:rsidRPr="008E5B64">
        <w:rPr>
          <w:sz w:val="14"/>
          <w:highlight w:val="cyan"/>
        </w:rPr>
        <w:t xml:space="preserve">, </w:t>
      </w:r>
      <w:r w:rsidRPr="008E5B64">
        <w:rPr>
          <w:rStyle w:val="StyleUnderline"/>
          <w:highlight w:val="cyan"/>
        </w:rPr>
        <w:t>emanating from</w:t>
      </w:r>
      <w:r w:rsidRPr="00267336">
        <w:rPr>
          <w:rStyle w:val="StyleUnderline"/>
        </w:rPr>
        <w:t xml:space="preserve"> massive group trauma</w:t>
      </w:r>
      <w:r w:rsidRPr="00267336">
        <w:rPr>
          <w:sz w:val="14"/>
        </w:rPr>
        <w:t xml:space="preserve"> experiences’. Within historical trauma, Brave Heart draws parallels between high mortality rates, substance abuse issues, emotional and spiritual trauma and their </w:t>
      </w:r>
      <w:r w:rsidRPr="00267336">
        <w:rPr>
          <w:rStyle w:val="StyleUnderline"/>
        </w:rPr>
        <w:t xml:space="preserve">connection to </w:t>
      </w:r>
      <w:r w:rsidRPr="008E5B64">
        <w:rPr>
          <w:rStyle w:val="Emphasis"/>
          <w:highlight w:val="cyan"/>
        </w:rPr>
        <w:t>centuries of colonisation and</w:t>
      </w:r>
      <w:r w:rsidRPr="00267336">
        <w:rPr>
          <w:rStyle w:val="Emphasis"/>
        </w:rPr>
        <w:t xml:space="preserve"> waged </w:t>
      </w:r>
      <w:r w:rsidRPr="008E5B64">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8E5B64">
        <w:rPr>
          <w:rStyle w:val="StyleUnderline"/>
          <w:highlight w:val="cyan"/>
        </w:rPr>
        <w:t>violence</w:t>
      </w:r>
      <w:r w:rsidRPr="00267336">
        <w:rPr>
          <w:rStyle w:val="StyleUnderline"/>
        </w:rPr>
        <w:t xml:space="preserve"> waged </w:t>
      </w:r>
      <w:r w:rsidRPr="008E5B64">
        <w:rPr>
          <w:rStyle w:val="StyleUnderline"/>
          <w:highlight w:val="cyan"/>
        </w:rPr>
        <w:t xml:space="preserve">against Indigenous peoples has </w:t>
      </w:r>
      <w:r w:rsidRPr="008E5B64">
        <w:rPr>
          <w:rStyle w:val="Emphasis"/>
          <w:highlight w:val="cyan"/>
        </w:rPr>
        <w:t>become normalised</w:t>
      </w:r>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criminalisation, harassment, murder, as well as sexual assault and rape’ (Penados et al 2022: 8). Indeed, </w:t>
      </w:r>
      <w:r w:rsidRPr="00267336">
        <w:rPr>
          <w:rStyle w:val="StyleUnderline"/>
        </w:rPr>
        <w:t xml:space="preserve">slow violence has been justified against many populations in the United States </w:t>
      </w:r>
      <w:r w:rsidRPr="008E5B64">
        <w:rPr>
          <w:rStyle w:val="StyleUnderline"/>
          <w:highlight w:val="cyan"/>
        </w:rPr>
        <w:t>under a</w:t>
      </w:r>
      <w:r w:rsidRPr="00267336">
        <w:rPr>
          <w:rStyle w:val="StyleUnderline"/>
        </w:rPr>
        <w:t xml:space="preserve"> normalised, and inevitable, </w:t>
      </w:r>
      <w:r w:rsidRPr="008E5B64">
        <w:rPr>
          <w:rStyle w:val="StyleUnderline"/>
          <w:highlight w:val="cyan"/>
        </w:rPr>
        <w:t>guise of</w:t>
      </w:r>
      <w:r w:rsidRPr="008E5B64">
        <w:rPr>
          <w:sz w:val="14"/>
          <w:highlight w:val="cyan"/>
        </w:rPr>
        <w:t xml:space="preserve"> </w:t>
      </w:r>
      <w:r w:rsidRPr="008E5B64">
        <w:rPr>
          <w:rStyle w:val="Emphasis"/>
          <w:highlight w:val="cyan"/>
        </w:rPr>
        <w:t>national development.</w:t>
      </w:r>
    </w:p>
    <w:p w14:paraId="606CBA05" w14:textId="77777777" w:rsidR="008D1AF4" w:rsidRPr="00267336" w:rsidRDefault="008D1AF4" w:rsidP="008D1AF4">
      <w:pPr>
        <w:rPr>
          <w:sz w:val="14"/>
        </w:rPr>
      </w:pPr>
      <w:r w:rsidRPr="00267336">
        <w:rPr>
          <w:sz w:val="14"/>
        </w:rPr>
        <w:t xml:space="preserve">Displacement and containment have catalysed their own forms of slow violence over the course of rendering Indigenous peoples as physically and imaginatively immobile. What is more, the invisibility that is administered through settler colonial governance permits the effect of colonial ecological violence and historical </w:t>
      </w:r>
      <w:r w:rsidRPr="00267336">
        <w:rPr>
          <w:sz w:val="14"/>
        </w:rPr>
        <w:lastRenderedPageBreak/>
        <w:t>trauma. As will be discussed more in depth in Chapter Four, Nixon uses the example of the megadam to describe how development projects found within settler colonial environmental governance result in peoples being ‘severed from environments that have provided ancestral sustenance’ and are ‘stranded not just in place but in time as well’: a megadam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46294894" w14:textId="77777777" w:rsidR="008D1AF4" w:rsidRDefault="008D1AF4" w:rsidP="008D1AF4">
      <w:pPr>
        <w:rPr>
          <w:rStyle w:val="Emphasis"/>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8E5B64">
        <w:rPr>
          <w:rStyle w:val="StyleUnderline"/>
          <w:highlight w:val="cyan"/>
        </w:rPr>
        <w:t xml:space="preserve">reflecting the </w:t>
      </w:r>
      <w:r w:rsidRPr="008E5B64">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(Mbembé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8E5B64">
        <w:rPr>
          <w:rStyle w:val="StyleUnderline"/>
          <w:highlight w:val="cyan"/>
        </w:rPr>
        <w:t xml:space="preserve">through the </w:t>
      </w:r>
      <w:r w:rsidRPr="008E5B64">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8E5B64">
        <w:rPr>
          <w:rStyle w:val="StyleUnderline"/>
          <w:highlight w:val="cyan"/>
        </w:rPr>
        <w:t>to conserve bodies for</w:t>
      </w:r>
      <w:r w:rsidRPr="00267336">
        <w:rPr>
          <w:rStyle w:val="StyleUnderline"/>
        </w:rPr>
        <w:t xml:space="preserve"> the purposes of </w:t>
      </w:r>
      <w:r w:rsidRPr="008E5B64">
        <w:rPr>
          <w:rStyle w:val="StyleUnderline"/>
          <w:highlight w:val="cyan"/>
        </w:rPr>
        <w:t>national progress, such</w:t>
      </w:r>
      <w:r w:rsidRPr="00267336">
        <w:rPr>
          <w:rStyle w:val="StyleUnderline"/>
        </w:rPr>
        <w:t xml:space="preserve"> as in the forms of </w:t>
      </w:r>
      <w:r w:rsidRPr="008E5B64">
        <w:rPr>
          <w:rStyle w:val="Emphasis"/>
          <w:highlight w:val="cyan"/>
        </w:rPr>
        <w:t>labour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centralisation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neutralise resistance through punishment and isolation. The Dawes Act (1887) offers another example of displacement and containment under the Liberal framework of rights whereby Native communities living on tribal land trusts were forcibly split apart into individualized parcelled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38D22BC9" w14:textId="77777777" w:rsidR="008D1AF4" w:rsidRDefault="008D1AF4" w:rsidP="008D1AF4">
      <w:pPr>
        <w:pStyle w:val="Heading4"/>
      </w:pPr>
      <w:r>
        <w:t>The alternative is a refusal of the affirmative.</w:t>
      </w:r>
    </w:p>
    <w:p w14:paraId="71E68593" w14:textId="77777777" w:rsidR="008D1AF4" w:rsidRDefault="008D1AF4" w:rsidP="008D1AF4">
      <w:pPr>
        <w:spacing w:line="256" w:lineRule="auto"/>
        <w:rPr>
          <w:rFonts w:eastAsia="Calibri"/>
          <w:sz w:val="20"/>
          <w:szCs w:val="20"/>
        </w:rPr>
      </w:pPr>
      <w:r>
        <w:rPr>
          <w:rFonts w:eastAsia="Calibri"/>
          <w:b/>
          <w:bCs/>
          <w:sz w:val="24"/>
          <w:szCs w:val="24"/>
        </w:rPr>
        <w:t>Grande 18</w:t>
      </w:r>
      <w:r>
        <w:rPr>
          <w:rFonts w:eastAsia="Calibri"/>
          <w:sz w:val="16"/>
          <w:szCs w:val="16"/>
        </w:rPr>
        <w:t xml:space="preserve"> </w:t>
      </w:r>
      <w:r>
        <w:rPr>
          <w:rFonts w:eastAsia="Calibri"/>
          <w:sz w:val="20"/>
          <w:szCs w:val="20"/>
        </w:rPr>
        <w:t xml:space="preserve">(Sandy Grande; 2018; Routledge Publishing; </w:t>
      </w:r>
      <w:r>
        <w:rPr>
          <w:rFonts w:eastAsia="Calibri"/>
          <w:i/>
          <w:iCs/>
          <w:sz w:val="20"/>
          <w:szCs w:val="20"/>
        </w:rPr>
        <w:t>“Refusing the University,”</w:t>
      </w:r>
      <w:r>
        <w:rPr>
          <w:rFonts w:eastAsia="Calibri"/>
          <w:sz w:val="20"/>
          <w:szCs w:val="20"/>
        </w:rPr>
        <w:t xml:space="preserve"> a chapter in the series of essays </w:t>
      </w:r>
      <w:r>
        <w:rPr>
          <w:rFonts w:eastAsia="Calibri"/>
          <w:i/>
          <w:iCs/>
          <w:sz w:val="20"/>
          <w:szCs w:val="20"/>
        </w:rPr>
        <w:t>“Toward What Justice?: Describing Diverse Dreams of Justice in Education”</w:t>
      </w:r>
      <w:r>
        <w:rPr>
          <w:rFonts w:eastAsia="Calibri"/>
          <w:sz w:val="20"/>
          <w:szCs w:val="20"/>
        </w:rPr>
        <w:t xml:space="preserve">; accessed 12/22/21; ask me for the pdf; Sandy Grande is associate professor and Chair of the Education Department at Connecticut College. Her research interfaces critical Indigenous theories with the concerns of education; 58-62) </w:t>
      </w:r>
    </w:p>
    <w:p w14:paraId="339F4426" w14:textId="77777777" w:rsidR="008D1AF4" w:rsidRDefault="008D1AF4" w:rsidP="008D1AF4">
      <w:pPr>
        <w:spacing w:line="256" w:lineRule="auto"/>
        <w:rPr>
          <w:rFonts w:eastAsia="Calibri"/>
          <w:sz w:val="24"/>
          <w:szCs w:val="24"/>
        </w:rPr>
      </w:pPr>
      <w:r>
        <w:rPr>
          <w:rFonts w:eastAsia="Calibri"/>
          <w:sz w:val="24"/>
          <w:szCs w:val="24"/>
        </w:rPr>
        <w:t xml:space="preserve">Taking into account the power relations of both capitalism and white supremacy, </w:t>
      </w:r>
      <w:r>
        <w:rPr>
          <w:rFonts w:eastAsia="Calibri"/>
          <w:sz w:val="24"/>
          <w:szCs w:val="24"/>
          <w:u w:val="single"/>
        </w:rPr>
        <w:t xml:space="preserve">Indigenous scholars posit </w:t>
      </w:r>
      <w:r w:rsidRPr="008E5B64">
        <w:rPr>
          <w:rFonts w:eastAsia="Calibri"/>
          <w:sz w:val="24"/>
          <w:szCs w:val="24"/>
          <w:highlight w:val="cyan"/>
          <w:u w:val="single"/>
        </w:rPr>
        <w:t>refusal</w:t>
      </w:r>
      <w:r>
        <w:rPr>
          <w:rFonts w:eastAsia="Calibri"/>
          <w:sz w:val="24"/>
          <w:szCs w:val="24"/>
          <w:u w:val="single"/>
        </w:rPr>
        <w:t xml:space="preserve"> as a positive stance that </w:t>
      </w:r>
      <w:r w:rsidRPr="008E5B64">
        <w:rPr>
          <w:rFonts w:eastAsia="Calibri"/>
          <w:sz w:val="24"/>
          <w:szCs w:val="24"/>
          <w:highlight w:val="cyan"/>
          <w:u w:val="single"/>
        </w:rPr>
        <w:t>is</w:t>
      </w:r>
      <w:r>
        <w:rPr>
          <w:rFonts w:eastAsia="Calibri"/>
          <w:sz w:val="24"/>
          <w:szCs w:val="24"/>
        </w:rPr>
        <w:t xml:space="preserve">: less oriented around attaining an affirmative form of recognition… and more </w:t>
      </w:r>
      <w:r>
        <w:rPr>
          <w:rFonts w:eastAsia="Calibri"/>
          <w:sz w:val="24"/>
          <w:szCs w:val="24"/>
          <w:u w:val="single"/>
        </w:rPr>
        <w:t xml:space="preserve">about critically revaluating, </w:t>
      </w:r>
      <w:r w:rsidRPr="008E5B64">
        <w:rPr>
          <w:rFonts w:eastAsia="Calibri"/>
          <w:sz w:val="24"/>
          <w:szCs w:val="24"/>
          <w:highlight w:val="cyan"/>
          <w:u w:val="single"/>
        </w:rPr>
        <w:t>reconstructing and redeploying</w:t>
      </w:r>
      <w:r w:rsidRPr="008E5B64">
        <w:rPr>
          <w:rFonts w:eastAsia="Calibri"/>
          <w:b/>
          <w:bCs/>
          <w:sz w:val="24"/>
          <w:szCs w:val="24"/>
          <w:highlight w:val="cyan"/>
          <w:u w:val="single"/>
        </w:rPr>
        <w:t xml:space="preserve"> culture and tradition</w:t>
      </w:r>
      <w:r>
        <w:rPr>
          <w:rFonts w:eastAsia="Calibri"/>
          <w:sz w:val="24"/>
          <w:szCs w:val="24"/>
          <w:u w:val="single"/>
        </w:rPr>
        <w:t xml:space="preserve"> in ways that seek </w:t>
      </w:r>
      <w:r w:rsidRPr="008E5B64">
        <w:rPr>
          <w:rFonts w:eastAsia="Calibri"/>
          <w:sz w:val="24"/>
          <w:szCs w:val="24"/>
          <w:highlight w:val="cyan"/>
          <w:u w:val="single"/>
        </w:rPr>
        <w:t>to prefigure</w:t>
      </w:r>
      <w:r>
        <w:rPr>
          <w:rFonts w:eastAsia="Calibri"/>
          <w:sz w:val="24"/>
          <w:szCs w:val="24"/>
          <w:u w:val="single"/>
        </w:rPr>
        <w:t xml:space="preserve">… </w:t>
      </w:r>
      <w:r w:rsidRPr="008E5B64">
        <w:rPr>
          <w:rFonts w:eastAsia="Calibri"/>
          <w:sz w:val="24"/>
          <w:szCs w:val="24"/>
          <w:highlight w:val="cyan"/>
          <w:u w:val="single"/>
        </w:rPr>
        <w:t>a radical alternative</w:t>
      </w:r>
      <w:r>
        <w:rPr>
          <w:rFonts w:eastAsia="Calibri"/>
          <w:sz w:val="24"/>
          <w:szCs w:val="24"/>
          <w:u w:val="single"/>
        </w:rPr>
        <w:t xml:space="preserve"> to the structural and psycho-affective facets of colonial domination</w:t>
      </w:r>
      <w:r>
        <w:rPr>
          <w:rFonts w:eastAsia="Calibri"/>
          <w:sz w:val="24"/>
          <w:szCs w:val="24"/>
        </w:rPr>
        <w:t xml:space="preserve">. (Coulthard, 2007, p. 456) In this way, Indigenous </w:t>
      </w:r>
      <w:r w:rsidRPr="008E5B64">
        <w:rPr>
          <w:rFonts w:eastAsia="Calibri"/>
          <w:sz w:val="24"/>
          <w:szCs w:val="24"/>
          <w:highlight w:val="cyan"/>
          <w:u w:val="single"/>
        </w:rPr>
        <w:t>refusal</w:t>
      </w:r>
      <w:r>
        <w:rPr>
          <w:rFonts w:eastAsia="Calibri"/>
          <w:sz w:val="24"/>
          <w:szCs w:val="24"/>
          <w:u w:val="single"/>
        </w:rPr>
        <w:t xml:space="preserve"> both negatively </w:t>
      </w:r>
      <w:r w:rsidRPr="008E5B64">
        <w:rPr>
          <w:rFonts w:eastAsia="Calibri"/>
          <w:b/>
          <w:bCs/>
          <w:sz w:val="24"/>
          <w:szCs w:val="24"/>
          <w:highlight w:val="cyan"/>
          <w:u w:val="single"/>
        </w:rPr>
        <w:t>rejects the (false) promise of inclusion</w:t>
      </w:r>
      <w:r>
        <w:rPr>
          <w:rFonts w:eastAsia="Calibri"/>
          <w:sz w:val="24"/>
          <w:szCs w:val="24"/>
          <w:u w:val="single"/>
        </w:rPr>
        <w:t xml:space="preserve"> and other inducements of the settler state </w:t>
      </w:r>
      <w:r w:rsidRPr="008E5B64">
        <w:rPr>
          <w:rFonts w:eastAsia="Calibri"/>
          <w:sz w:val="24"/>
          <w:szCs w:val="24"/>
          <w:highlight w:val="cyan"/>
          <w:u w:val="single"/>
        </w:rPr>
        <w:t>and</w:t>
      </w:r>
      <w:r>
        <w:rPr>
          <w:rFonts w:eastAsia="Calibri"/>
          <w:sz w:val="24"/>
          <w:szCs w:val="24"/>
          <w:u w:val="single"/>
        </w:rPr>
        <w:t xml:space="preserve"> positively </w:t>
      </w:r>
      <w:r w:rsidRPr="008E5B64">
        <w:rPr>
          <w:rFonts w:eastAsia="Calibri"/>
          <w:b/>
          <w:bCs/>
          <w:sz w:val="24"/>
          <w:szCs w:val="24"/>
          <w:highlight w:val="cyan"/>
          <w:u w:val="single"/>
        </w:rPr>
        <w:t>asserts Indigenous sovereignty</w:t>
      </w:r>
      <w:r>
        <w:rPr>
          <w:rFonts w:eastAsia="Calibri"/>
          <w:sz w:val="24"/>
          <w:szCs w:val="24"/>
          <w:u w:val="single"/>
        </w:rPr>
        <w:t xml:space="preserve"> and peoplehood</w:t>
      </w:r>
      <w:r>
        <w:rPr>
          <w:rFonts w:eastAsia="Calibri"/>
          <w:sz w:val="24"/>
          <w:szCs w:val="24"/>
        </w:rPr>
        <w:t xml:space="preserve">. In Mohawk Interruptus (2014), Audra Simpson theorizes refusal as distinct from resistance in that it does not take authority as a given. More specifically, at the heart of the text, she theorizes refusal at the “level of method and representation,” </w:t>
      </w:r>
      <w:r w:rsidRPr="008E5B64">
        <w:rPr>
          <w:rFonts w:eastAsia="Calibri"/>
          <w:sz w:val="24"/>
          <w:szCs w:val="24"/>
          <w:highlight w:val="cyan"/>
          <w:u w:val="single"/>
        </w:rPr>
        <w:t>exposing</w:t>
      </w:r>
      <w:r>
        <w:rPr>
          <w:rFonts w:eastAsia="Calibri"/>
          <w:sz w:val="24"/>
          <w:szCs w:val="24"/>
          <w:u w:val="single"/>
        </w:rPr>
        <w:t xml:space="preserve"> the </w:t>
      </w:r>
      <w:r w:rsidRPr="008E5B64">
        <w:rPr>
          <w:rFonts w:eastAsia="Calibri"/>
          <w:sz w:val="24"/>
          <w:szCs w:val="24"/>
          <w:highlight w:val="cyan"/>
          <w:u w:val="single"/>
        </w:rPr>
        <w:t>colonialist underpinnings</w:t>
      </w:r>
      <w:r>
        <w:rPr>
          <w:rFonts w:eastAsia="Calibri"/>
          <w:sz w:val="24"/>
          <w:szCs w:val="24"/>
          <w:u w:val="single"/>
        </w:rPr>
        <w:t xml:space="preserve"> of the “demand to know” as a settler logic</w:t>
      </w:r>
      <w:r>
        <w:rPr>
          <w:rFonts w:eastAsia="Calibri"/>
          <w:sz w:val="24"/>
          <w:szCs w:val="24"/>
        </w:rPr>
        <w:t xml:space="preserve">. In response, she develops the notion of ethnographic refusal as a stance or space for Indigenous subjects to limit access to what is knowable and to being known, articulating how </w:t>
      </w:r>
      <w:r w:rsidRPr="008E5B64">
        <w:rPr>
          <w:rFonts w:eastAsia="Calibri"/>
          <w:sz w:val="24"/>
          <w:szCs w:val="24"/>
          <w:highlight w:val="cyan"/>
          <w:u w:val="single"/>
        </w:rPr>
        <w:t>refusal works</w:t>
      </w:r>
      <w:r>
        <w:rPr>
          <w:rFonts w:eastAsia="Calibri"/>
          <w:sz w:val="24"/>
          <w:szCs w:val="24"/>
          <w:u w:val="single"/>
        </w:rPr>
        <w:t xml:space="preserve"> “in everyday encounters </w:t>
      </w:r>
      <w:r w:rsidRPr="008E5B64">
        <w:rPr>
          <w:rFonts w:eastAsia="Calibri"/>
          <w:sz w:val="24"/>
          <w:szCs w:val="24"/>
          <w:highlight w:val="cyan"/>
          <w:u w:val="single"/>
        </w:rPr>
        <w:t>to enunciate</w:t>
      </w:r>
      <w:r>
        <w:rPr>
          <w:rFonts w:eastAsia="Calibri"/>
          <w:sz w:val="24"/>
          <w:szCs w:val="24"/>
          <w:u w:val="single"/>
        </w:rPr>
        <w:t xml:space="preserve"> repeatedly to ourselves and to outsiders that ‘</w:t>
      </w:r>
      <w:r w:rsidRPr="008E5B64">
        <w:rPr>
          <w:rFonts w:eastAsia="Calibri"/>
          <w:b/>
          <w:bCs/>
          <w:sz w:val="24"/>
          <w:szCs w:val="24"/>
          <w:highlight w:val="cyan"/>
          <w:u w:val="single"/>
        </w:rPr>
        <w:t>this is who we are,</w:t>
      </w:r>
      <w:r>
        <w:rPr>
          <w:rFonts w:eastAsia="Calibri"/>
          <w:sz w:val="24"/>
          <w:szCs w:val="24"/>
          <w:u w:val="single"/>
        </w:rPr>
        <w:t xml:space="preserve"> this is </w:t>
      </w:r>
      <w:r w:rsidRPr="008E5B64">
        <w:rPr>
          <w:rFonts w:eastAsia="Calibri"/>
          <w:sz w:val="24"/>
          <w:szCs w:val="24"/>
          <w:highlight w:val="cyan"/>
          <w:u w:val="single"/>
        </w:rPr>
        <w:t>who you are</w:t>
      </w:r>
      <w:r w:rsidRPr="008E5B64">
        <w:rPr>
          <w:rFonts w:eastAsia="Calibri"/>
          <w:b/>
          <w:bCs/>
          <w:sz w:val="24"/>
          <w:szCs w:val="24"/>
          <w:highlight w:val="cyan"/>
          <w:u w:val="single"/>
        </w:rPr>
        <w:t>, these are my rights’</w:t>
      </w:r>
      <w:r w:rsidRPr="008E5B64">
        <w:rPr>
          <w:rFonts w:eastAsia="Calibri"/>
          <w:b/>
          <w:bCs/>
          <w:sz w:val="24"/>
          <w:szCs w:val="24"/>
          <w:highlight w:val="cyan"/>
        </w:rPr>
        <w:t xml:space="preserve">” </w:t>
      </w:r>
      <w:r>
        <w:rPr>
          <w:rFonts w:eastAsia="Calibri"/>
          <w:sz w:val="24"/>
          <w:szCs w:val="24"/>
        </w:rPr>
        <w:t xml:space="preserve">(Simpson, 2007, p. 73). Mignolo (2011) and Quijano (1991) similarly take up refusal in relation to knowledge formation, </w:t>
      </w:r>
      <w:r>
        <w:rPr>
          <w:rFonts w:eastAsia="Calibri"/>
          <w:sz w:val="24"/>
          <w:szCs w:val="24"/>
          <w:u w:val="single"/>
        </w:rPr>
        <w:t xml:space="preserve">asserting Indigenous knowledge itself as a form of refusal; a space of epistemic disobedience that is “delinked” from Western, liberal, capitalist understandings of </w:t>
      </w:r>
      <w:r>
        <w:rPr>
          <w:rFonts w:eastAsia="Calibri"/>
          <w:sz w:val="24"/>
          <w:szCs w:val="24"/>
          <w:u w:val="single"/>
        </w:rPr>
        <w:lastRenderedPageBreak/>
        <w:t>knowledge as production</w:t>
      </w:r>
      <w:r>
        <w:rPr>
          <w:rFonts w:eastAsia="Calibri"/>
          <w:sz w:val="24"/>
          <w:szCs w:val="24"/>
        </w:rPr>
        <w:t xml:space="preserve">. Gómez-Barris (2012) theorizes the Mapuche hunger strikes as “an extreme bodily performance and political instantiation” of refusal, an act wherein their starving bodies upon the land literally enact what it means to live in a state of permanent war (p. 120). </w:t>
      </w:r>
      <w:r>
        <w:rPr>
          <w:rFonts w:eastAsia="Calibri"/>
          <w:sz w:val="24"/>
          <w:szCs w:val="24"/>
          <w:u w:val="single"/>
        </w:rPr>
        <w:t xml:space="preserve">Understood </w:t>
      </w:r>
      <w:r w:rsidRPr="008E5B64">
        <w:rPr>
          <w:rFonts w:eastAsia="Calibri"/>
          <w:sz w:val="24"/>
          <w:szCs w:val="24"/>
          <w:highlight w:val="cyan"/>
          <w:u w:val="single"/>
        </w:rPr>
        <w:t>as expressions of sovereignty</w:t>
      </w:r>
      <w:r>
        <w:rPr>
          <w:rFonts w:eastAsia="Calibri"/>
          <w:sz w:val="24"/>
          <w:szCs w:val="24"/>
          <w:u w:val="single"/>
        </w:rPr>
        <w:t xml:space="preserve">, such acts of </w:t>
      </w:r>
      <w:r w:rsidRPr="008E5B64">
        <w:rPr>
          <w:rFonts w:eastAsia="Calibri"/>
          <w:sz w:val="24"/>
          <w:szCs w:val="24"/>
          <w:highlight w:val="cyan"/>
          <w:u w:val="single"/>
        </w:rPr>
        <w:t>refusal threaten the settler state</w:t>
      </w:r>
      <w:r>
        <w:rPr>
          <w:rFonts w:eastAsia="Calibri"/>
          <w:sz w:val="24"/>
          <w:szCs w:val="24"/>
        </w:rPr>
        <w:t xml:space="preserve">, carrying dire if not deadly consequences for Indigenous subjects. As noted by Ferguson (2015), “capitalist settler states prefer resistance” because it can be “negotiated or recognized,” but </w:t>
      </w:r>
      <w:r>
        <w:rPr>
          <w:rFonts w:eastAsia="Calibri"/>
          <w:sz w:val="24"/>
          <w:szCs w:val="24"/>
          <w:u w:val="single"/>
        </w:rPr>
        <w:t>refusal “throws into doubt” the entire system</w:t>
      </w:r>
      <w:r>
        <w:rPr>
          <w:rFonts w:eastAsia="Calibri"/>
          <w:sz w:val="24"/>
          <w:szCs w:val="24"/>
        </w:rPr>
        <w:t xml:space="preserve"> and is therefore more dangerous. While within the university the consequences of academic refusal are much less dire, they still carry a risk. To refuse inclusion offends institutional authorities offering “the gift” of belonging, creating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publishing in “mainstream” journals) can and does lead to increased marginalization, exploitation, and job loss.16 And, in a system where Indigenous scholars comprise less than 1% of the professorate, such consequences not only bear hardships for individuals but also whole communities. That said, academic “rewards” and inducements accessed through recognition-based politics can have even deeper consequences. As Jodi Byrd (2011) reminds us, </w:t>
      </w:r>
      <w:r w:rsidRPr="008E5B64">
        <w:rPr>
          <w:rFonts w:eastAsia="Calibri"/>
          <w:b/>
          <w:bCs/>
          <w:sz w:val="24"/>
          <w:szCs w:val="24"/>
          <w:highlight w:val="cyan"/>
          <w:u w:val="single"/>
        </w:rPr>
        <w:t>the colonization of Indigenous lands</w:t>
      </w:r>
      <w:r>
        <w:rPr>
          <w:rFonts w:eastAsia="Calibri"/>
          <w:sz w:val="24"/>
          <w:szCs w:val="24"/>
          <w:u w:val="single"/>
        </w:rPr>
        <w:t xml:space="preserve">, bodies, and minds </w:t>
      </w:r>
      <w:r w:rsidRPr="008E5B64">
        <w:rPr>
          <w:rFonts w:eastAsia="Calibri"/>
          <w:b/>
          <w:bCs/>
          <w:sz w:val="24"/>
          <w:szCs w:val="24"/>
          <w:highlight w:val="cyan"/>
          <w:u w:val="single"/>
        </w:rPr>
        <w:t xml:space="preserve">will not be ended by “further inclusion </w:t>
      </w:r>
      <w:r>
        <w:rPr>
          <w:rFonts w:eastAsia="Calibri"/>
          <w:sz w:val="24"/>
          <w:szCs w:val="24"/>
          <w:u w:val="single"/>
        </w:rPr>
        <w:t>or more participation”</w:t>
      </w:r>
      <w:r>
        <w:rPr>
          <w:rFonts w:eastAsia="Calibri"/>
          <w:sz w:val="24"/>
          <w:szCs w:val="24"/>
        </w:rPr>
        <w:t xml:space="preserve"> (Byrd, 2011, p. xxvi). The inspirational work of Black radical and Indigenous scholars compels thinking beyond the limits of academic recognition and about </w:t>
      </w:r>
      <w:r w:rsidRPr="008E5B64">
        <w:rPr>
          <w:rFonts w:eastAsia="Calibri"/>
          <w:sz w:val="24"/>
          <w:szCs w:val="24"/>
          <w:highlight w:val="cyan"/>
          <w:u w:val="single"/>
        </w:rPr>
        <w:t>the generative spaces of refusal</w:t>
      </w:r>
      <w:r>
        <w:rPr>
          <w:rFonts w:eastAsia="Calibri"/>
          <w:sz w:val="24"/>
          <w:szCs w:val="24"/>
          <w:u w:val="single"/>
        </w:rPr>
        <w:t xml:space="preserve"> that not only </w:t>
      </w:r>
      <w:r w:rsidRPr="008E5B64">
        <w:rPr>
          <w:rFonts w:eastAsia="Calibri"/>
          <w:sz w:val="24"/>
          <w:szCs w:val="24"/>
          <w:highlight w:val="cyan"/>
          <w:u w:val="single"/>
        </w:rPr>
        <w:t>reject settler logics but also foster possibilities of co-resistance</w:t>
      </w:r>
      <w:r w:rsidRPr="008E5B64">
        <w:rPr>
          <w:rFonts w:eastAsia="Calibri"/>
          <w:sz w:val="24"/>
          <w:szCs w:val="24"/>
          <w:highlight w:val="cyan"/>
        </w:rPr>
        <w:t>.</w:t>
      </w:r>
      <w:r>
        <w:rPr>
          <w:rFonts w:eastAsia="Calibri"/>
          <w:sz w:val="24"/>
          <w:szCs w:val="24"/>
        </w:rPr>
        <w:t xml:space="preserve"> The prospect of </w:t>
      </w:r>
      <w:r w:rsidRPr="008E5B64">
        <w:rPr>
          <w:rFonts w:eastAsia="Calibri"/>
          <w:b/>
          <w:bCs/>
          <w:sz w:val="24"/>
          <w:szCs w:val="24"/>
          <w:highlight w:val="cyan"/>
          <w:u w:val="single"/>
        </w:rPr>
        <w:t>coalition</w:t>
      </w:r>
      <w:r>
        <w:rPr>
          <w:rFonts w:eastAsia="Calibri"/>
          <w:sz w:val="24"/>
          <w:szCs w:val="24"/>
        </w:rPr>
        <w:t xml:space="preserve"> re-raises one of the initial animating questions of this chapter: What kinds of solidarities can be developed among peoples with a shared commitment to working beyond the imperatives of capital and the settler state? Clearly, despite the ubiquitous and often overly facile calls for solidarity, building effective coalitions is deeply challenging, even among insurgent scholars. </w:t>
      </w:r>
    </w:p>
    <w:p w14:paraId="00064771" w14:textId="77777777" w:rsidR="008D1AF4" w:rsidRPr="001A1971" w:rsidRDefault="008D1AF4" w:rsidP="008D1AF4">
      <w:pPr>
        <w:pStyle w:val="Heading4"/>
        <w:rPr>
          <w:rFonts w:cs="Calibri"/>
        </w:rPr>
      </w:pPr>
      <w:r w:rsidRPr="001A1971">
        <w:rPr>
          <w:rFonts w:cs="Calibri"/>
        </w:rPr>
        <w:t xml:space="preserve">You should view the </w:t>
      </w:r>
      <w:r w:rsidRPr="001A1971">
        <w:rPr>
          <w:rFonts w:cs="Calibri"/>
          <w:u w:val="single"/>
        </w:rPr>
        <w:t>alternative</w:t>
      </w:r>
      <w:r w:rsidRPr="001A1971">
        <w:rPr>
          <w:rFonts w:cs="Calibri"/>
        </w:rPr>
        <w:t xml:space="preserve"> as not only a ‘</w:t>
      </w:r>
      <w:r w:rsidRPr="001A1971">
        <w:rPr>
          <w:rFonts w:cs="Calibri"/>
          <w:u w:val="single"/>
        </w:rPr>
        <w:t>no</w:t>
      </w:r>
      <w:r w:rsidRPr="001A1971">
        <w:rPr>
          <w:rFonts w:cs="Calibri"/>
        </w:rPr>
        <w:t xml:space="preserve">’ but a </w:t>
      </w:r>
      <w:r w:rsidRPr="001A1971">
        <w:rPr>
          <w:rFonts w:cs="Calibri"/>
          <w:u w:val="single"/>
        </w:rPr>
        <w:t>generative praxis</w:t>
      </w:r>
      <w:r w:rsidRPr="001A1971">
        <w:rPr>
          <w:rFonts w:cs="Calibri"/>
        </w:rPr>
        <w:t xml:space="preserve"> with </w:t>
      </w:r>
      <w:r w:rsidRPr="001A1971">
        <w:rPr>
          <w:rFonts w:cs="Calibri"/>
          <w:u w:val="single"/>
        </w:rPr>
        <w:t>libidinal</w:t>
      </w:r>
      <w:r w:rsidRPr="001A1971">
        <w:rPr>
          <w:rFonts w:cs="Calibri"/>
        </w:rPr>
        <w:t xml:space="preserve"> implications that </w:t>
      </w:r>
      <w:r w:rsidRPr="001A1971">
        <w:rPr>
          <w:rFonts w:cs="Calibri"/>
          <w:u w:val="single"/>
        </w:rPr>
        <w:t>forces</w:t>
      </w:r>
      <w:r w:rsidRPr="001A1971">
        <w:rPr>
          <w:rFonts w:cs="Calibri"/>
        </w:rPr>
        <w:t xml:space="preserve"> them to interrogate their </w:t>
      </w:r>
      <w:r w:rsidRPr="001A1971">
        <w:rPr>
          <w:rFonts w:cs="Calibri"/>
          <w:u w:val="single"/>
        </w:rPr>
        <w:t>own subjective constitution</w:t>
      </w:r>
      <w:r w:rsidRPr="001A1971">
        <w:rPr>
          <w:rFonts w:cs="Calibri"/>
        </w:rPr>
        <w:t xml:space="preserve">, independently creating </w:t>
      </w:r>
      <w:r w:rsidRPr="001A1971">
        <w:rPr>
          <w:rFonts w:cs="Calibri"/>
          <w:u w:val="single"/>
        </w:rPr>
        <w:t>cracks</w:t>
      </w:r>
      <w:r w:rsidRPr="001A1971">
        <w:rPr>
          <w:rFonts w:cs="Calibri"/>
        </w:rPr>
        <w:t xml:space="preserve"> in the </w:t>
      </w:r>
      <w:r w:rsidRPr="001A1971">
        <w:rPr>
          <w:rFonts w:cs="Calibri"/>
          <w:u w:val="single"/>
        </w:rPr>
        <w:t>settler psyche</w:t>
      </w:r>
      <w:r w:rsidRPr="001A1971">
        <w:rPr>
          <w:rFonts w:cs="Calibri"/>
        </w:rPr>
        <w:t>.</w:t>
      </w:r>
    </w:p>
    <w:p w14:paraId="0BEF612B" w14:textId="77777777" w:rsidR="008D1AF4" w:rsidRPr="001A1971" w:rsidRDefault="008D1AF4" w:rsidP="008D1AF4">
      <w:r w:rsidRPr="001A1971">
        <w:rPr>
          <w:rStyle w:val="Style13ptBold"/>
        </w:rPr>
        <w:t>Henderson 15</w:t>
      </w:r>
      <w:r w:rsidRPr="001A1971">
        <w:t>, [Phil Henderson (professor of political science @ the University of Victoria), “Imagoed communities: the psychosocial space of settler colonialism,” Settler Colonial Studies, Special Issue on Globalizing Unsettlement, 2015]</w:t>
      </w:r>
    </w:p>
    <w:p w14:paraId="796F5B0D" w14:textId="77777777" w:rsidR="008D1AF4" w:rsidRPr="001A1971" w:rsidRDefault="008D1AF4" w:rsidP="008D1AF4">
      <w:pPr>
        <w:rPr>
          <w:b/>
          <w:iCs/>
          <w:sz w:val="24"/>
          <w:u w:val="single"/>
          <w:bdr w:val="single" w:sz="8" w:space="0" w:color="auto"/>
        </w:rPr>
      </w:pPr>
      <w:r w:rsidRPr="001A1971">
        <w:rPr>
          <w:sz w:val="16"/>
        </w:rPr>
        <w:t>Facing assertive indigenous presences within settler colonial spaces,</w:t>
      </w:r>
      <w:r w:rsidRPr="001A1971">
        <w:rPr>
          <w:rStyle w:val="StyleUnderline"/>
        </w:rPr>
        <w:t xml:space="preserve"> </w:t>
      </w:r>
      <w:r w:rsidRPr="001A1971">
        <w:rPr>
          <w:rStyle w:val="StyleUnderline"/>
          <w:highlight w:val="cyan"/>
        </w:rPr>
        <w:t>settlers must answer the</w:t>
      </w:r>
      <w:r w:rsidRPr="001A1971">
        <w:rPr>
          <w:rStyle w:val="StyleUnderline"/>
        </w:rPr>
        <w:t xml:space="preserve"> legitimate </w:t>
      </w:r>
      <w:r w:rsidRPr="001A1971">
        <w:rPr>
          <w:rStyle w:val="StyleUnderline"/>
          <w:highlight w:val="cyan"/>
        </w:rPr>
        <w:t xml:space="preserve">charge that </w:t>
      </w:r>
      <w:r w:rsidRPr="001A1971">
        <w:rPr>
          <w:rStyle w:val="Emphasis"/>
          <w:highlight w:val="cyan"/>
        </w:rPr>
        <w:t>their daily life</w:t>
      </w:r>
      <w:r w:rsidRPr="001A1971">
        <w:rPr>
          <w:rStyle w:val="Emphasis"/>
        </w:rPr>
        <w:t xml:space="preserve"> – in all its banality – </w:t>
      </w:r>
      <w:r w:rsidRPr="001A1971">
        <w:rPr>
          <w:rStyle w:val="Emphasis"/>
          <w:highlight w:val="cyan"/>
        </w:rPr>
        <w:t>is predicated upon</w:t>
      </w:r>
      <w:r w:rsidRPr="001A1971">
        <w:rPr>
          <w:sz w:val="16"/>
        </w:rPr>
        <w:t xml:space="preserve"> the privileges produced by </w:t>
      </w:r>
      <w:r w:rsidRPr="001A1971">
        <w:rPr>
          <w:rStyle w:val="Emphasis"/>
          <w:highlight w:val="cyan"/>
        </w:rPr>
        <w:t>ongoing genocide</w:t>
      </w:r>
      <w:r w:rsidRPr="001A1971">
        <w:rPr>
          <w:sz w:val="16"/>
        </w:rPr>
        <w:t xml:space="preserve">. </w:t>
      </w:r>
      <w:r w:rsidRPr="001A1971">
        <w:rPr>
          <w:rStyle w:val="StyleUnderline"/>
        </w:rPr>
        <w:t>The jarring nature of such charges offers an irreconcilable challenge to settlers</w:t>
      </w:r>
      <w:r w:rsidRPr="001A1971">
        <w:rPr>
          <w:sz w:val="16"/>
        </w:rPr>
        <w:t xml:space="preserve"> </w:t>
      </w:r>
      <w:r w:rsidRPr="001A1971">
        <w:rPr>
          <w:rStyle w:val="StyleUnderline"/>
        </w:rPr>
        <w:t>qua settlers.</w:t>
      </w:r>
      <w:r w:rsidRPr="001A1971">
        <w:rPr>
          <w:sz w:val="16"/>
        </w:rPr>
        <w:t xml:space="preserve">64 </w:t>
      </w:r>
      <w:r w:rsidRPr="001A1971">
        <w:rPr>
          <w:rStyle w:val="StyleUnderline"/>
        </w:rPr>
        <w:t xml:space="preserve">Should </w:t>
      </w:r>
      <w:r w:rsidRPr="001A1971">
        <w:rPr>
          <w:rStyle w:val="StyleUnderline"/>
          <w:highlight w:val="cyan"/>
        </w:rPr>
        <w:t>these charges</w:t>
      </w:r>
      <w:r w:rsidRPr="001A1971">
        <w:rPr>
          <w:rStyle w:val="StyleUnderline"/>
        </w:rPr>
        <w:t xml:space="preserve"> become impossible to ignore, they </w:t>
      </w:r>
      <w:r w:rsidRPr="001A1971">
        <w:rPr>
          <w:rStyle w:val="StyleUnderline"/>
          <w:highlight w:val="cyan"/>
        </w:rPr>
        <w:t>threaten to explode</w:t>
      </w:r>
      <w:r w:rsidRPr="001A1971">
        <w:rPr>
          <w:sz w:val="16"/>
        </w:rPr>
        <w:t xml:space="preserve"> the imago of settler colonialism, which had hitherto operated within </w:t>
      </w:r>
      <w:r w:rsidRPr="001A1971">
        <w:rPr>
          <w:rStyle w:val="StyleUnderline"/>
          <w:highlight w:val="cyan"/>
        </w:rPr>
        <w:t>the settler psyche</w:t>
      </w:r>
      <w:r w:rsidRPr="001A1971">
        <w:rPr>
          <w:sz w:val="16"/>
        </w:rPr>
        <w:t xml:space="preserve"> in a relatively smooth and benign manner. </w:t>
      </w:r>
      <w:r w:rsidRPr="001A1971">
        <w:rPr>
          <w:rStyle w:val="StyleUnderline"/>
        </w:rPr>
        <w:t>This</w:t>
      </w:r>
      <w:r w:rsidRPr="001A1971">
        <w:rPr>
          <w:sz w:val="16"/>
        </w:rPr>
        <w:t xml:space="preserve"> explosion </w:t>
      </w:r>
      <w:r w:rsidRPr="001A1971">
        <w:rPr>
          <w:rStyle w:val="StyleUnderline"/>
        </w:rPr>
        <w:t xml:space="preserve">is potentiated </w:t>
      </w:r>
      <w:r w:rsidRPr="001A1971">
        <w:rPr>
          <w:rStyle w:val="StyleUnderline"/>
          <w:highlight w:val="cyan"/>
        </w:rPr>
        <w:t xml:space="preserve">by the </w:t>
      </w:r>
      <w:r w:rsidRPr="001A1971">
        <w:rPr>
          <w:rStyle w:val="Emphasis"/>
          <w:highlight w:val="cyan"/>
        </w:rPr>
        <w:t>revelation of</w:t>
      </w:r>
      <w:r w:rsidRPr="001A1971">
        <w:rPr>
          <w:sz w:val="16"/>
        </w:rPr>
        <w:t xml:space="preserve"> even a portion of </w:t>
      </w:r>
      <w:r w:rsidRPr="001A1971">
        <w:rPr>
          <w:rStyle w:val="Emphasis"/>
        </w:rPr>
        <w:t xml:space="preserve">the </w:t>
      </w:r>
      <w:r w:rsidRPr="001A1971">
        <w:rPr>
          <w:rStyle w:val="Emphasis"/>
          <w:highlight w:val="cyan"/>
        </w:rPr>
        <w:t>violence</w:t>
      </w:r>
      <w:r w:rsidRPr="001A1971">
        <w:rPr>
          <w:rStyle w:val="StyleUnderline"/>
        </w:rPr>
        <w:t xml:space="preserve"> that is </w:t>
      </w:r>
      <w:r w:rsidRPr="001A1971">
        <w:rPr>
          <w:rStyle w:val="StyleUnderline"/>
          <w:highlight w:val="cyan"/>
        </w:rPr>
        <w:t>required to make settler life possible</w:t>
      </w:r>
      <w:r w:rsidRPr="001A1971">
        <w:rPr>
          <w:sz w:val="16"/>
        </w:rPr>
        <w:t xml:space="preserve">. If, for example, settlers are forced to see ‘their’ beach as a site of murder and ongoing colonization, it becomes more difficult to sustain it within the imaginary as a site of frivolity.65 As </w:t>
      </w:r>
      <w:r w:rsidRPr="001A1971">
        <w:rPr>
          <w:sz w:val="16"/>
        </w:rPr>
        <w:lastRenderedPageBreak/>
        <w:t xml:space="preserve">Brown writes, in the ‘loss of horizons, order, and identity’ </w:t>
      </w:r>
      <w:r w:rsidRPr="001A1971">
        <w:rPr>
          <w:rStyle w:val="StyleUnderline"/>
          <w:highlight w:val="cyan"/>
        </w:rPr>
        <w:t>the subject experiences</w:t>
      </w:r>
      <w:r w:rsidRPr="001A1971">
        <w:rPr>
          <w:rStyle w:val="StyleUnderline"/>
        </w:rPr>
        <w:t xml:space="preserve"> a sense of </w:t>
      </w:r>
      <w:r w:rsidRPr="001A1971">
        <w:rPr>
          <w:rStyle w:val="StyleUnderline"/>
          <w:highlight w:val="cyan"/>
        </w:rPr>
        <w:t xml:space="preserve">enormous </w:t>
      </w:r>
      <w:r w:rsidRPr="001A1971">
        <w:rPr>
          <w:rStyle w:val="Emphasis"/>
          <w:highlight w:val="cyan"/>
        </w:rPr>
        <w:t>vulnerability</w:t>
      </w:r>
      <w:r w:rsidRPr="001A1971">
        <w:rPr>
          <w:sz w:val="16"/>
        </w:rPr>
        <w:t xml:space="preserve">.66 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1A1971">
        <w:rPr>
          <w:rStyle w:val="StyleUnderline"/>
        </w:rPr>
        <w:t>This panic</w:t>
      </w:r>
      <w:r w:rsidRPr="001A1971">
        <w:rPr>
          <w:sz w:val="16"/>
        </w:rPr>
        <w:t xml:space="preserve"> – this rabid and insatiable anger – </w:t>
      </w:r>
      <w:r w:rsidRPr="001A1971">
        <w:rPr>
          <w:rStyle w:val="StyleUnderline"/>
        </w:rPr>
        <w:t>is always already at the core of the settler</w:t>
      </w:r>
      <w:r w:rsidRPr="001A1971">
        <w:rPr>
          <w:sz w:val="16"/>
        </w:rPr>
        <w:t xml:space="preserve"> as a </w:t>
      </w:r>
      <w:r w:rsidRPr="001A1971">
        <w:rPr>
          <w:rStyle w:val="StyleUnderline"/>
        </w:rPr>
        <w:t>subject</w:t>
      </w:r>
      <w:r w:rsidRPr="001A1971">
        <w:rPr>
          <w:sz w:val="16"/>
        </w:rPr>
        <w:t xml:space="preserve">. As Lorenzo Veracini observes, the settler necessarily remains in a disposition of aggression ‘even after indigenous alterities have ceased to be threatening'.68 </w:t>
      </w:r>
      <w:r w:rsidRPr="001A1971">
        <w:rPr>
          <w:rStyle w:val="StyleUnderline"/>
        </w:rPr>
        <w:t xml:space="preserve">This disposition results from the </w:t>
      </w:r>
      <w:r w:rsidRPr="001A1971">
        <w:rPr>
          <w:rStyle w:val="Emphasis"/>
        </w:rPr>
        <w:t>precarity</w:t>
      </w:r>
      <w:r w:rsidRPr="001A1971">
        <w:rPr>
          <w:rStyle w:val="StyleUnderline"/>
        </w:rPr>
        <w:t xml:space="preserve"> inherent in the maintenance of</w:t>
      </w:r>
      <w:r w:rsidRPr="001A1971">
        <w:rPr>
          <w:sz w:val="16"/>
        </w:rPr>
        <w:t xml:space="preserve"> settler colonialism's imago, wherein any and all indigenous presences threaten subjective dissolution of </w:t>
      </w:r>
      <w:r w:rsidRPr="001A1971">
        <w:rPr>
          <w:rStyle w:val="StyleUnderline"/>
        </w:rPr>
        <w:t>the settler as such</w:t>
      </w:r>
      <w:r w:rsidRPr="001A1971">
        <w:rPr>
          <w:sz w:val="16"/>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 </w:t>
      </w:r>
      <w:r w:rsidRPr="001A1971">
        <w:rPr>
          <w:rStyle w:val="StyleUnderline"/>
          <w:highlight w:val="cyan"/>
        </w:rPr>
        <w:t>settlers are</w:t>
      </w:r>
      <w:r w:rsidRPr="001A1971">
        <w:rPr>
          <w:sz w:val="16"/>
        </w:rPr>
        <w:t xml:space="preserve"> also </w:t>
      </w:r>
      <w:r w:rsidRPr="001A1971">
        <w:rPr>
          <w:rStyle w:val="StyleUnderline"/>
          <w:highlight w:val="cyan"/>
        </w:rPr>
        <w:t>always already</w:t>
      </w:r>
      <w:r w:rsidRPr="001A1971">
        <w:rPr>
          <w:rStyle w:val="StyleUnderline"/>
        </w:rPr>
        <w:t xml:space="preserve"> in a </w:t>
      </w:r>
      <w:r w:rsidRPr="001A1971">
        <w:rPr>
          <w:rStyle w:val="StyleUnderline"/>
          <w:highlight w:val="cyan"/>
        </w:rPr>
        <w:t>psychically defensive</w:t>
      </w:r>
      <w:r w:rsidRPr="001A1971">
        <w:rPr>
          <w:rStyle w:val="StyleUnderline"/>
        </w:rPr>
        <w:t xml:space="preserve"> position – that is, the settler's offensive position on occupied land is sustained through a defensive posture</w:t>
      </w:r>
      <w:r w:rsidRPr="001A1971">
        <w:rPr>
          <w:sz w:val="16"/>
        </w:rPr>
        <w:t xml:space="preserve">. For </w:t>
      </w:r>
      <w:r w:rsidRPr="001A1971">
        <w:rPr>
          <w:rStyle w:val="StyleUnderline"/>
        </w:rPr>
        <w:t xml:space="preserve">while settlers desire the total erasure of indigenous populations, the attendant desire to disappear their own identity as </w:t>
      </w:r>
      <w:r w:rsidRPr="001A1971">
        <w:rPr>
          <w:rStyle w:val="StyleUnderline"/>
          <w:highlight w:val="cyan"/>
        </w:rPr>
        <w:t>settlers necessitates</w:t>
      </w:r>
      <w:r w:rsidRPr="001A1971">
        <w:rPr>
          <w:rStyle w:val="StyleUnderline"/>
        </w:rPr>
        <w:t xml:space="preserve"> the </w:t>
      </w:r>
      <w:r w:rsidRPr="001A1971">
        <w:rPr>
          <w:rStyle w:val="Emphasis"/>
          <w:highlight w:val="cyan"/>
        </w:rPr>
        <w:t>suppression of</w:t>
      </w:r>
      <w:r w:rsidRPr="001A1971">
        <w:rPr>
          <w:rStyle w:val="Emphasis"/>
        </w:rPr>
        <w:t xml:space="preserve"> both </w:t>
      </w:r>
      <w:r w:rsidRPr="001A1971">
        <w:rPr>
          <w:rStyle w:val="Emphasis"/>
          <w:highlight w:val="cyan"/>
        </w:rPr>
        <w:t>desires</w:t>
      </w:r>
      <w:r w:rsidRPr="001A1971">
        <w:rPr>
          <w:sz w:val="16"/>
        </w:rPr>
        <w:t xml:space="preserve">, </w:t>
      </w:r>
      <w:r w:rsidRPr="001A1971">
        <w:rPr>
          <w:rStyle w:val="StyleUnderline"/>
        </w:rPr>
        <w:t xml:space="preserve">if the subject's reliance on settler colonial power structure is to be </w:t>
      </w:r>
      <w:r w:rsidRPr="001A1971">
        <w:rPr>
          <w:rStyle w:val="Emphasis"/>
        </w:rPr>
        <w:t>psychically naturalized</w:t>
      </w:r>
      <w:r w:rsidRPr="001A1971">
        <w:rPr>
          <w:rStyle w:val="StyleUnderline"/>
        </w:rPr>
        <w:t xml:space="preserve">. </w:t>
      </w:r>
      <w:r w:rsidRPr="001A1971">
        <w:rPr>
          <w:sz w:val="16"/>
        </w:rPr>
        <w:t xml:space="preserve">Settlers’ reactions to indigenous peoples fit, almost universally, with the two ego defense responses that Sigmund Freud observed. The first of these defenses is to attempt a complete conversion of the suppressed desire into a new idea. In settler colonial contexts, </w:t>
      </w:r>
      <w:r w:rsidRPr="001A1971">
        <w:rPr>
          <w:rStyle w:val="StyleUnderline"/>
        </w:rPr>
        <w:t xml:space="preserve">this requires </w:t>
      </w:r>
      <w:r w:rsidRPr="001A1971">
        <w:rPr>
          <w:rStyle w:val="Emphasis"/>
        </w:rPr>
        <w:t>averting attention from the violence of dispossession</w:t>
      </w:r>
      <w:r w:rsidRPr="001A1971">
        <w:rPr>
          <w:rStyle w:val="StyleUnderline"/>
        </w:rPr>
        <w:t xml:space="preserve">; as such, settlers often suggest that they aim to </w:t>
      </w:r>
      <w:r w:rsidRPr="001A1971">
        <w:rPr>
          <w:rStyle w:val="Emphasis"/>
        </w:rPr>
        <w:t>create a ‘city on the hill’.</w:t>
      </w:r>
      <w:r w:rsidRPr="001A1971">
        <w:rPr>
          <w:sz w:val="16"/>
        </w:rPr>
        <w:t xml:space="preserve">70 Freud noted that 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community.71 As we have already seen, </w:t>
      </w:r>
      <w:r w:rsidRPr="001A1971">
        <w:rPr>
          <w:rStyle w:val="StyleUnderline"/>
        </w:rPr>
        <w:t>this obsession at once solidifies the power of the settler state, thereby naturalizing the settler and</w:t>
      </w:r>
      <w:r w:rsidRPr="001A1971">
        <w:rPr>
          <w:sz w:val="16"/>
        </w:rPr>
        <w:t xml:space="preserve"> simultaneously perpetuating the processes of </w:t>
      </w:r>
      <w:r w:rsidRPr="001A1971">
        <w:rPr>
          <w:rStyle w:val="StyleUnderline"/>
        </w:rPr>
        <w:t>erasing indigenous peoples</w:t>
      </w:r>
      <w:r w:rsidRPr="001A1971">
        <w:rPr>
          <w:sz w:val="16"/>
        </w:rPr>
        <w:t xml:space="preserve">. Psychic defenses are intended to secure the subject from pain, and whether that pain originates inside or outside the psyche is inconsequential. </w:t>
      </w:r>
      <w:r w:rsidRPr="001A1971">
        <w:rPr>
          <w:rStyle w:val="StyleUnderline"/>
        </w:rPr>
        <w:t>Because of the threat that indigeneity presents to the phantasmatic wholeness of settler colonialism, settlers must always remain</w:t>
      </w:r>
      <w:r w:rsidRPr="001A1971">
        <w:rPr>
          <w:sz w:val="16"/>
        </w:rPr>
        <w:t xml:space="preserve"> suspended in a state of arrested development between these </w:t>
      </w:r>
      <w:r w:rsidRPr="001A1971">
        <w:rPr>
          <w:rStyle w:val="StyleUnderline"/>
        </w:rPr>
        <w:t>defensive</w:t>
      </w:r>
      <w:r w:rsidRPr="001A1971">
        <w:rPr>
          <w:sz w:val="16"/>
        </w:rPr>
        <w:t xml:space="preserve"> 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 </w:t>
      </w:r>
      <w:r w:rsidRPr="001A1971">
        <w:rPr>
          <w:rStyle w:val="Emphasis"/>
          <w:highlight w:val="cyan"/>
        </w:rPr>
        <w:t>decolonization must include an analysis of the</w:t>
      </w:r>
      <w:r w:rsidRPr="001A1971">
        <w:rPr>
          <w:rStyle w:val="Emphasis"/>
        </w:rPr>
        <w:t xml:space="preserve"> dominant ‘self-disciplining </w:t>
      </w:r>
      <w:r w:rsidRPr="001A1971">
        <w:rPr>
          <w:rStyle w:val="Emphasis"/>
          <w:highlight w:val="cyan"/>
        </w:rPr>
        <w:t>colonial subject</w:t>
      </w:r>
      <w:r w:rsidRPr="001A1971">
        <w:rPr>
          <w:rStyle w:val="Emphasis"/>
        </w:rPr>
        <w:t>’</w:t>
      </w:r>
      <w:r w:rsidRPr="001A1971">
        <w:rPr>
          <w:sz w:val="16"/>
        </w:rPr>
        <w:t xml:space="preserve">.73 However, as </w:t>
      </w:r>
      <w:r w:rsidRPr="001A1971">
        <w:rPr>
          <w:rStyle w:val="StyleUnderline"/>
        </w:rPr>
        <w:t>this discussion</w:t>
      </w:r>
      <w:r w:rsidRPr="001A1971">
        <w:rPr>
          <w:sz w:val="16"/>
        </w:rPr>
        <w:t xml:space="preserve"> of subjective precarity demonstrates, the degree of to which these disciplinary or phenomenological processes are complete should not be overstated. For settler-allies </w:t>
      </w:r>
      <w:r w:rsidRPr="001A1971">
        <w:rPr>
          <w:rStyle w:val="StyleUnderline"/>
        </w:rPr>
        <w:t xml:space="preserve">must also examine and cultivate the ways in which settler subjects </w:t>
      </w:r>
      <w:r w:rsidRPr="001A1971">
        <w:rPr>
          <w:rStyle w:val="Emphasis"/>
        </w:rPr>
        <w:t>fail to be totally disciplined</w:t>
      </w:r>
      <w:r w:rsidRPr="001A1971">
        <w:rPr>
          <w:rStyle w:val="StyleUnderline"/>
        </w:rPr>
        <w:t xml:space="preserve">. Evidence of this </w:t>
      </w:r>
      <w:r w:rsidRPr="001A1971">
        <w:rPr>
          <w:rStyle w:val="Emphasis"/>
        </w:rPr>
        <w:t>incompletion</w:t>
      </w:r>
      <w:r w:rsidRPr="001A1971">
        <w:rPr>
          <w:rStyle w:val="StyleUnderline"/>
        </w:rPr>
        <w:t xml:space="preserve"> is apparent in the</w:t>
      </w:r>
      <w:r w:rsidRPr="001A1971">
        <w:rPr>
          <w:sz w:val="16"/>
        </w:rPr>
        <w:t xml:space="preserve"> subject's arrested state of development. Discovering the </w:t>
      </w:r>
      <w:r w:rsidRPr="001A1971">
        <w:rPr>
          <w:rStyle w:val="Emphasis"/>
        </w:rPr>
        <w:t>instability at the core of the settler subject</w:t>
      </w:r>
      <w:r w:rsidRPr="001A1971">
        <w:rPr>
          <w:sz w:val="16"/>
        </w:rPr>
        <w:t xml:space="preserve">, indeed of all subjects, is the central conceit of psychoanalysis. This exception of at least partial failure to fully subjectivize the settler is also what sets my account apart from </w:t>
      </w:r>
      <w:r w:rsidRPr="001A1971">
        <w:rPr>
          <w:rStyle w:val="StyleUnderline"/>
        </w:rPr>
        <w:t>Rifkin's</w:t>
      </w:r>
      <w:r w:rsidRPr="001A1971">
        <w:rPr>
          <w:sz w:val="16"/>
        </w:rPr>
        <w:t xml:space="preserve">. His </w:t>
      </w:r>
      <w:r w:rsidRPr="001A1971">
        <w:rPr>
          <w:rStyle w:val="StyleUnderline"/>
        </w:rPr>
        <w:t>phenomenology falls into the trap</w:t>
      </w:r>
      <w:r w:rsidRPr="001A1971">
        <w:rPr>
          <w:sz w:val="16"/>
        </w:rPr>
        <w:t xml:space="preserve"> that Jacqueline Rose observes within many sociological accounts of the subject: that </w:t>
      </w:r>
      <w:r w:rsidRPr="001A1971">
        <w:rPr>
          <w:rStyle w:val="StyleUnderline"/>
        </w:rPr>
        <w:t>of assuming a successful internalization of norms</w:t>
      </w:r>
      <w:r w:rsidRPr="001A1971">
        <w:rPr>
          <w:sz w:val="16"/>
        </w:rPr>
        <w:t xml:space="preserve">. From </w:t>
      </w:r>
      <w:r w:rsidRPr="001A1971">
        <w:rPr>
          <w:rStyle w:val="StyleUnderline"/>
        </w:rPr>
        <w:t>the psychoanalytical perspective</w:t>
      </w:r>
      <w:r w:rsidRPr="001A1971">
        <w:rPr>
          <w:sz w:val="16"/>
        </w:rPr>
        <w:t xml:space="preserve">, the ‘unconscious constantly </w:t>
      </w:r>
      <w:r w:rsidRPr="001A1971">
        <w:rPr>
          <w:rStyle w:val="StyleUnderline"/>
        </w:rPr>
        <w:t>reveals the “failure”’ of internalization.</w:t>
      </w:r>
      <w:r w:rsidRPr="001A1971">
        <w:rPr>
          <w:sz w:val="16"/>
        </w:rPr>
        <w:t xml:space="preserve">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w:t>
      </w:r>
      <w:r w:rsidRPr="001A1971">
        <w:rPr>
          <w:rStyle w:val="StyleUnderline"/>
        </w:rPr>
        <w:t xml:space="preserve">Thus, the process of </w:t>
      </w:r>
      <w:r w:rsidRPr="001A1971">
        <w:rPr>
          <w:rStyle w:val="Emphasis"/>
          <w:highlight w:val="cyan"/>
        </w:rPr>
        <w:t>subject formation is always in slippage and never totalized</w:t>
      </w:r>
      <w:r w:rsidRPr="001A1971">
        <w:rPr>
          <w:sz w:val="16"/>
        </w:rPr>
        <w:t xml:space="preserve"> as others might suggest.75 Because of </w:t>
      </w:r>
      <w:r w:rsidRPr="001A1971">
        <w:rPr>
          <w:rStyle w:val="StyleUnderline"/>
        </w:rPr>
        <w:t>this precarity</w:t>
      </w:r>
      <w:r w:rsidRPr="001A1971">
        <w:rPr>
          <w:sz w:val="16"/>
        </w:rPr>
        <w:t xml:space="preserve">, the settler subject is prone to violence and lashing out; but the subject in slippage also </w:t>
      </w:r>
      <w:r w:rsidRPr="001A1971">
        <w:rPr>
          <w:rStyle w:val="StyleUnderline"/>
          <w:highlight w:val="cyan"/>
        </w:rPr>
        <w:t>provides an avenue by which</w:t>
      </w:r>
      <w:r w:rsidRPr="001A1971">
        <w:rPr>
          <w:rStyle w:val="StyleUnderline"/>
        </w:rPr>
        <w:t xml:space="preserve"> the process of </w:t>
      </w:r>
      <w:r w:rsidRPr="001A1971">
        <w:rPr>
          <w:rStyle w:val="StyleUnderline"/>
          <w:highlight w:val="cyan"/>
        </w:rPr>
        <w:t xml:space="preserve">settler colonialism can be </w:t>
      </w:r>
      <w:r w:rsidRPr="001A1971">
        <w:rPr>
          <w:rStyle w:val="Emphasis"/>
          <w:highlight w:val="cyan"/>
        </w:rPr>
        <w:t>subverted</w:t>
      </w:r>
      <w:r w:rsidRPr="001A1971">
        <w:rPr>
          <w:rStyle w:val="StyleUnderline"/>
          <w:highlight w:val="cyan"/>
        </w:rPr>
        <w:t xml:space="preserve"> – creating cracks in </w:t>
      </w:r>
      <w:r w:rsidRPr="001A1971">
        <w:rPr>
          <w:rStyle w:val="StyleUnderline"/>
        </w:rPr>
        <w:t xml:space="preserve">a phantasmatic </w:t>
      </w:r>
      <w:r w:rsidRPr="001A1971">
        <w:rPr>
          <w:rStyle w:val="StyleUnderline"/>
          <w:highlight w:val="cyan"/>
        </w:rPr>
        <w:t>wholeness</w:t>
      </w:r>
      <w:r w:rsidRPr="001A1971">
        <w:rPr>
          <w:rStyle w:val="StyleUnderline"/>
        </w:rPr>
        <w:t xml:space="preserve"> which can be opened wider. Breakages of this sort offer an opportunity to</w:t>
      </w:r>
      <w:r w:rsidRPr="001A1971">
        <w:rPr>
          <w:sz w:val="16"/>
        </w:rPr>
        <w:t xml:space="preserve"> pursue what Paulette Regan calls a ‘restorying’ of settler colonial history and culture, to </w:t>
      </w:r>
      <w:r w:rsidRPr="001A1971">
        <w:rPr>
          <w:rStyle w:val="Emphasis"/>
        </w:rPr>
        <w:t>decenter settler mythologies</w:t>
      </w:r>
      <w:r w:rsidRPr="001A1971">
        <w:rPr>
          <w:rStyle w:val="StyleUnderline"/>
        </w:rPr>
        <w:t xml:space="preserve"> built upon and within the dispossession of indigenous peoples</w:t>
      </w:r>
      <w:r w:rsidRPr="001A1971">
        <w:rPr>
          <w:sz w:val="16"/>
        </w:rPr>
        <w:t xml:space="preserve">.76 </w:t>
      </w:r>
      <w:r w:rsidRPr="001A1971">
        <w:rPr>
          <w:rStyle w:val="StyleUnderline"/>
          <w:highlight w:val="cyan"/>
        </w:rPr>
        <w:t>The cultivation of these cracks</w:t>
      </w:r>
      <w:r w:rsidRPr="001A1971">
        <w:rPr>
          <w:rStyle w:val="StyleUnderline"/>
        </w:rPr>
        <w:t xml:space="preserve"> is a </w:t>
      </w:r>
      <w:r w:rsidRPr="001A1971">
        <w:rPr>
          <w:rStyle w:val="Emphasis"/>
          <w:highlight w:val="cyan"/>
        </w:rPr>
        <w:t xml:space="preserve">necessary part of </w:t>
      </w:r>
      <w:r w:rsidRPr="001A1971">
        <w:rPr>
          <w:rStyle w:val="Emphasis"/>
          <w:highlight w:val="cyan"/>
        </w:rPr>
        <w:lastRenderedPageBreak/>
        <w:t>decolonizing work</w:t>
      </w:r>
      <w:r w:rsidRPr="001A1971">
        <w:rPr>
          <w:rStyle w:val="StyleUnderline"/>
        </w:rPr>
        <w:t xml:space="preserve">, as </w:t>
      </w:r>
      <w:r w:rsidRPr="001A1971">
        <w:rPr>
          <w:rStyle w:val="StyleUnderline"/>
          <w:highlight w:val="cyan"/>
        </w:rPr>
        <w:t xml:space="preserve">it continues to </w:t>
      </w:r>
      <w:r w:rsidRPr="001A1971">
        <w:rPr>
          <w:rStyle w:val="Emphasis"/>
          <w:highlight w:val="cyan"/>
        </w:rPr>
        <w:t>panic and thus to destabilize settler subjects.</w:t>
      </w:r>
      <w:r w:rsidRPr="001A1971">
        <w:t xml:space="preserve"> </w:t>
      </w:r>
      <w:r w:rsidRPr="001A1971">
        <w:rPr>
          <w:rStyle w:val="StyleUnderline"/>
          <w:sz w:val="28"/>
          <w:szCs w:val="28"/>
          <w:highlight w:val="cyan"/>
        </w:rPr>
        <w:t>Resistance to settler colonialism does not occur only in highly visible moments</w:t>
      </w:r>
      <w:r w:rsidRPr="001A1971">
        <w:rPr>
          <w:sz w:val="16"/>
        </w:rPr>
        <w:t xml:space="preserve"> like the famous conflict at Kanesatake and Kahnawake</w:t>
      </w:r>
      <w:r w:rsidRPr="001A1971">
        <w:rPr>
          <w:sz w:val="18"/>
          <w:szCs w:val="18"/>
        </w:rPr>
        <w:t>,77</w:t>
      </w:r>
      <w:r w:rsidRPr="001A1971">
        <w:rPr>
          <w:sz w:val="28"/>
          <w:szCs w:val="28"/>
        </w:rPr>
        <w:t xml:space="preserve"> </w:t>
      </w:r>
      <w:r w:rsidRPr="001A1971">
        <w:rPr>
          <w:rStyle w:val="StyleUnderline"/>
          <w:sz w:val="28"/>
          <w:szCs w:val="28"/>
        </w:rPr>
        <w:t xml:space="preserve">it </w:t>
      </w:r>
      <w:r w:rsidRPr="001A1971">
        <w:rPr>
          <w:rStyle w:val="StyleUnderline"/>
          <w:sz w:val="28"/>
          <w:szCs w:val="28"/>
          <w:highlight w:val="cyan"/>
        </w:rPr>
        <w:t xml:space="preserve">also occurs in reiterative </w:t>
      </w:r>
      <w:r w:rsidRPr="001A1971">
        <w:rPr>
          <w:rStyle w:val="StyleUnderline"/>
          <w:sz w:val="28"/>
          <w:szCs w:val="28"/>
        </w:rPr>
        <w:t xml:space="preserve">and </w:t>
      </w:r>
      <w:r w:rsidRPr="001A1971">
        <w:rPr>
          <w:rStyle w:val="StyleUnderline"/>
          <w:sz w:val="28"/>
          <w:szCs w:val="28"/>
          <w:highlight w:val="cyan"/>
        </w:rPr>
        <w:t xml:space="preserve">disruptive </w:t>
      </w:r>
      <w:r w:rsidRPr="001A1971">
        <w:rPr>
          <w:rStyle w:val="StyleUnderline"/>
          <w:sz w:val="28"/>
          <w:szCs w:val="28"/>
        </w:rPr>
        <w:t>practices</w:t>
      </w:r>
      <w:r w:rsidRPr="001A1971">
        <w:rPr>
          <w:sz w:val="16"/>
        </w:rPr>
        <w:t xml:space="preserve">, presences, </w:t>
      </w:r>
      <w:r w:rsidRPr="001A1971">
        <w:rPr>
          <w:rStyle w:val="StyleUnderline"/>
          <w:sz w:val="28"/>
          <w:szCs w:val="28"/>
        </w:rPr>
        <w:t xml:space="preserve">and </w:t>
      </w:r>
      <w:r w:rsidRPr="001A1971">
        <w:rPr>
          <w:rStyle w:val="Emphasis"/>
          <w:sz w:val="28"/>
          <w:szCs w:val="28"/>
          <w:highlight w:val="cyan"/>
        </w:rPr>
        <w:t>speech acts</w:t>
      </w:r>
      <w:r w:rsidRPr="001A1971">
        <w:rPr>
          <w:sz w:val="16"/>
        </w:rPr>
        <w:t xml:space="preserve">. Goeman correctly observes that </w:t>
      </w:r>
      <w:r w:rsidRPr="001A1971">
        <w:rPr>
          <w:rStyle w:val="StyleUnderline"/>
          <w:sz w:val="28"/>
          <w:szCs w:val="28"/>
        </w:rPr>
        <w:t xml:space="preserve">the </w:t>
      </w:r>
      <w:r w:rsidRPr="001A1971">
        <w:rPr>
          <w:rStyle w:val="StyleUnderline"/>
          <w:sz w:val="28"/>
          <w:szCs w:val="28"/>
          <w:highlight w:val="cyan"/>
        </w:rPr>
        <w:t>‘repetitive practices of everyday life’</w:t>
      </w:r>
      <w:r w:rsidRPr="001A1971">
        <w:rPr>
          <w:rStyle w:val="StyleUnderline"/>
        </w:rPr>
        <w:t xml:space="preserve"> are what </w:t>
      </w:r>
      <w:r w:rsidRPr="001A1971">
        <w:rPr>
          <w:rStyle w:val="Emphasis"/>
          <w:sz w:val="28"/>
          <w:szCs w:val="28"/>
          <w:highlight w:val="cyan"/>
        </w:rPr>
        <w:t>give settler spaces their meaning</w:t>
      </w:r>
      <w:r w:rsidRPr="001A1971">
        <w:rPr>
          <w:rStyle w:val="StyleUnderline"/>
        </w:rPr>
        <w:t>, as they provide a degree of naturalness to the settler</w:t>
      </w:r>
      <w:r w:rsidRPr="001A1971">
        <w:rPr>
          <w:sz w:val="16"/>
        </w:rPr>
        <w:t xml:space="preserve"> imago and its </w:t>
      </w:r>
      <w:r w:rsidRPr="001A1971">
        <w:rPr>
          <w:rStyle w:val="StyleUnderline"/>
        </w:rPr>
        <w:t>psychic investments</w:t>
      </w:r>
      <w:r w:rsidRPr="001A1971">
        <w:rPr>
          <w:sz w:val="16"/>
        </w:rPr>
        <w:t xml:space="preserve">.78 As such, </w:t>
      </w:r>
      <w:r w:rsidRPr="001A1971">
        <w:rPr>
          <w:rStyle w:val="StyleUnderline"/>
          <w:highlight w:val="cyan"/>
        </w:rPr>
        <w:t xml:space="preserve">to </w:t>
      </w:r>
      <w:r w:rsidRPr="001A1971">
        <w:rPr>
          <w:rStyle w:val="Emphasis"/>
          <w:highlight w:val="cyan"/>
        </w:rPr>
        <w:t>disrupt the ease of these repetitions</w:t>
      </w:r>
      <w:r w:rsidRPr="001A1971">
        <w:rPr>
          <w:rStyle w:val="StyleUnderline"/>
          <w:highlight w:val="cyan"/>
        </w:rPr>
        <w:t xml:space="preserve"> is</w:t>
      </w:r>
      <w:r w:rsidRPr="001A1971">
        <w:rPr>
          <w:rStyle w:val="StyleUnderline"/>
        </w:rPr>
        <w:t xml:space="preserve"> at once to </w:t>
      </w:r>
      <w:r w:rsidRPr="001A1971">
        <w:rPr>
          <w:rStyle w:val="Emphasis"/>
        </w:rPr>
        <w:t>striate radically the otherwise smooth spaces of settler colonialism</w:t>
      </w:r>
      <w:r w:rsidRPr="001A1971">
        <w:rPr>
          <w:rStyle w:val="StyleUnderline"/>
        </w:rPr>
        <w:t xml:space="preserve"> and also </w:t>
      </w:r>
      <w:r w:rsidRPr="001A1971">
        <w:rPr>
          <w:rStyle w:val="StyleUnderline"/>
          <w:highlight w:val="cyan"/>
        </w:rPr>
        <w:t xml:space="preserve">to </w:t>
      </w:r>
      <w:r w:rsidRPr="001A1971">
        <w:rPr>
          <w:rStyle w:val="Emphasis"/>
          <w:highlight w:val="cyan"/>
        </w:rPr>
        <w:t>disrupt the easy (re)production of the settler subject</w:t>
      </w:r>
      <w:r w:rsidRPr="001A1971">
        <w:rPr>
          <w:rStyle w:val="StyleUnderline"/>
        </w:rPr>
        <w:t>.</w:t>
      </w:r>
      <w:r w:rsidRPr="001A1971">
        <w:rPr>
          <w:sz w:val="16"/>
        </w:rPr>
        <w:t xml:space="preserve"> </w:t>
      </w:r>
      <w:r w:rsidRPr="001A1971">
        <w:rPr>
          <w:rStyle w:val="StyleUnderline"/>
        </w:rPr>
        <w:t>Goeman calls these subversive acts the ‘micro-politics of resistance',</w:t>
      </w:r>
      <w:r w:rsidRPr="001A1971">
        <w:rPr>
          <w:sz w:val="16"/>
        </w:rPr>
        <w:t xml:space="preserve"> which historically took the form of ‘moving fences, not cooperating with census enumerators, sometimes disrupting survey parties’ amongst other process.79 These acts </w:t>
      </w:r>
      <w:r w:rsidRPr="001A1971">
        <w:rPr>
          <w:rStyle w:val="StyleUnderline"/>
        </w:rPr>
        <w:t>panic</w:t>
      </w:r>
      <w:r w:rsidRPr="001A1971">
        <w:rPr>
          <w:sz w:val="16"/>
        </w:rPr>
        <w:t xml:space="preserve"> the subject that is disciplined as a product of settler colonial power, by forcing encounters with the sovereign indigenous peoples that were imagined to be gone. This </w:t>
      </w:r>
      <w:r w:rsidRPr="001A1971">
        <w:rPr>
          <w:rStyle w:val="StyleUnderline"/>
        </w:rPr>
        <w:t>reveals to the settler</w:t>
      </w:r>
      <w:r w:rsidRPr="001A1971">
        <w:rPr>
          <w:sz w:val="16"/>
        </w:rPr>
        <w:t xml:space="preserve">, if only fleetingly, </w:t>
      </w:r>
      <w:r w:rsidRPr="001A1971">
        <w:rPr>
          <w:rStyle w:val="StyleUnderline"/>
        </w:rPr>
        <w:t xml:space="preserve">the violence that founds and sustains the settler colonial relationship. While such practices may not overthrow the settler colonial system, they do </w:t>
      </w:r>
      <w:r w:rsidRPr="001A1971">
        <w:rPr>
          <w:rStyle w:val="Emphasis"/>
        </w:rPr>
        <w:t>subvert its logics by insistently drawing attention to the ongoing presence of indigenous peoples who refuse erasure.</w:t>
      </w:r>
    </w:p>
    <w:p w14:paraId="40050491" w14:textId="77777777" w:rsidR="008D1AF4" w:rsidRDefault="008D1AF4" w:rsidP="008D1AF4">
      <w:pPr>
        <w:pStyle w:val="Heading2"/>
      </w:pPr>
      <w:r>
        <w:lastRenderedPageBreak/>
        <w:t>Case</w:t>
      </w:r>
    </w:p>
    <w:p w14:paraId="1B8D0645" w14:textId="77777777" w:rsidR="008D1AF4" w:rsidRDefault="008D1AF4" w:rsidP="008D1AF4">
      <w:pPr>
        <w:pStyle w:val="Heading3"/>
      </w:pPr>
      <w:r>
        <w:lastRenderedPageBreak/>
        <w:t>Presumption---O/V---1NC</w:t>
      </w:r>
    </w:p>
    <w:p w14:paraId="23A99881" w14:textId="77777777" w:rsidR="008D1AF4" w:rsidRDefault="008D1AF4" w:rsidP="008D1AF4">
      <w:pPr>
        <w:pStyle w:val="Heading4"/>
      </w:pPr>
      <w:r>
        <w:t xml:space="preserve">2---Ballot </w:t>
      </w:r>
      <w:r>
        <w:rPr>
          <w:u w:val="single"/>
        </w:rPr>
        <w:t>isn’t</w:t>
      </w:r>
      <w:r>
        <w:t xml:space="preserve"> a currency, you are </w:t>
      </w:r>
      <w:r>
        <w:rPr>
          <w:u w:val="single"/>
        </w:rPr>
        <w:t>neither</w:t>
      </w:r>
      <w:r>
        <w:t xml:space="preserve"> changing the state </w:t>
      </w:r>
      <w:r>
        <w:rPr>
          <w:u w:val="single"/>
        </w:rPr>
        <w:t>nor</w:t>
      </w:r>
      <w:r>
        <w:t xml:space="preserve"> the state of debate – debates are </w:t>
      </w:r>
      <w:r>
        <w:rPr>
          <w:u w:val="single"/>
        </w:rPr>
        <w:t>insulated</w:t>
      </w:r>
      <w:r>
        <w:t xml:space="preserve">, makes judges the </w:t>
      </w:r>
      <w:r>
        <w:rPr>
          <w:u w:val="single"/>
        </w:rPr>
        <w:t>authorities</w:t>
      </w:r>
      <w:r>
        <w:t xml:space="preserve"> to decide the </w:t>
      </w:r>
      <w:r>
        <w:rPr>
          <w:u w:val="single"/>
        </w:rPr>
        <w:t>validity</w:t>
      </w:r>
      <w:r>
        <w:t xml:space="preserve"> of struggle and </w:t>
      </w:r>
      <w:r>
        <w:rPr>
          <w:u w:val="single"/>
        </w:rPr>
        <w:t>acceptableness</w:t>
      </w:r>
      <w:r>
        <w:t xml:space="preserve"> of their deviance which’s </w:t>
      </w:r>
      <w:r>
        <w:rPr>
          <w:u w:val="single"/>
        </w:rPr>
        <w:t>oppressive</w:t>
      </w:r>
      <w:r>
        <w:t xml:space="preserve">, and </w:t>
      </w:r>
      <w:r>
        <w:rPr>
          <w:u w:val="single"/>
        </w:rPr>
        <w:t>excludes</w:t>
      </w:r>
      <w:r>
        <w:t xml:space="preserve"> those who </w:t>
      </w:r>
      <w:r>
        <w:rPr>
          <w:u w:val="single"/>
        </w:rPr>
        <w:t>don’t</w:t>
      </w:r>
      <w:r>
        <w:t xml:space="preserve"> win by assuming their </w:t>
      </w:r>
      <w:r>
        <w:rPr>
          <w:u w:val="single"/>
        </w:rPr>
        <w:t>grievances</w:t>
      </w:r>
      <w:r>
        <w:t xml:space="preserve"> are illegitimate sans </w:t>
      </w:r>
      <w:r>
        <w:rPr>
          <w:u w:val="single"/>
        </w:rPr>
        <w:t>ballots</w:t>
      </w:r>
      <w:r>
        <w:t xml:space="preserve"> – turns </w:t>
      </w:r>
      <w:r>
        <w:rPr>
          <w:u w:val="single"/>
        </w:rPr>
        <w:t>case</w:t>
      </w:r>
      <w:r>
        <w:t xml:space="preserve">. </w:t>
      </w:r>
    </w:p>
    <w:p w14:paraId="3C4C588B" w14:textId="77777777" w:rsidR="008D1AF4" w:rsidRDefault="008D1AF4" w:rsidP="008D1AF4">
      <w:pPr>
        <w:shd w:val="clear" w:color="auto" w:fill="FFFFFF"/>
        <w:rPr>
          <w:rFonts w:eastAsia="Calibri"/>
          <w:sz w:val="16"/>
          <w:szCs w:val="16"/>
        </w:rPr>
      </w:pPr>
      <w:r>
        <w:rPr>
          <w:rFonts w:eastAsia="Calibri"/>
          <w:b/>
          <w:sz w:val="26"/>
          <w:szCs w:val="26"/>
        </w:rPr>
        <w:t xml:space="preserve">Bankey 13 </w:t>
      </w:r>
      <w:r>
        <w:rPr>
          <w:rFonts w:eastAsia="Calibri"/>
          <w:sz w:val="16"/>
          <w:szCs w:val="16"/>
        </w:rPr>
        <w:t xml:space="preserve">(BRENDON BANKEY – A Thesis Submitted to the Graduate Faculty of   WAKE FOREST UNIVERSITY GRADUATE SCHOOL OF ARTS AND SCIENCES   in Partial Fulfillment of the Requirements   for the Degree of   MASTER OF ARTS   Communication   August 2013 – Bankey holds an BA from Trinity and now holds an MA from Wake Forest. This thesis was approved by: Michael J. Hyde, Ph.D., Advisor; Mary M. Dalton, Ph.D., Chair; R. Jarrod Atchison, Ph.D.   THE “FACT OF BLACKNESS” DOES NOT EXIST: AN EVOCATIVE CRITICISM   OF RESISTANCE RHETORIC IN ACADEMIC POLICY DEBATE AND ITS   (MIS)USE OF FRANTZ FANON’S BLACK SKIN, WHITE MASKS – From Chapter Two – footnoting Atchison and Panetta and consistent with Bankey’s defense of an aspect of their position – http://wakespace.lib.wfu.edu/bitstream/handle/10339/39020/Bankey_wfu_0248M_10473.pdf) </w:t>
      </w:r>
    </w:p>
    <w:p w14:paraId="57ED9181" w14:textId="77777777" w:rsidR="008D1AF4" w:rsidRPr="00313D86" w:rsidRDefault="008D1AF4" w:rsidP="008D1AF4">
      <w:pPr>
        <w:shd w:val="clear" w:color="auto" w:fill="FFFFFF"/>
        <w:rPr>
          <w:rFonts w:eastAsia="Calibri"/>
          <w:sz w:val="14"/>
          <w:szCs w:val="14"/>
        </w:rPr>
      </w:pPr>
      <w:r>
        <w:rPr>
          <w:rFonts w:eastAsia="Calibri"/>
          <w:sz w:val="14"/>
          <w:szCs w:val="14"/>
        </w:rPr>
        <w:t xml:space="preserve">For Atchison and Panetta , “the ballot” a judge casts at the conclusion of a debate should signify nothing more or less than that person’s decision “to vote for the team that does the best debating.” This understanding encourages judges to limit their analysis of a debate to the arguments presented within each team’ s allotted times to speak. It would exclude decisions focused on resolving external abuses such as: determining the appropriateness of statements or events between a team or program that occurred outside of the immediate debate; challenging a school’s succ ess at “recruiting minority participants”; criticizing the civil rights legacy of participants’ academic institutions; or increasing the presence of underrepresented bodies in elimination debates. By contrast, </w:t>
      </w:r>
      <w:r>
        <w:rPr>
          <w:rFonts w:eastAsia="Calibri"/>
          <w:u w:val="single"/>
        </w:rPr>
        <w:t xml:space="preserve">some non </w:t>
      </w:r>
      <w:r>
        <w:rPr>
          <w:rFonts w:eastAsia="Calibri"/>
          <w:sz w:val="14"/>
          <w:szCs w:val="14"/>
        </w:rPr>
        <w:t xml:space="preserve">- </w:t>
      </w:r>
      <w:r>
        <w:rPr>
          <w:rFonts w:eastAsia="Calibri"/>
          <w:u w:val="single"/>
        </w:rPr>
        <w:t xml:space="preserve">traditional </w:t>
      </w:r>
      <w:r>
        <w:rPr>
          <w:rFonts w:eastAsia="Calibri"/>
          <w:highlight w:val="cyan"/>
          <w:u w:val="single"/>
        </w:rPr>
        <w:t xml:space="preserve">teams </w:t>
      </w:r>
      <w:r>
        <w:rPr>
          <w:rFonts w:eastAsia="Calibri"/>
          <w:u w:val="single"/>
        </w:rPr>
        <w:t xml:space="preserve">interested in </w:t>
      </w:r>
      <w:r>
        <w:rPr>
          <w:rFonts w:eastAsia="Calibri"/>
          <w:highlight w:val="cyan"/>
          <w:u w:val="single"/>
        </w:rPr>
        <w:t>challenging</w:t>
      </w:r>
      <w:r>
        <w:rPr>
          <w:rFonts w:eastAsia="Calibri"/>
          <w:sz w:val="14"/>
          <w:szCs w:val="14"/>
        </w:rPr>
        <w:t xml:space="preserve"> the marginalizing effects of </w:t>
      </w:r>
      <w:r>
        <w:rPr>
          <w:rFonts w:eastAsia="Calibri"/>
          <w:u w:val="single"/>
        </w:rPr>
        <w:t xml:space="preserve">policy </w:t>
      </w:r>
      <w:r>
        <w:rPr>
          <w:rFonts w:eastAsia="Calibri"/>
          <w:highlight w:val="cyan"/>
          <w:u w:val="single"/>
        </w:rPr>
        <w:t>debate</w:t>
      </w:r>
      <w:r>
        <w:rPr>
          <w:rFonts w:eastAsia="Calibri"/>
          <w:sz w:val="14"/>
          <w:szCs w:val="14"/>
        </w:rPr>
        <w:t xml:space="preserve"> formats </w:t>
      </w:r>
      <w:r>
        <w:rPr>
          <w:rFonts w:eastAsia="Calibri"/>
          <w:u w:val="single"/>
        </w:rPr>
        <w:t xml:space="preserve">have begun to </w:t>
      </w:r>
      <w:r>
        <w:rPr>
          <w:rFonts w:eastAsia="Calibri"/>
          <w:highlight w:val="cyan"/>
          <w:u w:val="single"/>
        </w:rPr>
        <w:t>advocate</w:t>
      </w:r>
      <w:r>
        <w:rPr>
          <w:rFonts w:eastAsia="Calibri"/>
          <w:u w:val="single"/>
        </w:rPr>
        <w:t xml:space="preserve"> </w:t>
      </w:r>
      <w:r>
        <w:rPr>
          <w:rFonts w:eastAsia="Calibri"/>
          <w:sz w:val="14"/>
          <w:szCs w:val="14"/>
        </w:rPr>
        <w:t xml:space="preserve">what I call </w:t>
      </w:r>
      <w:r>
        <w:rPr>
          <w:rFonts w:eastAsia="Calibri"/>
          <w:highlight w:val="cyan"/>
          <w:u w:val="single"/>
        </w:rPr>
        <w:t>a “ballot as currency” model</w:t>
      </w:r>
      <w:r>
        <w:rPr>
          <w:rFonts w:eastAsia="Calibri"/>
          <w:sz w:val="14"/>
          <w:szCs w:val="14"/>
        </w:rPr>
        <w:t xml:space="preserve"> for judges to evaluate debates. </w:t>
      </w:r>
      <w:r>
        <w:rPr>
          <w:rFonts w:eastAsia="Calibri"/>
          <w:u w:val="single"/>
        </w:rPr>
        <w:t>While the specific terminology is not universal</w:t>
      </w:r>
      <w:r>
        <w:rPr>
          <w:rFonts w:eastAsia="Calibri"/>
          <w:sz w:val="14"/>
          <w:szCs w:val="14"/>
        </w:rPr>
        <w:t xml:space="preserve">ly </w:t>
      </w:r>
      <w:r>
        <w:rPr>
          <w:rFonts w:eastAsia="Calibri"/>
          <w:u w:val="single"/>
        </w:rPr>
        <w:t xml:space="preserve">employed, </w:t>
      </w:r>
      <w:r>
        <w:rPr>
          <w:rFonts w:eastAsia="Calibri"/>
          <w:sz w:val="14"/>
          <w:szCs w:val="14"/>
        </w:rPr>
        <w:t xml:space="preserve">the “ballot as currency” approach establis hes that a judge’s ballot signifies what bodies and practices she deems appropriate for policy debate. Within this model, </w:t>
      </w:r>
      <w:r>
        <w:rPr>
          <w:rFonts w:eastAsia="Calibri"/>
          <w:highlight w:val="cyan"/>
          <w:u w:val="single"/>
        </w:rPr>
        <w:t xml:space="preserve">a </w:t>
      </w:r>
      <w:r>
        <w:rPr>
          <w:rFonts w:eastAsia="Calibri"/>
          <w:u w:val="single"/>
        </w:rPr>
        <w:t xml:space="preserve">non - traditional </w:t>
      </w:r>
      <w:r>
        <w:rPr>
          <w:rFonts w:eastAsia="Calibri"/>
          <w:highlight w:val="cyan"/>
          <w:u w:val="single"/>
        </w:rPr>
        <w:t xml:space="preserve">team’s ability to accumulate wins is a </w:t>
      </w:r>
      <w:r>
        <w:rPr>
          <w:rFonts w:eastAsia="Calibri"/>
          <w:b/>
          <w:highlight w:val="cyan"/>
          <w:u w:val="single"/>
        </w:rPr>
        <w:t>referendum</w:t>
      </w:r>
      <w:r>
        <w:rPr>
          <w:rFonts w:eastAsia="Calibri"/>
          <w:highlight w:val="cyan"/>
          <w:u w:val="single"/>
        </w:rPr>
        <w:t xml:space="preserve"> on the </w:t>
      </w:r>
      <w:r>
        <w:rPr>
          <w:rFonts w:eastAsia="Calibri"/>
          <w:u w:val="single"/>
        </w:rPr>
        <w:t xml:space="preserve">perceived </w:t>
      </w:r>
      <w:r>
        <w:rPr>
          <w:rFonts w:eastAsia="Calibri"/>
          <w:b/>
          <w:highlight w:val="cyan"/>
          <w:u w:val="single"/>
        </w:rPr>
        <w:t>acceptableness of their bodies</w:t>
      </w:r>
      <w:r>
        <w:rPr>
          <w:rFonts w:eastAsia="Calibri"/>
          <w:highlight w:val="cyan"/>
          <w:u w:val="single"/>
        </w:rPr>
        <w:t xml:space="preserve"> </w:t>
      </w:r>
      <w:r>
        <w:rPr>
          <w:rFonts w:eastAsia="Calibri"/>
          <w:u w:val="single"/>
        </w:rPr>
        <w:t>for academic spaces</w:t>
      </w:r>
      <w:r>
        <w:rPr>
          <w:rFonts w:eastAsia="Calibri"/>
          <w:sz w:val="14"/>
          <w:szCs w:val="14"/>
        </w:rPr>
        <w:t xml:space="preserve">. </w:t>
      </w:r>
      <w:r>
        <w:rPr>
          <w:rFonts w:eastAsia="Calibri"/>
          <w:highlight w:val="cyan"/>
          <w:u w:val="single"/>
        </w:rPr>
        <w:t xml:space="preserve">Beyond </w:t>
      </w:r>
      <w:r>
        <w:rPr>
          <w:rFonts w:eastAsia="Calibri"/>
          <w:sz w:val="14"/>
          <w:szCs w:val="14"/>
        </w:rPr>
        <w:t xml:space="preserve">the </w:t>
      </w:r>
      <w:r>
        <w:rPr>
          <w:rFonts w:eastAsia="Calibri"/>
          <w:b/>
          <w:highlight w:val="cyan"/>
          <w:u w:val="single"/>
        </w:rPr>
        <w:t>structural factors that limit the visibility of any</w:t>
      </w:r>
      <w:r>
        <w:rPr>
          <w:rFonts w:eastAsia="Calibri"/>
          <w:b/>
          <w:u w:val="single"/>
        </w:rPr>
        <w:t xml:space="preserve"> individual </w:t>
      </w:r>
      <w:r>
        <w:rPr>
          <w:rFonts w:eastAsia="Calibri"/>
          <w:b/>
          <w:highlight w:val="cyan"/>
          <w:u w:val="single"/>
        </w:rPr>
        <w:t>debate</w:t>
      </w:r>
      <w:r>
        <w:rPr>
          <w:rFonts w:eastAsia="Calibri"/>
          <w:sz w:val="14"/>
          <w:szCs w:val="14"/>
        </w:rPr>
        <w:t xml:space="preserve">, Atchison and Panetta identify two problems with the “ballot as currency” method for evaluating debates. First, the “ballot as currency” approach presents the dilemma of “ </w:t>
      </w:r>
      <w:r>
        <w:rPr>
          <w:rFonts w:eastAsia="Calibri"/>
          <w:highlight w:val="cyan"/>
          <w:u w:val="single"/>
        </w:rPr>
        <w:t xml:space="preserve">asking a judge </w:t>
      </w:r>
      <w:r>
        <w:rPr>
          <w:rFonts w:eastAsia="Calibri"/>
          <w:u w:val="single"/>
        </w:rPr>
        <w:t xml:space="preserve">to vote </w:t>
      </w:r>
      <w:r>
        <w:rPr>
          <w:rFonts w:eastAsia="Calibri"/>
          <w:highlight w:val="cyan"/>
          <w:u w:val="single"/>
        </w:rPr>
        <w:t xml:space="preserve">to solve a community problem ” with </w:t>
      </w:r>
      <w:r>
        <w:rPr>
          <w:rFonts w:eastAsia="Calibri"/>
          <w:b/>
          <w:u w:val="single"/>
        </w:rPr>
        <w:t xml:space="preserve">very </w:t>
      </w:r>
      <w:r>
        <w:rPr>
          <w:rFonts w:eastAsia="Calibri"/>
          <w:b/>
          <w:highlight w:val="cyan"/>
          <w:u w:val="single"/>
        </w:rPr>
        <w:t>“few participants</w:t>
      </w:r>
      <w:r>
        <w:rPr>
          <w:rFonts w:eastAsia="Calibri"/>
          <w:b/>
          <w:u w:val="single"/>
        </w:rPr>
        <w:t xml:space="preserve"> </w:t>
      </w:r>
      <w:r>
        <w:rPr>
          <w:rFonts w:eastAsia="Calibri"/>
          <w:b/>
          <w:highlight w:val="cyan"/>
          <w:u w:val="single"/>
        </w:rPr>
        <w:t>”</w:t>
      </w:r>
      <w:r>
        <w:rPr>
          <w:rFonts w:eastAsia="Calibri"/>
          <w:sz w:val="14"/>
          <w:szCs w:val="14"/>
        </w:rPr>
        <w:t xml:space="preserve"> (generally the other people in the room) allowed to take a stake in the process. This </w:t>
      </w:r>
      <w:r>
        <w:rPr>
          <w:rFonts w:eastAsia="Calibri"/>
          <w:u w:val="single"/>
        </w:rPr>
        <w:t>places the course of community change on the shoulders of those who judge debates between traditional and non - traditional teams</w:t>
      </w:r>
      <w:r>
        <w:rPr>
          <w:rFonts w:eastAsia="Calibri"/>
          <w:sz w:val="14"/>
          <w:szCs w:val="14"/>
        </w:rPr>
        <w:t xml:space="preserve"> and excludes those “coaches and directors who are not preferred judges and, therefore, do not have access to many debates.” Furthermore, </w:t>
      </w:r>
      <w:r>
        <w:rPr>
          <w:rFonts w:eastAsia="Calibri"/>
          <w:highlight w:val="cyan"/>
          <w:u w:val="single"/>
        </w:rPr>
        <w:t>it excludes those</w:t>
      </w:r>
      <w:r>
        <w:rPr>
          <w:rFonts w:eastAsia="Calibri"/>
          <w:u w:val="single"/>
        </w:rPr>
        <w:t xml:space="preserve"> “</w:t>
      </w:r>
      <w:r>
        <w:rPr>
          <w:rFonts w:eastAsia="Calibri"/>
          <w:highlight w:val="cyan"/>
          <w:u w:val="single"/>
        </w:rPr>
        <w:t xml:space="preserve">who </w:t>
      </w:r>
      <w:r>
        <w:rPr>
          <w:rFonts w:eastAsia="Calibri"/>
          <w:u w:val="single"/>
        </w:rPr>
        <w:t xml:space="preserve">might </w:t>
      </w:r>
      <w:r>
        <w:rPr>
          <w:rFonts w:eastAsia="Calibri"/>
          <w:b/>
          <w:u w:val="single"/>
        </w:rPr>
        <w:t>want to contribute</w:t>
      </w:r>
      <w:r>
        <w:rPr>
          <w:rFonts w:eastAsia="Calibri"/>
          <w:u w:val="single"/>
        </w:rPr>
        <w:t xml:space="preserve"> to community conversation, but </w:t>
      </w:r>
      <w:r>
        <w:rPr>
          <w:rFonts w:eastAsia="Calibri"/>
          <w:highlight w:val="cyan"/>
          <w:u w:val="single"/>
        </w:rPr>
        <w:t xml:space="preserve">are not </w:t>
      </w:r>
      <w:r>
        <w:rPr>
          <w:rFonts w:eastAsia="Calibri"/>
          <w:u w:val="single"/>
        </w:rPr>
        <w:t xml:space="preserve">directly </w:t>
      </w:r>
      <w:r>
        <w:rPr>
          <w:rFonts w:eastAsia="Calibri"/>
          <w:highlight w:val="cyan"/>
          <w:u w:val="single"/>
        </w:rPr>
        <w:t>involved in competition</w:t>
      </w:r>
      <w:r>
        <w:rPr>
          <w:rFonts w:eastAsia="Calibri"/>
          <w:sz w:val="14"/>
          <w:szCs w:val="14"/>
        </w:rPr>
        <w:t xml:space="preserve">.” Prioritizing </w:t>
      </w:r>
      <w:r>
        <w:rPr>
          <w:rFonts w:eastAsia="Calibri"/>
          <w:u w:val="single"/>
        </w:rPr>
        <w:t xml:space="preserve">the “ballot as currency” approach fails to recognize that “debate community is broader than the individual participants” of a given debate </w:t>
      </w:r>
      <w:r>
        <w:rPr>
          <w:rFonts w:eastAsia="Calibri"/>
          <w:sz w:val="14"/>
          <w:szCs w:val="14"/>
        </w:rPr>
        <w:t xml:space="preserve">and risks the creation of “an insulated community that has a ll the answers” without ever engaging those concerned individuals who do not attend every competition. </w:t>
      </w:r>
      <w:r>
        <w:rPr>
          <w:rFonts w:eastAsia="Calibri"/>
          <w:u w:val="single"/>
        </w:rPr>
        <w:t xml:space="preserve">The result is that </w:t>
      </w:r>
      <w:r>
        <w:rPr>
          <w:rFonts w:eastAsia="Calibri"/>
          <w:highlight w:val="cyan"/>
          <w:u w:val="single"/>
        </w:rPr>
        <w:t xml:space="preserve">a </w:t>
      </w:r>
      <w:r>
        <w:rPr>
          <w:rFonts w:eastAsia="Calibri"/>
          <w:u w:val="single"/>
        </w:rPr>
        <w:t xml:space="preserve">very </w:t>
      </w:r>
      <w:r>
        <w:rPr>
          <w:rFonts w:eastAsia="Calibri"/>
          <w:highlight w:val="cyan"/>
          <w:u w:val="single"/>
        </w:rPr>
        <w:t xml:space="preserve">narrow set of judges, </w:t>
      </w:r>
      <w:r>
        <w:rPr>
          <w:rFonts w:eastAsia="Calibri"/>
          <w:u w:val="single"/>
        </w:rPr>
        <w:t xml:space="preserve">usually those that often judge Framework debates, </w:t>
      </w:r>
      <w:r>
        <w:rPr>
          <w:rFonts w:eastAsia="Calibri"/>
          <w:highlight w:val="cyan"/>
          <w:u w:val="single"/>
        </w:rPr>
        <w:t xml:space="preserve">are granted </w:t>
      </w:r>
      <w:r>
        <w:rPr>
          <w:rFonts w:eastAsia="Calibri"/>
          <w:u w:val="single"/>
        </w:rPr>
        <w:t xml:space="preserve">the </w:t>
      </w:r>
      <w:r>
        <w:rPr>
          <w:rFonts w:eastAsia="Calibri"/>
          <w:highlight w:val="cyan"/>
          <w:u w:val="single"/>
        </w:rPr>
        <w:t xml:space="preserve">authority to determine </w:t>
      </w:r>
      <w:r>
        <w:rPr>
          <w:rFonts w:eastAsia="Calibri"/>
          <w:u w:val="single"/>
        </w:rPr>
        <w:t xml:space="preserve">the outcome of </w:t>
      </w:r>
      <w:r>
        <w:rPr>
          <w:rFonts w:eastAsia="Calibri"/>
          <w:highlight w:val="cyan"/>
          <w:u w:val="single"/>
        </w:rPr>
        <w:t>communal change.</w:t>
      </w:r>
      <w:r>
        <w:rPr>
          <w:rFonts w:eastAsia="Calibri"/>
          <w:u w:val="single"/>
        </w:rPr>
        <w:t xml:space="preserve"> </w:t>
      </w:r>
      <w:r>
        <w:rPr>
          <w:rFonts w:eastAsia="Calibri"/>
          <w:sz w:val="14"/>
          <w:szCs w:val="14"/>
        </w:rPr>
        <w:t xml:space="preserve">21 </w:t>
      </w:r>
    </w:p>
    <w:p w14:paraId="4FF3E6DE" w14:textId="77777777" w:rsidR="008D1AF4" w:rsidRDefault="008D1AF4" w:rsidP="008D1AF4">
      <w:pPr>
        <w:pStyle w:val="Heading3"/>
      </w:pPr>
      <w:r>
        <w:lastRenderedPageBreak/>
        <w:t>Academic Criticism Bad DA</w:t>
      </w:r>
    </w:p>
    <w:p w14:paraId="5AECA6CB" w14:textId="77777777" w:rsidR="008D1AF4" w:rsidRDefault="008D1AF4" w:rsidP="008D1AF4">
      <w:pPr>
        <w:pStyle w:val="Heading4"/>
      </w:pPr>
      <w:r>
        <w:t xml:space="preserve">Positioning extra-legal struggle as a site of academic criticism is depoliticizing---it destroys material change in favor of the parasitism of academic legitimation </w:t>
      </w:r>
    </w:p>
    <w:p w14:paraId="43C792E9" w14:textId="77777777" w:rsidR="008D1AF4" w:rsidRDefault="008D1AF4" w:rsidP="008D1AF4">
      <w:r>
        <w:rPr>
          <w:rStyle w:val="Style13ptBold"/>
        </w:rPr>
        <w:t>Phillips 99</w:t>
      </w:r>
      <w:r>
        <w:t>, Professor of Communication at Central Missouri State University (Kendall, 1999, “Rhetoric, Resistance, and Criticism: A Response to Sloop and Ono,” Philosophy &amp; Rhetoric, Vol. 32, No. 1, Penn State University Press) NByl</w:t>
      </w:r>
    </w:p>
    <w:p w14:paraId="5A5BD454" w14:textId="77777777" w:rsidR="008D1AF4" w:rsidRPr="001F69E8" w:rsidRDefault="008D1AF4" w:rsidP="008D1AF4">
      <w:pPr>
        <w:spacing w:line="276" w:lineRule="auto"/>
        <w:rPr>
          <w:sz w:val="16"/>
        </w:rPr>
      </w:pPr>
      <w:r w:rsidRPr="002D685C">
        <w:rPr>
          <w:rStyle w:val="StyleUnderline"/>
          <w:b/>
          <w:bCs/>
        </w:rPr>
        <w:t xml:space="preserve">My </w:t>
      </w:r>
      <w:r w:rsidRPr="00D60A45">
        <w:rPr>
          <w:rStyle w:val="StyleUnderline"/>
          <w:b/>
          <w:bCs/>
          <w:highlight w:val="green"/>
        </w:rPr>
        <w:t>concern</w:t>
      </w:r>
      <w:r w:rsidRPr="002D685C">
        <w:rPr>
          <w:rStyle w:val="StyleUnderline"/>
          <w:b/>
          <w:bCs/>
        </w:rPr>
        <w:t xml:space="preserve"> with this movement </w:t>
      </w:r>
      <w:r w:rsidRPr="00D60A45">
        <w:rPr>
          <w:rStyle w:val="StyleUnderline"/>
          <w:b/>
          <w:bCs/>
          <w:highlight w:val="green"/>
        </w:rPr>
        <w:t>centers around</w:t>
      </w:r>
      <w:r w:rsidRPr="002D685C">
        <w:rPr>
          <w:b/>
          <w:bCs/>
          <w:sz w:val="16"/>
        </w:rPr>
        <w:t xml:space="preserve"> </w:t>
      </w:r>
      <w:r w:rsidRPr="001F69E8">
        <w:rPr>
          <w:sz w:val="16"/>
        </w:rPr>
        <w:t xml:space="preserve">an issue that Sloop and Ono seem to take as a given, namely, </w:t>
      </w:r>
      <w:r w:rsidRPr="00D60A45">
        <w:rPr>
          <w:rStyle w:val="StyleUnderline"/>
          <w:b/>
          <w:bCs/>
          <w:highlight w:val="green"/>
        </w:rPr>
        <w:t>the</w:t>
      </w:r>
      <w:r w:rsidRPr="009A0F76">
        <w:rPr>
          <w:rStyle w:val="StyleUnderline"/>
          <w:b/>
          <w:bCs/>
        </w:rPr>
        <w:t xml:space="preserve"> role of the </w:t>
      </w:r>
      <w:r w:rsidRPr="00D60A45">
        <w:rPr>
          <w:rStyle w:val="StyleUnderline"/>
          <w:b/>
          <w:bCs/>
          <w:highlight w:val="green"/>
        </w:rPr>
        <w:t>critic</w:t>
      </w:r>
      <w:r w:rsidRPr="001F69E8">
        <w:rPr>
          <w:sz w:val="16"/>
        </w:rPr>
        <w:t xml:space="preserve">. On one hand, </w:t>
      </w:r>
      <w:r w:rsidRPr="00FF78E6">
        <w:rPr>
          <w:rStyle w:val="StyleUnderline"/>
        </w:rPr>
        <w:t>callin</w:t>
      </w:r>
      <w:r w:rsidRPr="00642A0A">
        <w:rPr>
          <w:rStyle w:val="StyleUnderline"/>
        </w:rPr>
        <w:t>g for the systematic investigation of existing marginalized discourses is a natural extension</w:t>
      </w:r>
      <w:r w:rsidRPr="001F69E8">
        <w:rPr>
          <w:sz w:val="16"/>
        </w:rPr>
        <w:t xml:space="preserve"> both </w:t>
      </w:r>
      <w:r w:rsidRPr="00642A0A">
        <w:rPr>
          <w:rStyle w:val="StyleUnderline"/>
        </w:rPr>
        <w:t>of critical rhetoric</w:t>
      </w:r>
      <w:r w:rsidRPr="001F69E8">
        <w:rPr>
          <w:sz w:val="16"/>
        </w:rPr>
        <w:t xml:space="preserve"> (see McKerrow 1989, 1991) </w:t>
      </w:r>
      <w:r w:rsidRPr="00642A0A">
        <w:rPr>
          <w:rStyle w:val="StyleUnderline"/>
        </w:rPr>
        <w:t>an</w:t>
      </w:r>
      <w:r w:rsidRPr="009A0F76">
        <w:rPr>
          <w:rStyle w:val="StyleUnderline"/>
        </w:rPr>
        <w:t>d</w:t>
      </w:r>
      <w:r w:rsidRPr="001F69E8">
        <w:rPr>
          <w:sz w:val="16"/>
        </w:rPr>
        <w:t xml:space="preserve"> of </w:t>
      </w:r>
      <w:r w:rsidRPr="00642A0A">
        <w:rPr>
          <w:rStyle w:val="StyleUnderline"/>
        </w:rPr>
        <w:t>the general ideological turn in criticism</w:t>
      </w:r>
      <w:r w:rsidRPr="001F69E8">
        <w:rPr>
          <w:sz w:val="16"/>
        </w:rPr>
        <w:t xml:space="preserve"> (see Wander 1983). </w:t>
      </w:r>
      <w:r w:rsidRPr="00642A0A">
        <w:rPr>
          <w:rStyle w:val="StyleUnderline"/>
        </w:rPr>
        <w:t xml:space="preserve">On the other hand, </w:t>
      </w:r>
      <w:r w:rsidRPr="009A0F76">
        <w:rPr>
          <w:rStyle w:val="StyleUnderline"/>
          <w:b/>
          <w:bCs/>
        </w:rPr>
        <w:t>the ease of transition from criticism in the service of resistance to criticism of</w:t>
      </w:r>
      <w:r w:rsidRPr="00642A0A">
        <w:rPr>
          <w:rStyle w:val="StyleUnderline"/>
        </w:rPr>
        <w:t xml:space="preserve"> resistance </w:t>
      </w:r>
      <w:r w:rsidRPr="009A0F76">
        <w:rPr>
          <w:rStyle w:val="StyleUnderline"/>
        </w:rPr>
        <w:t>may obscure</w:t>
      </w:r>
      <w:r w:rsidRPr="00642A0A">
        <w:rPr>
          <w:rStyle w:val="StyleUnderline"/>
        </w:rPr>
        <w:t xml:space="preserve"> the need to address</w:t>
      </w:r>
      <w:r w:rsidRPr="001F69E8">
        <w:rPr>
          <w:sz w:val="16"/>
        </w:rPr>
        <w:t xml:space="preserve"> some </w:t>
      </w:r>
      <w:r w:rsidRPr="00642A0A">
        <w:rPr>
          <w:rStyle w:val="StyleUnderline"/>
        </w:rPr>
        <w:t xml:space="preserve">fundamental issues regarding </w:t>
      </w:r>
      <w:r w:rsidRPr="009A0F76">
        <w:rPr>
          <w:rStyle w:val="StyleUnderline"/>
          <w:b/>
          <w:bCs/>
        </w:rPr>
        <w:t>the general function of rhetorical criticism in an uncertain and contentious world</w:t>
      </w:r>
      <w:r w:rsidRPr="001F69E8">
        <w:rPr>
          <w:sz w:val="16"/>
        </w:rPr>
        <w:t>. Beyond licensing the critic to engage in political struggle, Sloop and Ono advocate the pursuit of covert resistant discourses.</w:t>
      </w:r>
    </w:p>
    <w:p w14:paraId="0FED72A2" w14:textId="77777777" w:rsidR="008D1AF4" w:rsidRPr="009A0F76" w:rsidRDefault="008D1AF4" w:rsidP="008D1AF4">
      <w:pPr>
        <w:spacing w:line="276" w:lineRule="auto"/>
        <w:rPr>
          <w:rStyle w:val="StyleUnderline"/>
          <w:b/>
          <w:bCs/>
        </w:rPr>
      </w:pPr>
      <w:r w:rsidRPr="001F69E8">
        <w:rPr>
          <w:sz w:val="16"/>
        </w:rPr>
        <w:t xml:space="preserve">Such a move not only stretches our understanding of rhetoric and criticism, but also alters significantly the relationship between critic and outlaw. </w:t>
      </w:r>
      <w:r w:rsidRPr="0049225A">
        <w:rPr>
          <w:rStyle w:val="StyleUnderline"/>
        </w:rPr>
        <w:t xml:space="preserve">Critical interrogation of dominant discursive practices in the service of political/cultural reform is </w:t>
      </w:r>
      <w:r w:rsidRPr="009A0F76">
        <w:rPr>
          <w:rStyle w:val="StyleUnderline"/>
          <w:b/>
          <w:bCs/>
        </w:rPr>
        <w:t>supplanted</w:t>
      </w:r>
      <w:r w:rsidRPr="0049225A">
        <w:rPr>
          <w:rStyle w:val="StyleUnderline"/>
        </w:rPr>
        <w:t xml:space="preserve"> in favor of positioning covert outlaw communities as objects of investigation. Invited to seek out subversive discourses, </w:t>
      </w:r>
      <w:r w:rsidRPr="00D60A45">
        <w:rPr>
          <w:rStyle w:val="StyleUnderline"/>
          <w:highlight w:val="green"/>
        </w:rPr>
        <w:t>the critic is positioned as the</w:t>
      </w:r>
      <w:r w:rsidRPr="0049225A">
        <w:rPr>
          <w:rStyle w:val="StyleUnderline"/>
        </w:rPr>
        <w:t xml:space="preserve"> active </w:t>
      </w:r>
      <w:r w:rsidRPr="00D60A45">
        <w:rPr>
          <w:rStyle w:val="StyleUnderline"/>
          <w:highlight w:val="green"/>
        </w:rPr>
        <w:t>agent of change and</w:t>
      </w:r>
      <w:r w:rsidRPr="0049225A">
        <w:rPr>
          <w:rStyle w:val="StyleUnderline"/>
        </w:rPr>
        <w:t xml:space="preserve"> the </w:t>
      </w:r>
      <w:r w:rsidRPr="00D60A45">
        <w:rPr>
          <w:rStyle w:val="StyleUnderline"/>
          <w:highlight w:val="green"/>
        </w:rPr>
        <w:t xml:space="preserve">out-law discourse becomes </w:t>
      </w:r>
      <w:r w:rsidRPr="00D60A45">
        <w:rPr>
          <w:rStyle w:val="StyleUnderline"/>
          <w:b/>
          <w:bCs/>
          <w:highlight w:val="green"/>
        </w:rPr>
        <w:t>merely instrumental</w:t>
      </w:r>
      <w:r w:rsidRPr="0049225A">
        <w:rPr>
          <w:rStyle w:val="StyleUnderline"/>
        </w:rPr>
        <w:t xml:space="preserve">. </w:t>
      </w:r>
      <w:r w:rsidRPr="009A0F76">
        <w:rPr>
          <w:rStyle w:val="StyleUnderline"/>
          <w:b/>
          <w:bCs/>
        </w:rPr>
        <w:t xml:space="preserve">Rather than academic criticism acting in service of everyday acts of resistance, everyday </w:t>
      </w:r>
      <w:r w:rsidRPr="00D60A45">
        <w:rPr>
          <w:rStyle w:val="StyleUnderline"/>
          <w:b/>
          <w:bCs/>
          <w:highlight w:val="green"/>
        </w:rPr>
        <w:t>acts of resistance are put in</w:t>
      </w:r>
      <w:r w:rsidRPr="009A0F76">
        <w:rPr>
          <w:rStyle w:val="StyleUnderline"/>
          <w:b/>
          <w:bCs/>
        </w:rPr>
        <w:t xml:space="preserve">to the </w:t>
      </w:r>
      <w:r w:rsidRPr="00D60A45">
        <w:rPr>
          <w:rStyle w:val="StyleUnderline"/>
          <w:b/>
          <w:bCs/>
          <w:highlight w:val="green"/>
        </w:rPr>
        <w:t>service of academic criticism.</w:t>
      </w:r>
    </w:p>
    <w:p w14:paraId="23537BB5" w14:textId="77777777" w:rsidR="008D1AF4" w:rsidRPr="001F69E8" w:rsidRDefault="008D1AF4" w:rsidP="008D1AF4">
      <w:pPr>
        <w:spacing w:line="276" w:lineRule="auto"/>
        <w:rPr>
          <w:sz w:val="16"/>
        </w:rPr>
      </w:pPr>
      <w:r w:rsidRPr="001F69E8">
        <w:rPr>
          <w:sz w:val="16"/>
        </w:rPr>
        <w:t>Rhetorical resistance</w:t>
      </w:r>
    </w:p>
    <w:p w14:paraId="54BD93D6" w14:textId="77777777" w:rsidR="008D1AF4" w:rsidRPr="001F69E8" w:rsidRDefault="008D1AF4" w:rsidP="008D1AF4">
      <w:pPr>
        <w:spacing w:line="276" w:lineRule="auto"/>
        <w:rPr>
          <w:sz w:val="16"/>
        </w:rPr>
      </w:pPr>
      <w:r w:rsidRPr="001F69E8">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07DD64B8" w14:textId="77777777" w:rsidR="008D1AF4" w:rsidRPr="001F69E8" w:rsidRDefault="008D1AF4" w:rsidP="008D1AF4">
      <w:pPr>
        <w:spacing w:line="276" w:lineRule="auto"/>
        <w:rPr>
          <w:sz w:val="16"/>
        </w:rPr>
      </w:pPr>
      <w:r w:rsidRPr="001F69E8">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36D9081" w14:textId="77777777" w:rsidR="008D1AF4" w:rsidRPr="001F69E8" w:rsidRDefault="008D1AF4" w:rsidP="008D1AF4">
      <w:pPr>
        <w:spacing w:line="276" w:lineRule="auto"/>
        <w:rPr>
          <w:sz w:val="16"/>
        </w:rPr>
      </w:pPr>
      <w:r w:rsidRPr="001F69E8">
        <w:rPr>
          <w:sz w:val="16"/>
        </w:rPr>
        <w:t xml:space="preserve">The ongoing struggle between strategically instituted cultural dominants and the "out-law always lurk[ing] in the distance" (66) is acknowledged, even celebrated, by Sloop and Ono. </w:t>
      </w:r>
      <w:r w:rsidRPr="009A0F76">
        <w:rPr>
          <w:rStyle w:val="StyleUnderline"/>
          <w:b/>
          <w:bCs/>
        </w:rPr>
        <w:t xml:space="preserve">What their </w:t>
      </w:r>
      <w:r w:rsidRPr="00D60A45">
        <w:rPr>
          <w:rStyle w:val="StyleUnderline"/>
          <w:b/>
          <w:bCs/>
          <w:highlight w:val="green"/>
        </w:rPr>
        <w:t>acknowledgment fails to provide</w:t>
      </w:r>
      <w:r w:rsidRPr="001F69E8">
        <w:rPr>
          <w:sz w:val="16"/>
        </w:rPr>
        <w:t xml:space="preserve">, however, </w:t>
      </w:r>
      <w:r w:rsidRPr="009A0F76">
        <w:rPr>
          <w:rStyle w:val="StyleUnderline"/>
          <w:b/>
          <w:bCs/>
        </w:rPr>
        <w:t xml:space="preserve">is </w:t>
      </w:r>
      <w:r w:rsidRPr="00D60A45">
        <w:rPr>
          <w:rStyle w:val="StyleUnderline"/>
          <w:b/>
          <w:bCs/>
          <w:highlight w:val="green"/>
        </w:rPr>
        <w:t>a</w:t>
      </w:r>
      <w:r w:rsidRPr="009A0F76">
        <w:rPr>
          <w:rStyle w:val="StyleUnderline"/>
          <w:b/>
          <w:bCs/>
        </w:rPr>
        <w:t xml:space="preserve"> clear </w:t>
      </w:r>
      <w:r w:rsidRPr="00D60A45">
        <w:rPr>
          <w:rStyle w:val="StyleUnderline"/>
          <w:b/>
          <w:bCs/>
          <w:highlight w:val="green"/>
        </w:rPr>
        <w:t>need for critical intervention.</w:t>
      </w:r>
      <w:r w:rsidRPr="009A0F76">
        <w:rPr>
          <w:b/>
          <w:bCs/>
          <w:sz w:val="16"/>
        </w:rPr>
        <w:t xml:space="preserve"> </w:t>
      </w:r>
      <w:r w:rsidRPr="001F69E8">
        <w:rPr>
          <w:sz w:val="16"/>
        </w:rPr>
        <w:t xml:space="preserve">Indeed, quite the reverse is presented: </w:t>
      </w:r>
      <w:r w:rsidRPr="002A2B64">
        <w:rPr>
          <w:rStyle w:val="StyleUnderline"/>
        </w:rPr>
        <w:t xml:space="preserve">It is </w:t>
      </w:r>
      <w:r w:rsidRPr="00D60A45">
        <w:rPr>
          <w:rStyle w:val="StyleUnderline"/>
          <w:highlight w:val="green"/>
        </w:rPr>
        <w:t>the critic</w:t>
      </w:r>
      <w:r w:rsidRPr="002A2B64">
        <w:rPr>
          <w:rStyle w:val="StyleUnderline"/>
        </w:rPr>
        <w:t xml:space="preserve"> (particularly the left-leaning critic) who </w:t>
      </w:r>
      <w:r w:rsidRPr="00D60A45">
        <w:rPr>
          <w:rStyle w:val="StyleUnderline"/>
          <w:b/>
          <w:bCs/>
          <w:highlight w:val="green"/>
        </w:rPr>
        <w:t>needs</w:t>
      </w:r>
      <w:r w:rsidRPr="00D60A45">
        <w:rPr>
          <w:rStyle w:val="StyleUnderline"/>
          <w:highlight w:val="green"/>
        </w:rPr>
        <w:t xml:space="preserve"> out-law discourse.</w:t>
      </w:r>
      <w:r w:rsidRPr="001F69E8">
        <w:rPr>
          <w:sz w:val="16"/>
        </w:rPr>
        <w:t xml:space="preserve"> While the </w:t>
      </w:r>
      <w:r w:rsidRPr="002A2B64">
        <w:rPr>
          <w:rStyle w:val="StyleUnderline"/>
        </w:rPr>
        <w:t>struggles over justice, equality, and freedom have gone on</w:t>
      </w:r>
      <w:r w:rsidRPr="001F69E8">
        <w:rPr>
          <w:sz w:val="16"/>
        </w:rPr>
        <w:t xml:space="preserve">, the left-leaning </w:t>
      </w:r>
      <w:r w:rsidRPr="002A2B64">
        <w:rPr>
          <w:rStyle w:val="StyleUnderline"/>
        </w:rPr>
        <w:t xml:space="preserve">critics are those who have </w:t>
      </w:r>
      <w:r w:rsidRPr="009A0F76">
        <w:rPr>
          <w:rStyle w:val="StyleUnderline"/>
          <w:b/>
          <w:bCs/>
        </w:rPr>
        <w:t>theoretically excluded themselves</w:t>
      </w:r>
      <w:r w:rsidRPr="002A2B64">
        <w:rPr>
          <w:rStyle w:val="StyleUnderline"/>
        </w:rPr>
        <w:t xml:space="preserve"> from the disputes</w:t>
      </w:r>
      <w:r w:rsidRPr="001F69E8">
        <w:rPr>
          <w:sz w:val="16"/>
        </w:rPr>
        <w:t xml:space="preserve">.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w:t>
      </w:r>
      <w:r w:rsidRPr="009A0F76">
        <w:rPr>
          <w:rStyle w:val="StyleUnderline"/>
          <w:b/>
          <w:bCs/>
        </w:rPr>
        <w:t xml:space="preserve">the rhetoric of the </w:t>
      </w:r>
      <w:r w:rsidRPr="00D60A45">
        <w:rPr>
          <w:rStyle w:val="StyleUnderline"/>
          <w:b/>
          <w:bCs/>
          <w:highlight w:val="green"/>
        </w:rPr>
        <w:t>critics</w:t>
      </w:r>
      <w:r w:rsidRPr="009A0F76">
        <w:rPr>
          <w:rStyle w:val="StyleUnderline"/>
          <w:b/>
          <w:bCs/>
        </w:rPr>
        <w:t xml:space="preserve"> who, </w:t>
      </w:r>
      <w:r w:rsidRPr="00D60A45">
        <w:rPr>
          <w:rStyle w:val="StyleUnderline"/>
          <w:b/>
          <w:bCs/>
          <w:highlight w:val="green"/>
        </w:rPr>
        <w:t>having lost their political potency</w:t>
      </w:r>
      <w:r w:rsidRPr="009A0F76">
        <w:rPr>
          <w:rStyle w:val="StyleUnderline"/>
          <w:b/>
          <w:bCs/>
        </w:rPr>
        <w:t xml:space="preserve">, can </w:t>
      </w:r>
      <w:r w:rsidRPr="00D60A45">
        <w:rPr>
          <w:rStyle w:val="StyleUnderline"/>
          <w:b/>
          <w:bCs/>
          <w:highlight w:val="green"/>
        </w:rPr>
        <w:t>exploit the discourse of the out-law to promote ideological struggles.</w:t>
      </w:r>
      <w:r w:rsidRPr="001F69E8">
        <w:rPr>
          <w:sz w:val="16"/>
        </w:rPr>
        <w:t xml:space="preserve"> It is to this critical rhetoric that I now turn.</w:t>
      </w:r>
    </w:p>
    <w:p w14:paraId="2D4D7E67" w14:textId="77777777" w:rsidR="008D1AF4" w:rsidRPr="001F69E8" w:rsidRDefault="008D1AF4" w:rsidP="008D1AF4">
      <w:pPr>
        <w:spacing w:line="276" w:lineRule="auto"/>
        <w:rPr>
          <w:sz w:val="16"/>
        </w:rPr>
      </w:pPr>
      <w:r w:rsidRPr="001F69E8">
        <w:rPr>
          <w:sz w:val="16"/>
        </w:rPr>
        <w:lastRenderedPageBreak/>
        <w:t>Resistance criticism</w:t>
      </w:r>
    </w:p>
    <w:p w14:paraId="10F71195" w14:textId="77777777" w:rsidR="008D1AF4" w:rsidRPr="001F69E8" w:rsidRDefault="008D1AF4" w:rsidP="008D1AF4">
      <w:pPr>
        <w:spacing w:line="276" w:lineRule="auto"/>
        <w:rPr>
          <w:sz w:val="16"/>
        </w:rPr>
      </w:pPr>
      <w:r w:rsidRPr="001F69E8">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16A44A3" w14:textId="77777777" w:rsidR="008D1AF4" w:rsidRPr="001F69E8" w:rsidRDefault="008D1AF4" w:rsidP="008D1AF4">
      <w:pPr>
        <w:spacing w:line="276" w:lineRule="auto"/>
        <w:rPr>
          <w:sz w:val="16"/>
        </w:rPr>
      </w:pPr>
      <w:r w:rsidRPr="001F69E8">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330D6">
        <w:rPr>
          <w:rStyle w:val="StyleUnderline"/>
        </w:rPr>
        <w:t>Their suggestion that out-law communities are in need of the academic critic contradicts not only the already disruptive nature of existing out-law discourses</w:t>
      </w:r>
      <w:r w:rsidRPr="001F69E8">
        <w:rPr>
          <w:sz w:val="16"/>
        </w:rPr>
        <w:t xml:space="preserve"> (the grounds for using out-law discourse), </w:t>
      </w:r>
      <w:r w:rsidRPr="007330D6">
        <w:rPr>
          <w:rStyle w:val="StyleUnderline"/>
        </w:rPr>
        <w:t>but also the impotence of contemporary critical discourse</w:t>
      </w:r>
      <w:r w:rsidRPr="001F69E8">
        <w:rPr>
          <w:sz w:val="16"/>
        </w:rPr>
        <w:t xml:space="preserve"> (the warrant for studying out-law discourse).</w:t>
      </w:r>
    </w:p>
    <w:p w14:paraId="14D8144F" w14:textId="77777777" w:rsidR="008D1AF4" w:rsidRPr="001F69E8" w:rsidRDefault="008D1AF4" w:rsidP="008D1AF4">
      <w:pPr>
        <w:spacing w:line="276" w:lineRule="auto"/>
        <w:rPr>
          <w:sz w:val="16"/>
        </w:rPr>
      </w:pPr>
      <w:r w:rsidRPr="001F69E8">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08FCE2D" w14:textId="77777777" w:rsidR="008D1AF4" w:rsidRPr="001F69E8" w:rsidRDefault="008D1AF4" w:rsidP="008D1AF4">
      <w:pPr>
        <w:spacing w:line="276" w:lineRule="auto"/>
        <w:rPr>
          <w:sz w:val="16"/>
        </w:rPr>
      </w:pPr>
      <w:r w:rsidRPr="000911B9">
        <w:rPr>
          <w:rStyle w:val="StyleUnderline"/>
        </w:rPr>
        <w:t xml:space="preserve">What Sloop and Ono </w:t>
      </w:r>
      <w:r w:rsidRPr="00D60A45">
        <w:rPr>
          <w:rStyle w:val="StyleUnderline"/>
          <w:highlight w:val="green"/>
        </w:rPr>
        <w:t>fail to offer</w:t>
      </w:r>
      <w:r w:rsidRPr="000911B9">
        <w:rPr>
          <w:rStyle w:val="StyleUnderline"/>
        </w:rPr>
        <w:t xml:space="preserve"> is </w:t>
      </w:r>
      <w:r w:rsidRPr="00D60A45">
        <w:rPr>
          <w:rStyle w:val="StyleUnderline"/>
          <w:highlight w:val="green"/>
        </w:rPr>
        <w:t>an adequate argument for "taking public speaking out of the streets and studying it</w:t>
      </w:r>
      <w:r w:rsidRPr="00835090">
        <w:rPr>
          <w:rStyle w:val="StyleUnderline"/>
        </w:rPr>
        <w:t xml:space="preserve"> in the classroom,</w:t>
      </w:r>
      <w:r w:rsidRPr="000911B9">
        <w:rPr>
          <w:rStyle w:val="StyleUnderline"/>
        </w:rPr>
        <w:t xml:space="preserve"> </w:t>
      </w:r>
      <w:r w:rsidRPr="009A0F76">
        <w:rPr>
          <w:rStyle w:val="StyleUnderline"/>
          <w:b/>
          <w:bCs/>
        </w:rPr>
        <w:t>for treating it less as an expression of protest"</w:t>
      </w:r>
      <w:r w:rsidRPr="009A0F76">
        <w:rPr>
          <w:sz w:val="16"/>
        </w:rPr>
        <w:t xml:space="preserve"> (</w:t>
      </w:r>
      <w:r w:rsidRPr="001F69E8">
        <w:rPr>
          <w:sz w:val="16"/>
        </w:rPr>
        <w:t xml:space="preserve">Wander 1983, 3) </w:t>
      </w:r>
      <w:r w:rsidRPr="00CE304C">
        <w:rPr>
          <w:rStyle w:val="StyleUnderline"/>
          <w:b/>
          <w:bCs/>
        </w:rPr>
        <w:t xml:space="preserve">and more </w:t>
      </w:r>
      <w:r w:rsidRPr="00D60A45">
        <w:rPr>
          <w:rStyle w:val="StyleUnderline"/>
          <w:b/>
          <w:bCs/>
          <w:highlight w:val="green"/>
        </w:rPr>
        <w:t>as</w:t>
      </w:r>
      <w:r w:rsidRPr="00D60A45">
        <w:rPr>
          <w:rStyle w:val="StyleUnderline"/>
          <w:highlight w:val="green"/>
        </w:rPr>
        <w:t xml:space="preserve"> </w:t>
      </w:r>
      <w:r w:rsidRPr="00D60A45">
        <w:rPr>
          <w:rStyle w:val="StyleUnderline"/>
          <w:b/>
          <w:bCs/>
          <w:highlight w:val="green"/>
        </w:rPr>
        <w:t>an object</w:t>
      </w:r>
      <w:r w:rsidRPr="00CE304C">
        <w:rPr>
          <w:rStyle w:val="StyleUnderline"/>
          <w:b/>
          <w:bCs/>
        </w:rPr>
        <w:t xml:space="preserve"> for analysis and reproduction </w:t>
      </w:r>
      <w:r w:rsidRPr="00D60A45">
        <w:rPr>
          <w:rStyle w:val="StyleUnderline"/>
          <w:b/>
          <w:bCs/>
          <w:highlight w:val="green"/>
        </w:rPr>
        <w:t>within the political economy of the academy.</w:t>
      </w:r>
      <w:r w:rsidRPr="001F69E8">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9A0F76">
        <w:rPr>
          <w:rStyle w:val="StyleUnderline"/>
          <w:b/>
          <w:bCs/>
        </w:rPr>
        <w:t>without addressing whether the critic should be examining out-law discourses in the first place</w:t>
      </w:r>
      <w:r w:rsidRPr="001F69E8">
        <w:rPr>
          <w:sz w:val="16"/>
        </w:rPr>
        <w:t>. While it is too early to suggest any definitive answer to the question of criticism of resistance, some preliminary arguments as to why critics should not pursue out-law discourses can be offered:</w:t>
      </w:r>
    </w:p>
    <w:p w14:paraId="67E56604" w14:textId="77777777" w:rsidR="008D1AF4" w:rsidRPr="001F69E8" w:rsidRDefault="008D1AF4" w:rsidP="008D1AF4">
      <w:pPr>
        <w:spacing w:line="276" w:lineRule="auto"/>
        <w:rPr>
          <w:sz w:val="16"/>
        </w:rPr>
      </w:pPr>
      <w:r w:rsidRPr="001F69E8">
        <w:rPr>
          <w:sz w:val="16"/>
        </w:rPr>
        <w:t xml:space="preserve">(1) </w:t>
      </w:r>
      <w:r w:rsidRPr="00E72B2D">
        <w:rPr>
          <w:rStyle w:val="StyleUnderline"/>
        </w:rPr>
        <w:t xml:space="preserve">Hidden out-law discourses may have </w:t>
      </w:r>
      <w:r w:rsidRPr="00CE304C">
        <w:rPr>
          <w:rStyle w:val="StyleUnderline"/>
          <w:b/>
          <w:bCs/>
        </w:rPr>
        <w:t>good reasons to stay hidden</w:t>
      </w:r>
      <w:r w:rsidRPr="001F69E8">
        <w:rPr>
          <w:sz w:val="16"/>
        </w:rPr>
        <w:t xml:space="preserve">. Sloop and Ono specifically instruct us that "the logic of the out-law must constantly be searched for, brought forth" (66) and used to disrupt dominant practices. But </w:t>
      </w:r>
      <w:r w:rsidRPr="00D60A45">
        <w:rPr>
          <w:rStyle w:val="StyleUnderline"/>
          <w:highlight w:val="green"/>
        </w:rPr>
        <w:t>are we to believe that all out-law discourses are prepared to</w:t>
      </w:r>
      <w:r w:rsidRPr="00B17674">
        <w:rPr>
          <w:rStyle w:val="StyleUnderline"/>
        </w:rPr>
        <w:t xml:space="preserve"> mount such a </w:t>
      </w:r>
      <w:r w:rsidRPr="00D60A45">
        <w:rPr>
          <w:rStyle w:val="StyleUnderline"/>
          <w:highlight w:val="green"/>
        </w:rPr>
        <w:t>challenge</w:t>
      </w:r>
      <w:r w:rsidRPr="00B17674">
        <w:rPr>
          <w:rStyle w:val="StyleUnderline"/>
        </w:rPr>
        <w:t xml:space="preserve"> to the </w:t>
      </w:r>
      <w:r w:rsidRPr="00D60A45">
        <w:rPr>
          <w:rStyle w:val="StyleUnderline"/>
          <w:highlight w:val="green"/>
        </w:rPr>
        <w:t>dominant</w:t>
      </w:r>
      <w:r w:rsidRPr="00B17674">
        <w:rPr>
          <w:rStyle w:val="StyleUnderline"/>
        </w:rPr>
        <w:t xml:space="preserve"> cultural </w:t>
      </w:r>
      <w:r w:rsidRPr="00D60A45">
        <w:rPr>
          <w:rStyle w:val="StyleUnderline"/>
          <w:highlight w:val="green"/>
        </w:rPr>
        <w:t>logic? Or</w:t>
      </w:r>
      <w:r w:rsidRPr="001F69E8">
        <w:rPr>
          <w:sz w:val="16"/>
        </w:rPr>
        <w:t xml:space="preserve">, indeed, </w:t>
      </w:r>
      <w:r w:rsidRPr="00D60A45">
        <w:rPr>
          <w:rStyle w:val="StyleUnderline"/>
          <w:highlight w:val="green"/>
        </w:rPr>
        <w:t>that</w:t>
      </w:r>
      <w:r w:rsidRPr="00B17674">
        <w:rPr>
          <w:rStyle w:val="StyleUnderline"/>
        </w:rPr>
        <w:t xml:space="preserve"> the </w:t>
      </w:r>
      <w:r w:rsidRPr="00D60A45">
        <w:rPr>
          <w:rStyle w:val="StyleUnderline"/>
          <w:highlight w:val="green"/>
        </w:rPr>
        <w:t xml:space="preserve">members of out-law communities are prepared to be </w:t>
      </w:r>
      <w:r w:rsidRPr="00D60A45">
        <w:rPr>
          <w:rStyle w:val="StyleUnderline"/>
          <w:b/>
          <w:bCs/>
          <w:highlight w:val="green"/>
        </w:rPr>
        <w:t>brought into</w:t>
      </w:r>
      <w:r w:rsidRPr="00CE304C">
        <w:rPr>
          <w:rStyle w:val="StyleUnderline"/>
          <w:b/>
          <w:bCs/>
        </w:rPr>
        <w:t xml:space="preserve"> the arena of </w:t>
      </w:r>
      <w:r w:rsidRPr="00D60A45">
        <w:rPr>
          <w:rStyle w:val="StyleUnderline"/>
          <w:b/>
          <w:bCs/>
          <w:highlight w:val="green"/>
        </w:rPr>
        <w:t>public surveillance</w:t>
      </w:r>
      <w:r w:rsidRPr="00D60A45">
        <w:rPr>
          <w:rStyle w:val="StyleUnderline"/>
          <w:highlight w:val="green"/>
        </w:rPr>
        <w:t xml:space="preserve"> in</w:t>
      </w:r>
      <w:r w:rsidRPr="00B17674">
        <w:rPr>
          <w:rStyle w:val="StyleUnderline"/>
        </w:rPr>
        <w:t xml:space="preserve"> the </w:t>
      </w:r>
      <w:r w:rsidRPr="00D60A45">
        <w:rPr>
          <w:rStyle w:val="StyleUnderline"/>
          <w:highlight w:val="green"/>
        </w:rPr>
        <w:t>service of reconstituting logics of litigation?</w:t>
      </w:r>
      <w:r w:rsidRPr="001F69E8">
        <w:rPr>
          <w:sz w:val="16"/>
        </w:rPr>
        <w:t xml:space="preserve"> It seems highly unlikely that all divergent cultural groups have developed equally, or that all members of these groups share Sloop and Ono's "imperial impulse" (51) to promote their conceptions and practices of justice.</w:t>
      </w:r>
    </w:p>
    <w:p w14:paraId="6687A734" w14:textId="77777777" w:rsidR="008D1AF4" w:rsidRPr="001F69E8" w:rsidRDefault="008D1AF4" w:rsidP="008D1AF4">
      <w:pPr>
        <w:spacing w:line="276" w:lineRule="auto"/>
        <w:rPr>
          <w:sz w:val="16"/>
        </w:rPr>
      </w:pPr>
      <w:r w:rsidRPr="001F69E8">
        <w:rPr>
          <w:sz w:val="16"/>
        </w:rPr>
        <w:t xml:space="preserve">(2)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w:t>
      </w:r>
      <w:r w:rsidRPr="001F2699">
        <w:rPr>
          <w:rStyle w:val="StyleUnderline"/>
        </w:rPr>
        <w:t>Are out-law discourses merely tools to be exploited and discarded in the pursuit of returning leftist academic dis- course to the center?</w:t>
      </w:r>
    </w:p>
    <w:p w14:paraId="7D266A7A" w14:textId="77777777" w:rsidR="008D1AF4" w:rsidRPr="0072683C" w:rsidRDefault="008D1AF4" w:rsidP="008D1AF4">
      <w:pPr>
        <w:spacing w:line="276" w:lineRule="auto"/>
        <w:rPr>
          <w:rStyle w:val="StyleUnderline"/>
        </w:rPr>
      </w:pPr>
      <w:r w:rsidRPr="001F69E8">
        <w:rPr>
          <w:sz w:val="16"/>
        </w:rPr>
        <w:t xml:space="preserve">(3) Perhaps the academic translation of out-law discourse could be true to the internal logic of the out-law community. And, </w:t>
      </w:r>
      <w:r w:rsidRPr="00E348CF">
        <w:rPr>
          <w:rStyle w:val="StyleUnderline"/>
        </w:rPr>
        <w:t>perhaps the re-presentation of out-law logic within the academic community will bestow a degree of legitimacy on the out-law community</w:t>
      </w:r>
      <w:r w:rsidRPr="001F69E8">
        <w:rPr>
          <w:sz w:val="16"/>
        </w:rPr>
        <w:t xml:space="preserve">. Nonetheless, </w:t>
      </w:r>
      <w:r w:rsidRPr="00D60A45">
        <w:rPr>
          <w:rStyle w:val="StyleUnderline"/>
          <w:b/>
          <w:bCs/>
          <w:highlight w:val="green"/>
        </w:rPr>
        <w:t>the effect of legitimizing out-law discourse is unknown and</w:t>
      </w:r>
      <w:r w:rsidRPr="001F2699">
        <w:rPr>
          <w:rStyle w:val="StyleUnderline"/>
        </w:rPr>
        <w:t xml:space="preserve"> </w:t>
      </w:r>
      <w:r w:rsidRPr="001F2699">
        <w:rPr>
          <w:rStyle w:val="StyleUnderline"/>
        </w:rPr>
        <w:lastRenderedPageBreak/>
        <w:t xml:space="preserve">potentially </w:t>
      </w:r>
      <w:r w:rsidRPr="00D60A45">
        <w:rPr>
          <w:rStyle w:val="StyleUnderline"/>
          <w:b/>
          <w:bCs/>
          <w:highlight w:val="green"/>
        </w:rPr>
        <w:t>destructive</w:t>
      </w:r>
      <w:r w:rsidRPr="00E348CF">
        <w:rPr>
          <w:rStyle w:val="StyleUnderline"/>
        </w:rPr>
        <w:t xml:space="preserve">. In an effort to </w:t>
      </w:r>
      <w:r w:rsidRPr="00CE304C">
        <w:rPr>
          <w:rStyle w:val="StyleUnderline"/>
          <w:b/>
          <w:bCs/>
        </w:rPr>
        <w:t>siphon the political energy of out-law discourse into academic practice</w:t>
      </w:r>
      <w:r w:rsidRPr="00E348CF">
        <w:rPr>
          <w:rStyle w:val="StyleUnderline"/>
        </w:rPr>
        <w:t>, we may</w:t>
      </w:r>
      <w:r w:rsidRPr="001F69E8">
        <w:rPr>
          <w:sz w:val="16"/>
        </w:rPr>
        <w:t xml:space="preserve"> ultimately </w:t>
      </w:r>
      <w:r w:rsidRPr="00E348CF">
        <w:rPr>
          <w:rStyle w:val="StyleUnderline"/>
        </w:rPr>
        <w:t>destroy the dissatisfaction that serves as a cathexis</w:t>
      </w:r>
      <w:r w:rsidRPr="001F69E8">
        <w:rPr>
          <w:sz w:val="16"/>
        </w:rPr>
        <w:t xml:space="preserve"> for these out-law discourses. It seems possible that academic recognition might take the place of struggle for material opportunities (see Fraser 1997). But, will academic legitimation create any material changes in the conditions of out-law communities? </w:t>
      </w:r>
      <w:r w:rsidRPr="0072683C">
        <w:rPr>
          <w:rStyle w:val="StyleUnderline"/>
        </w:rPr>
        <w:t xml:space="preserve">I mean to suggest, not that it is better to allow the out-law community to suffer for its cause, but rather that </w:t>
      </w:r>
      <w:r w:rsidRPr="00D60A45">
        <w:rPr>
          <w:rStyle w:val="StyleUnderline"/>
          <w:highlight w:val="green"/>
        </w:rPr>
        <w:t>incorporating</w:t>
      </w:r>
      <w:r w:rsidRPr="0072683C">
        <w:rPr>
          <w:rStyle w:val="StyleUnderline"/>
        </w:rPr>
        <w:t xml:space="preserve"> the </w:t>
      </w:r>
      <w:r w:rsidRPr="00D60A45">
        <w:rPr>
          <w:rStyle w:val="StyleUnderline"/>
          <w:highlight w:val="green"/>
        </w:rPr>
        <w:t>struggle into</w:t>
      </w:r>
      <w:r w:rsidRPr="0072683C">
        <w:rPr>
          <w:rStyle w:val="StyleUnderline"/>
        </w:rPr>
        <w:t xml:space="preserve"> an</w:t>
      </w:r>
      <w:r w:rsidRPr="001F69E8">
        <w:rPr>
          <w:sz w:val="16"/>
        </w:rPr>
        <w:t xml:space="preserve"> (admittedly) </w:t>
      </w:r>
      <w:r w:rsidRPr="0072683C">
        <w:rPr>
          <w:rStyle w:val="StyleUnderline"/>
        </w:rPr>
        <w:t xml:space="preserve">impotent </w:t>
      </w:r>
      <w:r w:rsidRPr="00D60A45">
        <w:rPr>
          <w:rStyle w:val="StyleUnderline"/>
          <w:highlight w:val="green"/>
        </w:rPr>
        <w:t xml:space="preserve">academic critique </w:t>
      </w:r>
      <w:r w:rsidRPr="00D60A45">
        <w:rPr>
          <w:rStyle w:val="StyleUnderline"/>
          <w:b/>
          <w:bCs/>
          <w:highlight w:val="green"/>
        </w:rPr>
        <w:t>does not offer</w:t>
      </w:r>
      <w:r w:rsidRPr="00D60A45">
        <w:rPr>
          <w:rStyle w:val="StyleUnderline"/>
          <w:highlight w:val="green"/>
        </w:rPr>
        <w:t xml:space="preserve"> a</w:t>
      </w:r>
      <w:r w:rsidRPr="0072683C">
        <w:rPr>
          <w:rStyle w:val="StyleUnderline"/>
        </w:rPr>
        <w:t xml:space="preserve"> prima facie </w:t>
      </w:r>
      <w:r w:rsidRPr="00D60A45">
        <w:rPr>
          <w:rStyle w:val="StyleUnderline"/>
          <w:highlight w:val="green"/>
        </w:rPr>
        <w:t>alternative.</w:t>
      </w:r>
    </w:p>
    <w:p w14:paraId="45CFBC70" w14:textId="77777777" w:rsidR="008D1AF4" w:rsidRPr="001F69E8" w:rsidRDefault="008D1AF4" w:rsidP="008D1AF4">
      <w:pPr>
        <w:spacing w:line="276" w:lineRule="auto"/>
        <w:rPr>
          <w:sz w:val="16"/>
        </w:rPr>
      </w:pPr>
      <w:r w:rsidRPr="001F69E8">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w:t>
      </w:r>
      <w:r w:rsidRPr="00804774">
        <w:rPr>
          <w:rStyle w:val="StyleUnderline"/>
        </w:rPr>
        <w:t>Out-laws do not lurk in the forefront</w:t>
      </w:r>
      <w:r w:rsidRPr="001F69E8">
        <w:rPr>
          <w:sz w:val="16"/>
        </w:rPr>
        <w:t xml:space="preserve"> (66), </w:t>
      </w:r>
      <w:r w:rsidRPr="00804774">
        <w:rPr>
          <w:rStyle w:val="StyleUnderline"/>
        </w:rPr>
        <w:t xml:space="preserve">hoping to be exposed by academic critics; </w:t>
      </w:r>
      <w:r w:rsidRPr="00B76C29">
        <w:rPr>
          <w:rStyle w:val="StyleUnderline"/>
          <w:b/>
          <w:bCs/>
        </w:rPr>
        <w:t>they wait for the right moment for their disruption.</w:t>
      </w:r>
      <w:r w:rsidRPr="00B76C29">
        <w:rPr>
          <w:b/>
          <w:bCs/>
          <w:sz w:val="16"/>
        </w:rPr>
        <w:t xml:space="preserve"> </w:t>
      </w:r>
      <w:r w:rsidRPr="001F69E8">
        <w:rPr>
          <w:sz w:val="16"/>
        </w:rPr>
        <w:t>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4D7CE0BD" w14:textId="77777777" w:rsidR="008D1AF4" w:rsidRPr="001F69E8" w:rsidRDefault="008D1AF4" w:rsidP="008D1AF4">
      <w:pPr>
        <w:spacing w:line="276" w:lineRule="auto"/>
        <w:rPr>
          <w:sz w:val="16"/>
        </w:rPr>
      </w:pPr>
      <w:r w:rsidRPr="001F69E8">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4AC69A83" w14:textId="77777777" w:rsidR="008D1AF4" w:rsidRPr="001F69E8" w:rsidRDefault="008D1AF4" w:rsidP="008D1AF4">
      <w:pPr>
        <w:spacing w:line="276" w:lineRule="auto"/>
        <w:rPr>
          <w:sz w:val="16"/>
        </w:rPr>
      </w:pPr>
      <w:r w:rsidRPr="001F69E8">
        <w:rPr>
          <w:sz w:val="16"/>
        </w:rPr>
        <w:t>Rhetorical criticism</w:t>
      </w:r>
    </w:p>
    <w:p w14:paraId="402263FD" w14:textId="77777777" w:rsidR="008D1AF4" w:rsidRPr="001F69E8" w:rsidRDefault="008D1AF4" w:rsidP="008D1AF4">
      <w:pPr>
        <w:spacing w:line="276" w:lineRule="auto"/>
        <w:rPr>
          <w:sz w:val="16"/>
        </w:rPr>
      </w:pPr>
      <w:r w:rsidRPr="001F69E8">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262B6EF" w14:textId="77777777" w:rsidR="008D1AF4" w:rsidRPr="001F69E8" w:rsidRDefault="008D1AF4" w:rsidP="008D1AF4">
      <w:pPr>
        <w:spacing w:line="276" w:lineRule="auto"/>
        <w:rPr>
          <w:rStyle w:val="StyleUnderline"/>
        </w:rPr>
      </w:pPr>
      <w:r w:rsidRPr="001F69E8">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D60A45">
        <w:rPr>
          <w:rStyle w:val="StyleUnderline"/>
          <w:highlight w:val="green"/>
        </w:rPr>
        <w:t>the</w:t>
      </w:r>
      <w:r w:rsidRPr="002572E5">
        <w:rPr>
          <w:rStyle w:val="StyleUnderline"/>
        </w:rPr>
        <w:t xml:space="preserve"> out-law discourse </w:t>
      </w:r>
      <w:r w:rsidRPr="00D60A45">
        <w:rPr>
          <w:rStyle w:val="StyleUnderline"/>
          <w:highlight w:val="green"/>
        </w:rPr>
        <w:t>critic is</w:t>
      </w:r>
      <w:r w:rsidRPr="002572E5">
        <w:rPr>
          <w:rStyle w:val="StyleUnderline"/>
        </w:rPr>
        <w:t xml:space="preserve"> an analyst </w:t>
      </w:r>
      <w:r w:rsidRPr="00D60A45">
        <w:rPr>
          <w:rStyle w:val="StyleUnderline"/>
          <w:highlight w:val="green"/>
        </w:rPr>
        <w:t xml:space="preserve">focusing on </w:t>
      </w:r>
      <w:r w:rsidRPr="009A0F76">
        <w:rPr>
          <w:rStyle w:val="StyleUnderline"/>
        </w:rPr>
        <w:t>the hidden</w:t>
      </w:r>
      <w:r w:rsidRPr="002572E5">
        <w:rPr>
          <w:rStyle w:val="StyleUnderline"/>
        </w:rPr>
        <w:t xml:space="preserve">, aberrant texts of the out-law </w:t>
      </w:r>
      <w:r w:rsidRPr="009A0F76">
        <w:rPr>
          <w:rStyle w:val="StyleUnderline"/>
        </w:rPr>
        <w:t xml:space="preserve">and </w:t>
      </w:r>
      <w:r w:rsidRPr="00D60A45">
        <w:rPr>
          <w:rStyle w:val="StyleUnderline"/>
          <w:highlight w:val="green"/>
        </w:rPr>
        <w:t>"rendering an incoherent</w:t>
      </w:r>
      <w:r w:rsidRPr="002572E5">
        <w:rPr>
          <w:rStyle w:val="StyleUnderline"/>
        </w:rPr>
        <w:t xml:space="preserve"> or esoteric </w:t>
      </w:r>
      <w:r w:rsidRPr="00D60A45">
        <w:rPr>
          <w:rStyle w:val="StyleUnderline"/>
          <w:highlight w:val="green"/>
        </w:rPr>
        <w:t>text comprehensible"</w:t>
      </w:r>
      <w:r w:rsidRPr="001F69E8">
        <w:rPr>
          <w:sz w:val="16"/>
        </w:rPr>
        <w:t xml:space="preserve"> (Warnick 1992, 233). Now, I am not suggesting that a critic must serve only one function or that the roles of advocate and analyst are mutually exclusive; rather, </w:t>
      </w:r>
      <w:r w:rsidRPr="001F69E8">
        <w:rPr>
          <w:rStyle w:val="StyleUnderline"/>
        </w:rPr>
        <w:t>these entanglings</w:t>
      </w:r>
      <w:r w:rsidRPr="001F69E8">
        <w:rPr>
          <w:sz w:val="16"/>
        </w:rPr>
        <w:t xml:space="preserve"> of power (political ends) and knowledge (epistemic ends) </w:t>
      </w:r>
      <w:r w:rsidRPr="001F69E8">
        <w:rPr>
          <w:rStyle w:val="StyleUnderline"/>
        </w:rPr>
        <w:t>are inevitable</w:t>
      </w:r>
      <w:r w:rsidRPr="001F69E8">
        <w:rPr>
          <w:sz w:val="16"/>
        </w:rPr>
        <w:t xml:space="preserve">. My concern is that we not neglect the complexity of these entanglements. </w:t>
      </w:r>
      <w:r w:rsidRPr="00D60A45">
        <w:rPr>
          <w:rStyle w:val="StyleUnderline"/>
          <w:b/>
          <w:bCs/>
          <w:highlight w:val="green"/>
        </w:rPr>
        <w:t>Turning covert out-law discourses into objects of</w:t>
      </w:r>
      <w:r w:rsidRPr="00B76C29">
        <w:rPr>
          <w:rStyle w:val="StyleUnderline"/>
          <w:b/>
          <w:bCs/>
        </w:rPr>
        <w:t xml:space="preserve"> our </w:t>
      </w:r>
      <w:r w:rsidRPr="00D60A45">
        <w:rPr>
          <w:rStyle w:val="StyleUnderline"/>
          <w:b/>
          <w:bCs/>
          <w:highlight w:val="green"/>
        </w:rPr>
        <w:t>analyses runs the risk of subjecting them</w:t>
      </w:r>
      <w:r w:rsidRPr="001F69E8">
        <w:rPr>
          <w:sz w:val="16"/>
        </w:rPr>
        <w:t xml:space="preserve"> both </w:t>
      </w:r>
      <w:r w:rsidRPr="00D60A45">
        <w:rPr>
          <w:rStyle w:val="StyleUnderline"/>
          <w:b/>
          <w:bCs/>
          <w:highlight w:val="green"/>
        </w:rPr>
        <w:t>to</w:t>
      </w:r>
      <w:r w:rsidRPr="00B76C29">
        <w:rPr>
          <w:rStyle w:val="StyleUnderline"/>
          <w:b/>
          <w:bCs/>
        </w:rPr>
        <w:t xml:space="preserve"> the gaze of the </w:t>
      </w:r>
      <w:r w:rsidRPr="00D60A45">
        <w:rPr>
          <w:rStyle w:val="StyleUnderline"/>
          <w:b/>
          <w:bCs/>
          <w:highlight w:val="green"/>
        </w:rPr>
        <w:t>dominant</w:t>
      </w:r>
      <w:r w:rsidRPr="00B76C29">
        <w:rPr>
          <w:rStyle w:val="StyleUnderline"/>
          <w:b/>
          <w:bCs/>
        </w:rPr>
        <w:t xml:space="preserve"> and to the </w:t>
      </w:r>
      <w:r w:rsidRPr="00D60A45">
        <w:rPr>
          <w:rStyle w:val="StyleUnderline"/>
          <w:b/>
          <w:bCs/>
          <w:highlight w:val="green"/>
        </w:rPr>
        <w:t>power relations of the academy</w:t>
      </w:r>
      <w:r w:rsidRPr="001F69E8">
        <w:rPr>
          <w:sz w:val="16"/>
        </w:rPr>
        <w:t xml:space="preserve">. As the works of Michel Foucault (especially 1979, 1980) aptly illustrate, </w:t>
      </w:r>
      <w:r w:rsidRPr="001F69E8">
        <w:rPr>
          <w:rStyle w:val="StyleUnderline"/>
        </w:rPr>
        <w:t xml:space="preserve">practices presented as extending such noble goals as emancipation and humanity may endow institutions of </w:t>
      </w:r>
      <w:r w:rsidRPr="00B76C29">
        <w:rPr>
          <w:rStyle w:val="StyleUnderline"/>
          <w:b/>
          <w:bCs/>
        </w:rPr>
        <w:t>confinement and objectification</w:t>
      </w:r>
      <w:r w:rsidRPr="001F69E8">
        <w:rPr>
          <w:rStyle w:val="StyleUnderline"/>
        </w:rPr>
        <w:t xml:space="preserve">. Any justification for </w:t>
      </w:r>
      <w:r w:rsidRPr="00B76C29">
        <w:rPr>
          <w:rStyle w:val="StyleUnderline"/>
          <w:b/>
          <w:bCs/>
        </w:rPr>
        <w:t>studying out-law dis- course</w:t>
      </w:r>
      <w:r w:rsidRPr="001F69E8">
        <w:rPr>
          <w:rStyle w:val="StyleUnderline"/>
        </w:rPr>
        <w:t xml:space="preserve"> because doing so may </w:t>
      </w:r>
      <w:r w:rsidRPr="00B76C29">
        <w:rPr>
          <w:rStyle w:val="StyleUnderline"/>
        </w:rPr>
        <w:t>extend</w:t>
      </w:r>
      <w:r w:rsidRPr="00B76C29">
        <w:rPr>
          <w:sz w:val="16"/>
        </w:rPr>
        <w:t xml:space="preserve"> our </w:t>
      </w:r>
      <w:r w:rsidRPr="00B76C29">
        <w:rPr>
          <w:rStyle w:val="StyleUnderline"/>
        </w:rPr>
        <w:t xml:space="preserve">political usefulness in the pursuit of emancipatory goals </w:t>
      </w:r>
      <w:r w:rsidRPr="00B76C29">
        <w:rPr>
          <w:rStyle w:val="StyleUnderline"/>
          <w:b/>
          <w:bCs/>
        </w:rPr>
        <w:t>must not obscure the already existing power relations authorizing such studies</w:t>
      </w:r>
      <w:r w:rsidRPr="001F69E8">
        <w:rPr>
          <w:rStyle w:val="StyleUnderline"/>
        </w:rPr>
        <w:t>. Our attempts to extend our domains of knowledge and expertise</w:t>
      </w:r>
      <w:r w:rsidRPr="001F69E8">
        <w:rPr>
          <w:sz w:val="16"/>
        </w:rPr>
        <w:t xml:space="preserve"> (authority) </w:t>
      </w:r>
      <w:r w:rsidRPr="001F69E8">
        <w:rPr>
          <w:rStyle w:val="StyleUnderline"/>
        </w:rPr>
        <w:t>must not be pursued unreflexively.</w:t>
      </w:r>
    </w:p>
    <w:p w14:paraId="20109005" w14:textId="77777777" w:rsidR="008D1AF4" w:rsidRDefault="008D1AF4" w:rsidP="008D1AF4">
      <w:pPr>
        <w:pStyle w:val="Heading3"/>
      </w:pPr>
      <w:r>
        <w:lastRenderedPageBreak/>
        <w:t>DA---Conflation---1NC</w:t>
      </w:r>
    </w:p>
    <w:p w14:paraId="480CFE03" w14:textId="77777777" w:rsidR="008D1AF4" w:rsidRDefault="008D1AF4" w:rsidP="008D1AF4">
      <w:pPr>
        <w:pStyle w:val="Heading3"/>
      </w:pPr>
      <w:r>
        <w:lastRenderedPageBreak/>
        <w:t>DA---Consciousness---1NC</w:t>
      </w:r>
    </w:p>
    <w:p w14:paraId="2A4377E5" w14:textId="77777777" w:rsidR="006C2766" w:rsidRDefault="006C2766">
      <w:pPr>
        <w:spacing w:line="278" w:lineRule="auto"/>
        <w:rPr>
          <w:rFonts w:asciiTheme="minorHAnsi" w:hAnsiTheme="minorHAnsi" w:cstheme="minorBidi"/>
          <w:kern w:val="2"/>
          <w:sz w:val="24"/>
          <w:szCs w:val="24"/>
          <w14:ligatures w14:val="standardContextual"/>
        </w:rPr>
      </w:pPr>
    </w:p>
    <w:sectPr w:rsidR="006C2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F7458D"/>
    <w:multiLevelType w:val="hybridMultilevel"/>
    <w:tmpl w:val="7E0C0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DF7DC9"/>
    <w:multiLevelType w:val="hybridMultilevel"/>
    <w:tmpl w:val="7E0C0F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26576029">
    <w:abstractNumId w:val="14"/>
  </w:num>
  <w:num w:numId="16" w16cid:durableId="2036689900">
    <w:abstractNumId w:val="13"/>
  </w:num>
  <w:num w:numId="17" w16cid:durableId="1875851689">
    <w:abstractNumId w:val="16"/>
  </w:num>
  <w:num w:numId="18" w16cid:durableId="12563968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1"/>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1ED"/>
    <w:rsid w:val="000A71ED"/>
    <w:rsid w:val="00124215"/>
    <w:rsid w:val="0019319D"/>
    <w:rsid w:val="001F5C80"/>
    <w:rsid w:val="00232F09"/>
    <w:rsid w:val="00252484"/>
    <w:rsid w:val="002B5B9F"/>
    <w:rsid w:val="002F75CF"/>
    <w:rsid w:val="003B1443"/>
    <w:rsid w:val="003C21E0"/>
    <w:rsid w:val="00433891"/>
    <w:rsid w:val="004A7B32"/>
    <w:rsid w:val="00544B8C"/>
    <w:rsid w:val="00553959"/>
    <w:rsid w:val="005F2649"/>
    <w:rsid w:val="006028F3"/>
    <w:rsid w:val="00664DC4"/>
    <w:rsid w:val="006C2766"/>
    <w:rsid w:val="006D5351"/>
    <w:rsid w:val="00704CFD"/>
    <w:rsid w:val="00735158"/>
    <w:rsid w:val="007F430F"/>
    <w:rsid w:val="00800A99"/>
    <w:rsid w:val="008A6EBB"/>
    <w:rsid w:val="008D1AF4"/>
    <w:rsid w:val="00997281"/>
    <w:rsid w:val="00BF4CA9"/>
    <w:rsid w:val="00CD7FC0"/>
    <w:rsid w:val="00CE3CE8"/>
    <w:rsid w:val="00D12CF2"/>
    <w:rsid w:val="00D142A3"/>
    <w:rsid w:val="00D30A5E"/>
    <w:rsid w:val="00DE7A7B"/>
    <w:rsid w:val="00E579AE"/>
    <w:rsid w:val="00ED2C4E"/>
    <w:rsid w:val="00F40372"/>
    <w:rsid w:val="00F44D16"/>
    <w:rsid w:val="00F867E4"/>
    <w:rsid w:val="00FE5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61462"/>
  <w15:chartTrackingRefBased/>
  <w15:docId w15:val="{D421FD90-CA81-4C2E-BDAC-42629A980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7A7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E7A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7A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DE7A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DE7A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7A7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A7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E7A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7A7B"/>
  </w:style>
  <w:style w:type="character" w:customStyle="1" w:styleId="Heading1Char">
    <w:name w:val="Heading 1 Char"/>
    <w:aliases w:val="Pocket Char"/>
    <w:basedOn w:val="DefaultParagraphFont"/>
    <w:link w:val="Heading1"/>
    <w:rsid w:val="00DE7A7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E7A7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E7A7B"/>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E7A7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E7A7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A7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1ED"/>
    <w:rPr>
      <w:rFonts w:eastAsiaTheme="majorEastAsia" w:cstheme="majorBidi"/>
      <w:color w:val="272727" w:themeColor="text1" w:themeTint="D8"/>
    </w:rPr>
  </w:style>
  <w:style w:type="paragraph" w:styleId="Title">
    <w:name w:val="Title"/>
    <w:basedOn w:val="Normal"/>
    <w:next w:val="Normal"/>
    <w:link w:val="TitleChar"/>
    <w:uiPriority w:val="10"/>
    <w:qFormat/>
    <w:rsid w:val="000A7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1ED"/>
    <w:pPr>
      <w:spacing w:before="160"/>
      <w:jc w:val="center"/>
    </w:pPr>
    <w:rPr>
      <w:i/>
      <w:iCs/>
      <w:color w:val="404040" w:themeColor="text1" w:themeTint="BF"/>
    </w:rPr>
  </w:style>
  <w:style w:type="character" w:customStyle="1" w:styleId="QuoteChar">
    <w:name w:val="Quote Char"/>
    <w:basedOn w:val="DefaultParagraphFont"/>
    <w:link w:val="Quote"/>
    <w:uiPriority w:val="29"/>
    <w:rsid w:val="000A71ED"/>
    <w:rPr>
      <w:i/>
      <w:iCs/>
      <w:color w:val="404040" w:themeColor="text1" w:themeTint="BF"/>
    </w:rPr>
  </w:style>
  <w:style w:type="paragraph" w:styleId="ListParagraph">
    <w:name w:val="List Paragraph"/>
    <w:basedOn w:val="Normal"/>
    <w:uiPriority w:val="34"/>
    <w:qFormat/>
    <w:rsid w:val="000A71ED"/>
    <w:pPr>
      <w:ind w:left="720"/>
      <w:contextualSpacing/>
    </w:pPr>
  </w:style>
  <w:style w:type="character" w:styleId="IntenseEmphasis">
    <w:name w:val="Intense Emphasis"/>
    <w:basedOn w:val="DefaultParagraphFont"/>
    <w:uiPriority w:val="21"/>
    <w:qFormat/>
    <w:rsid w:val="000A71ED"/>
    <w:rPr>
      <w:i/>
      <w:iCs/>
      <w:color w:val="0F4761" w:themeColor="accent1" w:themeShade="BF"/>
    </w:rPr>
  </w:style>
  <w:style w:type="paragraph" w:styleId="IntenseQuote">
    <w:name w:val="Intense Quote"/>
    <w:basedOn w:val="Normal"/>
    <w:next w:val="Normal"/>
    <w:link w:val="IntenseQuoteChar"/>
    <w:uiPriority w:val="30"/>
    <w:qFormat/>
    <w:rsid w:val="000A7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1ED"/>
    <w:rPr>
      <w:i/>
      <w:iCs/>
      <w:color w:val="0F4761" w:themeColor="accent1" w:themeShade="BF"/>
    </w:rPr>
  </w:style>
  <w:style w:type="character" w:styleId="IntenseReference">
    <w:name w:val="Intense Reference"/>
    <w:basedOn w:val="DefaultParagraphFont"/>
    <w:uiPriority w:val="32"/>
    <w:qFormat/>
    <w:rsid w:val="000A71ED"/>
    <w:rPr>
      <w:b/>
      <w:bCs/>
      <w:smallCaps/>
      <w:color w:val="0F4761" w:themeColor="accent1" w:themeShade="BF"/>
      <w:spacing w:val="5"/>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8"/>
    <w:qFormat/>
    <w:rsid w:val="00DE7A7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E7A7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E7A7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Underline Ch,c,Minimized Char"/>
    <w:basedOn w:val="DefaultParagraphFont"/>
    <w:uiPriority w:val="7"/>
    <w:qFormat/>
    <w:rsid w:val="00DE7A7B"/>
    <w:rPr>
      <w:b w:val="0"/>
      <w:sz w:val="22"/>
      <w:u w:val="single"/>
    </w:rPr>
  </w:style>
  <w:style w:type="character" w:styleId="Strong">
    <w:name w:val="Strong"/>
    <w:basedOn w:val="DefaultParagraphFont"/>
    <w:uiPriority w:val="22"/>
    <w:qFormat/>
    <w:rsid w:val="00DE7A7B"/>
    <w:rPr>
      <w:b/>
      <w:bCs/>
    </w:rPr>
  </w:style>
  <w:style w:type="character" w:styleId="BookTitle">
    <w:name w:val="Book Title"/>
    <w:basedOn w:val="DefaultParagraphFont"/>
    <w:uiPriority w:val="33"/>
    <w:qFormat/>
    <w:rsid w:val="00DE7A7B"/>
    <w:rPr>
      <w:b/>
      <w:bCs/>
      <w:i/>
      <w:iCs/>
      <w:spacing w:val="5"/>
    </w:rPr>
  </w:style>
  <w:style w:type="numbering" w:styleId="111111">
    <w:name w:val="Outline List 2"/>
    <w:basedOn w:val="NoList"/>
    <w:uiPriority w:val="99"/>
    <w:semiHidden/>
    <w:unhideWhenUsed/>
    <w:rsid w:val="00DE7A7B"/>
  </w:style>
  <w:style w:type="paragraph" w:styleId="Header">
    <w:name w:val="header"/>
    <w:basedOn w:val="Normal"/>
    <w:link w:val="HeaderChar"/>
    <w:uiPriority w:val="99"/>
    <w:semiHidden/>
    <w:rsid w:val="00DE7A7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7A7B"/>
    <w:rPr>
      <w:rFonts w:ascii="Calibri" w:hAnsi="Calibri" w:cs="Calibri"/>
      <w:kern w:val="0"/>
      <w:sz w:val="22"/>
      <w:szCs w:val="22"/>
      <w14:ligatures w14:val="none"/>
    </w:rPr>
  </w:style>
  <w:style w:type="paragraph" w:styleId="Footer">
    <w:name w:val="footer"/>
    <w:basedOn w:val="Normal"/>
    <w:link w:val="FooterChar"/>
    <w:uiPriority w:val="99"/>
    <w:semiHidden/>
    <w:rsid w:val="00DE7A7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7A7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E7A7B"/>
    <w:pPr>
      <w:spacing w:after="120"/>
    </w:pPr>
  </w:style>
  <w:style w:type="character" w:customStyle="1" w:styleId="BodyTextChar">
    <w:name w:val="Body Text Char"/>
    <w:basedOn w:val="DefaultParagraphFont"/>
    <w:link w:val="BodyText"/>
    <w:uiPriority w:val="99"/>
    <w:semiHidden/>
    <w:rsid w:val="00DE7A7B"/>
    <w:rPr>
      <w:rFonts w:ascii="Calibri" w:hAnsi="Calibri" w:cs="Calibri"/>
      <w:kern w:val="0"/>
      <w:sz w:val="22"/>
      <w:szCs w:val="22"/>
      <w14:ligatures w14:val="none"/>
    </w:rPr>
  </w:style>
  <w:style w:type="paragraph" w:styleId="NoSpacing">
    <w:name w:val="No Spacing"/>
    <w:link w:val="NoSpacingChar"/>
    <w:uiPriority w:val="99"/>
    <w:unhideWhenUsed/>
    <w:qFormat/>
    <w:rsid w:val="00DE7A7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E7A7B"/>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Re"/>
    <w:basedOn w:val="DefaultParagraphFont"/>
    <w:link w:val="Heading411"/>
    <w:uiPriority w:val="99"/>
    <w:unhideWhenUsed/>
    <w:rsid w:val="00DE7A7B"/>
    <w:rPr>
      <w:color w:val="467886" w:themeColor="hyperlink"/>
      <w:u w:val="single"/>
    </w:rPr>
  </w:style>
  <w:style w:type="character" w:styleId="UnresolvedMention">
    <w:name w:val="Unresolved Mention"/>
    <w:basedOn w:val="DefaultParagraphFont"/>
    <w:uiPriority w:val="99"/>
    <w:semiHidden/>
    <w:unhideWhenUsed/>
    <w:rsid w:val="00DE7A7B"/>
    <w:rPr>
      <w:color w:val="605E5C"/>
      <w:shd w:val="clear" w:color="auto" w:fill="E1DFDD"/>
    </w:rPr>
  </w:style>
  <w:style w:type="paragraph" w:customStyle="1" w:styleId="Undertag">
    <w:name w:val="Undertag"/>
    <w:link w:val="UndertagChar"/>
    <w:autoRedefine/>
    <w:uiPriority w:val="5"/>
    <w:qFormat/>
    <w:rsid w:val="0043389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3389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33891"/>
    <w:rPr>
      <w:color w:val="0F4761" w:themeColor="accent1" w:themeShade="BF"/>
    </w:rPr>
  </w:style>
  <w:style w:type="character" w:customStyle="1" w:styleId="AnalyticChar">
    <w:name w:val="Analytic Char"/>
    <w:basedOn w:val="DefaultParagraphFont"/>
    <w:link w:val="Analytic"/>
    <w:uiPriority w:val="5"/>
    <w:rsid w:val="00433891"/>
    <w:rPr>
      <w:rFonts w:ascii="Calibri" w:eastAsiaTheme="majorEastAsia" w:hAnsi="Calibri"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D142A3"/>
    <w:pP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D142A3"/>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8D1AF4"/>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353/aq.2020.005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72</TotalTime>
  <Pages>17</Pages>
  <Words>8578</Words>
  <Characters>49586</Characters>
  <Application>Microsoft Office Word</Application>
  <DocSecurity>0</DocSecurity>
  <Lines>533</Lines>
  <Paragraphs>83</Paragraphs>
  <ScaleCrop>false</ScaleCrop>
  <Company/>
  <LinksUpToDate>false</LinksUpToDate>
  <CharactersWithSpaces>58081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Duggal, Jay</dc:creator>
  <cp:keywords/>
  <dc:description/>
  <cp:lastModifiedBy>Jones, Lily Kathryn</cp:lastModifiedBy>
  <cp:revision>35</cp:revision>
  <dcterms:created xsi:type="dcterms:W3CDTF">2026-02-15T10:06:00Z</dcterms:created>
  <dcterms:modified xsi:type="dcterms:W3CDTF">2026-03-08T00:57:00Z</dcterms:modified>
</cp:coreProperties>
</file>