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AD6F" w14:textId="2B46819B" w:rsidR="005D388F" w:rsidRDefault="009C5401" w:rsidP="009C5401">
      <w:pPr>
        <w:pStyle w:val="Heading1"/>
      </w:pPr>
      <w:r>
        <w:t>1NC</w:t>
      </w:r>
    </w:p>
    <w:p w14:paraId="5AB8816E" w14:textId="77777777" w:rsidR="00156FF2" w:rsidRDefault="00156FF2" w:rsidP="00C8363F">
      <w:pPr>
        <w:pStyle w:val="Heading2"/>
      </w:pPr>
      <w:r>
        <w:t>T</w:t>
      </w:r>
    </w:p>
    <w:p w14:paraId="04DCA88C" w14:textId="77777777" w:rsidR="00156FF2" w:rsidRPr="00156FF2" w:rsidRDefault="00156FF2" w:rsidP="00156FF2">
      <w:pPr>
        <w:keepNext/>
        <w:keepLines/>
        <w:pageBreakBefore/>
        <w:spacing w:before="40" w:after="0"/>
        <w:jc w:val="center"/>
        <w:outlineLvl w:val="2"/>
        <w:rPr>
          <w:rFonts w:eastAsiaTheme="majorEastAsia" w:cstheme="majorBidi"/>
          <w:b/>
          <w:sz w:val="32"/>
          <w:szCs w:val="24"/>
          <w:u w:val="single"/>
        </w:rPr>
      </w:pPr>
      <w:r w:rsidRPr="00156FF2">
        <w:rPr>
          <w:rFonts w:eastAsiaTheme="majorEastAsia" w:cstheme="majorBidi"/>
          <w:b/>
          <w:sz w:val="32"/>
          <w:szCs w:val="24"/>
          <w:u w:val="single"/>
        </w:rPr>
        <w:t>1NC</w:t>
      </w:r>
    </w:p>
    <w:p w14:paraId="0954BD31" w14:textId="77777777" w:rsidR="00156FF2" w:rsidRPr="00156FF2" w:rsidRDefault="00156FF2" w:rsidP="00156FF2">
      <w:pPr>
        <w:keepNext/>
        <w:keepLines/>
        <w:spacing w:before="40" w:after="0"/>
        <w:outlineLvl w:val="3"/>
        <w:rPr>
          <w:rFonts w:eastAsiaTheme="majorEastAsia" w:cstheme="majorBidi"/>
          <w:bCs/>
          <w:iCs/>
          <w:sz w:val="26"/>
        </w:rPr>
      </w:pPr>
      <w:r w:rsidRPr="00156FF2">
        <w:rPr>
          <w:rFonts w:eastAsiaTheme="majorEastAsia" w:cstheme="majorBidi"/>
          <w:b/>
          <w:iCs/>
          <w:sz w:val="26"/>
        </w:rPr>
        <w:t xml:space="preserve">A ‘worker’ is an </w:t>
      </w:r>
      <w:r w:rsidRPr="00156FF2">
        <w:rPr>
          <w:rFonts w:eastAsiaTheme="majorEastAsia" w:cstheme="majorBidi"/>
          <w:b/>
          <w:iCs/>
          <w:sz w:val="26"/>
          <w:u w:val="single"/>
        </w:rPr>
        <w:t>employee</w:t>
      </w:r>
      <w:r w:rsidRPr="00156FF2">
        <w:rPr>
          <w:rFonts w:eastAsiaTheme="majorEastAsia" w:cstheme="majorBidi"/>
          <w:b/>
          <w:iCs/>
          <w:sz w:val="26"/>
        </w:rPr>
        <w:t xml:space="preserve"> or </w:t>
      </w:r>
      <w:r w:rsidRPr="00156FF2">
        <w:rPr>
          <w:rFonts w:eastAsiaTheme="majorEastAsia" w:cstheme="majorBidi"/>
          <w:b/>
          <w:iCs/>
          <w:sz w:val="26"/>
          <w:u w:val="single"/>
        </w:rPr>
        <w:t>independent contractor</w:t>
      </w:r>
      <w:r w:rsidRPr="00156FF2">
        <w:rPr>
          <w:rFonts w:eastAsiaTheme="majorEastAsia" w:cstheme="majorBidi"/>
          <w:bCs/>
          <w:iCs/>
          <w:sz w:val="26"/>
        </w:rPr>
        <w:t xml:space="preserve"> as per RCW 51.08.195.</w:t>
      </w:r>
    </w:p>
    <w:p w14:paraId="12EAB208" w14:textId="77777777" w:rsidR="00156FF2" w:rsidRPr="00156FF2" w:rsidRDefault="00156FF2" w:rsidP="00156FF2">
      <w:r w:rsidRPr="00156FF2">
        <w:rPr>
          <w:b/>
          <w:bCs/>
          <w:sz w:val="26"/>
          <w:u w:val="single"/>
        </w:rPr>
        <w:t>Justia 24</w:t>
      </w:r>
      <w:r w:rsidRPr="00156FF2">
        <w:t>. “2024 Revised Code of Washington Title 51 - Industrial Insurance Chapter 51.08 - Definitions. 51.08.180 - "Worker"—Exceptions.” https://law.justia.com/codes/washington/title-51/chapter-51-08/section-51-08-180</w:t>
      </w:r>
    </w:p>
    <w:p w14:paraId="50BC9D58" w14:textId="77777777" w:rsidR="00156FF2" w:rsidRPr="00156FF2" w:rsidRDefault="00156FF2" w:rsidP="00156FF2">
      <w:pPr>
        <w:rPr>
          <w:sz w:val="16"/>
        </w:rPr>
      </w:pPr>
      <w:r w:rsidRPr="00156FF2">
        <w:rPr>
          <w:sz w:val="16"/>
        </w:rPr>
        <w:t>(1) "</w:t>
      </w:r>
      <w:r w:rsidRPr="00156FF2">
        <w:rPr>
          <w:b/>
          <w:iCs/>
          <w:highlight w:val="cyan"/>
          <w:u w:val="single"/>
          <w:bdr w:val="single" w:sz="8" w:space="0" w:color="auto"/>
        </w:rPr>
        <w:t>Worker</w:t>
      </w:r>
      <w:r w:rsidRPr="00156FF2">
        <w:rPr>
          <w:sz w:val="16"/>
        </w:rPr>
        <w:t xml:space="preserve">" </w:t>
      </w:r>
      <w:r w:rsidRPr="00156FF2">
        <w:rPr>
          <w:highlight w:val="cyan"/>
          <w:u w:val="single"/>
        </w:rPr>
        <w:t>means</w:t>
      </w:r>
      <w:r w:rsidRPr="00156FF2">
        <w:rPr>
          <w:u w:val="single"/>
        </w:rPr>
        <w:t xml:space="preserve"> every </w:t>
      </w:r>
      <w:r w:rsidRPr="00156FF2">
        <w:rPr>
          <w:highlight w:val="cyan"/>
          <w:u w:val="single"/>
        </w:rPr>
        <w:t>person</w:t>
      </w:r>
      <w:r w:rsidRPr="00156FF2">
        <w:rPr>
          <w:sz w:val="16"/>
        </w:rPr>
        <w:t xml:space="preserve"> in this state </w:t>
      </w:r>
      <w:r w:rsidRPr="00156FF2">
        <w:rPr>
          <w:u w:val="single"/>
        </w:rPr>
        <w:t xml:space="preserve">who is </w:t>
      </w:r>
      <w:r w:rsidRPr="00156FF2">
        <w:rPr>
          <w:highlight w:val="cyan"/>
          <w:u w:val="single"/>
        </w:rPr>
        <w:t>engaged in</w:t>
      </w:r>
      <w:r w:rsidRPr="00156FF2">
        <w:rPr>
          <w:u w:val="single"/>
        </w:rPr>
        <w:t xml:space="preserve"> the </w:t>
      </w:r>
      <w:r w:rsidRPr="00156FF2">
        <w:rPr>
          <w:b/>
          <w:iCs/>
          <w:highlight w:val="cyan"/>
          <w:u w:val="single"/>
          <w:bdr w:val="single" w:sz="8" w:space="0" w:color="auto"/>
        </w:rPr>
        <w:t>employment</w:t>
      </w:r>
      <w:r w:rsidRPr="00156FF2">
        <w:rPr>
          <w:highlight w:val="cyan"/>
          <w:u w:val="single"/>
        </w:rPr>
        <w:t xml:space="preserve"> of an </w:t>
      </w:r>
      <w:r w:rsidRPr="00156FF2">
        <w:rPr>
          <w:b/>
          <w:iCs/>
          <w:highlight w:val="cyan"/>
          <w:u w:val="single"/>
          <w:bdr w:val="single" w:sz="8" w:space="0" w:color="auto"/>
        </w:rPr>
        <w:t>employer</w:t>
      </w:r>
      <w:r w:rsidRPr="00156FF2">
        <w:rPr>
          <w:u w:val="single"/>
        </w:rPr>
        <w:t xml:space="preserve"> under this title</w:t>
      </w:r>
      <w:r w:rsidRPr="00156FF2">
        <w:rPr>
          <w:sz w:val="16"/>
        </w:rPr>
        <w:t xml:space="preserve">, whether by way of manual labor or otherwise in the course of his or her employment; also every person in this state who is engaged in the employment of </w:t>
      </w:r>
      <w:r w:rsidRPr="00156FF2">
        <w:rPr>
          <w:highlight w:val="cyan"/>
          <w:u w:val="single"/>
        </w:rPr>
        <w:t>or</w:t>
      </w:r>
      <w:r w:rsidRPr="00156FF2">
        <w:rPr>
          <w:u w:val="single"/>
        </w:rPr>
        <w:t xml:space="preserve"> who is working </w:t>
      </w:r>
      <w:r w:rsidRPr="00156FF2">
        <w:rPr>
          <w:highlight w:val="cyan"/>
          <w:u w:val="single"/>
        </w:rPr>
        <w:t>under</w:t>
      </w:r>
      <w:r w:rsidRPr="00156FF2">
        <w:rPr>
          <w:u w:val="single"/>
        </w:rPr>
        <w:t xml:space="preserve"> an </w:t>
      </w:r>
      <w:r w:rsidRPr="00156FF2">
        <w:rPr>
          <w:b/>
          <w:iCs/>
          <w:u w:val="single"/>
          <w:bdr w:val="single" w:sz="8" w:space="0" w:color="auto"/>
        </w:rPr>
        <w:t xml:space="preserve">independent </w:t>
      </w:r>
      <w:r w:rsidRPr="00156FF2">
        <w:rPr>
          <w:b/>
          <w:iCs/>
          <w:highlight w:val="cyan"/>
          <w:u w:val="single"/>
          <w:bdr w:val="single" w:sz="8" w:space="0" w:color="auto"/>
        </w:rPr>
        <w:t>contract</w:t>
      </w:r>
      <w:r w:rsidRPr="00156FF2">
        <w:rPr>
          <w:sz w:val="16"/>
        </w:rPr>
        <w:t xml:space="preserve">, </w:t>
      </w:r>
      <w:r w:rsidRPr="00156FF2">
        <w:rPr>
          <w:highlight w:val="cyan"/>
          <w:u w:val="single"/>
        </w:rPr>
        <w:t xml:space="preserve">the </w:t>
      </w:r>
      <w:r w:rsidRPr="00156FF2">
        <w:rPr>
          <w:b/>
          <w:iCs/>
          <w:sz w:val="30"/>
          <w:szCs w:val="30"/>
          <w:highlight w:val="cyan"/>
          <w:u w:val="single"/>
          <w:bdr w:val="single" w:sz="8" w:space="0" w:color="auto"/>
        </w:rPr>
        <w:t>essence</w:t>
      </w:r>
      <w:r w:rsidRPr="00156FF2">
        <w:rPr>
          <w:u w:val="single"/>
        </w:rPr>
        <w:t xml:space="preserve"> of which </w:t>
      </w:r>
      <w:r w:rsidRPr="00156FF2">
        <w:rPr>
          <w:highlight w:val="cyan"/>
          <w:u w:val="single"/>
        </w:rPr>
        <w:t>is</w:t>
      </w:r>
      <w:r w:rsidRPr="00156FF2">
        <w:rPr>
          <w:sz w:val="16"/>
        </w:rPr>
        <w:t xml:space="preserve"> [</w:t>
      </w:r>
      <w:r w:rsidRPr="00156FF2">
        <w:rPr>
          <w:b/>
          <w:iCs/>
          <w:u w:val="single"/>
          <w:bdr w:val="single" w:sz="8" w:space="0" w:color="auto"/>
        </w:rPr>
        <w:t>their</w:t>
      </w:r>
      <w:r w:rsidRPr="00156FF2">
        <w:rPr>
          <w:sz w:val="16"/>
        </w:rPr>
        <w:t xml:space="preserve">] </w:t>
      </w:r>
      <w:r w:rsidRPr="00156FF2">
        <w:rPr>
          <w:strike/>
          <w:sz w:val="16"/>
        </w:rPr>
        <w:t>his or her</w:t>
      </w:r>
      <w:r w:rsidRPr="00156FF2">
        <w:rPr>
          <w:sz w:val="16"/>
        </w:rPr>
        <w:t xml:space="preserve"> </w:t>
      </w:r>
      <w:r w:rsidRPr="00156FF2">
        <w:rPr>
          <w:b/>
          <w:iCs/>
          <w:u w:val="single"/>
          <w:bdr w:val="single" w:sz="8" w:space="0" w:color="auto"/>
        </w:rPr>
        <w:t>personal labor</w:t>
      </w:r>
      <w:r w:rsidRPr="00156FF2">
        <w:rPr>
          <w:u w:val="single"/>
        </w:rPr>
        <w:t xml:space="preserve"> for an employer under this title</w:t>
      </w:r>
      <w:r w:rsidRPr="00156FF2">
        <w:rPr>
          <w:sz w:val="16"/>
        </w:rPr>
        <w:t xml:space="preserve">, whether by way of manual labor or otherwise, in the course of his or her employment, or as an exception to the definition of worker, </w:t>
      </w:r>
      <w:r w:rsidRPr="00156FF2">
        <w:rPr>
          <w:u w:val="single"/>
        </w:rPr>
        <w:t xml:space="preserve">a person is </w:t>
      </w:r>
      <w:r w:rsidRPr="00156FF2">
        <w:rPr>
          <w:b/>
          <w:iCs/>
          <w:sz w:val="30"/>
          <w:szCs w:val="30"/>
          <w:u w:val="single"/>
          <w:bdr w:val="single" w:sz="8" w:space="0" w:color="auto"/>
        </w:rPr>
        <w:t>not</w:t>
      </w:r>
      <w:r w:rsidRPr="00156FF2">
        <w:rPr>
          <w:u w:val="single"/>
        </w:rPr>
        <w:t xml:space="preserve"> a worker if</w:t>
      </w:r>
      <w:r w:rsidRPr="00156FF2">
        <w:rPr>
          <w:sz w:val="16"/>
        </w:rPr>
        <w:t xml:space="preserve"> [</w:t>
      </w:r>
      <w:r w:rsidRPr="00156FF2">
        <w:rPr>
          <w:b/>
          <w:iCs/>
          <w:u w:val="single"/>
          <w:bdr w:val="single" w:sz="8" w:space="0" w:color="auto"/>
        </w:rPr>
        <w:t>they</w:t>
      </w:r>
      <w:r w:rsidRPr="00156FF2">
        <w:rPr>
          <w:sz w:val="16"/>
        </w:rPr>
        <w:t xml:space="preserve">] </w:t>
      </w:r>
      <w:r w:rsidRPr="00156FF2">
        <w:rPr>
          <w:strike/>
          <w:sz w:val="16"/>
        </w:rPr>
        <w:t>he or she</w:t>
      </w:r>
      <w:r w:rsidRPr="00156FF2">
        <w:rPr>
          <w:sz w:val="16"/>
        </w:rPr>
        <w:t xml:space="preserve"> </w:t>
      </w:r>
      <w:r w:rsidRPr="00156FF2">
        <w:rPr>
          <w:u w:val="single"/>
        </w:rPr>
        <w:t xml:space="preserve">meets the tests set forth in </w:t>
      </w:r>
      <w:r w:rsidRPr="00156FF2">
        <w:rPr>
          <w:b/>
          <w:iCs/>
          <w:highlight w:val="cyan"/>
          <w:u w:val="single"/>
          <w:bdr w:val="single" w:sz="8" w:space="0" w:color="auto"/>
        </w:rPr>
        <w:t>RCW 51.08.195</w:t>
      </w:r>
      <w:r w:rsidRPr="00156FF2">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6EED1AE6" w14:textId="77777777" w:rsidR="00156FF2" w:rsidRPr="00156FF2" w:rsidRDefault="00156FF2" w:rsidP="00156FF2"/>
    <w:p w14:paraId="192DD2E8" w14:textId="77777777" w:rsidR="00156FF2" w:rsidRPr="00156FF2" w:rsidRDefault="00156FF2" w:rsidP="00156FF2">
      <w:pPr>
        <w:keepNext/>
        <w:keepLines/>
        <w:spacing w:before="40" w:after="0"/>
        <w:outlineLvl w:val="3"/>
        <w:rPr>
          <w:rFonts w:eastAsiaTheme="majorEastAsia" w:cstheme="majorBidi"/>
          <w:b/>
          <w:iCs/>
          <w:sz w:val="26"/>
        </w:rPr>
      </w:pPr>
      <w:r w:rsidRPr="00156FF2">
        <w:rPr>
          <w:rFonts w:eastAsiaTheme="majorEastAsia" w:cstheme="majorBidi"/>
          <w:b/>
          <w:iCs/>
          <w:sz w:val="26"/>
        </w:rPr>
        <w:t xml:space="preserve">‘Data workers’ are </w:t>
      </w:r>
      <w:r w:rsidRPr="00156FF2">
        <w:rPr>
          <w:rFonts w:eastAsiaTheme="majorEastAsia" w:cstheme="majorBidi"/>
          <w:b/>
          <w:iCs/>
          <w:sz w:val="26"/>
          <w:u w:val="single"/>
        </w:rPr>
        <w:t>neither</w:t>
      </w:r>
      <w:r w:rsidRPr="00156FF2">
        <w:rPr>
          <w:rFonts w:eastAsiaTheme="majorEastAsia" w:cstheme="majorBidi"/>
          <w:b/>
          <w:iCs/>
          <w:sz w:val="26"/>
        </w:rPr>
        <w:t>.</w:t>
      </w:r>
    </w:p>
    <w:p w14:paraId="0E00D0BF" w14:textId="77777777" w:rsidR="00156FF2" w:rsidRPr="00156FF2" w:rsidRDefault="00156FF2" w:rsidP="00156FF2">
      <w:r w:rsidRPr="00156FF2">
        <w:rPr>
          <w:b/>
          <w:bCs/>
          <w:sz w:val="26"/>
          <w:u w:val="single"/>
        </w:rPr>
        <w:t>WSL 08</w:t>
      </w:r>
      <w:r w:rsidRPr="00156FF2">
        <w:t>. "</w:t>
      </w:r>
      <w:r w:rsidRPr="00156FF2">
        <w:rPr>
          <w:b/>
          <w:iCs/>
          <w:highlight w:val="cyan"/>
          <w:u w:val="single"/>
          <w:bdr w:val="single" w:sz="8" w:space="0" w:color="auto"/>
        </w:rPr>
        <w:t>RCW 51.08.195</w:t>
      </w:r>
      <w:r w:rsidRPr="00156FF2">
        <w:t>.” https://app.leg.wa.gov/rcw/default.aspx?cite=51.08.195</w:t>
      </w:r>
    </w:p>
    <w:p w14:paraId="5054E748" w14:textId="77777777" w:rsidR="00156FF2" w:rsidRPr="00156FF2" w:rsidRDefault="00156FF2" w:rsidP="00156FF2">
      <w:pPr>
        <w:rPr>
          <w:sz w:val="16"/>
        </w:rPr>
      </w:pPr>
      <w:r w:rsidRPr="00156FF2">
        <w:rPr>
          <w:sz w:val="16"/>
        </w:rPr>
        <w:t xml:space="preserve">As an exception to the definition of "employer" under RCW 51.08.070 and the definition of "worker" under RCW 51.08.180, </w:t>
      </w:r>
      <w:r w:rsidRPr="00156FF2">
        <w:rPr>
          <w:b/>
          <w:iCs/>
          <w:highlight w:val="cyan"/>
          <w:u w:val="single"/>
          <w:bdr w:val="single" w:sz="8" w:space="0" w:color="auto"/>
        </w:rPr>
        <w:t>services</w:t>
      </w:r>
      <w:r w:rsidRPr="00156FF2">
        <w:rPr>
          <w:highlight w:val="cyan"/>
          <w:u w:val="single"/>
        </w:rPr>
        <w:t xml:space="preserve"> performed by an individual for remuneration</w:t>
      </w:r>
      <w:r w:rsidRPr="00156FF2">
        <w:rPr>
          <w:u w:val="single"/>
        </w:rPr>
        <w:t xml:space="preserve"> shall </w:t>
      </w:r>
      <w:r w:rsidRPr="00156FF2">
        <w:rPr>
          <w:b/>
          <w:iCs/>
          <w:highlight w:val="cyan"/>
          <w:u w:val="single"/>
          <w:bdr w:val="single" w:sz="8" w:space="0" w:color="auto"/>
        </w:rPr>
        <w:t>not</w:t>
      </w:r>
      <w:r w:rsidRPr="00156FF2">
        <w:rPr>
          <w:b/>
          <w:iCs/>
          <w:u w:val="single"/>
          <w:bdr w:val="single" w:sz="8" w:space="0" w:color="auto"/>
        </w:rPr>
        <w:t xml:space="preserve"> constitute </w:t>
      </w:r>
      <w:r w:rsidRPr="00156FF2">
        <w:rPr>
          <w:b/>
          <w:iCs/>
          <w:highlight w:val="cyan"/>
          <w:u w:val="single"/>
          <w:bdr w:val="single" w:sz="8" w:space="0" w:color="auto"/>
        </w:rPr>
        <w:t>employment</w:t>
      </w:r>
      <w:r w:rsidRPr="00156FF2">
        <w:rPr>
          <w:sz w:val="16"/>
        </w:rPr>
        <w:t xml:space="preserve"> subject to this title </w:t>
      </w:r>
      <w:r w:rsidRPr="00156FF2">
        <w:rPr>
          <w:highlight w:val="cyan"/>
          <w:u w:val="single"/>
        </w:rPr>
        <w:t>if</w:t>
      </w:r>
      <w:r w:rsidRPr="00156FF2">
        <w:rPr>
          <w:sz w:val="16"/>
        </w:rPr>
        <w:t xml:space="preserve"> it is shown that:</w:t>
      </w:r>
    </w:p>
    <w:p w14:paraId="6439A253" w14:textId="77777777" w:rsidR="00156FF2" w:rsidRPr="00156FF2" w:rsidRDefault="00156FF2" w:rsidP="00156FF2">
      <w:pPr>
        <w:ind w:left="720"/>
        <w:rPr>
          <w:sz w:val="16"/>
        </w:rPr>
      </w:pPr>
      <w:r w:rsidRPr="00156FF2">
        <w:rPr>
          <w:sz w:val="16"/>
        </w:rPr>
        <w:t xml:space="preserve">(1) </w:t>
      </w:r>
      <w:r w:rsidRPr="00156FF2">
        <w:rPr>
          <w:highlight w:val="cyan"/>
          <w:u w:val="single"/>
        </w:rPr>
        <w:t>The individual</w:t>
      </w:r>
      <w:r w:rsidRPr="00156FF2">
        <w:rPr>
          <w:sz w:val="16"/>
        </w:rPr>
        <w:t xml:space="preserve"> has been and will continue to be </w:t>
      </w:r>
      <w:r w:rsidRPr="00156FF2">
        <w:rPr>
          <w:highlight w:val="cyan"/>
          <w:u w:val="single"/>
        </w:rPr>
        <w:t>free from</w:t>
      </w:r>
      <w:r w:rsidRPr="00156FF2">
        <w:rPr>
          <w:u w:val="single"/>
        </w:rPr>
        <w:t xml:space="preserve"> </w:t>
      </w:r>
      <w:r w:rsidRPr="00156FF2">
        <w:rPr>
          <w:b/>
          <w:iCs/>
          <w:u w:val="single"/>
          <w:bdr w:val="single" w:sz="8" w:space="0" w:color="auto"/>
        </w:rPr>
        <w:t xml:space="preserve">control or </w:t>
      </w:r>
      <w:r w:rsidRPr="00156FF2">
        <w:rPr>
          <w:b/>
          <w:iCs/>
          <w:highlight w:val="cyan"/>
          <w:u w:val="single"/>
          <w:bdr w:val="single" w:sz="8" w:space="0" w:color="auto"/>
        </w:rPr>
        <w:t>direction</w:t>
      </w:r>
      <w:r w:rsidRPr="00156FF2">
        <w:rPr>
          <w:highlight w:val="cyan"/>
          <w:u w:val="single"/>
        </w:rPr>
        <w:t xml:space="preserve"> over</w:t>
      </w:r>
      <w:r w:rsidRPr="00156FF2">
        <w:rPr>
          <w:u w:val="single"/>
        </w:rPr>
        <w:t xml:space="preserve"> the </w:t>
      </w:r>
      <w:r w:rsidRPr="00156FF2">
        <w:rPr>
          <w:b/>
          <w:iCs/>
          <w:highlight w:val="cyan"/>
          <w:u w:val="single"/>
          <w:bdr w:val="single" w:sz="8" w:space="0" w:color="auto"/>
        </w:rPr>
        <w:t>performance of the service</w:t>
      </w:r>
      <w:r w:rsidRPr="00156FF2">
        <w:rPr>
          <w:sz w:val="16"/>
        </w:rPr>
        <w:t>, both under the contract of service and in fact; and</w:t>
      </w:r>
    </w:p>
    <w:p w14:paraId="12153CF2" w14:textId="77777777" w:rsidR="00156FF2" w:rsidRPr="00156FF2" w:rsidRDefault="00156FF2" w:rsidP="00156FF2">
      <w:pPr>
        <w:ind w:left="720"/>
        <w:rPr>
          <w:sz w:val="16"/>
        </w:rPr>
      </w:pPr>
      <w:r w:rsidRPr="00156FF2">
        <w:rPr>
          <w:sz w:val="16"/>
        </w:rPr>
        <w:t xml:space="preserve">(2) </w:t>
      </w:r>
      <w:r w:rsidRPr="00156FF2">
        <w:rPr>
          <w:highlight w:val="cyan"/>
          <w:u w:val="single"/>
        </w:rPr>
        <w:t>The service is</w:t>
      </w:r>
      <w:r w:rsidRPr="00156FF2">
        <w:rPr>
          <w:u w:val="single"/>
        </w:rPr>
        <w:t xml:space="preserve"> either </w:t>
      </w:r>
      <w:r w:rsidRPr="00156FF2">
        <w:rPr>
          <w:highlight w:val="cyan"/>
          <w:u w:val="single"/>
        </w:rPr>
        <w:t xml:space="preserve">outside the </w:t>
      </w:r>
      <w:r w:rsidRPr="00156FF2">
        <w:rPr>
          <w:b/>
          <w:iCs/>
          <w:highlight w:val="cyan"/>
          <w:u w:val="single"/>
          <w:bdr w:val="single" w:sz="8" w:space="0" w:color="auto"/>
        </w:rPr>
        <w:t>usual course</w:t>
      </w:r>
      <w:r w:rsidRPr="00156FF2">
        <w:rPr>
          <w:b/>
          <w:iCs/>
          <w:u w:val="single"/>
          <w:bdr w:val="single" w:sz="8" w:space="0" w:color="auto"/>
        </w:rPr>
        <w:t xml:space="preserve"> of business</w:t>
      </w:r>
      <w:r w:rsidRPr="00156FF2">
        <w:rPr>
          <w:u w:val="single"/>
        </w:rPr>
        <w:t xml:space="preserve"> for which the service is performed</w:t>
      </w:r>
      <w:r w:rsidRPr="00156FF2">
        <w:rPr>
          <w:sz w:val="16"/>
        </w:rPr>
        <w:t xml:space="preserve">, </w:t>
      </w:r>
      <w:r w:rsidRPr="00156FF2">
        <w:rPr>
          <w:b/>
          <w:iCs/>
          <w:highlight w:val="cyan"/>
          <w:u w:val="single"/>
          <w:bdr w:val="single" w:sz="8" w:space="0" w:color="auto"/>
        </w:rPr>
        <w:t>or</w:t>
      </w:r>
      <w:r w:rsidRPr="00156FF2">
        <w:rPr>
          <w:sz w:val="16"/>
        </w:rPr>
        <w:t xml:space="preserve"> the service is performed </w:t>
      </w:r>
      <w:r w:rsidRPr="00156FF2">
        <w:rPr>
          <w:u w:val="single"/>
        </w:rPr>
        <w:t xml:space="preserve">outside all of the </w:t>
      </w:r>
      <w:r w:rsidRPr="00156FF2">
        <w:rPr>
          <w:b/>
          <w:iCs/>
          <w:highlight w:val="cyan"/>
          <w:u w:val="single"/>
          <w:bdr w:val="single" w:sz="8" w:space="0" w:color="auto"/>
        </w:rPr>
        <w:t>places of business</w:t>
      </w:r>
      <w:r w:rsidRPr="00156FF2">
        <w:rPr>
          <w:highlight w:val="cyan"/>
          <w:u w:val="single"/>
        </w:rPr>
        <w:t xml:space="preserve"> of the </w:t>
      </w:r>
      <w:r w:rsidRPr="00156FF2">
        <w:rPr>
          <w:b/>
          <w:iCs/>
          <w:highlight w:val="cyan"/>
          <w:u w:val="single"/>
          <w:bdr w:val="single" w:sz="8" w:space="0" w:color="auto"/>
        </w:rPr>
        <w:t>enterprise</w:t>
      </w:r>
      <w:r w:rsidRPr="00156FF2">
        <w:rPr>
          <w:sz w:val="16"/>
        </w:rPr>
        <w:t xml:space="preserve"> for which the service is performed, or the individual is responsible, both under the contract and in fact, for the costs of the principal place of business from which the service is performed; and</w:t>
      </w:r>
    </w:p>
    <w:p w14:paraId="53CFCDE1" w14:textId="77777777" w:rsidR="00156FF2" w:rsidRPr="00156FF2" w:rsidRDefault="00156FF2" w:rsidP="00156FF2">
      <w:pPr>
        <w:ind w:left="720"/>
        <w:rPr>
          <w:sz w:val="16"/>
        </w:rPr>
      </w:pPr>
      <w:r w:rsidRPr="00156FF2">
        <w:rPr>
          <w:sz w:val="16"/>
        </w:rPr>
        <w:t xml:space="preserve">(3) </w:t>
      </w:r>
      <w:r w:rsidRPr="00156FF2">
        <w:rPr>
          <w:u w:val="single"/>
        </w:rPr>
        <w:t xml:space="preserve">The individual is </w:t>
      </w:r>
      <w:r w:rsidRPr="00156FF2">
        <w:rPr>
          <w:b/>
          <w:iCs/>
          <w:u w:val="single"/>
          <w:bdr w:val="single" w:sz="8" w:space="0" w:color="auto"/>
        </w:rPr>
        <w:t>customarily engaged</w:t>
      </w:r>
      <w:r w:rsidRPr="00156FF2">
        <w:rPr>
          <w:u w:val="single"/>
        </w:rPr>
        <w:t xml:space="preserve"> in an </w:t>
      </w:r>
      <w:r w:rsidRPr="00156FF2">
        <w:rPr>
          <w:b/>
          <w:iCs/>
          <w:u w:val="single"/>
          <w:bdr w:val="single" w:sz="8" w:space="0" w:color="auto"/>
        </w:rPr>
        <w:t>independently established trade</w:t>
      </w:r>
      <w:r w:rsidRPr="00156FF2">
        <w:rPr>
          <w:sz w:val="16"/>
        </w:rPr>
        <w:t xml:space="preserve">, occupation, profession, or business, </w:t>
      </w:r>
      <w:r w:rsidRPr="00156FF2">
        <w:rPr>
          <w:u w:val="single"/>
        </w:rPr>
        <w:t xml:space="preserve">of the </w:t>
      </w:r>
      <w:r w:rsidRPr="00156FF2">
        <w:rPr>
          <w:b/>
          <w:iCs/>
          <w:u w:val="single"/>
          <w:bdr w:val="single" w:sz="8" w:space="0" w:color="auto"/>
        </w:rPr>
        <w:t>same nature</w:t>
      </w:r>
      <w:r w:rsidRPr="00156FF2">
        <w:rPr>
          <w:u w:val="single"/>
        </w:rPr>
        <w:t xml:space="preserve"> as that involved in the </w:t>
      </w:r>
      <w:r w:rsidRPr="00156FF2">
        <w:rPr>
          <w:b/>
          <w:iCs/>
          <w:u w:val="single"/>
          <w:bdr w:val="single" w:sz="8" w:space="0" w:color="auto"/>
        </w:rPr>
        <w:t>contract of service</w:t>
      </w:r>
      <w:r w:rsidRPr="00156FF2">
        <w:rPr>
          <w:sz w:val="16"/>
        </w:rPr>
        <w:t>, or the individual has a principal place of business for the business the individual is conducting that is eligible for a business deduction for federal income tax purposes; and</w:t>
      </w:r>
    </w:p>
    <w:p w14:paraId="661A12E4" w14:textId="77777777" w:rsidR="00156FF2" w:rsidRPr="00156FF2" w:rsidRDefault="00156FF2" w:rsidP="00156FF2">
      <w:pPr>
        <w:ind w:left="720"/>
        <w:rPr>
          <w:sz w:val="16"/>
        </w:rPr>
      </w:pPr>
      <w:r w:rsidRPr="00156FF2">
        <w:rPr>
          <w:sz w:val="16"/>
        </w:rPr>
        <w:t xml:space="preserve">(4) On the effective date of the contract of service, </w:t>
      </w:r>
      <w:r w:rsidRPr="00156FF2">
        <w:rPr>
          <w:u w:val="single"/>
        </w:rPr>
        <w:t xml:space="preserve">the individual is responsible for </w:t>
      </w:r>
      <w:r w:rsidRPr="00156FF2">
        <w:rPr>
          <w:b/>
          <w:iCs/>
          <w:u w:val="single"/>
          <w:bdr w:val="single" w:sz="8" w:space="0" w:color="auto"/>
        </w:rPr>
        <w:t>filing</w:t>
      </w:r>
      <w:r w:rsidRPr="00156FF2">
        <w:rPr>
          <w:u w:val="single"/>
        </w:rPr>
        <w:t xml:space="preserve"> at the </w:t>
      </w:r>
      <w:r w:rsidRPr="00156FF2">
        <w:rPr>
          <w:b/>
          <w:iCs/>
          <w:u w:val="single"/>
          <w:bdr w:val="single" w:sz="8" w:space="0" w:color="auto"/>
        </w:rPr>
        <w:t>next applicable filing period</w:t>
      </w:r>
      <w:r w:rsidRPr="00156FF2">
        <w:rPr>
          <w:sz w:val="16"/>
        </w:rPr>
        <w:t xml:space="preserve">, both under the contract of service and in fact, a schedule of expenses </w:t>
      </w:r>
      <w:r w:rsidRPr="00156FF2">
        <w:rPr>
          <w:u w:val="single"/>
        </w:rPr>
        <w:t xml:space="preserve">with the </w:t>
      </w:r>
      <w:r w:rsidRPr="00156FF2">
        <w:rPr>
          <w:b/>
          <w:iCs/>
          <w:u w:val="single"/>
          <w:bdr w:val="single" w:sz="8" w:space="0" w:color="auto"/>
        </w:rPr>
        <w:t>i</w:t>
      </w:r>
      <w:r w:rsidRPr="00156FF2">
        <w:rPr>
          <w:u w:val="single"/>
        </w:rPr>
        <w:t xml:space="preserve">nternal </w:t>
      </w:r>
      <w:r w:rsidRPr="00156FF2">
        <w:rPr>
          <w:b/>
          <w:iCs/>
          <w:u w:val="single"/>
          <w:bdr w:val="single" w:sz="8" w:space="0" w:color="auto"/>
        </w:rPr>
        <w:t>r</w:t>
      </w:r>
      <w:r w:rsidRPr="00156FF2">
        <w:rPr>
          <w:u w:val="single"/>
        </w:rPr>
        <w:t xml:space="preserve">evenue </w:t>
      </w:r>
      <w:r w:rsidRPr="00156FF2">
        <w:rPr>
          <w:b/>
          <w:iCs/>
          <w:u w:val="single"/>
          <w:bdr w:val="single" w:sz="8" w:space="0" w:color="auto"/>
        </w:rPr>
        <w:t>s</w:t>
      </w:r>
      <w:r w:rsidRPr="00156FF2">
        <w:rPr>
          <w:u w:val="single"/>
        </w:rPr>
        <w:t xml:space="preserve">ervice for the type of business the </w:t>
      </w:r>
      <w:r w:rsidRPr="00156FF2">
        <w:rPr>
          <w:b/>
          <w:iCs/>
          <w:u w:val="single"/>
          <w:bdr w:val="single" w:sz="8" w:space="0" w:color="auto"/>
        </w:rPr>
        <w:t>individual is conducting</w:t>
      </w:r>
      <w:r w:rsidRPr="00156FF2">
        <w:rPr>
          <w:sz w:val="16"/>
        </w:rPr>
        <w:t>; and</w:t>
      </w:r>
    </w:p>
    <w:p w14:paraId="1153B316" w14:textId="77777777" w:rsidR="00156FF2" w:rsidRPr="00156FF2" w:rsidRDefault="00156FF2" w:rsidP="00156FF2">
      <w:pPr>
        <w:ind w:left="720"/>
        <w:rPr>
          <w:sz w:val="16"/>
        </w:rPr>
      </w:pPr>
      <w:r w:rsidRPr="00156FF2">
        <w:rPr>
          <w:sz w:val="16"/>
        </w:rPr>
        <w:t xml:space="preserve">(5) On the effective date of the contract of service, or within a reasonable period after the effective date of the contract, </w:t>
      </w:r>
      <w:r w:rsidRPr="00156FF2">
        <w:rPr>
          <w:u w:val="single"/>
        </w:rPr>
        <w:t xml:space="preserve">the individual has established an </w:t>
      </w:r>
      <w:r w:rsidRPr="00156FF2">
        <w:rPr>
          <w:b/>
          <w:iCs/>
          <w:u w:val="single"/>
          <w:bdr w:val="single" w:sz="8" w:space="0" w:color="auto"/>
        </w:rPr>
        <w:t>account</w:t>
      </w:r>
      <w:r w:rsidRPr="00156FF2">
        <w:rPr>
          <w:u w:val="single"/>
        </w:rPr>
        <w:t xml:space="preserve"> with the </w:t>
      </w:r>
      <w:r w:rsidRPr="00156FF2">
        <w:rPr>
          <w:b/>
          <w:iCs/>
          <w:u w:val="single"/>
          <w:bdr w:val="single" w:sz="8" w:space="0" w:color="auto"/>
        </w:rPr>
        <w:t>department of revenue</w:t>
      </w:r>
      <w:r w:rsidRPr="00156FF2">
        <w:rPr>
          <w:sz w:val="16"/>
        </w:rPr>
        <w:t xml:space="preserve">, and other state agencies as required by the particular case, </w:t>
      </w:r>
      <w:r w:rsidRPr="00156FF2">
        <w:rPr>
          <w:u w:val="single"/>
        </w:rPr>
        <w:t>for the business the individual is conducting for</w:t>
      </w:r>
      <w:r w:rsidRPr="00156FF2">
        <w:rPr>
          <w:sz w:val="16"/>
        </w:rPr>
        <w:t xml:space="preserve"> the </w:t>
      </w:r>
      <w:r w:rsidRPr="00156FF2">
        <w:rPr>
          <w:u w:val="single"/>
        </w:rPr>
        <w:t xml:space="preserve">payment of </w:t>
      </w:r>
      <w:r w:rsidRPr="00156FF2">
        <w:rPr>
          <w:b/>
          <w:iCs/>
          <w:u w:val="single"/>
          <w:bdr w:val="single" w:sz="8" w:space="0" w:color="auto"/>
        </w:rPr>
        <w:t>all state taxes</w:t>
      </w:r>
      <w:r w:rsidRPr="00156FF2">
        <w:rPr>
          <w:u w:val="single"/>
        </w:rPr>
        <w:t xml:space="preserve"> normally paid by </w:t>
      </w:r>
      <w:r w:rsidRPr="00156FF2">
        <w:rPr>
          <w:b/>
          <w:iCs/>
          <w:u w:val="single"/>
          <w:bdr w:val="single" w:sz="8" w:space="0" w:color="auto"/>
        </w:rPr>
        <w:t>employers</w:t>
      </w:r>
      <w:r w:rsidRPr="00156FF2">
        <w:rPr>
          <w:u w:val="single"/>
        </w:rPr>
        <w:t xml:space="preserve"> and </w:t>
      </w:r>
      <w:r w:rsidRPr="00156FF2">
        <w:rPr>
          <w:b/>
          <w:iCs/>
          <w:u w:val="single"/>
          <w:bdr w:val="single" w:sz="8" w:space="0" w:color="auto"/>
        </w:rPr>
        <w:t>businesses</w:t>
      </w:r>
      <w:r w:rsidRPr="00156FF2">
        <w:rPr>
          <w:sz w:val="16"/>
        </w:rPr>
        <w:t xml:space="preserve"> and has registered for and received a unified business identifier number from the state of Washington; and</w:t>
      </w:r>
    </w:p>
    <w:p w14:paraId="530A08F1" w14:textId="77777777" w:rsidR="00156FF2" w:rsidRPr="00156FF2" w:rsidRDefault="00156FF2" w:rsidP="00156FF2">
      <w:pPr>
        <w:ind w:left="720"/>
        <w:rPr>
          <w:sz w:val="16"/>
        </w:rPr>
      </w:pPr>
      <w:r w:rsidRPr="00156FF2">
        <w:rPr>
          <w:sz w:val="16"/>
        </w:rPr>
        <w:t xml:space="preserve">(6) On the effective date of the contract of service, </w:t>
      </w:r>
      <w:r w:rsidRPr="00156FF2">
        <w:rPr>
          <w:u w:val="single"/>
        </w:rPr>
        <w:t xml:space="preserve">the individual is maintaining a </w:t>
      </w:r>
      <w:r w:rsidRPr="00156FF2">
        <w:rPr>
          <w:b/>
          <w:iCs/>
          <w:u w:val="single"/>
          <w:bdr w:val="single" w:sz="8" w:space="0" w:color="auto"/>
        </w:rPr>
        <w:t>separate set</w:t>
      </w:r>
      <w:r w:rsidRPr="00156FF2">
        <w:rPr>
          <w:u w:val="single"/>
        </w:rPr>
        <w:t xml:space="preserve"> of </w:t>
      </w:r>
      <w:r w:rsidRPr="00156FF2">
        <w:rPr>
          <w:b/>
          <w:iCs/>
          <w:u w:val="single"/>
          <w:bdr w:val="single" w:sz="8" w:space="0" w:color="auto"/>
        </w:rPr>
        <w:t>books</w:t>
      </w:r>
      <w:r w:rsidRPr="00156FF2">
        <w:rPr>
          <w:u w:val="single"/>
        </w:rPr>
        <w:t xml:space="preserve"> or </w:t>
      </w:r>
      <w:r w:rsidRPr="00156FF2">
        <w:rPr>
          <w:b/>
          <w:iCs/>
          <w:u w:val="single"/>
          <w:bdr w:val="single" w:sz="8" w:space="0" w:color="auto"/>
        </w:rPr>
        <w:t>records</w:t>
      </w:r>
      <w:r w:rsidRPr="00156FF2">
        <w:rPr>
          <w:u w:val="single"/>
        </w:rPr>
        <w:t xml:space="preserve"> that reflect </w:t>
      </w:r>
      <w:r w:rsidRPr="00156FF2">
        <w:rPr>
          <w:b/>
          <w:iCs/>
          <w:u w:val="single"/>
          <w:bdr w:val="single" w:sz="8" w:space="0" w:color="auto"/>
        </w:rPr>
        <w:t>all items of income and expenses</w:t>
      </w:r>
      <w:r w:rsidRPr="00156FF2">
        <w:rPr>
          <w:u w:val="single"/>
        </w:rPr>
        <w:t xml:space="preserve"> of the business</w:t>
      </w:r>
      <w:r w:rsidRPr="00156FF2">
        <w:rPr>
          <w:sz w:val="16"/>
        </w:rPr>
        <w:t xml:space="preserve"> which the individual is conducting.</w:t>
      </w:r>
    </w:p>
    <w:p w14:paraId="4305D6FF" w14:textId="77777777" w:rsidR="00156FF2" w:rsidRDefault="00156FF2" w:rsidP="00156FF2">
      <w:pPr>
        <w:keepNext/>
        <w:keepLines/>
        <w:spacing w:before="40" w:after="0"/>
        <w:outlineLvl w:val="3"/>
        <w:rPr>
          <w:rFonts w:eastAsiaTheme="majorEastAsia" w:cstheme="majorBidi"/>
          <w:b/>
          <w:iCs/>
          <w:sz w:val="26"/>
        </w:rPr>
      </w:pPr>
      <w:r w:rsidRPr="00156FF2">
        <w:rPr>
          <w:rFonts w:eastAsiaTheme="majorEastAsia" w:cstheme="majorBidi"/>
          <w:b/>
          <w:iCs/>
          <w:sz w:val="26"/>
        </w:rPr>
        <w:t xml:space="preserve">Vote neg for limits and grounds. Anything else opens the floodgates to </w:t>
      </w:r>
      <w:r w:rsidRPr="00156FF2">
        <w:rPr>
          <w:rFonts w:eastAsiaTheme="majorEastAsia" w:cstheme="majorBidi"/>
          <w:b/>
          <w:iCs/>
          <w:sz w:val="26"/>
          <w:u w:val="single"/>
        </w:rPr>
        <w:t>any</w:t>
      </w:r>
      <w:r w:rsidRPr="00156FF2">
        <w:rPr>
          <w:rFonts w:eastAsiaTheme="majorEastAsia" w:cstheme="majorBidi"/>
          <w:b/>
          <w:iCs/>
          <w:sz w:val="26"/>
        </w:rPr>
        <w:t xml:space="preserve"> “worker” to be protected, multiplied by infinite </w:t>
      </w:r>
      <w:r w:rsidRPr="00156FF2">
        <w:rPr>
          <w:rFonts w:eastAsiaTheme="majorEastAsia" w:cstheme="majorBidi"/>
          <w:b/>
          <w:iCs/>
          <w:sz w:val="26"/>
          <w:u w:val="single"/>
        </w:rPr>
        <w:t>mechanisms</w:t>
      </w:r>
      <w:r w:rsidRPr="00156FF2">
        <w:rPr>
          <w:rFonts w:eastAsiaTheme="majorEastAsia" w:cstheme="majorBidi"/>
          <w:b/>
          <w:iCs/>
          <w:sz w:val="26"/>
        </w:rPr>
        <w:t xml:space="preserve">, which </w:t>
      </w:r>
      <w:r w:rsidRPr="00156FF2">
        <w:rPr>
          <w:rFonts w:eastAsiaTheme="majorEastAsia" w:cstheme="majorBidi"/>
          <w:b/>
          <w:iCs/>
          <w:sz w:val="26"/>
          <w:u w:val="single"/>
        </w:rPr>
        <w:t>bypasses</w:t>
      </w:r>
      <w:r w:rsidRPr="00156FF2">
        <w:rPr>
          <w:rFonts w:eastAsiaTheme="majorEastAsia" w:cstheme="majorBidi"/>
          <w:b/>
          <w:iCs/>
          <w:sz w:val="26"/>
        </w:rPr>
        <w:t xml:space="preserve"> core ground.</w:t>
      </w:r>
    </w:p>
    <w:p w14:paraId="15AD5E79" w14:textId="370DFEBB" w:rsidR="00156FF2" w:rsidRPr="00156FF2" w:rsidRDefault="00156FF2" w:rsidP="00156FF2">
      <w:pPr>
        <w:pStyle w:val="Heading2"/>
      </w:pPr>
      <w:r>
        <w:t>T</w:t>
      </w:r>
    </w:p>
    <w:p w14:paraId="426644AC" w14:textId="77777777" w:rsidR="00156FF2" w:rsidRDefault="00156FF2" w:rsidP="00156FF2">
      <w:pPr>
        <w:pStyle w:val="Heading3"/>
      </w:pPr>
      <w:r>
        <w:t>1NC – Fed Workers</w:t>
      </w:r>
    </w:p>
    <w:p w14:paraId="68654E07" w14:textId="77777777" w:rsidR="00156FF2" w:rsidRPr="00B04714" w:rsidRDefault="00156FF2" w:rsidP="00156FF2">
      <w:pPr>
        <w:pStyle w:val="Heading4"/>
      </w:pPr>
      <w:r>
        <w:t>T Substantially</w:t>
      </w:r>
    </w:p>
    <w:p w14:paraId="116F50B1" w14:textId="77777777" w:rsidR="00156FF2" w:rsidRDefault="00156FF2" w:rsidP="00156FF2">
      <w:pPr>
        <w:pStyle w:val="Heading4"/>
      </w:pPr>
      <w:r>
        <w:t xml:space="preserve">Interpretation: The aff must strengthen rights for </w:t>
      </w:r>
      <w:r w:rsidRPr="009448C7">
        <w:rPr>
          <w:u w:val="single"/>
        </w:rPr>
        <w:t>50 percent</w:t>
      </w:r>
      <w:r>
        <w:t xml:space="preserve"> of workers in the United States. </w:t>
      </w:r>
    </w:p>
    <w:p w14:paraId="76774A39" w14:textId="77777777" w:rsidR="00156FF2" w:rsidRDefault="00156FF2" w:rsidP="00156FF2">
      <w:pPr>
        <w:pStyle w:val="Heading4"/>
      </w:pPr>
      <w:r>
        <w:t>“Workers” is the full set</w:t>
      </w:r>
    </w:p>
    <w:p w14:paraId="59676830" w14:textId="77777777" w:rsidR="00156FF2" w:rsidRDefault="00156FF2" w:rsidP="00156FF2">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F14E076" w14:textId="77777777" w:rsidR="00156FF2" w:rsidRPr="00880819" w:rsidRDefault="00156FF2" w:rsidP="00156FF2">
      <w:pPr>
        <w:rPr>
          <w:sz w:val="16"/>
        </w:rPr>
      </w:pPr>
      <w:r w:rsidRPr="00880819">
        <w:rPr>
          <w:sz w:val="16"/>
        </w:rPr>
        <w:t xml:space="preserve">5. For the purpose of the proposed instrument- </w:t>
      </w:r>
    </w:p>
    <w:p w14:paraId="0EF405B5" w14:textId="77777777" w:rsidR="00156FF2" w:rsidRPr="00880819" w:rsidRDefault="00156FF2" w:rsidP="00156FF2">
      <w:pPr>
        <w:rPr>
          <w:sz w:val="16"/>
        </w:rPr>
      </w:pPr>
      <w:r w:rsidRPr="00880819">
        <w:rPr>
          <w:sz w:val="16"/>
        </w:rPr>
        <w:t>(a) the term " branches of economic activity " includes work in the public service ;</w:t>
      </w:r>
    </w:p>
    <w:p w14:paraId="428BA787" w14:textId="77777777" w:rsidR="00156FF2" w:rsidRPr="00880819" w:rsidRDefault="00156FF2" w:rsidP="00156FF2">
      <w:pPr>
        <w:rPr>
          <w:sz w:val="16"/>
        </w:rPr>
      </w:pPr>
      <w:r w:rsidRPr="00880819">
        <w:rPr>
          <w:sz w:val="16"/>
        </w:rPr>
        <w:t xml:space="preserve">(b) </w:t>
      </w:r>
      <w:r w:rsidRPr="00516551">
        <w:rPr>
          <w:rStyle w:val="StyleUnderline"/>
          <w:highlight w:val="green"/>
        </w:rPr>
        <w:t xml:space="preserve">the term " workers " means </w:t>
      </w:r>
      <w:r w:rsidRPr="00516551">
        <w:rPr>
          <w:rStyle w:val="Emphasis"/>
          <w:highlight w:val="green"/>
        </w:rPr>
        <w:t>all employed persons</w:t>
      </w:r>
      <w:r w:rsidRPr="00516551">
        <w:rPr>
          <w:rStyle w:val="StyleUnderline"/>
          <w:highlight w:val="green"/>
        </w:rPr>
        <w:t>, including public employees</w:t>
      </w:r>
      <w:r w:rsidRPr="00880819">
        <w:rPr>
          <w:sz w:val="16"/>
        </w:rPr>
        <w:t xml:space="preserve"> ;</w:t>
      </w:r>
    </w:p>
    <w:p w14:paraId="02A6B76B" w14:textId="77777777" w:rsidR="00156FF2" w:rsidRPr="00880819" w:rsidRDefault="00156FF2" w:rsidP="00156FF2">
      <w:pPr>
        <w:rPr>
          <w:sz w:val="16"/>
        </w:rPr>
      </w:pPr>
      <w:r w:rsidRPr="00880819">
        <w:rPr>
          <w:sz w:val="16"/>
        </w:rPr>
        <w:t>(c) the term "workplace" should cover all places where workers need to be or to go by reason of their work and which are under the direct or indirect control of the employer ;</w:t>
      </w:r>
    </w:p>
    <w:p w14:paraId="50D74163" w14:textId="77777777" w:rsidR="00156FF2" w:rsidRPr="00700E24" w:rsidRDefault="00156FF2" w:rsidP="00156FF2">
      <w:pPr>
        <w:rPr>
          <w:sz w:val="16"/>
        </w:rPr>
      </w:pPr>
      <w:r w:rsidRPr="00880819">
        <w:rPr>
          <w:sz w:val="16"/>
        </w:rPr>
        <w:t>(d) the term "regulations" should cover all provisions given force of law by the competent authority or authorities.</w:t>
      </w:r>
    </w:p>
    <w:p w14:paraId="6CF451AD" w14:textId="77777777" w:rsidR="00156FF2" w:rsidRDefault="00156FF2" w:rsidP="00156FF2">
      <w:pPr>
        <w:pStyle w:val="Heading4"/>
      </w:pPr>
      <w:r>
        <w:t>That’s 163 million</w:t>
      </w:r>
    </w:p>
    <w:p w14:paraId="73EE3B1A" w14:textId="77777777" w:rsidR="00156FF2" w:rsidRPr="00700E24" w:rsidRDefault="00156FF2" w:rsidP="00156FF2">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55E4BF5" w14:textId="77777777" w:rsidR="00156FF2" w:rsidRPr="00700E24" w:rsidRDefault="00156FF2" w:rsidP="00156FF2">
      <w:pPr>
        <w:rPr>
          <w:sz w:val="16"/>
        </w:rPr>
      </w:pPr>
      <w:r w:rsidRPr="00516551">
        <w:rPr>
          <w:rStyle w:val="StyleUnderline"/>
          <w:highlight w:val="green"/>
        </w:rPr>
        <w:t>In 2025</w:t>
      </w:r>
      <w:r w:rsidRPr="00700E24">
        <w:rPr>
          <w:sz w:val="16"/>
        </w:rPr>
        <w:t xml:space="preserve">, it was estimated that over </w:t>
      </w:r>
      <w:r w:rsidRPr="00516551">
        <w:rPr>
          <w:rStyle w:val="Emphasis"/>
          <w:highlight w:val="green"/>
        </w:rPr>
        <w:t>163 million Americans</w:t>
      </w:r>
      <w:r w:rsidRPr="00516551">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D94C50D" w14:textId="77777777" w:rsidR="00156FF2" w:rsidRDefault="00156FF2" w:rsidP="00156FF2">
      <w:pPr>
        <w:pStyle w:val="Heading4"/>
        <w:rPr>
          <w:u w:val="single"/>
        </w:rPr>
      </w:pPr>
      <w:r>
        <w:t xml:space="preserve">That means the aff must cover </w:t>
      </w:r>
      <w:r w:rsidRPr="00700E24">
        <w:rPr>
          <w:u w:val="single"/>
        </w:rPr>
        <w:t>82 million workers</w:t>
      </w:r>
    </w:p>
    <w:p w14:paraId="2F5875C4" w14:textId="77777777" w:rsidR="00156FF2" w:rsidRPr="00700E24" w:rsidRDefault="00156FF2" w:rsidP="00156FF2">
      <w:r>
        <w:t xml:space="preserve">***Substantially is “more than 50 percent,” 163 million/2 = 81.5 million </w:t>
      </w:r>
    </w:p>
    <w:p w14:paraId="6FAAA536" w14:textId="77777777" w:rsidR="00156FF2" w:rsidRPr="005E47A4" w:rsidRDefault="00156FF2" w:rsidP="00156FF2">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0090EDA0" w14:textId="77777777" w:rsidR="00156FF2" w:rsidRPr="00681820" w:rsidRDefault="00156FF2" w:rsidP="00156FF2">
      <w:pPr>
        <w:rPr>
          <w:sz w:val="14"/>
        </w:rPr>
      </w:pPr>
      <w:r w:rsidRPr="00681820">
        <w:rPr>
          <w:sz w:val="14"/>
        </w:rPr>
        <w:t xml:space="preserve">As can be seen from the above, </w:t>
      </w:r>
      <w:r w:rsidRPr="005E47A4">
        <w:rPr>
          <w:rStyle w:val="StyleUnderline"/>
        </w:rPr>
        <w:t xml:space="preserve">the definition of </w:t>
      </w:r>
      <w:r w:rsidRPr="00516551">
        <w:rPr>
          <w:rStyle w:val="Emphasis"/>
          <w:highlight w:val="green"/>
        </w:rPr>
        <w:t>labor</w:t>
      </w:r>
      <w:r w:rsidRPr="005E47A4">
        <w:rPr>
          <w:rStyle w:val="StyleUnderline"/>
        </w:rPr>
        <w:t xml:space="preserve"> surplus</w:t>
      </w:r>
      <w:r w:rsidRPr="00681820">
        <w:rPr>
          <w:sz w:val="14"/>
        </w:rPr>
        <w:t xml:space="preserve"> area concern </w:t>
      </w:r>
      <w:r w:rsidRPr="00516551">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516551">
        <w:rPr>
          <w:rStyle w:val="StyleUnderline"/>
          <w:highlight w:val="green"/>
        </w:rPr>
        <w:t>The</w:t>
      </w:r>
      <w:r w:rsidRPr="00681820">
        <w:rPr>
          <w:sz w:val="14"/>
        </w:rPr>
        <w:t xml:space="preserve"> new </w:t>
      </w:r>
      <w:r w:rsidRPr="00516551">
        <w:rPr>
          <w:rStyle w:val="StyleUnderline"/>
          <w:highlight w:val="green"/>
        </w:rPr>
        <w:t>standard</w:t>
      </w:r>
      <w:r w:rsidRPr="00681820">
        <w:rPr>
          <w:sz w:val="14"/>
        </w:rPr>
        <w:t xml:space="preserve">, at 41 CFR § 1-1.801(c) and (d), </w:t>
      </w:r>
      <w:r w:rsidRPr="00516551">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516551">
        <w:rPr>
          <w:rStyle w:val="StyleUnderline"/>
          <w:highlight w:val="green"/>
        </w:rPr>
        <w:t>the term</w:t>
      </w:r>
      <w:r w:rsidRPr="00681820">
        <w:rPr>
          <w:sz w:val="14"/>
        </w:rPr>
        <w:t xml:space="preserve"> "perform </w:t>
      </w:r>
      <w:r w:rsidRPr="00516551">
        <w:rPr>
          <w:rStyle w:val="Emphasis"/>
          <w:highlight w:val="green"/>
        </w:rPr>
        <w:t>substantially</w:t>
      </w:r>
      <w:r w:rsidRPr="00681820">
        <w:rPr>
          <w:sz w:val="14"/>
        </w:rPr>
        <w:t xml:space="preserve">" is defined </w:t>
      </w:r>
      <w:r w:rsidRPr="00516551">
        <w:rPr>
          <w:rStyle w:val="StyleUnderline"/>
          <w:highlight w:val="green"/>
        </w:rPr>
        <w:t xml:space="preserve">as </w:t>
      </w:r>
      <w:r w:rsidRPr="00516551">
        <w:rPr>
          <w:rStyle w:val="Emphasis"/>
          <w:highlight w:val="green"/>
        </w:rPr>
        <w:t>more than 50 percent</w:t>
      </w:r>
      <w:r w:rsidRPr="00681820">
        <w:rPr>
          <w:sz w:val="14"/>
        </w:rPr>
        <w:t xml:space="preserve"> of the contract price.</w:t>
      </w:r>
    </w:p>
    <w:p w14:paraId="52F8C0E8" w14:textId="77777777" w:rsidR="00156FF2" w:rsidRPr="00574188" w:rsidRDefault="00156FF2" w:rsidP="00156FF2">
      <w:pPr>
        <w:rPr>
          <w:sz w:val="14"/>
        </w:rPr>
      </w:pPr>
      <w:r w:rsidRPr="00681820">
        <w:rPr>
          <w:sz w:val="14"/>
        </w:rPr>
        <w:t>B-194530 5</w:t>
      </w:r>
    </w:p>
    <w:p w14:paraId="2C0D5D73" w14:textId="77777777" w:rsidR="00156FF2" w:rsidRDefault="00156FF2" w:rsidP="00156FF2">
      <w:pPr>
        <w:pStyle w:val="Heading4"/>
      </w:pPr>
      <w:r>
        <w:t xml:space="preserve">Violation: The aff is well short. </w:t>
      </w:r>
    </w:p>
    <w:p w14:paraId="195B1D38" w14:textId="08BE307F" w:rsidR="00156FF2" w:rsidRPr="00156FF2" w:rsidRDefault="00156FF2" w:rsidP="00156FF2">
      <w:pPr>
        <w:rPr>
          <w:sz w:val="12"/>
        </w:rPr>
      </w:pPr>
      <w:r w:rsidRPr="00156FF2">
        <w:rPr>
          <w:rStyle w:val="Style13ptBold"/>
        </w:rPr>
        <w:t xml:space="preserve">Eggleston 25 </w:t>
      </w:r>
      <w:r w:rsidRPr="00156FF2">
        <w:rPr>
          <w:sz w:val="12"/>
        </w:rPr>
        <w:t>[Last updated on February 25, 2025"Where are all America’s tech workers in 2025?", Course Report, https://www.coursereport.com/reports/techxodus Liz Eggleston is co-founder of Course Report, the most complete resource for students choosing a coding bootcamp. Liz has dedicated her career to empowering passionate career changers to break into tech, providing valuable insights and guidance in the rapidly evolving field of tech education. //Spence]</w:t>
      </w:r>
    </w:p>
    <w:p w14:paraId="24B6CCE2" w14:textId="77777777" w:rsidR="00156FF2" w:rsidRPr="00156FF2" w:rsidRDefault="00156FF2" w:rsidP="00156FF2">
      <w:pPr>
        <w:rPr>
          <w:sz w:val="12"/>
        </w:rPr>
      </w:pPr>
      <w:r w:rsidRPr="00156FF2">
        <w:rPr>
          <w:sz w:val="12"/>
        </w:rPr>
        <w:t>Key Findings</w:t>
      </w:r>
    </w:p>
    <w:p w14:paraId="21B5715B" w14:textId="0357228D" w:rsidR="00156FF2" w:rsidRPr="00156FF2" w:rsidRDefault="00156FF2" w:rsidP="00156FF2">
      <w:pPr>
        <w:rPr>
          <w:sz w:val="12"/>
        </w:rPr>
      </w:pPr>
      <w:r w:rsidRPr="00156FF2">
        <w:rPr>
          <w:sz w:val="12"/>
        </w:rPr>
        <w:t>Course Report analyzed data from 222 million LinkedIn profiles of U.S. residents, focusing on 28 tech industries to map the concentration of America’s tech workforce across states and cities. The study also examined the distribution of seniority levels in these locations and pinpointed key hubs for specialized tech talent.</w:t>
      </w:r>
    </w:p>
    <w:p w14:paraId="63ED418E" w14:textId="48CA761E" w:rsidR="00156FF2" w:rsidRPr="00156FF2" w:rsidRDefault="00156FF2" w:rsidP="00156FF2">
      <w:pPr>
        <w:rPr>
          <w:rStyle w:val="Emphasis"/>
        </w:rPr>
      </w:pPr>
      <w:r w:rsidRPr="00156FF2">
        <w:rPr>
          <w:rStyle w:val="Emphasis"/>
          <w:highlight w:val="green"/>
        </w:rPr>
        <w:t>Tech workers make up 7.25% of America’s workforce, totaling 16.1 million people.</w:t>
      </w:r>
    </w:p>
    <w:p w14:paraId="75EBC1A6" w14:textId="77777777" w:rsidR="00156FF2" w:rsidRDefault="00156FF2" w:rsidP="00156FF2">
      <w:pPr>
        <w:pStyle w:val="Heading4"/>
      </w:pPr>
      <w:r>
        <w:t>Vote neg:</w:t>
      </w:r>
    </w:p>
    <w:p w14:paraId="7070FBB5" w14:textId="77777777" w:rsidR="00156FF2" w:rsidRPr="00504CAF" w:rsidRDefault="00156FF2" w:rsidP="00156FF2">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w:t>
      </w:r>
      <w:r w:rsidRPr="009F2F97">
        <w:t>can pick sectors where</w:t>
      </w:r>
      <w:r>
        <w:t xml:space="preserve"> generics don’t apply.</w:t>
      </w:r>
    </w:p>
    <w:p w14:paraId="39753914" w14:textId="77777777" w:rsidR="00156FF2" w:rsidRDefault="00156FF2" w:rsidP="00156FF2">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611B8483" w14:textId="77777777" w:rsidR="00156FF2" w:rsidRDefault="00156FF2" w:rsidP="00156FF2"/>
    <w:p w14:paraId="089B911E" w14:textId="2A3A5BB0" w:rsidR="00513A6D" w:rsidRDefault="00513A6D" w:rsidP="00513A6D">
      <w:pPr>
        <w:pStyle w:val="Heading2"/>
      </w:pPr>
      <w:r>
        <w:t>K</w:t>
      </w:r>
    </w:p>
    <w:p w14:paraId="4093B81C" w14:textId="77777777" w:rsidR="00513A6D" w:rsidRDefault="00513A6D" w:rsidP="00513A6D">
      <w:pPr>
        <w:pStyle w:val="Heading4"/>
      </w:pPr>
      <w:r>
        <w:t xml:space="preserve">Oikonomia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as property. This </w:t>
      </w:r>
      <w:r w:rsidRPr="00F566F6">
        <w:rPr>
          <w:u w:val="single"/>
        </w:rPr>
        <w:t>n</w:t>
      </w:r>
      <w:r w:rsidRPr="00765A70">
        <w:rPr>
          <w:u w:val="single"/>
        </w:rPr>
        <w:t>eocontractualism</w:t>
      </w:r>
      <w:r>
        <w:t xml:space="preserve"> redistributes risk downwards onto racialized and gendered threats, </w:t>
      </w:r>
      <w:r w:rsidRPr="00F7156B">
        <w:rPr>
          <w:u w:val="single"/>
        </w:rPr>
        <w:t>privatizing</w:t>
      </w:r>
      <w:r>
        <w:t xml:space="preserve"> risk through violent </w:t>
      </w:r>
      <w:r w:rsidRPr="00F7156B">
        <w:rPr>
          <w:u w:val="single"/>
        </w:rPr>
        <w:t>containment</w:t>
      </w:r>
      <w:r>
        <w:t xml:space="preserve"> to rationalize white cissupremacy as the structuring principle of society.</w:t>
      </w:r>
    </w:p>
    <w:p w14:paraId="7E0AEB93" w14:textId="77777777" w:rsidR="00513A6D" w:rsidRPr="00A6708D" w:rsidRDefault="00513A6D" w:rsidP="00513A6D">
      <w:pPr>
        <w:rPr>
          <w:sz w:val="12"/>
        </w:rPr>
      </w:pPr>
      <w:r w:rsidRPr="00A6708D">
        <w:rPr>
          <w:rStyle w:val="Style13ptBold"/>
        </w:rPr>
        <w:t>Mitropolous 12</w:t>
      </w:r>
      <w:r w:rsidRPr="00A6708D">
        <w:rPr>
          <w:sz w:val="12"/>
        </w:rPr>
        <w:t xml:space="preserve"> [Contracts and Contagion: From Biopolitics to Oikonomia. Minor Compositions (2012). ISBN: 9781570272561. Angela Mitropoulos is a theorist and academic. She is the author of Contract and Contagion: From Biopolitics to Oikonomia (2012) and Pandemonium (2020).//Spence]</w:t>
      </w:r>
    </w:p>
    <w:p w14:paraId="03FC6BB4" w14:textId="77777777" w:rsidR="00513A6D" w:rsidRPr="000C6BDF" w:rsidRDefault="00513A6D" w:rsidP="00513A6D">
      <w:pPr>
        <w:rPr>
          <w:rStyle w:val="Emphasis"/>
        </w:rPr>
      </w:pPr>
      <w:r w:rsidRPr="00C252B9">
        <w:rPr>
          <w:sz w:val="12"/>
        </w:rPr>
        <w:t xml:space="preserve">Undoubtedly, it is possible to distinguish particular versions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r w:rsidRPr="006D3DCB">
        <w:rPr>
          <w:rStyle w:val="Emphasis"/>
          <w:highlight w:val="green"/>
        </w:rPr>
        <w:t>moral</w:t>
      </w:r>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At times they have been compared and contrasted;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w:t>
      </w:r>
      <w:r w:rsidRPr="00A26471">
        <w:rPr>
          <w:sz w:val="12"/>
        </w:rPr>
        <w:t xml:space="preserve">mer9 and Hobbes), or to be struck by the generally literary character of the texts. </w:t>
      </w:r>
      <w:r w:rsidRPr="00A26471">
        <w:rPr>
          <w:rStyle w:val="StyleUnderline"/>
        </w:rPr>
        <w:t xml:space="preserve">To insist on the complex aesthetics at work here is not </w:t>
      </w:r>
      <w:r w:rsidRPr="00A26471">
        <w:rPr>
          <w:sz w:val="12"/>
        </w:rPr>
        <w:t xml:space="preserve">to mount </w:t>
      </w:r>
      <w:r w:rsidRPr="00A26471">
        <w:rPr>
          <w:rStyle w:val="StyleUnderline"/>
        </w:rPr>
        <w:t>a defence of</w:t>
      </w:r>
      <w:r w:rsidRPr="00A26471">
        <w:rPr>
          <w:sz w:val="12"/>
        </w:rPr>
        <w:t xml:space="preserve"> contractarianism; rather, I offer a critical history of the contractual that takes its artfulness</w:t>
      </w:r>
      <w:r w:rsidRPr="00C252B9">
        <w:rPr>
          <w:sz w:val="12"/>
        </w:rPr>
        <w:t xml:space="preserve">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afformative to the performative </w:t>
      </w:r>
      <w:r w:rsidRPr="00767C42">
        <w:rPr>
          <w:rStyle w:val="StyleUnderline"/>
        </w:rPr>
        <w:t xml:space="preserve">in the rise of </w:t>
      </w:r>
      <w:r w:rsidRPr="00010A46">
        <w:rPr>
          <w:rStyle w:val="StyleUnderline"/>
          <w:highlight w:val="green"/>
        </w:rPr>
        <w:t xml:space="preserve">an </w:t>
      </w:r>
      <w:r w:rsidRPr="00010A46">
        <w:rPr>
          <w:rStyle w:val="Emphasis"/>
          <w:highlight w:val="green"/>
        </w:rPr>
        <w:t>intimate self-management.</w:t>
      </w:r>
    </w:p>
    <w:p w14:paraId="05BC9144" w14:textId="77777777" w:rsidR="00513A6D" w:rsidRPr="00B610D7" w:rsidRDefault="00513A6D" w:rsidP="00513A6D">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However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God creates men as equal, grants them inalienable rights, in order to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put: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‘foreignerby-choice.’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w:t>
      </w:r>
      <w:r w:rsidRPr="00AE07D1">
        <w:rPr>
          <w:sz w:val="12"/>
          <w:szCs w:val="12"/>
        </w:rPr>
        <w:t xml:space="preserve">the social compact is made, their opposition does not invalidate the contract, but merely prevents them from being included in it. They are foreigners among citizens. When the state is instituted, residence constitutes consent; to dwell within its territory is to submit to the Sovereign.”11 Hobbes similarly </w:t>
      </w:r>
      <w:r w:rsidRPr="00AE07D1">
        <w:rPr>
          <w:rStyle w:val="StyleUnderline"/>
        </w:rPr>
        <w:t>combined covenant and contract to argue for the irrevocability of sovereignty.</w:t>
      </w:r>
      <w:r w:rsidRPr="00AE07D1">
        <w:rPr>
          <w:sz w:val="12"/>
          <w:szCs w:val="12"/>
        </w:rPr>
        <w:t xml:space="preserve"> For Abraham Lincoln, the distinction between contract and covenant is almost indiscernible, its traversal necessary</w:t>
      </w:r>
      <w:r w:rsidRPr="00AE07D1">
        <w:rPr>
          <w:sz w:val="2"/>
          <w:szCs w:val="12"/>
        </w:rPr>
        <w:t xml:space="preserve"> </w:t>
      </w:r>
      <w:r w:rsidRPr="00AE07D1">
        <w:rPr>
          <w:sz w:val="12"/>
        </w:rPr>
        <w:t>to the redemption of the social contract presented in the ostensibly unbreakable form of the marriage covenant. Speaking against those who</w:t>
      </w:r>
      <w:r w:rsidRPr="00C252B9">
        <w:rPr>
          <w:sz w:val="12"/>
        </w:rPr>
        <w:t xml:space="preserve">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w:t>
      </w:r>
      <w:r w:rsidRPr="006832D5">
        <w:rPr>
          <w:rStyle w:val="StyleUnderline"/>
        </w:rPr>
        <w:t xml:space="preserve">print’ </w:t>
      </w:r>
      <w:r w:rsidRPr="006832D5">
        <w:rPr>
          <w:rStyle w:val="Emphasis"/>
        </w:rPr>
        <w:t>conditions</w:t>
      </w:r>
      <w:r w:rsidRPr="006832D5">
        <w:rPr>
          <w:rStyle w:val="StyleUnderline"/>
        </w:rPr>
        <w:t xml:space="preserve"> which reassert the unbreakable contract, the recourse by concepts of exchange to a foundational bond declared essentially illiquid and a logic of gift regarded as divine or natural, is – </w:t>
      </w:r>
      <w:r w:rsidRPr="006832D5">
        <w:rPr>
          <w:sz w:val="12"/>
        </w:rPr>
        <w:t xml:space="preserve">more often than not, as I will argue – </w:t>
      </w:r>
      <w:r w:rsidRPr="006832D5">
        <w:rPr>
          <w:rStyle w:val="StyleUnderline"/>
        </w:rPr>
        <w:t>the</w:t>
      </w:r>
      <w:r w:rsidRPr="006832D5">
        <w:rPr>
          <w:sz w:val="10"/>
          <w:szCs w:val="10"/>
        </w:rPr>
        <w:t xml:space="preserve"> re-</w:t>
      </w:r>
      <w:r w:rsidRPr="006832D5">
        <w:rPr>
          <w:rStyle w:val="StyleUnderline"/>
        </w:rPr>
        <w:t>imposition of</w:t>
      </w:r>
      <w:r w:rsidRPr="006832D5">
        <w:rPr>
          <w:sz w:val="12"/>
        </w:rPr>
        <w:t xml:space="preserve"> the</w:t>
      </w:r>
      <w:r w:rsidRPr="00C252B9">
        <w:rPr>
          <w:sz w:val="12"/>
        </w:rPr>
        <w:t xml:space="preserve"> necessity of </w:t>
      </w:r>
      <w:r w:rsidRPr="00B610D7">
        <w:rPr>
          <w:rStyle w:val="Emphasis"/>
          <w:highlight w:val="green"/>
        </w:rPr>
        <w:t>oikonomics</w:t>
      </w:r>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2E1D8C03" w14:textId="77777777" w:rsidR="00513A6D" w:rsidRPr="00852FA0" w:rsidRDefault="00513A6D" w:rsidP="00513A6D">
      <w:pPr>
        <w:rPr>
          <w:sz w:val="8"/>
          <w:szCs w:val="8"/>
        </w:rPr>
      </w:pPr>
      <w:r w:rsidRPr="00852FA0">
        <w:rPr>
          <w:sz w:val="8"/>
          <w:szCs w:val="8"/>
        </w:rPr>
        <w:t>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particular tumult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defence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interiorised senses. It took the more explicit form of prudential and calculative reasoning in uncertain circumstances, but retained the impulse of reinstating determinism. Marked in its classical formulations by the use of terms such as passions, interests, and affects, contractualism became the taken for granted form of answers to the myriad questions posed by the uncertain predicament of an intimately self-managed subject. In emphasising the performativity of contracts, then, I draw attention to the ramifications of the aleatory and actuarial, that is: an analysis of the valorisation of contingency and the ways in which contract re-/ distributes risk and organises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rationalisation – or, better: ratiocination, in the sense one may speak of ratio as calculation and of rationing as the apportionment – of its uncertain conditions.</w:t>
      </w:r>
    </w:p>
    <w:p w14:paraId="3E910C4F" w14:textId="77777777" w:rsidR="00513A6D" w:rsidRPr="00852FA0" w:rsidRDefault="00513A6D" w:rsidP="00513A6D">
      <w:pPr>
        <w:rPr>
          <w:sz w:val="8"/>
          <w:szCs w:val="8"/>
        </w:rPr>
      </w:pPr>
      <w:r w:rsidRPr="00852FA0">
        <w:rPr>
          <w:sz w:val="8"/>
          <w:szCs w:val="8"/>
        </w:rPr>
        <w:t xml:space="preserve">The valorisation of contingency involves a complex dynamic of the rise and refoundation of the contractual, the entanglement of contract with contagions both metaphoric and empirical, emblematic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reorganisation of uncertainty, as its displacement, or its valorisation, but for the most part as the re-imposition of necessity. This takes place in a dynamic of the crossing and restoration of limits, and in this a re-reading of Gilles Deleuze and Felix Guattari’s discussion of the axiomatic is relevant. In A Thousand Plateaus, after discussing the deterritorialising aspects of capitalism, the “worldwide axiomatic” that rests on “convertible abstract rights,” Deleuze and Guattari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5D91F589" w14:textId="77777777" w:rsidR="00513A6D" w:rsidRPr="00852FA0" w:rsidRDefault="00513A6D" w:rsidP="00513A6D">
      <w:pPr>
        <w:rPr>
          <w:sz w:val="8"/>
          <w:szCs w:val="8"/>
        </w:rPr>
      </w:pPr>
      <w:r w:rsidRPr="00852FA0">
        <w:rPr>
          <w:sz w:val="8"/>
          <w:szCs w:val="8"/>
        </w:rPr>
        <w:t>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valorised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sex and race; of the divisions of labour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43856382" w14:textId="77777777" w:rsidR="00513A6D" w:rsidRPr="009266A8" w:rsidRDefault="00513A6D" w:rsidP="00513A6D">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r w:rsidRPr="00021BB9">
        <w:rPr>
          <w:rStyle w:val="StyleUnderline"/>
        </w:rPr>
        <w:t>neocontractualism</w:t>
      </w:r>
      <w:r w:rsidRPr="00021BB9">
        <w:rPr>
          <w:sz w:val="12"/>
        </w:rPr>
        <w:t xml:space="preserve">. Neocontractualism </w:t>
      </w:r>
      <w:r w:rsidRPr="00021BB9">
        <w:rPr>
          <w:rStyle w:val="StyleUnderline"/>
        </w:rPr>
        <w:t>emerges</w:t>
      </w:r>
      <w:r w:rsidRPr="00021BB9">
        <w:rPr>
          <w:sz w:val="12"/>
        </w:rPr>
        <w:t xml:space="preserve"> in the late twentieth century </w:t>
      </w:r>
      <w:r w:rsidRPr="00021BB9">
        <w:rPr>
          <w:rStyle w:val="StyleUnderline"/>
        </w:rPr>
        <w:t xml:space="preserve">in the reorganisation of wage contracts and the expansion of precarious work. </w:t>
      </w:r>
      <w:r w:rsidRPr="00021BB9">
        <w:rPr>
          <w:sz w:val="12"/>
        </w:rPr>
        <w:t xml:space="preserve">In this, there is a curious reconfiguration of the play between contingency and necessity. </w:t>
      </w:r>
      <w:r w:rsidRPr="00021BB9">
        <w:rPr>
          <w:rStyle w:val="Emphasis"/>
        </w:rPr>
        <w:t>Neocontractualism</w:t>
      </w:r>
      <w:r w:rsidRPr="00021BB9">
        <w:rPr>
          <w:sz w:val="12"/>
        </w:rPr>
        <w:t xml:space="preserve"> modifie</w:t>
      </w:r>
      <w:r w:rsidRPr="00021BB9">
        <w:rPr>
          <w:rStyle w:val="Emphasis"/>
        </w:rPr>
        <w:t>s</w:t>
      </w:r>
      <w:r w:rsidRPr="00021BB9">
        <w:rPr>
          <w:sz w:val="12"/>
        </w:rPr>
        <w:t xml:space="preserve"> the classical relation between the unbreachable covenant and the breakable contract in the imposition of an infinite contractualism whose most </w:t>
      </w:r>
      <w:r w:rsidRPr="00021BB9">
        <w:rPr>
          <w:rStyle w:val="StyleUnderline"/>
        </w:rPr>
        <w:t xml:space="preserve">emphatic manifestation is the collapse of </w:t>
      </w:r>
      <w:r w:rsidRPr="00021BB9">
        <w:rPr>
          <w:sz w:val="12"/>
        </w:rPr>
        <w:t xml:space="preserve">a punctual </w:t>
      </w:r>
      <w:r w:rsidRPr="00021BB9">
        <w:rPr>
          <w:rStyle w:val="StyleUnderline"/>
        </w:rPr>
        <w:t>distinction between the time of work and</w:t>
      </w:r>
      <w:r w:rsidRPr="00021BB9">
        <w:rPr>
          <w:sz w:val="12"/>
        </w:rPr>
        <w:t xml:space="preserve"> that of </w:t>
      </w:r>
      <w:r w:rsidRPr="00021BB9">
        <w:rPr>
          <w:rStyle w:val="StyleUnderline"/>
        </w:rPr>
        <w:t>life</w:t>
      </w:r>
      <w:r w:rsidRPr="00021BB9">
        <w:rPr>
          <w:sz w:val="12"/>
        </w:rPr>
        <w:t xml:space="preserve">. Moreover, this neocontractualism has involved </w:t>
      </w:r>
      <w:r w:rsidRPr="00021BB9">
        <w:rPr>
          <w:rStyle w:val="StyleUnderline"/>
        </w:rPr>
        <w:t>changes to welfare provision</w:t>
      </w:r>
      <w:r w:rsidRPr="00021BB9">
        <w:rPr>
          <w:sz w:val="12"/>
        </w:rPr>
        <w:t xml:space="preserve">, such as the turn to faith-based initiatives and the subcontracting of welfare to private companies, a recourse to the precepts of mutual obligation and workfare, as well as </w:t>
      </w:r>
      <w:r w:rsidRPr="00021BB9">
        <w:rPr>
          <w:rStyle w:val="StyleUnderline"/>
        </w:rPr>
        <w:t>the increasing use of housing as collateral for education, health and welfare</w:t>
      </w:r>
      <w:r w:rsidRPr="00021BB9">
        <w:rPr>
          <w:sz w:val="12"/>
        </w:rPr>
        <w:t xml:space="preserve">. It is, furthermore, evidenced in the recent history of conflicts over marriage laws and, not least, those of </w:t>
      </w:r>
      <w:r w:rsidRPr="00021BB9">
        <w:rPr>
          <w:rStyle w:val="StyleUnderline"/>
        </w:rPr>
        <w:t>the implied socio-political contract as</w:t>
      </w:r>
      <w:r w:rsidRPr="009266A8">
        <w:rPr>
          <w:rStyle w:val="StyleUnderline"/>
        </w:rPr>
        <w:t xml:space="preserve"> it </w:t>
      </w:r>
      <w:r w:rsidRPr="00B610D7">
        <w:rPr>
          <w:rStyle w:val="StyleUnderline"/>
          <w:highlight w:val="green"/>
        </w:rPr>
        <w:t>turns around the demarcations of citizen and non-citizen.</w:t>
      </w:r>
    </w:p>
    <w:p w14:paraId="6F474ACA" w14:textId="77777777" w:rsidR="00513A6D" w:rsidRPr="00A10A4D" w:rsidRDefault="00513A6D" w:rsidP="00513A6D">
      <w:pPr>
        <w:rPr>
          <w:rStyle w:val="StyleUnderline"/>
        </w:rPr>
      </w:pPr>
      <w:r w:rsidRPr="00472165">
        <w:rPr>
          <w:rStyle w:val="StyleUnderline"/>
        </w:rPr>
        <w:t xml:space="preserve">These changes, </w:t>
      </w:r>
      <w:r w:rsidRPr="00472165">
        <w:rPr>
          <w:sz w:val="12"/>
        </w:rPr>
        <w:t xml:space="preserve">and the long history that precedes them, </w:t>
      </w:r>
      <w:r w:rsidRPr="00472165">
        <w:rPr>
          <w:rStyle w:val="StyleUnderline"/>
        </w:rPr>
        <w:t xml:space="preserve">require an analytic that moves beyond the epistemological reliance on either identity (those of, say, citizenship, gender, race and class) </w:t>
      </w:r>
      <w:r w:rsidRPr="00472165">
        <w:rPr>
          <w:sz w:val="12"/>
        </w:rPr>
        <w:t xml:space="preserve">or the flattening of differences that I think is generated by much of the conceptual schema of biopolitics, theories of governmentality, human capital and in the proposition of a common. The central analytic here, then, is that these are all better thought as an instance </w:t>
      </w:r>
      <w:r w:rsidRPr="00472165">
        <w:rPr>
          <w:rStyle w:val="StyleUnderline"/>
        </w:rPr>
        <w:t xml:space="preserve">of </w:t>
      </w:r>
      <w:r w:rsidRPr="00472165">
        <w:rPr>
          <w:rStyle w:val="Emphasis"/>
        </w:rPr>
        <w:t>oikonomics</w:t>
      </w:r>
      <w:r w:rsidRPr="00472165">
        <w:rPr>
          <w:sz w:val="12"/>
        </w:rPr>
        <w:t xml:space="preserve">, which is to say, </w:t>
      </w:r>
      <w:r w:rsidRPr="00472165">
        <w:rPr>
          <w:rStyle w:val="StyleUnderline"/>
        </w:rPr>
        <w:t xml:space="preserve">as </w:t>
      </w:r>
      <w:r w:rsidRPr="00472165">
        <w:rPr>
          <w:rStyle w:val="Emphasis"/>
        </w:rPr>
        <w:t>the nexus of race, gender, class, sexuality and nation constituted through the premise of the properly productive household</w:t>
      </w:r>
      <w:r w:rsidRPr="00472165">
        <w:rPr>
          <w:sz w:val="12"/>
        </w:rPr>
        <w:t xml:space="preserve">. </w:t>
      </w:r>
      <w:r w:rsidRPr="00472165">
        <w:rPr>
          <w:rStyle w:val="StyleUnderline"/>
        </w:rPr>
        <w:t>T</w:t>
      </w:r>
      <w:r w:rsidRPr="00632FA2">
        <w:rPr>
          <w:rStyle w:val="StyleUnderline"/>
        </w:rPr>
        <w:t xml:space="preserve">he </w:t>
      </w:r>
      <w:r w:rsidRPr="00DE6028">
        <w:rPr>
          <w:rStyle w:val="StyleUnderline"/>
          <w:highlight w:val="green"/>
        </w:rPr>
        <w:t>significant</w:t>
      </w:r>
      <w:r w:rsidRPr="00632FA2">
        <w:rPr>
          <w:rStyle w:val="StyleUnderline"/>
        </w:rPr>
        <w:t xml:space="preserve"> epistemological shift in this rise of an oikonomics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oikonomic confluence, in its recent incarnations, is the collection of laws passed in the United States in 1996 that, among other things, militarised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r w:rsidRPr="00632FA2">
        <w:rPr>
          <w:rStyle w:val="StyleUnderline"/>
        </w:rPr>
        <w:t>neocontractualism</w:t>
      </w:r>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re-imposed the injunction to labour</w:t>
      </w:r>
      <w:r w:rsidRPr="00C252B9">
        <w:rPr>
          <w:sz w:val="12"/>
        </w:rPr>
        <w:t xml:space="preserve"> simultaneously </w:t>
      </w:r>
      <w:r w:rsidRPr="00E03704">
        <w:rPr>
          <w:rStyle w:val="StyleUnderline"/>
        </w:rPr>
        <w:t>as an instance of self-command and as the implied command of the privatised/unwaged labour of others construed as an extension of domestic (and specifically, affective) labour.</w:t>
      </w:r>
      <w:r w:rsidRPr="00C252B9">
        <w:rPr>
          <w:sz w:val="12"/>
        </w:rPr>
        <w:t xml:space="preserve"> In its specific policy implications, the privatisation of health, welfare and education that has been the hallmark of neoliberalism has amounted not only to a shifting of particular forms of (still largely feminised) kinds of work from public and/or waged spheres to that of private and/or unwaged, but also the re-modulation of the distinction in welfare provision between the punitive and the contractual that emphasises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neocontractualism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r w:rsidRPr="00B610D7">
        <w:rPr>
          <w:rStyle w:val="StyleUnderline"/>
          <w:highlight w:val="green"/>
        </w:rPr>
        <w:t>neocontractualism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contractualism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r w:rsidRPr="00A10A4D">
        <w:rPr>
          <w:rStyle w:val="Emphasis"/>
          <w:highlight w:val="green"/>
        </w:rPr>
        <w:t>political-economy of the performative</w:t>
      </w:r>
      <w:r w:rsidRPr="00A10A4D">
        <w:rPr>
          <w:rStyle w:val="StyleUnderline"/>
        </w:rPr>
        <w:t xml:space="preserve"> as it recapitulates itself in frontier spaces both figurative and empirical.</w:t>
      </w:r>
    </w:p>
    <w:p w14:paraId="1D0D1C0C" w14:textId="77777777" w:rsidR="00513A6D" w:rsidRPr="00C252B9" w:rsidRDefault="00513A6D" w:rsidP="00513A6D">
      <w:pPr>
        <w:rPr>
          <w:sz w:val="12"/>
        </w:rPr>
      </w:pPr>
      <w:r w:rsidRPr="00C252B9">
        <w:rPr>
          <w:sz w:val="12"/>
        </w:rPr>
        <w:t xml:space="preserve">In all of this, the relation of contingency and necessity is key; and the argument I make, simply put, is that whatever else they </w:t>
      </w:r>
      <w:r w:rsidRPr="00B64817">
        <w:rPr>
          <w:sz w:val="12"/>
        </w:rPr>
        <w:t xml:space="preserve">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B64817">
        <w:rPr>
          <w:rStyle w:val="StyleUnderline"/>
        </w:rPr>
        <w:t>contract is constituted and revised in the midst of a specifically capitalist precariousness</w:t>
      </w:r>
      <w:r w:rsidRPr="00B64817">
        <w:rPr>
          <w:sz w:val="12"/>
        </w:rPr>
        <w:t xml:space="preserve">, variously </w:t>
      </w:r>
      <w:r w:rsidRPr="00B64817">
        <w:rPr>
          <w:rStyle w:val="StyleUnderline"/>
        </w:rPr>
        <w:t>played out as protection</w:t>
      </w:r>
      <w:r w:rsidRPr="00B64817">
        <w:rPr>
          <w:sz w:val="12"/>
        </w:rPr>
        <w:t xml:space="preserve"> or insurance, as </w:t>
      </w:r>
      <w:r w:rsidRPr="00B64817">
        <w:rPr>
          <w:rStyle w:val="StyleUnderline"/>
        </w:rPr>
        <w:t>the reallocation of risk or its valorisation, or as the displacement and redistribution of uncertainty.</w:t>
      </w:r>
      <w:r w:rsidRPr="00B64817">
        <w:rPr>
          <w:sz w:val="12"/>
        </w:rPr>
        <w:t xml:space="preserve"> Taking a cue from George L. Priest’s insistence that the “predominant function</w:t>
      </w:r>
      <w:r w:rsidRPr="00C252B9">
        <w:rPr>
          <w:sz w:val="12"/>
        </w:rPr>
        <w:t xml:space="preserve"> of modern [contract] law is to allocate risk,”24 and emphasising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mobilisation of a theory of contagion, the danger of wild variation (or “free love” and “passionate attraction”) that makes the projection of capitalist futurity uncertain. </w:t>
      </w:r>
    </w:p>
    <w:p w14:paraId="1AF9CB28" w14:textId="77777777" w:rsidR="00513A6D" w:rsidRPr="00C252B9" w:rsidRDefault="00513A6D" w:rsidP="00513A6D">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emphasise here. But it also underlines the way in which I pose this as a question not only of comparison (and abstract equality) but more so as one of </w:t>
      </w:r>
      <w:r w:rsidRPr="00EF5571">
        <w:rPr>
          <w:rStyle w:val="StyleUnderline"/>
          <w:highlight w:val="green"/>
        </w:rPr>
        <w:t>oikonomia</w:t>
      </w:r>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specifica, </w:t>
      </w:r>
      <w:r w:rsidRPr="00EF5571">
        <w:rPr>
          <w:rStyle w:val="StyleUnderline"/>
          <w:highlight w:val="green"/>
        </w:rPr>
        <w:t>of the contractual</w:t>
      </w:r>
      <w:r w:rsidRPr="00C252B9">
        <w:rPr>
          <w:sz w:val="12"/>
        </w:rPr>
        <w:t xml:space="preserve">. Here, the equality between men (between, that is, labour which is contracted for sale) is both ordained by God and made possible by the foundational gift of a naturalized servitude, which is to say, the surplus labour that is always unpaid, outside the remunerative, measured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as it happens and against a conservative understanding of capitalism, historically contemporaneous.</w:t>
      </w:r>
    </w:p>
    <w:p w14:paraId="7BF38C5A" w14:textId="77777777" w:rsidR="00513A6D" w:rsidRPr="0038219E" w:rsidRDefault="00513A6D" w:rsidP="00513A6D">
      <w:pPr>
        <w:rPr>
          <w:rStyle w:val="Emphasis"/>
        </w:rPr>
      </w:pPr>
      <w:r w:rsidRPr="00C252B9">
        <w:rPr>
          <w:sz w:val="12"/>
        </w:rPr>
        <w:t xml:space="preserve">To be sure, as an axiom, contract has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centre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characterised the historical and political demarcation of slavery from wage labour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social, been situated at the origin of enduring social ties and the setting out of legitimate lines of obligation and right. Contract’s historians have discovered a not-always discontinuous precedent in the promissory oath, in covenant, gift, bargain and faith; and – in more or less complicated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 xml:space="preserve">enforceable by law, contract has assumed – depending on the </w:t>
      </w:r>
      <w:r w:rsidRPr="002E597C">
        <w:rPr>
          <w:rStyle w:val="StyleUnderline"/>
        </w:rPr>
        <w:t>moment’s inflection – an authorial, voluntarist, egalitarian, liberal, willful and autonomous subject</w:t>
      </w:r>
      <w:r w:rsidRPr="002E597C">
        <w:rPr>
          <w:sz w:val="12"/>
        </w:rPr>
        <w:t xml:space="preserve">. In short, </w:t>
      </w:r>
      <w:r w:rsidRPr="002E597C">
        <w:rPr>
          <w:rStyle w:val="Emphasis"/>
        </w:rPr>
        <w:t>contract is crucial to the legitimated forms of subjectivity and relation that have accompanied the rise and expansion of capitalism across the world</w:t>
      </w:r>
      <w:r w:rsidRPr="002E597C">
        <w:rPr>
          <w:sz w:val="12"/>
        </w:rPr>
        <w:t xml:space="preserve">. Its history </w:t>
      </w:r>
      <w:r w:rsidRPr="002E597C">
        <w:rPr>
          <w:rStyle w:val="StyleUnderline"/>
        </w:rPr>
        <w:t xml:space="preserve">is </w:t>
      </w:r>
      <w:r w:rsidRPr="002E597C">
        <w:rPr>
          <w:rStyle w:val="Emphasis"/>
          <w:sz w:val="28"/>
          <w:szCs w:val="28"/>
        </w:rPr>
        <w:t>inseparable from notions of self-possession</w:t>
      </w:r>
      <w:r w:rsidRPr="002E597C">
        <w:rPr>
          <w:sz w:val="16"/>
          <w:szCs w:val="28"/>
        </w:rPr>
        <w:t xml:space="preserve"> </w:t>
      </w:r>
      <w:r w:rsidRPr="002E597C">
        <w:rPr>
          <w:sz w:val="12"/>
        </w:rPr>
        <w:t xml:space="preserve">as C. B. Macpherson argued30 – </w:t>
      </w:r>
      <w:r w:rsidRPr="002E597C">
        <w:rPr>
          <w:rStyle w:val="StyleUnderline"/>
        </w:rPr>
        <w:t xml:space="preserve">which makes it also, I add, crucial to the </w:t>
      </w:r>
      <w:r w:rsidRPr="002E597C">
        <w:rPr>
          <w:rStyle w:val="Emphasis"/>
        </w:rPr>
        <w:t>inscriptions of property in an anthropological register</w:t>
      </w:r>
      <w:r w:rsidRPr="002E597C">
        <w:rPr>
          <w:rStyle w:val="StyleUnderline"/>
        </w:rPr>
        <w:t>, and its transfer in oikonomic and genealogical senses</w:t>
      </w:r>
      <w:r w:rsidRPr="0018136B">
        <w:rPr>
          <w:rStyle w:val="StyleUnderline"/>
        </w:rPr>
        <w:t xml:space="preserve">.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the emergence of political-economy from moral economy</w:t>
      </w:r>
      <w:r w:rsidRPr="00C252B9">
        <w:rPr>
          <w:sz w:val="12"/>
        </w:rPr>
        <w:t xml:space="preserve">,31 </w:t>
      </w:r>
      <w:r w:rsidRPr="006A6914">
        <w:rPr>
          <w:rStyle w:val="StyleUnderline"/>
        </w:rPr>
        <w:t xml:space="preserve">and the points of articulation between state and market (the critical points of intersection that is common law, currency and </w:t>
      </w:r>
      <w:r w:rsidRPr="006D2EB4">
        <w:rPr>
          <w:rStyle w:val="StyleUnderline"/>
        </w:rPr>
        <w:t xml:space="preserve">transaction). In the history of liberalism, it has </w:t>
      </w:r>
      <w:r w:rsidRPr="006D2EB4">
        <w:rPr>
          <w:rStyle w:val="Emphasis"/>
        </w:rPr>
        <w:t>simultaneously</w:t>
      </w:r>
      <w:r w:rsidRPr="006D2EB4">
        <w:rPr>
          <w:rStyle w:val="StyleUnderline"/>
        </w:rPr>
        <w:t xml:space="preserve"> </w:t>
      </w:r>
      <w:r w:rsidRPr="006D2EB4">
        <w:rPr>
          <w:rStyle w:val="Emphasis"/>
        </w:rPr>
        <w:t>constituted</w:t>
      </w:r>
      <w:r w:rsidRPr="006D2EB4">
        <w:rPr>
          <w:rStyle w:val="StyleUnderline"/>
        </w:rPr>
        <w:t xml:space="preserve"> </w:t>
      </w:r>
      <w:r w:rsidRPr="006D2EB4">
        <w:rPr>
          <w:rStyle w:val="Emphasis"/>
        </w:rPr>
        <w:t>the</w:t>
      </w:r>
      <w:r w:rsidRPr="006D2EB4">
        <w:rPr>
          <w:rStyle w:val="StyleUnderline"/>
        </w:rPr>
        <w:t xml:space="preserve"> supposedly </w:t>
      </w:r>
      <w:r w:rsidRPr="006D2EB4">
        <w:rPr>
          <w:rStyle w:val="Emphasis"/>
        </w:rPr>
        <w:t>emancipatory limit on state action</w:t>
      </w:r>
      <w:r w:rsidRPr="006D2EB4">
        <w:rPr>
          <w:rStyle w:val="StyleUnderline"/>
        </w:rPr>
        <w:t xml:space="preserve"> </w:t>
      </w:r>
      <w:r w:rsidRPr="006D2EB4">
        <w:rPr>
          <w:rStyle w:val="Emphasis"/>
        </w:rPr>
        <w:t>while proliferating that limit</w:t>
      </w:r>
      <w:r w:rsidRPr="006D2EB4">
        <w:rPr>
          <w:sz w:val="12"/>
        </w:rPr>
        <w:t xml:space="preserve"> – and everything that it presupposes and gives</w:t>
      </w:r>
      <w:r w:rsidRPr="00C252B9">
        <w:rPr>
          <w:sz w:val="12"/>
        </w:rPr>
        <w:t xml:space="preserve"> effect to – </w:t>
      </w:r>
      <w:r w:rsidRPr="00243AC0">
        <w:rPr>
          <w:rStyle w:val="Emphasis"/>
          <w:highlight w:val="green"/>
        </w:rPr>
        <w:t>across the globe and in intimate spaces.</w:t>
      </w:r>
    </w:p>
    <w:p w14:paraId="495C5C32" w14:textId="77777777" w:rsidR="00513A6D" w:rsidRPr="00852FA0" w:rsidRDefault="00513A6D" w:rsidP="00513A6D">
      <w:pPr>
        <w:rPr>
          <w:sz w:val="8"/>
          <w:szCs w:val="18"/>
        </w:rPr>
      </w:pPr>
      <w:r w:rsidRPr="00852FA0">
        <w:rPr>
          <w:sz w:val="8"/>
          <w:szCs w:val="18"/>
        </w:rPr>
        <w:t>Famously, for the English jurist Henry Maine, history as such could be read as the development of obligation from a status ascribed by birth to that of contract entered into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organised around the themes of Zweckontrakt and Statuskontrakt, took its cue from Maine.33 Michael Walzer, in turning the question of obligation around the assumed polarities of wilful association and inherited membership, echoed both Weber and Maine.34 And while contract theory has been accommodating of those whose politics might be said to vastly differ on every other question, even its most implacable critics have theorised the history and significance of the contractual so as to pose the question of freedom anew. From Hume to Nietzsche to Émile Durkheim, all of whom ridiculed the idea of an originary contract to which no one actually consented, to Carole Pateman’s more recent (and Freudian) account of contract as the emergence of fraternal patriarchy, the socio-political contract has often been regarded as the denial of a founding violence and persistent asymmetry.35</w:t>
      </w:r>
    </w:p>
    <w:p w14:paraId="7749BB9C" w14:textId="77777777" w:rsidR="00513A6D" w:rsidRPr="00C252B9" w:rsidRDefault="00513A6D" w:rsidP="00513A6D">
      <w:pPr>
        <w:rPr>
          <w:sz w:val="12"/>
        </w:rPr>
      </w:pPr>
      <w:r w:rsidRPr="00C252B9">
        <w:rPr>
          <w:sz w:val="12"/>
        </w:rPr>
        <w:t xml:space="preserve">These critiques of contract, while I think undeniable, never manage to dispose of contractualism as a form for envisaging attachment, relation and right. Part of this stubbornness resides in the amplification of contractualism as an ontological precept, which is to say, as an axiomatic that is deemed to be universally applicable, and ahistorically pertinent. But </w:t>
      </w:r>
      <w:r w:rsidRPr="002D58DA">
        <w:rPr>
          <w:rStyle w:val="StyleUnderline"/>
          <w:highlight w:val="green"/>
        </w:rPr>
        <w:t>the materiality of contractualism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Pascalian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contractualism’s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mean time be trusted; and then the Contract on his part, is called Pact, or Covenant. Or both parts may contract now, to perform hereafter; in which cases, he that is to performe in time to come, being trusted, his performance is called Keeping of Promise, or Faith; and the fayling of performance (if it be voluntary) Violation of Faith. 37</w:t>
      </w:r>
    </w:p>
    <w:p w14:paraId="62AF3A85" w14:textId="77777777" w:rsidR="00513A6D" w:rsidRPr="00852FA0" w:rsidRDefault="00513A6D" w:rsidP="00513A6D">
      <w:pPr>
        <w:rPr>
          <w:sz w:val="8"/>
          <w:szCs w:val="8"/>
        </w:rPr>
      </w:pPr>
      <w:r w:rsidRPr="00852FA0">
        <w:rPr>
          <w:sz w:val="8"/>
          <w:szCs w:val="8"/>
        </w:rPr>
        <w:t xml:space="preserve">As Morton J. Horowitz has argued, the nineteenth century was the scene of a series of conflicts over the understanding of the voluntary assumption of risk (volenti non fit injuria) that limited the liability of employers for workplace accidents and harms by asserting that, under a rule of reasonable (or disciplined) foresight, the worker had taken responsibility for the possible dangers of their work.38 The doctrine of volenti non fit injuria, was displaced – in some but by no means all labour contracts – in the latter part of the nineteenth century by forms of compensation and social insurance predicated on the rise of the statistical.39 It would return, however, in the contracting of labour that was often not recognised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kinaesthetic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7764DB0D" w14:textId="77777777" w:rsidR="00513A6D" w:rsidRDefault="00513A6D" w:rsidP="00513A6D">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utility-maximisation</w:t>
      </w:r>
      <w:r w:rsidRPr="00C252B9">
        <w:rPr>
          <w:sz w:val="12"/>
        </w:rPr>
        <w:t xml:space="preserve"> – and its recent revisions in dynamic theories of optimisation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r w:rsidRPr="00B375F1">
        <w:rPr>
          <w:rStyle w:val="StyleUnderline"/>
        </w:rPr>
        <w:t>contractualism</w:t>
      </w:r>
      <w:r w:rsidRPr="009646D0">
        <w:rPr>
          <w:rStyle w:val="StyleUnderline"/>
        </w:rPr>
        <w:t xml:space="preserve"> </w:t>
      </w:r>
      <w:r w:rsidRPr="00555614">
        <w:rPr>
          <w:rStyle w:val="StyleUnderline"/>
          <w:highlight w:val="green"/>
        </w:rPr>
        <w:t>presented the labour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jointstock company and insurance – that is, the mutualisation of dis/ advantage and the pre-history of limited liability – are both significant corollaries of the political contract. They evince a modification of the logic of sovereignty and the fraternal contract, and this has its theologico-philosophical counterpart in Spinozian ethics. In any case, the recourse to anthropological fictions in contract theory – as in classical narratives of a State of Nature or neoclassical theories of utility-maximisation – takes place in a context where desire and its mobilisation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733480A6" w14:textId="77777777" w:rsidR="00513A6D" w:rsidRDefault="00513A6D" w:rsidP="00513A6D">
      <w:pPr>
        <w:pStyle w:val="Heading4"/>
      </w:pPr>
      <w:r>
        <w:t xml:space="preserve">Within the oikonomic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4038551E" w14:textId="77777777" w:rsidR="00513A6D" w:rsidRDefault="00513A6D" w:rsidP="00513A6D">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2024.//Spence]</w:t>
      </w:r>
    </w:p>
    <w:p w14:paraId="4C2640A1" w14:textId="77777777" w:rsidR="00513A6D" w:rsidRPr="006D4450" w:rsidRDefault="00513A6D" w:rsidP="00513A6D">
      <w:pPr>
        <w:rPr>
          <w:sz w:val="12"/>
        </w:rPr>
      </w:pPr>
      <w:r w:rsidRPr="006D4450">
        <w:rPr>
          <w:sz w:val="12"/>
        </w:rPr>
        <w:t xml:space="preserve">To understand ‘the trans debate’ in light of “end of the state of debate”72 means acknowledging that just as the state is “a war against its own condition”73 so too is stasis. Today, </w:t>
      </w:r>
      <w:r w:rsidRPr="00824D59">
        <w:rPr>
          <w:rStyle w:val="Emphasis"/>
          <w:sz w:val="28"/>
          <w:szCs w:val="28"/>
          <w:highlight w:val="green"/>
        </w:rPr>
        <w:t>debate is</w:t>
      </w:r>
      <w:r w:rsidRPr="00824D59">
        <w:rPr>
          <w:rStyle w:val="StyleUnderline"/>
          <w:sz w:val="28"/>
          <w:szCs w:val="28"/>
          <w:highlight w:val="green"/>
        </w:rPr>
        <w:t xml:space="preserve"> </w:t>
      </w:r>
      <w:r w:rsidRPr="00D717E9">
        <w:rPr>
          <w:rStyle w:val="StyleUnderline"/>
        </w:rPr>
        <w:t>understood as the essential to</w:t>
      </w:r>
      <w:r w:rsidRPr="004056B3">
        <w:rPr>
          <w:rStyle w:val="StyleUnderline"/>
        </w:rPr>
        <w:t xml:space="preserve"> </w:t>
      </w:r>
      <w:r w:rsidRPr="00824D59">
        <w:rPr>
          <w:rStyle w:val="Emphasis"/>
          <w:sz w:val="28"/>
          <w:szCs w:val="28"/>
          <w:highlight w:val="green"/>
        </w:rPr>
        <w:t>democracy’s</w:t>
      </w:r>
      <w:r w:rsidRPr="006D4450">
        <w:rPr>
          <w:sz w:val="12"/>
        </w:rPr>
        <w:t xml:space="preserve"> (anti)social </w:t>
      </w:r>
      <w:r w:rsidRPr="00824D59">
        <w:rPr>
          <w:rStyle w:val="Emphasis"/>
          <w:sz w:val="28"/>
          <w:szCs w:val="28"/>
          <w:highlight w:val="green"/>
        </w:rPr>
        <w:t>contract</w:t>
      </w:r>
      <w:r w:rsidRPr="004056B3">
        <w:rPr>
          <w:rStyle w:val="StyleUnderline"/>
        </w:rPr>
        <w:t xml:space="preserve">, its decomposition entailing the eruption of ‘civil war’ </w:t>
      </w:r>
      <w:r w:rsidRPr="006D4450">
        <w:rPr>
          <w:sz w:val="12"/>
        </w:rPr>
        <w:t xml:space="preserve">but “it is interesting because the Greeks referred to civil war as ‘stasis’”74 and because civil war has always been a misnomer for race war. For Rousseau, “long </w:t>
      </w:r>
      <w:r w:rsidRPr="00EA6BA1">
        <w:rPr>
          <w:rStyle w:val="StyleUnderline"/>
          <w:highlight w:val="green"/>
        </w:rPr>
        <w:t>debates</w:t>
      </w:r>
      <w:r w:rsidRPr="006D4450">
        <w:rPr>
          <w:sz w:val="12"/>
        </w:rPr>
        <w:t xml:space="preserve">, dissensions and tumult proclaim…the decline of the state”75 through fracturing its general will. </w:t>
      </w:r>
      <w:r w:rsidRPr="004056B3">
        <w:rPr>
          <w:rStyle w:val="StyleUnderline"/>
        </w:rPr>
        <w:t xml:space="preserve">The general will </w:t>
      </w:r>
      <w:r w:rsidRPr="00EA6BA1">
        <w:rPr>
          <w:rStyle w:val="StyleUnderline"/>
          <w:highlight w:val="green"/>
        </w:rPr>
        <w:t xml:space="preserve">is said to bind the body politic together through </w:t>
      </w:r>
      <w:r w:rsidRPr="00EA6BA1">
        <w:rPr>
          <w:rStyle w:val="StyleUnderline"/>
        </w:rPr>
        <w:t xml:space="preserve">prior </w:t>
      </w:r>
      <w:r w:rsidRPr="001E3000">
        <w:rPr>
          <w:rStyle w:val="StyleUnderline"/>
          <w:highlight w:val="green"/>
        </w:rPr>
        <w:t>consent to</w:t>
      </w:r>
      <w:r w:rsidRPr="004056B3">
        <w:rPr>
          <w:rStyle w:val="StyleUnderline"/>
        </w:rPr>
        <w:t xml:space="preserve"> and </w:t>
      </w:r>
      <w:r w:rsidRPr="008A517C">
        <w:rPr>
          <w:rStyle w:val="StyleUnderline"/>
          <w:highlight w:val="green"/>
        </w:rPr>
        <w:t>consensus</w:t>
      </w:r>
      <w:r w:rsidRPr="004056B3">
        <w:rPr>
          <w:rStyle w:val="StyleUnderline"/>
        </w:rPr>
        <w:t xml:space="preserve"> </w:t>
      </w:r>
      <w:r w:rsidRPr="008A517C">
        <w:rPr>
          <w:rStyle w:val="StyleUnderline"/>
        </w:rPr>
        <w:t>on civil society as humanity’s evolutionary destiny.</w:t>
      </w:r>
      <w:r w:rsidRPr="008A517C">
        <w:rPr>
          <w:sz w:val="12"/>
        </w:rPr>
        <w:t xml:space="preserve"> Here</w:t>
      </w:r>
      <w:r w:rsidRPr="006D4450">
        <w:rPr>
          <w:sz w:val="12"/>
        </w:rPr>
        <w:t xml:space="preserve">, </w:t>
      </w:r>
      <w:r w:rsidRPr="00210A9C">
        <w:rPr>
          <w:rStyle w:val="StyleUnderline"/>
          <w:highlight w:val="green"/>
        </w:rPr>
        <w:t xml:space="preserve">stasis </w:t>
      </w:r>
      <w:r w:rsidRPr="0023397F">
        <w:rPr>
          <w:rStyle w:val="StyleUnderline"/>
        </w:rPr>
        <w:t xml:space="preserve">takes form </w:t>
      </w:r>
      <w:r w:rsidRPr="0023397F">
        <w:rPr>
          <w:sz w:val="12"/>
        </w:rPr>
        <w:t xml:space="preserve">not simply </w:t>
      </w:r>
      <w:r w:rsidRPr="0023397F">
        <w:rPr>
          <w:rStyle w:val="StyleUnderline"/>
        </w:rPr>
        <w:t>as a</w:t>
      </w:r>
      <w:r w:rsidRPr="0023397F">
        <w:rPr>
          <w:sz w:val="12"/>
        </w:rPr>
        <w:t xml:space="preserve"> rhetorical theory but a </w:t>
      </w:r>
      <w:r w:rsidRPr="0023397F">
        <w:rPr>
          <w:rStyle w:val="StyleUnderline"/>
        </w:rPr>
        <w:t xml:space="preserve">juridical logic that </w:t>
      </w:r>
      <w:r w:rsidRPr="005F3057">
        <w:rPr>
          <w:rStyle w:val="StyleUnderline"/>
          <w:highlight w:val="green"/>
        </w:rPr>
        <w:t>legitimizes domestic war</w:t>
      </w:r>
      <w:r w:rsidRPr="00AB6AE8">
        <w:rPr>
          <w:rStyle w:val="StyleUnderline"/>
        </w:rPr>
        <w:t xml:space="preserve"> through </w:t>
      </w:r>
      <w:r w:rsidRPr="005F3057">
        <w:rPr>
          <w:rStyle w:val="StyleUnderline"/>
          <w:highlight w:val="green"/>
        </w:rPr>
        <w:t>inventing the</w:t>
      </w:r>
      <w:r w:rsidRPr="00AB6AE8">
        <w:rPr>
          <w:rStyle w:val="StyleUnderline"/>
        </w:rPr>
        <w:t xml:space="preserve"> body politic’s </w:t>
      </w:r>
      <w:r w:rsidRPr="005F3057">
        <w:rPr>
          <w:rStyle w:val="StyleUnderline"/>
          <w:highlight w:val="green"/>
        </w:rPr>
        <w:t>general will</w:t>
      </w:r>
      <w:r w:rsidRPr="00AB6AE8">
        <w:rPr>
          <w:rStyle w:val="StyleUnderline"/>
        </w:rPr>
        <w:t xml:space="preserve"> (or collective unconscious) </w:t>
      </w:r>
      <w:r w:rsidRPr="005F3057">
        <w:rPr>
          <w:rStyle w:val="StyleUnderline"/>
          <w:highlight w:val="green"/>
        </w:rPr>
        <w:t>prior to</w:t>
      </w:r>
      <w:r w:rsidRPr="00AB6AE8">
        <w:rPr>
          <w:rStyle w:val="StyleUnderline"/>
        </w:rPr>
        <w:t xml:space="preserve"> (and </w:t>
      </w:r>
      <w:r w:rsidRPr="000344A3">
        <w:rPr>
          <w:rStyle w:val="Emphasis"/>
          <w:sz w:val="28"/>
          <w:szCs w:val="28"/>
          <w:highlight w:val="green"/>
        </w:rPr>
        <w:t>thus in place of</w:t>
      </w:r>
      <w:r w:rsidRPr="00AB6AE8">
        <w:rPr>
          <w:rStyle w:val="StyleUnderline"/>
        </w:rPr>
        <w:t xml:space="preserve">) </w:t>
      </w:r>
      <w:r w:rsidRPr="000344A3">
        <w:rPr>
          <w:rStyle w:val="Emphasis"/>
          <w:sz w:val="28"/>
          <w:szCs w:val="28"/>
          <w:highlight w:val="green"/>
        </w:rPr>
        <w:t>debate</w:t>
      </w:r>
      <w:r w:rsidRPr="00AB6AE8">
        <w:rPr>
          <w:rStyle w:val="StyleUnderline"/>
        </w:rPr>
        <w:t>.</w:t>
      </w:r>
      <w:r w:rsidRPr="006D4450">
        <w:rPr>
          <w:sz w:val="12"/>
        </w:rPr>
        <w:t xml:space="preserve"> The (anti)social contract thus paradoxically marks deliberation not as an appropriate exercise of popular sovereignty but an extension of war that civil society failed to sublimate into its collective unconscious. </w:t>
      </w:r>
      <w:r w:rsidRPr="009C64F6">
        <w:rPr>
          <w:rStyle w:val="StyleUnderline"/>
          <w:highlight w:val="green"/>
        </w:rPr>
        <w:t>Dissent comes to signify</w:t>
      </w:r>
      <w:r w:rsidRPr="00BE0587">
        <w:rPr>
          <w:rStyle w:val="StyleUnderline"/>
        </w:rPr>
        <w:t xml:space="preserve"> not a robust and engaged citizenry but </w:t>
      </w:r>
      <w:r w:rsidRPr="009C64F6">
        <w:rPr>
          <w:rStyle w:val="StyleUnderline"/>
          <w:highlight w:val="green"/>
        </w:rPr>
        <w:t xml:space="preserve">its </w:t>
      </w:r>
      <w:r w:rsidRPr="009B4E90">
        <w:rPr>
          <w:rStyle w:val="Emphasis"/>
          <w:highlight w:val="green"/>
        </w:rPr>
        <w:t>unmaking</w:t>
      </w:r>
      <w:r w:rsidRPr="00BE0587">
        <w:rPr>
          <w:rStyle w:val="StyleUnderline"/>
        </w:rPr>
        <w:t>,</w:t>
      </w:r>
      <w:r w:rsidRPr="006D4450">
        <w:rPr>
          <w:sz w:val="12"/>
        </w:rPr>
        <w:t xml:space="preserve"> </w:t>
      </w:r>
      <w:r w:rsidRPr="00BE0587">
        <w:rPr>
          <w:rStyle w:val="StyleUnderline"/>
        </w:rPr>
        <w:t xml:space="preserve">legally encoded in the image of the criminal who, in </w:t>
      </w:r>
      <w:r w:rsidRPr="00C91770">
        <w:rPr>
          <w:rStyle w:val="StyleUnderline"/>
          <w:highlight w:val="green"/>
        </w:rPr>
        <w:t>breaching</w:t>
      </w:r>
      <w:r w:rsidRPr="00BE0587">
        <w:rPr>
          <w:rStyle w:val="StyleUnderline"/>
        </w:rPr>
        <w:t xml:space="preserve"> civil </w:t>
      </w:r>
      <w:r w:rsidRPr="009C64F6">
        <w:rPr>
          <w:rStyle w:val="StyleUnderline"/>
          <w:highlight w:val="green"/>
        </w:rPr>
        <w:t>society’s</w:t>
      </w:r>
      <w:r w:rsidRPr="006D4450">
        <w:rPr>
          <w:sz w:val="12"/>
        </w:rPr>
        <w:t xml:space="preserve"> (anti)social </w:t>
      </w:r>
      <w:r w:rsidRPr="00C91770">
        <w:rPr>
          <w:rStyle w:val="StyleUnderline"/>
          <w:highlight w:val="green"/>
        </w:rPr>
        <w:t>contract</w:t>
      </w:r>
      <w:r w:rsidRPr="00006A09">
        <w:rPr>
          <w:sz w:val="12"/>
        </w:rPr>
        <w:t xml:space="preserve">, “stops being a member of it–he even </w:t>
      </w:r>
      <w:r w:rsidRPr="00C91770">
        <w:rPr>
          <w:rStyle w:val="Emphasis"/>
          <w:highlight w:val="green"/>
        </w:rPr>
        <w:t>makes war on it</w:t>
      </w:r>
      <w:r w:rsidRPr="00006A09">
        <w:rPr>
          <w:sz w:val="12"/>
        </w:rPr>
        <w:t xml:space="preserve">.”76 Though the body politic’s sovereign homogeneity is secured through and as war, the (anti)social contract misattributes the initiation of this war to the criminal (and not criminalization) to provision an alibi for the state’s monopoly on violence. </w:t>
      </w:r>
      <w:r w:rsidRPr="00006A09">
        <w:rPr>
          <w:rStyle w:val="StyleUnderline"/>
        </w:rPr>
        <w:t>Here</w:t>
      </w:r>
      <w:r w:rsidRPr="00006A09">
        <w:rPr>
          <w:sz w:val="12"/>
        </w:rPr>
        <w:t>, the inversion of Clausewit</w:t>
      </w:r>
      <w:r w:rsidRPr="006D4450">
        <w:rPr>
          <w:sz w:val="12"/>
        </w:rPr>
        <w:t>z falls short: “</w:t>
      </w:r>
      <w:r w:rsidRPr="009C64F6">
        <w:rPr>
          <w:rStyle w:val="StyleUnderline"/>
          <w:highlight w:val="green"/>
        </w:rPr>
        <w:t>politics, colonialism, settlement</w:t>
      </w:r>
      <w:r w:rsidRPr="00006A09">
        <w:rPr>
          <w:rStyle w:val="StyleUnderline"/>
        </w:rPr>
        <w:t>, capitalism, ecological destruction,</w:t>
      </w:r>
      <w:r w:rsidRPr="009C64F6">
        <w:rPr>
          <w:rStyle w:val="StyleUnderline"/>
          <w:highlight w:val="green"/>
        </w:rPr>
        <w:t xml:space="preserve"> racism, and misogynies are </w:t>
      </w:r>
      <w:r w:rsidRPr="009C64F6">
        <w:rPr>
          <w:rStyle w:val="Emphasis"/>
          <w:highlight w:val="green"/>
        </w:rPr>
        <w:t>not</w:t>
      </w:r>
      <w:r w:rsidRPr="009C64F6">
        <w:rPr>
          <w:rStyle w:val="StyleUnderline"/>
          <w:highlight w:val="green"/>
        </w:rPr>
        <w:t xml:space="preserve"> </w:t>
      </w:r>
      <w:r w:rsidRPr="009C64F6">
        <w:rPr>
          <w:rStyle w:val="Emphasis"/>
          <w:highlight w:val="green"/>
        </w:rPr>
        <w:t>wars by other means</w:t>
      </w:r>
      <w:r w:rsidRPr="009C64F6">
        <w:rPr>
          <w:rStyle w:val="StyleUnderline"/>
          <w:highlight w:val="green"/>
        </w:rPr>
        <w:t xml:space="preserve">– </w:t>
      </w:r>
      <w:r w:rsidRPr="009C64F6">
        <w:rPr>
          <w:rStyle w:val="Emphasis"/>
          <w:sz w:val="24"/>
          <w:szCs w:val="24"/>
          <w:highlight w:val="green"/>
        </w:rPr>
        <w:t>they are war</w:t>
      </w:r>
      <w:r w:rsidRPr="000B4A59">
        <w:rPr>
          <w:rStyle w:val="StyleUnderline"/>
        </w:rPr>
        <w:t>.</w:t>
      </w:r>
      <w:r w:rsidRPr="006D4450">
        <w:rPr>
          <w:sz w:val="12"/>
        </w:rPr>
        <w:t xml:space="preserve">”77 </w:t>
      </w:r>
      <w:r w:rsidRPr="0044176A">
        <w:rPr>
          <w:rStyle w:val="StyleUnderline"/>
          <w:highlight w:val="green"/>
        </w:rPr>
        <w:t xml:space="preserve">Stasis thus “secures the parameters of debate </w:t>
      </w:r>
      <w:r w:rsidRPr="004D4037">
        <w:rPr>
          <w:rStyle w:val="StyleUnderline"/>
        </w:rPr>
        <w:t>as the</w:t>
      </w:r>
      <w:r w:rsidRPr="004D4037">
        <w:rPr>
          <w:sz w:val="12"/>
        </w:rPr>
        <w:t xml:space="preserve"> dialectical and agonistic </w:t>
      </w:r>
      <w:r w:rsidRPr="004D4037">
        <w:rPr>
          <w:rStyle w:val="StyleUnderline"/>
        </w:rPr>
        <w:t>contestation of the possible</w:t>
      </w:r>
      <w:r w:rsidRPr="004D4037">
        <w:rPr>
          <w:sz w:val="12"/>
        </w:rPr>
        <w:t>''78</w:t>
      </w:r>
      <w:r w:rsidRPr="006D4450">
        <w:rPr>
          <w:sz w:val="12"/>
        </w:rPr>
        <w:t xml:space="preserve"> </w:t>
      </w:r>
      <w:r w:rsidRPr="0044176A">
        <w:rPr>
          <w:rStyle w:val="StyleUnderline"/>
          <w:highlight w:val="green"/>
        </w:rPr>
        <w:t xml:space="preserve">through </w:t>
      </w:r>
      <w:r w:rsidRPr="0044176A">
        <w:rPr>
          <w:rStyle w:val="Emphasis"/>
          <w:highlight w:val="green"/>
        </w:rPr>
        <w:t>disavowing the prior war of position necessary to construct a deliberative</w:t>
      </w:r>
      <w:r w:rsidRPr="006D4450">
        <w:rPr>
          <w:sz w:val="12"/>
        </w:rPr>
        <w:t xml:space="preserve"> re/</w:t>
      </w:r>
      <w:r w:rsidRPr="0044176A">
        <w:rPr>
          <w:rStyle w:val="Emphasis"/>
          <w:highlight w:val="green"/>
        </w:rPr>
        <w:t>public</w:t>
      </w:r>
      <w:r w:rsidRPr="006D4450">
        <w:rPr>
          <w:sz w:val="12"/>
        </w:rPr>
        <w:t xml:space="preserve"> in the first place. In other words, </w:t>
      </w:r>
      <w:r w:rsidRPr="000D7B29">
        <w:rPr>
          <w:rStyle w:val="Emphasis"/>
          <w:highlight w:val="green"/>
        </w:rPr>
        <w:t>stasis is produced as the law is enforced</w:t>
      </w:r>
      <w:r w:rsidRPr="006D4450">
        <w:rPr>
          <w:sz w:val="12"/>
        </w:rPr>
        <w:t>: in reaction to the anoriginal force of blackness, out of which warring parties of the (anti)social contract are formed.</w:t>
      </w:r>
    </w:p>
    <w:p w14:paraId="728A4D6E" w14:textId="77777777" w:rsidR="00513A6D" w:rsidRDefault="00513A6D" w:rsidP="00513A6D">
      <w:pPr>
        <w:rPr>
          <w:sz w:val="12"/>
        </w:rPr>
      </w:pPr>
      <w:r w:rsidRPr="006D445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Club Q shooting as an exceptional display of martial logics, but because </w:t>
      </w:r>
      <w:r w:rsidRPr="005F6B38">
        <w:rPr>
          <w:sz w:val="12"/>
        </w:rPr>
        <w:t xml:space="preserve">his </w:t>
      </w:r>
      <w:r w:rsidRPr="005F6B38">
        <w:rPr>
          <w:rStyle w:val="StyleUnderline"/>
        </w:rPr>
        <w:t xml:space="preserve">faith in a prior state of peace mystifies the ongoing conditions of war integral to the </w:t>
      </w:r>
      <w:r w:rsidRPr="005F6B38">
        <w:rPr>
          <w:sz w:val="12"/>
          <w:szCs w:val="12"/>
        </w:rPr>
        <w:t>very</w:t>
      </w:r>
      <w:r w:rsidRPr="005F6B38">
        <w:rPr>
          <w:rStyle w:val="StyleUnderline"/>
          <w:sz w:val="12"/>
          <w:szCs w:val="12"/>
        </w:rPr>
        <w:t xml:space="preserve"> </w:t>
      </w:r>
      <w:r w:rsidRPr="005F6B38">
        <w:rPr>
          <w:rStyle w:val="StyleUnderline"/>
        </w:rPr>
        <w:t>domestic</w:t>
      </w:r>
      <w:r w:rsidRPr="005F6B38">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5F6B38">
        <w:rPr>
          <w:rStyle w:val="StyleUnderline"/>
        </w:rPr>
        <w:t>an extension of the protracted battle to secure cisness as whiteness as stasis</w:t>
      </w:r>
      <w:r w:rsidRPr="00BE237F">
        <w:rPr>
          <w:rStyle w:val="StyleUnderline"/>
        </w:rPr>
        <w:t>.</w:t>
      </w:r>
      <w:r w:rsidRPr="006D4450">
        <w:rPr>
          <w:sz w:val="12"/>
        </w:rPr>
        <w:t xml:space="preserve"> To see the ‘trans debate’ as simultaneously a refraction and instantiation of war is to understand that </w:t>
      </w:r>
      <w:r w:rsidRPr="00634391">
        <w:rPr>
          <w:rStyle w:val="Emphasis"/>
          <w:highlight w:val="green"/>
        </w:rPr>
        <w:t>the</w:t>
      </w:r>
      <w:r w:rsidRPr="00BE237F">
        <w:rPr>
          <w:rStyle w:val="StyleUnderline"/>
        </w:rPr>
        <w:t xml:space="preserve"> machinic </w:t>
      </w:r>
      <w:r w:rsidRPr="00634391">
        <w:rPr>
          <w:rStyle w:val="Emphasis"/>
          <w:highlight w:val="green"/>
        </w:rPr>
        <w:t>repetition</w:t>
      </w:r>
      <w:r w:rsidRPr="00634391">
        <w:rPr>
          <w:rStyle w:val="StyleUnderline"/>
          <w:highlight w:val="green"/>
        </w:rPr>
        <w:t xml:space="preserve"> of </w:t>
      </w:r>
      <w:r w:rsidRPr="00634391">
        <w:rPr>
          <w:rStyle w:val="Emphasis"/>
          <w:highlight w:val="green"/>
        </w:rPr>
        <w:t>trans death</w:t>
      </w:r>
      <w:r w:rsidRPr="00634391">
        <w:rPr>
          <w:rStyle w:val="StyleUnderline"/>
          <w:highlight w:val="green"/>
        </w:rPr>
        <w:t xml:space="preserve"> </w:t>
      </w:r>
      <w:r w:rsidRPr="00634391">
        <w:rPr>
          <w:rStyle w:val="Emphasis"/>
          <w:highlight w:val="green"/>
        </w:rPr>
        <w:t>cannot be unmoored from</w:t>
      </w:r>
      <w:r w:rsidRPr="00634391">
        <w:rPr>
          <w:rStyle w:val="StyleUnderline"/>
          <w:highlight w:val="green"/>
        </w:rPr>
        <w:t xml:space="preserve"> </w:t>
      </w:r>
      <w:r w:rsidRPr="00634391">
        <w:rPr>
          <w:rStyle w:val="Emphasis"/>
          <w:highlight w:val="green"/>
        </w:rPr>
        <w:t>seemingly polite deliberations</w:t>
      </w:r>
      <w:r w:rsidRPr="00634391">
        <w:rPr>
          <w:rStyle w:val="StyleUnderline"/>
          <w:highlight w:val="green"/>
        </w:rPr>
        <w:t xml:space="preserve"> over</w:t>
      </w:r>
      <w:r w:rsidRPr="00BE237F">
        <w:rPr>
          <w:rStyle w:val="StyleUnderline"/>
        </w:rPr>
        <w:t xml:space="preserve"> the concept</w:t>
      </w:r>
      <w:r w:rsidRPr="006D4450">
        <w:rPr>
          <w:sz w:val="12"/>
        </w:rPr>
        <w:t xml:space="preserve">ual veracity </w:t>
      </w:r>
      <w:r w:rsidRPr="00BE237F">
        <w:rPr>
          <w:rStyle w:val="StyleUnderline"/>
        </w:rPr>
        <w:t>of</w:t>
      </w:r>
      <w:r w:rsidRPr="006D4450">
        <w:rPr>
          <w:sz w:val="12"/>
        </w:rPr>
        <w:t xml:space="preserve"> ‘trans </w:t>
      </w:r>
      <w:r w:rsidRPr="00634391">
        <w:rPr>
          <w:rStyle w:val="Emphasis"/>
          <w:highlight w:val="green"/>
        </w:rPr>
        <w:t>rights</w:t>
      </w:r>
      <w:r w:rsidRPr="00634391">
        <w:rPr>
          <w:sz w:val="12"/>
          <w:highlight w:val="green"/>
        </w:rPr>
        <w:t>’</w:t>
      </w:r>
      <w:r w:rsidRPr="006D4450">
        <w:rPr>
          <w:sz w:val="12"/>
        </w:rPr>
        <w:t xml:space="preserve"> </w:t>
      </w:r>
      <w:r w:rsidRPr="00634391">
        <w:rPr>
          <w:rStyle w:val="StyleUnderline"/>
          <w:highlight w:val="green"/>
        </w:rPr>
        <w:t>because such debates remain animated by an unannounced question</w:t>
      </w:r>
      <w:r w:rsidRPr="006D4450">
        <w:rPr>
          <w:sz w:val="12"/>
        </w:rPr>
        <w:t xml:space="preserve"> (which if posed already implies the answer): should trans people exist?</w:t>
      </w:r>
    </w:p>
    <w:p w14:paraId="6B2A5623" w14:textId="77777777" w:rsidR="000573CE" w:rsidRPr="00D657D2" w:rsidRDefault="000573CE" w:rsidP="000573CE">
      <w:pPr>
        <w:pStyle w:val="Heading4"/>
      </w:pPr>
      <w:r>
        <w:t xml:space="preserve">Strikes that follow from collective bargaining draw on oikonomic structures of feeling to reproduce antiblack, colonial and gendered violence. </w:t>
      </w:r>
    </w:p>
    <w:p w14:paraId="52376337" w14:textId="77777777" w:rsidR="000573CE" w:rsidRPr="00B317DB" w:rsidRDefault="000573CE" w:rsidP="000573CE">
      <w:pPr>
        <w:rPr>
          <w:sz w:val="12"/>
        </w:rPr>
      </w:pPr>
      <w:r w:rsidRPr="00B317DB">
        <w:rPr>
          <w:rStyle w:val="Style13ptBold"/>
        </w:rPr>
        <w:t>Kim 24</w:t>
      </w:r>
      <w:r w:rsidRPr="00B317DB">
        <w:rPr>
          <w:sz w:val="12"/>
        </w:rPr>
        <w:t xml:space="preserve"> [The Politics of Collecting: Race and the Aestheticization of Property. Duke University Press, 2024. ISBN: 978-1-4780-3048-5. Eunsong Kim is Associate Professor of English at Northeastern University.//Spence]</w:t>
      </w:r>
    </w:p>
    <w:p w14:paraId="31E62167" w14:textId="77777777" w:rsidR="000573CE" w:rsidRPr="000B50E7" w:rsidRDefault="000573CE" w:rsidP="000573CE">
      <w:pPr>
        <w:rPr>
          <w:rStyle w:val="StyleUnderline"/>
        </w:rPr>
      </w:pPr>
      <w:r w:rsidRPr="00A018A0">
        <w:rPr>
          <w:sz w:val="12"/>
        </w:rPr>
        <w:t xml:space="preserve">To press, how does one enjoy property? This tension is clarified in the press release as the noun (property) is followed up with “to operate it and control it as we please.” One might deduce that </w:t>
      </w:r>
      <w:r w:rsidRPr="00C91472">
        <w:rPr>
          <w:rStyle w:val="StyleUnderline"/>
        </w:rPr>
        <w:t xml:space="preserve">the </w:t>
      </w:r>
      <w:r w:rsidRPr="00C0709C">
        <w:rPr>
          <w:rStyle w:val="StyleUnderline"/>
          <w:highlight w:val="green"/>
        </w:rPr>
        <w:t>operation</w:t>
      </w:r>
      <w:r w:rsidRPr="00C91472">
        <w:rPr>
          <w:rStyle w:val="StyleUnderline"/>
        </w:rPr>
        <w:t xml:space="preserve"> and control </w:t>
      </w:r>
      <w:r w:rsidRPr="00C0709C">
        <w:rPr>
          <w:rStyle w:val="StyleUnderline"/>
          <w:highlight w:val="green"/>
        </w:rPr>
        <w:t>of property is</w:t>
      </w:r>
      <w:r w:rsidRPr="00C91472">
        <w:rPr>
          <w:rStyle w:val="StyleUnderline"/>
        </w:rPr>
        <w:t xml:space="preserve"> not </w:t>
      </w:r>
      <w:r w:rsidRPr="00C0709C">
        <w:rPr>
          <w:rStyle w:val="StyleUnderline"/>
          <w:highlight w:val="green"/>
        </w:rPr>
        <w:t>defined by</w:t>
      </w:r>
      <w:r w:rsidRPr="00C91472">
        <w:rPr>
          <w:rStyle w:val="StyleUnderline"/>
        </w:rPr>
        <w:t xml:space="preserve"> leisure, but </w:t>
      </w:r>
      <w:r w:rsidRPr="00C0709C">
        <w:rPr>
          <w:rStyle w:val="StyleUnderline"/>
          <w:highlight w:val="green"/>
        </w:rPr>
        <w:t>enjoyment</w:t>
      </w:r>
      <w:r w:rsidRPr="00C91472">
        <w:rPr>
          <w:rStyle w:val="StyleUnderline"/>
        </w:rPr>
        <w:t>.</w:t>
      </w:r>
      <w:r w:rsidRPr="00A018A0">
        <w:rPr>
          <w:sz w:val="12"/>
        </w:rPr>
        <w:t xml:space="preserve"> Conversely, Rebecca Harding Davis’s Life in the Iron Mills, a novella published in 1861, navigates the lived experience of exploitation, </w:t>
      </w:r>
      <w:r w:rsidRPr="00C0709C">
        <w:rPr>
          <w:rStyle w:val="StyleUnderline"/>
          <w:highlight w:val="green"/>
        </w:rPr>
        <w:t>elucidating</w:t>
      </w:r>
      <w:r w:rsidRPr="00C0709C">
        <w:rPr>
          <w:rStyle w:val="StyleUnderline"/>
        </w:rPr>
        <w:t xml:space="preserve"> the mutations of</w:t>
      </w:r>
      <w:r w:rsidRPr="00C91472">
        <w:rPr>
          <w:rStyle w:val="StyleUnderline"/>
        </w:rPr>
        <w:t xml:space="preserve"> “</w:t>
      </w:r>
      <w:r w:rsidRPr="00C0709C">
        <w:rPr>
          <w:rStyle w:val="StyleUnderline"/>
          <w:highlight w:val="green"/>
        </w:rPr>
        <w:t>structures of feeling</w:t>
      </w:r>
      <w:r w:rsidRPr="00C91472">
        <w:rPr>
          <w:rStyle w:val="StyleUnderline"/>
        </w:rPr>
        <w:t>,”</w:t>
      </w:r>
      <w:r w:rsidRPr="00A018A0">
        <w:rPr>
          <w:sz w:val="12"/>
        </w:rPr>
        <w:t xml:space="preserve"> as theorized by Raymond Williams.29 Davis presses into the lives of those exploited in the mills: “What do you make of a case like </w:t>
      </w:r>
      <w:r w:rsidRPr="000B50E7">
        <w:rPr>
          <w:rStyle w:val="StyleUnderline"/>
          <w:highlight w:val="green"/>
        </w:rPr>
        <w:t>that</w:t>
      </w:r>
      <w:r w:rsidRPr="00A018A0">
        <w:rPr>
          <w:sz w:val="12"/>
        </w:rPr>
        <w:t xml:space="preserve">, amateur psychologist? You call it an altogether serious thing to be alive: to these men it is a drunken jest, a joke,—horrible to angels perhaps, to them commonplace enough.”30 Rejecting the notions of reader identification and analysis, Davis challenges the clarity with which the elite classes assess and dismiss abject poverty and exploitation. Situated in a moment in which public education and literacy would have been signals of the “leisure class,” Davis provokes the difference between what a reader of this class might consider “being alive” and the lived experience of the workers in the mill. “You call it an altogether serious thing to be alive” </w:t>
      </w:r>
      <w:r w:rsidRPr="000B50E7">
        <w:rPr>
          <w:rStyle w:val="StyleUnderline"/>
        </w:rPr>
        <w:t xml:space="preserve">foreshadows and </w:t>
      </w:r>
      <w:r w:rsidRPr="000B50E7">
        <w:rPr>
          <w:rStyle w:val="StyleUnderline"/>
          <w:highlight w:val="green"/>
        </w:rPr>
        <w:t xml:space="preserve">uncloaks </w:t>
      </w:r>
      <w:r w:rsidRPr="000B50E7">
        <w:rPr>
          <w:rStyle w:val="StyleUnderline"/>
        </w:rPr>
        <w:t xml:space="preserve">the </w:t>
      </w:r>
      <w:r w:rsidRPr="000B50E7">
        <w:rPr>
          <w:rStyle w:val="StyleUnderline"/>
          <w:highlight w:val="green"/>
        </w:rPr>
        <w:t>moral</w:t>
      </w:r>
      <w:r w:rsidRPr="000B50E7">
        <w:rPr>
          <w:rStyle w:val="StyleUnderline"/>
        </w:rPr>
        <w:t xml:space="preserve"> clarity with which </w:t>
      </w:r>
      <w:r w:rsidRPr="000B50E7">
        <w:rPr>
          <w:rStyle w:val="StyleUnderline"/>
          <w:highlight w:val="green"/>
        </w:rPr>
        <w:t>proclamations</w:t>
      </w:r>
      <w:r w:rsidRPr="00A018A0">
        <w:rPr>
          <w:sz w:val="12"/>
        </w:rPr>
        <w:t xml:space="preserve"> such as “to operate it and control it as we please” </w:t>
      </w:r>
      <w:r w:rsidRPr="000B50E7">
        <w:rPr>
          <w:rStyle w:val="StyleUnderline"/>
        </w:rPr>
        <w:t xml:space="preserve">come to be made. </w:t>
      </w:r>
    </w:p>
    <w:p w14:paraId="649C3FE3" w14:textId="77777777" w:rsidR="000573CE" w:rsidRPr="00A018A0" w:rsidRDefault="000573CE" w:rsidP="000573CE">
      <w:pPr>
        <w:rPr>
          <w:sz w:val="12"/>
        </w:rPr>
      </w:pPr>
      <w:r w:rsidRPr="00C91472">
        <w:rPr>
          <w:rStyle w:val="StyleUnderline"/>
        </w:rPr>
        <w:t xml:space="preserve">This is the context in which enjoyment might be read and reread. </w:t>
      </w:r>
      <w:r w:rsidRPr="000B50E7">
        <w:rPr>
          <w:rStyle w:val="StyleUnderline"/>
          <w:highlight w:val="green"/>
        </w:rPr>
        <w:t xml:space="preserve">If the </w:t>
      </w:r>
      <w:r w:rsidRPr="000B50E7">
        <w:rPr>
          <w:rStyle w:val="Emphasis"/>
          <w:highlight w:val="green"/>
        </w:rPr>
        <w:t>antithesis of leisure</w:t>
      </w:r>
      <w:r w:rsidRPr="000B50E7">
        <w:rPr>
          <w:rStyle w:val="StyleUnderline"/>
          <w:highlight w:val="green"/>
        </w:rPr>
        <w:t xml:space="preserve"> is </w:t>
      </w:r>
      <w:r w:rsidRPr="000B50E7">
        <w:rPr>
          <w:rStyle w:val="Emphasis"/>
          <w:highlight w:val="green"/>
        </w:rPr>
        <w:t>exploitation</w:t>
      </w:r>
      <w:r w:rsidRPr="00C91472">
        <w:rPr>
          <w:rStyle w:val="StyleUnderline"/>
        </w:rPr>
        <w:t xml:space="preserve">, then the </w:t>
      </w:r>
      <w:r w:rsidRPr="000B50E7">
        <w:rPr>
          <w:rStyle w:val="Emphasis"/>
          <w:highlight w:val="green"/>
        </w:rPr>
        <w:t>antithesis of enjoyment</w:t>
      </w:r>
      <w:r w:rsidRPr="000B50E7">
        <w:rPr>
          <w:rStyle w:val="StyleUnderline"/>
          <w:highlight w:val="green"/>
        </w:rPr>
        <w:t xml:space="preserve"> is </w:t>
      </w:r>
      <w:r w:rsidRPr="000B50E7">
        <w:rPr>
          <w:rStyle w:val="Emphasis"/>
          <w:highlight w:val="green"/>
        </w:rPr>
        <w:t>dispossession</w:t>
      </w:r>
      <w:r w:rsidRPr="000B50E7">
        <w:rPr>
          <w:rStyle w:val="StyleUnderline"/>
          <w:highlight w:val="green"/>
        </w:rPr>
        <w:t>. In this legalized affective hierarchy</w:t>
      </w:r>
      <w:r w:rsidRPr="00FF0C4E">
        <w:rPr>
          <w:rStyle w:val="StyleUnderline"/>
        </w:rPr>
        <w:t>, the expropriation of labor is normalized</w:t>
      </w:r>
      <w:r w:rsidRPr="00A018A0">
        <w:rPr>
          <w:sz w:val="12"/>
        </w:rPr>
        <w:t xml:space="preserve">, and the obedience of the worker is its congruence. The rupturing of this dynamic is not violence but a moment in which we may antagonize why </w:t>
      </w:r>
      <w:r w:rsidRPr="000B50E7">
        <w:rPr>
          <w:rStyle w:val="StyleUnderline"/>
          <w:highlight w:val="green"/>
        </w:rPr>
        <w:t>the violence of private property remains intact</w:t>
      </w:r>
      <w:r w:rsidRPr="00A018A0">
        <w:rPr>
          <w:sz w:val="12"/>
        </w:rPr>
        <w:t xml:space="preserve"> while the socialization of property fails to suture. </w:t>
      </w:r>
    </w:p>
    <w:p w14:paraId="594BCEA4" w14:textId="77777777" w:rsidR="000573CE" w:rsidRPr="00A018A0" w:rsidRDefault="000573CE" w:rsidP="000573CE">
      <w:pPr>
        <w:rPr>
          <w:sz w:val="12"/>
        </w:rPr>
      </w:pPr>
      <w:r w:rsidRPr="00A018A0">
        <w:rPr>
          <w:sz w:val="12"/>
        </w:rPr>
        <w:t>To further this point, on July 4, a few days after the strike began and before the press release, Frick informed Carnegie about the use of private militia, the position of the press, and the legality of their position. I quote the letter in detail to illustrate the exactitude of their claims and the clarity with which they fight:</w:t>
      </w:r>
    </w:p>
    <w:p w14:paraId="4C4347FD" w14:textId="77777777" w:rsidR="000573CE" w:rsidRPr="00A018A0" w:rsidRDefault="000573CE" w:rsidP="000573CE">
      <w:pPr>
        <w:rPr>
          <w:sz w:val="12"/>
        </w:rPr>
      </w:pPr>
      <w:r w:rsidRPr="00A018A0">
        <w:rPr>
          <w:sz w:val="12"/>
        </w:rPr>
        <w:t xml:space="preserve">The workmen seem to be well organized, and have things, so far, very much their own way, that is to say, are guarding every avenue to the works; stopping all who may, or try, to get in the works. This is rather in our favor in view of our arrangements. We have a thorough understanding with the sheriff. </w:t>
      </w:r>
    </w:p>
    <w:p w14:paraId="4C2D89A7" w14:textId="77777777" w:rsidR="000573CE" w:rsidRPr="00A018A0" w:rsidRDefault="000573CE" w:rsidP="000573CE">
      <w:pPr>
        <w:rPr>
          <w:sz w:val="12"/>
        </w:rPr>
      </w:pPr>
      <w:r w:rsidRPr="00A018A0">
        <w:rPr>
          <w:sz w:val="12"/>
        </w:rPr>
        <w:t xml:space="preserve">300 Watchmen obtained from Pinkerton will leave . . . and take passage on two barrages. . . . One of the Deputy Sheriffs will . . . accompany the guards or watchmen in our property at Homestead without much trouble, and this once accomplished we are, we think, in good position. </w:t>
      </w:r>
    </w:p>
    <w:p w14:paraId="0A06B638" w14:textId="77777777" w:rsidR="000573CE" w:rsidRPr="00A018A0" w:rsidRDefault="000573CE" w:rsidP="000573CE">
      <w:pPr>
        <w:rPr>
          <w:sz w:val="12"/>
        </w:rPr>
      </w:pPr>
      <w:r w:rsidRPr="00A018A0">
        <w:rPr>
          <w:sz w:val="12"/>
        </w:rPr>
        <w:t>The newspapers, as usual, are inclined towards the enemy, and doubtless will raise a great howl when they discover that we have the audacity to attempt to guard and protect our property. I had the article, written by Mr. Weeks from data furnished by us to him, reproduced in all of the morning and evening papers of this City, so that I think our position is well defined. We shall, of course, keep within the law, and do nothing that is not entirely legal.31</w:t>
      </w:r>
    </w:p>
    <w:p w14:paraId="3E89410F" w14:textId="77777777" w:rsidR="000573CE" w:rsidRPr="00A018A0" w:rsidRDefault="000573CE" w:rsidP="000573CE">
      <w:pPr>
        <w:rPr>
          <w:sz w:val="12"/>
        </w:rPr>
      </w:pPr>
      <w:r w:rsidRPr="00A018A0">
        <w:rPr>
          <w:sz w:val="12"/>
        </w:rPr>
        <w:t xml:space="preserve">As in the press release, Frick </w:t>
      </w:r>
      <w:r w:rsidRPr="00BB77B7">
        <w:rPr>
          <w:rStyle w:val="StyleUnderline"/>
        </w:rPr>
        <w:t xml:space="preserve">emphasizes the legality of their </w:t>
      </w:r>
      <w:r w:rsidRPr="00C56A45">
        <w:rPr>
          <w:rStyle w:val="StyleUnderline"/>
        </w:rPr>
        <w:t xml:space="preserve">situation. </w:t>
      </w:r>
      <w:r w:rsidRPr="00993E04">
        <w:rPr>
          <w:rStyle w:val="StyleUnderline"/>
          <w:highlight w:val="green"/>
        </w:rPr>
        <w:t>While</w:t>
      </w:r>
      <w:r w:rsidRPr="00C56A45">
        <w:rPr>
          <w:rStyle w:val="StyleUnderline"/>
        </w:rPr>
        <w:t xml:space="preserve"> it is repeatedly acknowledged that </w:t>
      </w:r>
      <w:r w:rsidRPr="00993E04">
        <w:rPr>
          <w:rStyle w:val="StyleUnderline"/>
          <w:highlight w:val="green"/>
        </w:rPr>
        <w:t>the law is on their side</w:t>
      </w:r>
      <w:r w:rsidRPr="00C56A45">
        <w:rPr>
          <w:rStyle w:val="StyleUnderline"/>
        </w:rPr>
        <w:t xml:space="preserve">, the undercurrents acknowledge how </w:t>
      </w:r>
      <w:r w:rsidRPr="00993E04">
        <w:rPr>
          <w:rStyle w:val="StyleUnderline"/>
          <w:highlight w:val="green"/>
        </w:rPr>
        <w:t>violence</w:t>
      </w:r>
      <w:r w:rsidRPr="00C56A45">
        <w:rPr>
          <w:rStyle w:val="StyleUnderline"/>
        </w:rPr>
        <w:t xml:space="preserve"> (the law) </w:t>
      </w:r>
      <w:r w:rsidRPr="00993E04">
        <w:rPr>
          <w:rStyle w:val="StyleUnderline"/>
          <w:highlight w:val="green"/>
        </w:rPr>
        <w:t>will be necessary</w:t>
      </w:r>
      <w:r w:rsidRPr="00C56A45">
        <w:rPr>
          <w:rStyle w:val="StyleUnderline"/>
        </w:rPr>
        <w:t xml:space="preserve"> to overturn a social norm.</w:t>
      </w:r>
      <w:r w:rsidRPr="00A018A0">
        <w:rPr>
          <w:sz w:val="12"/>
        </w:rPr>
        <w:t xml:space="preserve"> Walter Benjamin cites the law described here as “mythic violence.”32 </w:t>
      </w:r>
      <w:r w:rsidRPr="002E2621">
        <w:rPr>
          <w:rStyle w:val="StyleUnderline"/>
        </w:rPr>
        <w:t xml:space="preserve">The violence of </w:t>
      </w:r>
      <w:r w:rsidRPr="00911C06">
        <w:rPr>
          <w:rStyle w:val="StyleUnderline"/>
          <w:highlight w:val="green"/>
        </w:rPr>
        <w:t>the law</w:t>
      </w:r>
      <w:r w:rsidRPr="002E2621">
        <w:rPr>
          <w:rStyle w:val="StyleUnderline"/>
        </w:rPr>
        <w:t xml:space="preserve">, the violence of </w:t>
      </w:r>
      <w:r w:rsidRPr="00911C06">
        <w:rPr>
          <w:rStyle w:val="StyleUnderline"/>
          <w:highlight w:val="green"/>
        </w:rPr>
        <w:t>the police</w:t>
      </w:r>
      <w:r w:rsidRPr="00A018A0">
        <w:rPr>
          <w:sz w:val="12"/>
        </w:rPr>
        <w:t xml:space="preserve">, and the violence authorized to the Pinkertons </w:t>
      </w:r>
      <w:r w:rsidRPr="002E2621">
        <w:rPr>
          <w:rStyle w:val="StyleUnderline"/>
        </w:rPr>
        <w:t xml:space="preserve">situate </w:t>
      </w:r>
      <w:r w:rsidRPr="00911C06">
        <w:rPr>
          <w:rStyle w:val="StyleUnderline"/>
          <w:highlight w:val="green"/>
        </w:rPr>
        <w:t>the myth</w:t>
      </w:r>
      <w:r w:rsidRPr="002E2621">
        <w:rPr>
          <w:rStyle w:val="StyleUnderline"/>
        </w:rPr>
        <w:t xml:space="preserve">ology </w:t>
      </w:r>
      <w:r w:rsidRPr="00911C06">
        <w:rPr>
          <w:rStyle w:val="StyleUnderline"/>
          <w:highlight w:val="green"/>
        </w:rPr>
        <w:t>of Western democracy</w:t>
      </w:r>
      <w:r w:rsidRPr="002E2621">
        <w:rPr>
          <w:rStyle w:val="StyleUnderline"/>
        </w:rPr>
        <w:t xml:space="preserve"> and the United </w:t>
      </w:r>
      <w:r w:rsidRPr="00AB5862">
        <w:rPr>
          <w:rStyle w:val="StyleUnderline"/>
        </w:rPr>
        <w:t xml:space="preserve">States. It </w:t>
      </w:r>
      <w:r w:rsidRPr="001D553D">
        <w:rPr>
          <w:rStyle w:val="StyleUnderline"/>
          <w:highlight w:val="green"/>
        </w:rPr>
        <w:t>is formalized</w:t>
      </w:r>
      <w:r w:rsidRPr="00AB5862">
        <w:rPr>
          <w:rStyle w:val="StyleUnderline"/>
        </w:rPr>
        <w:t xml:space="preserve"> and </w:t>
      </w:r>
      <w:r w:rsidRPr="001D553D">
        <w:rPr>
          <w:rStyle w:val="StyleUnderline"/>
        </w:rPr>
        <w:t xml:space="preserve">accepted </w:t>
      </w:r>
      <w:r w:rsidRPr="001D553D">
        <w:rPr>
          <w:rStyle w:val="StyleUnderline"/>
          <w:highlight w:val="green"/>
        </w:rPr>
        <w:t>as the practice of the law</w:t>
      </w:r>
      <w:r w:rsidRPr="003F3E61">
        <w:rPr>
          <w:rStyle w:val="StyleUnderline"/>
        </w:rPr>
        <w:t>. Frick and Carnegie do not need to operate outside of the bounds of the law—history rarely paints them as violent, illegal felons</w:t>
      </w:r>
      <w:r w:rsidRPr="00A018A0">
        <w:rPr>
          <w:sz w:val="12"/>
        </w:rPr>
        <w:t xml:space="preserve">. They navigate the terrain of public perception, the law, and the feelings of their position as they plot to dismantle the structures of collective bargaining. While </w:t>
      </w:r>
      <w:r w:rsidRPr="003F3E61">
        <w:rPr>
          <w:rStyle w:val="StyleUnderline"/>
        </w:rPr>
        <w:t>labor unions for white workers were a norm in the mid-to-late nineteenth century</w:t>
      </w:r>
      <w:r w:rsidRPr="00A018A0">
        <w:rPr>
          <w:sz w:val="12"/>
        </w:rPr>
        <w:t xml:space="preserve">, the enjoyment of private property ownership had yet to be actualized. With the police and private militia on their side, Frick and Carnegie finalize the realization of ownership. </w:t>
      </w:r>
      <w:r w:rsidRPr="008F74B0">
        <w:rPr>
          <w:rStyle w:val="StyleUnderline"/>
        </w:rPr>
        <w:t>The violence that transfigures socialized property into private property is the violence agreed upon by the law. If enjoyment constitutes the affective possibilities of private ownership, then violence is the legal condition of objecthood.</w:t>
      </w:r>
    </w:p>
    <w:p w14:paraId="3291B790" w14:textId="77777777" w:rsidR="000573CE" w:rsidRPr="00A018A0" w:rsidRDefault="000573CE" w:rsidP="000573CE">
      <w:pPr>
        <w:rPr>
          <w:sz w:val="12"/>
        </w:rPr>
      </w:pPr>
      <w:r w:rsidRPr="00A018A0">
        <w:rPr>
          <w:sz w:val="12"/>
        </w:rPr>
        <w:t xml:space="preserve">It is important to point out that these actions—the hiring of private militia and the dissemination of propaganda in city newspapers—were only in response to the strike. The workers had agreed to Frick and Carnegie’s lowered minimum threshold but would not accept the dissolution of the union. This is to ask, What is the imagined threat they are reacting to? Benjamin clarifies how work and general strikes fall outside the bounds of law and into the language of violence. What the police and law do is authority; what strikers do (in refusing to work) is “a danger undermining the legal system.”33 Benjamin articulates, “The right to strike conceded to labor is certainly not a right to exercise violence but, rather, to escape from a violence indirectly exercised by the employer.”34 An indirect form of employer violence can be seen in the leadup to the strike in the form of workplace injury and death. On September 19, 1891, the National Labor Tribune reported three deaths at Homestead due to machine injuries, and the April 9 issue of 1892 reported additional fatalities.35 Examination of the National Labor Tribune archives from 1890 to 1896 reveals that workplace injuries and deaths far outstrip reportage of strikes. Rather than identifying violence as isolated actions or events taken up by individuals—such as a strike—it is far more useful to examine the ongoing violence of the state and those afforded state protection. </w:t>
      </w:r>
    </w:p>
    <w:p w14:paraId="1B3BE45C" w14:textId="77777777" w:rsidR="000573CE" w:rsidRPr="00A018A0" w:rsidRDefault="000573CE" w:rsidP="000573CE">
      <w:pPr>
        <w:rPr>
          <w:sz w:val="12"/>
        </w:rPr>
      </w:pPr>
      <w:r w:rsidRPr="00A018A0">
        <w:rPr>
          <w:sz w:val="12"/>
        </w:rPr>
        <w:t>An attempted escape from indirect violence is illuminated by a central character in Davis’s novella, Hugh Wolfe. A worker in the mill, Hugh is charged with theft and receives a nineteen-year sentence of hard labor in a penitentiary.36 The novel displays the reaction of Doctor May and his wife, the only characters from the leisure class presented in the novella: “His wife said something about the ingratitude of that kind of people, and then they began to talk of something else.”37 During the trial, the narrator states of Hugh that “when the sentence was read, he just looked up, and said the money was his by rights, and that all the world had gone wrong.”38 I offer this scene next to Frick’s letter to examine the antagonism of the leisure class toward the exploited class. While he first described them as workmen, Frick then proceeds to clarify the strikers as the enemy. Both Frick and Doctor May are matter of fact about their distance from “that kind of people”—the enemy—and as if to illustrate, they turn to the next topic. The management of “that kind of people” is but one topic among the rest. Enjoyment lies in distance, not presence. It is structurally flippant, dismissive, and abstracting. I am exacting here that what is being worked out— not clarified but massaged—is mythic violence. The exploitation of “that kind of people” and the planning of violence against “the enemy” becomes a conversational feat.</w:t>
      </w:r>
    </w:p>
    <w:p w14:paraId="63B4571D" w14:textId="77777777" w:rsidR="000573CE" w:rsidRPr="00C241D8" w:rsidRDefault="000573CE" w:rsidP="000573CE">
      <w:pPr>
        <w:rPr>
          <w:rStyle w:val="StyleUnderline"/>
        </w:rPr>
      </w:pPr>
      <w:r w:rsidRPr="00A018A0">
        <w:rPr>
          <w:sz w:val="12"/>
        </w:rPr>
        <w:t xml:space="preserve">Paul Krause postulates </w:t>
      </w:r>
      <w:r w:rsidRPr="009A37FA">
        <w:rPr>
          <w:rStyle w:val="StyleUnderline"/>
        </w:rPr>
        <w:t xml:space="preserve">that </w:t>
      </w:r>
      <w:r w:rsidRPr="006365EB">
        <w:rPr>
          <w:rStyle w:val="StyleUnderline"/>
          <w:highlight w:val="green"/>
        </w:rPr>
        <w:t>the nucleus of the</w:t>
      </w:r>
      <w:r w:rsidRPr="00A018A0">
        <w:rPr>
          <w:sz w:val="12"/>
        </w:rPr>
        <w:t xml:space="preserve"> Homestead </w:t>
      </w:r>
      <w:r w:rsidRPr="006365EB">
        <w:rPr>
          <w:rStyle w:val="StyleUnderline"/>
          <w:highlight w:val="green"/>
        </w:rPr>
        <w:t xml:space="preserve">Strike was </w:t>
      </w:r>
      <w:r w:rsidRPr="006365EB">
        <w:rPr>
          <w:rStyle w:val="Emphasis"/>
          <w:highlight w:val="green"/>
        </w:rPr>
        <w:t>property</w:t>
      </w:r>
      <w:r w:rsidRPr="009A37FA">
        <w:rPr>
          <w:rStyle w:val="StyleUnderline"/>
        </w:rPr>
        <w:t xml:space="preserve"> to which all parties felt equally entitled.</w:t>
      </w:r>
      <w:r w:rsidRPr="00A018A0">
        <w:rPr>
          <w:sz w:val="12"/>
        </w:rPr>
        <w:t xml:space="preserve">39 As Hugh comments, “The money was his by rights,” and, by extension, the escape from the abjection of poverty was also his right. Unlike Frick and Carnegie, the unionized and non-unionized workers lived in Homestead, and a large number of them rented company housing or had purchased homes near the mill.40 </w:t>
      </w:r>
      <w:r w:rsidRPr="00C241D8">
        <w:rPr>
          <w:rStyle w:val="StyleUnderline"/>
        </w:rPr>
        <w:t>Though the strikers do not make this ideological claim, the strike</w:t>
      </w:r>
      <w:r w:rsidRPr="00A018A0">
        <w:rPr>
          <w:sz w:val="12"/>
        </w:rPr>
        <w:t xml:space="preserve"> of 1892 </w:t>
      </w:r>
      <w:r w:rsidRPr="00C241D8">
        <w:rPr>
          <w:rStyle w:val="StyleUnderline"/>
        </w:rPr>
        <w:t xml:space="preserve">makes a case for socialized collective property: the strikers fought to protect forms of their property—their homes, their labor power, and the protection that they would remain needed and valuable. </w:t>
      </w:r>
    </w:p>
    <w:p w14:paraId="187EEE7F" w14:textId="77777777" w:rsidR="000573CE" w:rsidRPr="00A018A0" w:rsidRDefault="000573CE" w:rsidP="000573CE">
      <w:pPr>
        <w:rPr>
          <w:sz w:val="12"/>
        </w:rPr>
      </w:pPr>
      <w:r w:rsidRPr="00A018A0">
        <w:rPr>
          <w:sz w:val="12"/>
        </w:rPr>
        <w:t>In a conflict between forms of property, Frick’s assertion of private property becomes formalized by the law. Krause describes how Frick requested the intervention of the local sheriff “to protect our property from violence, damage and destruction, and to protect us in its free use and enjoyment.”41 Enjoyment again. The sheriff complied with this request, as did the National Guard. As demonstrated by the swift deployment of armed private and public militia against the workers, the law exemplifies that owners are entitled to property enjoyment. Their explicit property claims demonstrate a structure of feeling: the affective desire for systems of inescapable mythic violence.</w:t>
      </w:r>
    </w:p>
    <w:p w14:paraId="58903462" w14:textId="77777777" w:rsidR="000573CE" w:rsidRPr="00A018A0" w:rsidRDefault="000573CE" w:rsidP="000573CE">
      <w:pPr>
        <w:rPr>
          <w:sz w:val="12"/>
        </w:rPr>
      </w:pPr>
      <w:r w:rsidRPr="00A018A0">
        <w:rPr>
          <w:sz w:val="12"/>
        </w:rPr>
        <w:t>Underdescribed Components: The Assassination Attempt on Frick and Anti-Black Riots</w:t>
      </w:r>
    </w:p>
    <w:p w14:paraId="2F3680EC" w14:textId="77777777" w:rsidR="000573CE" w:rsidRPr="00DB71F0" w:rsidRDefault="000573CE" w:rsidP="000573CE">
      <w:pPr>
        <w:rPr>
          <w:rStyle w:val="StyleUnderline"/>
        </w:rPr>
      </w:pPr>
      <w:r w:rsidRPr="00A018A0">
        <w:rPr>
          <w:sz w:val="12"/>
        </w:rPr>
        <w:t xml:space="preserve">With this serious conflict laid out, I want to introduce two key components that complicate the narrative and its outcome: first, the attempted assassination of Frick; second, and most important, the deployment of Black workers by the National Guard. Both are integral to understanding </w:t>
      </w:r>
      <w:r w:rsidRPr="00847171">
        <w:rPr>
          <w:rStyle w:val="StyleUnderline"/>
        </w:rPr>
        <w:t>the conflicting property/affective claims</w:t>
      </w:r>
      <w:r w:rsidRPr="00A018A0">
        <w:rPr>
          <w:sz w:val="12"/>
        </w:rPr>
        <w:t xml:space="preserve"> made by Frick and Carnegie and the striking workers. However, both components have often been </w:t>
      </w:r>
      <w:r w:rsidRPr="00847171">
        <w:rPr>
          <w:rStyle w:val="StyleUnderline"/>
        </w:rPr>
        <w:t>relegated to the footnotes in</w:t>
      </w:r>
      <w:r w:rsidRPr="00A018A0">
        <w:rPr>
          <w:sz w:val="12"/>
        </w:rPr>
        <w:t xml:space="preserve"> formative retellings of Homestead, or they have been chronologically distanced.42 Linking these events to </w:t>
      </w:r>
      <w:r w:rsidRPr="007D30E6">
        <w:rPr>
          <w:rStyle w:val="StyleUnderline"/>
          <w:highlight w:val="green"/>
        </w:rPr>
        <w:t>the</w:t>
      </w:r>
      <w:r w:rsidRPr="00847171">
        <w:rPr>
          <w:rStyle w:val="StyleUnderline"/>
        </w:rPr>
        <w:t xml:space="preserve"> larger </w:t>
      </w:r>
      <w:r w:rsidRPr="007D30E6">
        <w:rPr>
          <w:rStyle w:val="StyleUnderline"/>
          <w:highlight w:val="green"/>
        </w:rPr>
        <w:t>narrative</w:t>
      </w:r>
      <w:r w:rsidRPr="00847171">
        <w:rPr>
          <w:rStyle w:val="StyleUnderline"/>
        </w:rPr>
        <w:t xml:space="preserve"> of </w:t>
      </w:r>
      <w:r w:rsidRPr="007D30E6">
        <w:rPr>
          <w:rStyle w:val="StyleUnderline"/>
        </w:rPr>
        <w:t xml:space="preserve">the strike </w:t>
      </w:r>
      <w:r w:rsidRPr="007D30E6">
        <w:rPr>
          <w:rStyle w:val="StyleUnderline"/>
          <w:highlight w:val="green"/>
        </w:rPr>
        <w:t>will intimately provoke populist narratives concerning unions</w:t>
      </w:r>
      <w:r w:rsidRPr="00DB71F0">
        <w:rPr>
          <w:rStyle w:val="StyleUnderline"/>
        </w:rPr>
        <w:t xml:space="preserve"> while challenging the political horizons of socialized property.</w:t>
      </w:r>
    </w:p>
    <w:p w14:paraId="58FCB819" w14:textId="77777777" w:rsidR="000573CE" w:rsidRPr="00A018A0" w:rsidRDefault="000573CE" w:rsidP="000573CE">
      <w:pPr>
        <w:rPr>
          <w:sz w:val="12"/>
        </w:rPr>
      </w:pPr>
      <w:r w:rsidRPr="00A018A0">
        <w:rPr>
          <w:sz w:val="12"/>
        </w:rPr>
        <w:t xml:space="preserve">The Homestead Strike began with national support. The working conditions in the mills were unimaginably difficult and, with some understanding of the challenges the working class faced, there was public support for unions. Newspaper reportage was initially sympathetic with the strikers. This sentiment is theorized to have universally turned with the assassination attempt on Frick, made on July 23 by Russian anarchist Andrew Berkman, the former lover of Emma Goldman. Berkman was not one of the strikers but a committed supporter of strikes against capitalist industries; as Berkman was not a trained assassin, Frick survived with minimal injuries. Labor historians have been careful in their analysis of the attempted assassination, remarking unanimously that the strikers were opposed to Frick’s assassination, and that Berkman’s action was taken without the strikers’ consent, knowledge, or approval. </w:t>
      </w:r>
    </w:p>
    <w:p w14:paraId="722F732B" w14:textId="77777777" w:rsidR="000573CE" w:rsidRPr="002B3046" w:rsidRDefault="000573CE" w:rsidP="000573CE">
      <w:pPr>
        <w:rPr>
          <w:rStyle w:val="StyleUnderline"/>
        </w:rPr>
      </w:pPr>
      <w:r w:rsidRPr="00A018A0">
        <w:rPr>
          <w:sz w:val="12"/>
        </w:rPr>
        <w:t xml:space="preserve">The assassination attempt became a crisis for the strikers.43 Optically, the workers did not want to be associated with the radical violence of assassination.44 In light of Berkman’s actions, the strikers became concerned that their cause would appear less ethical, or without moral superiority. Beverly Gage and Philip Taft have posited that while union strikes in the United States have been distinctly violent—most often in the form of violence against workers, or workers resisting the violence of state and private militia—unions have refused association and participation with radical violence.45 Such tendencies have led historians to argue that US unions have disengaged from ideological conflicts.46 Gage contextualizes this argument through the Homestead strikers, as assassination was outside the purview of the strikers’ aims.47 Even after the arrival of the National Guard and the reopening of the mills on July 12—two events that were profound losses for the strikers—it is Berkman’s assassination attempt on July 23 that led to discussions of surrender. </w:t>
      </w:r>
      <w:r w:rsidRPr="000B41C7">
        <w:rPr>
          <w:rStyle w:val="StyleUnderline"/>
        </w:rPr>
        <w:t>The union</w:t>
      </w:r>
      <w:r w:rsidRPr="002B3046">
        <w:rPr>
          <w:rStyle w:val="StyleUnderline"/>
        </w:rPr>
        <w:t xml:space="preserve"> worked </w:t>
      </w:r>
      <w:r w:rsidRPr="000B41C7">
        <w:rPr>
          <w:rStyle w:val="StyleUnderline"/>
          <w:highlight w:val="green"/>
        </w:rPr>
        <w:t xml:space="preserve">to protect and reform </w:t>
      </w:r>
      <w:r w:rsidRPr="000B41C7">
        <w:rPr>
          <w:rStyle w:val="StyleUnderline"/>
        </w:rPr>
        <w:t xml:space="preserve">the </w:t>
      </w:r>
      <w:r w:rsidRPr="000B41C7">
        <w:rPr>
          <w:rStyle w:val="StyleUnderline"/>
          <w:highlight w:val="green"/>
        </w:rPr>
        <w:t>rights they</w:t>
      </w:r>
      <w:r w:rsidRPr="002B3046">
        <w:rPr>
          <w:rStyle w:val="StyleUnderline"/>
        </w:rPr>
        <w:t xml:space="preserve"> had </w:t>
      </w:r>
      <w:r w:rsidRPr="000B41C7">
        <w:rPr>
          <w:rStyle w:val="StyleUnderline"/>
          <w:highlight w:val="green"/>
        </w:rPr>
        <w:t>won for</w:t>
      </w:r>
      <w:r w:rsidRPr="002B3046">
        <w:rPr>
          <w:rStyle w:val="StyleUnderline"/>
        </w:rPr>
        <w:t xml:space="preserve"> their selected </w:t>
      </w:r>
      <w:r w:rsidRPr="000B41C7">
        <w:rPr>
          <w:rStyle w:val="StyleUnderline"/>
          <w:highlight w:val="green"/>
        </w:rPr>
        <w:t>members, but</w:t>
      </w:r>
      <w:r w:rsidRPr="00A018A0">
        <w:rPr>
          <w:sz w:val="12"/>
        </w:rPr>
        <w:t xml:space="preserve"> it was </w:t>
      </w:r>
      <w:r w:rsidRPr="000B41C7">
        <w:rPr>
          <w:rStyle w:val="Emphasis"/>
          <w:highlight w:val="green"/>
        </w:rPr>
        <w:t>not</w:t>
      </w:r>
      <w:r w:rsidRPr="00A018A0">
        <w:rPr>
          <w:sz w:val="12"/>
        </w:rPr>
        <w:t xml:space="preserve"> necessarily </w:t>
      </w:r>
      <w:r w:rsidRPr="002B3046">
        <w:rPr>
          <w:rStyle w:val="StyleUnderline"/>
        </w:rPr>
        <w:t xml:space="preserve">attached to clarifying </w:t>
      </w:r>
      <w:r w:rsidRPr="009A0087">
        <w:rPr>
          <w:rStyle w:val="StyleUnderline"/>
          <w:highlight w:val="green"/>
        </w:rPr>
        <w:t xml:space="preserve">the </w:t>
      </w:r>
      <w:r w:rsidRPr="009A0087">
        <w:rPr>
          <w:rStyle w:val="Emphasis"/>
          <w:highlight w:val="green"/>
        </w:rPr>
        <w:t>dynamics of wealth</w:t>
      </w:r>
      <w:r w:rsidRPr="002B3046">
        <w:rPr>
          <w:rStyle w:val="StyleUnderline"/>
        </w:rPr>
        <w:t xml:space="preserve"> through anticapitalist, anticolonialist, and revolutionary actions.</w:t>
      </w:r>
    </w:p>
    <w:p w14:paraId="21621B87" w14:textId="77777777" w:rsidR="000573CE" w:rsidRPr="00A018A0" w:rsidRDefault="000573CE" w:rsidP="000573CE">
      <w:pPr>
        <w:rPr>
          <w:sz w:val="12"/>
        </w:rPr>
      </w:pPr>
      <w:r w:rsidRPr="00A018A0">
        <w:rPr>
          <w:sz w:val="12"/>
        </w:rPr>
        <w:t xml:space="preserve">Most importantly, </w:t>
      </w:r>
      <w:r w:rsidRPr="00423C3E">
        <w:rPr>
          <w:rStyle w:val="StyleUnderline"/>
        </w:rPr>
        <w:t>race has been pronouncedly and conveniently obscured in</w:t>
      </w:r>
      <w:r w:rsidRPr="00A018A0">
        <w:rPr>
          <w:sz w:val="12"/>
        </w:rPr>
        <w:t xml:space="preserve"> the celebrated version of </w:t>
      </w:r>
      <w:r w:rsidRPr="00423C3E">
        <w:rPr>
          <w:rStyle w:val="StyleUnderline"/>
        </w:rPr>
        <w:t>the</w:t>
      </w:r>
      <w:r w:rsidRPr="00A018A0">
        <w:rPr>
          <w:sz w:val="12"/>
        </w:rPr>
        <w:t xml:space="preserve"> Homestead </w:t>
      </w:r>
      <w:r w:rsidRPr="00423C3E">
        <w:rPr>
          <w:rStyle w:val="StyleUnderline"/>
        </w:rPr>
        <w:t>narrative</w:t>
      </w:r>
      <w:r w:rsidRPr="00A018A0">
        <w:rPr>
          <w:sz w:val="12"/>
        </w:rPr>
        <w:t xml:space="preserve"> for a specific reason. A key and lauded point of Homestead’s remembrance is how the town and workers systematically organized against non-union, out-oftown “scab” workers. Unlike in other instances of fractured alliance during strikes, the workers of the mill and the town stood in “solidarity.”48 The Personal Collection and the town refused services to “scab” laborers, maintaining a united front against their presence and employment. When </w:t>
      </w:r>
      <w:r w:rsidRPr="001C6579">
        <w:rPr>
          <w:rStyle w:val="StyleUnderline"/>
          <w:highlight w:val="green"/>
        </w:rPr>
        <w:t>the strike is</w:t>
      </w:r>
      <w:r w:rsidRPr="004523B3">
        <w:rPr>
          <w:rStyle w:val="StyleUnderline"/>
        </w:rPr>
        <w:t xml:space="preserve"> </w:t>
      </w:r>
      <w:r w:rsidRPr="00A018A0">
        <w:rPr>
          <w:sz w:val="12"/>
        </w:rPr>
        <w:t>recounted, it is often</w:t>
      </w:r>
      <w:r w:rsidRPr="004523B3">
        <w:rPr>
          <w:rStyle w:val="StyleUnderline"/>
        </w:rPr>
        <w:t xml:space="preserve"> </w:t>
      </w:r>
      <w:r w:rsidRPr="001C6579">
        <w:rPr>
          <w:rStyle w:val="StyleUnderline"/>
          <w:highlight w:val="green"/>
        </w:rPr>
        <w:t>told dramatically through the gaze of a</w:t>
      </w:r>
      <w:r w:rsidRPr="001C6579">
        <w:rPr>
          <w:rStyle w:val="StyleUnderline"/>
        </w:rPr>
        <w:t xml:space="preserve"> bold and </w:t>
      </w:r>
      <w:r w:rsidRPr="001C6579">
        <w:rPr>
          <w:rStyle w:val="StyleUnderline"/>
          <w:highlight w:val="green"/>
        </w:rPr>
        <w:t>victimized white working class</w:t>
      </w:r>
      <w:r w:rsidRPr="004523B3">
        <w:rPr>
          <w:rStyle w:val="StyleUnderline"/>
        </w:rPr>
        <w:t>.</w:t>
      </w:r>
      <w:r w:rsidRPr="00A018A0">
        <w:rPr>
          <w:sz w:val="12"/>
        </w:rPr>
        <w:t xml:space="preserve"> Other events are often misleadingly omitted or disconnected— namely, that </w:t>
      </w:r>
      <w:r w:rsidRPr="000C5C30">
        <w:rPr>
          <w:rStyle w:val="StyleUnderline"/>
        </w:rPr>
        <w:t>unions</w:t>
      </w:r>
      <w:r w:rsidRPr="00A018A0">
        <w:rPr>
          <w:sz w:val="12"/>
        </w:rPr>
        <w:t xml:space="preserve"> in this moment </w:t>
      </w:r>
      <w:r w:rsidRPr="000C5C30">
        <w:rPr>
          <w:rStyle w:val="StyleUnderline"/>
        </w:rPr>
        <w:t>were de facto segregated</w:t>
      </w:r>
      <w:r w:rsidRPr="00A018A0">
        <w:rPr>
          <w:sz w:val="12"/>
        </w:rPr>
        <w:t>, and that the strikers rioted against Black workers.</w:t>
      </w:r>
    </w:p>
    <w:p w14:paraId="4BC6DAE4" w14:textId="77777777" w:rsidR="000573CE" w:rsidRPr="00A018A0" w:rsidRDefault="000573CE" w:rsidP="000573CE">
      <w:pPr>
        <w:rPr>
          <w:sz w:val="12"/>
        </w:rPr>
      </w:pPr>
      <w:r w:rsidRPr="00A018A0">
        <w:rPr>
          <w:sz w:val="12"/>
        </w:rPr>
        <w:t xml:space="preserve">To provide more historical context, </w:t>
      </w:r>
      <w:r w:rsidRPr="004B22DD">
        <w:rPr>
          <w:rStyle w:val="StyleUnderline"/>
          <w:highlight w:val="green"/>
        </w:rPr>
        <w:t>the largest</w:t>
      </w:r>
      <w:r w:rsidRPr="00053AB3">
        <w:rPr>
          <w:rStyle w:val="StyleUnderline"/>
        </w:rPr>
        <w:t xml:space="preserve"> US labor </w:t>
      </w:r>
      <w:r w:rsidRPr="004B22DD">
        <w:rPr>
          <w:rStyle w:val="StyleUnderline"/>
          <w:highlight w:val="green"/>
        </w:rPr>
        <w:t>union</w:t>
      </w:r>
      <w:r w:rsidRPr="00053AB3">
        <w:rPr>
          <w:rStyle w:val="StyleUnderline"/>
        </w:rPr>
        <w:t xml:space="preserve"> in the late nineteenth century, the Knights of Labor, began accepting Black workers in 1878 but </w:t>
      </w:r>
      <w:r w:rsidRPr="004B22DD">
        <w:rPr>
          <w:rStyle w:val="StyleUnderline"/>
          <w:highlight w:val="green"/>
        </w:rPr>
        <w:t>maintained</w:t>
      </w:r>
      <w:r w:rsidRPr="00053AB3">
        <w:rPr>
          <w:rStyle w:val="StyleUnderline"/>
        </w:rPr>
        <w:t xml:space="preserve"> </w:t>
      </w:r>
      <w:r w:rsidRPr="004B22DD">
        <w:rPr>
          <w:rStyle w:val="StyleUnderline"/>
          <w:highlight w:val="green"/>
        </w:rPr>
        <w:t>racially segregated assemblies</w:t>
      </w:r>
      <w:r w:rsidRPr="00053AB3">
        <w:rPr>
          <w:rStyle w:val="StyleUnderline"/>
        </w:rPr>
        <w:t xml:space="preserve"> and at times practiced outright exclusion of nonwhite members.</w:t>
      </w:r>
      <w:r w:rsidRPr="00A018A0">
        <w:rPr>
          <w:sz w:val="12"/>
        </w:rPr>
        <w:t xml:space="preserve">49 As a method and policy of segregation, </w:t>
      </w:r>
      <w:r w:rsidRPr="00036942">
        <w:rPr>
          <w:rStyle w:val="StyleUnderline"/>
          <w:highlight w:val="green"/>
        </w:rPr>
        <w:t>Black workers were</w:t>
      </w:r>
      <w:r w:rsidRPr="00053AB3">
        <w:rPr>
          <w:rStyle w:val="StyleUnderline"/>
        </w:rPr>
        <w:t xml:space="preserve"> either completely barred from joining unions or </w:t>
      </w:r>
      <w:r w:rsidRPr="00036942">
        <w:rPr>
          <w:rStyle w:val="StyleUnderline"/>
          <w:highlight w:val="green"/>
        </w:rPr>
        <w:t xml:space="preserve">denied membership for being </w:t>
      </w:r>
      <w:r w:rsidRPr="00872330">
        <w:rPr>
          <w:rStyle w:val="StyleUnderline"/>
          <w:highlight w:val="green"/>
        </w:rPr>
        <w:t>unskilled</w:t>
      </w:r>
      <w:r w:rsidRPr="00053AB3">
        <w:rPr>
          <w:rStyle w:val="StyleUnderline"/>
        </w:rPr>
        <w:t xml:space="preserve">, enclosing them in a suffocating </w:t>
      </w:r>
      <w:r w:rsidRPr="000E2CBA">
        <w:rPr>
          <w:rStyle w:val="StyleUnderline"/>
        </w:rPr>
        <w:t xml:space="preserve">circle. </w:t>
      </w:r>
      <w:r w:rsidRPr="00872330">
        <w:rPr>
          <w:rStyle w:val="StyleUnderline"/>
          <w:highlight w:val="green"/>
        </w:rPr>
        <w:t>This</w:t>
      </w:r>
      <w:r w:rsidRPr="000E2CBA">
        <w:rPr>
          <w:rStyle w:val="StyleUnderline"/>
        </w:rPr>
        <w:t xml:space="preserve"> occurrence was so routine that the term scab began to signal Black workers.</w:t>
      </w:r>
      <w:r w:rsidRPr="00A018A0">
        <w:rPr>
          <w:sz w:val="12"/>
        </w:rPr>
        <w:t xml:space="preserve"> From the 1890s well into the 1920s, Black workers were viewed as the “enemy of unionized workers.”50 The majority of mills had most likely utilized enslaved persons and later employed Black workers as operators of blast furnaces in steel mills and iron plantations, which was considered to be the worst and most dangerous job.51 Davis’s novella </w:t>
      </w:r>
      <w:r w:rsidRPr="00872330">
        <w:rPr>
          <w:rStyle w:val="StyleUnderline"/>
          <w:highlight w:val="green"/>
        </w:rPr>
        <w:t>alludes to the gendered and racial composite of workers</w:t>
      </w:r>
      <w:r w:rsidRPr="00A018A0">
        <w:rPr>
          <w:sz w:val="12"/>
        </w:rPr>
        <w:t xml:space="preserve">. In Life in the Iron Mills, she depicts how both women and men—some identified as “mulatto”—congregated around the mill.52 </w:t>
      </w:r>
      <w:r w:rsidRPr="00DE6C41">
        <w:rPr>
          <w:rStyle w:val="StyleUnderline"/>
        </w:rPr>
        <w:t>Nonwhite persons and women are interwoven into the st</w:t>
      </w:r>
      <w:r w:rsidRPr="00D21E92">
        <w:rPr>
          <w:rStyle w:val="StyleUnderline"/>
        </w:rPr>
        <w:t>ructure of</w:t>
      </w:r>
      <w:r w:rsidRPr="00DE6C41">
        <w:rPr>
          <w:rStyle w:val="StyleUnderline"/>
        </w:rPr>
        <w:t xml:space="preserve"> the</w:t>
      </w:r>
      <w:r w:rsidRPr="00A018A0">
        <w:rPr>
          <w:sz w:val="12"/>
        </w:rPr>
        <w:t xml:space="preserve"> iron and steel </w:t>
      </w:r>
      <w:r w:rsidRPr="00DE6C41">
        <w:rPr>
          <w:rStyle w:val="StyleUnderline"/>
        </w:rPr>
        <w:t>enterprise</w:t>
      </w:r>
      <w:r w:rsidRPr="00A018A0">
        <w:rPr>
          <w:sz w:val="12"/>
        </w:rPr>
        <w:t xml:space="preserve">. Black operators were included in the mills to work the blast furnaces but excluded as workers from the unions. </w:t>
      </w:r>
    </w:p>
    <w:p w14:paraId="26C8364B" w14:textId="77777777" w:rsidR="000573CE" w:rsidRPr="000B4989" w:rsidRDefault="000573CE" w:rsidP="000573CE">
      <w:pPr>
        <w:rPr>
          <w:sz w:val="10"/>
          <w:szCs w:val="10"/>
        </w:rPr>
      </w:pPr>
      <w:r w:rsidRPr="00A018A0">
        <w:rPr>
          <w:sz w:val="12"/>
        </w:rPr>
        <w:t xml:space="preserve">The strikers rioted against Black workers, destroyed their living quarters, and spoke of lynching.53 Contextually, then, the town’s refusal of services to the “scab” </w:t>
      </w:r>
      <w:r w:rsidRPr="000A002C">
        <w:rPr>
          <w:rStyle w:val="StyleUnderline"/>
        </w:rPr>
        <w:t>workers would not have been just in solidarity with the white laborers local to Homestead but also in line with national practices of segregation and the tenets of racial violence central to property claims.</w:t>
      </w:r>
      <w:r w:rsidRPr="00C947B6">
        <w:rPr>
          <w:rStyle w:val="StyleUnderline"/>
        </w:rPr>
        <w:t xml:space="preserve">54 </w:t>
      </w:r>
      <w:r w:rsidRPr="001344BC">
        <w:rPr>
          <w:rStyle w:val="StyleUnderline"/>
          <w:highlight w:val="green"/>
        </w:rPr>
        <w:t>Imagined to be outside the framework of both private and socialized</w:t>
      </w:r>
      <w:r w:rsidRPr="00C947B6">
        <w:rPr>
          <w:rStyle w:val="StyleUnderline"/>
        </w:rPr>
        <w:t xml:space="preserve"> property, </w:t>
      </w:r>
      <w:r w:rsidRPr="001344BC">
        <w:rPr>
          <w:rStyle w:val="StyleUnderline"/>
          <w:highlight w:val="green"/>
        </w:rPr>
        <w:t>as well as</w:t>
      </w:r>
      <w:r w:rsidRPr="00C947B6">
        <w:rPr>
          <w:rStyle w:val="StyleUnderline"/>
        </w:rPr>
        <w:t xml:space="preserve"> that of </w:t>
      </w:r>
      <w:r w:rsidRPr="001344BC">
        <w:rPr>
          <w:rStyle w:val="StyleUnderline"/>
          <w:highlight w:val="green"/>
        </w:rPr>
        <w:t>collective bargaining, Black workers remained the target of the violence of the law and its authority</w:t>
      </w:r>
      <w:r w:rsidRPr="00C947B6">
        <w:rPr>
          <w:rStyle w:val="StyleUnderline"/>
        </w:rPr>
        <w:t>.</w:t>
      </w:r>
      <w:r w:rsidRPr="00A018A0">
        <w:rPr>
          <w:sz w:val="12"/>
        </w:rPr>
        <w:t xml:space="preserve"> Their presence redirected the strikers’ anger away from the corporation that had so intricately worked to exploit them—previously and presently— and which would go on to bar them entirely from employment in the near future. </w:t>
      </w:r>
    </w:p>
    <w:p w14:paraId="69D7B070" w14:textId="77777777" w:rsidR="000573CE" w:rsidRPr="00C9600F" w:rsidRDefault="000573CE" w:rsidP="000573CE">
      <w:pPr>
        <w:rPr>
          <w:sz w:val="12"/>
          <w:szCs w:val="12"/>
        </w:rPr>
      </w:pPr>
      <w:r w:rsidRPr="00C9600F">
        <w:rPr>
          <w:sz w:val="12"/>
          <w:szCs w:val="12"/>
        </w:rPr>
        <w:t>In contrast, when the National Guard arrived, the town greeted them with song.55 The strikers, having engaged in their own campaign for state protection—as they had been wrongfully injured and killed— believed the militia could be converted to their cause, and hoped that the new police presence was a protection for the strike to continue. However, when it became clear that this was not the case, there was no rioting against the National Guard.56 There was no rioting or support for the attempted assassination of Frick. Instead, violence would be directed toward Black workers.57</w:t>
      </w:r>
    </w:p>
    <w:p w14:paraId="1298A6AF" w14:textId="77777777" w:rsidR="000573CE" w:rsidRPr="00C9600F" w:rsidRDefault="000573CE" w:rsidP="000573CE">
      <w:pPr>
        <w:rPr>
          <w:sz w:val="12"/>
          <w:szCs w:val="12"/>
        </w:rPr>
      </w:pPr>
      <w:r w:rsidRPr="00C9600F">
        <w:rPr>
          <w:sz w:val="12"/>
          <w:szCs w:val="12"/>
        </w:rPr>
        <w:t xml:space="preserve">Here, I want to recall Frick’s assertion of the “enemy.” For Frick, the enemy represented the striking workmen; the inverse was not true for the unionized strikers. This dynamic has been theorized by W. E. B. Du Bois and Cedric Robinson.58 As Du Bois lays out in Black Reconstruction in America, the presence of Black workers destroys the political narrative of fair wage employment, dismantling the fantasy of the capitalist worker’s hard-earned rise. Black workers were without legible claims—to the strikers, management, or the state. “Scabs”—Black workers—disavowed the triumphant narrative of liberal wage work.59 “Scabs” demarcate correct and incorrect participation in the labor market, highlighting the fallacy of any justice within capitalism and of the possibility of a just system of labor. The presence of “scabs” became a signal of refused work, denied work, notwork. It was the work that could not be taken up, but would be—work without the narrative of subjectivity or pride.60 </w:t>
      </w:r>
    </w:p>
    <w:p w14:paraId="053F53EE" w14:textId="77777777" w:rsidR="000573CE" w:rsidRPr="00C9600F" w:rsidRDefault="000573CE" w:rsidP="000573CE">
      <w:pPr>
        <w:rPr>
          <w:sz w:val="12"/>
          <w:szCs w:val="12"/>
        </w:rPr>
      </w:pPr>
      <w:r w:rsidRPr="00C9600F">
        <w:rPr>
          <w:sz w:val="12"/>
          <w:szCs w:val="12"/>
        </w:rPr>
        <w:t xml:space="preserve">Although the notion of Black and worker functioned as a misnomer for the European, white-identified proletariat, </w:t>
      </w:r>
      <w:r w:rsidRPr="00C9600F">
        <w:rPr>
          <w:rStyle w:val="StyleUnderline"/>
          <w:sz w:val="12"/>
          <w:szCs w:val="12"/>
          <w:u w:val="none"/>
        </w:rPr>
        <w:t>references to slavery, and in particular fears of white slavery, were routinely invoked by unions.</w:t>
      </w:r>
      <w:r w:rsidRPr="00C9600F">
        <w:rPr>
          <w:sz w:val="12"/>
          <w:szCs w:val="12"/>
        </w:rPr>
        <w:t>61 William H. Sylvis, leader of the Knights of Labor, declared in a speech in 1869, “</w:t>
      </w:r>
      <w:r w:rsidRPr="00C9600F">
        <w:rPr>
          <w:rStyle w:val="StyleUnderline"/>
          <w:sz w:val="12"/>
          <w:szCs w:val="12"/>
          <w:u w:val="none"/>
        </w:rPr>
        <w:t>We are all one family of slaves together. The labor movement is a second Emancipation Proclamation</w:t>
      </w:r>
      <w:r w:rsidRPr="00C9600F">
        <w:rPr>
          <w:sz w:val="12"/>
          <w:szCs w:val="12"/>
        </w:rPr>
        <w:t xml:space="preserve">.”62 </w:t>
      </w:r>
      <w:r w:rsidRPr="00C9600F">
        <w:rPr>
          <w:rStyle w:val="StyleUnderline"/>
          <w:sz w:val="12"/>
          <w:szCs w:val="12"/>
          <w:u w:val="none"/>
        </w:rPr>
        <w:t>Unions utilized slavery as a political metaphor to fight capitalism. The righteousness of unions and labor movements held slavery as the border that could not be crossed.</w:t>
      </w:r>
      <w:r w:rsidRPr="00C9600F">
        <w:rPr>
          <w:sz w:val="12"/>
          <w:szCs w:val="12"/>
        </w:rPr>
        <w:t xml:space="preserve"> The rhetoric of slavery can also be found leading up to the Homestead Strike of 1892. Krause writes that the Amalgamated Association of Iron and Steel Workers and the National Labor Tribune found the working conditions not only unacceptable, but like slavery. On July 9, 1881, the Tribune reported: “Slavery at Homestead. . . . Talk about foreign despotism! We venture the assertion that no such rules . . . can be found anywhere in Europe, and in a free country like this it is a lasting shame and disgrace that free men tolerate it. Until the men there free themselves from it, they will be looked upon as absolute slaves.”63 </w:t>
      </w:r>
    </w:p>
    <w:p w14:paraId="69838875" w14:textId="77777777" w:rsidR="000573CE" w:rsidRPr="00C9600F" w:rsidRDefault="000573CE" w:rsidP="000573CE">
      <w:pPr>
        <w:rPr>
          <w:sz w:val="12"/>
          <w:szCs w:val="12"/>
        </w:rPr>
      </w:pPr>
      <w:r w:rsidRPr="00C9600F">
        <w:rPr>
          <w:rStyle w:val="StyleUnderline"/>
          <w:sz w:val="12"/>
          <w:szCs w:val="12"/>
          <w:u w:val="none"/>
        </w:rPr>
        <w:t>This invocation of slavery by labor unions serves to stress the severity, the absolute limit and desperation, of their situation.</w:t>
      </w:r>
      <w:r w:rsidRPr="00C9600F">
        <w:rPr>
          <w:sz w:val="12"/>
          <w:szCs w:val="12"/>
        </w:rPr>
        <w:t xml:space="preserve"> Christina Sharpe diagnoses this phenomenon in discussing the relationship between freedom and slavery: “We must think about Black flesh, Black optics, and ways of producing enfleshed work . . . the hold remains in the form of the semiotics of the slave ship hold, the prison, the womb, and elsewhere in and as the tension between being and instrumentality that is Black being in the wake.”64 Sharpe’s articulation of the tension between being and instrumentality describes the violence of abstraction, particularly the violence of slavery as metaphor. </w:t>
      </w:r>
      <w:r w:rsidRPr="00C9600F">
        <w:rPr>
          <w:rStyle w:val="StyleUnderline"/>
          <w:sz w:val="12"/>
          <w:szCs w:val="12"/>
          <w:u w:val="none"/>
        </w:rPr>
        <w:t>The working conditions are undignified for white workers, and slavery is instrumentalized by the writers of the National Labor Tribune to articulate their grievance</w:t>
      </w:r>
      <w:r w:rsidRPr="00C9600F">
        <w:rPr>
          <w:sz w:val="12"/>
          <w:szCs w:val="12"/>
        </w:rPr>
        <w:t>. That Black workers remain segregated from the possibility of work cannot enter the invocation so long as Black workers, Black persons, remain instrumentality rather than being.</w:t>
      </w:r>
    </w:p>
    <w:p w14:paraId="7616D6C7" w14:textId="77777777" w:rsidR="000573CE" w:rsidRPr="00C9600F" w:rsidRDefault="000573CE" w:rsidP="000573CE">
      <w:pPr>
        <w:rPr>
          <w:sz w:val="12"/>
          <w:szCs w:val="12"/>
        </w:rPr>
      </w:pPr>
      <w:r w:rsidRPr="00C9600F">
        <w:rPr>
          <w:sz w:val="12"/>
          <w:szCs w:val="12"/>
        </w:rPr>
        <w:t xml:space="preserve">I want to pair Sylvis and reports from the National Labor Tribune with a passage from Du Bois’s Black Reconstruction in America, in which he elucidates the failures of post–Civil War reconstruction. “The emancipation of man,” he writes, “is the emancipation of labor and the emancipation of labor is the freeing of that basic majority of workers who are yellow, brown and black.”65 Unlike the Tribune, Du Bois links the exploitation of white workers to the exploitation of Black laborers as both unfold capitalism. While the editorial from the Tribune creates a hierarchy between men and slaves, implicitly acknowledging how, in both the absence and the presence of abolition, workers must be differentiated from slaves, Du Bois presses forth how the emancipation of Black laborers—those previously enslaved, and those indentured—is necessary to the emancipation of all labor. Though slavery has never been work, nor labor, nor metaphor, it is invoked by the Tribune to support the futurity of labor claims: the life and property of the white laborer. Du Bois preemptively situates this move as “the real modern problem.” The language of slavery did not transfigure into the identification with and integration of Black workers. Rather, the language of slavery became weaponized to further abstract then perpetuate anti-Black violence, as labor tensions mutated into race riots throughout the mid-nineteenth century in Cincinnati, Philadelphia, and elsewhere.66 </w:t>
      </w:r>
    </w:p>
    <w:p w14:paraId="653A8E2C" w14:textId="77777777" w:rsidR="000573CE" w:rsidRPr="00C9600F" w:rsidRDefault="000573CE" w:rsidP="000573CE">
      <w:pPr>
        <w:rPr>
          <w:sz w:val="12"/>
          <w:szCs w:val="12"/>
        </w:rPr>
      </w:pPr>
      <w:r w:rsidRPr="00C9600F">
        <w:rPr>
          <w:sz w:val="12"/>
          <w:szCs w:val="12"/>
        </w:rPr>
        <w:t>Banned from joining a larger labor movement, Black workers were refused the category of worker; it is this very refusal that makes their “employment” by private enterprises through state intervention possible. The 1892 strike is the composite of segregated labor; it is a circumstance made possible through segregation. The presence of Black laborers did not break the strike—this was the doing of the National Guard. The National Guard enters the event to force segregated “employment” into further dispossession, and the “opportunity” for such employment exists because it has been systematically relegated to outside the realm of collective bargaining.</w:t>
      </w:r>
    </w:p>
    <w:p w14:paraId="126D0DD2" w14:textId="77777777" w:rsidR="000573CE" w:rsidRPr="00A018A0" w:rsidRDefault="000573CE" w:rsidP="000573CE">
      <w:pPr>
        <w:rPr>
          <w:sz w:val="12"/>
        </w:rPr>
      </w:pPr>
      <w:r w:rsidRPr="00643A65">
        <w:rPr>
          <w:rStyle w:val="StyleUnderline"/>
        </w:rPr>
        <w:t>Speaking on the legal and cultural formations of whiteness as property</w:t>
      </w:r>
      <w:r w:rsidRPr="00A018A0">
        <w:rPr>
          <w:sz w:val="12"/>
        </w:rPr>
        <w:t>, Cheryl Harris writes that “</w:t>
      </w:r>
      <w:r w:rsidRPr="00A2360A">
        <w:rPr>
          <w:rStyle w:val="StyleUnderline"/>
          <w:highlight w:val="green"/>
        </w:rPr>
        <w:t>possession—the act necessary to lay the basis for rights in property</w:t>
      </w:r>
      <w:r w:rsidRPr="00643A65">
        <w:rPr>
          <w:rStyle w:val="StyleUnderline"/>
        </w:rPr>
        <w:t xml:space="preserve">—was defined to include only the cultural practices of whites. This definition </w:t>
      </w:r>
      <w:r w:rsidRPr="00A2360A">
        <w:rPr>
          <w:rStyle w:val="StyleUnderline"/>
          <w:highlight w:val="green"/>
        </w:rPr>
        <w:t>laid the foundation for the idea that whiteness</w:t>
      </w:r>
      <w:r w:rsidRPr="00643A65">
        <w:rPr>
          <w:rStyle w:val="StyleUnderline"/>
        </w:rPr>
        <w:t>— that which whites alone possess</w:t>
      </w:r>
      <w:r w:rsidRPr="00A2360A">
        <w:rPr>
          <w:rStyle w:val="StyleUnderline"/>
        </w:rPr>
        <w:t>—</w:t>
      </w:r>
      <w:r w:rsidRPr="00A2360A">
        <w:rPr>
          <w:rStyle w:val="StyleUnderline"/>
          <w:highlight w:val="green"/>
        </w:rPr>
        <w:t>is valuable</w:t>
      </w:r>
      <w:r w:rsidRPr="00643A65">
        <w:rPr>
          <w:rStyle w:val="StyleUnderline"/>
        </w:rPr>
        <w:t xml:space="preserve"> and is </w:t>
      </w:r>
      <w:r w:rsidRPr="00A2360A">
        <w:rPr>
          <w:rStyle w:val="StyleUnderline"/>
          <w:highlight w:val="green"/>
        </w:rPr>
        <w:t>property</w:t>
      </w:r>
      <w:r w:rsidRPr="00A14E80">
        <w:rPr>
          <w:rStyle w:val="Emphasis"/>
          <w:highlight w:val="green"/>
        </w:rPr>
        <w:t>.</w:t>
      </w:r>
      <w:r w:rsidRPr="00643A65">
        <w:rPr>
          <w:rStyle w:val="StyleUnderline"/>
        </w:rPr>
        <w:t>”</w:t>
      </w:r>
      <w:r w:rsidRPr="00A018A0">
        <w:rPr>
          <w:sz w:val="12"/>
        </w:rPr>
        <w:t xml:space="preserve">67 While not white owners, or even white police officers, these </w:t>
      </w:r>
      <w:r w:rsidRPr="00643A65">
        <w:rPr>
          <w:rStyle w:val="StyleUnderline"/>
        </w:rPr>
        <w:t>white workers considered the possession of property exclusively theirs.</w:t>
      </w:r>
      <w:r w:rsidRPr="00A018A0">
        <w:rPr>
          <w:sz w:val="12"/>
        </w:rPr>
        <w:t xml:space="preserve"> And because property and whiteness functioned as a symbiosis, Harris writes, “white workers perceived that they had more in common with the bourgeoisie than with fellow workers who were Black.”68 This can be witnessed in the numerous articles appearing in the National Labor Tribune in Pittsburgh. While fully supporting essential labor reforms such as the eight-hour workday and collective bargaining, the Tribune published explicitly anti-Black and antiimmigrant editorials. On April 30, 1892, just two months before the strike, several articles concerning “John Chinaman” and supporting the Chinese Exclusion Act appeared. On September 17, 1892, a series of articles concerning the “Southern Negro” as strike breaker were featured. In December 1892, several months after the strike, the paper declared how “moral courage” is necessary to reject immigrant families, to send them back, as their presence interferes with the pursuit of US labor goals.69 The differing notions of property claims (as forged by Krause) between the workers and the “owners” (as theorized by Harris) are pivotal to understanding the crux of property. Harris writes, “Property is thus said to be a right, not a thing, characterized as metaphysical, not physical.”70 The stakes are the immaterial gains rooted in material life. Frick and Carnegie describe property in terms of affect—enjoyment—and Krause describes the </w:t>
      </w:r>
      <w:r w:rsidRPr="002B3046">
        <w:rPr>
          <w:rStyle w:val="StyleUnderline"/>
        </w:rPr>
        <w:t>workers’ claims</w:t>
      </w:r>
      <w:r w:rsidRPr="00A018A0">
        <w:rPr>
          <w:sz w:val="12"/>
        </w:rPr>
        <w:t xml:space="preserve">, which echo Marx’s right to the socialization of property; in both instances, Black workers are excluded. </w:t>
      </w:r>
    </w:p>
    <w:p w14:paraId="7CB7F0FA" w14:textId="77777777" w:rsidR="000573CE" w:rsidRPr="004876D7" w:rsidRDefault="000573CE" w:rsidP="000573CE">
      <w:pPr>
        <w:rPr>
          <w:u w:val="single"/>
        </w:rPr>
      </w:pPr>
      <w:r w:rsidRPr="00EB785D">
        <w:rPr>
          <w:rStyle w:val="StyleUnderline"/>
          <w:highlight w:val="green"/>
        </w:rPr>
        <w:t>If the</w:t>
      </w:r>
      <w:r w:rsidRPr="00C14180">
        <w:rPr>
          <w:rStyle w:val="StyleUnderline"/>
        </w:rPr>
        <w:t xml:space="preserve"> </w:t>
      </w:r>
      <w:r w:rsidRPr="00EB785D">
        <w:rPr>
          <w:rStyle w:val="StyleUnderline"/>
          <w:highlight w:val="green"/>
        </w:rPr>
        <w:t>successful</w:t>
      </w:r>
      <w:r w:rsidRPr="00C14180">
        <w:rPr>
          <w:rStyle w:val="StyleUnderline"/>
        </w:rPr>
        <w:t xml:space="preserve"> horizon of the</w:t>
      </w:r>
      <w:r w:rsidRPr="00A018A0">
        <w:rPr>
          <w:sz w:val="12"/>
        </w:rPr>
        <w:t xml:space="preserve"> Homestead </w:t>
      </w:r>
      <w:r w:rsidRPr="00EB785D">
        <w:rPr>
          <w:rStyle w:val="StyleUnderline"/>
          <w:highlight w:val="green"/>
        </w:rPr>
        <w:t>Strike</w:t>
      </w:r>
      <w:r w:rsidRPr="00C14180">
        <w:rPr>
          <w:rStyle w:val="StyleUnderline"/>
        </w:rPr>
        <w:t xml:space="preserve"> could </w:t>
      </w:r>
      <w:r w:rsidRPr="00EB785D">
        <w:rPr>
          <w:rStyle w:val="StyleUnderline"/>
          <w:highlight w:val="green"/>
        </w:rPr>
        <w:t xml:space="preserve">lead to the socialization of </w:t>
      </w:r>
      <w:r w:rsidRPr="00EB785D">
        <w:rPr>
          <w:rStyle w:val="StyleUnderline"/>
        </w:rPr>
        <w:t xml:space="preserve">private </w:t>
      </w:r>
      <w:r w:rsidRPr="00EB785D">
        <w:rPr>
          <w:rStyle w:val="StyleUnderline"/>
          <w:highlight w:val="green"/>
        </w:rPr>
        <w:t>property or</w:t>
      </w:r>
      <w:r w:rsidRPr="00C14180">
        <w:rPr>
          <w:rStyle w:val="StyleUnderline"/>
        </w:rPr>
        <w:t xml:space="preserve"> the </w:t>
      </w:r>
      <w:r w:rsidRPr="00EB785D">
        <w:rPr>
          <w:rStyle w:val="StyleUnderline"/>
          <w:highlight w:val="green"/>
        </w:rPr>
        <w:t>protection of workers’</w:t>
      </w:r>
      <w:r w:rsidRPr="00C14180">
        <w:rPr>
          <w:rStyle w:val="StyleUnderline"/>
        </w:rPr>
        <w:t xml:space="preserve"> existing </w:t>
      </w:r>
      <w:r w:rsidRPr="00EB785D">
        <w:rPr>
          <w:rStyle w:val="StyleUnderline"/>
          <w:highlight w:val="green"/>
        </w:rPr>
        <w:t xml:space="preserve">property claims, a successful strike would also have </w:t>
      </w:r>
      <w:r w:rsidRPr="00EB785D">
        <w:rPr>
          <w:rStyle w:val="Emphasis"/>
          <w:highlight w:val="green"/>
        </w:rPr>
        <w:t>continued</w:t>
      </w:r>
      <w:r w:rsidRPr="00EB785D">
        <w:rPr>
          <w:rStyle w:val="StyleUnderline"/>
          <w:highlight w:val="green"/>
        </w:rPr>
        <w:t xml:space="preserve"> to </w:t>
      </w:r>
      <w:r w:rsidRPr="00EB785D">
        <w:rPr>
          <w:rStyle w:val="Emphasis"/>
          <w:highlight w:val="green"/>
        </w:rPr>
        <w:t>uphold</w:t>
      </w:r>
      <w:r w:rsidRPr="00EB785D">
        <w:rPr>
          <w:rStyle w:val="StyleUnderline"/>
          <w:highlight w:val="green"/>
        </w:rPr>
        <w:t xml:space="preserve"> the </w:t>
      </w:r>
      <w:r w:rsidRPr="00EB785D">
        <w:rPr>
          <w:rStyle w:val="Emphasis"/>
          <w:highlight w:val="green"/>
        </w:rPr>
        <w:t>segregation</w:t>
      </w:r>
      <w:r w:rsidRPr="00EB785D">
        <w:rPr>
          <w:rStyle w:val="StyleUnderline"/>
          <w:highlight w:val="green"/>
        </w:rPr>
        <w:t xml:space="preserve"> </w:t>
      </w:r>
      <w:r w:rsidRPr="00EB785D">
        <w:rPr>
          <w:rStyle w:val="Emphasis"/>
          <w:highlight w:val="green"/>
        </w:rPr>
        <w:t>pivotal to their claims</w:t>
      </w:r>
      <w:r w:rsidRPr="00EB785D">
        <w:rPr>
          <w:rStyle w:val="StyleUnderline"/>
          <w:highlight w:val="green"/>
        </w:rPr>
        <w:t>.</w:t>
      </w:r>
      <w:r w:rsidRPr="00C14180">
        <w:rPr>
          <w:rStyle w:val="StyleUnderline"/>
        </w:rPr>
        <w:t xml:space="preserve"> </w:t>
      </w:r>
      <w:r w:rsidRPr="00A018A0">
        <w:rPr>
          <w:sz w:val="12"/>
        </w:rPr>
        <w:t xml:space="preserve">However, to repeat Du Bois, the emancipation of labor could not be achieved through a negation of Black labor. In the context of Homestead, </w:t>
      </w:r>
      <w:r w:rsidRPr="002B3046">
        <w:rPr>
          <w:rStyle w:val="StyleUnderline"/>
        </w:rPr>
        <w:t xml:space="preserve">striking and worker “rights” remain loyal to a vision of a segregated </w:t>
      </w:r>
      <w:r w:rsidRPr="008A7E83">
        <w:rPr>
          <w:rStyle w:val="StyleUnderline"/>
        </w:rPr>
        <w:t xml:space="preserve">workforce. </w:t>
      </w:r>
      <w:r w:rsidRPr="005472C0">
        <w:rPr>
          <w:rStyle w:val="StyleUnderline"/>
          <w:highlight w:val="green"/>
        </w:rPr>
        <w:t>What becomes assumed is Blackness as the baseline of dispossession.</w:t>
      </w:r>
      <w:r w:rsidRPr="008A7E83">
        <w:rPr>
          <w:rStyle w:val="StyleUnderline"/>
        </w:rPr>
        <w:t xml:space="preserve"> </w:t>
      </w:r>
    </w:p>
    <w:p w14:paraId="32DD3440" w14:textId="77777777" w:rsidR="000573CE" w:rsidRPr="00354C8A" w:rsidRDefault="000573CE" w:rsidP="00513A6D">
      <w:pPr>
        <w:rPr>
          <w:sz w:val="12"/>
        </w:rPr>
      </w:pPr>
    </w:p>
    <w:p w14:paraId="69E037BC" w14:textId="77777777" w:rsidR="00513A6D" w:rsidRPr="00953A8F" w:rsidRDefault="00513A6D" w:rsidP="00513A6D">
      <w:pPr>
        <w:pStyle w:val="Heading4"/>
      </w:pPr>
      <w:r>
        <w:t xml:space="preserve">In response to oikonomia’s imperative towards </w:t>
      </w:r>
      <w:r w:rsidRPr="00322EAC">
        <w:rPr>
          <w:u w:val="single"/>
        </w:rPr>
        <w:t>contractualism</w:t>
      </w:r>
      <w:r>
        <w:t xml:space="preserve">, vote negative to catch the </w:t>
      </w:r>
      <w:r w:rsidRPr="00322EAC">
        <w:rPr>
          <w:u w:val="single"/>
        </w:rPr>
        <w:t>contagion</w:t>
      </w:r>
      <w:r>
        <w:t xml:space="preserve">. </w:t>
      </w:r>
      <w:r w:rsidRPr="00322EAC">
        <w:t>Transition now</w:t>
      </w:r>
      <w:r>
        <w:t>!</w:t>
      </w:r>
    </w:p>
    <w:p w14:paraId="59C70927" w14:textId="77777777" w:rsidR="00513A6D" w:rsidRPr="00E40074" w:rsidRDefault="00513A6D" w:rsidP="00513A6D">
      <w:pPr>
        <w:rPr>
          <w:sz w:val="12"/>
        </w:rPr>
      </w:pPr>
      <w:r w:rsidRPr="00E40074">
        <w:rPr>
          <w:rStyle w:val="Style13ptBold"/>
        </w:rPr>
        <w:t xml:space="preserve">Adair and Aizura 22 </w:t>
      </w:r>
      <w:r w:rsidRPr="00E40074">
        <w:rPr>
          <w:sz w:val="12"/>
        </w:rPr>
        <w:t>[“The Transgender Craze Seducing Our [Sons]”; or, All the Trans Guys Are Just Dating Each Other. TSQ 1 February 2022; 9 (1): 44–64. doi: https://doi.org/10.1215/23289252-9475509 Cassius Adair is a visiting assistant professor of media, culture, and communication at New York University. Aren Aizura is associate professor of gender, women, and sexuality studies at the University of Minnesota.//Spence]</w:t>
      </w:r>
    </w:p>
    <w:p w14:paraId="43B6FF8D" w14:textId="77777777" w:rsidR="00513A6D" w:rsidRPr="00844470" w:rsidRDefault="00513A6D" w:rsidP="00513A6D">
      <w:pPr>
        <w:rPr>
          <w:sz w:val="12"/>
        </w:rPr>
      </w:pPr>
      <w:r w:rsidRPr="00B54B99">
        <w:rPr>
          <w:sz w:val="12"/>
        </w:rPr>
        <w:t xml:space="preserve">Although it fronts as an erotic fantasy, “Love Sees No Gender” captures all the fluttering nerves of a proto-transmasculine bildungsroman, even as Califia’s authorial I denies this identification (this disavowal, too, another fluttering nerve). In taking this form, Califa’s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5E768AA7" w14:textId="77777777" w:rsidR="00513A6D" w:rsidRPr="00B54B99" w:rsidRDefault="00513A6D" w:rsidP="00513A6D">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r w:rsidRPr="00844470">
        <w:rPr>
          <w:rStyle w:val="StyleUnderline"/>
        </w:rPr>
        <w:t>posttransition</w:t>
      </w:r>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“ftm fad” that date back at least twenty years, framed as new and directed at a larger audience.3</w:t>
      </w:r>
    </w:p>
    <w:p w14:paraId="04B21EFC" w14:textId="77777777" w:rsidR="00513A6D" w:rsidRPr="00B54B99" w:rsidRDefault="00513A6D" w:rsidP="00513A6D">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“ftm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GillPeterson writes, trans and sex work on each other (Aizura et al. 2021: 138)? Thus in this essay we interrogate a masc4masc t4t erotics,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405B55C1" w14:textId="77777777" w:rsidR="00513A6D" w:rsidRPr="00B54B99" w:rsidRDefault="00513A6D" w:rsidP="00513A6D">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Hil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Peters’s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Craigslistian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cunts of Pat’s protoftm4ftm encounter with Mike? </w:t>
      </w:r>
    </w:p>
    <w:p w14:paraId="0AF5AD66" w14:textId="77777777" w:rsidR="00513A6D" w:rsidRPr="00B54B99" w:rsidRDefault="00513A6D" w:rsidP="00513A6D">
      <w:pPr>
        <w:rPr>
          <w:sz w:val="12"/>
        </w:rPr>
      </w:pPr>
      <w:r w:rsidRPr="00B54B99">
        <w:rPr>
          <w:sz w:val="12"/>
        </w:rPr>
        <w:t xml:space="preserve">The ambiguity of t4t’s erotic meanings demands a serious consideration when applied to trans masculine relationality, and trans masculine sexuality in particular.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masc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transmasc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masc sexuality is figured as anything at all).5 This aesthetic abjures erotics as at best frivolous or apolitical, or at worst, as emblematic of toxic masculinity.6 We read this denial and disappearance as a symptom of how ubiquitous the (white) transmasc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erotics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0E09E532" w14:textId="77777777" w:rsidR="00513A6D" w:rsidRPr="00C15320" w:rsidRDefault="00513A6D" w:rsidP="00513A6D">
      <w:pPr>
        <w:rPr>
          <w:rStyle w:val="StyleUnderline"/>
        </w:rPr>
      </w:pPr>
      <w:r w:rsidRPr="00B54B99">
        <w:rPr>
          <w:sz w:val="12"/>
        </w:rPr>
        <w:t xml:space="preserve">We also assert that it is worth asking what happens when trans boys or men (or bois or boiz or guys or mascs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Instead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r w:rsidRPr="00314B70">
        <w:rPr>
          <w:rStyle w:val="Emphasis"/>
          <w:sz w:val="32"/>
          <w:szCs w:val="32"/>
          <w:highlight w:val="green"/>
        </w:rPr>
        <w:t>possiblity</w:t>
      </w:r>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2CAA590D" w14:textId="77777777" w:rsidR="00513A6D" w:rsidRPr="007A1417" w:rsidRDefault="00513A6D" w:rsidP="00513A6D">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fucking a trans masc while you are, or are almost, a trans masc yourself. To organize these objects, we have divided this essay into three parts, which are (gayly) bound up with one other. First, we discuss the coming into identity that, we propose, actually can happen via desire for trans people, including a sexual urge toward or attraction to people who look like the person one wants to be. Second, we dig deeper into the cultural representations of ftm4ftm erotics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erotics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masc 4 trans masc </w:t>
      </w:r>
      <w:r w:rsidRPr="007A1417">
        <w:rPr>
          <w:rStyle w:val="Emphasis"/>
          <w:sz w:val="32"/>
          <w:szCs w:val="32"/>
          <w:highlight w:val="green"/>
        </w:rPr>
        <w:t>politics and pleasures.</w:t>
      </w:r>
    </w:p>
    <w:p w14:paraId="1E270FCE" w14:textId="77777777" w:rsidR="00513A6D" w:rsidRPr="00B54B99" w:rsidRDefault="00513A6D" w:rsidP="00513A6D">
      <w:pPr>
        <w:rPr>
          <w:sz w:val="12"/>
        </w:rPr>
      </w:pPr>
      <w:r w:rsidRPr="00B54B99">
        <w:rPr>
          <w:sz w:val="12"/>
        </w:rPr>
        <w:t xml:space="preserve">“The Transgender Craze Seducing Your [Son]” / The Trans Erotic as Social Contagion </w:t>
      </w:r>
    </w:p>
    <w:p w14:paraId="5B9621A2" w14:textId="77777777" w:rsidR="00513A6D" w:rsidRPr="00B54B99" w:rsidRDefault="00513A6D" w:rsidP="00513A6D">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erotics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mascs: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Restar 2020). We are not interested in relating to ROGD and gendercritical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within them in order to investigate how trans studies can figure the erotics and identifications of young trans mascs.</w:t>
      </w:r>
    </w:p>
    <w:p w14:paraId="29952EDA" w14:textId="77777777" w:rsidR="00513A6D" w:rsidRPr="00B54B99" w:rsidRDefault="00513A6D" w:rsidP="00513A6D">
      <w:pPr>
        <w:rPr>
          <w:sz w:val="12"/>
        </w:rPr>
      </w:pPr>
      <w:r w:rsidRPr="00B54B99">
        <w:rPr>
          <w:sz w:val="12"/>
        </w:rPr>
        <w:t>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particular pique for online media that track individuals’ gender transitions and 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By the way, you are totally attractive. Through their exposure to trans masc aesthetics as “cool,” Marchiano claims, the commenters are apparently likely to become trans themselves.10</w:t>
      </w:r>
    </w:p>
    <w:p w14:paraId="5B33235B" w14:textId="77777777" w:rsidR="00513A6D" w:rsidRPr="00B54B99" w:rsidRDefault="00513A6D" w:rsidP="00513A6D">
      <w:pPr>
        <w:rPr>
          <w:sz w:val="12"/>
        </w:rPr>
      </w:pPr>
      <w:r w:rsidRPr="00B54B99">
        <w:rPr>
          <w:sz w:val="12"/>
        </w:rPr>
        <w:t>If we linger at the fourth comment, “By the way, you are totally attractive,” which Marchiano leaves hanging as a type of denouement, we observe that Marchiano does not describe who finds this young “ftm”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mascs finding trans mascs “totally attractive” is dangerous. The YouTuber’s alleged handsomeness quite literally figures as seductive and enticing.</w:t>
      </w:r>
    </w:p>
    <w:p w14:paraId="53E042CF" w14:textId="77777777" w:rsidR="00513A6D" w:rsidRPr="00CF28DF" w:rsidRDefault="00513A6D" w:rsidP="00513A6D">
      <w:pPr>
        <w:rPr>
          <w:rStyle w:val="StyleUnderline"/>
        </w:rPr>
      </w:pPr>
      <w:r w:rsidRPr="00B54B99">
        <w:rPr>
          <w:sz w:val="12"/>
        </w:rPr>
        <w:t xml:space="preserve">But erotic desire also functions as a possible preventative of ROGD. Marchiano quotes an anonymous “Concerned Parent” on the anti-trans website Fourthwavenow,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another.”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5D6FD67D" w14:textId="77777777" w:rsidR="00513A6D" w:rsidRPr="00B54B99" w:rsidRDefault="00513A6D" w:rsidP="00513A6D">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26846AB4" w14:textId="77777777" w:rsidR="00513A6D" w:rsidRDefault="00513A6D" w:rsidP="00513A6D">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r w:rsidRPr="00E40074">
        <w:rPr>
          <w:rStyle w:val="StyleUnderline"/>
          <w:highlight w:val="green"/>
        </w:rPr>
        <w:t>homonationalist</w:t>
      </w:r>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r w:rsidRPr="0021332D">
        <w:rPr>
          <w:rStyle w:val="Emphasis"/>
          <w:sz w:val="32"/>
          <w:szCs w:val="32"/>
          <w:highlight w:val="green"/>
        </w:rPr>
        <w:t>normativized</w:t>
      </w:r>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imagined to violate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xml:space="preserve">. If same-sex desire has been domesticated, transness must now represent “deviant”sex. Thus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0254BF96" w14:textId="77777777" w:rsidR="00156FF2" w:rsidRPr="00156FF2" w:rsidRDefault="00156FF2" w:rsidP="0044294E"/>
    <w:p w14:paraId="2DCE1B30" w14:textId="2F93F8B2" w:rsidR="00C8363F" w:rsidRDefault="00C8363F" w:rsidP="00C8363F">
      <w:pPr>
        <w:pStyle w:val="Heading2"/>
      </w:pPr>
      <w:r>
        <w:t>Case</w:t>
      </w:r>
    </w:p>
    <w:p w14:paraId="0BBEFDD1" w14:textId="77777777" w:rsidR="00C8363F" w:rsidRDefault="00C8363F" w:rsidP="00C8363F">
      <w:pPr>
        <w:pStyle w:val="Heading3"/>
      </w:pPr>
      <w:r>
        <w:t>solvency – squo</w:t>
      </w:r>
    </w:p>
    <w:p w14:paraId="391BF66B" w14:textId="77777777" w:rsidR="00C8363F" w:rsidRDefault="00C8363F" w:rsidP="00C8363F">
      <w:pPr>
        <w:pStyle w:val="Heading4"/>
      </w:pPr>
      <w:r>
        <w:t xml:space="preserve">status quo solves – all of these other things apply and they said the problem’s global – else they can’t </w:t>
      </w:r>
    </w:p>
    <w:p w14:paraId="00C94942" w14:textId="77777777" w:rsidR="00C8363F" w:rsidRPr="007B3AAB" w:rsidRDefault="00C8363F" w:rsidP="00C8363F">
      <w:pPr>
        <w:rPr>
          <w:b/>
          <w:bCs/>
          <w:sz w:val="26"/>
          <w:u w:val="single"/>
        </w:rPr>
      </w:pPr>
      <w:r>
        <w:rPr>
          <w:rStyle w:val="Style13ptBold"/>
        </w:rPr>
        <w:t xml:space="preserve">1AC Herr 25 </w:t>
      </w:r>
      <w:r w:rsidRPr="007B3AAB">
        <w:rPr>
          <w:sz w:val="12"/>
        </w:rPr>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450C090C" w14:textId="77777777" w:rsidR="00C8363F" w:rsidRPr="00B0767E" w:rsidRDefault="00C8363F" w:rsidP="00C8363F">
      <w:r w:rsidRPr="00B0767E">
        <w:t xml:space="preserve">First, don’t reinvent the wheel, </w:t>
      </w:r>
      <w:r w:rsidRPr="00B0767E">
        <w:rPr>
          <w:highlight w:val="cyan"/>
        </w:rPr>
        <w:t>strengthen enforcement of</w:t>
      </w:r>
      <w:r w:rsidRPr="00B0767E">
        <w:t xml:space="preserve"> existing </w:t>
      </w:r>
      <w:r w:rsidRPr="00B0767E">
        <w:rPr>
          <w:highlight w:val="cyan"/>
        </w:rPr>
        <w:t>data governance</w:t>
      </w:r>
      <w:r w:rsidRPr="00B0767E">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B0767E">
        <w:rPr>
          <w:highlight w:val="cyan"/>
        </w:rPr>
        <w:t>E</w:t>
      </w:r>
      <w:r w:rsidRPr="00B0767E">
        <w:t xml:space="preserve">uropean </w:t>
      </w:r>
      <w:r w:rsidRPr="00B0767E">
        <w:rPr>
          <w:highlight w:val="cyan"/>
        </w:rPr>
        <w:t>U</w:t>
      </w:r>
      <w:r w:rsidRPr="00B0767E">
        <w:t>nion’s General Data Protection Regulation (</w:t>
      </w:r>
      <w:r w:rsidRPr="00052E3F">
        <w:rPr>
          <w:rStyle w:val="Emphasis"/>
          <w:highlight w:val="green"/>
        </w:rPr>
        <w:t>GDPR</w:t>
      </w:r>
      <w:r w:rsidRPr="00B0767E">
        <w:t>), India’s Digital Personal Data Protection Act (</w:t>
      </w:r>
      <w:r w:rsidRPr="00052E3F">
        <w:rPr>
          <w:rStyle w:val="Emphasis"/>
          <w:highlight w:val="green"/>
        </w:rPr>
        <w:t>DPDPA</w:t>
      </w:r>
      <w:r w:rsidRPr="00B0767E">
        <w:t>), and even the Organization for Economic Cooperation and Development (</w:t>
      </w:r>
      <w:r w:rsidRPr="00052E3F">
        <w:rPr>
          <w:rStyle w:val="Emphasis"/>
          <w:highlight w:val="green"/>
        </w:rPr>
        <w:t>OECD</w:t>
      </w:r>
      <w:r w:rsidRPr="00B0767E">
        <w:t xml:space="preserve">)’s privacy and data flows principles. Data minimization captures these practices and offers a more easily specified, </w:t>
      </w:r>
      <w:r w:rsidRPr="00B0767E">
        <w:rPr>
          <w:highlight w:val="cyan"/>
        </w:rPr>
        <w:t>controlled, and overseen means of</w:t>
      </w:r>
      <w:r w:rsidRPr="00B0767E">
        <w:t xml:space="preserve"> </w:t>
      </w:r>
      <w:r w:rsidRPr="00B0767E">
        <w:rPr>
          <w:highlight w:val="cyan"/>
        </w:rPr>
        <w:t>reducing the risk</w:t>
      </w:r>
      <w:r w:rsidRPr="00B0767E">
        <w:t xml:space="preserve"> of concentrated and refined data and it can be applied and enforced more effectively, especially </w:t>
      </w:r>
      <w:r w:rsidRPr="00B0767E">
        <w:rPr>
          <w:highlight w:val="cyan"/>
        </w:rPr>
        <w:t>within organizations</w:t>
      </w:r>
      <w:r w:rsidRPr="00B0767E">
        <w:t xml:space="preserve"> seeking to collect and concentrate personal data.</w:t>
      </w:r>
    </w:p>
    <w:p w14:paraId="79C3E14E" w14:textId="6C433102" w:rsidR="00C8363F" w:rsidRDefault="00C8363F" w:rsidP="00C8363F">
      <w:pPr>
        <w:pStyle w:val="Heading3"/>
      </w:pPr>
      <w:r>
        <w:t>Solvency – RTBF</w:t>
      </w:r>
    </w:p>
    <w:p w14:paraId="68BC0B3E" w14:textId="77777777" w:rsidR="00C8363F" w:rsidRDefault="00C8363F" w:rsidP="00C8363F"/>
    <w:p w14:paraId="11082A8F" w14:textId="77777777" w:rsidR="00C8363F" w:rsidRDefault="00C8363F" w:rsidP="00C8363F">
      <w:pPr>
        <w:pStyle w:val="Heading4"/>
      </w:pPr>
      <w:r>
        <w:t>The right to be forgotten is unconstitutional –best-case of the aff is politely asking companies to delete data.</w:t>
      </w:r>
    </w:p>
    <w:p w14:paraId="01556C0C" w14:textId="77777777" w:rsidR="00C8363F" w:rsidRPr="009E3236" w:rsidRDefault="00C8363F" w:rsidP="00C8363F">
      <w:pPr>
        <w:rPr>
          <w:sz w:val="12"/>
        </w:rPr>
      </w:pPr>
      <w:r w:rsidRPr="009E3236">
        <w:rPr>
          <w:rStyle w:val="Style13ptBold"/>
        </w:rPr>
        <w:t>Mc Laurin 24</w:t>
      </w:r>
      <w:r w:rsidRPr="009E3236">
        <w:rPr>
          <w:sz w:val="12"/>
        </w:rPr>
        <w:t xml:space="preserve"> [12-23-2024, "Privacy, Memory, and the Internet: Exploring the Right to be Forgotten in the United States – Journal of International Business &amp; Law", No Publication, https://www.hofstrajibl.org/2024/12/privacy-memory-and-the-internet-exploring-the-right-to-be-forgotten-in-the-united-states/ Marlon Mc Laurin, J.D. Candidate 2026, Maurice A. Deane School of Law at Hofstra University; Junior Staff of the Journal of International Business and Law, Volume 24.//Spence]</w:t>
      </w:r>
    </w:p>
    <w:p w14:paraId="451EAF66" w14:textId="77777777" w:rsidR="00C8363F" w:rsidRPr="00224D19" w:rsidRDefault="00C8363F" w:rsidP="00C8363F">
      <w:pPr>
        <w:rPr>
          <w:sz w:val="12"/>
        </w:rPr>
      </w:pPr>
      <w:r w:rsidRPr="00224D19">
        <w:rPr>
          <w:sz w:val="12"/>
        </w:rPr>
        <w:t>B. The Current Landscape in the United States</w:t>
      </w:r>
    </w:p>
    <w:p w14:paraId="453BA7E2" w14:textId="77777777" w:rsidR="00C8363F" w:rsidRPr="00224D19" w:rsidRDefault="00C8363F" w:rsidP="00C8363F">
      <w:pPr>
        <w:rPr>
          <w:sz w:val="12"/>
        </w:rPr>
      </w:pPr>
      <w:r w:rsidRPr="00224D19">
        <w:rPr>
          <w:sz w:val="12"/>
        </w:rPr>
        <w:t xml:space="preserve">Like most data privacy concepts that have become enshrined as central fundamental rights of internet users within the EU, the right to be forgotten has no clear counterpart in the U.S. While there is increasing debate in the U.S. regarding its potential adoption of the EU’s right to be forgotten, </w:t>
      </w:r>
      <w:r w:rsidRPr="00937CD6">
        <w:rPr>
          <w:rStyle w:val="StyleUnderline"/>
        </w:rPr>
        <w:t>structural differences in privacy law</w:t>
      </w:r>
      <w:r w:rsidRPr="00224D19">
        <w:rPr>
          <w:sz w:val="12"/>
        </w:rPr>
        <w:t xml:space="preserve">, </w:t>
      </w:r>
      <w:r w:rsidRPr="00937CD6">
        <w:rPr>
          <w:rStyle w:val="StyleUnderline"/>
        </w:rPr>
        <w:t>particularly</w:t>
      </w:r>
      <w:r w:rsidRPr="00224D19">
        <w:rPr>
          <w:sz w:val="12"/>
        </w:rPr>
        <w:t xml:space="preserve"> that of </w:t>
      </w:r>
      <w:r w:rsidRPr="00224D19">
        <w:rPr>
          <w:rStyle w:val="StyleUnderline"/>
          <w:highlight w:val="green"/>
        </w:rPr>
        <w:t>the segmented jurisdictional paradigm</w:t>
      </w:r>
      <w:r w:rsidRPr="00224D19">
        <w:rPr>
          <w:rStyle w:val="StyleUnderline"/>
        </w:rPr>
        <w:t xml:space="preserve"> </w:t>
      </w:r>
      <w:r w:rsidRPr="00224D19">
        <w:rPr>
          <w:sz w:val="12"/>
        </w:rPr>
        <w:t>that exists with</w:t>
      </w:r>
      <w:r w:rsidRPr="00224D19">
        <w:rPr>
          <w:rStyle w:val="StyleUnderline"/>
          <w:highlight w:val="green"/>
        </w:rPr>
        <w:t>in the U.S., and</w:t>
      </w:r>
      <w:r w:rsidRPr="00224D19">
        <w:rPr>
          <w:sz w:val="12"/>
        </w:rPr>
        <w:t xml:space="preserve"> the </w:t>
      </w:r>
      <w:r w:rsidRPr="00937CD6">
        <w:rPr>
          <w:rStyle w:val="StyleUnderline"/>
        </w:rPr>
        <w:t xml:space="preserve">prioritization of </w:t>
      </w:r>
      <w:r w:rsidRPr="00224D19">
        <w:rPr>
          <w:rStyle w:val="StyleUnderline"/>
          <w:highlight w:val="green"/>
        </w:rPr>
        <w:t>free speech over privacy</w:t>
      </w:r>
      <w:r w:rsidRPr="00224D19">
        <w:rPr>
          <w:sz w:val="12"/>
        </w:rPr>
        <w:t xml:space="preserve"> </w:t>
      </w:r>
      <w:r w:rsidRPr="00224D19">
        <w:rPr>
          <w:rStyle w:val="StyleUnderline"/>
          <w:highlight w:val="green"/>
        </w:rPr>
        <w:t>make</w:t>
      </w:r>
      <w:r w:rsidRPr="00224D19">
        <w:rPr>
          <w:sz w:val="12"/>
        </w:rPr>
        <w:t xml:space="preserve"> its </w:t>
      </w:r>
      <w:r w:rsidRPr="00224D19">
        <w:rPr>
          <w:rStyle w:val="StyleUnderline"/>
          <w:highlight w:val="green"/>
        </w:rPr>
        <w:t>implementation</w:t>
      </w:r>
      <w:r w:rsidRPr="00224D19">
        <w:rPr>
          <w:sz w:val="12"/>
        </w:rPr>
        <w:t xml:space="preserve"> of </w:t>
      </w:r>
      <w:r w:rsidRPr="00937CD6">
        <w:rPr>
          <w:rStyle w:val="StyleUnderline"/>
        </w:rPr>
        <w:t xml:space="preserve">such a right </w:t>
      </w:r>
      <w:r w:rsidRPr="00635414">
        <w:rPr>
          <w:rStyle w:val="Emphasis"/>
          <w:highlight w:val="green"/>
        </w:rPr>
        <w:t>a challenge</w:t>
      </w:r>
      <w:r w:rsidRPr="00937CD6">
        <w:rPr>
          <w:rStyle w:val="StyleUnderline"/>
        </w:rPr>
        <w:t>.</w:t>
      </w:r>
      <w:r w:rsidRPr="00224D19">
        <w:rPr>
          <w:sz w:val="12"/>
        </w:rPr>
        <w:t>[14]</w:t>
      </w:r>
    </w:p>
    <w:p w14:paraId="1CA46784" w14:textId="77777777" w:rsidR="00C8363F" w:rsidRDefault="00C8363F" w:rsidP="00C8363F">
      <w:pPr>
        <w:rPr>
          <w:sz w:val="12"/>
        </w:rPr>
      </w:pPr>
      <w:r w:rsidRPr="00224D19">
        <w:rPr>
          <w:sz w:val="12"/>
        </w:rPr>
        <w:t xml:space="preserve">In contrast to the EU, </w:t>
      </w:r>
      <w:r w:rsidRPr="00224D19">
        <w:rPr>
          <w:rStyle w:val="Emphasis"/>
          <w:highlight w:val="green"/>
        </w:rPr>
        <w:t>the U.S. lacks</w:t>
      </w:r>
      <w:r w:rsidRPr="00D67C19">
        <w:rPr>
          <w:rStyle w:val="Emphasis"/>
        </w:rPr>
        <w:t xml:space="preserve"> </w:t>
      </w:r>
      <w:r w:rsidRPr="00224D19">
        <w:rPr>
          <w:sz w:val="12"/>
        </w:rPr>
        <w:t xml:space="preserve">comprehensive </w:t>
      </w:r>
      <w:r w:rsidRPr="00635414">
        <w:rPr>
          <w:rStyle w:val="Emphasis"/>
          <w:highlight w:val="green"/>
        </w:rPr>
        <w:t>privacy protections that would enable a similar right;</w:t>
      </w:r>
      <w:r w:rsidRPr="00224D19">
        <w:rPr>
          <w:sz w:val="12"/>
        </w:rPr>
        <w:t xml:space="preserve"> often segmenting privacy rights to particular industries of interest or concern.[15] While some states have enacted limited privacy protections, the U.S. lacks a comprehensive data privacy act, raising questions about whether its legal framework can accommodate a right to be forgotten without infringing on foundational First Amendment principles.[16] </w:t>
      </w:r>
      <w:r w:rsidRPr="00B3482A">
        <w:rPr>
          <w:rStyle w:val="StyleUnderline"/>
          <w:highlight w:val="green"/>
        </w:rPr>
        <w:t>The First Amendment’s</w:t>
      </w:r>
      <w:r w:rsidRPr="00D67C19">
        <w:rPr>
          <w:rStyle w:val="StyleUnderline"/>
        </w:rPr>
        <w:t xml:space="preserve"> emphasis on freedom of speech creates </w:t>
      </w:r>
      <w:r w:rsidRPr="00B3482A">
        <w:rPr>
          <w:rStyle w:val="StyleUnderline"/>
          <w:highlight w:val="green"/>
        </w:rPr>
        <w:t xml:space="preserve">a </w:t>
      </w:r>
      <w:r w:rsidRPr="00B3482A">
        <w:rPr>
          <w:rStyle w:val="Emphasis"/>
          <w:highlight w:val="green"/>
        </w:rPr>
        <w:t>foundational hurdle</w:t>
      </w:r>
      <w:r w:rsidRPr="00D67C19">
        <w:rPr>
          <w:rStyle w:val="Emphasis"/>
        </w:rPr>
        <w:t xml:space="preserve"> </w:t>
      </w:r>
      <w:r w:rsidRPr="00B3482A">
        <w:rPr>
          <w:rStyle w:val="StyleUnderline"/>
          <w:highlight w:val="green"/>
        </w:rPr>
        <w:t>for</w:t>
      </w:r>
      <w:r w:rsidRPr="00224D19">
        <w:rPr>
          <w:sz w:val="12"/>
        </w:rPr>
        <w:t xml:space="preserve"> </w:t>
      </w:r>
      <w:r w:rsidRPr="00B3482A">
        <w:rPr>
          <w:rStyle w:val="Emphasis"/>
          <w:highlight w:val="green"/>
        </w:rPr>
        <w:t>adopting the right to be forgotten in the U.S.,</w:t>
      </w:r>
      <w:r w:rsidRPr="00224D19">
        <w:rPr>
          <w:sz w:val="12"/>
        </w:rPr>
        <w:t xml:space="preserve"> where </w:t>
      </w:r>
      <w:r w:rsidRPr="00D67C19">
        <w:rPr>
          <w:rStyle w:val="StyleUnderline"/>
        </w:rPr>
        <w:t>transparency and the free flow of information are</w:t>
      </w:r>
      <w:r w:rsidRPr="00224D19">
        <w:rPr>
          <w:sz w:val="12"/>
        </w:rPr>
        <w:t xml:space="preserve"> often </w:t>
      </w:r>
      <w:r w:rsidRPr="00D67C19">
        <w:rPr>
          <w:rStyle w:val="Emphasis"/>
        </w:rPr>
        <w:t>prioritized</w:t>
      </w:r>
      <w:r w:rsidRPr="00224D19">
        <w:rPr>
          <w:sz w:val="12"/>
        </w:rPr>
        <w:t xml:space="preserve"> over individual privacy concerns.[17]</w:t>
      </w:r>
    </w:p>
    <w:p w14:paraId="1238309C" w14:textId="77777777" w:rsidR="00C8363F" w:rsidRPr="00C8363F" w:rsidRDefault="00C8363F" w:rsidP="00C8363F"/>
    <w:p w14:paraId="6AA771BB" w14:textId="77777777" w:rsidR="00C8363F" w:rsidRDefault="00C8363F" w:rsidP="00C8363F">
      <w:pPr>
        <w:pStyle w:val="Heading3"/>
      </w:pPr>
      <w:r>
        <w:t>Compensation Turn</w:t>
      </w:r>
    </w:p>
    <w:p w14:paraId="34C311A3" w14:textId="77777777" w:rsidR="00C8363F" w:rsidRPr="002D563C" w:rsidRDefault="00C8363F" w:rsidP="00C8363F">
      <w:pPr>
        <w:pStyle w:val="Heading4"/>
      </w:pPr>
      <w:r>
        <w:t xml:space="preserve">Making compensation for data a subject of bargaining </w:t>
      </w:r>
      <w:r>
        <w:rPr>
          <w:u w:val="single"/>
        </w:rPr>
        <w:t>hollows out</w:t>
      </w:r>
      <w:r w:rsidRPr="00A9611D">
        <w:t xml:space="preserve"> de</w:t>
      </w:r>
      <w:r>
        <w:t>mocracy.</w:t>
      </w:r>
    </w:p>
    <w:p w14:paraId="3A8879F9" w14:textId="77777777" w:rsidR="00C8363F" w:rsidRPr="00CE6FE2" w:rsidRDefault="00C8363F" w:rsidP="00C8363F">
      <w:pPr>
        <w:rPr>
          <w:sz w:val="12"/>
        </w:rPr>
      </w:pPr>
      <w:r>
        <w:rPr>
          <w:rStyle w:val="Style13ptBold"/>
        </w:rPr>
        <w:t xml:space="preserve">Their author, Freedman 23 </w:t>
      </w:r>
      <w:r w:rsidRPr="00CE6FE2">
        <w:rPr>
          <w:sz w:val="12"/>
        </w:rPr>
        <w:t>[Eli Freedman; University of California, Berkeley School of Law. “Data Unions: The Need for Informational Democracy”, https://doi.org/10.15779/Z38WS8HN0X. //Spence]</w:t>
      </w:r>
    </w:p>
    <w:p w14:paraId="20BC248B" w14:textId="77777777" w:rsidR="00C8363F" w:rsidRPr="0029698E" w:rsidRDefault="00C8363F" w:rsidP="00C8363F">
      <w:pPr>
        <w:rPr>
          <w:sz w:val="12"/>
        </w:rPr>
      </w:pPr>
      <w:r w:rsidRPr="0029698E">
        <w:rPr>
          <w:sz w:val="12"/>
        </w:rPr>
        <w:t xml:space="preserve">This Note adds two </w:t>
      </w:r>
      <w:r w:rsidRPr="006861ED">
        <w:rPr>
          <w:rStyle w:val="StyleUnderline"/>
          <w:highlight w:val="green"/>
        </w:rPr>
        <w:t>critical</w:t>
      </w:r>
      <w:r w:rsidRPr="0029698E">
        <w:rPr>
          <w:sz w:val="12"/>
        </w:rPr>
        <w:t xml:space="preserve"> elements </w:t>
      </w:r>
      <w:r w:rsidRPr="006861ED">
        <w:rPr>
          <w:rStyle w:val="StyleUnderline"/>
          <w:highlight w:val="green"/>
        </w:rPr>
        <w:t>to the discussion surrounding</w:t>
      </w:r>
      <w:r w:rsidRPr="0029698E">
        <w:rPr>
          <w:sz w:val="12"/>
        </w:rPr>
        <w:t xml:space="preserve"> data regulatory regimes and </w:t>
      </w:r>
      <w:r w:rsidRPr="006861ED">
        <w:rPr>
          <w:rStyle w:val="StyleUnderline"/>
          <w:highlight w:val="green"/>
        </w:rPr>
        <w:t>data unions</w:t>
      </w:r>
      <w:r w:rsidRPr="0029698E">
        <w:rPr>
          <w:sz w:val="12"/>
        </w:rPr>
        <w:t xml:space="preserve">. </w:t>
      </w:r>
      <w:r w:rsidRPr="006861ED">
        <w:rPr>
          <w:rStyle w:val="StyleUnderline"/>
          <w:highlight w:val="green"/>
        </w:rPr>
        <w:t>Others</w:t>
      </w:r>
      <w:r w:rsidRPr="0029698E">
        <w:rPr>
          <w:sz w:val="12"/>
        </w:rPr>
        <w:t xml:space="preserve"> have written about combining data into union pools. However, these </w:t>
      </w:r>
      <w:r w:rsidRPr="004D056E">
        <w:rPr>
          <w:rStyle w:val="StyleUnderline"/>
        </w:rPr>
        <w:t>other</w:t>
      </w:r>
      <w:r w:rsidRPr="0029698E">
        <w:rPr>
          <w:sz w:val="12"/>
        </w:rPr>
        <w:t xml:space="preserve"> works only </w:t>
      </w:r>
      <w:r w:rsidRPr="006861ED">
        <w:rPr>
          <w:rStyle w:val="StyleUnderline"/>
          <w:highlight w:val="green"/>
        </w:rPr>
        <w:t>envision unions as tools to monetize</w:t>
      </w:r>
      <w:r w:rsidRPr="004D056E">
        <w:rPr>
          <w:rStyle w:val="StyleUnderline"/>
        </w:rPr>
        <w:t xml:space="preserve"> data production</w:t>
      </w:r>
      <w:r w:rsidRPr="0029698E">
        <w:rPr>
          <w:sz w:val="12"/>
        </w:rPr>
        <w:t xml:space="preserve"> for everyday users. </w:t>
      </w:r>
      <w:r w:rsidRPr="00605A1C">
        <w:rPr>
          <w:rStyle w:val="StyleUnderline"/>
          <w:highlight w:val="green"/>
        </w:rPr>
        <w:t xml:space="preserve">Phrased another way, the </w:t>
      </w:r>
      <w:r w:rsidRPr="00605A1C">
        <w:rPr>
          <w:rStyle w:val="Emphasis"/>
          <w:highlight w:val="green"/>
        </w:rPr>
        <w:t>purpose</w:t>
      </w:r>
      <w:r w:rsidRPr="00605A1C">
        <w:rPr>
          <w:rStyle w:val="StyleUnderline"/>
          <w:highlight w:val="green"/>
        </w:rPr>
        <w:t xml:space="preserve"> of these </w:t>
      </w:r>
      <w:r w:rsidRPr="00605A1C">
        <w:rPr>
          <w:rStyle w:val="Emphasis"/>
          <w:highlight w:val="green"/>
        </w:rPr>
        <w:t>data unions</w:t>
      </w:r>
      <w:r w:rsidRPr="00605A1C">
        <w:rPr>
          <w:rStyle w:val="StyleUnderline"/>
          <w:highlight w:val="green"/>
        </w:rPr>
        <w:t xml:space="preserve"> is </w:t>
      </w:r>
      <w:r w:rsidRPr="00605A1C">
        <w:rPr>
          <w:rStyle w:val="Emphasis"/>
          <w:sz w:val="32"/>
          <w:szCs w:val="32"/>
          <w:highlight w:val="green"/>
        </w:rPr>
        <w:t>to ensure that people receive compensation</w:t>
      </w:r>
      <w:r w:rsidRPr="00605A1C">
        <w:rPr>
          <w:rStyle w:val="StyleUnderline"/>
          <w:sz w:val="32"/>
          <w:szCs w:val="32"/>
        </w:rPr>
        <w:t xml:space="preserve"> </w:t>
      </w:r>
      <w:r w:rsidRPr="004D056E">
        <w:rPr>
          <w:rStyle w:val="StyleUnderline"/>
        </w:rPr>
        <w:t>for the data they produce</w:t>
      </w:r>
      <w:r w:rsidRPr="0029698E">
        <w:rPr>
          <w:sz w:val="12"/>
        </w:rPr>
        <w:t xml:space="preserve">.21 This Note does not conceptualize data unions as a method for users to receive a data production wage. </w:t>
      </w:r>
      <w:r w:rsidRPr="00680C60">
        <w:rPr>
          <w:rStyle w:val="StyleUnderline"/>
        </w:rPr>
        <w:t xml:space="preserve">This is </w:t>
      </w:r>
      <w:r w:rsidRPr="0029698E">
        <w:rPr>
          <w:sz w:val="12"/>
        </w:rPr>
        <w:t xml:space="preserve">because </w:t>
      </w:r>
      <w:r w:rsidRPr="00680C60">
        <w:rPr>
          <w:rStyle w:val="StyleUnderline"/>
        </w:rPr>
        <w:t>a central concern</w:t>
      </w:r>
      <w:r w:rsidRPr="0029698E">
        <w:rPr>
          <w:sz w:val="12"/>
        </w:rPr>
        <w:t xml:space="preserve"> of this Note, as will be argued later, </w:t>
      </w:r>
      <w:r w:rsidRPr="00B67939">
        <w:rPr>
          <w:rStyle w:val="StyleUnderline"/>
        </w:rPr>
        <w:t>is</w:t>
      </w:r>
      <w:r w:rsidRPr="0029698E">
        <w:rPr>
          <w:sz w:val="12"/>
        </w:rPr>
        <w:t xml:space="preserve"> the way </w:t>
      </w:r>
      <w:r w:rsidRPr="00B67939">
        <w:rPr>
          <w:rStyle w:val="StyleUnderline"/>
        </w:rPr>
        <w:t>that</w:t>
      </w:r>
      <w:r w:rsidRPr="0029698E">
        <w:rPr>
          <w:sz w:val="12"/>
        </w:rPr>
        <w:t xml:space="preserve"> data collection and algorithmic ordering threaten human autonomy.22 </w:t>
      </w:r>
      <w:r w:rsidRPr="00605A1C">
        <w:rPr>
          <w:rStyle w:val="StyleUnderline"/>
          <w:highlight w:val="green"/>
        </w:rPr>
        <w:t>If</w:t>
      </w:r>
      <w:r w:rsidRPr="00B67939">
        <w:rPr>
          <w:rStyle w:val="StyleUnderline"/>
        </w:rPr>
        <w:t xml:space="preserve"> data </w:t>
      </w:r>
      <w:r w:rsidRPr="00605A1C">
        <w:rPr>
          <w:rStyle w:val="StyleUnderline"/>
          <w:highlight w:val="green"/>
        </w:rPr>
        <w:t xml:space="preserve">unions were </w:t>
      </w:r>
      <w:r w:rsidRPr="00605A1C">
        <w:rPr>
          <w:rStyle w:val="StyleUnderline"/>
        </w:rPr>
        <w:t xml:space="preserve">just </w:t>
      </w:r>
      <w:r w:rsidRPr="00605A1C">
        <w:rPr>
          <w:rStyle w:val="StyleUnderline"/>
          <w:highlight w:val="green"/>
        </w:rPr>
        <w:t>tools for monetization</w:t>
      </w:r>
      <w:r w:rsidRPr="00085732">
        <w:rPr>
          <w:rStyle w:val="StyleUnderline"/>
        </w:rPr>
        <w:t>, they would not deal with autonomy</w:t>
      </w:r>
      <w:r w:rsidRPr="00B67939">
        <w:rPr>
          <w:rStyle w:val="StyleUnderline"/>
        </w:rPr>
        <w:t xml:space="preserve"> concerns</w:t>
      </w:r>
      <w:r w:rsidRPr="0029698E">
        <w:rPr>
          <w:sz w:val="12"/>
        </w:rPr>
        <w:t xml:space="preserve">. </w:t>
      </w:r>
      <w:r w:rsidRPr="00B67939">
        <w:rPr>
          <w:rStyle w:val="StyleUnderline"/>
        </w:rPr>
        <w:t xml:space="preserve">Instead, </w:t>
      </w:r>
      <w:r w:rsidRPr="00605A1C">
        <w:rPr>
          <w:rStyle w:val="StyleUnderline"/>
          <w:highlight w:val="green"/>
        </w:rPr>
        <w:t xml:space="preserve">they </w:t>
      </w:r>
      <w:r w:rsidRPr="00605A1C">
        <w:rPr>
          <w:rStyle w:val="StyleUnderline"/>
        </w:rPr>
        <w:t xml:space="preserve">could </w:t>
      </w:r>
      <w:r w:rsidRPr="00605A1C">
        <w:rPr>
          <w:rStyle w:val="StyleUnderline"/>
          <w:highlight w:val="green"/>
        </w:rPr>
        <w:t xml:space="preserve">have </w:t>
      </w:r>
      <w:r w:rsidRPr="00605A1C">
        <w:rPr>
          <w:rStyle w:val="Emphasis"/>
          <w:sz w:val="32"/>
          <w:szCs w:val="32"/>
          <w:highlight w:val="green"/>
        </w:rPr>
        <w:t xml:space="preserve">the </w:t>
      </w:r>
      <w:r w:rsidRPr="00085732">
        <w:rPr>
          <w:rStyle w:val="Emphasis"/>
          <w:sz w:val="32"/>
          <w:szCs w:val="32"/>
          <w:highlight w:val="green"/>
        </w:rPr>
        <w:t>opposite effect</w:t>
      </w:r>
      <w:r w:rsidRPr="00085732">
        <w:rPr>
          <w:rStyle w:val="StyleUnderline"/>
          <w:sz w:val="32"/>
          <w:szCs w:val="32"/>
          <w:highlight w:val="green"/>
        </w:rPr>
        <w:t xml:space="preserve"> </w:t>
      </w:r>
      <w:r w:rsidRPr="00085732">
        <w:rPr>
          <w:rStyle w:val="StyleUnderline"/>
          <w:highlight w:val="green"/>
        </w:rPr>
        <w:t>because paying people for data</w:t>
      </w:r>
      <w:r w:rsidRPr="00B67939">
        <w:rPr>
          <w:rStyle w:val="StyleUnderline"/>
        </w:rPr>
        <w:t xml:space="preserve"> could </w:t>
      </w:r>
      <w:r w:rsidRPr="00085732">
        <w:rPr>
          <w:rStyle w:val="StyleUnderline"/>
          <w:highlight w:val="green"/>
        </w:rPr>
        <w:t xml:space="preserve">incentivize people to hand </w:t>
      </w:r>
      <w:r w:rsidRPr="00085732">
        <w:rPr>
          <w:rStyle w:val="Emphasis"/>
          <w:sz w:val="32"/>
          <w:szCs w:val="32"/>
          <w:highlight w:val="green"/>
        </w:rPr>
        <w:t>even more data</w:t>
      </w:r>
      <w:r w:rsidRPr="00085732">
        <w:rPr>
          <w:rStyle w:val="StyleUnderline"/>
          <w:sz w:val="32"/>
          <w:szCs w:val="32"/>
        </w:rPr>
        <w:t xml:space="preserve"> </w:t>
      </w:r>
      <w:r w:rsidRPr="00B67939">
        <w:rPr>
          <w:rStyle w:val="StyleUnderline"/>
        </w:rPr>
        <w:t xml:space="preserve">in a way that might </w:t>
      </w:r>
      <w:r w:rsidRPr="0041507E">
        <w:rPr>
          <w:rStyle w:val="Emphasis"/>
          <w:sz w:val="32"/>
          <w:szCs w:val="32"/>
          <w:highlight w:val="green"/>
        </w:rPr>
        <w:t>undermine</w:t>
      </w:r>
      <w:r w:rsidRPr="0041507E">
        <w:rPr>
          <w:rStyle w:val="StyleUnderline"/>
          <w:sz w:val="32"/>
          <w:szCs w:val="32"/>
        </w:rPr>
        <w:t xml:space="preserve"> </w:t>
      </w:r>
      <w:r w:rsidRPr="00B67939">
        <w:rPr>
          <w:rStyle w:val="StyleUnderline"/>
        </w:rPr>
        <w:t xml:space="preserve">human </w:t>
      </w:r>
      <w:r w:rsidRPr="0041507E">
        <w:rPr>
          <w:rStyle w:val="Emphasis"/>
          <w:sz w:val="36"/>
          <w:szCs w:val="36"/>
          <w:highlight w:val="green"/>
        </w:rPr>
        <w:t>autonomy</w:t>
      </w:r>
      <w:r w:rsidRPr="00B67939">
        <w:rPr>
          <w:rStyle w:val="StyleUnderline"/>
        </w:rPr>
        <w:t>.</w:t>
      </w:r>
      <w:r w:rsidRPr="0029698E">
        <w:rPr>
          <w:sz w:val="12"/>
        </w:rPr>
        <w:t xml:space="preserve"> This Note’s conception of data unions is not about monetization but is about fixing the sheer power imbalance between platforms and users to ensure that people have meaningful control over their data.</w:t>
      </w:r>
    </w:p>
    <w:p w14:paraId="6CD2AF3A" w14:textId="77777777" w:rsidR="00C8363F" w:rsidRPr="00CE6FE2" w:rsidRDefault="00C8363F" w:rsidP="00C8363F">
      <w:pPr>
        <w:pStyle w:val="Heading4"/>
      </w:pPr>
      <w:r>
        <w:t xml:space="preserve">Plan negotiates </w:t>
      </w:r>
      <w:r>
        <w:rPr>
          <w:i/>
          <w:iCs w:val="0"/>
        </w:rPr>
        <w:t>for compensation</w:t>
      </w:r>
      <w:r>
        <w:t xml:space="preserve"> which is the link to the Freedman evidence.</w:t>
      </w:r>
    </w:p>
    <w:p w14:paraId="69992FE4" w14:textId="77777777" w:rsidR="00C8363F" w:rsidRPr="00CE6FE2" w:rsidRDefault="00C8363F" w:rsidP="00C8363F">
      <w:pPr>
        <w:rPr>
          <w:sz w:val="12"/>
        </w:rPr>
      </w:pPr>
      <w:r w:rsidRPr="00CE6FE2">
        <w:rPr>
          <w:rStyle w:val="Style13ptBold"/>
        </w:rPr>
        <w:t>1AC Vincent</w:t>
      </w:r>
      <w:r w:rsidRPr="00CE6FE2">
        <w:rPr>
          <w:sz w:val="12"/>
        </w:rPr>
        <w:t xml:space="preserve"> et al </w:t>
      </w:r>
      <w:r w:rsidRPr="00CE6FE2">
        <w:rPr>
          <w:rStyle w:val="Style13ptBold"/>
        </w:rPr>
        <w:t>25</w:t>
      </w:r>
      <w:r>
        <w:rPr>
          <w:rStyle w:val="Style13ptBold"/>
        </w:rPr>
        <w:t>, Iowa in green</w:t>
      </w:r>
      <w:r w:rsidRPr="00CE6FE2">
        <w:rPr>
          <w:sz w:val="12"/>
        </w:rPr>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34CF265B" w14:textId="77777777" w:rsidR="00C8363F" w:rsidRPr="00CE6FE2" w:rsidRDefault="00C8363F" w:rsidP="00C8363F">
      <w:pPr>
        <w:rPr>
          <w:sz w:val="12"/>
        </w:rPr>
      </w:pPr>
      <w:r w:rsidRPr="00CE6FE2">
        <w:rPr>
          <w:sz w:val="12"/>
        </w:rPr>
        <w:t xml:space="preserve">To establish healthy markets for information in the post-AI age, we must develop technical, legal, and social capabilities for collective bargaining over the permissible uses of large and diffuse pools of aggregated information. By this, we mean negotiation between (a) aligned or "trusted" data intermediary organizations representing large groups of information producers [30], and (b) information-aggregating AI operating organizations (primarily, tech companies and certain state actors). The </w:t>
      </w:r>
      <w:r w:rsidRPr="007A7E82">
        <w:rPr>
          <w:rStyle w:val="Emphasis"/>
          <w:highlight w:val="green"/>
        </w:rPr>
        <w:t>subject of the negotiations would be</w:t>
      </w:r>
      <w:r w:rsidRPr="00CE6FE2">
        <w:rPr>
          <w:sz w:val="12"/>
        </w:rPr>
        <w:t xml:space="preserve"> various terms </w:t>
      </w:r>
      <w:r w:rsidRPr="00CE6FE2">
        <w:rPr>
          <w:sz w:val="12"/>
          <w:highlight w:val="cyan"/>
        </w:rPr>
        <w:t>of data use</w:t>
      </w:r>
      <w:r w:rsidRPr="00CE6FE2">
        <w:rPr>
          <w:sz w:val="12"/>
        </w:rPr>
        <w:t xml:space="preserve">, including </w:t>
      </w:r>
      <w:r w:rsidRPr="00CE6FE2">
        <w:rPr>
          <w:sz w:val="12"/>
          <w:highlight w:val="cyan"/>
        </w:rPr>
        <w:t xml:space="preserve">constraints on downstream applications, reporting requirements, future </w:t>
      </w:r>
      <w:r w:rsidRPr="007A7E82">
        <w:rPr>
          <w:rStyle w:val="Emphasis"/>
          <w:highlight w:val="green"/>
        </w:rPr>
        <w:t>compensation for data contributors</w:t>
      </w:r>
      <w:r w:rsidRPr="00CE6FE2">
        <w:rPr>
          <w:sz w:val="12"/>
        </w:rPr>
        <w:t>, and more.</w:t>
      </w:r>
    </w:p>
    <w:p w14:paraId="2DC720DF" w14:textId="77777777" w:rsidR="00C8363F" w:rsidRDefault="00C8363F" w:rsidP="00C8363F"/>
    <w:p w14:paraId="14869444" w14:textId="77777777" w:rsidR="00156FF2" w:rsidRDefault="00156FF2" w:rsidP="00156FF2">
      <w:pPr>
        <w:pStyle w:val="Heading3"/>
      </w:pPr>
      <w:r>
        <w:t>EA Turn</w:t>
      </w:r>
    </w:p>
    <w:p w14:paraId="09F2AB2E" w14:textId="77777777" w:rsidR="00156FF2" w:rsidRDefault="00156FF2" w:rsidP="00156FF2">
      <w:pPr>
        <w:pStyle w:val="Heading4"/>
      </w:pPr>
      <w:r>
        <w:t>They cite Pummer – for reference:</w:t>
      </w:r>
    </w:p>
    <w:p w14:paraId="3D9DB936" w14:textId="77777777" w:rsidR="00156FF2" w:rsidRPr="00635C9D" w:rsidRDefault="00156FF2" w:rsidP="00156FF2">
      <w:pPr>
        <w:rPr>
          <w:rFonts w:eastAsia="Calibri"/>
          <w14:ligatures w14:val="standardContextual"/>
        </w:rPr>
      </w:pPr>
      <w:r w:rsidRPr="000E7AB5">
        <w:t>Pummer 15 [</w:t>
      </w:r>
      <w:r w:rsidRPr="007E4162">
        <w:rPr>
          <w:rStyle w:val="Emphasis"/>
          <w:highlight w:val="green"/>
        </w:rPr>
        <w:t>Theron Pummer</w:t>
      </w:r>
      <w:r>
        <w:rPr>
          <w:rFonts w:eastAsia="Calibri"/>
          <w14:ligatures w14:val="standardContextual"/>
        </w:rPr>
        <w:t xml:space="preserve">; </w:t>
      </w:r>
      <w:r w:rsidRPr="00A61F33">
        <w:rPr>
          <w:rFonts w:eastAsia="Calibri"/>
          <w14:ligatures w14:val="standardContextual"/>
        </w:rPr>
        <w:t xml:space="preserve">Junior Research Fellow in Philosophy at St. Anne's College, </w:t>
      </w:r>
      <w:r w:rsidRPr="00D71E0E">
        <w:rPr>
          <w:rStyle w:val="Emphasis"/>
          <w:highlight w:val="green"/>
        </w:rPr>
        <w:t>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66D71A9E" w14:textId="77777777" w:rsidR="00156FF2" w:rsidRDefault="00156FF2" w:rsidP="00156FF2">
      <w:pPr>
        <w:pStyle w:val="Heading4"/>
      </w:pPr>
      <w:r>
        <w:t>Pummer is yet another of those eugenic elites that their author thinks is bad – he’s all tied up with the people who they’ll grandstand on being super-duper bad for the next two hours.</w:t>
      </w:r>
    </w:p>
    <w:p w14:paraId="6524FC9B" w14:textId="77777777" w:rsidR="00156FF2" w:rsidRDefault="00156FF2" w:rsidP="00156FF2">
      <w:pPr>
        <w:rPr>
          <w:sz w:val="12"/>
        </w:rPr>
      </w:pPr>
      <w:r w:rsidRPr="00F5643C">
        <w:rPr>
          <w:rStyle w:val="Style13ptBold"/>
        </w:rPr>
        <w:t>Torres 21</w:t>
      </w:r>
      <w:r w:rsidRPr="00F5643C">
        <w:rPr>
          <w:sz w:val="12"/>
        </w:rPr>
        <w:t xml:space="preserve"> [Émile P. Torres, 7-28-2021, "The Dangerous Ideas of “Longtermism” and “Existential Risk”", No Publication, https://www.currentaffairs.org/news/2021/07/the-dangerous-ideas-of-longtermism-and-existential-risk //Spence]</w:t>
      </w:r>
    </w:p>
    <w:p w14:paraId="56FBC503" w14:textId="77777777" w:rsidR="00156FF2" w:rsidRPr="002E1312" w:rsidRDefault="00156FF2" w:rsidP="00156FF2">
      <w:pPr>
        <w:rPr>
          <w:sz w:val="12"/>
        </w:rPr>
      </w:pPr>
      <w:r w:rsidRPr="002E1312">
        <w:rPr>
          <w:sz w:val="12"/>
        </w:rPr>
        <w:t xml:space="preserve">Cynical readers might suspect that, given Tallinn’s immense fortune of an estimated $900 million, this might be just another case of a super-wealthy tech guy dismissing or minimizing threats that probably won’t directly harm him personally. Despite being disproportionately responsible for the climate catastrophe, the super-rich will be the least affected by it. Peter </w:t>
      </w:r>
      <w:r w:rsidRPr="0055422A">
        <w:rPr>
          <w:rStyle w:val="StyleUnderline"/>
          <w:highlight w:val="green"/>
        </w:rPr>
        <w:t>Thiel</w:t>
      </w:r>
      <w:r w:rsidRPr="002E1312">
        <w:rPr>
          <w:sz w:val="12"/>
        </w:rPr>
        <w:t xml:space="preserve">—the libertarian who voted for a climate-denier in 2016—has his “apocalypse retreat” in New Zealand, Richard Branson owns his own hurricane-proof island, </w:t>
      </w:r>
      <w:r w:rsidRPr="0051459E">
        <w:rPr>
          <w:rStyle w:val="StyleUnderline"/>
        </w:rPr>
        <w:t xml:space="preserve">Jeff </w:t>
      </w:r>
      <w:r w:rsidRPr="0055422A">
        <w:rPr>
          <w:rStyle w:val="StyleUnderline"/>
          <w:highlight w:val="green"/>
        </w:rPr>
        <w:t>Bezos</w:t>
      </w:r>
      <w:r w:rsidRPr="002E1312">
        <w:rPr>
          <w:sz w:val="12"/>
        </w:rPr>
        <w:t xml:space="preserve"> bought some 400,000 acres in Texas, </w:t>
      </w:r>
      <w:r w:rsidRPr="0055422A">
        <w:rPr>
          <w:rStyle w:val="StyleUnderline"/>
          <w:highlight w:val="green"/>
        </w:rPr>
        <w:t>and</w:t>
      </w:r>
      <w:r w:rsidRPr="002E1312">
        <w:rPr>
          <w:sz w:val="12"/>
        </w:rPr>
        <w:t xml:space="preserve"> </w:t>
      </w:r>
      <w:r w:rsidRPr="0051459E">
        <w:rPr>
          <w:rStyle w:val="StyleUnderline"/>
        </w:rPr>
        <w:t xml:space="preserve">Elon </w:t>
      </w:r>
      <w:r w:rsidRPr="0055422A">
        <w:rPr>
          <w:rStyle w:val="StyleUnderline"/>
          <w:highlight w:val="green"/>
        </w:rPr>
        <w:t>Musk</w:t>
      </w:r>
      <w:r w:rsidRPr="002E1312">
        <w:rPr>
          <w:sz w:val="12"/>
        </w:rPr>
        <w:t xml:space="preserve"> wants to move to Mars. Astoundingly, Reid Hoffman, the multi-billionaire who cofounded LinkedIn, reports that “more than 50 percent of Silicon Valley’s billionaires have </w:t>
      </w:r>
      <w:r w:rsidRPr="0055422A">
        <w:rPr>
          <w:rStyle w:val="StyleUnderline"/>
          <w:highlight w:val="green"/>
        </w:rPr>
        <w:t>bought</w:t>
      </w:r>
      <w:r w:rsidRPr="002E1312">
        <w:rPr>
          <w:sz w:val="12"/>
        </w:rPr>
        <w:t xml:space="preserve"> some level of ‘apocalypse insurance,’ such as an underground bunker.”</w:t>
      </w:r>
    </w:p>
    <w:p w14:paraId="13C1E3DA" w14:textId="77777777" w:rsidR="00156FF2" w:rsidRPr="002E1312" w:rsidRDefault="00156FF2" w:rsidP="00156FF2">
      <w:pPr>
        <w:rPr>
          <w:sz w:val="12"/>
        </w:rPr>
      </w:pPr>
      <w:r w:rsidRPr="002E1312">
        <w:rPr>
          <w:sz w:val="12"/>
        </w:rPr>
        <w:t xml:space="preserve">That’s one possibility, for sure. But I think there’s a deeper reason for Tallinn’s comments. It </w:t>
      </w:r>
      <w:r w:rsidRPr="00FC64A8">
        <w:rPr>
          <w:rStyle w:val="StyleUnderline"/>
        </w:rPr>
        <w:t xml:space="preserve">concerns an increasingly influential moral worldview called </w:t>
      </w:r>
      <w:r w:rsidRPr="00003A5B">
        <w:rPr>
          <w:rStyle w:val="StyleUnderline"/>
          <w:highlight w:val="green"/>
        </w:rPr>
        <w:t>longtermism</w:t>
      </w:r>
      <w:r w:rsidRPr="006D7CD3">
        <w:rPr>
          <w:rStyle w:val="StyleUnderline"/>
        </w:rPr>
        <w:t xml:space="preserve">. </w:t>
      </w:r>
      <w:r w:rsidRPr="00C36986">
        <w:rPr>
          <w:rStyle w:val="StyleUnderline"/>
          <w:highlight w:val="green"/>
        </w:rPr>
        <w:t>This has roots in</w:t>
      </w:r>
      <w:r w:rsidRPr="006D7CD3">
        <w:rPr>
          <w:rStyle w:val="StyleUnderline"/>
        </w:rPr>
        <w:t xml:space="preserve"> the work of philosopher Nick </w:t>
      </w:r>
      <w:r w:rsidRPr="00C36986">
        <w:rPr>
          <w:rStyle w:val="StyleUnderline"/>
          <w:highlight w:val="green"/>
        </w:rPr>
        <w:t xml:space="preserve">Bostrom, who </w:t>
      </w:r>
      <w:r w:rsidRPr="00C36986">
        <w:rPr>
          <w:rStyle w:val="Emphasis"/>
          <w:highlight w:val="green"/>
        </w:rPr>
        <w:t>coined the term “existential risk”</w:t>
      </w:r>
      <w:r w:rsidRPr="002E1312">
        <w:rPr>
          <w:sz w:val="12"/>
        </w:rPr>
        <w:t xml:space="preserve"> in 2002 </w:t>
      </w:r>
      <w:r w:rsidRPr="00C36986">
        <w:rPr>
          <w:rStyle w:val="StyleUnderline"/>
          <w:highlight w:val="green"/>
        </w:rPr>
        <w:t>and</w:t>
      </w:r>
      <w:r w:rsidRPr="006D7CD3">
        <w:rPr>
          <w:rStyle w:val="StyleUnderline"/>
        </w:rPr>
        <w:t xml:space="preserve">, three years later, </w:t>
      </w:r>
      <w:r w:rsidRPr="00C36986">
        <w:rPr>
          <w:rStyle w:val="StyleUnderline"/>
          <w:highlight w:val="green"/>
        </w:rPr>
        <w:t>founded the Future of Humanity Institute</w:t>
      </w:r>
      <w:r w:rsidRPr="002E1312">
        <w:rPr>
          <w:sz w:val="12"/>
        </w:rPr>
        <w:t xml:space="preserve"> (FHI) </w:t>
      </w:r>
      <w:r w:rsidRPr="006D7CD3">
        <w:rPr>
          <w:rStyle w:val="StyleUnderline"/>
        </w:rPr>
        <w:t xml:space="preserve">based </w:t>
      </w:r>
      <w:r w:rsidRPr="00C36986">
        <w:rPr>
          <w:rStyle w:val="StyleUnderline"/>
          <w:highlight w:val="green"/>
        </w:rPr>
        <w:t>at</w:t>
      </w:r>
      <w:r w:rsidRPr="006D7CD3">
        <w:rPr>
          <w:rStyle w:val="StyleUnderline"/>
        </w:rPr>
        <w:t xml:space="preserve"> the University of </w:t>
      </w:r>
      <w:r w:rsidRPr="00773888">
        <w:rPr>
          <w:rStyle w:val="StyleUnderline"/>
          <w:highlight w:val="green"/>
        </w:rPr>
        <w:t>Oxford</w:t>
      </w:r>
      <w:r w:rsidRPr="006D7CD3">
        <w:rPr>
          <w:rStyle w:val="StyleUnderline"/>
        </w:rPr>
        <w:t>, which has received large sums of money from both Tallinn and Musk</w:t>
      </w:r>
      <w:r w:rsidRPr="002E1312">
        <w:rPr>
          <w:sz w:val="12"/>
        </w:rPr>
        <w:t>. Over the past decade, “longtermism” has become one of the main ideas promoted by the “Effective Altruism” (EA) movement, which generated controversy in the past for encouraging young people to work for Wall Street and petrochemical companies in order to donate part of their income to charity, an idea called “earn to give.” According to the longtermist Benjamin Todd, formerly at Oxford University, “longtermism might well turn out to be one of the most important discoveries of effective altruism so far.”</w:t>
      </w:r>
    </w:p>
    <w:p w14:paraId="104EDAEB" w14:textId="77777777" w:rsidR="00156FF2" w:rsidRPr="002E1312" w:rsidRDefault="00156FF2" w:rsidP="00156FF2">
      <w:pPr>
        <w:rPr>
          <w:sz w:val="12"/>
        </w:rPr>
      </w:pPr>
      <w:r w:rsidRPr="002E1312">
        <w:rPr>
          <w:sz w:val="12"/>
        </w:rPr>
        <w:t>Longtermism should not be confused with “long-term thinking.” It goes way beyond the observation that our society is dangerously myopic, and that we should care about future generations no less than present ones. At the heart of this worldview, as delineated by Bostrom, is the idea that what matters most is for “Earth-originating intelligent life” to fulfill its potential in the cosmos. What exactly is “our potential”? As I have noted elsewhere, it involves subjugating nature, maximizing economic productivity, replacing humanity with a superior “posthuman” species, colonizing the universe, and ultimately creating an unfathomably huge population of conscious beings living what Bostrom describes as “rich and happy lives” inside high-resolution computer simulations.</w:t>
      </w:r>
    </w:p>
    <w:p w14:paraId="3C31301B" w14:textId="77777777" w:rsidR="00156FF2" w:rsidRPr="002E1312" w:rsidRDefault="00156FF2" w:rsidP="00156FF2">
      <w:pPr>
        <w:rPr>
          <w:sz w:val="12"/>
        </w:rPr>
      </w:pPr>
      <w:r w:rsidRPr="002E1312">
        <w:rPr>
          <w:sz w:val="12"/>
        </w:rPr>
        <w:t>This is what “our potential” consists of, and it constitutes the ultimate aim toward which humanity as a whole, and each of us as individuals, are morally obligated to strive. An existential risk, then, is any event that would destroy this “vast and glorious” potential, as Toby Ord, a philosopher at the Future of Humanity Institute, writes in his 2020 book The Precipice, which draws heavily from earlier work in outlining the longtermist paradigm. (Note that Noam Chomsky just published a book also titled The Precipice.)</w:t>
      </w:r>
    </w:p>
    <w:p w14:paraId="460F4144" w14:textId="77777777" w:rsidR="00156FF2" w:rsidRPr="002E1312" w:rsidRDefault="00156FF2" w:rsidP="00156FF2">
      <w:pPr>
        <w:rPr>
          <w:sz w:val="12"/>
        </w:rPr>
      </w:pPr>
      <w:r w:rsidRPr="002E1312">
        <w:rPr>
          <w:sz w:val="12"/>
        </w:rPr>
        <w:t xml:space="preserve">The point is that when one takes the cosmic view, it becomes clear that our civilization could persist for an incredibly long time and there could come to be an unfathomably large number of people in the future. Longtermists thus reason that the far future could contain way more value than exists today, or has existed so far in human history, which stretches back some 300,000 years. So, imagine a situation in which you could either lift 1 billion present people out of extreme poverty or benefit 0.00000000001 percent of the 1023 biological humans who Bostrom calculates could exist if we were to colonize our cosmic neighborhood, the Virgo Supercluster. Which option should you pick? For longtermists, the answer is obvious: you should pick the latter. Why? Well, just crunch the numbers: 0.00000000001 percent of 1023 people is 10 billion people, which is ten times greater than 1 billion people. This means that if you want to do the most good, you should focus on these far-future people rather than on helping those in extreme poverty today. As the FHI </w:t>
      </w:r>
      <w:r w:rsidRPr="00305C1B">
        <w:rPr>
          <w:rStyle w:val="StyleUnderline"/>
          <w:highlight w:val="green"/>
        </w:rPr>
        <w:t>longtermists</w:t>
      </w:r>
      <w:r w:rsidRPr="002E1312">
        <w:rPr>
          <w:sz w:val="12"/>
        </w:rPr>
        <w:t xml:space="preserve"> Hilary Greaves and Will MacAskill—the latter of whom is said to have </w:t>
      </w:r>
      <w:r w:rsidRPr="00682763">
        <w:rPr>
          <w:rStyle w:val="StyleUnderline"/>
        </w:rPr>
        <w:t>co</w:t>
      </w:r>
      <w:r w:rsidRPr="00305C1B">
        <w:rPr>
          <w:rStyle w:val="StyleUnderline"/>
          <w:highlight w:val="green"/>
        </w:rPr>
        <w:t>founded the Effective Altruism movement</w:t>
      </w:r>
      <w:r w:rsidRPr="002E1312">
        <w:rPr>
          <w:sz w:val="12"/>
        </w:rPr>
        <w:t xml:space="preserve"> with Toby Ord—write, “for the purposes of evaluating actions, we can in the first instance often simply ignore all the effects contained in the first 100 (or even 1,000) years, focussing primarily on the further-future effects. Short-run effects act as little more than tie-breakers.”</w:t>
      </w:r>
    </w:p>
    <w:p w14:paraId="5247B627" w14:textId="77777777" w:rsidR="00156FF2" w:rsidRPr="002E1312" w:rsidRDefault="00156FF2" w:rsidP="00156FF2">
      <w:pPr>
        <w:rPr>
          <w:sz w:val="12"/>
        </w:rPr>
      </w:pPr>
      <w:r w:rsidRPr="002E1312">
        <w:rPr>
          <w:sz w:val="12"/>
        </w:rPr>
        <w:t xml:space="preserve">This brings us back to climate change, which is expected to cause serious harms over precisely this time period: the next few decades and centuries. </w:t>
      </w:r>
      <w:r w:rsidRPr="00BD6417">
        <w:rPr>
          <w:rStyle w:val="StyleUnderline"/>
        </w:rPr>
        <w:t>If what matters most is the</w:t>
      </w:r>
      <w:r w:rsidRPr="002E1312">
        <w:rPr>
          <w:sz w:val="12"/>
        </w:rPr>
        <w:t xml:space="preserve"> very far </w:t>
      </w:r>
      <w:r w:rsidRPr="00BD6417">
        <w:rPr>
          <w:rStyle w:val="StyleUnderline"/>
        </w:rPr>
        <w:t>future</w:t>
      </w:r>
      <w:r w:rsidRPr="002E1312">
        <w:rPr>
          <w:sz w:val="12"/>
        </w:rPr>
        <w:t xml:space="preserve">—thousands, millions, billions, and trillions of years from now—then climate change isn’t going to be high up on the list of global priorities unless there’s a runaway scenario. Sure, it will cause </w:t>
      </w:r>
      <w:r w:rsidRPr="00CB0762">
        <w:rPr>
          <w:rStyle w:val="StyleUnderline"/>
        </w:rPr>
        <w:t>“untold suffering</w:t>
      </w:r>
      <w:r w:rsidRPr="002E1312">
        <w:rPr>
          <w:sz w:val="12"/>
        </w:rPr>
        <w:t xml:space="preserve">,” but think about the situation from the point of view of the universe itself. Whatever </w:t>
      </w:r>
      <w:r w:rsidRPr="00CB0762">
        <w:rPr>
          <w:rStyle w:val="StyleUnderline"/>
        </w:rPr>
        <w:t>traumas and miseries, deaths and destruction</w:t>
      </w:r>
      <w:r w:rsidRPr="002E1312">
        <w:rPr>
          <w:sz w:val="12"/>
        </w:rPr>
        <w:t xml:space="preserve">, happen this century will </w:t>
      </w:r>
      <w:r w:rsidRPr="00CB0762">
        <w:rPr>
          <w:rStyle w:val="Emphasis"/>
        </w:rPr>
        <w:t>pale</w:t>
      </w:r>
      <w:r w:rsidRPr="002E1312">
        <w:rPr>
          <w:sz w:val="12"/>
        </w:rPr>
        <w:t xml:space="preserve"> </w:t>
      </w:r>
      <w:r w:rsidRPr="00CB0762">
        <w:rPr>
          <w:rStyle w:val="StyleUnderline"/>
        </w:rPr>
        <w:t>in comparison</w:t>
      </w:r>
      <w:r w:rsidRPr="002E1312">
        <w:rPr>
          <w:sz w:val="12"/>
        </w:rPr>
        <w:t xml:space="preserve"> </w:t>
      </w:r>
      <w:r w:rsidRPr="00CB0762">
        <w:rPr>
          <w:rStyle w:val="StyleUnderline"/>
        </w:rPr>
        <w:t>to</w:t>
      </w:r>
      <w:r w:rsidRPr="002E1312">
        <w:rPr>
          <w:sz w:val="12"/>
        </w:rPr>
        <w:t xml:space="preserve"> the </w:t>
      </w:r>
      <w:r w:rsidRPr="00CB0762">
        <w:rPr>
          <w:rStyle w:val="Emphasis"/>
        </w:rPr>
        <w:t>astronomical</w:t>
      </w:r>
      <w:r w:rsidRPr="002E1312">
        <w:rPr>
          <w:sz w:val="12"/>
        </w:rPr>
        <w:t xml:space="preserve"> amounts of “</w:t>
      </w:r>
      <w:r w:rsidRPr="00CB0762">
        <w:rPr>
          <w:rStyle w:val="Emphasis"/>
        </w:rPr>
        <w:t>value</w:t>
      </w:r>
      <w:r w:rsidRPr="002E1312">
        <w:rPr>
          <w:sz w:val="12"/>
        </w:rPr>
        <w:t xml:space="preserve">” </w:t>
      </w:r>
      <w:r w:rsidRPr="00B448A1">
        <w:rPr>
          <w:rStyle w:val="StyleUnderline"/>
        </w:rPr>
        <w:t xml:space="preserve">that </w:t>
      </w:r>
      <w:r w:rsidRPr="00B448A1">
        <w:rPr>
          <w:rStyle w:val="Emphasis"/>
        </w:rPr>
        <w:t>could</w:t>
      </w:r>
      <w:r w:rsidRPr="00B448A1">
        <w:rPr>
          <w:rStyle w:val="StyleUnderline"/>
        </w:rPr>
        <w:t xml:space="preserve"> exist</w:t>
      </w:r>
      <w:r w:rsidRPr="002E1312">
        <w:rPr>
          <w:sz w:val="12"/>
        </w:rPr>
        <w:t xml:space="preserve"> once humanity has colonized the universe, become posthuman, and created upwards of 1058 (Bostrom’s later estimate) conscious beings in computer simulations. Bostrom makes this point in terms of economic growth, which he and other longtermists see as integral to fulfilling “our potential” in the universe:</w:t>
      </w:r>
    </w:p>
    <w:p w14:paraId="2423D7F4" w14:textId="77777777" w:rsidR="00156FF2" w:rsidRPr="002E1312" w:rsidRDefault="00156FF2" w:rsidP="00156FF2">
      <w:pPr>
        <w:rPr>
          <w:sz w:val="12"/>
        </w:rPr>
      </w:pPr>
      <w:r w:rsidRPr="002E1312">
        <w:rPr>
          <w:sz w:val="12"/>
        </w:rPr>
        <w:t>“In absolute terms, [non-runaway climate change] would be a huge harm. Yet over the course of the twentieth century, world GDP grew by some 3,700%, and per capita world GDP rose by some 860%. It seems safe to say that … whatever negative economic effects global warming will have, they will be completely swamped by other factors that will influence economic growth rates in this century.”</w:t>
      </w:r>
    </w:p>
    <w:p w14:paraId="0E2060B1" w14:textId="77777777" w:rsidR="00156FF2" w:rsidRPr="002E1312" w:rsidRDefault="00156FF2" w:rsidP="00156FF2">
      <w:pPr>
        <w:rPr>
          <w:sz w:val="12"/>
        </w:rPr>
      </w:pPr>
      <w:r w:rsidRPr="002E1312">
        <w:rPr>
          <w:sz w:val="12"/>
        </w:rPr>
        <w:t>In the same paper, Bostrom declares that even “a non-existential disaster causing the breakdown of global civilization is, from the perspective of humanity as a whole, a potentially recoverable setback,” describing this as “a giant massacre for man, a small misstep for mankind.” That’s of course cold comfort for those in the crosshairs of climate change—the residents of the Maldives who will lose their homeland, the South Asians facing lethal heat waves above the 95-degree F wet-bulb threshold of survivability, and the 18 million people in Bangladesh who may be displaced by 2050. But, once again, when these losses are juxtaposed with the apparent immensity of our longterm “potential,” this suffering will hardly be a footnote to a footnote within humanity’s epic biography.</w:t>
      </w:r>
    </w:p>
    <w:p w14:paraId="0B2A30DC" w14:textId="77777777" w:rsidR="00156FF2" w:rsidRPr="002E1312" w:rsidRDefault="00156FF2" w:rsidP="00156FF2">
      <w:pPr>
        <w:rPr>
          <w:sz w:val="12"/>
        </w:rPr>
      </w:pPr>
      <w:r w:rsidRPr="002E1312">
        <w:rPr>
          <w:sz w:val="12"/>
        </w:rPr>
        <w:t xml:space="preserve">These aren’t the only incendiary remarks from Bostrom, the Father of Longtermism. In a paper that founded one half of longtermist research program, he characterizes the most devastating disasters throughout human history, such as the two World Wars (including the Holocaust), Black Death, 1918 Spanish flu pandemic, major earthquakes, large volcanic eruptions, and so on, as “mere ripples” when viewed from “the perspective of humankind as a whole.” As he writes: </w:t>
      </w:r>
    </w:p>
    <w:p w14:paraId="6CA11121" w14:textId="77777777" w:rsidR="00156FF2" w:rsidRPr="002E1312" w:rsidRDefault="00156FF2" w:rsidP="00156FF2">
      <w:pPr>
        <w:rPr>
          <w:sz w:val="12"/>
        </w:rPr>
      </w:pPr>
      <w:r w:rsidRPr="002E1312">
        <w:rPr>
          <w:sz w:val="12"/>
        </w:rPr>
        <w:t xml:space="preserve">“Tragic as such events are to the people immediately affected, in the big picture of things … even the worst of these catastrophes are mere ripples on the surface of the great sea of life.” </w:t>
      </w:r>
    </w:p>
    <w:p w14:paraId="7A1B1B71" w14:textId="77777777" w:rsidR="00156FF2" w:rsidRPr="002E1312" w:rsidRDefault="00156FF2" w:rsidP="00156FF2">
      <w:pPr>
        <w:rPr>
          <w:sz w:val="12"/>
        </w:rPr>
      </w:pPr>
      <w:r w:rsidRPr="002E1312">
        <w:rPr>
          <w:sz w:val="12"/>
        </w:rPr>
        <w:t>In other words, 40 million civilian deaths during WWII was awful, we can all agree about that. But think about this in terms of the 1058 simulated people who could someday exist in computer simulations if we colonize space. It would require trillions and trillions and trillions of WWIIs one after another to even approach the loss of these unborn people if an existential catastrophe were to happen. This is the case even on the lower estimates of how many future people there could be. Take Greaves and MacAskill’s figure of 1018 expected biological and digital beings on Earth alone (meaning that we don’t colonize space). That’s still a way bigger number than 40 million—analogous to a single grain of sand next to Mount Everest.</w:t>
      </w:r>
    </w:p>
    <w:p w14:paraId="7CF8B303" w14:textId="77777777" w:rsidR="00156FF2" w:rsidRPr="002E1312" w:rsidRDefault="00156FF2" w:rsidP="00156FF2">
      <w:pPr>
        <w:rPr>
          <w:sz w:val="12"/>
        </w:rPr>
      </w:pPr>
      <w:r w:rsidRPr="002E1312">
        <w:rPr>
          <w:sz w:val="12"/>
        </w:rPr>
        <w:t>It’s this line of reasoning that leads Bostrom, Greaves, MacAskill, and others to argue that even the tiniest reductions in “existential risk” are morally equivalent to saving the lives of literally billions of living, breathing, actual people. For example, Bostrom writes that if there is “a mere 1 percent chance” that 1054 conscious beings (most living in computer simulations) come to exist in the future, then “we find that the expected value of reducing existential risk by a mere one billionth of one billionth of one percentage point is worth a hundred billion times as much as a billion human lives.” Greaves and MacAskill echo this idea in a 2021 paper by arguing that “even if there are ‘only’ 1014 lives to come … , a reduction in near-term risk of extinction by one millionth of one percentage point would be equivalent in value to a million lives saved.”</w:t>
      </w:r>
    </w:p>
    <w:p w14:paraId="6BF868C2" w14:textId="77777777" w:rsidR="00156FF2" w:rsidRPr="002E1312" w:rsidRDefault="00156FF2" w:rsidP="00156FF2">
      <w:pPr>
        <w:rPr>
          <w:sz w:val="12"/>
        </w:rPr>
      </w:pPr>
      <w:r w:rsidRPr="002E1312">
        <w:rPr>
          <w:sz w:val="12"/>
        </w:rPr>
        <w:t>To make this concrete, imagine Greaves and MacAskill in front of two buttons. If pushed, the first would save the lives of 1 million living, breathing, actual people. The second would increase the probability that 1014 currently unborn people come into existence in the far future by a teeny-tiny amount. Because, on their longtermist view, there is no fundamental moral difference between saving actual people and bringing new people into existence, these options are morally equivalent. In other words, they’d have to flip a coin to decide which button to push. (Would you? I certainly hope not.) In Bostrom’s example, the morally right thing is obviously to sacrifice billions of living human beings for the sake of even tinier reductions in existential risk, assuming a minuscule 1 percent chance of a larger future population: 1054 people.</w:t>
      </w:r>
    </w:p>
    <w:p w14:paraId="33D7BF42" w14:textId="77777777" w:rsidR="00156FF2" w:rsidRPr="002E1312" w:rsidRDefault="00156FF2" w:rsidP="00156FF2">
      <w:pPr>
        <w:rPr>
          <w:sz w:val="12"/>
        </w:rPr>
      </w:pPr>
      <w:r w:rsidRPr="002E1312">
        <w:rPr>
          <w:sz w:val="12"/>
        </w:rPr>
        <w:t>All of this is to say that even if billions of people were to perish in the coming climate catastrophe, so long as humanity survives with enough of civilization intact to fulfill its supposed “potential,” we shouldn’t be too concerned. In the grand scheme of things, non-runaway climate change will prove to be nothing more than a “mere ripple” —a “small misstep for mankind,” however terrible a “massacre for man” it might otherwise be.</w:t>
      </w:r>
    </w:p>
    <w:p w14:paraId="76D1064A" w14:textId="77777777" w:rsidR="00156FF2" w:rsidRPr="002E1312" w:rsidRDefault="00156FF2" w:rsidP="00156FF2">
      <w:pPr>
        <w:rPr>
          <w:sz w:val="12"/>
        </w:rPr>
      </w:pPr>
      <w:r w:rsidRPr="002E1312">
        <w:rPr>
          <w:sz w:val="12"/>
        </w:rPr>
        <w:t>Even worse, since our resources for reducing existential risk are finite, Bostrom argues that we must not “fritter [them] away” on what he describes as “feel-good projects of suboptimal efficacy.” Such projects would include, on this account, not just saving people in the Global South—those most vulnerable, especially women—from the calamities of climate change, but all other non-existential philanthropic causes, too. As the Princeton philosopher Peter Singer writes about Bostrom in his 2015 book on Effective Altruism, “to refer to donating to help the global poor … as a ‘feel-good project’ on which resources are ‘frittered away’ is harsh language.” But it makes perfectly good sense within Bostrom’s longtermist framework, according to which “priority number one, two, three, and four should … be to reduce existential risk.” Everything else is smaller fish not worth frying.</w:t>
      </w:r>
    </w:p>
    <w:p w14:paraId="4BEB3161" w14:textId="77777777" w:rsidR="00156FF2" w:rsidRPr="002E1312" w:rsidRDefault="00156FF2" w:rsidP="00156FF2">
      <w:pPr>
        <w:rPr>
          <w:sz w:val="12"/>
        </w:rPr>
      </w:pPr>
      <w:r w:rsidRPr="002E1312">
        <w:rPr>
          <w:sz w:val="12"/>
        </w:rPr>
        <w:t>If this sounds appalling, it’s because it is appalling. By reducing morality to an abstract numbers game, and by declaring that what’s most important is fulfilling “our potential” by becoming simulated posthumans among the stars, longtermists not only trivialize past atrocities like WWII (and the Holocaust) but give themselves a “moral excuse” to dismiss or minimize comparable atrocities in the future. This is one reason that I’ve come to see longtermism as an immensely dangerous ideology. It is, indeed, akin to a secular religion built around the worship of “future value,” complete with its own “secularised doctrine of salvation,” as the Future of Humanity Institute historian Thomas Moynihan approvingly writes in his book X-Risk. The popularity of this religion among wealthy people in the West—especially the socioeconomic elite—makes sense because it tells them exactly what they want to hear: not only are you ethically excused from worrying too much about sub-existential threats like non-runaway climate change and global poverty, but you are actually a morally better person for focusing instead on more important things—risk that could permanently destroy “our potential” as a species of Earth-originating intelligent life.</w:t>
      </w:r>
    </w:p>
    <w:p w14:paraId="18D230AE" w14:textId="77777777" w:rsidR="00156FF2" w:rsidRPr="002E1312" w:rsidRDefault="00156FF2" w:rsidP="00156FF2">
      <w:pPr>
        <w:rPr>
          <w:sz w:val="12"/>
        </w:rPr>
      </w:pPr>
      <w:r w:rsidRPr="002E1312">
        <w:rPr>
          <w:sz w:val="12"/>
        </w:rPr>
        <w:t>To drive home the point, consider an argument from the longtermist Nick Beckstead, who has overseen tens of millions of dollars in funding for the Future of Humanity Institute. Since shaping the far future “over the coming millions, billions, and trillions of years” is of “overwhelming importance,” he claims, we should actually care more about people in rich countries than poor countries. This comes from a 2013 PhD dissertation that Ord describes as “one of the best texts on existential risk,” and it’s cited on numerous Effective Altruist websites, including some hosted by the Centre for Effective Altruism, which shares office space in Oxford with the Future of Humanity Institute. The passage is worth quoting in full:</w:t>
      </w:r>
    </w:p>
    <w:p w14:paraId="52A23FE7" w14:textId="77777777" w:rsidR="00156FF2" w:rsidRPr="002E1312" w:rsidRDefault="00156FF2" w:rsidP="00156FF2">
      <w:pPr>
        <w:rPr>
          <w:sz w:val="12"/>
        </w:rPr>
      </w:pPr>
      <w:r w:rsidRPr="002E1312">
        <w:rPr>
          <w:sz w:val="12"/>
        </w:rPr>
        <w:t>“Saving lives in poor countries may have significantly smaller ripple effects than saving and improving lives in rich countries. Why? Richer countries have substantially more innovation, and their workers are much more economically productive. By ordinary standards—at least by ordinary enlightened humanitarian standards—saving and improving lives in rich countries is about equally as important as saving and improving lives in poor countries, provided lives are improved by roughly comparable amounts. But it now seems more plausible to me that saving a life in a rich country is substantially more important than saving a life in a poor country, other things being equal.”</w:t>
      </w:r>
    </w:p>
    <w:p w14:paraId="357A5FB4" w14:textId="77777777" w:rsidR="00156FF2" w:rsidRPr="002E1312" w:rsidRDefault="00156FF2" w:rsidP="00156FF2">
      <w:pPr>
        <w:rPr>
          <w:sz w:val="12"/>
        </w:rPr>
      </w:pPr>
      <w:r w:rsidRPr="002E1312">
        <w:rPr>
          <w:sz w:val="12"/>
        </w:rPr>
        <w:t xml:space="preserve">Never mind the fact that many countries in the Global South are relatively poor precisely because of the long and sordid histories of Western colonialism, imperialism, exploitation, political meddling, pollution, and so on. What hangs in the balance is astronomical amounts of “value.” What shouldn’t we do to achieve this magnificent end? Why not prioritize lives in rich countries over those in poor countries, even if gross historical injustices remain inadequately addressed? Beckstead isn’t the only longtermist who’s explicitly endorsed this view, either. As Hilary Greaves states in </w:t>
      </w:r>
      <w:r w:rsidRPr="001D718E">
        <w:rPr>
          <w:rStyle w:val="StyleUnderline"/>
        </w:rPr>
        <w:t>a 2020 interview with</w:t>
      </w:r>
      <w:r w:rsidRPr="001D718E">
        <w:rPr>
          <w:rStyle w:val="Emphasis"/>
          <w:highlight w:val="green"/>
        </w:rPr>
        <w:t xml:space="preserve"> Theron </w:t>
      </w:r>
      <w:r w:rsidRPr="001D718E">
        <w:rPr>
          <w:rStyle w:val="Emphasis"/>
          <w:sz w:val="36"/>
          <w:szCs w:val="36"/>
          <w:highlight w:val="green"/>
        </w:rPr>
        <w:t>Pummer</w:t>
      </w:r>
      <w:r w:rsidRPr="002E1312">
        <w:rPr>
          <w:sz w:val="12"/>
        </w:rPr>
        <w:t xml:space="preserve">, </w:t>
      </w:r>
      <w:r w:rsidRPr="001D718E">
        <w:rPr>
          <w:rStyle w:val="StyleUnderline"/>
        </w:rPr>
        <w:t>who</w:t>
      </w:r>
      <w:r w:rsidRPr="001D718E">
        <w:rPr>
          <w:rStyle w:val="Emphasis"/>
          <w:highlight w:val="green"/>
        </w:rPr>
        <w:t xml:space="preserve"> co-edited the book Effective Altruism</w:t>
      </w:r>
      <w:r w:rsidRPr="002E1312">
        <w:rPr>
          <w:sz w:val="12"/>
        </w:rPr>
        <w:t xml:space="preserve"> with her, if one’s “aim is doing the most good, improving the world by the most that I can,” then although “there’s a clear place for transferring resources from the affluent Western world to the global poor … longtermist thought suggests that something else may be better still.”</w:t>
      </w:r>
    </w:p>
    <w:p w14:paraId="32B64D9D" w14:textId="77777777" w:rsidR="00156FF2" w:rsidRPr="002E1312" w:rsidRDefault="00156FF2" w:rsidP="00156FF2">
      <w:pPr>
        <w:rPr>
          <w:sz w:val="12"/>
        </w:rPr>
      </w:pPr>
      <w:r w:rsidRPr="002E1312">
        <w:rPr>
          <w:sz w:val="12"/>
        </w:rPr>
        <w:t>Returning to climate change once again, we can see how Tallinn got the idea that our environmental impact probably isn’t existentially risky from academic longtermists like Bostrom. As alluded to above, Bostrom maintains that non-runaway (which he calls “moderate”) global warming, as well as “threats to the biodiversity of Earth’s ecosphere,” as “endurable” rather than “terminal” for humanity. Similarly, Ord claims in The Precipice that climate change poses a mere 1-in-1,000 chance of existential catastrophe, in contrast to a far greater 1-in-10 chance of catastrophe involving superintelligent machines (dubbed the “Robopocalypse” by some). Although, like Bostrom, Ord acknowledges that the climate crisis could get very bad, he assures us that “the typical scenarios of climate change would not destroy our potential.”</w:t>
      </w:r>
    </w:p>
    <w:p w14:paraId="16CC55FB" w14:textId="77777777" w:rsidR="00156FF2" w:rsidRPr="009725B0" w:rsidRDefault="00156FF2" w:rsidP="00156FF2">
      <w:pPr>
        <w:rPr>
          <w:rStyle w:val="Emphasis"/>
        </w:rPr>
      </w:pPr>
      <w:r w:rsidRPr="002E1312">
        <w:rPr>
          <w:sz w:val="12"/>
        </w:rPr>
        <w:t xml:space="preserve">Within the billionaire world, </w:t>
      </w:r>
      <w:r w:rsidRPr="000D2B1A">
        <w:rPr>
          <w:rStyle w:val="Emphasis"/>
          <w:highlight w:val="green"/>
        </w:rPr>
        <w:t>these conclusions have been parroted by</w:t>
      </w:r>
      <w:r w:rsidRPr="002E1312">
        <w:rPr>
          <w:sz w:val="12"/>
        </w:rPr>
        <w:t xml:space="preserve"> some of the most powerful men on the planet today (not just Tallinn). </w:t>
      </w:r>
      <w:r w:rsidRPr="004321B2">
        <w:rPr>
          <w:rStyle w:val="StyleUnderline"/>
        </w:rPr>
        <w:t xml:space="preserve">For example, </w:t>
      </w:r>
      <w:r w:rsidRPr="009933D4">
        <w:rPr>
          <w:rStyle w:val="Emphasis"/>
          <w:highlight w:val="green"/>
        </w:rPr>
        <w:t>Musk</w:t>
      </w:r>
      <w:r w:rsidRPr="004321B2">
        <w:rPr>
          <w:rStyle w:val="StyleUnderline"/>
        </w:rPr>
        <w:t>,</w:t>
      </w:r>
      <w:r w:rsidRPr="002E1312">
        <w:rPr>
          <w:sz w:val="12"/>
        </w:rPr>
        <w:t xml:space="preserve"> an admirer of Bostrom’s who donated $10 million in 2015 to the Future of Life Institute, another longtermist organization that Tallinn cofounded, said in an interview this year that his “concern with the CO2 is not kind of where we are today or even … the current rate of carbon generation.” Rather, the worry is that “if carbon generation keeps accelerating and … if we’re complacent then I think … there’s some risk of sort of non-linear climate change”—meaning, one surmises, a runaway scenario. Peter </w:t>
      </w:r>
      <w:r w:rsidRPr="009933D4">
        <w:rPr>
          <w:rStyle w:val="Emphasis"/>
          <w:highlight w:val="green"/>
        </w:rPr>
        <w:t>Thiel</w:t>
      </w:r>
      <w:r w:rsidRPr="002E1312">
        <w:rPr>
          <w:sz w:val="12"/>
        </w:rPr>
        <w:t xml:space="preserve"> has also apparently held this view for some time, which is unsurprising given his history with longtermist thinking and the Effective Altruism movement. (He gave the keynote address </w:t>
      </w:r>
      <w:r w:rsidRPr="0053537B">
        <w:rPr>
          <w:rStyle w:val="StyleUnderline"/>
          <w:highlight w:val="green"/>
        </w:rPr>
        <w:t xml:space="preserve">at the </w:t>
      </w:r>
      <w:r w:rsidRPr="004925AE">
        <w:rPr>
          <w:rStyle w:val="StyleUnderline"/>
          <w:highlight w:val="green"/>
        </w:rPr>
        <w:t xml:space="preserve">2013 </w:t>
      </w:r>
      <w:r w:rsidRPr="0053537B">
        <w:rPr>
          <w:rStyle w:val="StyleUnderline"/>
          <w:highlight w:val="green"/>
        </w:rPr>
        <w:t>Effective Altruism Summit</w:t>
      </w:r>
      <w:r w:rsidRPr="002E1312">
        <w:rPr>
          <w:sz w:val="12"/>
        </w:rPr>
        <w:t xml:space="preserve">.) But Thiel also </w:t>
      </w:r>
      <w:r w:rsidRPr="001A5184">
        <w:rPr>
          <w:rStyle w:val="StyleUnderline"/>
          <w:highlight w:val="green"/>
        </w:rPr>
        <w:t>declared</w:t>
      </w:r>
      <w:r w:rsidRPr="002E1312">
        <w:rPr>
          <w:sz w:val="12"/>
        </w:rPr>
        <w:t xml:space="preserve"> in 2014: “</w:t>
      </w:r>
      <w:r w:rsidRPr="009725B0">
        <w:rPr>
          <w:rStyle w:val="Emphasis"/>
          <w:highlight w:val="green"/>
        </w:rPr>
        <w:t xml:space="preserve">People are spending way too much time thinking about climate </w:t>
      </w:r>
      <w:r w:rsidRPr="00CD6305">
        <w:rPr>
          <w:rStyle w:val="StyleUnderline"/>
        </w:rPr>
        <w:t xml:space="preserve">change” </w:t>
      </w:r>
      <w:r w:rsidRPr="009725B0">
        <w:rPr>
          <w:rStyle w:val="Emphasis"/>
          <w:highlight w:val="green"/>
        </w:rPr>
        <w:t xml:space="preserve">and “way too little </w:t>
      </w:r>
      <w:r w:rsidRPr="00CD6305">
        <w:rPr>
          <w:rStyle w:val="StyleUnderline"/>
        </w:rPr>
        <w:t>thinking</w:t>
      </w:r>
      <w:r w:rsidRPr="009725B0">
        <w:rPr>
          <w:rStyle w:val="Emphasis"/>
          <w:highlight w:val="green"/>
        </w:rPr>
        <w:t xml:space="preserve"> about AI.”</w:t>
      </w:r>
    </w:p>
    <w:p w14:paraId="380B3EC6" w14:textId="77777777" w:rsidR="00156FF2" w:rsidRPr="003012B7" w:rsidRDefault="00156FF2" w:rsidP="00156FF2"/>
    <w:p w14:paraId="2273FB70" w14:textId="77777777" w:rsidR="00156FF2" w:rsidRPr="00C97529" w:rsidRDefault="00156FF2" w:rsidP="00156FF2"/>
    <w:p w14:paraId="2BC3E074" w14:textId="77777777" w:rsidR="00156FF2" w:rsidRPr="00C8363F" w:rsidRDefault="00156FF2" w:rsidP="00C8363F"/>
    <w:sectPr w:rsidR="00156FF2" w:rsidRPr="00C836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4918B" w14:textId="77777777" w:rsidR="005814A7" w:rsidRDefault="005814A7" w:rsidP="00066D2C">
      <w:r>
        <w:separator/>
      </w:r>
    </w:p>
  </w:endnote>
  <w:endnote w:type="continuationSeparator" w:id="0">
    <w:p w14:paraId="2E6A3B11" w14:textId="77777777" w:rsidR="005814A7" w:rsidRDefault="005814A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4B6D" w14:textId="77777777" w:rsidR="005814A7" w:rsidRDefault="005814A7" w:rsidP="00066D2C">
      <w:r>
        <w:separator/>
      </w:r>
    </w:p>
  </w:footnote>
  <w:footnote w:type="continuationSeparator" w:id="0">
    <w:p w14:paraId="38A895BD" w14:textId="77777777" w:rsidR="005814A7" w:rsidRDefault="005814A7" w:rsidP="00066D2C">
      <w:r>
        <w:continuationSeparator/>
      </w:r>
    </w:p>
  </w:footnote>
  <w:footnote w:id="1">
    <w:p w14:paraId="7607A1E6" w14:textId="77777777" w:rsidR="00513A6D" w:rsidRDefault="00513A6D" w:rsidP="00513A6D">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1DDAEB52" w14:textId="77777777" w:rsidR="00513A6D" w:rsidRDefault="00513A6D" w:rsidP="00513A6D">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72825884" w14:textId="77777777" w:rsidR="00513A6D" w:rsidRDefault="00513A6D" w:rsidP="00513A6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97EA1"/>
    <w:multiLevelType w:val="hybridMultilevel"/>
    <w:tmpl w:val="29C4C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85B7F"/>
    <w:multiLevelType w:val="hybridMultilevel"/>
    <w:tmpl w:val="F44E0942"/>
    <w:lvl w:ilvl="0" w:tplc="D2FC9B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376D9A"/>
    <w:multiLevelType w:val="hybridMultilevel"/>
    <w:tmpl w:val="3F226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3303FE"/>
    <w:multiLevelType w:val="hybridMultilevel"/>
    <w:tmpl w:val="089EF888"/>
    <w:lvl w:ilvl="0" w:tplc="E26AA93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EC0BFA"/>
    <w:multiLevelType w:val="hybridMultilevel"/>
    <w:tmpl w:val="7A0C95E6"/>
    <w:lvl w:ilvl="0" w:tplc="8A765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2F63A8"/>
    <w:multiLevelType w:val="hybridMultilevel"/>
    <w:tmpl w:val="4F222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1E3B50"/>
    <w:multiLevelType w:val="hybridMultilevel"/>
    <w:tmpl w:val="9ED01C18"/>
    <w:lvl w:ilvl="0" w:tplc="2A4A9E40">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23635D"/>
    <w:multiLevelType w:val="hybridMultilevel"/>
    <w:tmpl w:val="FE744F26"/>
    <w:lvl w:ilvl="0" w:tplc="8B7472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932B00"/>
    <w:multiLevelType w:val="hybridMultilevel"/>
    <w:tmpl w:val="5B0EBFF8"/>
    <w:lvl w:ilvl="0" w:tplc="039E07D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EC68C4"/>
    <w:multiLevelType w:val="hybridMultilevel"/>
    <w:tmpl w:val="346C8632"/>
    <w:lvl w:ilvl="0" w:tplc="A600B7C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E5716D3"/>
    <w:multiLevelType w:val="hybridMultilevel"/>
    <w:tmpl w:val="1764C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662EFE"/>
    <w:multiLevelType w:val="hybridMultilevel"/>
    <w:tmpl w:val="A24601BA"/>
    <w:lvl w:ilvl="0" w:tplc="5FC448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321690"/>
    <w:multiLevelType w:val="hybridMultilevel"/>
    <w:tmpl w:val="BB6CAE58"/>
    <w:lvl w:ilvl="0" w:tplc="B324190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96748D"/>
    <w:multiLevelType w:val="hybridMultilevel"/>
    <w:tmpl w:val="0406C524"/>
    <w:lvl w:ilvl="0" w:tplc="A75856B0">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071951"/>
    <w:multiLevelType w:val="hybridMultilevel"/>
    <w:tmpl w:val="59B6092A"/>
    <w:lvl w:ilvl="0" w:tplc="F446E8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2B494C"/>
    <w:multiLevelType w:val="hybridMultilevel"/>
    <w:tmpl w:val="69881C26"/>
    <w:lvl w:ilvl="0" w:tplc="CFD6EEE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826190"/>
    <w:multiLevelType w:val="hybridMultilevel"/>
    <w:tmpl w:val="9026748E"/>
    <w:lvl w:ilvl="0" w:tplc="BC0221FE">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5"/>
  </w:num>
  <w:num w:numId="45" w16cid:durableId="1589345715">
    <w:abstractNumId w:val="21"/>
  </w:num>
  <w:num w:numId="46" w16cid:durableId="30036715">
    <w:abstractNumId w:val="14"/>
  </w:num>
  <w:num w:numId="47" w16cid:durableId="1192376696">
    <w:abstractNumId w:val="29"/>
  </w:num>
  <w:num w:numId="48" w16cid:durableId="1728798635">
    <w:abstractNumId w:val="28"/>
  </w:num>
  <w:num w:numId="49" w16cid:durableId="907347650">
    <w:abstractNumId w:val="11"/>
  </w:num>
  <w:num w:numId="50" w16cid:durableId="343553795">
    <w:abstractNumId w:val="16"/>
  </w:num>
  <w:num w:numId="51" w16cid:durableId="310867160">
    <w:abstractNumId w:val="26"/>
  </w:num>
  <w:num w:numId="52" w16cid:durableId="545339858">
    <w:abstractNumId w:val="13"/>
  </w:num>
  <w:num w:numId="53" w16cid:durableId="190269555">
    <w:abstractNumId w:val="25"/>
  </w:num>
  <w:num w:numId="54" w16cid:durableId="1982035867">
    <w:abstractNumId w:val="22"/>
  </w:num>
  <w:num w:numId="55" w16cid:durableId="2137092637">
    <w:abstractNumId w:val="10"/>
  </w:num>
  <w:num w:numId="56" w16cid:durableId="384841718">
    <w:abstractNumId w:val="17"/>
  </w:num>
  <w:num w:numId="57" w16cid:durableId="1530486955">
    <w:abstractNumId w:val="27"/>
  </w:num>
  <w:num w:numId="58" w16cid:durableId="1186213752">
    <w:abstractNumId w:val="30"/>
  </w:num>
  <w:num w:numId="59" w16cid:durableId="1892957522">
    <w:abstractNumId w:val="18"/>
  </w:num>
  <w:num w:numId="60" w16cid:durableId="695279377">
    <w:abstractNumId w:val="24"/>
  </w:num>
  <w:num w:numId="61" w16cid:durableId="8553887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C5401"/>
    <w:rsid w:val="00001C7E"/>
    <w:rsid w:val="0000487C"/>
    <w:rsid w:val="00011FEF"/>
    <w:rsid w:val="00013C8B"/>
    <w:rsid w:val="00023AEF"/>
    <w:rsid w:val="000250CA"/>
    <w:rsid w:val="00032119"/>
    <w:rsid w:val="000427BD"/>
    <w:rsid w:val="00043C82"/>
    <w:rsid w:val="00050713"/>
    <w:rsid w:val="00053D0F"/>
    <w:rsid w:val="00056966"/>
    <w:rsid w:val="000573CE"/>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FF2"/>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BC"/>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94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6D"/>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4A7"/>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401"/>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6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63F"/>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1D7"/>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5737FF"/>
  <w15:chartTrackingRefBased/>
  <w15:docId w15:val="{7A34061B-40B1-4163-9E60-3B0023E3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5401"/>
    <w:rPr>
      <w:rFonts w:ascii="Calibri" w:hAnsi="Calibri" w:cs="Calibri"/>
    </w:rPr>
  </w:style>
  <w:style w:type="paragraph" w:styleId="Heading1">
    <w:name w:val="heading 1"/>
    <w:aliases w:val="Pocket"/>
    <w:basedOn w:val="Normal"/>
    <w:next w:val="Normal"/>
    <w:link w:val="Heading1Char"/>
    <w:qFormat/>
    <w:rsid w:val="009C54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54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9C54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9C54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540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C54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540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9C540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C5401"/>
    <w:rPr>
      <w:color w:val="auto"/>
      <w:u w:val="none"/>
    </w:rPr>
  </w:style>
  <w:style w:type="character" w:customStyle="1" w:styleId="Heading1Char">
    <w:name w:val="Heading 1 Char"/>
    <w:aliases w:val="Pocket Char"/>
    <w:basedOn w:val="DefaultParagraphFont"/>
    <w:link w:val="Heading1"/>
    <w:rsid w:val="009C54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540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o Char"/>
    <w:basedOn w:val="DefaultParagraphFont"/>
    <w:link w:val="Heading3"/>
    <w:uiPriority w:val="2"/>
    <w:rsid w:val="009C540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9C54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5401"/>
    <w:rPr>
      <w:b/>
      <w:bCs/>
      <w:sz w:val="26"/>
      <w:u w:val="singl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S"/>
    <w:basedOn w:val="DefaultParagraphFont"/>
    <w:uiPriority w:val="7"/>
    <w:qFormat/>
    <w:rsid w:val="009C5401"/>
    <w:rPr>
      <w:b w:val="0"/>
      <w:sz w:val="22"/>
      <w:u w:val="single"/>
    </w:rPr>
  </w:style>
  <w:style w:type="character" w:styleId="Strong">
    <w:name w:val="Strong"/>
    <w:basedOn w:val="DefaultParagraphFont"/>
    <w:uiPriority w:val="22"/>
    <w:qFormat/>
    <w:rsid w:val="009C5401"/>
    <w:rPr>
      <w:b/>
      <w:bCs/>
    </w:rPr>
  </w:style>
  <w:style w:type="character" w:styleId="BookTitle">
    <w:name w:val="Book Title"/>
    <w:basedOn w:val="DefaultParagraphFont"/>
    <w:uiPriority w:val="33"/>
    <w:qFormat/>
    <w:rsid w:val="009C5401"/>
    <w:rPr>
      <w:b/>
      <w:bCs/>
      <w:i/>
      <w:iCs/>
      <w:spacing w:val="5"/>
    </w:rPr>
  </w:style>
  <w:style w:type="character" w:customStyle="1" w:styleId="Heading5Char">
    <w:name w:val="Heading 5 Char"/>
    <w:basedOn w:val="DefaultParagraphFont"/>
    <w:link w:val="Heading5"/>
    <w:uiPriority w:val="9"/>
    <w:semiHidden/>
    <w:rsid w:val="009C54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5401"/>
  </w:style>
  <w:style w:type="paragraph" w:styleId="Header">
    <w:name w:val="header"/>
    <w:basedOn w:val="Normal"/>
    <w:link w:val="HeaderChar"/>
    <w:uiPriority w:val="99"/>
    <w:semiHidden/>
    <w:rsid w:val="009C5401"/>
    <w:pPr>
      <w:tabs>
        <w:tab w:val="center" w:pos="4680"/>
        <w:tab w:val="right" w:pos="9360"/>
      </w:tabs>
    </w:pPr>
  </w:style>
  <w:style w:type="character" w:customStyle="1" w:styleId="HeaderChar">
    <w:name w:val="Header Char"/>
    <w:basedOn w:val="DefaultParagraphFont"/>
    <w:link w:val="Header"/>
    <w:uiPriority w:val="99"/>
    <w:semiHidden/>
    <w:rsid w:val="009C5401"/>
    <w:rPr>
      <w:rFonts w:ascii="Calibri" w:hAnsi="Calibri" w:cs="Calibri"/>
    </w:rPr>
  </w:style>
  <w:style w:type="paragraph" w:styleId="Footer">
    <w:name w:val="footer"/>
    <w:basedOn w:val="Normal"/>
    <w:link w:val="FooterChar"/>
    <w:uiPriority w:val="99"/>
    <w:semiHidden/>
    <w:rsid w:val="009C5401"/>
    <w:pPr>
      <w:tabs>
        <w:tab w:val="center" w:pos="4680"/>
        <w:tab w:val="right" w:pos="9360"/>
      </w:tabs>
    </w:pPr>
  </w:style>
  <w:style w:type="character" w:customStyle="1" w:styleId="FooterChar">
    <w:name w:val="Footer Char"/>
    <w:basedOn w:val="DefaultParagraphFont"/>
    <w:link w:val="Footer"/>
    <w:uiPriority w:val="99"/>
    <w:semiHidden/>
    <w:rsid w:val="009C5401"/>
    <w:rPr>
      <w:rFonts w:ascii="Calibri" w:hAnsi="Calibri" w:cs="Calibri"/>
    </w:rPr>
  </w:style>
  <w:style w:type="paragraph" w:styleId="BodyText">
    <w:name w:val="Body Text"/>
    <w:basedOn w:val="Normal"/>
    <w:link w:val="BodyTextChar"/>
    <w:uiPriority w:val="99"/>
    <w:semiHidden/>
    <w:unhideWhenUsed/>
    <w:rsid w:val="009C5401"/>
    <w:pPr>
      <w:spacing w:after="120"/>
    </w:pPr>
  </w:style>
  <w:style w:type="character" w:customStyle="1" w:styleId="BodyTextChar">
    <w:name w:val="Body Text Char"/>
    <w:basedOn w:val="DefaultParagraphFont"/>
    <w:link w:val="BodyText"/>
    <w:uiPriority w:val="99"/>
    <w:semiHidden/>
    <w:rsid w:val="009C5401"/>
    <w:rPr>
      <w:rFonts w:ascii="Calibri" w:hAnsi="Calibri" w:cs="Calibri"/>
    </w:rPr>
  </w:style>
  <w:style w:type="paragraph" w:styleId="NoSpacing">
    <w:name w:val="No Spacing"/>
    <w:link w:val="NoSpacingChar"/>
    <w:uiPriority w:val="99"/>
    <w:unhideWhenUsed/>
    <w:qFormat/>
    <w:rsid w:val="009C540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C5401"/>
    <w:rPr>
      <w:rFonts w:ascii="Calibri" w:hAnsi="Calibri" w:cs="Calibri"/>
    </w:rPr>
  </w:style>
  <w:style w:type="character" w:styleId="Hyperlink">
    <w:name w:val="Hyperlink"/>
    <w:basedOn w:val="DefaultParagraphFont"/>
    <w:uiPriority w:val="99"/>
    <w:unhideWhenUsed/>
    <w:rsid w:val="009C5401"/>
    <w:rPr>
      <w:color w:val="0563C1" w:themeColor="hyperlink"/>
      <w:u w:val="single"/>
    </w:rPr>
  </w:style>
  <w:style w:type="character" w:styleId="UnresolvedMention">
    <w:name w:val="Unresolved Mention"/>
    <w:basedOn w:val="DefaultParagraphFont"/>
    <w:uiPriority w:val="99"/>
    <w:semiHidden/>
    <w:unhideWhenUsed/>
    <w:rsid w:val="009C5401"/>
    <w:rPr>
      <w:color w:val="605E5C"/>
      <w:shd w:val="clear" w:color="auto" w:fill="E1DFDD"/>
    </w:rPr>
  </w:style>
  <w:style w:type="paragraph" w:customStyle="1" w:styleId="Undertag">
    <w:name w:val="Undertag"/>
    <w:link w:val="UndertagChar"/>
    <w:autoRedefine/>
    <w:uiPriority w:val="5"/>
    <w:qFormat/>
    <w:rsid w:val="009C540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C540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C5401"/>
    <w:rPr>
      <w:color w:val="1F3864" w:themeColor="accent1" w:themeShade="80"/>
    </w:rPr>
  </w:style>
  <w:style w:type="character" w:customStyle="1" w:styleId="AnalyticChar">
    <w:name w:val="Analytic Char"/>
    <w:basedOn w:val="DefaultParagraphFont"/>
    <w:link w:val="Analytic"/>
    <w:uiPriority w:val="5"/>
    <w:rsid w:val="009C5401"/>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C8363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156FF2"/>
    <w:pPr>
      <w:ind w:left="720"/>
      <w:jc w:val="both"/>
    </w:pPr>
    <w:rPr>
      <w:b/>
      <w:iCs/>
      <w:u w:val="single"/>
      <w:bdr w:val="single" w:sz="8" w:space="0" w:color="auto"/>
    </w:rPr>
  </w:style>
  <w:style w:type="paragraph" w:styleId="ListParagraph">
    <w:name w:val="List Paragraph"/>
    <w:basedOn w:val="Normal"/>
    <w:uiPriority w:val="34"/>
    <w:unhideWhenUsed/>
    <w:qFormat/>
    <w:rsid w:val="00513A6D"/>
    <w:pPr>
      <w:ind w:left="720"/>
      <w:contextualSpacing/>
    </w:pPr>
  </w:style>
  <w:style w:type="character" w:styleId="CommentReference">
    <w:name w:val="annotation reference"/>
    <w:basedOn w:val="DefaultParagraphFont"/>
    <w:uiPriority w:val="99"/>
    <w:semiHidden/>
    <w:unhideWhenUsed/>
    <w:rsid w:val="00513A6D"/>
    <w:rPr>
      <w:sz w:val="16"/>
      <w:szCs w:val="16"/>
    </w:rPr>
  </w:style>
  <w:style w:type="paragraph" w:styleId="CommentText">
    <w:name w:val="annotation text"/>
    <w:basedOn w:val="Normal"/>
    <w:link w:val="CommentTextChar"/>
    <w:uiPriority w:val="99"/>
    <w:unhideWhenUsed/>
    <w:rsid w:val="00513A6D"/>
    <w:pPr>
      <w:spacing w:line="240" w:lineRule="auto"/>
    </w:pPr>
    <w:rPr>
      <w:sz w:val="20"/>
      <w:szCs w:val="20"/>
    </w:rPr>
  </w:style>
  <w:style w:type="character" w:customStyle="1" w:styleId="CommentTextChar">
    <w:name w:val="Comment Text Char"/>
    <w:basedOn w:val="DefaultParagraphFont"/>
    <w:link w:val="CommentText"/>
    <w:uiPriority w:val="99"/>
    <w:rsid w:val="00513A6D"/>
    <w:rPr>
      <w:rFonts w:ascii="Calibri" w:hAnsi="Calibri" w:cs="Calibri"/>
      <w:sz w:val="20"/>
      <w:szCs w:val="20"/>
    </w:rPr>
  </w:style>
  <w:style w:type="paragraph" w:styleId="FootnoteText">
    <w:name w:val="footnote text"/>
    <w:basedOn w:val="Normal"/>
    <w:link w:val="FootnoteTextChar"/>
    <w:uiPriority w:val="99"/>
    <w:semiHidden/>
    <w:unhideWhenUsed/>
    <w:rsid w:val="00513A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3A6D"/>
    <w:rPr>
      <w:rFonts w:ascii="Calibri" w:hAnsi="Calibri" w:cs="Calibri"/>
      <w:sz w:val="20"/>
      <w:szCs w:val="20"/>
    </w:rPr>
  </w:style>
  <w:style w:type="character" w:styleId="FootnoteReference">
    <w:name w:val="footnote reference"/>
    <w:basedOn w:val="DefaultParagraphFont"/>
    <w:uiPriority w:val="99"/>
    <w:semiHidden/>
    <w:unhideWhenUsed/>
    <w:rsid w:val="00513A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15583</Words>
  <Characters>88824</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Spencer Anderson McElligott</cp:lastModifiedBy>
  <cp:revision>8</cp:revision>
  <dcterms:created xsi:type="dcterms:W3CDTF">2026-02-01T14:03:00Z</dcterms:created>
  <dcterms:modified xsi:type="dcterms:W3CDTF">2026-02-01T14:10:00Z</dcterms:modified>
</cp:coreProperties>
</file>