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708B" w14:textId="77777777" w:rsidR="00F35B0D" w:rsidRDefault="00F35B0D" w:rsidP="00F35B0D">
      <w:pPr>
        <w:pStyle w:val="Heading2"/>
      </w:pPr>
      <w:r>
        <w:t>Off</w:t>
      </w:r>
    </w:p>
    <w:p w14:paraId="5D4251BF" w14:textId="77777777" w:rsidR="00F35B0D" w:rsidRPr="00C75CF7" w:rsidRDefault="00F35B0D" w:rsidP="00F35B0D">
      <w:pPr>
        <w:pStyle w:val="Heading4"/>
      </w:pPr>
      <w:r w:rsidRPr="00C75CF7">
        <w:t xml:space="preserve">The affirmative </w:t>
      </w:r>
      <w:r>
        <w:t>uses analogies of disability using narrative prosthesis, that causes violence against disabled people.</w:t>
      </w:r>
    </w:p>
    <w:p w14:paraId="5446F0A4" w14:textId="77777777" w:rsidR="00F35B0D" w:rsidRDefault="00F35B0D" w:rsidP="00F35B0D">
      <w:proofErr w:type="spellStart"/>
      <w:r w:rsidRPr="00C75CF7">
        <w:rPr>
          <w:rStyle w:val="Style13ptBold"/>
        </w:rPr>
        <w:t>Erevelles</w:t>
      </w:r>
      <w:proofErr w:type="spellEnd"/>
      <w:r w:rsidRPr="00C75CF7">
        <w:rPr>
          <w:rStyle w:val="Style13ptBold"/>
        </w:rPr>
        <w:t xml:space="preserve"> 19</w:t>
      </w:r>
      <w:r>
        <w:t xml:space="preserve"> Professor at Alabama in </w:t>
      </w:r>
      <w:r w:rsidRPr="0098441A">
        <w:t>Social and Cultural Studies in Education</w:t>
      </w:r>
      <w:r>
        <w:t xml:space="preserve"> researches </w:t>
      </w:r>
      <w:r w:rsidRPr="0098441A">
        <w:t>disability studies, critical race theory, transnational feminism, sociology of education, and postcolonial studies.</w:t>
      </w:r>
      <w:r w:rsidRPr="00BE587E">
        <w:t xml:space="preserve"> </w:t>
      </w:r>
      <w:r w:rsidRPr="0098441A">
        <w:t>Her book, Disability and Difference in Global Contexts: Towards a Transformative Body Politic was published by Palgrave in November 2012 and was awarded the Critic’s Choice Award from the American Educational Studies Association. </w:t>
      </w:r>
      <w:r w:rsidRPr="006F5B25">
        <w:t>(</w:t>
      </w:r>
      <w:r>
        <w:t>Nirmala</w:t>
      </w:r>
      <w:r w:rsidRPr="006F5B25">
        <w:t xml:space="preserve">, </w:t>
      </w:r>
      <w:r>
        <w:t>November 8 2019</w:t>
      </w:r>
      <w:r w:rsidRPr="006F5B25">
        <w:t>, “</w:t>
      </w:r>
      <w:r w:rsidRPr="00C75CF7">
        <w:t xml:space="preserve">“Scenes of Subjection” in Public Education: Thinking </w:t>
      </w:r>
      <w:proofErr w:type="spellStart"/>
      <w:r w:rsidRPr="00C75CF7">
        <w:t>Intersectionally</w:t>
      </w:r>
      <w:proofErr w:type="spellEnd"/>
      <w:r w:rsidRPr="00C75CF7">
        <w:t xml:space="preserve"> as If Disability Matters</w:t>
      </w:r>
      <w:r>
        <w:t>” Taylor &amp; Francis</w:t>
      </w:r>
      <w:r w:rsidRPr="006F5B25">
        <w:t xml:space="preserve">, </w:t>
      </w:r>
      <w:hyperlink r:id="rId5" w:anchor="d1e139" w:history="1">
        <w:r w:rsidRPr="0040093C">
          <w:rPr>
            <w:rStyle w:val="Hyperlink"/>
          </w:rPr>
          <w:t>https://www.tandfonline.com/doi/full/10.1080/00131946.2019.1687481?casa_token=gPfuhjZXwSMAAAAA%3ANxK469Ye9Z1VKfONbahcDbFv3P55ydlfzOugFe61Bal1a8YH-Tj24X_E9KJAFjttJrorpUE68IDCNA#d1e139</w:t>
        </w:r>
      </w:hyperlink>
      <w:r w:rsidRPr="00BC4CA4">
        <w:t xml:space="preserve"> </w:t>
      </w:r>
    </w:p>
    <w:p w14:paraId="408A9EC4" w14:textId="77777777" w:rsidR="00F35B0D" w:rsidRDefault="00F35B0D" w:rsidP="00F35B0D">
      <w:pPr>
        <w:rPr>
          <w:rStyle w:val="StyleUnderline"/>
        </w:rPr>
      </w:pPr>
      <w:r w:rsidRPr="001E7BD1">
        <w:rPr>
          <w:sz w:val="16"/>
        </w:rPr>
        <w:t>REFUSING DAMAGE/REFUSING DISABILITY: A QUESTION OF METHOD</w:t>
      </w:r>
      <w:r w:rsidRPr="00BC4CA4">
        <w:rPr>
          <w:sz w:val="16"/>
        </w:rPr>
        <w:t xml:space="preserve"> </w:t>
      </w:r>
      <w:r w:rsidRPr="001E7BD1">
        <w:rPr>
          <w:sz w:val="16"/>
        </w:rPr>
        <w:t xml:space="preserve">In a thought-provoking article, “Venus in Two Acts”, </w:t>
      </w:r>
      <w:proofErr w:type="spellStart"/>
      <w:r w:rsidRPr="001E7BD1">
        <w:rPr>
          <w:sz w:val="16"/>
        </w:rPr>
        <w:t>Saidiya</w:t>
      </w:r>
      <w:proofErr w:type="spellEnd"/>
      <w:r w:rsidRPr="001E7BD1">
        <w:rPr>
          <w:sz w:val="16"/>
        </w:rPr>
        <w:t xml:space="preserve"> Hartman (</w:t>
      </w:r>
      <w:hyperlink r:id="rId6" w:history="1">
        <w:r w:rsidRPr="001E7BD1">
          <w:rPr>
            <w:rStyle w:val="Hyperlink"/>
            <w:sz w:val="16"/>
          </w:rPr>
          <w:t>Citation2008</w:t>
        </w:r>
      </w:hyperlink>
      <w:r w:rsidRPr="001E7BD1">
        <w:rPr>
          <w:sz w:val="16"/>
        </w:rPr>
        <w:t xml:space="preserve">)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w:t>
      </w:r>
      <w:hyperlink r:id="rId7" w:history="1">
        <w:r w:rsidRPr="001E7BD1">
          <w:rPr>
            <w:rStyle w:val="Hyperlink"/>
            <w:sz w:val="16"/>
          </w:rPr>
          <w:t>Citation2008</w:t>
        </w:r>
      </w:hyperlink>
      <w:r w:rsidRPr="001E7BD1">
        <w:rPr>
          <w:sz w:val="16"/>
        </w:rPr>
        <w:t xml:space="preserve">, p. 8). The only words spoken of this other anonymous Venus in the archive was this indifferent remark: “There was another girl aboard the Recovery…whom they named Venus and she too had the pox” (Trial of Captain Kimber for the Murder of the Negro Girl, qtd. in Hartman, </w:t>
      </w:r>
      <w:hyperlink r:id="rId8" w:history="1">
        <w:r w:rsidRPr="001E7BD1">
          <w:rPr>
            <w:rStyle w:val="Hyperlink"/>
            <w:sz w:val="16"/>
          </w:rPr>
          <w:t>Citation2008</w:t>
        </w:r>
      </w:hyperlink>
      <w:r w:rsidRPr="001E7BD1">
        <w:rPr>
          <w:sz w:val="16"/>
        </w:rPr>
        <w:t>, p. 8). Noting this dismissive anonymity that fails to account for a “libidinal investment in violence” (p. 5) that could have perhaps amplified “the slippage between victims and sweet hearts, acts of love and brutal excesses” (p. 5), Hartman laments that it is impossible “to reiterate her name and to tell a story about degraded matter and dishonored life [italics in the text] that doesn’t delight and titillate… [and so] instead [Hartman] ventures toward another mode of writing” (p. 7).</w:t>
      </w:r>
      <w:r w:rsidRPr="00BC4CA4">
        <w:rPr>
          <w:sz w:val="16"/>
        </w:rPr>
        <w:t xml:space="preserve"> </w:t>
      </w:r>
      <w:r w:rsidRPr="001E7BD1">
        <w:rPr>
          <w:sz w:val="16"/>
        </w:rPr>
        <w:t>This other mode of writing that Hartman turns to is one that refuses to reproduce the terrible sensationalism of violated bodies brought to our attention in order to inspire the affective response of horror. Thus, in the very first pages of Scenes of Subjection, Hartman (</w:t>
      </w:r>
      <w:hyperlink r:id="rId9" w:history="1">
        <w:r w:rsidRPr="001E7BD1">
          <w:rPr>
            <w:rStyle w:val="Hyperlink"/>
            <w:sz w:val="16"/>
          </w:rPr>
          <w:t>Citation2007</w:t>
        </w:r>
      </w:hyperlink>
      <w:r w:rsidRPr="001E7BD1">
        <w:rPr>
          <w:sz w:val="16"/>
        </w:rPr>
        <w:t>), refers to the primal scene in Frederick Douglas’ autobiography of the beating of his Aunt Hester, in order to raise questions about the ethics of representing “the spectacular character of black suffering” (p. 3). She writes:</w:t>
      </w:r>
      <w:r w:rsidRPr="00BC4CA4">
        <w:rPr>
          <w:sz w:val="16"/>
        </w:rPr>
        <w:t xml:space="preserve"> </w:t>
      </w:r>
      <w:r w:rsidRPr="001E7BD1">
        <w:rPr>
          <w:sz w:val="16"/>
        </w:rPr>
        <w:t xml:space="preserve">What interests me are the ways we are called upon to participate in these scenes. </w:t>
      </w:r>
      <w:r w:rsidRPr="001671F6">
        <w:rPr>
          <w:rStyle w:val="StyleUnderline"/>
          <w:highlight w:val="cyan"/>
        </w:rPr>
        <w:t>Are we witnesses who confirm the truth of what happened in the face of world destroying capacities</w:t>
      </w:r>
      <w:r w:rsidRPr="001E7BD1">
        <w:rPr>
          <w:rStyle w:val="StyleUnderline"/>
        </w:rPr>
        <w:t xml:space="preserve"> of pain, the distortions of torture, the sheer </w:t>
      </w:r>
      <w:proofErr w:type="spellStart"/>
      <w:r w:rsidRPr="001E7BD1">
        <w:rPr>
          <w:rStyle w:val="StyleUnderline"/>
        </w:rPr>
        <w:t>unrepresentability</w:t>
      </w:r>
      <w:proofErr w:type="spellEnd"/>
      <w:r w:rsidRPr="001E7BD1">
        <w:rPr>
          <w:rStyle w:val="StyleUnderline"/>
        </w:rPr>
        <w:t xml:space="preserve"> of terror, and the repression of dominant account? </w:t>
      </w:r>
      <w:r w:rsidRPr="001671F6">
        <w:rPr>
          <w:rStyle w:val="StyleUnderline"/>
          <w:highlight w:val="cyan"/>
        </w:rPr>
        <w:t>Or are we voyeurs fascinated with and repelled by exhibitions of terror and sufferance</w:t>
      </w:r>
      <w:r w:rsidRPr="001E7BD1">
        <w:rPr>
          <w:rStyle w:val="StyleUnderline"/>
        </w:rPr>
        <w:t>? What does the exposure of the violated body yield? Proof of black sentience or the inhumanity of the ‘peculiar institution”? Or does the pain of the other provide us with the opportunity for self-reflection?</w:t>
      </w:r>
      <w:r w:rsidRPr="001E7BD1">
        <w:rPr>
          <w:sz w:val="16"/>
        </w:rPr>
        <w:t xml:space="preserve"> (Hartman, </w:t>
      </w:r>
      <w:hyperlink r:id="rId10" w:history="1">
        <w:r w:rsidRPr="001E7BD1">
          <w:rPr>
            <w:rStyle w:val="Hyperlink"/>
            <w:sz w:val="16"/>
          </w:rPr>
          <w:t>Citation2007</w:t>
        </w:r>
      </w:hyperlink>
      <w:r w:rsidRPr="001E7BD1">
        <w:rPr>
          <w:sz w:val="16"/>
        </w:rPr>
        <w:t>, pp. 3–4).</w:t>
      </w:r>
      <w:r w:rsidRPr="00BC4CA4">
        <w:rPr>
          <w:sz w:val="16"/>
        </w:rPr>
        <w:t xml:space="preserve"> </w:t>
      </w:r>
      <w:r w:rsidRPr="001E7BD1">
        <w:rPr>
          <w:rStyle w:val="StyleUnderline"/>
        </w:rPr>
        <w:t>The questions that Hartman raises here echo indigenous scholar, Eve Tuck’s (</w:t>
      </w:r>
      <w:hyperlink r:id="rId11" w:history="1">
        <w:r w:rsidRPr="001E7BD1">
          <w:rPr>
            <w:rStyle w:val="StyleUnderline"/>
          </w:rPr>
          <w:t>Citation2009</w:t>
        </w:r>
      </w:hyperlink>
      <w:r w:rsidRPr="001E7BD1">
        <w:rPr>
          <w:rStyle w:val="StyleUnderline"/>
        </w:rPr>
        <w:t xml:space="preserve">) exhortation to educational researchers and practitioners to join her “in re-visioning research in our [indigenous] communities not only to </w:t>
      </w:r>
      <w:r w:rsidRPr="001671F6">
        <w:rPr>
          <w:rStyle w:val="StyleUnderline"/>
          <w:highlight w:val="cyan"/>
        </w:rPr>
        <w:t>recognize the need to document</w:t>
      </w:r>
      <w:r w:rsidRPr="001E7BD1">
        <w:rPr>
          <w:rStyle w:val="StyleUnderline"/>
        </w:rPr>
        <w:t xml:space="preserve"> the </w:t>
      </w:r>
      <w:r w:rsidRPr="001671F6">
        <w:rPr>
          <w:rStyle w:val="StyleUnderline"/>
          <w:highlight w:val="cyan"/>
        </w:rPr>
        <w:t>effects of oppression</w:t>
      </w:r>
      <w:r w:rsidRPr="001E7BD1">
        <w:rPr>
          <w:rStyle w:val="StyleUnderline"/>
        </w:rPr>
        <w:t xml:space="preserve"> on our communities </w:t>
      </w:r>
      <w:r w:rsidRPr="001671F6">
        <w:rPr>
          <w:rStyle w:val="StyleUnderline"/>
          <w:highlight w:val="cyan"/>
        </w:rPr>
        <w:t>but also to consider the</w:t>
      </w:r>
      <w:r w:rsidRPr="001E7BD1">
        <w:rPr>
          <w:rStyle w:val="StyleUnderline"/>
        </w:rPr>
        <w:t xml:space="preserve"> long-term </w:t>
      </w:r>
      <w:r w:rsidRPr="001671F6">
        <w:rPr>
          <w:rStyle w:val="StyleUnderline"/>
          <w:highlight w:val="cyan"/>
        </w:rPr>
        <w:t>repercussions of</w:t>
      </w:r>
      <w:r w:rsidRPr="001E7BD1">
        <w:rPr>
          <w:rStyle w:val="StyleUnderline"/>
        </w:rPr>
        <w:t xml:space="preserve"> thinking of ourselves as broken [emphasis in the text]”</w:t>
      </w:r>
      <w:r w:rsidRPr="001E7BD1">
        <w:rPr>
          <w:sz w:val="16"/>
        </w:rPr>
        <w:t xml:space="preserve"> (p. 409). In short, Tuck along with Hartman are asking that we halt our misplaced and warped commitment to “damage-centered research” (p. 409). Tuck (</w:t>
      </w:r>
      <w:hyperlink r:id="rId12" w:history="1">
        <w:r w:rsidRPr="001E7BD1">
          <w:rPr>
            <w:rStyle w:val="Hyperlink"/>
            <w:sz w:val="16"/>
          </w:rPr>
          <w:t>Citation2009</w:t>
        </w:r>
      </w:hyperlink>
      <w:r w:rsidRPr="001E7BD1">
        <w:rPr>
          <w:sz w:val="16"/>
        </w:rPr>
        <w:t>) goes on to explain:</w:t>
      </w:r>
      <w:r w:rsidRPr="00BC4CA4">
        <w:rPr>
          <w:sz w:val="16"/>
        </w:rPr>
        <w:t xml:space="preserve"> </w:t>
      </w:r>
      <w:r w:rsidRPr="001E7BD1">
        <w:rPr>
          <w:sz w:val="16"/>
        </w:rPr>
        <w:t xml:space="preserve">In damage-centered research, one of the major activities is to document pain or loss in an individual community or tribe. </w:t>
      </w:r>
      <w:r w:rsidRPr="001E7BD1">
        <w:rPr>
          <w:rStyle w:val="StyleUnderline"/>
        </w:rPr>
        <w:t xml:space="preserve">Though connected to deficit models – frameworks that emphasize what a particular student, family, or community is lacking to explain underachievement or failure – </w:t>
      </w:r>
      <w:r w:rsidRPr="001671F6">
        <w:rPr>
          <w:rStyle w:val="StyleUnderline"/>
          <w:highlight w:val="cyan"/>
        </w:rPr>
        <w:t>damage-centered research</w:t>
      </w:r>
      <w:r w:rsidRPr="001E7BD1">
        <w:rPr>
          <w:rStyle w:val="StyleUnderline"/>
        </w:rPr>
        <w:t xml:space="preserve"> is distinct in being more socially and historically situated. It looks to historical exploitation, domination and colonization to explain contemporary brokenness, such as poverty, poor health, and literacy</w:t>
      </w:r>
      <w:r w:rsidRPr="001E7BD1">
        <w:rPr>
          <w:sz w:val="16"/>
        </w:rPr>
        <w:t>. Commonsense tells us this is a good thing, but the danger in damage-centered research is that it is a pathologizing approach in which oppression singularly defines a community (p. 413).</w:t>
      </w:r>
      <w:r w:rsidRPr="00BC4CA4">
        <w:rPr>
          <w:sz w:val="16"/>
        </w:rPr>
        <w:t xml:space="preserve"> </w:t>
      </w:r>
      <w:r w:rsidRPr="001E7BD1">
        <w:rPr>
          <w:rStyle w:val="StyleUnderline"/>
        </w:rPr>
        <w:t xml:space="preserve">The arguments of Hartman and Tuck should give us </w:t>
      </w:r>
      <w:r w:rsidRPr="001671F6">
        <w:rPr>
          <w:rStyle w:val="StyleUnderline"/>
          <w:highlight w:val="cyan"/>
        </w:rPr>
        <w:t>pause to reflect on this commitment to suspend damage in order to not reproduce the very violence we are</w:t>
      </w:r>
      <w:r w:rsidRPr="001E7BD1">
        <w:rPr>
          <w:rStyle w:val="StyleUnderline"/>
        </w:rPr>
        <w:t xml:space="preserve"> ironically </w:t>
      </w:r>
      <w:r w:rsidRPr="001671F6">
        <w:rPr>
          <w:rStyle w:val="StyleUnderline"/>
          <w:highlight w:val="cyan"/>
        </w:rPr>
        <w:t>seeking to terminate</w:t>
      </w:r>
      <w:r w:rsidRPr="001E7BD1">
        <w:rPr>
          <w:rStyle w:val="StyleUnderline"/>
        </w:rPr>
        <w:t>. But then, I argue</w:t>
      </w:r>
      <w:r w:rsidRPr="001671F6">
        <w:rPr>
          <w:rStyle w:val="StyleUnderline"/>
          <w:highlight w:val="cyan"/>
        </w:rPr>
        <w:t>, in our turning away from damage-centered research</w:t>
      </w:r>
      <w:r w:rsidRPr="001E7BD1">
        <w:rPr>
          <w:rStyle w:val="StyleUnderline"/>
        </w:rPr>
        <w:t xml:space="preserve">, from </w:t>
      </w:r>
      <w:r w:rsidRPr="00F35B0D">
        <w:rPr>
          <w:rStyle w:val="StyleUnderline"/>
          <w:highlight w:val="cyan"/>
        </w:rPr>
        <w:t>what</w:t>
      </w:r>
      <w:r w:rsidRPr="001E7BD1">
        <w:rPr>
          <w:rStyle w:val="StyleUnderline"/>
        </w:rPr>
        <w:t xml:space="preserve"> exactly </w:t>
      </w:r>
      <w:r w:rsidRPr="00F35B0D">
        <w:rPr>
          <w:rStyle w:val="StyleUnderline"/>
          <w:highlight w:val="cyan"/>
        </w:rPr>
        <w:t>are we turning away</w:t>
      </w:r>
      <w:r w:rsidRPr="001E7BD1">
        <w:rPr>
          <w:rStyle w:val="StyleUnderline"/>
        </w:rPr>
        <w:t xml:space="preserve">? The </w:t>
      </w:r>
      <w:r w:rsidRPr="00F35B0D">
        <w:rPr>
          <w:rStyle w:val="StyleUnderline"/>
          <w:highlight w:val="cyan"/>
        </w:rPr>
        <w:t>words that pepper</w:t>
      </w:r>
      <w:r w:rsidRPr="001E7BD1">
        <w:rPr>
          <w:rStyle w:val="StyleUnderline"/>
        </w:rPr>
        <w:t xml:space="preserve"> the </w:t>
      </w:r>
      <w:r w:rsidRPr="001671F6">
        <w:rPr>
          <w:rStyle w:val="StyleUnderline"/>
          <w:highlight w:val="cyan"/>
        </w:rPr>
        <w:t>landscape of damage-centered research</w:t>
      </w:r>
      <w:r w:rsidRPr="001E7BD1">
        <w:rPr>
          <w:rStyle w:val="StyleUnderline"/>
        </w:rPr>
        <w:t xml:space="preserve"> – words like “</w:t>
      </w:r>
      <w:r w:rsidRPr="00F35B0D">
        <w:rPr>
          <w:rStyle w:val="StyleUnderline"/>
          <w:highlight w:val="cyan"/>
        </w:rPr>
        <w:t>deficit</w:t>
      </w:r>
      <w:r w:rsidRPr="001E7BD1">
        <w:rPr>
          <w:rStyle w:val="StyleUnderline"/>
        </w:rPr>
        <w:t>”, “underachievement”, “failure”, “</w:t>
      </w:r>
      <w:r w:rsidRPr="00F35B0D">
        <w:rPr>
          <w:rStyle w:val="StyleUnderline"/>
          <w:highlight w:val="cyan"/>
        </w:rPr>
        <w:t>brokenness</w:t>
      </w:r>
      <w:r w:rsidRPr="001E7BD1">
        <w:rPr>
          <w:rStyle w:val="StyleUnderline"/>
        </w:rPr>
        <w:t>,” “</w:t>
      </w:r>
      <w:r w:rsidRPr="00F35B0D">
        <w:rPr>
          <w:rStyle w:val="StyleUnderline"/>
          <w:highlight w:val="cyan"/>
        </w:rPr>
        <w:t>pathology</w:t>
      </w:r>
      <w:r w:rsidRPr="001E7BD1">
        <w:rPr>
          <w:rStyle w:val="StyleUnderline"/>
        </w:rPr>
        <w:t xml:space="preserve">”, </w:t>
      </w:r>
      <w:r w:rsidRPr="00F35B0D">
        <w:rPr>
          <w:rStyle w:val="StyleUnderline"/>
          <w:highlight w:val="cyan"/>
        </w:rPr>
        <w:t>are words</w:t>
      </w:r>
      <w:r w:rsidRPr="001E7BD1">
        <w:rPr>
          <w:rStyle w:val="StyleUnderline"/>
        </w:rPr>
        <w:t xml:space="preserve"> historically </w:t>
      </w:r>
      <w:r w:rsidRPr="00F35B0D">
        <w:rPr>
          <w:rStyle w:val="StyleUnderline"/>
          <w:highlight w:val="cyan"/>
        </w:rPr>
        <w:t>associated with disability</w:t>
      </w:r>
      <w:r w:rsidRPr="001E7BD1">
        <w:rPr>
          <w:rStyle w:val="StyleUnderline"/>
        </w:rPr>
        <w:t xml:space="preserve">. </w:t>
      </w:r>
      <w:r w:rsidRPr="001E7BD1">
        <w:rPr>
          <w:sz w:val="16"/>
        </w:rPr>
        <w:t xml:space="preserve">Thus, I argue that in order to get herself out of the representational quandary she described earlier, </w:t>
      </w:r>
      <w:r w:rsidRPr="00F35B0D">
        <w:rPr>
          <w:rStyle w:val="StyleUnderline"/>
          <w:highlight w:val="cyan"/>
        </w:rPr>
        <w:t>Hartman</w:t>
      </w:r>
      <w:r w:rsidRPr="001E7BD1">
        <w:rPr>
          <w:rStyle w:val="StyleUnderline"/>
        </w:rPr>
        <w:t xml:space="preserve"> unwittingly </w:t>
      </w:r>
      <w:r w:rsidRPr="00F35B0D">
        <w:rPr>
          <w:rStyle w:val="StyleUnderline"/>
          <w:highlight w:val="cyan"/>
        </w:rPr>
        <w:t>invokes</w:t>
      </w:r>
      <w:r w:rsidRPr="001E7BD1">
        <w:rPr>
          <w:rStyle w:val="StyleUnderline"/>
        </w:rPr>
        <w:t xml:space="preserve"> the spectral presence of </w:t>
      </w:r>
      <w:r w:rsidRPr="00F35B0D">
        <w:rPr>
          <w:rStyle w:val="StyleUnderline"/>
          <w:highlight w:val="cyan"/>
        </w:rPr>
        <w:t>disability</w:t>
      </w:r>
      <w:r w:rsidRPr="001E7BD1">
        <w:rPr>
          <w:rStyle w:val="StyleUnderline"/>
        </w:rPr>
        <w:t xml:space="preserve"> only </w:t>
      </w:r>
      <w:r w:rsidRPr="00F35B0D">
        <w:rPr>
          <w:rStyle w:val="StyleUnderline"/>
          <w:highlight w:val="cyan"/>
        </w:rPr>
        <w:t>to require</w:t>
      </w:r>
      <w:r w:rsidRPr="001E7BD1">
        <w:rPr>
          <w:rStyle w:val="StyleUnderline"/>
        </w:rPr>
        <w:t xml:space="preserve"> its immediate radical </w:t>
      </w:r>
      <w:r w:rsidRPr="00F35B0D">
        <w:rPr>
          <w:rStyle w:val="StyleUnderline"/>
          <w:highlight w:val="cyan"/>
        </w:rPr>
        <w:t>disavowal in her</w:t>
      </w:r>
      <w:r w:rsidRPr="001E7BD1">
        <w:rPr>
          <w:rStyle w:val="StyleUnderline"/>
        </w:rPr>
        <w:t xml:space="preserve"> ethical </w:t>
      </w:r>
      <w:r w:rsidRPr="00F35B0D">
        <w:rPr>
          <w:rStyle w:val="StyleUnderline"/>
          <w:highlight w:val="cyan"/>
        </w:rPr>
        <w:t>attempts</w:t>
      </w:r>
      <w:r w:rsidRPr="001E7BD1">
        <w:rPr>
          <w:rStyle w:val="StyleUnderline"/>
        </w:rPr>
        <w:t xml:space="preserve"> to “revisit the scene of subjection without replicating the grammar of violence” (Hartman, </w:t>
      </w:r>
      <w:hyperlink r:id="rId13" w:history="1">
        <w:r w:rsidRPr="001E7BD1">
          <w:rPr>
            <w:rStyle w:val="StyleUnderline"/>
          </w:rPr>
          <w:t>Citation2008</w:t>
        </w:r>
      </w:hyperlink>
      <w:r w:rsidRPr="001E7BD1">
        <w:rPr>
          <w:rStyle w:val="StyleUnderline"/>
        </w:rPr>
        <w:t>, p. 4) that inevitably results in “this routine display of the slave’s ravaged body”</w:t>
      </w:r>
      <w:r w:rsidRPr="001E7BD1">
        <w:rPr>
          <w:sz w:val="16"/>
        </w:rPr>
        <w:t xml:space="preserve"> (Hartman, </w:t>
      </w:r>
      <w:hyperlink r:id="rId14" w:history="1">
        <w:r w:rsidRPr="001E7BD1">
          <w:rPr>
            <w:rStyle w:val="Hyperlink"/>
            <w:sz w:val="16"/>
          </w:rPr>
          <w:t>Citation2007</w:t>
        </w:r>
      </w:hyperlink>
      <w:r w:rsidRPr="001E7BD1">
        <w:rPr>
          <w:sz w:val="16"/>
        </w:rPr>
        <w:t>; p. 3). Similarly, Tuck (</w:t>
      </w:r>
      <w:hyperlink r:id="rId15" w:history="1">
        <w:r w:rsidRPr="001E7BD1">
          <w:rPr>
            <w:rStyle w:val="Hyperlink"/>
            <w:sz w:val="16"/>
          </w:rPr>
          <w:t>Citation2009</w:t>
        </w:r>
      </w:hyperlink>
      <w:r w:rsidRPr="001E7BD1">
        <w:rPr>
          <w:sz w:val="16"/>
        </w:rPr>
        <w:t xml:space="preserve">) in </w:t>
      </w:r>
      <w:r w:rsidRPr="001E7BD1">
        <w:rPr>
          <w:rStyle w:val="StyleUnderline"/>
        </w:rPr>
        <w:t xml:space="preserve">asking for a “moratorium - a turning of our backs on narratives that insist that we are ruined, that we are broken, that we are damaged” (p. 424) implicitly </w:t>
      </w:r>
      <w:r w:rsidRPr="00F35B0D">
        <w:rPr>
          <w:rStyle w:val="StyleUnderline"/>
          <w:highlight w:val="cyan"/>
        </w:rPr>
        <w:t>suggests that we turn away from</w:t>
      </w:r>
      <w:r w:rsidRPr="001E7BD1">
        <w:rPr>
          <w:rStyle w:val="StyleUnderline"/>
        </w:rPr>
        <w:t xml:space="preserve"> the spectral </w:t>
      </w:r>
      <w:r w:rsidRPr="00F35B0D">
        <w:rPr>
          <w:rStyle w:val="StyleUnderline"/>
          <w:highlight w:val="cyan"/>
        </w:rPr>
        <w:t>presence of</w:t>
      </w:r>
      <w:r w:rsidRPr="001E7BD1">
        <w:rPr>
          <w:rStyle w:val="StyleUnderline"/>
        </w:rPr>
        <w:t xml:space="preserve"> </w:t>
      </w:r>
      <w:r w:rsidRPr="00F35B0D">
        <w:rPr>
          <w:rStyle w:val="StyleUnderline"/>
          <w:highlight w:val="cyan"/>
        </w:rPr>
        <w:t>disability</w:t>
      </w:r>
      <w:r w:rsidRPr="001E7BD1">
        <w:rPr>
          <w:rStyle w:val="StyleUnderline"/>
        </w:rPr>
        <w:t xml:space="preserve"> that has embodied what we have historically viewed as “deviant difference”. In both contexts, an appeal to ethical </w:t>
      </w:r>
      <w:r w:rsidRPr="00F35B0D">
        <w:rPr>
          <w:rStyle w:val="StyleUnderline"/>
          <w:highlight w:val="cyan"/>
        </w:rPr>
        <w:t>representations of racial difference hinges on a repudiation of disability</w:t>
      </w:r>
      <w:r w:rsidRPr="001E7BD1">
        <w:rPr>
          <w:rStyle w:val="StyleUnderline"/>
        </w:rPr>
        <w:t xml:space="preserve"> as voyeuristic fetish and/or disability as embodied damage. In each case, I argue </w:t>
      </w:r>
      <w:r w:rsidRPr="00F35B0D">
        <w:rPr>
          <w:rStyle w:val="StyleUnderline"/>
          <w:highlight w:val="cyan"/>
        </w:rPr>
        <w:t>disability is put to</w:t>
      </w:r>
      <w:r w:rsidRPr="001E7BD1">
        <w:rPr>
          <w:rStyle w:val="StyleUnderline"/>
        </w:rPr>
        <w:t xml:space="preserve"> </w:t>
      </w:r>
      <w:r w:rsidRPr="00F35B0D">
        <w:rPr>
          <w:rStyle w:val="StyleUnderline"/>
          <w:highlight w:val="cyan"/>
        </w:rPr>
        <w:t>work to liberate</w:t>
      </w:r>
      <w:r w:rsidRPr="001E7BD1">
        <w:rPr>
          <w:rStyle w:val="StyleUnderline"/>
        </w:rPr>
        <w:t xml:space="preserve"> critical/transformative </w:t>
      </w:r>
      <w:r w:rsidRPr="00F35B0D">
        <w:rPr>
          <w:rStyle w:val="StyleUnderline"/>
          <w:highlight w:val="cyan"/>
        </w:rPr>
        <w:t>methodologies from a damage-centered focus</w:t>
      </w:r>
      <w:r w:rsidRPr="001E7BD1">
        <w:rPr>
          <w:rStyle w:val="StyleUnderline"/>
        </w:rPr>
        <w:t xml:space="preserve"> at multiple scenes of subjection with </w:t>
      </w:r>
      <w:r w:rsidRPr="00F35B0D">
        <w:rPr>
          <w:rStyle w:val="StyleUnderline"/>
          <w:highlight w:val="cyan"/>
        </w:rPr>
        <w:t>scarce recognition of this labor</w:t>
      </w:r>
      <w:r w:rsidRPr="001E7BD1">
        <w:rPr>
          <w:rStyle w:val="StyleUnderline"/>
        </w:rPr>
        <w:t>.</w:t>
      </w:r>
      <w:r w:rsidRPr="006175E4">
        <w:rPr>
          <w:rStyle w:val="StyleUnderline"/>
        </w:rPr>
        <w:t xml:space="preserve"> </w:t>
      </w:r>
      <w:r w:rsidRPr="001E7BD1">
        <w:rPr>
          <w:rStyle w:val="StyleUnderline"/>
        </w:rPr>
        <w:t xml:space="preserve">I use the terms “unwittingly” and “implicitly” in describing this turning away from disability not as a critique of either of these scholars (whose work has transformed my own thinking) but rather to publicly alert us as to how </w:t>
      </w:r>
      <w:r w:rsidRPr="00F35B0D">
        <w:rPr>
          <w:rStyle w:val="StyleUnderline"/>
          <w:highlight w:val="cyan"/>
        </w:rPr>
        <w:t>disability’s ghostly</w:t>
      </w:r>
      <w:r w:rsidRPr="001E7BD1">
        <w:rPr>
          <w:rStyle w:val="StyleUnderline"/>
        </w:rPr>
        <w:t xml:space="preserve"> </w:t>
      </w:r>
      <w:r w:rsidRPr="00F35B0D">
        <w:rPr>
          <w:rStyle w:val="StyleUnderline"/>
          <w:highlight w:val="cyan"/>
        </w:rPr>
        <w:t>presence foregrounds</w:t>
      </w:r>
      <w:r w:rsidRPr="001E7BD1">
        <w:rPr>
          <w:rStyle w:val="StyleUnderline"/>
        </w:rPr>
        <w:t xml:space="preserve"> the </w:t>
      </w:r>
      <w:r w:rsidRPr="00F35B0D">
        <w:rPr>
          <w:rStyle w:val="StyleUnderline"/>
          <w:highlight w:val="cyan"/>
        </w:rPr>
        <w:t>naturalization of ableist imperatives in</w:t>
      </w:r>
      <w:r w:rsidRPr="001E7BD1">
        <w:rPr>
          <w:rStyle w:val="StyleUnderline"/>
        </w:rPr>
        <w:t xml:space="preserve"> critical/transformative </w:t>
      </w:r>
      <w:r w:rsidRPr="00F35B0D">
        <w:rPr>
          <w:rStyle w:val="StyleUnderline"/>
          <w:highlight w:val="cyan"/>
        </w:rPr>
        <w:t>methodologies</w:t>
      </w:r>
      <w:r w:rsidRPr="001E7BD1">
        <w:rPr>
          <w:rStyle w:val="StyleUnderline"/>
        </w:rPr>
        <w:t xml:space="preserve">. Here, </w:t>
      </w:r>
      <w:r w:rsidRPr="00F35B0D">
        <w:rPr>
          <w:rStyle w:val="StyleUnderline"/>
          <w:highlight w:val="cyan"/>
        </w:rPr>
        <w:t>rather than turning away</w:t>
      </w:r>
      <w:r w:rsidRPr="001E7BD1">
        <w:rPr>
          <w:rStyle w:val="StyleUnderline"/>
        </w:rPr>
        <w:t xml:space="preserve">, I </w:t>
      </w:r>
      <w:r w:rsidRPr="00F35B0D">
        <w:rPr>
          <w:rStyle w:val="StyleUnderline"/>
          <w:highlight w:val="cyan"/>
        </w:rPr>
        <w:t>urge critical scholars to direct their attention to the</w:t>
      </w:r>
      <w:r w:rsidRPr="001E7BD1">
        <w:rPr>
          <w:rStyle w:val="StyleUnderline"/>
        </w:rPr>
        <w:t xml:space="preserve"> spectral </w:t>
      </w:r>
      <w:r w:rsidRPr="00F35B0D">
        <w:rPr>
          <w:rStyle w:val="StyleUnderline"/>
          <w:highlight w:val="cyan"/>
        </w:rPr>
        <w:t xml:space="preserve">presence of disability </w:t>
      </w:r>
      <w:r w:rsidRPr="001E7BD1">
        <w:rPr>
          <w:rStyle w:val="StyleUnderline"/>
        </w:rPr>
        <w:t>that notifies us “that what’s been concealed is very much alive and present, interfering precisely with those always incomplete forms of containment and repression ceaselessly directed towards us”</w:t>
      </w:r>
      <w:r w:rsidRPr="001E7BD1">
        <w:rPr>
          <w:sz w:val="16"/>
        </w:rPr>
        <w:t xml:space="preserve"> (Gordon, </w:t>
      </w:r>
      <w:hyperlink r:id="rId16" w:history="1">
        <w:r w:rsidRPr="001E7BD1">
          <w:rPr>
            <w:rStyle w:val="Hyperlink"/>
            <w:sz w:val="16"/>
          </w:rPr>
          <w:t>Citation2008</w:t>
        </w:r>
      </w:hyperlink>
      <w:r w:rsidRPr="001E7BD1">
        <w:rPr>
          <w:sz w:val="16"/>
        </w:rPr>
        <w:t>, p. xvi). In other words, like Jojo, Leonie, and Kayla, the only characters in Ward’s novel who are able to see ghostly figures – denizens of those scenes of subjection – I urge critical scholars to likewise pay attention to hauntings in their critical/transformative methodologies of inquiry. Avery Gordon (</w:t>
      </w:r>
      <w:hyperlink r:id="rId17" w:history="1">
        <w:r w:rsidRPr="001E7BD1">
          <w:rPr>
            <w:rStyle w:val="Hyperlink"/>
            <w:sz w:val="16"/>
          </w:rPr>
          <w:t>Citation2008</w:t>
        </w:r>
      </w:hyperlink>
      <w:r w:rsidRPr="001E7BD1">
        <w:rPr>
          <w:sz w:val="16"/>
        </w:rPr>
        <w:t>) writes:</w:t>
      </w:r>
      <w:r w:rsidRPr="00BC4CA4">
        <w:rPr>
          <w:sz w:val="16"/>
        </w:rPr>
        <w:t xml:space="preserve"> </w:t>
      </w:r>
      <w:r w:rsidRPr="001E7BD1">
        <w:rPr>
          <w:sz w:val="16"/>
        </w:rPr>
        <w:t>Haunting is a frightening experience</w:t>
      </w:r>
      <w:r w:rsidRPr="001E7BD1">
        <w:rPr>
          <w:rStyle w:val="StyleUnderline"/>
        </w:rPr>
        <w:t>.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w:t>
      </w:r>
      <w:r w:rsidRPr="001E7BD1">
        <w:rPr>
          <w:sz w:val="16"/>
        </w:rPr>
        <w:t xml:space="preserve"> It is this socio-psychological state to which haunting referred (p. xvi)</w:t>
      </w:r>
      <w:r w:rsidRPr="00BC4CA4">
        <w:rPr>
          <w:sz w:val="16"/>
        </w:rPr>
        <w:t xml:space="preserve"> </w:t>
      </w:r>
      <w:r w:rsidRPr="001E7BD1">
        <w:rPr>
          <w:sz w:val="16"/>
        </w:rPr>
        <w:t xml:space="preserve">Drawing on Gordon’s definition of haunting, I argue that the spectral presence of disability shows up at every “scene of subjection” we witness both inside and outside educational research/contexts without any sign of leaving. </w:t>
      </w:r>
      <w:r w:rsidRPr="001E7BD1">
        <w:rPr>
          <w:rStyle w:val="StyleUnderline"/>
        </w:rPr>
        <w:t xml:space="preserve">This is not to say that disability is unreal, confined to the realm of ghostly discourse. Rather, I argue that </w:t>
      </w:r>
      <w:r w:rsidRPr="00F35B0D">
        <w:rPr>
          <w:rStyle w:val="StyleUnderline"/>
          <w:highlight w:val="cyan"/>
        </w:rPr>
        <w:t>ableist constructions of disability as the embodiment of damage are</w:t>
      </w:r>
      <w:r w:rsidRPr="001E7BD1">
        <w:rPr>
          <w:rStyle w:val="StyleUnderline"/>
        </w:rPr>
        <w:t xml:space="preserve"> regularly </w:t>
      </w:r>
      <w:r w:rsidRPr="00F35B0D">
        <w:rPr>
          <w:rStyle w:val="StyleUnderline"/>
          <w:highlight w:val="cyan"/>
        </w:rPr>
        <w:t>deployed to compel us to witness</w:t>
      </w:r>
      <w:r w:rsidRPr="001E7BD1">
        <w:rPr>
          <w:rStyle w:val="StyleUnderline"/>
        </w:rPr>
        <w:t xml:space="preserve"> the realness of global </w:t>
      </w:r>
      <w:r w:rsidRPr="00F35B0D">
        <w:rPr>
          <w:rStyle w:val="StyleUnderline"/>
          <w:highlight w:val="cyan"/>
        </w:rPr>
        <w:t>suffering</w:t>
      </w:r>
      <w:r w:rsidRPr="001E7BD1">
        <w:rPr>
          <w:sz w:val="16"/>
        </w:rPr>
        <w:t xml:space="preserve">. On social and other media, photographic images of women and children with disabilities compete with thousands of other images of suffering (see for instance, Human Rights Watch, </w:t>
      </w:r>
      <w:hyperlink r:id="rId18" w:history="1">
        <w:r w:rsidRPr="001E7BD1">
          <w:rPr>
            <w:rStyle w:val="Hyperlink"/>
            <w:sz w:val="16"/>
          </w:rPr>
          <w:t>Citation2018</w:t>
        </w:r>
      </w:hyperlink>
      <w:r w:rsidRPr="001E7BD1">
        <w:rPr>
          <w:sz w:val="16"/>
        </w:rPr>
        <w:t xml:space="preserve">)) vying for the attention of an impatient and fickle global audience (Kim, </w:t>
      </w:r>
      <w:hyperlink r:id="rId19" w:history="1">
        <w:r w:rsidRPr="001E7BD1">
          <w:rPr>
            <w:rStyle w:val="Hyperlink"/>
            <w:sz w:val="16"/>
          </w:rPr>
          <w:t>Citation2011</w:t>
        </w:r>
      </w:hyperlink>
      <w:r w:rsidRPr="001E7BD1">
        <w:rPr>
          <w:sz w:val="16"/>
        </w:rPr>
        <w:t xml:space="preserve">). </w:t>
      </w:r>
      <w:r w:rsidRPr="001E7BD1">
        <w:rPr>
          <w:rStyle w:val="StyleUnderline"/>
        </w:rPr>
        <w:t xml:space="preserve">In these images, </w:t>
      </w:r>
      <w:r w:rsidRPr="00F35B0D">
        <w:rPr>
          <w:rStyle w:val="StyleUnderline"/>
          <w:highlight w:val="cyan"/>
        </w:rPr>
        <w:t>disability</w:t>
      </w:r>
      <w:r w:rsidRPr="001E7BD1">
        <w:rPr>
          <w:rStyle w:val="StyleUnderline"/>
        </w:rPr>
        <w:t xml:space="preserve"> appears </w:t>
      </w:r>
      <w:r w:rsidRPr="00F35B0D">
        <w:rPr>
          <w:rStyle w:val="StyleUnderline"/>
          <w:highlight w:val="cyan"/>
        </w:rPr>
        <w:t>synonymous with</w:t>
      </w:r>
      <w:r w:rsidRPr="001E7BD1">
        <w:rPr>
          <w:rStyle w:val="StyleUnderline"/>
        </w:rPr>
        <w:t xml:space="preserve"> an abject </w:t>
      </w:r>
      <w:r w:rsidRPr="00F35B0D">
        <w:rPr>
          <w:rStyle w:val="StyleUnderline"/>
          <w:highlight w:val="cyan"/>
        </w:rPr>
        <w:t>vulnerability becoming</w:t>
      </w:r>
      <w:r w:rsidRPr="001E7BD1">
        <w:rPr>
          <w:rStyle w:val="StyleUnderline"/>
        </w:rPr>
        <w:t xml:space="preserve"> simultaneously (</w:t>
      </w:r>
      <w:r w:rsidRPr="00F35B0D">
        <w:rPr>
          <w:rStyle w:val="StyleUnderline"/>
          <w:highlight w:val="cyan"/>
        </w:rPr>
        <w:t>hyper)visible</w:t>
      </w:r>
      <w:r w:rsidRPr="001E7BD1">
        <w:rPr>
          <w:rStyle w:val="StyleUnderline"/>
        </w:rPr>
        <w:t xml:space="preserve"> in its ability to trigger an </w:t>
      </w:r>
      <w:proofErr w:type="spellStart"/>
      <w:r w:rsidRPr="001E7BD1">
        <w:rPr>
          <w:rStyle w:val="StyleUnderline"/>
        </w:rPr>
        <w:t>affective</w:t>
      </w:r>
      <w:proofErr w:type="spellEnd"/>
      <w:r w:rsidRPr="001E7BD1">
        <w:rPr>
          <w:rStyle w:val="StyleUnderline"/>
        </w:rPr>
        <w:t xml:space="preserve"> response but (hyper)invisible when social policy is called upon to respond to the real material consequences of actually living with a disability</w:t>
      </w:r>
      <w:r w:rsidRPr="001E7BD1">
        <w:rPr>
          <w:sz w:val="16"/>
        </w:rPr>
        <w:t>.</w:t>
      </w:r>
      <w:r w:rsidRPr="00BC4CA4">
        <w:rPr>
          <w:sz w:val="16"/>
        </w:rPr>
        <w:t xml:space="preserve"> </w:t>
      </w:r>
      <w:r w:rsidRPr="001E7BD1">
        <w:rPr>
          <w:sz w:val="16"/>
        </w:rPr>
        <w:t xml:space="preserve">In an essay entitled, “The </w:t>
      </w:r>
      <w:proofErr w:type="spellStart"/>
      <w:r w:rsidRPr="001E7BD1">
        <w:rPr>
          <w:sz w:val="16"/>
        </w:rPr>
        <w:t>Spectre</w:t>
      </w:r>
      <w:proofErr w:type="spellEnd"/>
      <w:r w:rsidRPr="001E7BD1">
        <w:rPr>
          <w:sz w:val="16"/>
        </w:rPr>
        <w:t xml:space="preserve"> of Vulnerability and Disabled Bodies in Protest,” Eunjung Kim (</w:t>
      </w:r>
      <w:hyperlink r:id="rId20" w:history="1">
        <w:r w:rsidRPr="001E7BD1">
          <w:rPr>
            <w:rStyle w:val="Hyperlink"/>
            <w:sz w:val="16"/>
          </w:rPr>
          <w:t>Citation2016b</w:t>
        </w:r>
      </w:hyperlink>
      <w:r w:rsidRPr="001E7BD1">
        <w:rPr>
          <w:sz w:val="16"/>
        </w:rPr>
        <w:t>) discusses the Afghan film, Kandahar that features several scenes portraying bodies disabled by war. Kim observes that in these scenes “[d]</w:t>
      </w:r>
      <w:proofErr w:type="spellStart"/>
      <w:r w:rsidRPr="001E7BD1">
        <w:rPr>
          <w:sz w:val="16"/>
        </w:rPr>
        <w:t>isability</w:t>
      </w:r>
      <w:proofErr w:type="spellEnd"/>
      <w:r w:rsidRPr="001E7BD1">
        <w:rPr>
          <w:sz w:val="16"/>
        </w:rPr>
        <w:t xml:space="preserve"> is perceived as an anomalous incapacity, inviting harm or providing causes of harm, and as located within an individual body isolated from the social contexts that facilitate violence” (p. 138). </w:t>
      </w:r>
      <w:r w:rsidRPr="001E7BD1">
        <w:rPr>
          <w:rStyle w:val="StyleUnderline"/>
        </w:rPr>
        <w:t xml:space="preserve">Here too, just like in the ‘scenes of subjection” witnessed earlier, </w:t>
      </w:r>
      <w:r w:rsidRPr="00F35B0D">
        <w:rPr>
          <w:rStyle w:val="StyleUnderline"/>
          <w:highlight w:val="cyan"/>
        </w:rPr>
        <w:t>disability is recognized only when it exists</w:t>
      </w:r>
      <w:r w:rsidRPr="001E7BD1">
        <w:rPr>
          <w:rStyle w:val="StyleUnderline"/>
        </w:rPr>
        <w:t xml:space="preserve"> </w:t>
      </w:r>
      <w:r w:rsidRPr="00F35B0D">
        <w:rPr>
          <w:rStyle w:val="StyleUnderline"/>
          <w:highlight w:val="cyan"/>
        </w:rPr>
        <w:t>to</w:t>
      </w:r>
      <w:r w:rsidRPr="001E7BD1">
        <w:rPr>
          <w:rStyle w:val="StyleUnderline"/>
        </w:rPr>
        <w:t xml:space="preserve"> expose the vulnerability of Others in order to </w:t>
      </w:r>
      <w:r w:rsidRPr="00F35B0D">
        <w:rPr>
          <w:rStyle w:val="StyleUnderline"/>
          <w:highlight w:val="cyan"/>
        </w:rPr>
        <w:t>attain justice for the Others</w:t>
      </w:r>
      <w:r w:rsidRPr="001E7BD1">
        <w:rPr>
          <w:rStyle w:val="StyleUnderline"/>
        </w:rPr>
        <w:t xml:space="preserve"> themselves. Very </w:t>
      </w:r>
      <w:r w:rsidRPr="00F35B0D">
        <w:rPr>
          <w:rStyle w:val="StyleUnderline"/>
          <w:highlight w:val="cyan"/>
        </w:rPr>
        <w:t>rare is</w:t>
      </w:r>
      <w:r w:rsidRPr="001E7BD1">
        <w:rPr>
          <w:rStyle w:val="StyleUnderline"/>
        </w:rPr>
        <w:t xml:space="preserve"> </w:t>
      </w:r>
      <w:r w:rsidRPr="00F35B0D">
        <w:rPr>
          <w:rStyle w:val="StyleUnderline"/>
          <w:highlight w:val="cyan"/>
        </w:rPr>
        <w:t>the occasion when disability claims</w:t>
      </w:r>
      <w:r w:rsidRPr="001E7BD1">
        <w:rPr>
          <w:rStyle w:val="StyleUnderline"/>
        </w:rPr>
        <w:t xml:space="preserve"> our </w:t>
      </w:r>
      <w:r w:rsidRPr="00F35B0D">
        <w:rPr>
          <w:rStyle w:val="StyleUnderline"/>
          <w:highlight w:val="cyan"/>
        </w:rPr>
        <w:t>attention to attain</w:t>
      </w:r>
      <w:r w:rsidRPr="001E7BD1">
        <w:rPr>
          <w:rStyle w:val="StyleUnderline"/>
        </w:rPr>
        <w:t xml:space="preserve"> </w:t>
      </w:r>
      <w:r w:rsidRPr="00F35B0D">
        <w:rPr>
          <w:rStyle w:val="StyleUnderline"/>
          <w:highlight w:val="cyan"/>
        </w:rPr>
        <w:t>justice for itself</w:t>
      </w:r>
      <w:r w:rsidRPr="001E7BD1">
        <w:rPr>
          <w:rStyle w:val="StyleUnderline"/>
        </w:rPr>
        <w:t>.</w:t>
      </w:r>
      <w:r w:rsidRPr="001E7BD1">
        <w:rPr>
          <w:sz w:val="16"/>
        </w:rPr>
        <w:t xml:space="preserve"> Recognizing these discrepancies in critical/transformative circles, Kim (</w:t>
      </w:r>
      <w:hyperlink r:id="rId21" w:history="1">
        <w:r w:rsidRPr="001E7BD1">
          <w:rPr>
            <w:rStyle w:val="Hyperlink"/>
            <w:sz w:val="16"/>
          </w:rPr>
          <w:t>Citation2016b</w:t>
        </w:r>
      </w:hyperlink>
      <w:r w:rsidRPr="001E7BD1">
        <w:rPr>
          <w:sz w:val="16"/>
        </w:rPr>
        <w:t>) raises the following questions:</w:t>
      </w:r>
      <w:r w:rsidRPr="00BC4CA4">
        <w:rPr>
          <w:sz w:val="16"/>
        </w:rPr>
        <w:t xml:space="preserve"> </w:t>
      </w:r>
      <w:r w:rsidRPr="001E7BD1">
        <w:rPr>
          <w:sz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w:t>
      </w:r>
      <w:r w:rsidRPr="001E7BD1">
        <w:rPr>
          <w:rStyle w:val="StyleUnderline"/>
        </w:rPr>
        <w:t xml:space="preserve">Is the disabled body constructed as tragic consequence of injustice specific to the non-Western world and positioned in relation to disability constructed as diversity and culture in the Western world? </w:t>
      </w:r>
      <w:r w:rsidRPr="001E7BD1">
        <w:rPr>
          <w:sz w:val="16"/>
        </w:rPr>
        <w:t>When bodies are wounded by violence, at what point does this consequential body of harm become a being entitled to resources and accommodation beyond the grief associated with loss of an able body? (pp. 140–141).</w:t>
      </w:r>
      <w:r w:rsidRPr="00BC4CA4">
        <w:rPr>
          <w:sz w:val="16"/>
        </w:rPr>
        <w:t xml:space="preserve"> </w:t>
      </w:r>
      <w:r w:rsidRPr="001E7BD1">
        <w:rPr>
          <w:sz w:val="16"/>
        </w:rPr>
        <w:t>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w:t>
      </w:r>
      <w:hyperlink r:id="rId22" w:history="1">
        <w:r w:rsidRPr="001E7BD1">
          <w:rPr>
            <w:rStyle w:val="Hyperlink"/>
            <w:sz w:val="16"/>
          </w:rPr>
          <w:t>Citation2008</w:t>
        </w:r>
      </w:hyperlink>
      <w:r w:rsidRPr="001E7BD1">
        <w:rPr>
          <w:sz w:val="16"/>
        </w:rPr>
        <w:t>) response is existentialist in her approach while leaving a door open to embrace the possibility of disability. She writes:</w:t>
      </w:r>
      <w:r w:rsidRPr="00BC4CA4">
        <w:rPr>
          <w:sz w:val="16"/>
        </w:rPr>
        <w:t xml:space="preserve"> </w:t>
      </w:r>
      <w:r w:rsidRPr="001E7BD1">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r w:rsidRPr="00BC4CA4">
        <w:rPr>
          <w:sz w:val="16"/>
        </w:rPr>
        <w:t xml:space="preserve"> </w:t>
      </w:r>
      <w:r w:rsidRPr="001E7BD1">
        <w:rPr>
          <w:sz w:val="16"/>
        </w:rPr>
        <w:t>Tuck’s response (2009) requires that we make “an epistemological shift” (p. 419) from damage to desire and by doing so also leaves the door open to embrace the possibility of disability by proffering this conceptualization of desire:</w:t>
      </w:r>
      <w:r w:rsidRPr="00BC4CA4">
        <w:rPr>
          <w:sz w:val="16"/>
        </w:rPr>
        <w:t xml:space="preserve"> </w:t>
      </w:r>
      <w:r w:rsidRPr="001E7BD1">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r w:rsidRPr="00BC4CA4">
        <w:rPr>
          <w:sz w:val="16"/>
        </w:rPr>
        <w:t xml:space="preserve"> </w:t>
      </w:r>
      <w:r w:rsidRPr="001E7BD1">
        <w:rPr>
          <w:rStyle w:val="StyleUnderline"/>
        </w:rPr>
        <w:t>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Here, the utility of disability to disrupt the hegemonic shows its hand in emancipatory research; clearly an advancement from previous oppressive iterations of disability, and yet I demur that disability once again remains a ghostly figure doing work at the obscure edges of our critical consciousness(es). Disability studies scholars, David Mitchell and Sharon Snyder (</w:t>
      </w:r>
      <w:hyperlink r:id="rId23" w:history="1">
        <w:r w:rsidRPr="001E7BD1">
          <w:rPr>
            <w:rStyle w:val="StyleUnderline"/>
          </w:rPr>
          <w:t>Citation2000</w:t>
        </w:r>
      </w:hyperlink>
      <w:r w:rsidRPr="001E7BD1">
        <w:rPr>
          <w:rStyle w:val="StyleUnderline"/>
        </w:rPr>
        <w:t xml:space="preserve">) have described this </w:t>
      </w:r>
      <w:r w:rsidRPr="00F35B0D">
        <w:rPr>
          <w:rStyle w:val="StyleUnderline"/>
          <w:highlight w:val="cyan"/>
        </w:rPr>
        <w:t>utilization of disability whose sole purpose is to advance the narrative</w:t>
      </w:r>
      <w:r w:rsidRPr="001E7BD1">
        <w:rPr>
          <w:rStyle w:val="StyleUnderline"/>
        </w:rPr>
        <w:t xml:space="preserve">’s plot and </w:t>
      </w:r>
      <w:r w:rsidRPr="00F35B0D">
        <w:rPr>
          <w:rStyle w:val="StyleUnderline"/>
          <w:highlight w:val="cyan"/>
        </w:rPr>
        <w:t>yet not engage</w:t>
      </w:r>
      <w:r w:rsidRPr="001E7BD1">
        <w:rPr>
          <w:rStyle w:val="StyleUnderline"/>
        </w:rPr>
        <w:t xml:space="preserve"> </w:t>
      </w:r>
      <w:r w:rsidRPr="00F35B0D">
        <w:rPr>
          <w:rStyle w:val="StyleUnderline"/>
          <w:highlight w:val="cyan"/>
        </w:rPr>
        <w:t>disability</w:t>
      </w:r>
      <w:r w:rsidRPr="001E7BD1">
        <w:rPr>
          <w:rStyle w:val="StyleUnderline"/>
        </w:rPr>
        <w:t xml:space="preserve"> on its own terms as “</w:t>
      </w:r>
      <w:r w:rsidRPr="00F35B0D">
        <w:rPr>
          <w:rStyle w:val="StyleUnderline"/>
          <w:highlight w:val="cyan"/>
        </w:rPr>
        <w:t>narrative prosthesis</w:t>
      </w:r>
      <w:r w:rsidRPr="001E7BD1">
        <w:rPr>
          <w:rStyle w:val="StyleUnderline"/>
        </w:rPr>
        <w:t xml:space="preserve">.” Here, disability serves as a prosthetic device to the narrative; providing its dramatic flair. Here, though disability is prominently visible in the narrative, the </w:t>
      </w:r>
      <w:r w:rsidRPr="00F35B0D">
        <w:rPr>
          <w:rStyle w:val="StyleUnderline"/>
          <w:highlight w:val="cyan"/>
        </w:rPr>
        <w:t>disability attached to the narrative</w:t>
      </w:r>
      <w:r w:rsidRPr="001E7BD1">
        <w:rPr>
          <w:rStyle w:val="StyleUnderline"/>
        </w:rPr>
        <w:t xml:space="preserve">’s characters </w:t>
      </w:r>
      <w:r w:rsidRPr="00F35B0D">
        <w:rPr>
          <w:rStyle w:val="StyleUnderline"/>
          <w:highlight w:val="cyan"/>
        </w:rPr>
        <w:t>is one-dimensional</w:t>
      </w:r>
      <w:r w:rsidRPr="001E7BD1">
        <w:rPr>
          <w:rStyle w:val="StyleUnderline"/>
        </w:rPr>
        <w:t xml:space="preserve"> and serves </w:t>
      </w:r>
      <w:r w:rsidRPr="00F35B0D">
        <w:rPr>
          <w:rStyle w:val="StyleUnderline"/>
          <w:highlight w:val="cyan"/>
        </w:rPr>
        <w:t>only to verify its</w:t>
      </w:r>
      <w:r w:rsidRPr="001E7BD1">
        <w:rPr>
          <w:rStyle w:val="StyleUnderline"/>
        </w:rPr>
        <w:t xml:space="preserve"> </w:t>
      </w:r>
      <w:r w:rsidRPr="00F35B0D">
        <w:rPr>
          <w:rStyle w:val="StyleUnderline"/>
          <w:highlight w:val="cyan"/>
        </w:rPr>
        <w:t>stereotypical attributes</w:t>
      </w:r>
      <w:r w:rsidRPr="001E7BD1">
        <w:rPr>
          <w:rStyle w:val="StyleUnderline"/>
        </w:rPr>
        <w:t>.</w:t>
      </w:r>
      <w:r w:rsidRPr="001E7BD1">
        <w:rPr>
          <w:sz w:val="16"/>
        </w:rPr>
        <w:t xml:space="preserve"> John Steinbeck’s (</w:t>
      </w:r>
      <w:hyperlink r:id="rId24" w:history="1">
        <w:r w:rsidRPr="001E7BD1">
          <w:rPr>
            <w:rStyle w:val="Hyperlink"/>
            <w:sz w:val="16"/>
          </w:rPr>
          <w:t>Citation1994</w:t>
        </w:r>
      </w:hyperlink>
      <w:r w:rsidRPr="001E7BD1">
        <w:rPr>
          <w:sz w:val="16"/>
        </w:rPr>
        <w:t>) Of Mice &amp; Men is one such example. Another is Herman Melville’s (</w:t>
      </w:r>
      <w:hyperlink r:id="rId25" w:history="1">
        <w:r w:rsidRPr="001E7BD1">
          <w:rPr>
            <w:rStyle w:val="Hyperlink"/>
            <w:sz w:val="16"/>
          </w:rPr>
          <w:t>Citation2016</w:t>
        </w:r>
      </w:hyperlink>
      <w:r w:rsidRPr="001E7BD1">
        <w:rPr>
          <w:sz w:val="16"/>
        </w:rPr>
        <w:t>)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r w:rsidRPr="00BC4CA4">
        <w:rPr>
          <w:sz w:val="16"/>
        </w:rPr>
        <w:t xml:space="preserve"> </w:t>
      </w:r>
      <w:r w:rsidRPr="001E7BD1">
        <w:rPr>
          <w:sz w:val="16"/>
        </w:rPr>
        <w:t>[Complex personhood refers to how people]…get stuck in the symptoms of their troubles, and also transform themselves…that the stories people tell about themselves, about their troubles, about their social worlds, and about their society’s problems are entangled and weave between what is immediately available as a story and what their imaginations are reaching toward….[It means] conferring the respect on others that comes from presuming that life and people’s lives are simultaneously straightforward and full of enormously subtle meaning (pp. 4–5</w:t>
      </w:r>
      <w:r w:rsidRPr="001E7BD1">
        <w:rPr>
          <w:rStyle w:val="StyleUnderline"/>
        </w:rPr>
        <w:t>).</w:t>
      </w:r>
      <w:r w:rsidRPr="00BC4CA4">
        <w:rPr>
          <w:rStyle w:val="StyleUnderline"/>
        </w:rPr>
        <w:t xml:space="preserve"> </w:t>
      </w:r>
      <w:r w:rsidRPr="001E7BD1">
        <w:rPr>
          <w:rStyle w:val="StyleUnderline"/>
        </w:rPr>
        <w:t xml:space="preserve">What Mitchell and Snyder fail to observe is that most of the literary narratives that deploy disability as </w:t>
      </w:r>
      <w:r w:rsidRPr="00F35B0D">
        <w:rPr>
          <w:rStyle w:val="StyleUnderline"/>
          <w:highlight w:val="cyan"/>
        </w:rPr>
        <w:t>narrative prosthesis, do so</w:t>
      </w:r>
      <w:r w:rsidRPr="001E7BD1">
        <w:rPr>
          <w:rStyle w:val="StyleUnderline"/>
        </w:rPr>
        <w:t xml:space="preserve"> in order </w:t>
      </w:r>
      <w:r w:rsidRPr="00F35B0D">
        <w:rPr>
          <w:rStyle w:val="StyleUnderline"/>
          <w:highlight w:val="cyan"/>
        </w:rPr>
        <w:t>to</w:t>
      </w:r>
      <w:r w:rsidRPr="001E7BD1">
        <w:rPr>
          <w:rStyle w:val="StyleUnderline"/>
        </w:rPr>
        <w:t xml:space="preserve"> </w:t>
      </w:r>
      <w:r w:rsidRPr="00F35B0D">
        <w:rPr>
          <w:rStyle w:val="StyleUnderline"/>
          <w:highlight w:val="cyan"/>
        </w:rPr>
        <w:t>shore up heteronormative white supremacy</w:t>
      </w:r>
      <w:r w:rsidRPr="001E7BD1">
        <w:rPr>
          <w:rStyle w:val="StyleUnderline"/>
        </w:rPr>
        <w:t xml:space="preserve"> when compared to the abnormality of disability</w:t>
      </w:r>
      <w:r w:rsidRPr="001E7BD1">
        <w:rPr>
          <w:sz w:val="16"/>
        </w:rPr>
        <w:t>. In sharp contrast, neither Ward nor Hartman nor Tuck have any investment to uphold heteronormative white supremacy and as a result they embrace the vulnerability that disability embodies as a political act – one that has much potential to be transformative</w:t>
      </w:r>
      <w:r w:rsidRPr="001E7BD1">
        <w:rPr>
          <w:rStyle w:val="StyleUnderline"/>
        </w:rPr>
        <w:t xml:space="preserve">. My only quibble with Ward, Hartman, and Tuck is that </w:t>
      </w:r>
      <w:r w:rsidRPr="00F35B0D">
        <w:rPr>
          <w:rStyle w:val="StyleUnderline"/>
          <w:highlight w:val="cyan"/>
        </w:rPr>
        <w:t>even when they invest the people in their narratives with “complex</w:t>
      </w:r>
      <w:r w:rsidRPr="001E7BD1">
        <w:rPr>
          <w:rStyle w:val="StyleUnderline"/>
        </w:rPr>
        <w:t xml:space="preserve"> </w:t>
      </w:r>
      <w:r w:rsidRPr="00F35B0D">
        <w:rPr>
          <w:rStyle w:val="StyleUnderline"/>
          <w:highlight w:val="cyan"/>
        </w:rPr>
        <w:t>personhood</w:t>
      </w:r>
      <w:r w:rsidRPr="001E7BD1">
        <w:rPr>
          <w:rStyle w:val="StyleUnderline"/>
        </w:rPr>
        <w:t xml:space="preserve">,” </w:t>
      </w:r>
      <w:r w:rsidRPr="00F35B0D">
        <w:rPr>
          <w:rStyle w:val="StyleUnderline"/>
          <w:highlight w:val="cyan"/>
        </w:rPr>
        <w:t>they do so by claiming the disruptive power of disability</w:t>
      </w:r>
      <w:r w:rsidRPr="001E7BD1">
        <w:rPr>
          <w:rStyle w:val="StyleUnderline"/>
        </w:rPr>
        <w:t xml:space="preserve"> while </w:t>
      </w:r>
      <w:r w:rsidRPr="00F35B0D">
        <w:rPr>
          <w:rStyle w:val="StyleUnderline"/>
          <w:highlight w:val="cyan"/>
        </w:rPr>
        <w:t>not attributing a</w:t>
      </w:r>
      <w:r w:rsidRPr="001E7BD1">
        <w:rPr>
          <w:rStyle w:val="StyleUnderline"/>
        </w:rPr>
        <w:t xml:space="preserve"> similar </w:t>
      </w:r>
      <w:r w:rsidRPr="00F35B0D">
        <w:rPr>
          <w:rStyle w:val="StyleUnderline"/>
          <w:highlight w:val="cyan"/>
        </w:rPr>
        <w:t>complex personhood to disabled subjectivities</w:t>
      </w:r>
      <w:r w:rsidRPr="001E7BD1">
        <w:rPr>
          <w:rStyle w:val="StyleUnderline"/>
        </w:rPr>
        <w:t xml:space="preserve">. As a result, </w:t>
      </w:r>
      <w:r w:rsidRPr="00F35B0D">
        <w:rPr>
          <w:rStyle w:val="StyleUnderline"/>
          <w:highlight w:val="cyan"/>
        </w:rPr>
        <w:t>disability continues to provide</w:t>
      </w:r>
      <w:r w:rsidRPr="001E7BD1">
        <w:rPr>
          <w:rStyle w:val="StyleUnderline"/>
        </w:rPr>
        <w:t xml:space="preserve"> uncompensated </w:t>
      </w:r>
      <w:r w:rsidRPr="00F35B0D">
        <w:rPr>
          <w:rStyle w:val="StyleUnderline"/>
          <w:highlight w:val="cyan"/>
        </w:rPr>
        <w:t>prosthetic labor to</w:t>
      </w:r>
      <w:r w:rsidRPr="001E7BD1">
        <w:rPr>
          <w:rStyle w:val="StyleUnderline"/>
        </w:rPr>
        <w:t xml:space="preserve"> critical/transformative </w:t>
      </w:r>
      <w:r w:rsidRPr="00F35B0D">
        <w:rPr>
          <w:rStyle w:val="StyleUnderline"/>
          <w:highlight w:val="cyan"/>
        </w:rPr>
        <w:t>methodologies</w:t>
      </w:r>
      <w:r w:rsidRPr="001E7BD1">
        <w:rPr>
          <w:rStyle w:val="StyleUnderline"/>
        </w:rPr>
        <w:t>.</w:t>
      </w:r>
      <w:r w:rsidRPr="00BC4CA4">
        <w:rPr>
          <w:rStyle w:val="StyleUnderline"/>
        </w:rPr>
        <w:t xml:space="preserve"> </w:t>
      </w:r>
      <w:r w:rsidRPr="001E7BD1">
        <w:rPr>
          <w:rStyle w:val="StyleUnderline"/>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1E7BD1">
        <w:rPr>
          <w:sz w:val="16"/>
        </w:rPr>
        <w:t xml:space="preserve"> (Kim, </w:t>
      </w:r>
      <w:hyperlink r:id="rId26" w:history="1">
        <w:r w:rsidRPr="001E7BD1">
          <w:rPr>
            <w:rStyle w:val="Hyperlink"/>
            <w:sz w:val="16"/>
          </w:rPr>
          <w:t>Citation2016b</w:t>
        </w:r>
      </w:hyperlink>
      <w:r w:rsidRPr="001E7BD1">
        <w:rPr>
          <w:sz w:val="16"/>
        </w:rPr>
        <w:t>, p. 140), and is “attached to certain medical and legal categories of identity” (p. 141) from which social movements committed to anti–racist, feminist, queer, and/or class struggle seek to distance themselves. It is in this context then that disability studies scholar Michelle Jarman (</w:t>
      </w:r>
      <w:hyperlink r:id="rId27" w:history="1">
        <w:r w:rsidRPr="001E7BD1">
          <w:rPr>
            <w:rStyle w:val="Hyperlink"/>
            <w:sz w:val="16"/>
          </w:rPr>
          <w:t>Citation2005</w:t>
        </w:r>
      </w:hyperlink>
      <w:r w:rsidRPr="001E7BD1">
        <w:rPr>
          <w:sz w:val="16"/>
        </w:rPr>
        <w:t>) calls for theorizing disability as “radical vulnerability”. Kim (</w:t>
      </w:r>
      <w:hyperlink r:id="rId28" w:history="1">
        <w:r w:rsidRPr="001E7BD1">
          <w:rPr>
            <w:rStyle w:val="Hyperlink"/>
            <w:sz w:val="16"/>
          </w:rPr>
          <w:t>Citation2016b</w:t>
        </w:r>
      </w:hyperlink>
      <w:r w:rsidRPr="001E7BD1">
        <w:rPr>
          <w:sz w:val="16"/>
        </w:rPr>
        <w:t>) drawing on Jarman’s work writes:</w:t>
      </w:r>
      <w:r w:rsidRPr="00BC4CA4">
        <w:rPr>
          <w:sz w:val="16"/>
        </w:rPr>
        <w:t xml:space="preserve"> </w:t>
      </w:r>
      <w:r w:rsidRPr="001E7BD1">
        <w:rPr>
          <w:sz w:val="16"/>
        </w:rPr>
        <w:t>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w:t>
      </w:r>
      <w:r w:rsidRPr="00BC4CA4">
        <w:rPr>
          <w:sz w:val="16"/>
        </w:rPr>
        <w:t xml:space="preserve"> </w:t>
      </w:r>
      <w:r w:rsidRPr="001E7BD1">
        <w:rPr>
          <w:sz w:val="16"/>
        </w:rPr>
        <w:t xml:space="preserve">Jarman and Kim both offer a discursive intervention by thinking of disability in terms of radical vulnerability. </w:t>
      </w:r>
      <w:r w:rsidRPr="001E7BD1">
        <w:rPr>
          <w:rStyle w:val="StyleUnderline"/>
        </w:rPr>
        <w:t xml:space="preserve">However, as I have argued before </w:t>
      </w:r>
      <w:r w:rsidRPr="00F35B0D">
        <w:rPr>
          <w:rStyle w:val="StyleUnderline"/>
          <w:highlight w:val="cyan"/>
        </w:rPr>
        <w:t>discursive interventions</w:t>
      </w:r>
      <w:r w:rsidRPr="001E7BD1">
        <w:rPr>
          <w:rStyle w:val="StyleUnderline"/>
        </w:rPr>
        <w:t xml:space="preserve"> while conceptually powerful </w:t>
      </w:r>
      <w:r w:rsidRPr="00F35B0D">
        <w:rPr>
          <w:rStyle w:val="StyleUnderline"/>
          <w:highlight w:val="cyan"/>
        </w:rPr>
        <w:t>are</w:t>
      </w:r>
      <w:r w:rsidRPr="001E7BD1">
        <w:rPr>
          <w:rStyle w:val="StyleUnderline"/>
        </w:rPr>
        <w:t xml:space="preserve"> </w:t>
      </w:r>
      <w:r w:rsidRPr="00F35B0D">
        <w:rPr>
          <w:rStyle w:val="StyleUnderline"/>
          <w:highlight w:val="cyan"/>
        </w:rPr>
        <w:t>not effective in transforming</w:t>
      </w:r>
      <w:r w:rsidRPr="001E7BD1">
        <w:rPr>
          <w:rStyle w:val="StyleUnderline"/>
        </w:rPr>
        <w:t xml:space="preserve"> the real </w:t>
      </w:r>
      <w:r w:rsidRPr="00F35B0D">
        <w:rPr>
          <w:rStyle w:val="StyleUnderline"/>
          <w:highlight w:val="cyan"/>
        </w:rPr>
        <w:t>material conditions</w:t>
      </w:r>
      <w:r w:rsidRPr="001E7BD1">
        <w:rPr>
          <w:rStyle w:val="StyleUnderline"/>
        </w:rPr>
        <w:t xml:space="preserve"> of those who live under oppressive social, political, and economic conditions at the intersections of difference. Disabled people, in global contexts, have to struggle to gain access to resources, care, and relationships in a world that is organized to keep them out. More often than not </w:t>
      </w:r>
      <w:r w:rsidRPr="00F35B0D">
        <w:rPr>
          <w:rStyle w:val="StyleUnderline"/>
          <w:highlight w:val="cyan"/>
        </w:rPr>
        <w:t>disabled people are dis-placed from class rooms,</w:t>
      </w:r>
      <w:r w:rsidRPr="001E7BD1">
        <w:rPr>
          <w:rStyle w:val="StyleUnderline"/>
        </w:rPr>
        <w:t xml:space="preserve"> schools, and communities </w:t>
      </w:r>
      <w:r w:rsidRPr="00F35B0D">
        <w:rPr>
          <w:rStyle w:val="StyleUnderline"/>
          <w:highlight w:val="cyan"/>
        </w:rPr>
        <w:t>and</w:t>
      </w:r>
      <w:r w:rsidRPr="001E7BD1">
        <w:rPr>
          <w:rStyle w:val="StyleUnderline"/>
        </w:rPr>
        <w:t xml:space="preserve"> find themselves in </w:t>
      </w:r>
      <w:r w:rsidRPr="00F35B0D">
        <w:rPr>
          <w:rStyle w:val="StyleUnderline"/>
          <w:highlight w:val="cyan"/>
        </w:rPr>
        <w:t>segregated</w:t>
      </w:r>
      <w:r w:rsidRPr="001E7BD1">
        <w:rPr>
          <w:rStyle w:val="StyleUnderline"/>
        </w:rPr>
        <w:t xml:space="preserve"> institutional settings. For those disabled people at the oppressive end of racial, class, gender, and sexual identities, these </w:t>
      </w:r>
      <w:r w:rsidRPr="00F35B0D">
        <w:rPr>
          <w:rStyle w:val="StyleUnderline"/>
          <w:highlight w:val="cyan"/>
        </w:rPr>
        <w:t>dis-placements prove</w:t>
      </w:r>
      <w:r w:rsidRPr="001E7BD1">
        <w:rPr>
          <w:rStyle w:val="StyleUnderline"/>
        </w:rPr>
        <w:t xml:space="preserve"> to both damaging and </w:t>
      </w:r>
      <w:r w:rsidRPr="00F35B0D">
        <w:rPr>
          <w:rStyle w:val="StyleUnderline"/>
          <w:highlight w:val="cyan"/>
        </w:rPr>
        <w:t>deadly</w:t>
      </w:r>
      <w:r w:rsidRPr="001E7BD1">
        <w:rPr>
          <w:rStyle w:val="StyleUnderline"/>
        </w:rPr>
        <w:t xml:space="preserve"> – a discussion I will take up in the next section.</w:t>
      </w:r>
      <w:r w:rsidRPr="00BC4CA4">
        <w:rPr>
          <w:rStyle w:val="StyleUnderline"/>
        </w:rPr>
        <w:t xml:space="preserve"> </w:t>
      </w:r>
    </w:p>
    <w:p w14:paraId="16F72C33" w14:textId="77777777" w:rsidR="00F35B0D" w:rsidRDefault="00F35B0D" w:rsidP="00F35B0D">
      <w:pPr>
        <w:rPr>
          <w:rStyle w:val="StyleUnderline"/>
        </w:rPr>
      </w:pPr>
    </w:p>
    <w:p w14:paraId="0F706D19" w14:textId="77777777" w:rsidR="00F35B0D" w:rsidRPr="00F35B0D" w:rsidRDefault="00F35B0D" w:rsidP="00F35B0D">
      <w:pPr>
        <w:keepNext/>
        <w:keepLines/>
        <w:spacing w:before="40" w:after="0" w:line="256" w:lineRule="auto"/>
        <w:outlineLvl w:val="3"/>
        <w:rPr>
          <w:rFonts w:eastAsia="Times New Roman"/>
          <w:b/>
          <w:iCs/>
          <w:sz w:val="26"/>
        </w:rPr>
      </w:pPr>
      <w:r w:rsidRPr="00F35B0D">
        <w:rPr>
          <w:rFonts w:eastAsia="Times New Roman"/>
          <w:b/>
          <w:iCs/>
          <w:sz w:val="26"/>
        </w:rPr>
        <w:t>They can only cohere their politics through the epistemic erasure of disability—turns case.</w:t>
      </w:r>
    </w:p>
    <w:p w14:paraId="67162269" w14:textId="77777777" w:rsidR="00F35B0D" w:rsidRPr="00F35B0D" w:rsidRDefault="00F35B0D" w:rsidP="00F35B0D">
      <w:pPr>
        <w:spacing w:line="256" w:lineRule="auto"/>
        <w:rPr>
          <w:rFonts w:eastAsia="Calibri"/>
        </w:rPr>
      </w:pPr>
      <w:proofErr w:type="spellStart"/>
      <w:r w:rsidRPr="00F35B0D">
        <w:rPr>
          <w:rFonts w:eastAsia="Calibri"/>
          <w:b/>
          <w:bCs/>
          <w:sz w:val="26"/>
        </w:rPr>
        <w:t>Erevelles</w:t>
      </w:r>
      <w:proofErr w:type="spellEnd"/>
      <w:r w:rsidRPr="00F35B0D">
        <w:rPr>
          <w:rFonts w:eastAsia="Calibri"/>
          <w:b/>
          <w:bCs/>
          <w:sz w:val="26"/>
        </w:rPr>
        <w:t xml:space="preserve"> and Abay 24</w:t>
      </w:r>
      <w:r w:rsidRPr="00F35B0D">
        <w:rPr>
          <w:rFonts w:eastAsia="Calibri"/>
        </w:rPr>
        <w:t xml:space="preserve"> (Nirmala </w:t>
      </w:r>
      <w:proofErr w:type="spellStart"/>
      <w:r w:rsidRPr="00F35B0D">
        <w:rPr>
          <w:rFonts w:eastAsia="Calibri"/>
        </w:rPr>
        <w:t>Erevelles</w:t>
      </w:r>
      <w:proofErr w:type="spellEnd"/>
      <w:r w:rsidRPr="00F35B0D">
        <w:rPr>
          <w:rFonts w:eastAsia="Calibri"/>
        </w:rPr>
        <w:t xml:space="preserve">, Professor in the Social Foundations of Education and Instructional Department of Education Leadership, Policy, and Technology Studies at the University of Alabama, Educational Studies; Robel Afeworki Abay, sociologist and guest professor of participatory approaches in social and health sciences at Alice Salomon University of Applied Sciences Berlin, Germany, 2024, Chapter in </w:t>
      </w:r>
      <w:r w:rsidRPr="00F35B0D">
        <w:rPr>
          <w:rFonts w:eastAsia="Calibri"/>
          <w:i/>
          <w:iCs/>
        </w:rPr>
        <w:t>Intersectional Colonialities</w:t>
      </w:r>
      <w:r w:rsidRPr="00F35B0D">
        <w:rPr>
          <w:rFonts w:eastAsia="Calibri"/>
        </w:rPr>
        <w:t>, “</w:t>
      </w:r>
      <w:proofErr w:type="spellStart"/>
      <w:r w:rsidRPr="00F35B0D">
        <w:rPr>
          <w:rFonts w:eastAsia="Calibri"/>
        </w:rPr>
        <w:t>Racialised</w:t>
      </w:r>
      <w:proofErr w:type="spellEnd"/>
      <w:r w:rsidRPr="00F35B0D">
        <w:rPr>
          <w:rFonts w:eastAsia="Calibri"/>
        </w:rPr>
        <w:t xml:space="preserve"> and gendered ableism: The epistemic erasure and epistemic </w:t>
      </w:r>
      <w:proofErr w:type="spellStart"/>
      <w:r w:rsidRPr="00F35B0D">
        <w:rPr>
          <w:rFonts w:eastAsia="Calibri"/>
        </w:rPr>
        <w:t>labour</w:t>
      </w:r>
      <w:proofErr w:type="spellEnd"/>
      <w:r w:rsidRPr="00F35B0D">
        <w:rPr>
          <w:rFonts w:eastAsia="Calibri"/>
        </w:rPr>
        <w:t xml:space="preserve"> of disability in transnational contexts,” p. 42, accessed 10-1-2024) </w:t>
      </w:r>
      <w:proofErr w:type="spellStart"/>
      <w:r w:rsidRPr="00F35B0D">
        <w:rPr>
          <w:rFonts w:eastAsia="Calibri"/>
        </w:rPr>
        <w:t>jordan</w:t>
      </w:r>
      <w:proofErr w:type="spellEnd"/>
    </w:p>
    <w:p w14:paraId="5732F72D" w14:textId="77777777" w:rsidR="00F35B0D" w:rsidRPr="00F35B0D" w:rsidRDefault="00F35B0D" w:rsidP="00F35B0D">
      <w:pPr>
        <w:spacing w:line="256" w:lineRule="auto"/>
        <w:rPr>
          <w:rFonts w:ascii="Arial" w:eastAsia="Calibri" w:hAnsi="Arial" w:cs="Arial"/>
          <w:u w:val="single"/>
        </w:rPr>
      </w:pPr>
      <w:r w:rsidRPr="00F35B0D">
        <w:rPr>
          <w:rFonts w:eastAsia="Calibri"/>
          <w:sz w:val="16"/>
        </w:rPr>
        <w:t xml:space="preserve">We, therefore, argue that </w:t>
      </w:r>
      <w:r w:rsidRPr="00F35B0D">
        <w:rPr>
          <w:rFonts w:eastAsia="Calibri"/>
          <w:u w:val="single"/>
        </w:rPr>
        <w:t xml:space="preserve">when </w:t>
      </w:r>
      <w:r w:rsidRPr="00F35B0D">
        <w:rPr>
          <w:rFonts w:eastAsia="Calibri"/>
          <w:highlight w:val="cyan"/>
          <w:u w:val="single"/>
        </w:rPr>
        <w:t>disability</w:t>
      </w:r>
      <w:r w:rsidRPr="00F35B0D">
        <w:rPr>
          <w:rFonts w:eastAsia="Calibri"/>
          <w:u w:val="single"/>
        </w:rPr>
        <w:t xml:space="preserve"> is </w:t>
      </w:r>
      <w:r w:rsidRPr="00F35B0D">
        <w:rPr>
          <w:rFonts w:eastAsia="Calibri"/>
          <w:b/>
          <w:iCs/>
          <w:u w:val="single"/>
        </w:rPr>
        <w:t>included</w:t>
      </w:r>
      <w:r w:rsidRPr="00F35B0D">
        <w:rPr>
          <w:rFonts w:eastAsia="Calibri"/>
          <w:u w:val="single"/>
        </w:rPr>
        <w:t xml:space="preserve"> in an </w:t>
      </w:r>
      <w:r w:rsidRPr="00F35B0D">
        <w:rPr>
          <w:rFonts w:eastAsia="Calibri"/>
          <w:b/>
          <w:iCs/>
          <w:u w:val="single"/>
        </w:rPr>
        <w:t>intersectional analysis</w:t>
      </w:r>
      <w:r w:rsidRPr="00F35B0D">
        <w:rPr>
          <w:rFonts w:eastAsia="Calibri"/>
          <w:u w:val="single"/>
        </w:rPr>
        <w:t xml:space="preserve">, it </w:t>
      </w:r>
      <w:r w:rsidRPr="00F35B0D">
        <w:rPr>
          <w:rFonts w:eastAsia="Calibri"/>
          <w:highlight w:val="cyan"/>
          <w:u w:val="single"/>
        </w:rPr>
        <w:t xml:space="preserve">exceeds </w:t>
      </w:r>
      <w:r w:rsidRPr="00F35B0D">
        <w:rPr>
          <w:rFonts w:eastAsia="Calibri"/>
          <w:b/>
          <w:iCs/>
          <w:highlight w:val="cyan"/>
          <w:u w:val="single"/>
        </w:rPr>
        <w:t>representational</w:t>
      </w:r>
      <w:r w:rsidRPr="00F35B0D">
        <w:rPr>
          <w:rFonts w:eastAsia="Calibri"/>
          <w:b/>
          <w:iCs/>
          <w:u w:val="single"/>
        </w:rPr>
        <w:t xml:space="preserve"> </w:t>
      </w:r>
      <w:r w:rsidRPr="00F35B0D">
        <w:rPr>
          <w:rFonts w:eastAsia="Calibri"/>
          <w:b/>
          <w:iCs/>
          <w:highlight w:val="cyan"/>
          <w:u w:val="single"/>
        </w:rPr>
        <w:t>politics</w:t>
      </w:r>
      <w:r w:rsidRPr="00F35B0D">
        <w:rPr>
          <w:rFonts w:eastAsia="Calibri"/>
          <w:highlight w:val="cyan"/>
          <w:u w:val="single"/>
        </w:rPr>
        <w:t xml:space="preserve"> to</w:t>
      </w:r>
      <w:r w:rsidRPr="00F35B0D">
        <w:rPr>
          <w:rFonts w:eastAsia="Calibri"/>
          <w:u w:val="single"/>
        </w:rPr>
        <w:t xml:space="preserve"> also </w:t>
      </w:r>
      <w:r w:rsidRPr="00F35B0D">
        <w:rPr>
          <w:rFonts w:eastAsia="Calibri"/>
          <w:highlight w:val="cyan"/>
          <w:u w:val="single"/>
        </w:rPr>
        <w:t xml:space="preserve">perform </w:t>
      </w:r>
      <w:r w:rsidRPr="00F35B0D">
        <w:rPr>
          <w:rFonts w:eastAsia="Calibri"/>
          <w:b/>
          <w:iCs/>
          <w:highlight w:val="cyan"/>
          <w:u w:val="single"/>
        </w:rPr>
        <w:t xml:space="preserve">epistemic </w:t>
      </w:r>
      <w:proofErr w:type="spellStart"/>
      <w:r w:rsidRPr="00F35B0D">
        <w:rPr>
          <w:rFonts w:eastAsia="Calibri"/>
          <w:b/>
          <w:iCs/>
          <w:highlight w:val="cyan"/>
          <w:u w:val="single"/>
        </w:rPr>
        <w:t>labour</w:t>
      </w:r>
      <w:proofErr w:type="spellEnd"/>
      <w:r w:rsidRPr="00F35B0D">
        <w:rPr>
          <w:rFonts w:eastAsia="Calibri"/>
          <w:highlight w:val="cyan"/>
          <w:u w:val="single"/>
        </w:rPr>
        <w:t xml:space="preserve"> in the </w:t>
      </w:r>
      <w:r w:rsidRPr="00F35B0D">
        <w:rPr>
          <w:rFonts w:eastAsia="Calibri"/>
          <w:b/>
          <w:iCs/>
          <w:highlight w:val="cyan"/>
          <w:u w:val="single"/>
        </w:rPr>
        <w:t>constitution</w:t>
      </w:r>
      <w:r w:rsidRPr="00F35B0D">
        <w:rPr>
          <w:rFonts w:eastAsia="Calibri"/>
          <w:highlight w:val="cyan"/>
          <w:u w:val="single"/>
        </w:rPr>
        <w:t xml:space="preserve"> of</w:t>
      </w:r>
      <w:r w:rsidRPr="00F35B0D">
        <w:rPr>
          <w:rFonts w:eastAsia="Calibri"/>
          <w:u w:val="single"/>
        </w:rPr>
        <w:t xml:space="preserve"> other </w:t>
      </w:r>
      <w:r w:rsidRPr="00F35B0D">
        <w:rPr>
          <w:rFonts w:eastAsia="Calibri"/>
          <w:b/>
          <w:iCs/>
          <w:highlight w:val="cyan"/>
          <w:u w:val="single"/>
        </w:rPr>
        <w:t>categories of difference</w:t>
      </w:r>
      <w:r w:rsidRPr="00F35B0D">
        <w:rPr>
          <w:rFonts w:eastAsia="Calibri"/>
          <w:sz w:val="16"/>
        </w:rPr>
        <w:t xml:space="preserve"> (</w:t>
      </w:r>
      <w:proofErr w:type="spellStart"/>
      <w:r w:rsidRPr="00F35B0D">
        <w:rPr>
          <w:rFonts w:eastAsia="Calibri"/>
          <w:sz w:val="16"/>
        </w:rPr>
        <w:t>Erevelles</w:t>
      </w:r>
      <w:proofErr w:type="spellEnd"/>
      <w:r w:rsidRPr="00F35B0D">
        <w:rPr>
          <w:rFonts w:eastAsia="Calibri"/>
          <w:sz w:val="16"/>
        </w:rPr>
        <w:t xml:space="preserve"> and Morrow, 2022). On one hand, as per Crenshaw’s articulation of structural intersectionality, ableism intersects with other oppressive structures to impact social policy as well as the lived experiences of multiply </w:t>
      </w:r>
      <w:proofErr w:type="spellStart"/>
      <w:r w:rsidRPr="00F35B0D">
        <w:rPr>
          <w:rFonts w:eastAsia="Calibri"/>
          <w:sz w:val="16"/>
        </w:rPr>
        <w:t>marginalised</w:t>
      </w:r>
      <w:proofErr w:type="spellEnd"/>
      <w:r w:rsidRPr="00F35B0D">
        <w:rPr>
          <w:rFonts w:eastAsia="Calibri"/>
          <w:sz w:val="16"/>
        </w:rPr>
        <w:t xml:space="preserve"> communities as a tool to structure social difference. In fact, as many disability studies scholars (McRuer, 2006; </w:t>
      </w:r>
      <w:proofErr w:type="spellStart"/>
      <w:r w:rsidRPr="00F35B0D">
        <w:rPr>
          <w:rFonts w:eastAsia="Calibri"/>
          <w:sz w:val="16"/>
        </w:rPr>
        <w:t>Erevelles</w:t>
      </w:r>
      <w:proofErr w:type="spellEnd"/>
      <w:r w:rsidRPr="00F35B0D">
        <w:rPr>
          <w:rFonts w:eastAsia="Calibri"/>
          <w:sz w:val="16"/>
        </w:rPr>
        <w:t xml:space="preserve">, 2011a; Pickens, 2019; Kim and Schalk, 2021; Schalk, 2022) have pointed out, </w:t>
      </w:r>
      <w:r w:rsidRPr="00F35B0D">
        <w:rPr>
          <w:rFonts w:eastAsia="Calibri"/>
          <w:highlight w:val="cyan"/>
          <w:u w:val="single"/>
        </w:rPr>
        <w:t>disability</w:t>
      </w:r>
      <w:r w:rsidRPr="00F35B0D">
        <w:rPr>
          <w:rFonts w:eastAsia="Calibri"/>
          <w:u w:val="single"/>
        </w:rPr>
        <w:t xml:space="preserve"> serves as a mode of </w:t>
      </w:r>
      <w:r w:rsidRPr="00F35B0D">
        <w:rPr>
          <w:rFonts w:eastAsia="Calibri"/>
          <w:b/>
          <w:iCs/>
          <w:highlight w:val="cyan"/>
          <w:u w:val="single"/>
        </w:rPr>
        <w:t>justify</w:t>
      </w:r>
      <w:r w:rsidRPr="00F35B0D">
        <w:rPr>
          <w:rFonts w:eastAsia="Calibri"/>
          <w:b/>
          <w:iCs/>
          <w:u w:val="single"/>
        </w:rPr>
        <w:t>ing</w:t>
      </w:r>
      <w:r w:rsidRPr="00F35B0D">
        <w:rPr>
          <w:rFonts w:eastAsia="Calibri"/>
          <w:u w:val="single"/>
        </w:rPr>
        <w:t xml:space="preserve"> the </w:t>
      </w:r>
      <w:r w:rsidRPr="00F35B0D">
        <w:rPr>
          <w:rFonts w:eastAsia="Calibri"/>
          <w:b/>
          <w:iCs/>
          <w:highlight w:val="cyan"/>
          <w:u w:val="single"/>
        </w:rPr>
        <w:t>social</w:t>
      </w:r>
      <w:r w:rsidRPr="00F35B0D">
        <w:rPr>
          <w:rFonts w:eastAsia="Calibri"/>
          <w:b/>
          <w:iCs/>
          <w:u w:val="single"/>
        </w:rPr>
        <w:t xml:space="preserve"> </w:t>
      </w:r>
      <w:r w:rsidRPr="00F35B0D">
        <w:rPr>
          <w:rFonts w:eastAsia="Calibri"/>
          <w:b/>
          <w:iCs/>
          <w:highlight w:val="cyan"/>
          <w:u w:val="single"/>
        </w:rPr>
        <w:t>oppression</w:t>
      </w:r>
      <w:r w:rsidRPr="00F35B0D">
        <w:rPr>
          <w:rFonts w:eastAsia="Calibri"/>
          <w:sz w:val="16"/>
        </w:rPr>
        <w:t xml:space="preserve"> of other categories of difference. </w:t>
      </w:r>
      <w:r w:rsidRPr="00F35B0D">
        <w:rPr>
          <w:rFonts w:eastAsia="Calibri"/>
          <w:u w:val="single"/>
        </w:rPr>
        <w:t xml:space="preserve">This recognition of disability within the context of structural intersection thus explains the </w:t>
      </w:r>
      <w:r w:rsidRPr="00F35B0D">
        <w:rPr>
          <w:rFonts w:eastAsia="Calibri"/>
          <w:b/>
          <w:iCs/>
          <w:u w:val="single"/>
        </w:rPr>
        <w:t>vexed relation</w:t>
      </w:r>
      <w:r w:rsidRPr="00F35B0D">
        <w:rPr>
          <w:rFonts w:eastAsia="Calibri"/>
          <w:u w:val="single"/>
        </w:rPr>
        <w:t xml:space="preserve"> disability has with other </w:t>
      </w:r>
      <w:r w:rsidRPr="00F35B0D">
        <w:rPr>
          <w:rFonts w:eastAsia="Calibri"/>
          <w:b/>
          <w:iCs/>
          <w:u w:val="single"/>
        </w:rPr>
        <w:t>categories of difference</w:t>
      </w:r>
      <w:r w:rsidRPr="00F35B0D">
        <w:rPr>
          <w:rFonts w:eastAsia="Calibri"/>
          <w:u w:val="single"/>
        </w:rPr>
        <w:t xml:space="preserve"> – in that </w:t>
      </w:r>
      <w:r w:rsidRPr="00F35B0D">
        <w:rPr>
          <w:rFonts w:eastAsia="Calibri"/>
          <w:b/>
          <w:iCs/>
          <w:sz w:val="28"/>
          <w:szCs w:val="28"/>
          <w:highlight w:val="cyan"/>
          <w:u w:val="single"/>
        </w:rPr>
        <w:t>disability becomes the category to avoid rather than with which to build an alliance.</w:t>
      </w:r>
      <w:r w:rsidRPr="00F35B0D">
        <w:rPr>
          <w:rFonts w:eastAsia="Calibri"/>
          <w:sz w:val="16"/>
        </w:rPr>
        <w:t xml:space="preserve"> Here </w:t>
      </w:r>
      <w:r w:rsidRPr="00F35B0D">
        <w:rPr>
          <w:rFonts w:eastAsia="Calibri"/>
          <w:u w:val="single"/>
        </w:rPr>
        <w:t xml:space="preserve">disability as </w:t>
      </w:r>
      <w:r w:rsidRPr="00F35B0D">
        <w:rPr>
          <w:rFonts w:eastAsia="Calibri"/>
          <w:b/>
          <w:iCs/>
          <w:u w:val="single"/>
        </w:rPr>
        <w:t>structure</w:t>
      </w:r>
      <w:r w:rsidRPr="00F35B0D">
        <w:rPr>
          <w:rFonts w:eastAsia="Calibri"/>
          <w:u w:val="single"/>
        </w:rPr>
        <w:t xml:space="preserve"> marks the </w:t>
      </w:r>
      <w:r w:rsidRPr="00F35B0D">
        <w:rPr>
          <w:rFonts w:eastAsia="Calibri"/>
          <w:b/>
          <w:iCs/>
          <w:u w:val="single"/>
        </w:rPr>
        <w:t>distinctions</w:t>
      </w:r>
      <w:r w:rsidRPr="00F35B0D">
        <w:rPr>
          <w:rFonts w:eastAsia="Calibri"/>
          <w:u w:val="single"/>
        </w:rPr>
        <w:t xml:space="preserve"> between </w:t>
      </w:r>
      <w:r w:rsidRPr="00F35B0D">
        <w:rPr>
          <w:rFonts w:eastAsia="Calibri"/>
          <w:b/>
          <w:iCs/>
          <w:u w:val="single"/>
        </w:rPr>
        <w:t>“worthy/valued”</w:t>
      </w:r>
      <w:r w:rsidRPr="00F35B0D">
        <w:rPr>
          <w:rFonts w:eastAsia="Calibri"/>
          <w:u w:val="single"/>
        </w:rPr>
        <w:t xml:space="preserve"> and </w:t>
      </w:r>
      <w:r w:rsidRPr="00F35B0D">
        <w:rPr>
          <w:rFonts w:eastAsia="Calibri"/>
          <w:b/>
          <w:iCs/>
          <w:u w:val="single"/>
        </w:rPr>
        <w:t>“disposable/devalued”</w:t>
      </w:r>
      <w:r w:rsidRPr="00F35B0D">
        <w:rPr>
          <w:rFonts w:eastAsia="Calibri"/>
          <w:u w:val="single"/>
        </w:rPr>
        <w:t xml:space="preserve"> life.</w:t>
      </w:r>
      <w:r w:rsidRPr="00F35B0D">
        <w:rPr>
          <w:rFonts w:eastAsia="Calibri"/>
          <w:sz w:val="16"/>
        </w:rPr>
        <w:t xml:space="preserve"> </w:t>
      </w:r>
      <w:r w:rsidRPr="00F35B0D">
        <w:rPr>
          <w:rFonts w:eastAsia="Calibri"/>
          <w:u w:val="single"/>
        </w:rPr>
        <w:t xml:space="preserve">In fact, </w:t>
      </w:r>
      <w:r w:rsidRPr="00F35B0D">
        <w:rPr>
          <w:rFonts w:eastAsia="Calibri"/>
          <w:b/>
          <w:iCs/>
          <w:sz w:val="28"/>
          <w:szCs w:val="28"/>
          <w:highlight w:val="cyan"/>
          <w:u w:val="single"/>
        </w:rPr>
        <w:t>it is only through the epistemic erasure of disability that</w:t>
      </w:r>
      <w:r w:rsidRPr="00F35B0D">
        <w:rPr>
          <w:rFonts w:eastAsia="Calibri"/>
          <w:b/>
          <w:iCs/>
          <w:sz w:val="28"/>
          <w:szCs w:val="28"/>
          <w:u w:val="single"/>
        </w:rPr>
        <w:t xml:space="preserve"> </w:t>
      </w:r>
      <w:r w:rsidRPr="00F35B0D">
        <w:rPr>
          <w:rFonts w:eastAsia="Calibri"/>
          <w:b/>
          <w:iCs/>
          <w:sz w:val="28"/>
          <w:szCs w:val="28"/>
          <w:highlight w:val="cyan"/>
          <w:u w:val="single"/>
        </w:rPr>
        <w:t>other categories of difference can make claims to their own freedom.</w:t>
      </w:r>
      <w:r w:rsidRPr="00F35B0D">
        <w:rPr>
          <w:rFonts w:eastAsia="Calibri"/>
          <w:sz w:val="16"/>
        </w:rPr>
        <w:t xml:space="preserve"> </w:t>
      </w:r>
      <w:r w:rsidRPr="00F35B0D">
        <w:rPr>
          <w:rFonts w:eastAsia="Calibri"/>
          <w:highlight w:val="cyan"/>
          <w:u w:val="single"/>
        </w:rPr>
        <w:t>This is</w:t>
      </w:r>
      <w:r w:rsidRPr="00F35B0D">
        <w:rPr>
          <w:rFonts w:eastAsia="Calibri"/>
          <w:u w:val="single"/>
        </w:rPr>
        <w:t xml:space="preserve"> what we argue is the </w:t>
      </w:r>
      <w:r w:rsidRPr="00F35B0D">
        <w:rPr>
          <w:rFonts w:eastAsia="Calibri"/>
          <w:b/>
          <w:iCs/>
          <w:highlight w:val="cyan"/>
          <w:u w:val="single"/>
        </w:rPr>
        <w:t xml:space="preserve">epistemic </w:t>
      </w:r>
      <w:proofErr w:type="spellStart"/>
      <w:r w:rsidRPr="00F35B0D">
        <w:rPr>
          <w:rFonts w:eastAsia="Calibri"/>
          <w:b/>
          <w:iCs/>
          <w:highlight w:val="cyan"/>
          <w:u w:val="single"/>
        </w:rPr>
        <w:t>labour</w:t>
      </w:r>
      <w:proofErr w:type="spellEnd"/>
      <w:r w:rsidRPr="00F35B0D">
        <w:rPr>
          <w:rFonts w:eastAsia="Calibri"/>
          <w:u w:val="single"/>
        </w:rPr>
        <w:t xml:space="preserve"> that </w:t>
      </w:r>
      <w:r w:rsidRPr="00F35B0D">
        <w:rPr>
          <w:rFonts w:eastAsia="Calibri"/>
          <w:highlight w:val="cyan"/>
          <w:u w:val="single"/>
        </w:rPr>
        <w:t xml:space="preserve">disability is </w:t>
      </w:r>
      <w:r w:rsidRPr="00F35B0D">
        <w:rPr>
          <w:rFonts w:eastAsia="Calibri"/>
          <w:b/>
          <w:iCs/>
          <w:highlight w:val="cyan"/>
          <w:u w:val="single"/>
        </w:rPr>
        <w:t>forced</w:t>
      </w:r>
      <w:r w:rsidRPr="00F35B0D">
        <w:rPr>
          <w:rFonts w:eastAsia="Calibri"/>
          <w:highlight w:val="cyan"/>
          <w:u w:val="single"/>
        </w:rPr>
        <w:t xml:space="preserve"> to do in </w:t>
      </w:r>
      <w:r w:rsidRPr="00F35B0D">
        <w:rPr>
          <w:rFonts w:eastAsia="Calibri"/>
          <w:b/>
          <w:iCs/>
          <w:highlight w:val="cyan"/>
          <w:u w:val="single"/>
        </w:rPr>
        <w:t>intersectional analyses of difference.</w:t>
      </w:r>
      <w:r w:rsidRPr="00F35B0D">
        <w:rPr>
          <w:rFonts w:eastAsia="Calibri"/>
          <w:sz w:val="16"/>
        </w:rPr>
        <w:t xml:space="preserve"> </w:t>
      </w:r>
      <w:r w:rsidRPr="00F35B0D">
        <w:rPr>
          <w:rFonts w:eastAsia="Calibri"/>
          <w:u w:val="single"/>
        </w:rPr>
        <w:t xml:space="preserve">And </w:t>
      </w:r>
      <w:r w:rsidRPr="00F35B0D">
        <w:rPr>
          <w:rFonts w:eastAsia="Calibri"/>
          <w:highlight w:val="cyan"/>
          <w:u w:val="single"/>
        </w:rPr>
        <w:t>failing to</w:t>
      </w:r>
      <w:r w:rsidRPr="00F35B0D">
        <w:rPr>
          <w:rFonts w:eastAsia="Calibri"/>
          <w:u w:val="single"/>
        </w:rPr>
        <w:t xml:space="preserve"> </w:t>
      </w:r>
      <w:proofErr w:type="spellStart"/>
      <w:r w:rsidRPr="00F35B0D">
        <w:rPr>
          <w:rFonts w:eastAsia="Calibri"/>
          <w:highlight w:val="cyan"/>
          <w:u w:val="single"/>
        </w:rPr>
        <w:t>recognise</w:t>
      </w:r>
      <w:proofErr w:type="spellEnd"/>
      <w:r w:rsidRPr="00F35B0D">
        <w:rPr>
          <w:rFonts w:eastAsia="Calibri"/>
          <w:highlight w:val="cyan"/>
          <w:u w:val="single"/>
        </w:rPr>
        <w:t xml:space="preserve"> this</w:t>
      </w:r>
      <w:r w:rsidRPr="00F35B0D">
        <w:rPr>
          <w:rFonts w:eastAsia="Calibri"/>
          <w:u w:val="single"/>
        </w:rPr>
        <w:t xml:space="preserve"> </w:t>
      </w:r>
      <w:r w:rsidRPr="00F35B0D">
        <w:rPr>
          <w:rFonts w:eastAsia="Calibri"/>
          <w:b/>
          <w:iCs/>
          <w:u w:val="single"/>
        </w:rPr>
        <w:t xml:space="preserve">epistemic </w:t>
      </w:r>
      <w:proofErr w:type="spellStart"/>
      <w:r w:rsidRPr="00F35B0D">
        <w:rPr>
          <w:rFonts w:eastAsia="Calibri"/>
          <w:b/>
          <w:iCs/>
          <w:u w:val="single"/>
        </w:rPr>
        <w:t>labour</w:t>
      </w:r>
      <w:proofErr w:type="spellEnd"/>
      <w:r w:rsidRPr="00F35B0D">
        <w:rPr>
          <w:rFonts w:eastAsia="Calibri"/>
          <w:u w:val="single"/>
        </w:rPr>
        <w:t xml:space="preserve"> serves to </w:t>
      </w:r>
      <w:r w:rsidRPr="00F35B0D">
        <w:rPr>
          <w:rFonts w:eastAsia="Calibri"/>
          <w:highlight w:val="cyan"/>
          <w:u w:val="single"/>
        </w:rPr>
        <w:t xml:space="preserve">effect the erasure of </w:t>
      </w:r>
      <w:r w:rsidRPr="00F35B0D">
        <w:rPr>
          <w:rFonts w:eastAsia="Calibri"/>
          <w:b/>
          <w:iCs/>
          <w:highlight w:val="cyan"/>
          <w:u w:val="single"/>
        </w:rPr>
        <w:t>Black</w:t>
      </w:r>
      <w:r w:rsidRPr="00F35B0D">
        <w:rPr>
          <w:rFonts w:eastAsia="Calibri"/>
          <w:u w:val="single"/>
        </w:rPr>
        <w:t xml:space="preserve">, </w:t>
      </w:r>
      <w:r w:rsidRPr="00F35B0D">
        <w:rPr>
          <w:rFonts w:eastAsia="Calibri"/>
          <w:b/>
          <w:iCs/>
          <w:highlight w:val="cyan"/>
          <w:u w:val="single"/>
        </w:rPr>
        <w:t>Queer</w:t>
      </w:r>
      <w:r w:rsidRPr="00F35B0D">
        <w:rPr>
          <w:rFonts w:eastAsia="Calibri"/>
          <w:u w:val="single"/>
        </w:rPr>
        <w:t xml:space="preserve">, </w:t>
      </w:r>
      <w:r w:rsidRPr="00F35B0D">
        <w:rPr>
          <w:rFonts w:eastAsia="Calibri"/>
          <w:b/>
          <w:iCs/>
          <w:highlight w:val="cyan"/>
          <w:u w:val="single"/>
        </w:rPr>
        <w:t>Indigenous</w:t>
      </w:r>
      <w:r w:rsidRPr="00F35B0D">
        <w:rPr>
          <w:rFonts w:eastAsia="Calibri"/>
          <w:u w:val="single"/>
        </w:rPr>
        <w:t xml:space="preserve">, </w:t>
      </w:r>
      <w:r w:rsidRPr="00F35B0D">
        <w:rPr>
          <w:rFonts w:eastAsia="Calibri"/>
          <w:b/>
          <w:iCs/>
          <w:highlight w:val="cyan"/>
          <w:u w:val="single"/>
        </w:rPr>
        <w:t>poor</w:t>
      </w:r>
      <w:r w:rsidRPr="00F35B0D">
        <w:rPr>
          <w:rFonts w:eastAsia="Calibri"/>
          <w:u w:val="single"/>
        </w:rPr>
        <w:t xml:space="preserve">, </w:t>
      </w:r>
      <w:r w:rsidRPr="00F35B0D">
        <w:rPr>
          <w:rFonts w:eastAsia="Calibri"/>
          <w:b/>
          <w:iCs/>
          <w:highlight w:val="cyan"/>
          <w:u w:val="single"/>
        </w:rPr>
        <w:t>gendered</w:t>
      </w:r>
      <w:r w:rsidRPr="00F35B0D">
        <w:rPr>
          <w:rFonts w:eastAsia="Calibri"/>
          <w:u w:val="single"/>
        </w:rPr>
        <w:t xml:space="preserve">, </w:t>
      </w:r>
      <w:r w:rsidRPr="00F35B0D">
        <w:rPr>
          <w:rFonts w:eastAsia="Calibri"/>
          <w:b/>
          <w:iCs/>
          <w:highlight w:val="cyan"/>
          <w:u w:val="single"/>
        </w:rPr>
        <w:t>disabled</w:t>
      </w:r>
      <w:r w:rsidRPr="00F35B0D">
        <w:rPr>
          <w:rFonts w:eastAsia="Calibri"/>
          <w:u w:val="single"/>
        </w:rPr>
        <w:t xml:space="preserve">, </w:t>
      </w:r>
      <w:r w:rsidRPr="00F35B0D">
        <w:rPr>
          <w:rFonts w:eastAsia="Calibri"/>
          <w:highlight w:val="cyan"/>
          <w:u w:val="single"/>
        </w:rPr>
        <w:t xml:space="preserve">and </w:t>
      </w:r>
      <w:r w:rsidRPr="00F35B0D">
        <w:rPr>
          <w:rFonts w:eastAsia="Calibri"/>
          <w:b/>
          <w:iCs/>
          <w:highlight w:val="cyan"/>
          <w:u w:val="single"/>
        </w:rPr>
        <w:t>mad people</w:t>
      </w:r>
      <w:r w:rsidRPr="00F35B0D">
        <w:rPr>
          <w:rFonts w:eastAsia="Calibri"/>
          <w:u w:val="single"/>
        </w:rPr>
        <w:t xml:space="preserve"> since there is </w:t>
      </w:r>
      <w:r w:rsidRPr="00F35B0D">
        <w:rPr>
          <w:rFonts w:eastAsia="Calibri"/>
          <w:b/>
          <w:iCs/>
          <w:u w:val="single"/>
        </w:rPr>
        <w:t>little space</w:t>
      </w:r>
      <w:r w:rsidRPr="00F35B0D">
        <w:rPr>
          <w:rFonts w:eastAsia="Calibri"/>
          <w:u w:val="single"/>
        </w:rPr>
        <w:t xml:space="preserve"> both in the </w:t>
      </w:r>
      <w:r w:rsidRPr="00F35B0D">
        <w:rPr>
          <w:rFonts w:eastAsia="Calibri"/>
          <w:b/>
          <w:iCs/>
          <w:u w:val="single"/>
        </w:rPr>
        <w:t>discourse</w:t>
      </w:r>
      <w:r w:rsidRPr="00F35B0D">
        <w:rPr>
          <w:rFonts w:eastAsia="Calibri"/>
          <w:u w:val="single"/>
        </w:rPr>
        <w:t xml:space="preserve"> and </w:t>
      </w:r>
      <w:r w:rsidRPr="00F35B0D">
        <w:rPr>
          <w:rFonts w:eastAsia="Calibri"/>
          <w:b/>
          <w:iCs/>
          <w:u w:val="single"/>
        </w:rPr>
        <w:t>dominant society</w:t>
      </w:r>
      <w:r w:rsidRPr="00F35B0D">
        <w:rPr>
          <w:rFonts w:eastAsia="Calibri"/>
          <w:u w:val="single"/>
        </w:rPr>
        <w:t xml:space="preserve"> for them.</w:t>
      </w:r>
    </w:p>
    <w:p w14:paraId="7D58D583" w14:textId="77777777" w:rsidR="00F35B0D" w:rsidRDefault="00F35B0D" w:rsidP="00F35B0D">
      <w:pPr>
        <w:rPr>
          <w:rStyle w:val="StyleUnderline"/>
        </w:rPr>
      </w:pPr>
    </w:p>
    <w:p w14:paraId="3780EDBE" w14:textId="77777777" w:rsidR="00F35B0D" w:rsidRPr="00F35B0D" w:rsidRDefault="00F35B0D" w:rsidP="00F35B0D">
      <w:pPr>
        <w:keepNext/>
        <w:keepLines/>
        <w:spacing w:before="40" w:after="0" w:line="256" w:lineRule="auto"/>
        <w:outlineLvl w:val="3"/>
        <w:rPr>
          <w:rFonts w:eastAsia="Times New Roman"/>
          <w:b/>
          <w:iCs/>
          <w:sz w:val="26"/>
        </w:rPr>
      </w:pPr>
      <w:r w:rsidRPr="00F35B0D">
        <w:rPr>
          <w:rFonts w:eastAsia="Times New Roman"/>
          <w:b/>
          <w:iCs/>
          <w:sz w:val="26"/>
        </w:rPr>
        <w:t xml:space="preserve">The alternative is to reject the 1ac in favor of a Black feminist disability framework that begins from the intersections rather than tacking on disability, race, or gender as an afterthought. </w:t>
      </w:r>
    </w:p>
    <w:p w14:paraId="682D6FC2" w14:textId="77777777" w:rsidR="00F35B0D" w:rsidRPr="00F35B0D" w:rsidRDefault="00F35B0D" w:rsidP="00F35B0D">
      <w:pPr>
        <w:spacing w:line="256" w:lineRule="auto"/>
        <w:rPr>
          <w:rFonts w:eastAsia="Calibri"/>
        </w:rPr>
      </w:pPr>
      <w:r w:rsidRPr="00F35B0D">
        <w:rPr>
          <w:rFonts w:eastAsia="Calibri"/>
          <w:b/>
          <w:bCs/>
          <w:sz w:val="26"/>
        </w:rPr>
        <w:t>Bailey and Mobley 18</w:t>
      </w:r>
      <w:r w:rsidRPr="00F35B0D">
        <w:rPr>
          <w:rFonts w:eastAsia="Calibri"/>
        </w:rPr>
        <w:t xml:space="preserve"> (Moya Bailey, African-American feminist scholar, writer, and activist, coined the term misogynoir, Northeastern University; Izetta Autumn Mobley, University of Maryland, College Park, 2018, Gender &amp; Society, “Work In The Intersections A Black Feminist Disability Framework”, </w:t>
      </w:r>
      <w:proofErr w:type="spellStart"/>
      <w:r w:rsidRPr="00F35B0D">
        <w:rPr>
          <w:rFonts w:eastAsia="Calibri"/>
        </w:rPr>
        <w:t>doi</w:t>
      </w:r>
      <w:proofErr w:type="spellEnd"/>
      <w:r w:rsidRPr="00F35B0D">
        <w:rPr>
          <w:rFonts w:eastAsia="Calibri"/>
        </w:rPr>
        <w:t xml:space="preserve">: https://doi.org/10.1177/0891243218801523, accessed 10-16-2024) </w:t>
      </w:r>
      <w:proofErr w:type="spellStart"/>
      <w:r w:rsidRPr="00F35B0D">
        <w:rPr>
          <w:rFonts w:eastAsia="Calibri"/>
        </w:rPr>
        <w:t>jordan</w:t>
      </w:r>
      <w:proofErr w:type="spellEnd"/>
    </w:p>
    <w:p w14:paraId="5040DAC6" w14:textId="3B3354B7" w:rsidR="00F35B0D" w:rsidRPr="00F35B0D" w:rsidRDefault="00F35B0D" w:rsidP="00F35B0D">
      <w:pPr>
        <w:spacing w:line="256" w:lineRule="auto"/>
        <w:rPr>
          <w:rStyle w:val="StyleUnderline"/>
          <w:rFonts w:eastAsia="Calibri"/>
          <w:iCs/>
          <w:sz w:val="16"/>
        </w:rPr>
      </w:pPr>
      <w:r w:rsidRPr="00F35B0D">
        <w:rPr>
          <w:rFonts w:eastAsia="Calibri"/>
          <w:highlight w:val="cyan"/>
          <w:u w:val="single"/>
        </w:rPr>
        <w:t xml:space="preserve">We want </w:t>
      </w:r>
      <w:r w:rsidRPr="00F35B0D">
        <w:rPr>
          <w:rFonts w:eastAsia="Calibri"/>
          <w:b/>
          <w:iCs/>
          <w:highlight w:val="cyan"/>
          <w:u w:val="single"/>
        </w:rPr>
        <w:t>scholarship</w:t>
      </w:r>
      <w:r w:rsidRPr="00F35B0D">
        <w:rPr>
          <w:rFonts w:eastAsia="Calibri"/>
          <w:highlight w:val="cyan"/>
          <w:u w:val="single"/>
        </w:rPr>
        <w:t xml:space="preserve"> that can inform better</w:t>
      </w:r>
      <w:r w:rsidRPr="00F35B0D">
        <w:rPr>
          <w:rFonts w:eastAsia="Calibri"/>
          <w:u w:val="single"/>
        </w:rPr>
        <w:t xml:space="preserve"> </w:t>
      </w:r>
      <w:r w:rsidRPr="00F35B0D">
        <w:rPr>
          <w:rFonts w:eastAsia="Calibri"/>
          <w:b/>
          <w:iCs/>
          <w:u w:val="single"/>
        </w:rPr>
        <w:t xml:space="preserve">direct </w:t>
      </w:r>
      <w:r w:rsidRPr="00F35B0D">
        <w:rPr>
          <w:rFonts w:eastAsia="Calibri"/>
          <w:b/>
          <w:iCs/>
          <w:highlight w:val="cyan"/>
          <w:u w:val="single"/>
        </w:rPr>
        <w:t>services</w:t>
      </w:r>
      <w:r w:rsidRPr="00F35B0D">
        <w:rPr>
          <w:rFonts w:eastAsia="Calibri"/>
          <w:u w:val="single"/>
        </w:rPr>
        <w:t xml:space="preserve"> and </w:t>
      </w:r>
      <w:r w:rsidRPr="00F35B0D">
        <w:rPr>
          <w:rFonts w:eastAsia="Calibri"/>
          <w:b/>
          <w:iCs/>
          <w:u w:val="single"/>
        </w:rPr>
        <w:t>actions</w:t>
      </w:r>
      <w:r w:rsidRPr="00F35B0D">
        <w:rPr>
          <w:rFonts w:eastAsia="Calibri"/>
          <w:u w:val="single"/>
        </w:rPr>
        <w:t xml:space="preserve"> </w:t>
      </w:r>
      <w:r w:rsidRPr="00F35B0D">
        <w:rPr>
          <w:rFonts w:eastAsia="Calibri"/>
          <w:highlight w:val="cyan"/>
          <w:u w:val="single"/>
        </w:rPr>
        <w:t>for those</w:t>
      </w:r>
      <w:r w:rsidRPr="00F35B0D">
        <w:rPr>
          <w:rFonts w:eastAsia="Calibri"/>
          <w:u w:val="single"/>
        </w:rPr>
        <w:t xml:space="preserve"> </w:t>
      </w:r>
      <w:r w:rsidRPr="00F35B0D">
        <w:rPr>
          <w:rFonts w:eastAsia="Calibri"/>
          <w:highlight w:val="cyan"/>
          <w:u w:val="single"/>
        </w:rPr>
        <w:t>living</w:t>
      </w:r>
      <w:r w:rsidRPr="00F35B0D">
        <w:rPr>
          <w:rFonts w:eastAsia="Calibri"/>
          <w:u w:val="single"/>
        </w:rPr>
        <w:t xml:space="preserve"> daily </w:t>
      </w:r>
      <w:r w:rsidRPr="00F35B0D">
        <w:rPr>
          <w:rFonts w:eastAsia="Calibri"/>
          <w:highlight w:val="cyan"/>
          <w:u w:val="single"/>
        </w:rPr>
        <w:t>with and</w:t>
      </w:r>
      <w:r w:rsidRPr="00F35B0D">
        <w:rPr>
          <w:rFonts w:eastAsia="Calibri"/>
          <w:u w:val="single"/>
        </w:rPr>
        <w:t xml:space="preserve"> </w:t>
      </w:r>
      <w:r w:rsidRPr="00F35B0D">
        <w:rPr>
          <w:rFonts w:eastAsia="Calibri"/>
          <w:highlight w:val="cyan"/>
          <w:u w:val="single"/>
        </w:rPr>
        <w:t xml:space="preserve">through </w:t>
      </w:r>
      <w:r w:rsidRPr="00F35B0D">
        <w:rPr>
          <w:rFonts w:eastAsia="Calibri"/>
          <w:b/>
          <w:iCs/>
          <w:highlight w:val="cyan"/>
          <w:u w:val="single"/>
        </w:rPr>
        <w:t>social death</w:t>
      </w:r>
      <w:r w:rsidRPr="00F35B0D">
        <w:rPr>
          <w:rFonts w:eastAsia="Calibri"/>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sidRPr="00F35B0D">
        <w:rPr>
          <w:rFonts w:eastAsia="Calibri"/>
          <w:u w:val="single"/>
        </w:rPr>
        <w:t xml:space="preserve">The </w:t>
      </w:r>
      <w:r w:rsidRPr="00F35B0D">
        <w:rPr>
          <w:rFonts w:eastAsia="Calibri"/>
          <w:highlight w:val="cyan"/>
          <w:u w:val="single"/>
        </w:rPr>
        <w:t>theoretical interventions</w:t>
      </w:r>
      <w:r w:rsidRPr="00F35B0D">
        <w:rPr>
          <w:rFonts w:eastAsia="Calibri"/>
          <w:u w:val="single"/>
        </w:rPr>
        <w:t xml:space="preserve"> of </w:t>
      </w:r>
      <w:proofErr w:type="spellStart"/>
      <w:r w:rsidRPr="00F35B0D">
        <w:rPr>
          <w:rFonts w:eastAsia="Calibri"/>
          <w:b/>
          <w:iCs/>
          <w:u w:val="single"/>
        </w:rPr>
        <w:t>Afropessimism</w:t>
      </w:r>
      <w:proofErr w:type="spellEnd"/>
      <w:r w:rsidRPr="00F35B0D">
        <w:rPr>
          <w:rFonts w:eastAsia="Calibri"/>
          <w:u w:val="single"/>
        </w:rPr>
        <w:t xml:space="preserve"> and </w:t>
      </w:r>
      <w:r w:rsidRPr="00F35B0D">
        <w:rPr>
          <w:rFonts w:eastAsia="Calibri"/>
          <w:b/>
          <w:iCs/>
          <w:u w:val="single"/>
        </w:rPr>
        <w:t>Black nihilism</w:t>
      </w:r>
      <w:r w:rsidRPr="00F35B0D">
        <w:rPr>
          <w:rFonts w:eastAsia="Calibri"/>
          <w:u w:val="single"/>
        </w:rPr>
        <w:t xml:space="preserve"> </w:t>
      </w:r>
      <w:r w:rsidRPr="00F35B0D">
        <w:rPr>
          <w:rFonts w:eastAsia="Calibri"/>
          <w:highlight w:val="cyan"/>
          <w:u w:val="single"/>
        </w:rPr>
        <w:t xml:space="preserve">have much to say about Black death but </w:t>
      </w:r>
      <w:r w:rsidRPr="00F35B0D">
        <w:rPr>
          <w:rFonts w:eastAsia="Calibri"/>
          <w:b/>
          <w:iCs/>
          <w:highlight w:val="cyan"/>
          <w:u w:val="single"/>
        </w:rPr>
        <w:t>do not connect these</w:t>
      </w:r>
      <w:r w:rsidRPr="00F35B0D">
        <w:rPr>
          <w:rFonts w:eastAsia="Calibri"/>
          <w:b/>
          <w:iCs/>
          <w:u w:val="single"/>
        </w:rPr>
        <w:t xml:space="preserve"> conversations overtly </w:t>
      </w:r>
      <w:r w:rsidRPr="00F35B0D">
        <w:rPr>
          <w:rFonts w:eastAsia="Calibri"/>
          <w:b/>
          <w:iCs/>
          <w:highlight w:val="cyan"/>
          <w:u w:val="single"/>
        </w:rPr>
        <w:t>to</w:t>
      </w:r>
      <w:r w:rsidRPr="00F35B0D">
        <w:rPr>
          <w:rFonts w:eastAsia="Calibri"/>
          <w:b/>
          <w:iCs/>
          <w:u w:val="single"/>
        </w:rPr>
        <w:t xml:space="preserve"> </w:t>
      </w:r>
      <w:r w:rsidRPr="00F35B0D">
        <w:rPr>
          <w:rFonts w:eastAsia="Calibri"/>
          <w:b/>
          <w:iCs/>
          <w:highlight w:val="cyan"/>
          <w:u w:val="single"/>
        </w:rPr>
        <w:t>disability.</w:t>
      </w:r>
      <w:r w:rsidRPr="00F35B0D">
        <w:rPr>
          <w:rFonts w:eastAsia="Calibri"/>
          <w:sz w:val="16"/>
        </w:rPr>
        <w:t xml:space="preserve"> </w:t>
      </w:r>
      <w:r w:rsidRPr="00F35B0D">
        <w:rPr>
          <w:rFonts w:eastAsia="Calibri"/>
          <w:u w:val="single"/>
        </w:rPr>
        <w:t xml:space="preserve">The </w:t>
      </w:r>
      <w:r w:rsidRPr="00F35B0D">
        <w:rPr>
          <w:rFonts w:eastAsia="Calibri"/>
          <w:highlight w:val="cyan"/>
          <w:u w:val="single"/>
        </w:rPr>
        <w:t xml:space="preserve">incorporation of </w:t>
      </w:r>
      <w:r w:rsidRPr="00F35B0D">
        <w:rPr>
          <w:rFonts w:eastAsia="Calibri"/>
          <w:b/>
          <w:iCs/>
          <w:highlight w:val="cyan"/>
          <w:u w:val="single"/>
        </w:rPr>
        <w:t>disability</w:t>
      </w:r>
      <w:r w:rsidRPr="00F35B0D">
        <w:rPr>
          <w:rFonts w:eastAsia="Calibri"/>
          <w:u w:val="single"/>
        </w:rPr>
        <w:t xml:space="preserve"> </w:t>
      </w:r>
      <w:r w:rsidRPr="00F35B0D">
        <w:rPr>
          <w:rFonts w:eastAsia="Calibri"/>
          <w:highlight w:val="cyan"/>
          <w:u w:val="single"/>
        </w:rPr>
        <w:t>into these</w:t>
      </w:r>
      <w:r w:rsidRPr="00F35B0D">
        <w:rPr>
          <w:rFonts w:eastAsia="Calibri"/>
          <w:u w:val="single"/>
        </w:rPr>
        <w:t xml:space="preserve"> </w:t>
      </w:r>
      <w:r w:rsidRPr="00F35B0D">
        <w:rPr>
          <w:rFonts w:eastAsia="Calibri"/>
          <w:b/>
          <w:iCs/>
          <w:u w:val="single"/>
        </w:rPr>
        <w:t>theoretical projects</w:t>
      </w:r>
      <w:r w:rsidRPr="00F35B0D">
        <w:rPr>
          <w:rFonts w:eastAsia="Calibri"/>
          <w:u w:val="single"/>
        </w:rPr>
        <w:t xml:space="preserve"> </w:t>
      </w:r>
      <w:r w:rsidRPr="00F35B0D">
        <w:rPr>
          <w:rFonts w:eastAsia="Calibri"/>
          <w:highlight w:val="cyan"/>
          <w:u w:val="single"/>
        </w:rPr>
        <w:t>might help us think</w:t>
      </w:r>
      <w:r w:rsidRPr="00F35B0D">
        <w:rPr>
          <w:rFonts w:eastAsia="Calibri"/>
          <w:u w:val="single"/>
        </w:rPr>
        <w:t xml:space="preserve"> through the ways in which we imagine a </w:t>
      </w:r>
      <w:r w:rsidRPr="00F35B0D">
        <w:rPr>
          <w:rFonts w:eastAsia="Calibri"/>
          <w:b/>
          <w:iCs/>
          <w:highlight w:val="cyan"/>
          <w:u w:val="single"/>
        </w:rPr>
        <w:t>Black life</w:t>
      </w:r>
      <w:r w:rsidRPr="00F35B0D">
        <w:rPr>
          <w:rFonts w:eastAsia="Calibri"/>
          <w:u w:val="single"/>
        </w:rPr>
        <w:t xml:space="preserve"> that is </w:t>
      </w:r>
      <w:r w:rsidRPr="00F35B0D">
        <w:rPr>
          <w:rFonts w:eastAsia="Calibri"/>
          <w:highlight w:val="cyan"/>
          <w:u w:val="single"/>
        </w:rPr>
        <w:t>more than just</w:t>
      </w:r>
      <w:r w:rsidRPr="00F35B0D">
        <w:rPr>
          <w:rFonts w:eastAsia="Calibri"/>
          <w:u w:val="single"/>
        </w:rPr>
        <w:t xml:space="preserve"> </w:t>
      </w:r>
      <w:r w:rsidRPr="00F35B0D">
        <w:rPr>
          <w:rFonts w:eastAsia="Calibri"/>
          <w:b/>
          <w:iCs/>
          <w:u w:val="single"/>
        </w:rPr>
        <w:t>survival</w:t>
      </w:r>
      <w:r w:rsidRPr="00F35B0D">
        <w:rPr>
          <w:rFonts w:eastAsia="Calibri"/>
          <w:u w:val="single"/>
        </w:rPr>
        <w:t xml:space="preserve"> and more than </w:t>
      </w:r>
      <w:r w:rsidRPr="00F35B0D">
        <w:rPr>
          <w:rFonts w:eastAsia="Calibri"/>
          <w:b/>
          <w:iCs/>
          <w:highlight w:val="cyan"/>
          <w:u w:val="single"/>
        </w:rPr>
        <w:t>able-bodied utopia.</w:t>
      </w:r>
      <w:r w:rsidRPr="00F35B0D">
        <w:rPr>
          <w:rFonts w:eastAsia="Calibri"/>
          <w:sz w:val="16"/>
        </w:rPr>
        <w:t xml:space="preserve"> </w:t>
      </w:r>
      <w:r w:rsidRPr="00F35B0D">
        <w:rPr>
          <w:rFonts w:eastAsia="Calibri"/>
          <w:b/>
          <w:iCs/>
          <w:sz w:val="28"/>
          <w:szCs w:val="28"/>
          <w:highlight w:val="cyan"/>
          <w:u w:val="single"/>
        </w:rPr>
        <w:t>What does liberation look like if disabled Black bodies are allowed in our futures?</w:t>
      </w:r>
      <w:r w:rsidRPr="00F35B0D">
        <w:rPr>
          <w:rFonts w:eastAsia="Calibri"/>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sidRPr="00F35B0D">
        <w:rPr>
          <w:rFonts w:eastAsia="Calibri"/>
          <w:u w:val="single"/>
        </w:rPr>
        <w:t xml:space="preserve">Whether it is the </w:t>
      </w:r>
      <w:r w:rsidRPr="00F35B0D">
        <w:rPr>
          <w:rFonts w:eastAsia="Calibri"/>
          <w:b/>
          <w:iCs/>
          <w:u w:val="single"/>
        </w:rPr>
        <w:t>painful epileptic seizures</w:t>
      </w:r>
      <w:r w:rsidRPr="00F35B0D">
        <w:rPr>
          <w:rFonts w:eastAsia="Calibri"/>
          <w:u w:val="single"/>
        </w:rPr>
        <w:t xml:space="preserve"> of </w:t>
      </w:r>
      <w:r w:rsidRPr="00F35B0D">
        <w:rPr>
          <w:rFonts w:eastAsia="Calibri"/>
          <w:b/>
          <w:iCs/>
          <w:u w:val="single"/>
        </w:rPr>
        <w:t>Harriet Tubman</w:t>
      </w:r>
      <w:r w:rsidRPr="00F35B0D">
        <w:rPr>
          <w:rFonts w:eastAsia="Calibri"/>
          <w:u w:val="single"/>
        </w:rPr>
        <w:t xml:space="preserve"> that helped her stay ahead of </w:t>
      </w:r>
      <w:r w:rsidRPr="00F35B0D">
        <w:rPr>
          <w:rFonts w:eastAsia="Calibri"/>
          <w:b/>
          <w:iCs/>
          <w:u w:val="single"/>
        </w:rPr>
        <w:t>bounty hunters</w:t>
      </w:r>
      <w:r w:rsidRPr="00F35B0D">
        <w:rPr>
          <w:rFonts w:eastAsia="Calibri"/>
          <w:u w:val="single"/>
        </w:rPr>
        <w:t xml:space="preserve"> or the Mississippi appendectomy that spurred Fannie Lou Hamer’s </w:t>
      </w:r>
      <w:r w:rsidRPr="00F35B0D">
        <w:rPr>
          <w:rFonts w:eastAsia="Calibri"/>
          <w:b/>
          <w:iCs/>
          <w:u w:val="single"/>
        </w:rPr>
        <w:t>activism,</w:t>
      </w:r>
      <w:r w:rsidRPr="00F35B0D">
        <w:rPr>
          <w:rFonts w:eastAsia="Calibri"/>
          <w:u w:val="single"/>
        </w:rPr>
        <w:t xml:space="preserve"> </w:t>
      </w:r>
      <w:r w:rsidRPr="00F35B0D">
        <w:rPr>
          <w:rFonts w:eastAsia="Calibri"/>
          <w:b/>
          <w:iCs/>
          <w:sz w:val="28"/>
          <w:szCs w:val="28"/>
          <w:highlight w:val="cyan"/>
          <w:u w:val="single"/>
        </w:rPr>
        <w:t>the intersections of</w:t>
      </w:r>
      <w:r w:rsidRPr="00F35B0D">
        <w:rPr>
          <w:rFonts w:eastAsia="Calibri"/>
          <w:b/>
          <w:iCs/>
          <w:sz w:val="28"/>
          <w:szCs w:val="28"/>
          <w:u w:val="single"/>
        </w:rPr>
        <w:t xml:space="preserve"> </w:t>
      </w:r>
      <w:r w:rsidRPr="00F35B0D">
        <w:rPr>
          <w:rFonts w:eastAsia="Calibri"/>
          <w:b/>
          <w:iCs/>
          <w:sz w:val="28"/>
          <w:szCs w:val="28"/>
          <w:highlight w:val="cyan"/>
          <w:u w:val="single"/>
        </w:rPr>
        <w:t>disability and race</w:t>
      </w:r>
      <w:r w:rsidRPr="00F35B0D">
        <w:rPr>
          <w:rFonts w:eastAsia="Calibri"/>
          <w:b/>
          <w:iCs/>
          <w:sz w:val="28"/>
          <w:szCs w:val="28"/>
          <w:u w:val="single"/>
        </w:rPr>
        <w:t xml:space="preserve"> in the bodily praxis of historical Black figures </w:t>
      </w:r>
      <w:r w:rsidRPr="00F35B0D">
        <w:rPr>
          <w:rFonts w:eastAsia="Calibri"/>
          <w:b/>
          <w:iCs/>
          <w:sz w:val="28"/>
          <w:szCs w:val="28"/>
          <w:highlight w:val="cyan"/>
          <w:u w:val="single"/>
        </w:rPr>
        <w:t xml:space="preserve">needs to be </w:t>
      </w:r>
      <w:r w:rsidRPr="00F35B0D">
        <w:rPr>
          <w:rFonts w:eastAsia="Calibri"/>
          <w:b/>
          <w:iCs/>
          <w:sz w:val="28"/>
          <w:szCs w:val="28"/>
          <w:u w:val="single"/>
        </w:rPr>
        <w:t xml:space="preserve">more </w:t>
      </w:r>
      <w:r w:rsidRPr="00F35B0D">
        <w:rPr>
          <w:rFonts w:eastAsia="Calibri"/>
          <w:b/>
          <w:iCs/>
          <w:sz w:val="28"/>
          <w:szCs w:val="28"/>
          <w:highlight w:val="cyan"/>
          <w:u w:val="single"/>
        </w:rPr>
        <w:t>deeply addressed.</w:t>
      </w:r>
      <w:r w:rsidRPr="00F35B0D">
        <w:rPr>
          <w:rFonts w:eastAsia="Calibri"/>
          <w:iCs/>
          <w:sz w:val="16"/>
          <w:u w:val="single"/>
        </w:rPr>
        <w:t xml:space="preserve"> </w:t>
      </w:r>
      <w:r w:rsidRPr="00F35B0D">
        <w:rPr>
          <w:rFonts w:eastAsia="Calibri"/>
          <w:sz w:val="16"/>
        </w:rPr>
        <w:t xml:space="preserve">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sidRPr="00F35B0D">
        <w:rPr>
          <w:rFonts w:eastAsia="Calibri"/>
          <w:highlight w:val="cyan"/>
          <w:u w:val="single"/>
        </w:rPr>
        <w:t>If Black Studies took up</w:t>
      </w:r>
      <w:r w:rsidRPr="00F35B0D">
        <w:rPr>
          <w:rFonts w:eastAsia="Calibri"/>
          <w:u w:val="single"/>
        </w:rPr>
        <w:t xml:space="preserve"> </w:t>
      </w:r>
      <w:r w:rsidRPr="00F35B0D">
        <w:rPr>
          <w:rFonts w:eastAsia="Calibri"/>
          <w:highlight w:val="cyan"/>
          <w:u w:val="single"/>
        </w:rPr>
        <w:t>disability and gender</w:t>
      </w:r>
      <w:r w:rsidRPr="00F35B0D">
        <w:rPr>
          <w:rFonts w:eastAsia="Calibri"/>
          <w:u w:val="single"/>
        </w:rPr>
        <w:t xml:space="preserve"> </w:t>
      </w:r>
      <w:r w:rsidRPr="00F35B0D">
        <w:rPr>
          <w:rFonts w:eastAsia="Calibri"/>
          <w:b/>
          <w:iCs/>
          <w:u w:val="single"/>
        </w:rPr>
        <w:t>more comprehensively</w:t>
      </w:r>
      <w:r w:rsidRPr="00F35B0D">
        <w:rPr>
          <w:rFonts w:eastAsia="Calibri"/>
          <w:u w:val="single"/>
        </w:rPr>
        <w:t xml:space="preserve"> </w:t>
      </w:r>
      <w:r w:rsidRPr="00F35B0D">
        <w:rPr>
          <w:rFonts w:eastAsia="Calibri"/>
          <w:highlight w:val="cyan"/>
          <w:u w:val="single"/>
        </w:rPr>
        <w:t>and</w:t>
      </w:r>
      <w:r w:rsidRPr="00F35B0D">
        <w:rPr>
          <w:rFonts w:eastAsia="Calibri"/>
          <w:u w:val="single"/>
        </w:rPr>
        <w:t xml:space="preserve"> </w:t>
      </w:r>
      <w:r w:rsidRPr="00F35B0D">
        <w:rPr>
          <w:rFonts w:eastAsia="Calibri"/>
          <w:b/>
          <w:iCs/>
          <w:u w:val="single"/>
        </w:rPr>
        <w:t xml:space="preserve">productively </w:t>
      </w:r>
      <w:r w:rsidRPr="00F35B0D">
        <w:rPr>
          <w:rFonts w:eastAsia="Calibri"/>
          <w:b/>
          <w:iCs/>
          <w:highlight w:val="cyan"/>
          <w:u w:val="single"/>
        </w:rPr>
        <w:t>confronted ableism</w:t>
      </w:r>
      <w:r w:rsidRPr="00F35B0D">
        <w:rPr>
          <w:rFonts w:eastAsia="Calibri"/>
          <w:u w:val="single"/>
        </w:rPr>
        <w:t xml:space="preserve">, </w:t>
      </w:r>
      <w:r w:rsidRPr="00F35B0D">
        <w:rPr>
          <w:rFonts w:eastAsia="Calibri"/>
          <w:highlight w:val="cyan"/>
          <w:u w:val="single"/>
        </w:rPr>
        <w:t>we might discard</w:t>
      </w:r>
      <w:r w:rsidRPr="00F35B0D">
        <w:rPr>
          <w:rFonts w:eastAsia="Calibri"/>
          <w:u w:val="single"/>
        </w:rPr>
        <w:t xml:space="preserve"> </w:t>
      </w:r>
      <w:r w:rsidRPr="00F35B0D">
        <w:rPr>
          <w:rFonts w:eastAsia="Calibri"/>
          <w:b/>
          <w:iCs/>
          <w:u w:val="single"/>
        </w:rPr>
        <w:t>ableist language</w:t>
      </w:r>
      <w:r w:rsidRPr="00F35B0D">
        <w:rPr>
          <w:rFonts w:eastAsia="Calibri"/>
          <w:u w:val="single"/>
        </w:rPr>
        <w:t xml:space="preserve"> and create </w:t>
      </w:r>
      <w:r w:rsidRPr="00F35B0D">
        <w:rPr>
          <w:rFonts w:eastAsia="Calibri"/>
          <w:b/>
          <w:iCs/>
          <w:u w:val="single"/>
        </w:rPr>
        <w:t>new language.</w:t>
      </w:r>
      <w:r w:rsidRPr="00F35B0D">
        <w:rPr>
          <w:rFonts w:eastAsia="Calibri"/>
          <w:sz w:val="16"/>
        </w:rPr>
        <w:t xml:space="preserve"> </w:t>
      </w:r>
      <w:r w:rsidRPr="00F35B0D">
        <w:rPr>
          <w:rFonts w:eastAsia="Calibri"/>
          <w:u w:val="single"/>
        </w:rPr>
        <w:t xml:space="preserve">Too often we use </w:t>
      </w:r>
      <w:r w:rsidRPr="00F35B0D">
        <w:rPr>
          <w:rFonts w:eastAsia="Calibri"/>
          <w:highlight w:val="cyan"/>
          <w:u w:val="single"/>
        </w:rPr>
        <w:t>metaphors that</w:t>
      </w:r>
      <w:r w:rsidRPr="00F35B0D">
        <w:rPr>
          <w:rFonts w:eastAsia="Calibri"/>
          <w:u w:val="single"/>
        </w:rPr>
        <w:t xml:space="preserve"> </w:t>
      </w:r>
      <w:r w:rsidRPr="00F35B0D">
        <w:rPr>
          <w:rFonts w:eastAsia="Calibri"/>
          <w:b/>
          <w:iCs/>
          <w:u w:val="single"/>
        </w:rPr>
        <w:t xml:space="preserve">subtly </w:t>
      </w:r>
      <w:r w:rsidRPr="00F35B0D">
        <w:rPr>
          <w:rFonts w:eastAsia="Calibri"/>
          <w:b/>
          <w:iCs/>
          <w:highlight w:val="cyan"/>
          <w:u w:val="single"/>
        </w:rPr>
        <w:t>undermine</w:t>
      </w:r>
      <w:r w:rsidRPr="00F35B0D">
        <w:rPr>
          <w:rFonts w:eastAsia="Calibri"/>
          <w:b/>
          <w:iCs/>
          <w:u w:val="single"/>
        </w:rPr>
        <w:t xml:space="preserve"> our </w:t>
      </w:r>
      <w:r w:rsidRPr="00F35B0D">
        <w:rPr>
          <w:rFonts w:eastAsia="Calibri"/>
          <w:b/>
          <w:iCs/>
          <w:highlight w:val="cyan"/>
          <w:u w:val="single"/>
        </w:rPr>
        <w:t>liberatory agendas</w:t>
      </w:r>
      <w:r w:rsidRPr="00F35B0D">
        <w:rPr>
          <w:rFonts w:eastAsia="Calibri"/>
          <w:sz w:val="16"/>
        </w:rPr>
        <w:t>, but we also have the power to transform ableist invective in equally liberatory ways.</w:t>
      </w:r>
      <w:r w:rsidRPr="00F35B0D">
        <w:rPr>
          <w:rFonts w:eastAsia="Calibri"/>
          <w:u w:val="single"/>
        </w:rPr>
        <w:t xml:space="preserve"> If Disability Studies took up Black Studies and critical race theory in ways that displaced the white disabled body as the norm, we might gain a </w:t>
      </w:r>
      <w:r w:rsidRPr="00F35B0D">
        <w:rPr>
          <w:rFonts w:eastAsia="Calibri"/>
          <w:b/>
          <w:iCs/>
          <w:u w:val="single"/>
        </w:rPr>
        <w:t>stronger</w:t>
      </w:r>
      <w:r w:rsidRPr="00F35B0D">
        <w:rPr>
          <w:rFonts w:eastAsia="Calibri"/>
          <w:u w:val="single"/>
        </w:rPr>
        <w:t xml:space="preserve">, more </w:t>
      </w:r>
      <w:r w:rsidRPr="00F35B0D">
        <w:rPr>
          <w:rFonts w:eastAsia="Calibri"/>
          <w:b/>
          <w:iCs/>
          <w:u w:val="single"/>
        </w:rPr>
        <w:t>flexible</w:t>
      </w:r>
      <w:r w:rsidRPr="00F35B0D">
        <w:rPr>
          <w:rFonts w:eastAsia="Calibri"/>
          <w:u w:val="single"/>
        </w:rPr>
        <w:t xml:space="preserve">, and </w:t>
      </w:r>
      <w:r w:rsidRPr="00F35B0D">
        <w:rPr>
          <w:rFonts w:eastAsia="Calibri"/>
          <w:b/>
          <w:iCs/>
          <w:u w:val="single"/>
        </w:rPr>
        <w:t>globally relevant framework</w:t>
      </w:r>
      <w:r w:rsidRPr="00F35B0D">
        <w:rPr>
          <w:rFonts w:eastAsia="Calibri"/>
          <w:u w:val="single"/>
        </w:rPr>
        <w:t xml:space="preserve"> from which to critique </w:t>
      </w:r>
      <w:r w:rsidRPr="00F35B0D">
        <w:rPr>
          <w:rFonts w:eastAsia="Calibri"/>
          <w:b/>
          <w:iCs/>
          <w:u w:val="single"/>
        </w:rPr>
        <w:t>late neoliberal capitalism.</w:t>
      </w:r>
      <w:r w:rsidRPr="00F35B0D">
        <w:rPr>
          <w:rFonts w:eastAsia="Calibri"/>
          <w:sz w:val="16"/>
        </w:rPr>
        <w:t xml:space="preserve"> Too often we engage race and its impact as an additive or comparative category of difference rather than a constitutive aspect of notions of disability in the West. </w:t>
      </w:r>
      <w:r w:rsidRPr="00F35B0D">
        <w:rPr>
          <w:rFonts w:eastAsia="Calibri"/>
          <w:b/>
          <w:iCs/>
          <w:highlight w:val="cyan"/>
          <w:u w:val="single"/>
        </w:rPr>
        <w:t>When disability is more seriously regarded within Black Studies, race within</w:t>
      </w:r>
      <w:r w:rsidRPr="00F35B0D">
        <w:rPr>
          <w:rFonts w:eastAsia="Calibri"/>
          <w:b/>
          <w:iCs/>
          <w:u w:val="single"/>
        </w:rPr>
        <w:t xml:space="preserve"> </w:t>
      </w:r>
      <w:r w:rsidRPr="00F35B0D">
        <w:rPr>
          <w:rFonts w:eastAsia="Calibri"/>
          <w:b/>
          <w:iCs/>
          <w:highlight w:val="cyan"/>
          <w:u w:val="single"/>
        </w:rPr>
        <w:t>Disability Studies, and gender in both</w:t>
      </w:r>
      <w:r w:rsidRPr="00F35B0D">
        <w:rPr>
          <w:rFonts w:eastAsia="Calibri"/>
          <w:b/>
          <w:iCs/>
          <w:u w:val="single"/>
        </w:rPr>
        <w:t xml:space="preserve">, </w:t>
      </w:r>
      <w:r w:rsidRPr="00F35B0D">
        <w:rPr>
          <w:rFonts w:eastAsia="Calibri"/>
          <w:b/>
          <w:iCs/>
          <w:sz w:val="28"/>
          <w:szCs w:val="28"/>
          <w:highlight w:val="cyan"/>
          <w:u w:val="single"/>
        </w:rPr>
        <w:t>there are</w:t>
      </w:r>
      <w:r w:rsidRPr="00F35B0D">
        <w:rPr>
          <w:rFonts w:eastAsia="Calibri"/>
          <w:b/>
          <w:iCs/>
          <w:sz w:val="28"/>
          <w:szCs w:val="28"/>
          <w:u w:val="single"/>
        </w:rPr>
        <w:t xml:space="preserve"> an </w:t>
      </w:r>
      <w:r w:rsidRPr="00F35B0D">
        <w:rPr>
          <w:rFonts w:eastAsia="Calibri"/>
          <w:b/>
          <w:iCs/>
          <w:sz w:val="28"/>
          <w:szCs w:val="28"/>
          <w:highlight w:val="cyan"/>
          <w:u w:val="single"/>
        </w:rPr>
        <w:t>infinite</w:t>
      </w:r>
      <w:r w:rsidRPr="00F35B0D">
        <w:rPr>
          <w:rFonts w:eastAsia="Calibri"/>
          <w:b/>
          <w:iCs/>
          <w:sz w:val="28"/>
          <w:szCs w:val="28"/>
          <w:u w:val="single"/>
        </w:rPr>
        <w:t xml:space="preserve"> number of </w:t>
      </w:r>
      <w:r w:rsidRPr="00F35B0D">
        <w:rPr>
          <w:rFonts w:eastAsia="Calibri"/>
          <w:b/>
          <w:iCs/>
          <w:sz w:val="28"/>
          <w:szCs w:val="28"/>
          <w:highlight w:val="cyan"/>
          <w:u w:val="single"/>
        </w:rPr>
        <w:t>revolutions that a</w:t>
      </w:r>
      <w:r w:rsidRPr="00F35B0D">
        <w:rPr>
          <w:rFonts w:eastAsia="Calibri"/>
          <w:b/>
          <w:iCs/>
          <w:sz w:val="28"/>
          <w:szCs w:val="28"/>
          <w:u w:val="single"/>
        </w:rPr>
        <w:t xml:space="preserve"> </w:t>
      </w:r>
      <w:r w:rsidRPr="00F35B0D">
        <w:rPr>
          <w:rFonts w:eastAsia="Calibri"/>
          <w:b/>
          <w:iCs/>
          <w:sz w:val="28"/>
          <w:szCs w:val="28"/>
          <w:highlight w:val="cyan"/>
          <w:u w:val="single"/>
        </w:rPr>
        <w:t>Black feminist disability framework can</w:t>
      </w:r>
      <w:r w:rsidRPr="00F35B0D">
        <w:rPr>
          <w:rFonts w:eastAsia="Calibri"/>
          <w:b/>
          <w:iCs/>
          <w:sz w:val="28"/>
          <w:szCs w:val="28"/>
          <w:u w:val="single"/>
        </w:rPr>
        <w:t xml:space="preserve"> help </w:t>
      </w:r>
      <w:r w:rsidRPr="00F35B0D">
        <w:rPr>
          <w:rFonts w:eastAsia="Calibri"/>
          <w:b/>
          <w:iCs/>
          <w:sz w:val="28"/>
          <w:szCs w:val="28"/>
          <w:highlight w:val="cyan"/>
          <w:u w:val="single"/>
        </w:rPr>
        <w:t>bring about.</w:t>
      </w:r>
    </w:p>
    <w:p w14:paraId="790404B1" w14:textId="77777777" w:rsidR="00F35B0D" w:rsidRDefault="00F35B0D" w:rsidP="00F35B0D">
      <w:pPr>
        <w:pStyle w:val="Heading2"/>
      </w:pPr>
      <w:r>
        <w:t>Case</w:t>
      </w:r>
    </w:p>
    <w:p w14:paraId="1E1F9C0B" w14:textId="77777777" w:rsidR="009A7A98" w:rsidRDefault="009A7A98" w:rsidP="007A19C1">
      <w:pPr>
        <w:pStyle w:val="Heading4"/>
        <w:rPr>
          <w:rFonts w:cstheme="majorHAnsi"/>
        </w:rPr>
      </w:pPr>
      <w:r w:rsidRPr="00017AFC">
        <w:rPr>
          <w:rFonts w:cstheme="majorHAnsi"/>
          <w:u w:val="single"/>
        </w:rPr>
        <w:t>Vote negative on presumption</w:t>
      </w:r>
      <w:r w:rsidRPr="00017AFC">
        <w:rPr>
          <w:rFonts w:cstheme="majorHAnsi"/>
        </w:rPr>
        <w:t>:</w:t>
      </w:r>
    </w:p>
    <w:p w14:paraId="3DB20C37" w14:textId="1DFB0D08" w:rsidR="009A7A98" w:rsidRPr="00EF4D83" w:rsidRDefault="009A7A98" w:rsidP="009A7A98">
      <w:pPr>
        <w:pStyle w:val="Heading4"/>
      </w:pPr>
      <w:r>
        <w:t>A---</w:t>
      </w:r>
      <w:r w:rsidRPr="00CA2A9C">
        <w:rPr>
          <w:u w:val="single"/>
        </w:rPr>
        <w:t>Inherency</w:t>
      </w:r>
      <w:r>
        <w:t xml:space="preserve"> – Texas GS’ authors have </w:t>
      </w:r>
      <w:r w:rsidRPr="00FD486C">
        <w:rPr>
          <w:u w:val="single"/>
        </w:rPr>
        <w:t>already published</w:t>
      </w:r>
      <w:r>
        <w:t xml:space="preserve"> and </w:t>
      </w:r>
      <w:r>
        <w:rPr>
          <w:u w:val="single"/>
        </w:rPr>
        <w:t>people</w:t>
      </w:r>
      <w:r>
        <w:t xml:space="preserve"> are already engaging in storytelling, meaning the AFF is noninherent which produces a </w:t>
      </w:r>
      <w:r w:rsidRPr="00B67C18">
        <w:rPr>
          <w:u w:val="single"/>
        </w:rPr>
        <w:t>parasitism</w:t>
      </w:r>
      <w:r>
        <w:t xml:space="preserve"> upon preexisting movements + </w:t>
      </w:r>
      <w:r w:rsidRPr="00565482">
        <w:rPr>
          <w:u w:val="single"/>
        </w:rPr>
        <w:t>people</w:t>
      </w:r>
      <w:r>
        <w:t xml:space="preserve">. </w:t>
      </w:r>
    </w:p>
    <w:p w14:paraId="728B78FD" w14:textId="6023E17C" w:rsidR="009A7A98" w:rsidRPr="009A7A98" w:rsidRDefault="009A7A98" w:rsidP="009A7A98">
      <w:pPr>
        <w:keepNext/>
        <w:keepLines/>
        <w:spacing w:before="200" w:after="0" w:line="240" w:lineRule="auto"/>
        <w:outlineLvl w:val="3"/>
        <w:rPr>
          <w:rFonts w:eastAsia="Times New Roman" w:cs="Times New Roman"/>
          <w:b/>
          <w:iCs/>
          <w:sz w:val="26"/>
        </w:rPr>
      </w:pPr>
      <w:r>
        <w:rPr>
          <w:rFonts w:eastAsia="Times New Roman" w:cs="Times New Roman"/>
          <w:b/>
          <w:iCs/>
          <w:sz w:val="26"/>
        </w:rPr>
        <w:t>B</w:t>
      </w:r>
      <w:r w:rsidRPr="0052554E">
        <w:rPr>
          <w:rFonts w:eastAsia="Times New Roman" w:cs="Times New Roman"/>
          <w:b/>
          <w:iCs/>
          <w:sz w:val="26"/>
        </w:rPr>
        <w:t>---</w:t>
      </w:r>
      <w:r w:rsidRPr="00CA2A9C">
        <w:rPr>
          <w:rFonts w:eastAsia="Times New Roman" w:cs="Times New Roman"/>
          <w:b/>
          <w:iCs/>
          <w:sz w:val="26"/>
          <w:u w:val="single"/>
        </w:rPr>
        <w:t>Ballot</w:t>
      </w:r>
      <w:r w:rsidRPr="0052554E">
        <w:rPr>
          <w:rFonts w:eastAsia="Times New Roman" w:cs="Times New Roman"/>
          <w:b/>
          <w:iCs/>
          <w:sz w:val="26"/>
        </w:rPr>
        <w:t xml:space="preserve"> – </w:t>
      </w:r>
      <w:r w:rsidRPr="009A7A98">
        <w:rPr>
          <w:rFonts w:eastAsia="Times New Roman" w:cs="Times New Roman"/>
          <w:b/>
          <w:iCs/>
          <w:sz w:val="26"/>
        </w:rPr>
        <w:t xml:space="preserve">the ballot does not actualize storytelling </w:t>
      </w:r>
      <w:r>
        <w:rPr>
          <w:rFonts w:eastAsia="Times New Roman" w:cs="Times New Roman"/>
          <w:b/>
          <w:iCs/>
          <w:sz w:val="26"/>
        </w:rPr>
        <w:t xml:space="preserve">and is not key to </w:t>
      </w:r>
      <w:proofErr w:type="spellStart"/>
      <w:r>
        <w:rPr>
          <w:rFonts w:eastAsia="Times New Roman" w:cs="Times New Roman"/>
          <w:b/>
          <w:iCs/>
          <w:sz w:val="26"/>
        </w:rPr>
        <w:t>aff</w:t>
      </w:r>
      <w:proofErr w:type="spellEnd"/>
      <w:r>
        <w:rPr>
          <w:rFonts w:eastAsia="Times New Roman" w:cs="Times New Roman"/>
          <w:b/>
          <w:iCs/>
          <w:sz w:val="26"/>
        </w:rPr>
        <w:t xml:space="preserve"> solvency </w:t>
      </w:r>
      <w:r w:rsidRPr="009A7A98">
        <w:rPr>
          <w:rFonts w:eastAsia="Times New Roman" w:cs="Times New Roman"/>
          <w:b/>
          <w:iCs/>
          <w:sz w:val="26"/>
        </w:rPr>
        <w:t xml:space="preserve">– force them to explain </w:t>
      </w:r>
      <w:r>
        <w:rPr>
          <w:rFonts w:eastAsia="Times New Roman" w:cs="Times New Roman"/>
          <w:b/>
          <w:iCs/>
          <w:sz w:val="26"/>
        </w:rPr>
        <w:t>why</w:t>
      </w:r>
    </w:p>
    <w:p w14:paraId="6BAD6809" w14:textId="67ADD7E5" w:rsidR="009A7A98" w:rsidRDefault="009A7A98" w:rsidP="009A7A98">
      <w:pPr>
        <w:keepNext/>
        <w:keepLines/>
        <w:spacing w:before="200" w:after="0" w:line="240" w:lineRule="auto"/>
        <w:outlineLvl w:val="3"/>
        <w:rPr>
          <w:rFonts w:eastAsia="Times New Roman" w:cs="Times New Roman"/>
          <w:b/>
          <w:iCs/>
          <w:sz w:val="26"/>
        </w:rPr>
      </w:pPr>
      <w:r>
        <w:rPr>
          <w:rFonts w:eastAsia="Times New Roman" w:cs="Times New Roman"/>
          <w:b/>
          <w:iCs/>
          <w:sz w:val="26"/>
        </w:rPr>
        <w:t>C</w:t>
      </w:r>
      <w:r w:rsidRPr="0052554E">
        <w:rPr>
          <w:rFonts w:eastAsia="Times New Roman" w:cs="Times New Roman"/>
          <w:b/>
          <w:iCs/>
          <w:sz w:val="26"/>
        </w:rPr>
        <w:t>---Solvency – even if it does spill up – their method has been tried before –</w:t>
      </w:r>
      <w:r>
        <w:rPr>
          <w:rFonts w:eastAsia="Times New Roman" w:cs="Times New Roman"/>
          <w:b/>
          <w:iCs/>
          <w:sz w:val="26"/>
        </w:rPr>
        <w:t xml:space="preserve"> </w:t>
      </w:r>
      <w:proofErr w:type="spellStart"/>
      <w:r>
        <w:rPr>
          <w:rFonts w:eastAsia="Times New Roman" w:cs="Times New Roman"/>
          <w:b/>
          <w:iCs/>
          <w:sz w:val="26"/>
        </w:rPr>
        <w:t>AfroFuturist</w:t>
      </w:r>
      <w:proofErr w:type="spellEnd"/>
      <w:r>
        <w:rPr>
          <w:rFonts w:eastAsia="Times New Roman" w:cs="Times New Roman"/>
          <w:b/>
          <w:iCs/>
          <w:sz w:val="26"/>
        </w:rPr>
        <w:t xml:space="preserve"> storytelling </w:t>
      </w:r>
      <w:r w:rsidRPr="0052554E">
        <w:rPr>
          <w:rFonts w:eastAsia="Times New Roman" w:cs="Times New Roman"/>
          <w:b/>
          <w:iCs/>
          <w:sz w:val="26"/>
        </w:rPr>
        <w:t>already exist</w:t>
      </w:r>
      <w:r>
        <w:rPr>
          <w:rFonts w:eastAsia="Times New Roman" w:cs="Times New Roman"/>
          <w:b/>
          <w:iCs/>
          <w:sz w:val="26"/>
        </w:rPr>
        <w:t xml:space="preserve">s </w:t>
      </w:r>
      <w:r w:rsidRPr="0052554E">
        <w:rPr>
          <w:rFonts w:eastAsia="Times New Roman" w:cs="Times New Roman"/>
          <w:b/>
          <w:iCs/>
          <w:sz w:val="26"/>
        </w:rPr>
        <w:t xml:space="preserve">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0D1514EE" w14:textId="08C8000A" w:rsidR="00866484" w:rsidRPr="0052554E" w:rsidRDefault="00153035" w:rsidP="009A7A98">
      <w:pPr>
        <w:keepNext/>
        <w:keepLines/>
        <w:spacing w:before="200" w:after="0" w:line="240" w:lineRule="auto"/>
        <w:outlineLvl w:val="3"/>
        <w:rPr>
          <w:rFonts w:eastAsia="Times New Roman" w:cs="Times New Roman"/>
          <w:b/>
          <w:iCs/>
          <w:sz w:val="26"/>
        </w:rPr>
      </w:pPr>
      <w:r>
        <w:rPr>
          <w:rFonts w:eastAsia="Times New Roman" w:cs="Times New Roman"/>
          <w:b/>
          <w:iCs/>
          <w:sz w:val="26"/>
        </w:rPr>
        <w:t>D---</w:t>
      </w:r>
      <w:r w:rsidR="00866484">
        <w:rPr>
          <w:rFonts w:eastAsia="Times New Roman" w:cs="Times New Roman"/>
          <w:b/>
          <w:iCs/>
          <w:sz w:val="26"/>
        </w:rPr>
        <w:t xml:space="preserve">The 1AC’s form of storytelling brings the </w:t>
      </w:r>
      <w:proofErr w:type="spellStart"/>
      <w:r w:rsidR="00866484">
        <w:rPr>
          <w:rFonts w:eastAsia="Times New Roman" w:cs="Times New Roman"/>
          <w:b/>
          <w:iCs/>
          <w:sz w:val="26"/>
        </w:rPr>
        <w:t>undercommons</w:t>
      </w:r>
      <w:proofErr w:type="spellEnd"/>
      <w:r w:rsidR="00866484">
        <w:rPr>
          <w:rFonts w:eastAsia="Times New Roman" w:cs="Times New Roman"/>
          <w:b/>
          <w:iCs/>
          <w:sz w:val="26"/>
        </w:rPr>
        <w:t xml:space="preserve"> into a public space via their introduction of their story to the debate round – leads to cooption from the academy that dilutes the potential of their revolutionary project </w:t>
      </w:r>
      <w:r w:rsidR="00FD1ABF">
        <w:rPr>
          <w:rFonts w:eastAsia="Times New Roman" w:cs="Times New Roman"/>
          <w:b/>
          <w:iCs/>
          <w:sz w:val="26"/>
        </w:rPr>
        <w:t xml:space="preserve">-- </w:t>
      </w:r>
    </w:p>
    <w:p w14:paraId="767D1149" w14:textId="4B1731CA" w:rsidR="009A7A98" w:rsidRDefault="00153035" w:rsidP="009A7A98">
      <w:pPr>
        <w:keepNext/>
        <w:keepLines/>
        <w:spacing w:before="200" w:after="0" w:line="240" w:lineRule="auto"/>
        <w:outlineLvl w:val="3"/>
        <w:rPr>
          <w:rFonts w:eastAsia="Times New Roman" w:cs="Times New Roman"/>
          <w:b/>
          <w:iCs/>
          <w:sz w:val="26"/>
        </w:rPr>
      </w:pPr>
      <w:r>
        <w:rPr>
          <w:rFonts w:eastAsia="Times New Roman" w:cs="Times New Roman"/>
          <w:b/>
          <w:iCs/>
          <w:sz w:val="26"/>
        </w:rPr>
        <w:t>E</w:t>
      </w:r>
      <w:r w:rsidR="009A7A98" w:rsidRPr="0052554E">
        <w:rPr>
          <w:rFonts w:eastAsia="Times New Roman" w:cs="Times New Roman"/>
          <w:b/>
          <w:iCs/>
          <w:sz w:val="26"/>
        </w:rPr>
        <w:t xml:space="preserve">---presumption flips negative even if we go for an alternative – anything else encourages K teams to read AFF’s that are 9 minutes of straight turns </w:t>
      </w:r>
      <w:r w:rsidR="009A7A98">
        <w:rPr>
          <w:rFonts w:eastAsia="Times New Roman" w:cs="Times New Roman"/>
          <w:b/>
          <w:iCs/>
          <w:sz w:val="26"/>
        </w:rPr>
        <w:t xml:space="preserve">and go for “neg bad” 2AR’s </w:t>
      </w:r>
      <w:r w:rsidR="009A7A98" w:rsidRPr="0052554E">
        <w:rPr>
          <w:rFonts w:eastAsia="Times New Roman" w:cs="Times New Roman"/>
          <w:b/>
          <w:iCs/>
          <w:sz w:val="26"/>
        </w:rPr>
        <w:t>which link to the above</w:t>
      </w:r>
      <w:r w:rsidR="009A7A98">
        <w:rPr>
          <w:rFonts w:eastAsia="Times New Roman" w:cs="Times New Roman"/>
          <w:b/>
          <w:iCs/>
          <w:sz w:val="26"/>
        </w:rPr>
        <w:t>.</w:t>
      </w:r>
    </w:p>
    <w:p w14:paraId="30072B94" w14:textId="77777777" w:rsidR="009A7A98" w:rsidRPr="009A7A98" w:rsidRDefault="009A7A98" w:rsidP="009A7A98"/>
    <w:p w14:paraId="2A34F961" w14:textId="2CD3584D" w:rsidR="00F35B0D" w:rsidRPr="004E6112" w:rsidRDefault="00153035" w:rsidP="00F35B0D">
      <w:pPr>
        <w:pStyle w:val="Heading4"/>
        <w:rPr>
          <w:rFonts w:cs="Calibri"/>
        </w:rPr>
      </w:pPr>
      <w:r>
        <w:rPr>
          <w:rFonts w:cs="Calibri"/>
        </w:rPr>
        <w:t>F</w:t>
      </w:r>
      <w:r w:rsidR="007A19C1">
        <w:rPr>
          <w:rFonts w:cs="Calibri"/>
        </w:rPr>
        <w:t xml:space="preserve">--- </w:t>
      </w:r>
      <w:r w:rsidR="00F35B0D" w:rsidRPr="004E6112">
        <w:rPr>
          <w:rFonts w:cs="Calibri"/>
        </w:rPr>
        <w:t>The performance of the 1</w:t>
      </w:r>
      <w:r w:rsidR="00F35B0D">
        <w:rPr>
          <w:rFonts w:cs="Calibri"/>
        </w:rPr>
        <w:t>AC</w:t>
      </w:r>
      <w:r w:rsidR="00F35B0D" w:rsidRPr="004E6112">
        <w:rPr>
          <w:rFonts w:cs="Calibri"/>
        </w:rPr>
        <w:t xml:space="preserve"> </w:t>
      </w:r>
      <w:r w:rsidR="00F35B0D">
        <w:rPr>
          <w:rFonts w:cs="Calibri"/>
        </w:rPr>
        <w:t xml:space="preserve">reinforces the connection between communicative capacity and emancipation – </w:t>
      </w:r>
    </w:p>
    <w:p w14:paraId="4D4FDA79" w14:textId="77777777" w:rsidR="00F35B0D" w:rsidRPr="004E6112" w:rsidRDefault="00F35B0D" w:rsidP="00F35B0D">
      <w:pPr>
        <w:rPr>
          <w:rStyle w:val="StyleUnderline"/>
          <w:b/>
        </w:rPr>
      </w:pPr>
      <w:r w:rsidRPr="004E6112">
        <w:rPr>
          <w:rStyle w:val="Style13ptBold"/>
        </w:rPr>
        <w:t>St-Pierre 15</w:t>
      </w:r>
      <w:r w:rsidRPr="004E6112">
        <w:t xml:space="preserve"> (Joshua St Pierre, PhD Student at the University of Alberta Department of Philosophy, “</w:t>
      </w:r>
      <w:proofErr w:type="spellStart"/>
      <w:r w:rsidRPr="004E6112">
        <w:t>Cripping</w:t>
      </w:r>
      <w:proofErr w:type="spellEnd"/>
      <w:r w:rsidRPr="004E6112">
        <w:t xml:space="preserve"> Communication: Speech, Disability, and Exclusion in Liberal Humanist and </w:t>
      </w:r>
      <w:proofErr w:type="spellStart"/>
      <w:r w:rsidRPr="004E6112">
        <w:t>Posthumanist</w:t>
      </w:r>
      <w:proofErr w:type="spellEnd"/>
      <w:r w:rsidRPr="004E6112">
        <w:t xml:space="preserve"> Discourse “ , March 31, 2015) DS</w:t>
      </w:r>
    </w:p>
    <w:p w14:paraId="0B7D44CD" w14:textId="77777777" w:rsidR="00F35B0D" w:rsidRDefault="00F35B0D" w:rsidP="00F35B0D">
      <w:pPr>
        <w:rPr>
          <w:rStyle w:val="StyleUnderline"/>
        </w:rPr>
      </w:pPr>
      <w:r w:rsidRPr="004E6112">
        <w:rPr>
          <w:rStyle w:val="StyleUnderline"/>
        </w:rPr>
        <w:t>If to be truly human in liberal humanist discourse is to exercise autonomous reason</w:t>
      </w:r>
      <w:r w:rsidRPr="004E6112">
        <w:rPr>
          <w:rStyle w:val="StyleUnderline"/>
          <w:sz w:val="16"/>
        </w:rPr>
        <w:t xml:space="preserve">, and </w:t>
      </w:r>
      <w:r w:rsidRPr="004E6112">
        <w:rPr>
          <w:rStyle w:val="StyleUnderline"/>
        </w:rPr>
        <w:t>if speaking realizes oneself as a rational and social agent within the public sphere, then having a voice has direct bearing on the universal citizen</w:t>
      </w:r>
      <w:r w:rsidRPr="004E6112">
        <w:rPr>
          <w:rStyle w:val="StyleUnderline"/>
          <w:sz w:val="16"/>
        </w:rPr>
        <w:t xml:space="preserve">—so much so that </w:t>
      </w:r>
      <w:r w:rsidRPr="004E6112">
        <w:rPr>
          <w:rStyle w:val="StyleUnderline"/>
        </w:rPr>
        <w:t>I believe it possible to conceive of what might be termed a “universal speaker.”</w:t>
      </w:r>
      <w:r w:rsidRPr="004E6112">
        <w:rPr>
          <w:rStyle w:val="StyleUnderline"/>
          <w:sz w:val="16"/>
        </w:rPr>
        <w:t xml:space="preserve"> Because </w:t>
      </w:r>
      <w:r w:rsidRPr="00F35B0D">
        <w:rPr>
          <w:rStyle w:val="StyleUnderline"/>
          <w:highlight w:val="cyan"/>
        </w:rPr>
        <w:t xml:space="preserve">speech plays </w:t>
      </w:r>
      <w:r w:rsidRPr="004E6112">
        <w:rPr>
          <w:rStyle w:val="StyleUnderline"/>
        </w:rPr>
        <w:t xml:space="preserve">a </w:t>
      </w:r>
      <w:r w:rsidRPr="00F35B0D">
        <w:rPr>
          <w:rStyle w:val="StyleUnderline"/>
          <w:highlight w:val="cyan"/>
        </w:rPr>
        <w:t xml:space="preserve">pivotal role in </w:t>
      </w:r>
      <w:r w:rsidRPr="004E6112">
        <w:rPr>
          <w:rStyle w:val="StyleUnderline"/>
        </w:rPr>
        <w:t xml:space="preserve">the </w:t>
      </w:r>
      <w:r w:rsidRPr="00F35B0D">
        <w:rPr>
          <w:rStyle w:val="StyleUnderline"/>
          <w:highlight w:val="cyan"/>
        </w:rPr>
        <w:t xml:space="preserve">realization of </w:t>
      </w:r>
      <w:r w:rsidRPr="004E6112">
        <w:rPr>
          <w:rStyle w:val="StyleUnderline"/>
        </w:rPr>
        <w:t>the</w:t>
      </w:r>
      <w:r w:rsidRPr="00F35B0D">
        <w:rPr>
          <w:rStyle w:val="StyleUnderline"/>
          <w:highlight w:val="cyan"/>
        </w:rPr>
        <w:t xml:space="preserve"> self as</w:t>
      </w:r>
      <w:r w:rsidRPr="004E6112">
        <w:rPr>
          <w:rStyle w:val="StyleUnderline"/>
        </w:rPr>
        <w:t xml:space="preserve"> a </w:t>
      </w:r>
      <w:r w:rsidRPr="00F35B0D">
        <w:rPr>
          <w:rStyle w:val="StyleUnderline"/>
          <w:highlight w:val="cyan"/>
        </w:rPr>
        <w:t xml:space="preserve">rational agent, </w:t>
      </w:r>
      <w:r w:rsidRPr="004E6112">
        <w:rPr>
          <w:rStyle w:val="StyleUnderline"/>
        </w:rPr>
        <w:t>then</w:t>
      </w:r>
      <w:r w:rsidRPr="00F35B0D">
        <w:rPr>
          <w:rStyle w:val="StyleUnderline"/>
          <w:highlight w:val="cyan"/>
        </w:rPr>
        <w:t xml:space="preserve"> if one is to speak</w:t>
      </w:r>
      <w:r w:rsidRPr="004E6112">
        <w:rPr>
          <w:rStyle w:val="StyleUnderline"/>
        </w:rPr>
        <w:t xml:space="preserve">, he/she </w:t>
      </w:r>
      <w:r w:rsidRPr="00F35B0D">
        <w:rPr>
          <w:rStyle w:val="StyleUnderline"/>
          <w:highlight w:val="cyan"/>
        </w:rPr>
        <w:t xml:space="preserve">must speak in a way that defends the universality of autonomous reason </w:t>
      </w:r>
      <w:r w:rsidRPr="004E6112">
        <w:rPr>
          <w:rStyle w:val="StyleUnderline"/>
        </w:rPr>
        <w:t>against embodied and historical particularity</w:t>
      </w:r>
      <w:r w:rsidRPr="004E6112">
        <w:rPr>
          <w:rStyle w:val="StyleUnderline"/>
          <w:sz w:val="16"/>
        </w:rPr>
        <w:t xml:space="preserve">. Furthermore, the universal speaker, like the universal citizen, must be marked by impartiality. As stated by Young, “impartial reason aims to adopt a point of view outside concrete situations of action, a transcendental ‘view from nowhere’ that carries the perspective, attributes, character, and interests of no particular subject or set of subjects” (1990, p. 100). </w:t>
      </w:r>
      <w:r w:rsidRPr="004E6112">
        <w:rPr>
          <w:rStyle w:val="Emphasis"/>
        </w:rPr>
        <w:t xml:space="preserve">From this </w:t>
      </w:r>
      <w:r w:rsidRPr="00F35B0D">
        <w:rPr>
          <w:rStyle w:val="Emphasis"/>
          <w:highlight w:val="cyan"/>
        </w:rPr>
        <w:t xml:space="preserve">façade of impartiality, </w:t>
      </w:r>
      <w:r w:rsidRPr="004E6112">
        <w:rPr>
          <w:rStyle w:val="Emphasis"/>
        </w:rPr>
        <w:t xml:space="preserve">it is only a small step to </w:t>
      </w:r>
      <w:r w:rsidRPr="00F35B0D">
        <w:rPr>
          <w:rStyle w:val="Emphasis"/>
          <w:highlight w:val="cyan"/>
        </w:rPr>
        <w:t>judge who does and does not speak impartially and thereby qualifies as rational and human.</w:t>
      </w:r>
      <w:r w:rsidRPr="004E6112">
        <w:rPr>
          <w:rStyle w:val="StyleUnderline"/>
          <w:sz w:val="16"/>
        </w:rPr>
        <w:t xml:space="preserve"> To speak as a truly rational agent requires that one speak from nowhere and everywhere, becoming an invisible medium for communication. </w:t>
      </w:r>
      <w:r w:rsidRPr="00F35B0D">
        <w:rPr>
          <w:rStyle w:val="Emphasis"/>
          <w:highlight w:val="cyan"/>
        </w:rPr>
        <w:t xml:space="preserve">The universal speaker </w:t>
      </w:r>
      <w:r w:rsidRPr="004E6112">
        <w:rPr>
          <w:rStyle w:val="Emphasis"/>
        </w:rPr>
        <w:t xml:space="preserve">is a powerful </w:t>
      </w:r>
      <w:r w:rsidRPr="00F35B0D">
        <w:rPr>
          <w:rStyle w:val="Emphasis"/>
          <w:highlight w:val="cyan"/>
        </w:rPr>
        <w:t xml:space="preserve">homogenizing trope, </w:t>
      </w:r>
      <w:r w:rsidRPr="004E6112">
        <w:rPr>
          <w:rStyle w:val="Emphasis"/>
        </w:rPr>
        <w:t xml:space="preserve">for it </w:t>
      </w:r>
      <w:r w:rsidRPr="00F35B0D">
        <w:rPr>
          <w:rStyle w:val="Emphasis"/>
          <w:highlight w:val="cyan"/>
        </w:rPr>
        <w:t xml:space="preserve">defines what type of speech production is natural, who gets the right to speak, what speech needs to be taken seriously, </w:t>
      </w:r>
      <w:r w:rsidRPr="004E6112">
        <w:rPr>
          <w:rStyle w:val="Emphasis"/>
        </w:rPr>
        <w:t>and</w:t>
      </w:r>
      <w:r w:rsidRPr="00F35B0D">
        <w:rPr>
          <w:rStyle w:val="Emphasis"/>
          <w:highlight w:val="cyan"/>
        </w:rPr>
        <w:t xml:space="preserve"> what speech gets to be heard at all</w:t>
      </w:r>
      <w:r w:rsidRPr="004E6112">
        <w:rPr>
          <w:rStyle w:val="StyleUnderline"/>
        </w:rPr>
        <w:t>.</w:t>
      </w:r>
      <w:r w:rsidRPr="004E6112">
        <w:rPr>
          <w:rStyle w:val="StyleUnderline"/>
          <w:sz w:val="16"/>
        </w:rPr>
        <w:t xml:space="preserve"> If one is to speak with agency or efficacy, one must speak in the right way; hence the burden within this tradition is to find and retain the “right voice.” In Better Than Well: American Medicine Meets the American Dream, for example, Carl </w:t>
      </w:r>
      <w:r w:rsidRPr="004E6112">
        <w:rPr>
          <w:rStyle w:val="StyleUnderline"/>
        </w:rPr>
        <w:t>Elliott</w:t>
      </w:r>
      <w:r w:rsidRPr="004E6112">
        <w:rPr>
          <w:rStyle w:val="StyleUnderline"/>
          <w:sz w:val="16"/>
        </w:rPr>
        <w:t xml:space="preserve"> (2004) </w:t>
      </w:r>
      <w:r w:rsidRPr="004E6112">
        <w:rPr>
          <w:rStyle w:val="StyleUnderline"/>
        </w:rPr>
        <w:t xml:space="preserve">notes an anxiety in the struggle of transgendered people to match gendered vocal norms, the accent-reduction clinics in the American south, and the difficult adjustment of disabled speakers to voice synthesizers. At the heart of liberal humanism’s claim to universality and equality, </w:t>
      </w:r>
      <w:r w:rsidRPr="00F35B0D">
        <w:rPr>
          <w:rStyle w:val="StyleUnderline"/>
          <w:highlight w:val="cyan"/>
        </w:rPr>
        <w:t>an ugly structure of exclusion of those who are not “universal” shows itself,</w:t>
      </w:r>
      <w:r w:rsidRPr="004E6112">
        <w:rPr>
          <w:rStyle w:val="StyleUnderline"/>
        </w:rPr>
        <w:t xml:space="preserve"> an exclusion </w:t>
      </w:r>
      <w:r w:rsidRPr="00F35B0D">
        <w:rPr>
          <w:rStyle w:val="StyleUnderline"/>
          <w:highlight w:val="cyan"/>
        </w:rPr>
        <w:t>that</w:t>
      </w:r>
      <w:r w:rsidRPr="004E6112">
        <w:rPr>
          <w:rStyle w:val="StyleUnderline"/>
        </w:rPr>
        <w:t xml:space="preserve"> I argue </w:t>
      </w:r>
      <w:r w:rsidRPr="00F35B0D">
        <w:rPr>
          <w:rStyle w:val="StyleUnderline"/>
          <w:highlight w:val="cyan"/>
        </w:rPr>
        <w:t>results from the tension between</w:t>
      </w:r>
      <w:r w:rsidRPr="004E6112">
        <w:rPr>
          <w:rStyle w:val="StyleUnderline"/>
        </w:rPr>
        <w:t xml:space="preserve"> (a) </w:t>
      </w:r>
      <w:r w:rsidRPr="00F35B0D">
        <w:rPr>
          <w:rStyle w:val="StyleUnderline"/>
          <w:highlight w:val="cyan"/>
        </w:rPr>
        <w:t>the desire to conceive of oral communication as rational/universal and</w:t>
      </w:r>
      <w:r w:rsidRPr="004E6112">
        <w:rPr>
          <w:rStyle w:val="StyleUnderline"/>
        </w:rPr>
        <w:t xml:space="preserve"> (b) </w:t>
      </w:r>
      <w:r w:rsidRPr="00F35B0D">
        <w:rPr>
          <w:rStyle w:val="StyleUnderline"/>
          <w:highlight w:val="cyan"/>
        </w:rPr>
        <w:t>the embodied particularity of speech that threatens to undermine its universality</w:t>
      </w:r>
      <w:r w:rsidRPr="004E6112">
        <w:rPr>
          <w:rStyle w:val="StyleUnderline"/>
          <w:sz w:val="16"/>
        </w:rPr>
        <w:t xml:space="preserve">. For </w:t>
      </w:r>
      <w:r w:rsidRPr="004E6112">
        <w:rPr>
          <w:rStyle w:val="StyleUnderline"/>
        </w:rPr>
        <w:t xml:space="preserve">while speech is peddled as a rational, universal, and nonspatial medium within liberal humanism, </w:t>
      </w:r>
      <w:r w:rsidRPr="00F35B0D">
        <w:rPr>
          <w:rStyle w:val="StyleUnderline"/>
          <w:highlight w:val="cyan"/>
        </w:rPr>
        <w:t>the particularity of embodied speech casts a threatening shadow over this claim</w:t>
      </w:r>
      <w:r w:rsidRPr="004E6112">
        <w:rPr>
          <w:rStyle w:val="StyleUnderline"/>
          <w:sz w:val="16"/>
        </w:rPr>
        <w:t xml:space="preserve">. Returning to the example of the stuttering voice, Marc Shell argues that </w:t>
      </w:r>
      <w:r w:rsidRPr="00F35B0D">
        <w:rPr>
          <w:rStyle w:val="Emphasis"/>
          <w:highlight w:val="cyan"/>
        </w:rPr>
        <w:t>having the “right voice” is a necessary sign of membership to a particular group of persons</w:t>
      </w:r>
      <w:r w:rsidRPr="004E6112">
        <w:rPr>
          <w:rStyle w:val="StyleUnderline"/>
        </w:rPr>
        <w:t xml:space="preserve">. </w:t>
      </w:r>
      <w:r w:rsidRPr="00F35B0D">
        <w:rPr>
          <w:rStyle w:val="StyleUnderline"/>
          <w:highlight w:val="cyan"/>
        </w:rPr>
        <w:t>If you cannot speak</w:t>
      </w:r>
      <w:r w:rsidRPr="004E6112">
        <w:rPr>
          <w:rStyle w:val="StyleUnderline"/>
        </w:rPr>
        <w:t>,</w:t>
      </w:r>
      <w:r w:rsidRPr="004E6112">
        <w:rPr>
          <w:rStyle w:val="StyleUnderline"/>
          <w:sz w:val="16"/>
        </w:rPr>
        <w:t xml:space="preserve"> he wryly explains, </w:t>
      </w:r>
      <w:r w:rsidRPr="00F35B0D">
        <w:rPr>
          <w:rStyle w:val="StyleUnderline"/>
          <w:highlight w:val="cyan"/>
        </w:rPr>
        <w:t>you are likely not human</w:t>
      </w:r>
      <w:r w:rsidRPr="004E6112">
        <w:rPr>
          <w:rStyle w:val="StyleUnderline"/>
        </w:rPr>
        <w:t>.</w:t>
      </w:r>
      <w:r w:rsidRPr="004E6112">
        <w:rPr>
          <w:rStyle w:val="StyleUnderline"/>
          <w:sz w:val="16"/>
        </w:rPr>
        <w:t xml:space="preserve"> </w:t>
      </w:r>
      <w:r w:rsidRPr="004E6112">
        <w:rPr>
          <w:rStyle w:val="StyleUnderline"/>
        </w:rPr>
        <w:t>If you can somewhat speak you may be human, and if you cannot speak in my particular way, you do not belong to my tribe</w:t>
      </w:r>
      <w:r w:rsidRPr="004E6112">
        <w:rPr>
          <w:rStyle w:val="StyleUnderline"/>
          <w:sz w:val="16"/>
        </w:rPr>
        <w:t xml:space="preserve"> (2005, p. 50). </w:t>
      </w:r>
      <w:r w:rsidRPr="00F35B0D">
        <w:rPr>
          <w:rStyle w:val="Emphasis"/>
          <w:highlight w:val="cyan"/>
        </w:rPr>
        <w:t>For the stutterer, however, “all words are test words, passwords, or catchphrases whereby one gains or loses social acceptance or credibility</w:t>
      </w:r>
      <w:r w:rsidRPr="004E6112">
        <w:rPr>
          <w:rStyle w:val="StyleUnderline"/>
          <w:sz w:val="16"/>
        </w:rPr>
        <w:t xml:space="preserve">. . . . </w:t>
      </w:r>
      <w:r w:rsidRPr="00F35B0D">
        <w:rPr>
          <w:rStyle w:val="StyleUnderline"/>
          <w:highlight w:val="cyan"/>
        </w:rPr>
        <w:t>The concern is not his inability to pronounce some word or phrase fast enough; it is one’s ability to say any word fluently</w:t>
      </w:r>
      <w:r w:rsidRPr="004E6112">
        <w:rPr>
          <w:rStyle w:val="StyleUnderline"/>
        </w:rPr>
        <w:t xml:space="preserve"> in any language</w:t>
      </w:r>
      <w:r w:rsidRPr="004E6112">
        <w:rPr>
          <w:rStyle w:val="StyleUnderline"/>
          <w:sz w:val="16"/>
        </w:rPr>
        <w:t xml:space="preserve">” (2005, p. 51). Shell is quite clearly stating the boundary conditions of the </w:t>
      </w:r>
      <w:proofErr w:type="spellStart"/>
      <w:r w:rsidRPr="004E6112">
        <w:rPr>
          <w:rStyle w:val="StyleUnderline"/>
          <w:sz w:val="16"/>
        </w:rPr>
        <w:t>unive</w:t>
      </w:r>
      <w:proofErr w:type="spellEnd"/>
      <w:r w:rsidRPr="004E6112">
        <w:rPr>
          <w:rStyle w:val="StyleUnderline"/>
          <w:sz w:val="16"/>
        </w:rPr>
        <w:tab/>
      </w:r>
      <w:proofErr w:type="spellStart"/>
      <w:r w:rsidRPr="004E6112">
        <w:rPr>
          <w:rStyle w:val="StyleUnderline"/>
          <w:sz w:val="16"/>
        </w:rPr>
        <w:t>rsal</w:t>
      </w:r>
      <w:proofErr w:type="spellEnd"/>
      <w:r w:rsidRPr="004E6112">
        <w:rPr>
          <w:rStyle w:val="StyleUnderline"/>
          <w:sz w:val="16"/>
        </w:rPr>
        <w:t xml:space="preserve"> speaker. </w:t>
      </w:r>
      <w:r w:rsidRPr="004E6112">
        <w:rPr>
          <w:rStyle w:val="StyleUnderline"/>
        </w:rPr>
        <w:t>However, just as the vocal markers of ethnic boundaries are contingent, historical, and laden with colonial power, so can the supposed universality of rational human speech be unraveled.</w:t>
      </w:r>
    </w:p>
    <w:p w14:paraId="0940AD31" w14:textId="303E9F98" w:rsidR="007B67C2" w:rsidRDefault="007B67C2" w:rsidP="007A19C1">
      <w:pPr>
        <w:pStyle w:val="Heading4"/>
      </w:pPr>
      <w:r>
        <w:t xml:space="preserve">Reject cis thinking –cohering humanity through </w:t>
      </w:r>
      <w:proofErr w:type="spellStart"/>
      <w:r>
        <w:t>bioessentialist</w:t>
      </w:r>
      <w:proofErr w:type="spellEnd"/>
      <w:r>
        <w:t xml:space="preserve"> binaries reproduces violent ideologies</w:t>
      </w:r>
    </w:p>
    <w:p w14:paraId="1140D6A5" w14:textId="77777777" w:rsidR="007B67C2" w:rsidRDefault="007B67C2" w:rsidP="007B67C2">
      <w:proofErr w:type="spellStart"/>
      <w:r w:rsidRPr="002245CE">
        <w:rPr>
          <w:rStyle w:val="Style13ptBold"/>
        </w:rPr>
        <w:t>Zamantakis</w:t>
      </w:r>
      <w:proofErr w:type="spellEnd"/>
      <w:r>
        <w:rPr>
          <w:rStyle w:val="Style13ptBold"/>
        </w:rPr>
        <w:t xml:space="preserve"> 2</w:t>
      </w:r>
      <w:r w:rsidRPr="002245CE">
        <w:rPr>
          <w:rStyle w:val="Style13ptBold"/>
        </w:rPr>
        <w:t>021</w:t>
      </w:r>
      <w:r>
        <w:t xml:space="preserve"> [Alithia Zamantakis, Research Assistant Professor, Institute for Sexual and Gender Minority Health and Wellbeing, Medical Social Sciences (Implementation Science), “Thinking Cis: Racialized Cissexism, Cis-Heterosexual Men, And Cis-LBQ Women,”</w:t>
      </w:r>
      <w:r w:rsidRPr="002245CE">
        <w:t xml:space="preserve"> </w:t>
      </w:r>
      <w:r>
        <w:t xml:space="preserve">A Dissertation Submitted in Partial Fulfillment of the Requirements for the Degree of Doctor of Philosophy in Sociology in the College of Arts and Science Georgia State University Under the Direction of Katie Acosta Ph.D., Committee: Wendy Simonds &amp; Veronica Newton, Fall 12-13-2021, </w:t>
      </w:r>
      <w:proofErr w:type="spellStart"/>
      <w:r>
        <w:t>doi</w:t>
      </w:r>
      <w:proofErr w:type="spellEnd"/>
      <w:r>
        <w:t xml:space="preserve">: </w:t>
      </w:r>
      <w:hyperlink r:id="rId29" w:history="1">
        <w:r w:rsidRPr="00BD09F6">
          <w:rPr>
            <w:rStyle w:val="Hyperlink"/>
          </w:rPr>
          <w:t>https://doi.org/10.57709/26163765</w:t>
        </w:r>
      </w:hyperlink>
      <w:r>
        <w:t>, Bittner]</w:t>
      </w:r>
    </w:p>
    <w:p w14:paraId="7F772100" w14:textId="77777777" w:rsidR="007B67C2" w:rsidRDefault="007B67C2" w:rsidP="007B67C2">
      <w:r>
        <w:t>In the previous four chapters, I have elucidated the sociopolitical and cultural contours of cisness. In this chapter, I turn to the title of my dissertation, “Thinking Cis</w:t>
      </w:r>
      <w:r w:rsidRPr="00E17B96">
        <w:rPr>
          <w:rStyle w:val="StyleUnderline"/>
        </w:rPr>
        <w:t>.” I discuss and explicate what exactly it means to “</w:t>
      </w:r>
      <w:r w:rsidRPr="00E17B96">
        <w:rPr>
          <w:rStyle w:val="Emphasis"/>
        </w:rPr>
        <w:t>think cis</w:t>
      </w:r>
      <w:r w:rsidRPr="00E17B96">
        <w:rPr>
          <w:rStyle w:val="StyleUnderline"/>
        </w:rPr>
        <w:t>.”</w:t>
      </w:r>
      <w:r>
        <w:t xml:space="preserve"> I home in on how cis-les/bi women “think cis” to elucidate the diverse manifestations of cissexism outside of the overt cissexism espoused in the previous chapters. </w:t>
      </w:r>
      <w:r w:rsidRPr="00492798">
        <w:rPr>
          <w:highlight w:val="cyan"/>
        </w:rPr>
        <w:t>Thin</w:t>
      </w:r>
      <w:r w:rsidRPr="00492798">
        <w:rPr>
          <w:rStyle w:val="StyleUnderline"/>
          <w:highlight w:val="cyan"/>
        </w:rPr>
        <w:t xml:space="preserve">king cis is a </w:t>
      </w:r>
      <w:r w:rsidRPr="00492798">
        <w:rPr>
          <w:rStyle w:val="Emphasis"/>
          <w:highlight w:val="cyan"/>
        </w:rPr>
        <w:t>way of making sense of the world.</w:t>
      </w:r>
      <w:r>
        <w:t xml:space="preserve"> </w:t>
      </w:r>
      <w:r w:rsidRPr="00492798">
        <w:rPr>
          <w:rStyle w:val="StyleUnderline"/>
          <w:highlight w:val="cyan"/>
        </w:rPr>
        <w:t xml:space="preserve">It is </w:t>
      </w:r>
      <w:r w:rsidRPr="00492798">
        <w:rPr>
          <w:rStyle w:val="StyleUnderline"/>
        </w:rPr>
        <w:t>the</w:t>
      </w:r>
      <w:r w:rsidRPr="00E17B96">
        <w:rPr>
          <w:rStyle w:val="StyleUnderline"/>
        </w:rPr>
        <w:t xml:space="preserve"> </w:t>
      </w:r>
      <w:r w:rsidRPr="00492798">
        <w:rPr>
          <w:rStyle w:val="Emphasis"/>
          <w:highlight w:val="cyan"/>
        </w:rPr>
        <w:t>perpetuation of</w:t>
      </w:r>
      <w:r w:rsidRPr="00E17B96">
        <w:rPr>
          <w:rStyle w:val="Emphasis"/>
        </w:rPr>
        <w:t xml:space="preserve"> a </w:t>
      </w:r>
      <w:r w:rsidRPr="00492798">
        <w:rPr>
          <w:rStyle w:val="Emphasis"/>
          <w:highlight w:val="cyan"/>
        </w:rPr>
        <w:t>cissexist</w:t>
      </w:r>
      <w:r w:rsidRPr="00E17B96">
        <w:rPr>
          <w:rStyle w:val="Emphasis"/>
        </w:rPr>
        <w:t xml:space="preserve"> and </w:t>
      </w:r>
      <w:proofErr w:type="spellStart"/>
      <w:r w:rsidRPr="00492798">
        <w:rPr>
          <w:rStyle w:val="Emphasis"/>
          <w:highlight w:val="cyan"/>
        </w:rPr>
        <w:t>binarist</w:t>
      </w:r>
      <w:proofErr w:type="spellEnd"/>
      <w:r w:rsidRPr="00492798">
        <w:rPr>
          <w:rStyle w:val="Emphasis"/>
          <w:highlight w:val="cyan"/>
        </w:rPr>
        <w:t xml:space="preserve"> ideology in reducing human bodies to</w:t>
      </w:r>
      <w:r w:rsidRPr="00E17B96">
        <w:rPr>
          <w:rStyle w:val="Emphasis"/>
        </w:rPr>
        <w:t xml:space="preserve"> a “</w:t>
      </w:r>
      <w:r w:rsidRPr="00492798">
        <w:rPr>
          <w:rStyle w:val="Emphasis"/>
        </w:rPr>
        <w:t>naturally</w:t>
      </w:r>
      <w:r w:rsidRPr="00E17B96">
        <w:rPr>
          <w:rStyle w:val="Emphasis"/>
        </w:rPr>
        <w:t xml:space="preserve">” occurring </w:t>
      </w:r>
      <w:r w:rsidRPr="00492798">
        <w:rPr>
          <w:rStyle w:val="Emphasis"/>
          <w:highlight w:val="cyan"/>
        </w:rPr>
        <w:t>sex binary of male and female</w:t>
      </w:r>
      <w:r w:rsidRPr="00492798">
        <w:rPr>
          <w:rStyle w:val="StyleUnderline"/>
          <w:highlight w:val="cyan"/>
        </w:rPr>
        <w:t xml:space="preserve"> that supposedly correlate with</w:t>
      </w:r>
      <w:r w:rsidRPr="00E17B96">
        <w:rPr>
          <w:rStyle w:val="StyleUnderline"/>
        </w:rPr>
        <w:t xml:space="preserve"> a “</w:t>
      </w:r>
      <w:r w:rsidRPr="00492798">
        <w:rPr>
          <w:rStyle w:val="StyleUnderline"/>
          <w:highlight w:val="cyan"/>
        </w:rPr>
        <w:t>naturally</w:t>
      </w:r>
      <w:r w:rsidRPr="00E17B96">
        <w:rPr>
          <w:rStyle w:val="StyleUnderline"/>
        </w:rPr>
        <w:t xml:space="preserve">” </w:t>
      </w:r>
      <w:r w:rsidRPr="00492798">
        <w:rPr>
          <w:rStyle w:val="StyleUnderline"/>
          <w:highlight w:val="cyan"/>
        </w:rPr>
        <w:t>occurring gender binary</w:t>
      </w:r>
      <w:r w:rsidRPr="00E17B96">
        <w:rPr>
          <w:rStyle w:val="StyleUnderline"/>
        </w:rPr>
        <w:t xml:space="preserve"> of man and woman.</w:t>
      </w:r>
      <w:r>
        <w:t xml:space="preserve"> It is the belief that trans identity and community and nonbinary gender identities are a new facet of human society and the co-belief that the gender binary has been core to humanity since the evolution of the species or the “divine creation” of man and woman. </w:t>
      </w:r>
      <w:r w:rsidRPr="00E17B96">
        <w:rPr>
          <w:rStyle w:val="StyleUnderline"/>
        </w:rPr>
        <w:t xml:space="preserve">To think cis is not only to believe that </w:t>
      </w:r>
      <w:r>
        <w:t xml:space="preserve">trans women are not really women and trans men are not really men but that </w:t>
      </w:r>
      <w:r w:rsidRPr="00E17B96">
        <w:rPr>
          <w:rStyle w:val="StyleUnderline"/>
        </w:rPr>
        <w:t>gender operates as a binary the world over, as well as that gender exists the world over</w:t>
      </w:r>
      <w:r>
        <w:t xml:space="preserve">. </w:t>
      </w:r>
    </w:p>
    <w:p w14:paraId="1839EB86" w14:textId="77777777" w:rsidR="007B67C2" w:rsidRPr="002245CE" w:rsidRDefault="007B67C2" w:rsidP="007B67C2">
      <w:r w:rsidRPr="00492798">
        <w:rPr>
          <w:rStyle w:val="StyleUnderline"/>
          <w:highlight w:val="cyan"/>
        </w:rPr>
        <w:t>Thinking cis is</w:t>
      </w:r>
      <w:r w:rsidRPr="00E17B96">
        <w:rPr>
          <w:rStyle w:val="StyleUnderline"/>
        </w:rPr>
        <w:t xml:space="preserve"> not only a cissexist, </w:t>
      </w:r>
      <w:proofErr w:type="spellStart"/>
      <w:r w:rsidRPr="00E17B96">
        <w:rPr>
          <w:rStyle w:val="StyleUnderline"/>
        </w:rPr>
        <w:t>binarist</w:t>
      </w:r>
      <w:proofErr w:type="spellEnd"/>
      <w:r w:rsidRPr="00E17B96">
        <w:rPr>
          <w:rStyle w:val="StyleUnderline"/>
        </w:rPr>
        <w:t xml:space="preserve">, and sexist ideology and discourse but </w:t>
      </w:r>
      <w:r w:rsidRPr="00492798">
        <w:rPr>
          <w:rStyle w:val="StyleUnderline"/>
          <w:highlight w:val="cyan"/>
        </w:rPr>
        <w:t xml:space="preserve">a </w:t>
      </w:r>
      <w:r w:rsidRPr="00492798">
        <w:rPr>
          <w:rStyle w:val="Emphasis"/>
          <w:highlight w:val="cyan"/>
        </w:rPr>
        <w:t>racist</w:t>
      </w:r>
      <w:r w:rsidRPr="00E17B96">
        <w:rPr>
          <w:rStyle w:val="Emphasis"/>
        </w:rPr>
        <w:t xml:space="preserve"> and </w:t>
      </w:r>
      <w:r w:rsidRPr="00492798">
        <w:rPr>
          <w:rStyle w:val="Emphasis"/>
          <w:highlight w:val="cyan"/>
        </w:rPr>
        <w:t>colonialist ideology and discourse</w:t>
      </w:r>
      <w:r w:rsidRPr="00492798">
        <w:rPr>
          <w:rStyle w:val="StyleUnderline"/>
          <w:highlight w:val="cyan"/>
        </w:rPr>
        <w:t>,</w:t>
      </w:r>
      <w:r w:rsidRPr="00E17B96">
        <w:rPr>
          <w:rStyle w:val="StyleUnderline"/>
        </w:rPr>
        <w:t xml:space="preserve"> as well.</w:t>
      </w:r>
      <w:r>
        <w:t xml:space="preserve"> To think cis is to believe that men and women are fundamentally different: they behave, look, and act differently. It is to believe that men are meant to be the dominant “head” of the species, with white men superior to all and white women their helpmate. </w:t>
      </w:r>
      <w:r w:rsidRPr="00492798">
        <w:rPr>
          <w:rStyle w:val="StyleUnderline"/>
          <w:highlight w:val="cyan"/>
        </w:rPr>
        <w:t xml:space="preserve">Thinking cis proliferates within </w:t>
      </w:r>
      <w:r w:rsidRPr="00492798">
        <w:rPr>
          <w:rStyle w:val="Emphasis"/>
          <w:highlight w:val="cyan"/>
        </w:rPr>
        <w:t>white supremacist ideologies</w:t>
      </w:r>
      <w:r>
        <w:t xml:space="preserve"> that argue white men and white women must join together in heterosexual matrimony </w:t>
      </w:r>
      <w:r w:rsidRPr="00492798">
        <w:rPr>
          <w:rStyle w:val="StyleUnderline"/>
          <w:highlight w:val="cyan"/>
        </w:rPr>
        <w:t>to reproduce</w:t>
      </w:r>
      <w:r w:rsidRPr="00E17B96">
        <w:rPr>
          <w:rStyle w:val="StyleUnderline"/>
        </w:rPr>
        <w:t xml:space="preserve"> the </w:t>
      </w:r>
      <w:r w:rsidRPr="00492798">
        <w:rPr>
          <w:rStyle w:val="StyleUnderline"/>
          <w:highlight w:val="cyan"/>
        </w:rPr>
        <w:t>white, cis</w:t>
      </w:r>
      <w:r w:rsidRPr="00E17B96">
        <w:rPr>
          <w:rStyle w:val="StyleUnderline"/>
        </w:rPr>
        <w:t xml:space="preserve">gender, </w:t>
      </w:r>
      <w:r w:rsidRPr="00492798">
        <w:rPr>
          <w:rStyle w:val="StyleUnderline"/>
          <w:highlight w:val="cyan"/>
        </w:rPr>
        <w:t>hetero</w:t>
      </w:r>
      <w:r w:rsidRPr="00E17B96">
        <w:rPr>
          <w:rStyle w:val="StyleUnderline"/>
        </w:rPr>
        <w:t xml:space="preserve">sexual, and </w:t>
      </w:r>
      <w:r w:rsidRPr="00492798">
        <w:rPr>
          <w:rStyle w:val="StyleUnderline"/>
          <w:highlight w:val="cyan"/>
        </w:rPr>
        <w:t>able-bodied nuclear family</w:t>
      </w:r>
      <w:r w:rsidRPr="00E17B96">
        <w:rPr>
          <w:rStyle w:val="StyleUnderline"/>
        </w:rPr>
        <w:t xml:space="preserve"> and protect it at all costs </w:t>
      </w:r>
      <w:r w:rsidRPr="00492798">
        <w:rPr>
          <w:rStyle w:val="StyleUnderline"/>
          <w:highlight w:val="cyan"/>
        </w:rPr>
        <w:t>from those who “infringe” on their white picket fence</w:t>
      </w:r>
      <w:r>
        <w:t xml:space="preserve"> (e.g. immigrants, Black, Indigenous, and other People of Color, queer/trans people, and disabled people).</w:t>
      </w:r>
    </w:p>
    <w:p w14:paraId="1559D72A" w14:textId="10B1F8AD" w:rsidR="00F35B0D" w:rsidRPr="00F35B0D" w:rsidRDefault="00C772CE" w:rsidP="00C772CE">
      <w:pPr>
        <w:pStyle w:val="Heading4"/>
      </w:pPr>
      <w:r>
        <w:t xml:space="preserve">I have a question the 1ac </w:t>
      </w:r>
      <w:r w:rsidR="00134C8A">
        <w:t>chose not to narrate</w:t>
      </w:r>
      <w:r>
        <w:t xml:space="preserve">, what happened to Maya? </w:t>
      </w:r>
    </w:p>
    <w:sectPr w:rsidR="00F35B0D" w:rsidRPr="00F35B0D" w:rsidSect="00F35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87B66"/>
    <w:multiLevelType w:val="hybridMultilevel"/>
    <w:tmpl w:val="73002882"/>
    <w:lvl w:ilvl="0" w:tplc="9154ECEE">
      <w:start w:val="1"/>
      <w:numFmt w:val="decimal"/>
      <w:lvlText w:val="%1."/>
      <w:lvlJc w:val="left"/>
      <w:pPr>
        <w:ind w:left="360" w:hanging="360"/>
      </w:pPr>
      <w:rPr>
        <w:rFonts w:hint="default"/>
        <w:b/>
        <w:bCs/>
        <w:sz w:val="26"/>
        <w:szCs w:val="26"/>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346C6"/>
    <w:multiLevelType w:val="hybridMultilevel"/>
    <w:tmpl w:val="6750D5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575358227">
    <w:abstractNumId w:val="10"/>
  </w:num>
  <w:num w:numId="16" w16cid:durableId="18226229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26454867552"/>
  </w:docVars>
  <w:rsids>
    <w:rsidRoot w:val="00947113"/>
    <w:rsid w:val="000E4D3E"/>
    <w:rsid w:val="00134C8A"/>
    <w:rsid w:val="00153035"/>
    <w:rsid w:val="001671F6"/>
    <w:rsid w:val="00472BD8"/>
    <w:rsid w:val="00534D9B"/>
    <w:rsid w:val="00581B3B"/>
    <w:rsid w:val="007A19C1"/>
    <w:rsid w:val="007B67C2"/>
    <w:rsid w:val="00866484"/>
    <w:rsid w:val="00947113"/>
    <w:rsid w:val="009A7A98"/>
    <w:rsid w:val="00A627CD"/>
    <w:rsid w:val="00C772CE"/>
    <w:rsid w:val="00F35B0D"/>
    <w:rsid w:val="00FC2591"/>
    <w:rsid w:val="00FD1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B29FC"/>
  <w15:chartTrackingRefBased/>
  <w15:docId w15:val="{7AA7E2BE-912B-40A2-8711-4FF434C2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4C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34C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4C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34C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134C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4C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7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4C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C8A"/>
  </w:style>
  <w:style w:type="character" w:customStyle="1" w:styleId="Heading1Char">
    <w:name w:val="Heading 1 Char"/>
    <w:aliases w:val="Pocket Char"/>
    <w:basedOn w:val="DefaultParagraphFont"/>
    <w:link w:val="Heading1"/>
    <w:rsid w:val="00134C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34C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34C8A"/>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134C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34C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7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113"/>
    <w:rPr>
      <w:rFonts w:eastAsiaTheme="majorEastAsia" w:cstheme="majorBidi"/>
      <w:color w:val="272727" w:themeColor="text1" w:themeTint="D8"/>
    </w:rPr>
  </w:style>
  <w:style w:type="paragraph" w:styleId="Title">
    <w:name w:val="Title"/>
    <w:basedOn w:val="Normal"/>
    <w:next w:val="Normal"/>
    <w:link w:val="TitleChar"/>
    <w:uiPriority w:val="10"/>
    <w:qFormat/>
    <w:rsid w:val="00947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113"/>
    <w:pPr>
      <w:spacing w:before="160"/>
      <w:jc w:val="center"/>
    </w:pPr>
    <w:rPr>
      <w:i/>
      <w:iCs/>
      <w:color w:val="404040" w:themeColor="text1" w:themeTint="BF"/>
    </w:rPr>
  </w:style>
  <w:style w:type="character" w:customStyle="1" w:styleId="QuoteChar">
    <w:name w:val="Quote Char"/>
    <w:basedOn w:val="DefaultParagraphFont"/>
    <w:link w:val="Quote"/>
    <w:uiPriority w:val="29"/>
    <w:rsid w:val="00947113"/>
    <w:rPr>
      <w:i/>
      <w:iCs/>
      <w:color w:val="404040" w:themeColor="text1" w:themeTint="BF"/>
    </w:rPr>
  </w:style>
  <w:style w:type="paragraph" w:styleId="ListParagraph">
    <w:name w:val="List Paragraph"/>
    <w:basedOn w:val="Normal"/>
    <w:uiPriority w:val="34"/>
    <w:qFormat/>
    <w:rsid w:val="00947113"/>
    <w:pPr>
      <w:ind w:left="720"/>
      <w:contextualSpacing/>
    </w:pPr>
  </w:style>
  <w:style w:type="character" w:styleId="IntenseEmphasis">
    <w:name w:val="Intense Emphasis"/>
    <w:basedOn w:val="DefaultParagraphFont"/>
    <w:uiPriority w:val="21"/>
    <w:qFormat/>
    <w:rsid w:val="00947113"/>
    <w:rPr>
      <w:i/>
      <w:iCs/>
      <w:color w:val="0F4761" w:themeColor="accent1" w:themeShade="BF"/>
    </w:rPr>
  </w:style>
  <w:style w:type="paragraph" w:styleId="IntenseQuote">
    <w:name w:val="Intense Quote"/>
    <w:basedOn w:val="Normal"/>
    <w:next w:val="Normal"/>
    <w:link w:val="IntenseQuoteChar"/>
    <w:uiPriority w:val="30"/>
    <w:qFormat/>
    <w:rsid w:val="00947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113"/>
    <w:rPr>
      <w:i/>
      <w:iCs/>
      <w:color w:val="0F4761" w:themeColor="accent1" w:themeShade="BF"/>
    </w:rPr>
  </w:style>
  <w:style w:type="character" w:styleId="IntenseReference">
    <w:name w:val="Intense Reference"/>
    <w:basedOn w:val="DefaultParagraphFont"/>
    <w:uiPriority w:val="32"/>
    <w:qFormat/>
    <w:rsid w:val="00947113"/>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134C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34C8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34C8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134C8A"/>
    <w:rPr>
      <w:b w:val="0"/>
      <w:sz w:val="22"/>
      <w:u w:val="single"/>
    </w:rPr>
  </w:style>
  <w:style w:type="character" w:styleId="Strong">
    <w:name w:val="Strong"/>
    <w:basedOn w:val="DefaultParagraphFont"/>
    <w:uiPriority w:val="22"/>
    <w:qFormat/>
    <w:rsid w:val="00134C8A"/>
    <w:rPr>
      <w:b/>
      <w:bCs/>
    </w:rPr>
  </w:style>
  <w:style w:type="character" w:styleId="BookTitle">
    <w:name w:val="Book Title"/>
    <w:basedOn w:val="DefaultParagraphFont"/>
    <w:uiPriority w:val="33"/>
    <w:qFormat/>
    <w:rsid w:val="00134C8A"/>
    <w:rPr>
      <w:b/>
      <w:bCs/>
      <w:i/>
      <w:iCs/>
      <w:spacing w:val="5"/>
    </w:rPr>
  </w:style>
  <w:style w:type="numbering" w:styleId="111111">
    <w:name w:val="Outline List 2"/>
    <w:basedOn w:val="NoList"/>
    <w:uiPriority w:val="99"/>
    <w:semiHidden/>
    <w:unhideWhenUsed/>
    <w:rsid w:val="00134C8A"/>
  </w:style>
  <w:style w:type="paragraph" w:styleId="Header">
    <w:name w:val="header"/>
    <w:basedOn w:val="Normal"/>
    <w:link w:val="HeaderChar"/>
    <w:uiPriority w:val="99"/>
    <w:semiHidden/>
    <w:rsid w:val="00134C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4C8A"/>
    <w:rPr>
      <w:rFonts w:ascii="Calibri" w:hAnsi="Calibri" w:cs="Calibri"/>
      <w:kern w:val="0"/>
      <w:sz w:val="22"/>
      <w:szCs w:val="22"/>
      <w14:ligatures w14:val="none"/>
    </w:rPr>
  </w:style>
  <w:style w:type="paragraph" w:styleId="Footer">
    <w:name w:val="footer"/>
    <w:basedOn w:val="Normal"/>
    <w:link w:val="FooterChar"/>
    <w:uiPriority w:val="99"/>
    <w:semiHidden/>
    <w:rsid w:val="00134C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4C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34C8A"/>
    <w:pPr>
      <w:spacing w:after="120"/>
    </w:pPr>
  </w:style>
  <w:style w:type="character" w:customStyle="1" w:styleId="BodyTextChar">
    <w:name w:val="Body Text Char"/>
    <w:basedOn w:val="DefaultParagraphFont"/>
    <w:link w:val="BodyText"/>
    <w:uiPriority w:val="99"/>
    <w:semiHidden/>
    <w:rsid w:val="00134C8A"/>
    <w:rPr>
      <w:rFonts w:ascii="Calibri" w:hAnsi="Calibri" w:cs="Calibri"/>
      <w:kern w:val="0"/>
      <w:sz w:val="22"/>
      <w:szCs w:val="22"/>
      <w14:ligatures w14:val="none"/>
    </w:rPr>
  </w:style>
  <w:style w:type="paragraph" w:styleId="NoSpacing">
    <w:name w:val="No Spacing"/>
    <w:link w:val="NoSpacingChar"/>
    <w:uiPriority w:val="99"/>
    <w:unhideWhenUsed/>
    <w:qFormat/>
    <w:rsid w:val="00134C8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34C8A"/>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134C8A"/>
    <w:rPr>
      <w:color w:val="467886" w:themeColor="hyperlink"/>
      <w:u w:val="single"/>
    </w:rPr>
  </w:style>
  <w:style w:type="character" w:styleId="UnresolvedMention">
    <w:name w:val="Unresolved Mention"/>
    <w:basedOn w:val="DefaultParagraphFont"/>
    <w:uiPriority w:val="99"/>
    <w:semiHidden/>
    <w:unhideWhenUsed/>
    <w:rsid w:val="00134C8A"/>
    <w:rPr>
      <w:color w:val="605E5C"/>
      <w:shd w:val="clear" w:color="auto" w:fill="E1DFDD"/>
    </w:rPr>
  </w:style>
  <w:style w:type="paragraph" w:customStyle="1" w:styleId="Heading411">
    <w:name w:val="Heading 411"/>
    <w:basedOn w:val="Heading1"/>
    <w:next w:val="NoSpacing"/>
    <w:link w:val="Hyperlink"/>
    <w:autoRedefine/>
    <w:uiPriority w:val="99"/>
    <w:qFormat/>
    <w:rsid w:val="00F35B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F35B0D"/>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0131946.2019.1687481?casa_token=gPfuhjZXwSMAAAAA%3ANxK469Ye9Z1VKfONbahcDbFv3P55ydlfzOugFe61Bal1a8YH-Tj24X_E9KJAFjttJrorpUE68IDCNA" TargetMode="External"/><Relationship Id="rId13" Type="http://schemas.openxmlformats.org/officeDocument/2006/relationships/hyperlink" Target="https://www.tandfonline.com/doi/full/10.1080/00131946.2019.1687481?casa_token=gPfuhjZXwSMAAAAA%3ANxK469Ye9Z1VKfONbahcDbFv3P55ydlfzOugFe61Bal1a8YH-Tj24X_E9KJAFjttJrorpUE68IDCNA" TargetMode="External"/><Relationship Id="rId18" Type="http://schemas.openxmlformats.org/officeDocument/2006/relationships/hyperlink" Target="https://www.tandfonline.com/doi/full/10.1080/00131946.2019.1687481?casa_token=gPfuhjZXwSMAAAAA%3ANxK469Ye9Z1VKfONbahcDbFv3P55ydlfzOugFe61Bal1a8YH-Tj24X_E9KJAFjttJrorpUE68IDCNA" TargetMode="External"/><Relationship Id="rId26" Type="http://schemas.openxmlformats.org/officeDocument/2006/relationships/hyperlink" Target="https://www.tandfonline.com/doi/full/10.1080/00131946.2019.1687481?casa_token=gPfuhjZXwSMAAAAA%3ANxK469Ye9Z1VKfONbahcDbFv3P55ydlfzOugFe61Bal1a8YH-Tj24X_E9KJAFjttJrorpUE68IDCNA" TargetMode="External"/><Relationship Id="rId3" Type="http://schemas.openxmlformats.org/officeDocument/2006/relationships/settings" Target="settings.xml"/><Relationship Id="rId21" Type="http://schemas.openxmlformats.org/officeDocument/2006/relationships/hyperlink" Target="https://www.tandfonline.com/doi/full/10.1080/00131946.2019.1687481?casa_token=gPfuhjZXwSMAAAAA%3ANxK469Ye9Z1VKfONbahcDbFv3P55ydlfzOugFe61Bal1a8YH-Tj24X_E9KJAFjttJrorpUE68IDCNA" TargetMode="External"/><Relationship Id="rId7" Type="http://schemas.openxmlformats.org/officeDocument/2006/relationships/hyperlink" Target="https://www.tandfonline.com/doi/full/10.1080/00131946.2019.1687481?casa_token=gPfuhjZXwSMAAAAA%3ANxK469Ye9Z1VKfONbahcDbFv3P55ydlfzOugFe61Bal1a8YH-Tj24X_E9KJAFjttJrorpUE68IDCNA" TargetMode="External"/><Relationship Id="rId12" Type="http://schemas.openxmlformats.org/officeDocument/2006/relationships/hyperlink" Target="https://www.tandfonline.com/doi/full/10.1080/00131946.2019.1687481?casa_token=gPfuhjZXwSMAAAAA%3ANxK469Ye9Z1VKfONbahcDbFv3P55ydlfzOugFe61Bal1a8YH-Tj24X_E9KJAFjttJrorpUE68IDCNA" TargetMode="External"/><Relationship Id="rId17" Type="http://schemas.openxmlformats.org/officeDocument/2006/relationships/hyperlink" Target="https://www.tandfonline.com/doi/full/10.1080/00131946.2019.1687481?casa_token=gPfuhjZXwSMAAAAA%3ANxK469Ye9Z1VKfONbahcDbFv3P55ydlfzOugFe61Bal1a8YH-Tj24X_E9KJAFjttJrorpUE68IDCNA" TargetMode="External"/><Relationship Id="rId25" Type="http://schemas.openxmlformats.org/officeDocument/2006/relationships/hyperlink" Target="https://www.tandfonline.com/doi/full/10.1080/00131946.2019.1687481?casa_token=gPfuhjZXwSMAAAAA%3ANxK469Ye9Z1VKfONbahcDbFv3P55ydlfzOugFe61Bal1a8YH-Tj24X_E9KJAFjttJrorpUE68IDCNA" TargetMode="External"/><Relationship Id="rId2" Type="http://schemas.openxmlformats.org/officeDocument/2006/relationships/styles" Target="styles.xml"/><Relationship Id="rId16" Type="http://schemas.openxmlformats.org/officeDocument/2006/relationships/hyperlink" Target="https://www.tandfonline.com/doi/full/10.1080/00131946.2019.1687481?casa_token=gPfuhjZXwSMAAAAA%3ANxK469Ye9Z1VKfONbahcDbFv3P55ydlfzOugFe61Bal1a8YH-Tj24X_E9KJAFjttJrorpUE68IDCNA" TargetMode="External"/><Relationship Id="rId20" Type="http://schemas.openxmlformats.org/officeDocument/2006/relationships/hyperlink" Target="https://www.tandfonline.com/doi/full/10.1080/00131946.2019.1687481?casa_token=gPfuhjZXwSMAAAAA%3ANxK469Ye9Z1VKfONbahcDbFv3P55ydlfzOugFe61Bal1a8YH-Tj24X_E9KJAFjttJrorpUE68IDCNA" TargetMode="External"/><Relationship Id="rId29" Type="http://schemas.openxmlformats.org/officeDocument/2006/relationships/hyperlink" Target="https://doi.org/10.57709/26163765" TargetMode="External"/><Relationship Id="rId1" Type="http://schemas.openxmlformats.org/officeDocument/2006/relationships/numbering" Target="numbering.xml"/><Relationship Id="rId6" Type="http://schemas.openxmlformats.org/officeDocument/2006/relationships/hyperlink" Target="https://www.tandfonline.com/doi/full/10.1080/00131946.2019.1687481?casa_token=gPfuhjZXwSMAAAAA%3ANxK469Ye9Z1VKfONbahcDbFv3P55ydlfzOugFe61Bal1a8YH-Tj24X_E9KJAFjttJrorpUE68IDCNA" TargetMode="External"/><Relationship Id="rId11" Type="http://schemas.openxmlformats.org/officeDocument/2006/relationships/hyperlink" Target="https://www.tandfonline.com/doi/full/10.1080/00131946.2019.1687481?casa_token=gPfuhjZXwSMAAAAA%3ANxK469Ye9Z1VKfONbahcDbFv3P55ydlfzOugFe61Bal1a8YH-Tj24X_E9KJAFjttJrorpUE68IDCNA" TargetMode="External"/><Relationship Id="rId24" Type="http://schemas.openxmlformats.org/officeDocument/2006/relationships/hyperlink" Target="https://www.tandfonline.com/doi/full/10.1080/00131946.2019.1687481?casa_token=gPfuhjZXwSMAAAAA%3ANxK469Ye9Z1VKfONbahcDbFv3P55ydlfzOugFe61Bal1a8YH-Tj24X_E9KJAFjttJrorpUE68IDCNA" TargetMode="External"/><Relationship Id="rId5" Type="http://schemas.openxmlformats.org/officeDocument/2006/relationships/hyperlink" Target="https://www.tandfonline.com/doi/full/10.1080/00131946.2019.1687481?casa_token=gPfuhjZXwSMAAAAA%3ANxK469Ye9Z1VKfONbahcDbFv3P55ydlfzOugFe61Bal1a8YH-Tj24X_E9KJAFjttJrorpUE68IDCNA" TargetMode="External"/><Relationship Id="rId15" Type="http://schemas.openxmlformats.org/officeDocument/2006/relationships/hyperlink" Target="https://www.tandfonline.com/doi/full/10.1080/00131946.2019.1687481?casa_token=gPfuhjZXwSMAAAAA%3ANxK469Ye9Z1VKfONbahcDbFv3P55ydlfzOugFe61Bal1a8YH-Tj24X_E9KJAFjttJrorpUE68IDCNA" TargetMode="External"/><Relationship Id="rId23" Type="http://schemas.openxmlformats.org/officeDocument/2006/relationships/hyperlink" Target="https://www.tandfonline.com/doi/full/10.1080/00131946.2019.1687481?casa_token=gPfuhjZXwSMAAAAA%3ANxK469Ye9Z1VKfONbahcDbFv3P55ydlfzOugFe61Bal1a8YH-Tj24X_E9KJAFjttJrorpUE68IDCNA" TargetMode="External"/><Relationship Id="rId28" Type="http://schemas.openxmlformats.org/officeDocument/2006/relationships/hyperlink" Target="https://www.tandfonline.com/doi/full/10.1080/00131946.2019.1687481?casa_token=gPfuhjZXwSMAAAAA%3ANxK469Ye9Z1VKfONbahcDbFv3P55ydlfzOugFe61Bal1a8YH-Tj24X_E9KJAFjttJrorpUE68IDCNA" TargetMode="External"/><Relationship Id="rId10" Type="http://schemas.openxmlformats.org/officeDocument/2006/relationships/hyperlink" Target="https://www.tandfonline.com/doi/full/10.1080/00131946.2019.1687481?casa_token=gPfuhjZXwSMAAAAA%3ANxK469Ye9Z1VKfONbahcDbFv3P55ydlfzOugFe61Bal1a8YH-Tj24X_E9KJAFjttJrorpUE68IDCNA" TargetMode="External"/><Relationship Id="rId19" Type="http://schemas.openxmlformats.org/officeDocument/2006/relationships/hyperlink" Target="https://www.tandfonline.com/doi/full/10.1080/00131946.2019.1687481?casa_token=gPfuhjZXwSMAAAAA%3ANxK469Ye9Z1VKfONbahcDbFv3P55ydlfzOugFe61Bal1a8YH-Tj24X_E9KJAFjttJrorpUE68IDCN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andfonline.com/doi/full/10.1080/00131946.2019.1687481?casa_token=gPfuhjZXwSMAAAAA%3ANxK469Ye9Z1VKfONbahcDbFv3P55ydlfzOugFe61Bal1a8YH-Tj24X_E9KJAFjttJrorpUE68IDCNA" TargetMode="External"/><Relationship Id="rId14" Type="http://schemas.openxmlformats.org/officeDocument/2006/relationships/hyperlink" Target="https://www.tandfonline.com/doi/full/10.1080/00131946.2019.1687481?casa_token=gPfuhjZXwSMAAAAA%3ANxK469Ye9Z1VKfONbahcDbFv3P55ydlfzOugFe61Bal1a8YH-Tj24X_E9KJAFjttJrorpUE68IDCNA" TargetMode="External"/><Relationship Id="rId22" Type="http://schemas.openxmlformats.org/officeDocument/2006/relationships/hyperlink" Target="https://www.tandfonline.com/doi/full/10.1080/00131946.2019.1687481?casa_token=gPfuhjZXwSMAAAAA%3ANxK469Ye9Z1VKfONbahcDbFv3P55ydlfzOugFe61Bal1a8YH-Tj24X_E9KJAFjttJrorpUE68IDCNA" TargetMode="External"/><Relationship Id="rId27" Type="http://schemas.openxmlformats.org/officeDocument/2006/relationships/hyperlink" Target="https://www.tandfonline.com/doi/full/10.1080/00131946.2019.1687481?casa_token=gPfuhjZXwSMAAAAA%3ANxK469Ye9Z1VKfONbahcDbFv3P55ydlfzOugFe61Bal1a8YH-Tj24X_E9KJAFjttJrorpUE68IDCN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5496</Words>
  <Characters>31332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15</cp:revision>
  <dcterms:created xsi:type="dcterms:W3CDTF">2026-03-29T13:49:00Z</dcterms:created>
  <dcterms:modified xsi:type="dcterms:W3CDTF">2026-03-29T14:46:00Z</dcterms:modified>
</cp:coreProperties>
</file>