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B2B8" w14:textId="77777777" w:rsidR="00F817C8" w:rsidRDefault="00F817C8" w:rsidP="00A75064">
      <w:pPr>
        <w:spacing w:line="254" w:lineRule="auto"/>
        <w:rPr>
          <w:rFonts w:eastAsia="Times New Roman" w:cs="Times New Roman"/>
          <w:sz w:val="16"/>
          <w:szCs w:val="24"/>
        </w:rPr>
      </w:pPr>
    </w:p>
    <w:p w14:paraId="4B307EB1" w14:textId="3085AAC4" w:rsidR="00F817C8" w:rsidRPr="000D30AD" w:rsidRDefault="00F817C8" w:rsidP="00F817C8">
      <w:pPr>
        <w:pStyle w:val="Heading4"/>
        <w:rPr>
          <w:rFonts w:asciiTheme="majorHAnsi" w:hAnsiTheme="majorHAnsi" w:cstheme="majorHAnsi"/>
        </w:rPr>
      </w:pPr>
      <w:r>
        <w:rPr>
          <w:rFonts w:asciiTheme="majorHAnsi" w:hAnsiTheme="majorHAnsi" w:cstheme="majorHAnsi"/>
        </w:rPr>
        <w:t>The</w:t>
      </w:r>
      <w:r w:rsidRPr="000D30AD">
        <w:rPr>
          <w:rFonts w:asciiTheme="majorHAnsi" w:hAnsiTheme="majorHAnsi" w:cstheme="majorHAnsi"/>
        </w:rPr>
        <w:t xml:space="preserve"> psychoanalysis </w:t>
      </w:r>
      <w:r>
        <w:rPr>
          <w:rFonts w:asciiTheme="majorHAnsi" w:hAnsiTheme="majorHAnsi" w:cstheme="majorHAnsi"/>
        </w:rPr>
        <w:t xml:space="preserve">of the 1ac </w:t>
      </w:r>
      <w:r w:rsidRPr="000D30AD">
        <w:rPr>
          <w:rFonts w:asciiTheme="majorHAnsi" w:hAnsiTheme="majorHAnsi" w:cstheme="majorHAnsi"/>
        </w:rPr>
        <w:t>increases the medical model and medicalization – even if they disagree that at most amounts to passive resistance which still bolsters the medical model</w:t>
      </w:r>
      <w:r>
        <w:rPr>
          <w:rFonts w:asciiTheme="majorHAnsi" w:hAnsiTheme="majorHAnsi" w:cstheme="majorHAnsi"/>
        </w:rPr>
        <w:t>.</w:t>
      </w:r>
    </w:p>
    <w:p w14:paraId="1E7939A0" w14:textId="77777777" w:rsidR="00F817C8" w:rsidRPr="003B4CC0" w:rsidRDefault="00F817C8" w:rsidP="00F817C8">
      <w:r w:rsidRPr="003B4CC0">
        <w:rPr>
          <w:rStyle w:val="Style13ptBold"/>
        </w:rPr>
        <w:t>Smith 14</w:t>
      </w:r>
      <w:r w:rsidRPr="003B4CC0">
        <w:t> (Dena T. Smith, PhD, Goucher College, “The Diminished Resistance to Medicalization in Psychiatry: Psychoanalysis Meets the Medical Model of Mental Illness”, </w:t>
      </w:r>
      <w:hyperlink r:id="rId5" w:history="1">
        <w:r w:rsidRPr="003B4CC0">
          <w:t>http://smh.sagepub.com/content/4/2/75.full.pdf</w:t>
        </w:r>
      </w:hyperlink>
      <w:r w:rsidRPr="003B4CC0">
        <w:t>) CC</w:t>
      </w:r>
    </w:p>
    <w:p w14:paraId="2BA46320" w14:textId="77777777" w:rsidR="00F817C8" w:rsidRDefault="00F817C8" w:rsidP="00F817C8">
      <w:pPr>
        <w:spacing w:line="233" w:lineRule="atLeast"/>
        <w:rPr>
          <w:rFonts w:asciiTheme="majorHAnsi" w:eastAsia="Times New Roman" w:hAnsiTheme="majorHAnsi" w:cstheme="majorHAnsi"/>
          <w:color w:val="000000"/>
          <w:u w:val="single"/>
        </w:rPr>
      </w:pPr>
      <w:r w:rsidRPr="002505BE">
        <w:rPr>
          <w:rFonts w:asciiTheme="majorHAnsi" w:eastAsia="Times New Roman" w:hAnsiTheme="majorHAnsi" w:cstheme="majorHAnsi"/>
          <w:color w:val="000000"/>
          <w:highlight w:val="cyan"/>
          <w:u w:val="single"/>
        </w:rPr>
        <w:t>Very little of the work on diagnosis and medicalization involves in-depth interviews with practitioners</w:t>
      </w:r>
      <w:r w:rsidRPr="000D30AD">
        <w:rPr>
          <w:rFonts w:asciiTheme="majorHAnsi" w:eastAsia="Times New Roman" w:hAnsiTheme="majorHAnsi" w:cstheme="majorHAnsi"/>
          <w:color w:val="000000"/>
          <w:sz w:val="14"/>
          <w:szCs w:val="14"/>
        </w:rPr>
        <w:t>, and I know of </w:t>
      </w:r>
      <w:r w:rsidRPr="000D30AD">
        <w:rPr>
          <w:rFonts w:asciiTheme="majorHAnsi" w:eastAsia="Times New Roman" w:hAnsiTheme="majorHAnsi" w:cstheme="majorHAnsi"/>
          <w:color w:val="000000"/>
          <w:u w:val="single"/>
        </w:rPr>
        <w:t>no other study to date that involves interviews with psychoanalysts,</w:t>
      </w:r>
      <w:r w:rsidRPr="000D30AD">
        <w:rPr>
          <w:rFonts w:asciiTheme="majorHAnsi" w:eastAsia="Times New Roman" w:hAnsiTheme="majorHAnsi" w:cstheme="majorHAnsi"/>
          <w:color w:val="000000"/>
          <w:sz w:val="14"/>
          <w:szCs w:val="14"/>
        </w:rPr>
        <w:t> who are the one subgroup of American psychiatrists trained in in-depth talk therapy today. </w:t>
      </w:r>
      <w:r w:rsidRPr="000D30AD">
        <w:rPr>
          <w:rFonts w:asciiTheme="majorHAnsi" w:eastAsia="Times New Roman" w:hAnsiTheme="majorHAnsi" w:cstheme="majorHAnsi"/>
          <w:color w:val="000000"/>
          <w:u w:val="single"/>
        </w:rPr>
        <w:t>I use data from 20 interviews with psychoanalytically trained psychiatrists to contribute to the literature on the medicalization of psychiatry</w:t>
      </w:r>
      <w:r w:rsidRPr="000D30AD">
        <w:rPr>
          <w:rFonts w:asciiTheme="majorHAnsi" w:eastAsia="Times New Roman" w:hAnsiTheme="majorHAnsi" w:cstheme="majorHAnsi"/>
          <w:color w:val="000000"/>
          <w:sz w:val="14"/>
          <w:szCs w:val="14"/>
        </w:rPr>
        <w:t>. Scholars have much to gain from studying what McGann et al. (2011) refer to as ‘‘medicalization-inaction,’’ particularly using qualitative analysis. </w:t>
      </w:r>
      <w:r w:rsidRPr="000D30AD">
        <w:rPr>
          <w:rFonts w:asciiTheme="majorHAnsi" w:eastAsia="Times New Roman" w:hAnsiTheme="majorHAnsi" w:cstheme="majorHAnsi"/>
          <w:color w:val="000000"/>
          <w:u w:val="single"/>
        </w:rPr>
        <w:t>The focus</w:t>
      </w:r>
      <w:r w:rsidRPr="000D30AD">
        <w:rPr>
          <w:rFonts w:asciiTheme="majorHAnsi" w:eastAsia="Times New Roman" w:hAnsiTheme="majorHAnsi" w:cstheme="majorHAnsi"/>
          <w:color w:val="000000"/>
          <w:sz w:val="14"/>
          <w:szCs w:val="14"/>
        </w:rPr>
        <w:t> of this paper </w:t>
      </w:r>
      <w:r w:rsidRPr="000D30AD">
        <w:rPr>
          <w:rFonts w:asciiTheme="majorHAnsi" w:eastAsia="Times New Roman" w:hAnsiTheme="majorHAnsi" w:cstheme="majorHAnsi"/>
          <w:color w:val="000000"/>
          <w:u w:val="single"/>
        </w:rPr>
        <w:t>is on the waning opposition to medicalization in American psychiatry</w:t>
      </w:r>
      <w:r w:rsidRPr="000D30AD">
        <w:rPr>
          <w:rFonts w:asciiTheme="majorHAnsi" w:eastAsia="Times New Roman" w:hAnsiTheme="majorHAnsi" w:cstheme="majorHAnsi"/>
          <w:color w:val="000000"/>
          <w:sz w:val="14"/>
          <w:szCs w:val="14"/>
        </w:rPr>
        <w:t>, a field that was once largely grounded in the Freudian talking cure. </w:t>
      </w:r>
      <w:r w:rsidRPr="000D30AD">
        <w:rPr>
          <w:rFonts w:asciiTheme="majorHAnsi" w:eastAsia="Times New Roman" w:hAnsiTheme="majorHAnsi" w:cstheme="majorHAnsi"/>
          <w:color w:val="000000"/>
          <w:u w:val="single"/>
        </w:rPr>
        <w:t>My data are consistent with scholarship that shows insurance companies, pharmaceutical companies, and patient demand for medications push practitioners toward the medical model</w:t>
      </w:r>
      <w:r w:rsidRPr="000D30AD">
        <w:rPr>
          <w:rFonts w:asciiTheme="majorHAnsi" w:eastAsia="Times New Roman" w:hAnsiTheme="majorHAnsi" w:cstheme="majorHAnsi"/>
          <w:color w:val="000000"/>
          <w:sz w:val="14"/>
          <w:szCs w:val="14"/>
        </w:rPr>
        <w:t> (Abraham 2010; Clarke et al. 2003; Conrad 2005, 2007). </w:t>
      </w:r>
      <w:r w:rsidRPr="000D30AD">
        <w:rPr>
          <w:rFonts w:asciiTheme="majorHAnsi" w:eastAsia="Times New Roman" w:hAnsiTheme="majorHAnsi" w:cstheme="majorHAnsi"/>
          <w:color w:val="000000"/>
          <w:u w:val="single"/>
        </w:rPr>
        <w:t xml:space="preserve">My data also support the recent scholarship that suggests </w:t>
      </w:r>
      <w:r w:rsidRPr="002505BE">
        <w:rPr>
          <w:rFonts w:asciiTheme="majorHAnsi" w:eastAsia="Times New Roman" w:hAnsiTheme="majorHAnsi" w:cstheme="majorHAnsi"/>
          <w:color w:val="000000"/>
          <w:highlight w:val="cyan"/>
          <w:u w:val="single"/>
        </w:rPr>
        <w:t>training in particular diagnostic systems shapes the way in which clinicians classify</w:t>
      </w:r>
      <w:r w:rsidRPr="000D30AD">
        <w:rPr>
          <w:rFonts w:asciiTheme="majorHAnsi" w:eastAsia="Times New Roman" w:hAnsiTheme="majorHAnsi" w:cstheme="majorHAnsi"/>
          <w:color w:val="000000"/>
          <w:u w:val="single"/>
        </w:rPr>
        <w:t xml:space="preserve"> </w:t>
      </w:r>
      <w:r w:rsidRPr="002505BE">
        <w:rPr>
          <w:rFonts w:asciiTheme="majorHAnsi" w:eastAsia="Times New Roman" w:hAnsiTheme="majorHAnsi" w:cstheme="majorHAnsi"/>
          <w:color w:val="000000"/>
          <w:highlight w:val="cyan"/>
          <w:u w:val="single"/>
        </w:rPr>
        <w:t>symptoms and choose treatment modalities</w:t>
      </w:r>
      <w:r w:rsidRPr="000D30AD">
        <w:rPr>
          <w:rFonts w:asciiTheme="majorHAnsi" w:eastAsia="Times New Roman" w:hAnsiTheme="majorHAnsi" w:cstheme="majorHAnsi"/>
          <w:color w:val="000000"/>
          <w:sz w:val="14"/>
          <w:szCs w:val="14"/>
        </w:rPr>
        <w:t> (cf. Jutel 2009; Smith and Hemler 2014). Specifically, I show that </w:t>
      </w:r>
      <w:r w:rsidRPr="000D30AD">
        <w:rPr>
          <w:rFonts w:asciiTheme="majorHAnsi" w:eastAsia="Times New Roman" w:hAnsiTheme="majorHAnsi" w:cstheme="majorHAnsi"/>
          <w:color w:val="000000"/>
          <w:u w:val="single"/>
        </w:rPr>
        <w:t>in addition to pressures from insurance and pharmaceutical industries, and patient demand for medical treatment, my interviewees’ beliefs in</w:t>
      </w:r>
      <w:r w:rsidRPr="000D30AD">
        <w:rPr>
          <w:rFonts w:asciiTheme="majorHAnsi" w:eastAsia="Times New Roman" w:hAnsiTheme="majorHAnsi" w:cstheme="majorHAnsi"/>
          <w:color w:val="000000"/>
          <w:sz w:val="14"/>
          <w:szCs w:val="14"/>
        </w:rPr>
        <w:t> biological etiology and </w:t>
      </w:r>
      <w:r w:rsidRPr="002505BE">
        <w:rPr>
          <w:rFonts w:asciiTheme="majorHAnsi" w:eastAsia="Times New Roman" w:hAnsiTheme="majorHAnsi" w:cstheme="majorHAnsi"/>
          <w:color w:val="000000"/>
          <w:highlight w:val="cyan"/>
          <w:u w:val="single"/>
        </w:rPr>
        <w:t>the utility of medication are powerful forces in preventing resistance to medicalization</w:t>
      </w:r>
      <w:r w:rsidRPr="000D30AD">
        <w:rPr>
          <w:rFonts w:asciiTheme="majorHAnsi" w:eastAsia="Times New Roman" w:hAnsiTheme="majorHAnsi" w:cstheme="majorHAnsi"/>
          <w:color w:val="000000"/>
          <w:u w:val="single"/>
        </w:rPr>
        <w:t>. Despite their adamant beliefs in the benefit of psychoanalytic treatment and their often-impassioned critiques of the medical model, my interviewees’ resistance to medicalization remains largely at the cognitive and emotional level. This I term passive resistance to medicalization,</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which includes, for instance, reporting a desire for less reliance on medication and wishes for other practitioners to be more discerning in their prescribing practices yet still operating within a medical, diagnostic system and prescribing significant amounts of medication. </w:t>
      </w:r>
      <w:r w:rsidRPr="002505BE">
        <w:rPr>
          <w:rFonts w:asciiTheme="majorHAnsi" w:eastAsia="Times New Roman" w:hAnsiTheme="majorHAnsi" w:cstheme="majorHAnsi"/>
          <w:color w:val="000000"/>
          <w:highlight w:val="cyan"/>
          <w:u w:val="single"/>
        </w:rPr>
        <w:t>Passive resistance to medicalization</w:t>
      </w:r>
      <w:r w:rsidRPr="000D30AD">
        <w:rPr>
          <w:rFonts w:asciiTheme="majorHAnsi" w:eastAsia="Times New Roman" w:hAnsiTheme="majorHAnsi" w:cstheme="majorHAnsi"/>
          <w:color w:val="000000"/>
          <w:u w:val="single"/>
        </w:rPr>
        <w:t xml:space="preserve"> in fact </w:t>
      </w:r>
      <w:r w:rsidRPr="002505BE">
        <w:rPr>
          <w:rFonts w:asciiTheme="majorHAnsi" w:eastAsia="Times New Roman" w:hAnsiTheme="majorHAnsi" w:cstheme="majorHAnsi"/>
          <w:color w:val="000000"/>
          <w:highlight w:val="cyan"/>
          <w:u w:val="single"/>
        </w:rPr>
        <w:t>bolsters the medical model</w:t>
      </w:r>
      <w:r w:rsidRPr="000D30AD">
        <w:rPr>
          <w:rFonts w:asciiTheme="majorHAnsi" w:eastAsia="Times New Roman" w:hAnsiTheme="majorHAnsi" w:cstheme="majorHAnsi"/>
          <w:color w:val="000000"/>
          <w:u w:val="single"/>
        </w:rPr>
        <w:t>,</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largely as an unintended consequence. </w:t>
      </w:r>
      <w:r w:rsidRPr="000D30AD">
        <w:rPr>
          <w:rFonts w:asciiTheme="majorHAnsi" w:eastAsia="Times New Roman" w:hAnsiTheme="majorHAnsi" w:cstheme="majorHAnsi"/>
          <w:color w:val="000000"/>
          <w:u w:val="single"/>
        </w:rPr>
        <w:t>Absent from</w:t>
      </w:r>
      <w:r w:rsidRPr="000D30AD">
        <w:rPr>
          <w:rFonts w:asciiTheme="majorHAnsi" w:eastAsia="Times New Roman" w:hAnsiTheme="majorHAnsi" w:cstheme="majorHAnsi"/>
          <w:color w:val="000000"/>
          <w:sz w:val="14"/>
          <w:szCs w:val="14"/>
        </w:rPr>
        <w:t> my interviewees’ </w:t>
      </w:r>
      <w:r w:rsidRPr="000D30AD">
        <w:rPr>
          <w:rFonts w:asciiTheme="majorHAnsi" w:eastAsia="Times New Roman" w:hAnsiTheme="majorHAnsi" w:cstheme="majorHAnsi"/>
          <w:color w:val="000000"/>
          <w:u w:val="single"/>
        </w:rPr>
        <w:t>practice is active resistance to medicalization,</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which would entail an insistence that in-depth talking treatments are most effective and a refusal to prescribe medications, practices common in and prior to the 1980s. Lesser versions of active resistance might include refusing to treat patients with medications alone, to use Diagnostic and Statistical Manual of Mental Disorders (DSM) categories to diagnose patients, or to use psychiatric labels to describe patients. With the exception of one interviewee who does not see any patients for medication management only</w:t>
      </w:r>
      <w:r w:rsidRPr="002505BE">
        <w:rPr>
          <w:rFonts w:asciiTheme="majorHAnsi" w:eastAsia="Times New Roman" w:hAnsiTheme="majorHAnsi" w:cstheme="majorHAnsi"/>
          <w:color w:val="000000"/>
          <w:sz w:val="14"/>
          <w:szCs w:val="14"/>
          <w:highlight w:val="cyan"/>
        </w:rPr>
        <w:t>, </w:t>
      </w:r>
      <w:r w:rsidRPr="002505BE">
        <w:rPr>
          <w:rFonts w:asciiTheme="majorHAnsi" w:eastAsia="Times New Roman" w:hAnsiTheme="majorHAnsi" w:cstheme="majorHAnsi"/>
          <w:color w:val="000000"/>
          <w:highlight w:val="cyan"/>
          <w:u w:val="single"/>
        </w:rPr>
        <w:t>I see no evidence of these forms of opposition, despite the aforementioned cognitive and emotional resistance.</w:t>
      </w:r>
      <w:r w:rsidRPr="000D30AD">
        <w:rPr>
          <w:rFonts w:asciiTheme="majorHAnsi" w:eastAsia="Times New Roman" w:hAnsiTheme="majorHAnsi" w:cstheme="majorHAnsi"/>
          <w:color w:val="000000"/>
          <w:u w:val="single"/>
        </w:rPr>
        <w:t xml:space="preserve"> </w:t>
      </w:r>
    </w:p>
    <w:p w14:paraId="42E281F5" w14:textId="77777777" w:rsidR="00F817C8" w:rsidRPr="000D30AD" w:rsidRDefault="00F817C8" w:rsidP="00F817C8">
      <w:pPr>
        <w:spacing w:line="233" w:lineRule="atLeast"/>
        <w:rPr>
          <w:rFonts w:asciiTheme="majorHAnsi" w:eastAsia="Times New Roman" w:hAnsiTheme="majorHAnsi" w:cstheme="majorHAnsi"/>
          <w:color w:val="000000"/>
          <w:u w:val="single"/>
        </w:rPr>
      </w:pPr>
    </w:p>
    <w:p w14:paraId="5C7B9EB6" w14:textId="6BDA1B93" w:rsidR="00F817C8" w:rsidRPr="000D30AD" w:rsidRDefault="00F817C8" w:rsidP="00F817C8">
      <w:pPr>
        <w:pStyle w:val="Heading4"/>
        <w:rPr>
          <w:rFonts w:asciiTheme="majorHAnsi" w:hAnsiTheme="majorHAnsi" w:cstheme="majorHAnsi"/>
        </w:rPr>
      </w:pPr>
      <w:r>
        <w:rPr>
          <w:rFonts w:asciiTheme="majorHAnsi" w:hAnsiTheme="majorHAnsi" w:cstheme="majorHAnsi"/>
        </w:rPr>
        <w:t>The 1ac’s</w:t>
      </w:r>
      <w:r w:rsidRPr="000D30AD">
        <w:rPr>
          <w:rFonts w:asciiTheme="majorHAnsi" w:hAnsiTheme="majorHAnsi" w:cstheme="majorHAnsi"/>
        </w:rPr>
        <w:t xml:space="preserve"> psychoanalysis will be integrated into the medical model and used to determine and treat “mental illness” and disability</w:t>
      </w:r>
      <w:r w:rsidR="00D94F81">
        <w:rPr>
          <w:rFonts w:asciiTheme="majorHAnsi" w:hAnsiTheme="majorHAnsi" w:cstheme="majorHAnsi"/>
        </w:rPr>
        <w:t xml:space="preserve"> – their reliance on jouissance </w:t>
      </w:r>
    </w:p>
    <w:p w14:paraId="0D848F07" w14:textId="77777777" w:rsidR="00F817C8" w:rsidRPr="000D30AD" w:rsidRDefault="00F817C8" w:rsidP="00F817C8">
      <w:pPr>
        <w:spacing w:line="233" w:lineRule="atLeast"/>
        <w:rPr>
          <w:rFonts w:asciiTheme="majorHAnsi" w:eastAsia="Times New Roman" w:hAnsiTheme="majorHAnsi" w:cstheme="majorHAnsi"/>
          <w:color w:val="000000"/>
        </w:rPr>
      </w:pPr>
      <w:r w:rsidRPr="000D30AD">
        <w:rPr>
          <w:rFonts w:asciiTheme="majorHAnsi" w:eastAsia="Times New Roman" w:hAnsiTheme="majorHAnsi" w:cstheme="majorHAnsi"/>
          <w:b/>
          <w:bCs/>
          <w:color w:val="000000"/>
          <w:sz w:val="26"/>
          <w:szCs w:val="26"/>
        </w:rPr>
        <w:t>Belz 1 </w:t>
      </w:r>
      <w:r w:rsidRPr="000D30AD">
        <w:rPr>
          <w:rFonts w:asciiTheme="majorHAnsi" w:eastAsia="Times New Roman" w:hAnsiTheme="majorHAnsi" w:cstheme="majorHAnsi"/>
          <w:color w:val="000000"/>
        </w:rPr>
        <w:t>(Elaine, Dr. Belz is President-elect of the Middlesex County Association of Psychologists. She maintains a psychotherapy practice in New York City and in South Plainfield, New Jersey where she treats adult and adolescent patients. “Psychoanalytic Therapy as Health Care: Effectiveness and Economics in the 21st Century (Book Review)”, </w:t>
      </w:r>
      <w:hyperlink r:id="rId6" w:history="1">
        <w:r w:rsidRPr="000D30AD">
          <w:rPr>
            <w:rFonts w:asciiTheme="majorHAnsi" w:eastAsia="Times New Roman" w:hAnsiTheme="majorHAnsi" w:cstheme="majorHAnsi"/>
            <w:color w:val="000000"/>
            <w:u w:val="single"/>
          </w:rPr>
          <w:t>http://www.apadivisions.org/division-39/publications/reviews/economics.aspx</w:t>
        </w:r>
      </w:hyperlink>
      <w:r w:rsidRPr="000D30AD">
        <w:rPr>
          <w:rFonts w:asciiTheme="majorHAnsi" w:eastAsia="Times New Roman" w:hAnsiTheme="majorHAnsi" w:cstheme="majorHAnsi"/>
          <w:color w:val="000000"/>
        </w:rPr>
        <w:t>) CC</w:t>
      </w:r>
    </w:p>
    <w:p w14:paraId="187B3F1A" w14:textId="36CE49EE" w:rsidR="00F817C8" w:rsidRDefault="00F817C8" w:rsidP="00F817C8">
      <w:pPr>
        <w:spacing w:line="233" w:lineRule="atLeast"/>
        <w:rPr>
          <w:rFonts w:asciiTheme="majorHAnsi" w:eastAsia="Times New Roman" w:hAnsiTheme="majorHAnsi" w:cstheme="majorHAnsi"/>
          <w:color w:val="000000"/>
          <w:sz w:val="14"/>
          <w:szCs w:val="14"/>
        </w:rPr>
      </w:pPr>
      <w:r w:rsidRPr="000D30AD">
        <w:rPr>
          <w:rFonts w:asciiTheme="majorHAnsi" w:eastAsia="Times New Roman" w:hAnsiTheme="majorHAnsi" w:cstheme="majorHAnsi"/>
          <w:color w:val="000000"/>
          <w:sz w:val="14"/>
          <w:szCs w:val="14"/>
        </w:rPr>
        <w:t>The book covers an eclectic array of topics and the overall impact of the collection of articles seem to be affected as a result. </w:t>
      </w:r>
      <w:r w:rsidRPr="000D30AD">
        <w:rPr>
          <w:rFonts w:asciiTheme="majorHAnsi" w:eastAsia="Times New Roman" w:hAnsiTheme="majorHAnsi" w:cstheme="majorHAnsi"/>
          <w:color w:val="000000"/>
          <w:u w:val="single"/>
        </w:rPr>
        <w:t>Some</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chapters take on a more philosophical tone and </w:t>
      </w:r>
      <w:r w:rsidRPr="000D30AD">
        <w:rPr>
          <w:rFonts w:asciiTheme="majorHAnsi" w:eastAsia="Times New Roman" w:hAnsiTheme="majorHAnsi" w:cstheme="majorHAnsi"/>
          <w:color w:val="000000"/>
          <w:u w:val="single"/>
        </w:rPr>
        <w:t>criticize the psychology profession for being too passive and apathetic</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about pressing issues. One chapter was derived from Dorothy Cantor’s keynote address to the New Jersey Psychological Association </w:t>
      </w:r>
      <w:r w:rsidRPr="000D30AD">
        <w:rPr>
          <w:rFonts w:asciiTheme="majorHAnsi" w:eastAsia="Times New Roman" w:hAnsiTheme="majorHAnsi" w:cstheme="majorHAnsi"/>
          <w:color w:val="000000"/>
          <w:u w:val="single"/>
        </w:rPr>
        <w:t>about the strategies that have been undertaken to address the conflicts between professional psychology and the managed care industry.</w:t>
      </w:r>
      <w:r w:rsidRPr="000D30AD">
        <w:rPr>
          <w:rFonts w:asciiTheme="majorHAnsi" w:eastAsia="Times New Roman" w:hAnsiTheme="majorHAnsi" w:cstheme="majorHAnsi"/>
          <w:color w:val="000000"/>
          <w:sz w:val="14"/>
          <w:szCs w:val="14"/>
        </w:rPr>
        <w:t> Other chapters broadly surveyed political issues in other countries throughout the world, or described programmatic models that have been successfully implemented. No doubt it is difficult to integrate legal, political, philosophical and clinical issues all in one text. It seems to me that there are some critical issues that need more thorough consideration in any discussion of psychoanalytic therapy and the healthcare industry in the United States. It is important to remember that, inasmuch the traditional model of healthcare as it has been practiced in many diverse settings throughout the country is being challenged by managed care, it is also true that there are significant opportunities for shaping a more responsive and effective healthcare model. </w:t>
      </w:r>
      <w:r w:rsidRPr="002505BE">
        <w:rPr>
          <w:rFonts w:asciiTheme="majorHAnsi" w:eastAsia="Times New Roman" w:hAnsiTheme="majorHAnsi" w:cstheme="majorHAnsi"/>
          <w:color w:val="000000"/>
          <w:highlight w:val="cyan"/>
          <w:u w:val="single"/>
        </w:rPr>
        <w:t>Current trends in medical center healthcare</w:t>
      </w:r>
      <w:r w:rsidRPr="000D30AD">
        <w:rPr>
          <w:rFonts w:asciiTheme="majorHAnsi" w:eastAsia="Times New Roman" w:hAnsiTheme="majorHAnsi" w:cstheme="majorHAnsi"/>
          <w:color w:val="000000"/>
          <w:sz w:val="14"/>
          <w:szCs w:val="14"/>
        </w:rPr>
        <w:t>, for example, </w:t>
      </w:r>
      <w:r w:rsidRPr="002505BE">
        <w:rPr>
          <w:rFonts w:asciiTheme="majorHAnsi" w:eastAsia="Times New Roman" w:hAnsiTheme="majorHAnsi" w:cstheme="majorHAnsi"/>
          <w:color w:val="000000"/>
          <w:highlight w:val="cyan"/>
          <w:u w:val="single"/>
        </w:rPr>
        <w:t>emphasize</w:t>
      </w:r>
      <w:r w:rsidRPr="000D30AD">
        <w:rPr>
          <w:rFonts w:asciiTheme="majorHAnsi" w:eastAsia="Times New Roman" w:hAnsiTheme="majorHAnsi" w:cstheme="majorHAnsi"/>
          <w:color w:val="000000"/>
          <w:u w:val="single"/>
        </w:rPr>
        <w:t xml:space="preserve"> </w:t>
      </w:r>
      <w:r w:rsidRPr="002505BE">
        <w:rPr>
          <w:rFonts w:asciiTheme="majorHAnsi" w:eastAsia="Times New Roman" w:hAnsiTheme="majorHAnsi" w:cstheme="majorHAnsi"/>
          <w:color w:val="000000"/>
          <w:highlight w:val="cyan"/>
          <w:u w:val="single"/>
        </w:rPr>
        <w:t xml:space="preserve">the integration of biological, psychological and social factors affecting wellness and disease. </w:t>
      </w:r>
      <w:r w:rsidRPr="000D30AD">
        <w:rPr>
          <w:rFonts w:asciiTheme="majorHAnsi" w:eastAsia="Times New Roman" w:hAnsiTheme="majorHAnsi" w:cstheme="majorHAnsi"/>
          <w:color w:val="000000"/>
          <w:u w:val="single"/>
        </w:rPr>
        <w:t>Psychoanalytic principles are uniquely relevant and applicable to this type of integrated thinking.</w:t>
      </w:r>
      <w:r w:rsidRPr="000D30AD">
        <w:rPr>
          <w:rFonts w:asciiTheme="majorHAnsi" w:eastAsia="Times New Roman" w:hAnsiTheme="majorHAnsi" w:cstheme="majorHAnsi"/>
          <w:color w:val="000000"/>
          <w:sz w:val="14"/>
          <w:szCs w:val="14"/>
        </w:rPr>
        <w:t> Physicians are being taught to take a more holistic view when they treat their patients. </w:t>
      </w:r>
      <w:r w:rsidRPr="000D30AD">
        <w:rPr>
          <w:rFonts w:asciiTheme="majorHAnsi" w:eastAsia="Times New Roman" w:hAnsiTheme="majorHAnsi" w:cstheme="majorHAnsi"/>
          <w:color w:val="000000"/>
          <w:u w:val="single"/>
        </w:rPr>
        <w:t>In the institution where I work medical doctors seek out consultations with psychoanalytically informed psychologists,</w:t>
      </w:r>
      <w:r w:rsidRPr="000D30AD">
        <w:rPr>
          <w:rFonts w:asciiTheme="majorHAnsi" w:eastAsia="Times New Roman" w:hAnsiTheme="majorHAnsi" w:cstheme="majorHAnsi"/>
          <w:color w:val="000000"/>
          <w:sz w:val="14"/>
          <w:szCs w:val="14"/>
        </w:rPr>
        <w:t> not only to help them understand their patient’s behavior, but also </w:t>
      </w:r>
      <w:r w:rsidRPr="000D30AD">
        <w:rPr>
          <w:rFonts w:asciiTheme="majorHAnsi" w:eastAsia="Times New Roman" w:hAnsiTheme="majorHAnsi" w:cstheme="majorHAnsi"/>
          <w:color w:val="000000"/>
          <w:u w:val="single"/>
        </w:rPr>
        <w:t>to secure a more appropriate treatment.</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Recognition is being given to the complexity of emotional experience and its contribution to disease and poor health. </w:t>
      </w:r>
      <w:r w:rsidRPr="002505BE">
        <w:rPr>
          <w:rFonts w:asciiTheme="majorHAnsi" w:eastAsia="Times New Roman" w:hAnsiTheme="majorHAnsi" w:cstheme="majorHAnsi"/>
          <w:color w:val="000000"/>
          <w:highlight w:val="cyan"/>
          <w:u w:val="single"/>
        </w:rPr>
        <w:t>Psychoanalytic treatment is fundamentally a meaning-making</w:t>
      </w:r>
      <w:r w:rsidRPr="000D30AD">
        <w:rPr>
          <w:rFonts w:asciiTheme="majorHAnsi" w:eastAsia="Times New Roman" w:hAnsiTheme="majorHAnsi" w:cstheme="majorHAnsi"/>
          <w:color w:val="000000"/>
          <w:u w:val="single"/>
        </w:rPr>
        <w:t xml:space="preserve"> </w:t>
      </w:r>
      <w:r w:rsidRPr="002505BE">
        <w:rPr>
          <w:rFonts w:asciiTheme="majorHAnsi" w:eastAsia="Times New Roman" w:hAnsiTheme="majorHAnsi" w:cstheme="majorHAnsi"/>
          <w:color w:val="000000"/>
          <w:highlight w:val="cyan"/>
          <w:u w:val="single"/>
        </w:rPr>
        <w:t>process</w:t>
      </w:r>
      <w:r w:rsidRPr="000D30AD">
        <w:rPr>
          <w:rFonts w:asciiTheme="majorHAnsi" w:eastAsia="Times New Roman" w:hAnsiTheme="majorHAnsi" w:cstheme="majorHAnsi"/>
          <w:color w:val="000000"/>
          <w:sz w:val="14"/>
          <w:szCs w:val="14"/>
        </w:rPr>
        <w:t> and, as Eisold (2000) has noted, psychoanalytic therapists focus on identifying and exploring the gaps in what we think we know. </w:t>
      </w:r>
      <w:r w:rsidRPr="000D30AD">
        <w:rPr>
          <w:rFonts w:asciiTheme="majorHAnsi" w:eastAsia="Times New Roman" w:hAnsiTheme="majorHAnsi" w:cstheme="majorHAnsi"/>
          <w:color w:val="000000"/>
          <w:u w:val="single"/>
        </w:rPr>
        <w:t xml:space="preserve">Psychoanalytically informed treatment seeks to understand that which has been disavowed, forgotten, or dissociated. </w:t>
      </w:r>
      <w:r w:rsidRPr="002505BE">
        <w:rPr>
          <w:rFonts w:asciiTheme="majorHAnsi" w:eastAsia="Times New Roman" w:hAnsiTheme="majorHAnsi" w:cstheme="majorHAnsi"/>
          <w:color w:val="000000"/>
          <w:highlight w:val="cyan"/>
          <w:u w:val="single"/>
        </w:rPr>
        <w:t>It consists of helping patients</w:t>
      </w:r>
      <w:r w:rsidRPr="000D30AD">
        <w:rPr>
          <w:rFonts w:asciiTheme="majorHAnsi" w:eastAsia="Times New Roman" w:hAnsiTheme="majorHAnsi" w:cstheme="majorHAnsi"/>
          <w:color w:val="000000"/>
          <w:u w:val="single"/>
        </w:rPr>
        <w:t xml:space="preserve"> </w:t>
      </w:r>
      <w:r w:rsidRPr="002505BE">
        <w:rPr>
          <w:rFonts w:asciiTheme="majorHAnsi" w:eastAsia="Times New Roman" w:hAnsiTheme="majorHAnsi" w:cstheme="majorHAnsi"/>
          <w:color w:val="000000"/>
          <w:highlight w:val="cyan"/>
          <w:u w:val="single"/>
        </w:rPr>
        <w:t>develop their “capacity to think about parts of their experience that have been disabled</w:t>
      </w:r>
      <w:r w:rsidRPr="000D30AD">
        <w:rPr>
          <w:rFonts w:asciiTheme="majorHAnsi" w:eastAsia="Times New Roman" w:hAnsiTheme="majorHAnsi" w:cstheme="majorHAnsi"/>
          <w:color w:val="000000"/>
          <w:u w:val="single"/>
        </w:rPr>
        <w:t xml:space="preserve"> by anxiety and fear”</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(Eisold, 2000, p. 62). What does the patient think his GI distress is telling him and how will his thinking about eating and elimination affect his motivation to change unhealthy behaviors? What does the AIDS patient or the cancer patient believe about why he contracted the disease? How does it influence his expectations and recovery? Between the physician and his patient’s disease is an individual who constructs a psychological experience of his body. Many refer to this as the behavioral aspects of healthcare. Analysts think of it as “the mutual interplay of the body-mind and mind-body” (Aron, 1996, p. 3). Indeed, </w:t>
      </w:r>
      <w:r w:rsidRPr="000D30AD">
        <w:rPr>
          <w:rFonts w:asciiTheme="majorHAnsi" w:eastAsia="Times New Roman" w:hAnsiTheme="majorHAnsi" w:cstheme="majorHAnsi"/>
          <w:color w:val="000000"/>
          <w:u w:val="single"/>
        </w:rPr>
        <w:t>psychoanalysts are the experts</w:t>
      </w:r>
      <w:r w:rsidRPr="000D30AD">
        <w:rPr>
          <w:rFonts w:asciiTheme="majorHAnsi" w:eastAsia="Times New Roman" w:hAnsiTheme="majorHAnsi" w:cstheme="majorHAnsi"/>
          <w:color w:val="000000"/>
          <w:sz w:val="14"/>
          <w:szCs w:val="14"/>
        </w:rPr>
        <w:t>--“the highly trained clinicians”--</w:t>
      </w:r>
      <w:r w:rsidRPr="000D30AD">
        <w:rPr>
          <w:rFonts w:asciiTheme="majorHAnsi" w:eastAsia="Times New Roman" w:hAnsiTheme="majorHAnsi" w:cstheme="majorHAnsi"/>
          <w:color w:val="000000"/>
          <w:u w:val="single"/>
        </w:rPr>
        <w:t xml:space="preserve">who have a substantial contribution to make in the conceptualization of what constitutes </w:t>
      </w:r>
      <w:proofErr w:type="spellStart"/>
      <w:r w:rsidRPr="000D30AD">
        <w:rPr>
          <w:rFonts w:asciiTheme="majorHAnsi" w:eastAsia="Times New Roman" w:hAnsiTheme="majorHAnsi" w:cstheme="majorHAnsi"/>
          <w:color w:val="000000"/>
          <w:u w:val="single"/>
        </w:rPr>
        <w:t>well being</w:t>
      </w:r>
      <w:proofErr w:type="spellEnd"/>
      <w:r w:rsidRPr="000D30AD">
        <w:rPr>
          <w:rFonts w:asciiTheme="majorHAnsi" w:eastAsia="Times New Roman" w:hAnsiTheme="majorHAnsi" w:cstheme="majorHAnsi"/>
          <w:color w:val="000000"/>
          <w:u w:val="single"/>
        </w:rPr>
        <w:t xml:space="preserve"> and what contributes to ill health.</w:t>
      </w:r>
      <w:r w:rsidRPr="000D30AD">
        <w:rPr>
          <w:rFonts w:asciiTheme="majorHAnsi" w:eastAsia="Times New Roman" w:hAnsiTheme="majorHAnsi" w:cstheme="majorHAnsi"/>
          <w:color w:val="000000"/>
        </w:rPr>
        <w:t> </w:t>
      </w:r>
      <w:r w:rsidRPr="000D30AD">
        <w:rPr>
          <w:rFonts w:asciiTheme="majorHAnsi" w:eastAsia="Times New Roman" w:hAnsiTheme="majorHAnsi" w:cstheme="majorHAnsi"/>
          <w:color w:val="000000"/>
          <w:sz w:val="14"/>
          <w:szCs w:val="14"/>
        </w:rPr>
        <w:t xml:space="preserve">Within the profession we need to articulate how that knowledge can be incorporated into what is essentially an emerging healthcare system. As we achieve a sensibility about this, we also need to reach beyond our closed doors and collaborate with other disciplines, particularly medicine. How can we maintain the psychoanalytic frame and participate in collaborative multidisciplinary efforts? </w:t>
      </w:r>
      <w:proofErr w:type="spellStart"/>
      <w:r w:rsidRPr="000D30AD">
        <w:rPr>
          <w:rFonts w:asciiTheme="majorHAnsi" w:eastAsia="Times New Roman" w:hAnsiTheme="majorHAnsi" w:cstheme="majorHAnsi"/>
          <w:color w:val="000000"/>
          <w:sz w:val="14"/>
          <w:szCs w:val="14"/>
        </w:rPr>
        <w:t>Plakun</w:t>
      </w:r>
      <w:proofErr w:type="spellEnd"/>
      <w:r w:rsidRPr="000D30AD">
        <w:rPr>
          <w:rFonts w:asciiTheme="majorHAnsi" w:eastAsia="Times New Roman" w:hAnsiTheme="majorHAnsi" w:cstheme="majorHAnsi"/>
          <w:color w:val="000000"/>
          <w:sz w:val="14"/>
          <w:szCs w:val="14"/>
        </w:rPr>
        <w:t xml:space="preserve"> spoke about this when he reviewed the Austin Riggs Center reorganization. He suggested that the use of an interpretive focus in the analytic perspective “organizes, integrates and coordinates an otherwise chaotic set of problems” (p. 252-253). I am impressed and encouraged by the outreach I have observed on the part of the physicians I work with. To the extent that documentation of the effectiveness of psychoanalytic treatment is called for, we should seek to design research and evaluation projects that are multidisciplinary in nature. </w:t>
      </w:r>
      <w:r w:rsidRPr="000D30AD">
        <w:rPr>
          <w:rFonts w:asciiTheme="majorHAnsi" w:eastAsia="Times New Roman" w:hAnsiTheme="majorHAnsi" w:cstheme="majorHAnsi"/>
          <w:color w:val="000000"/>
          <w:u w:val="single"/>
        </w:rPr>
        <w:t>In general, separate systems for mental health and medical care are being discarded and replaced with new, more integrated models</w:t>
      </w:r>
      <w:r w:rsidRPr="000D30AD">
        <w:rPr>
          <w:rFonts w:asciiTheme="majorHAnsi" w:eastAsia="Times New Roman" w:hAnsiTheme="majorHAnsi" w:cstheme="majorHAnsi"/>
          <w:color w:val="000000"/>
          <w:sz w:val="14"/>
          <w:szCs w:val="14"/>
        </w:rPr>
        <w:t>. Current training in medicine, for example, emphasizes that physicians assume a more collaborative role with the patient. New Graduate Medical Education regulations instituted in 2001 require that physicians proactively involve other disciplines, such as psychology, to advance the health care of their patients. Thus, I think analysts can now be more than critics of an “evil” system who stand on the outside advocating for change. Psychoanalytically-informed theorists and practitioners can directly influence the way health care treatment is conceptualized and delivered.</w:t>
      </w:r>
    </w:p>
    <w:p w14:paraId="7946AAFD" w14:textId="77777777" w:rsidR="00F817C8" w:rsidRPr="00F817C8" w:rsidRDefault="00F817C8" w:rsidP="00F817C8">
      <w:pPr>
        <w:spacing w:line="233" w:lineRule="atLeast"/>
        <w:rPr>
          <w:rFonts w:asciiTheme="majorHAnsi" w:eastAsia="Times New Roman" w:hAnsiTheme="majorHAnsi" w:cstheme="majorHAnsi"/>
          <w:color w:val="000000"/>
          <w:sz w:val="14"/>
          <w:szCs w:val="14"/>
        </w:rPr>
      </w:pPr>
    </w:p>
    <w:p w14:paraId="3E51E5F9" w14:textId="623D9C51" w:rsidR="00A75064" w:rsidRPr="00E97981" w:rsidRDefault="00A75064" w:rsidP="00A75064">
      <w:pPr>
        <w:keepNext/>
        <w:keepLines/>
        <w:spacing w:before="40" w:after="0" w:line="256" w:lineRule="auto"/>
        <w:outlineLvl w:val="3"/>
        <w:rPr>
          <w:rFonts w:eastAsia="Times New Roman" w:cs="Times New Roman"/>
          <w:b/>
          <w:iCs/>
          <w:sz w:val="26"/>
        </w:rPr>
      </w:pPr>
      <w:r w:rsidRPr="00E97981">
        <w:rPr>
          <w:rFonts w:eastAsia="Times New Roman" w:cs="Times New Roman"/>
          <w:b/>
          <w:iCs/>
          <w:sz w:val="26"/>
        </w:rPr>
        <w:t xml:space="preserve">The discussion of the killjoy reinvests into systems of pathologization that allow the institution to buy into rehabilitation strategies  </w:t>
      </w:r>
    </w:p>
    <w:p w14:paraId="66F04544" w14:textId="77777777" w:rsidR="00A75064" w:rsidRPr="00E97981" w:rsidRDefault="00A75064" w:rsidP="00A75064">
      <w:pPr>
        <w:spacing w:line="256" w:lineRule="auto"/>
        <w:rPr>
          <w:rFonts w:eastAsia="Aptos"/>
        </w:rPr>
      </w:pPr>
      <w:r w:rsidRPr="00E97981">
        <w:rPr>
          <w:rFonts w:eastAsia="Times New Roman" w:cs="Times New Roman"/>
          <w:b/>
          <w:iCs/>
          <w:sz w:val="26"/>
        </w:rPr>
        <w:t>Clancy</w:t>
      </w:r>
      <w:r w:rsidRPr="00E97981">
        <w:rPr>
          <w:rFonts w:eastAsia="Aptos"/>
        </w:rPr>
        <w:t xml:space="preserve"> (20</w:t>
      </w:r>
      <w:r w:rsidRPr="00E97981">
        <w:rPr>
          <w:rFonts w:eastAsia="Times New Roman" w:cs="Times New Roman"/>
          <w:b/>
          <w:iCs/>
          <w:sz w:val="26"/>
        </w:rPr>
        <w:t>24</w:t>
      </w:r>
      <w:r w:rsidRPr="00E97981">
        <w:rPr>
          <w:rFonts w:eastAsia="Aptos"/>
        </w:rPr>
        <w:t xml:space="preserve">) [Erin Clancy is a Professor at UW Madison focusing their studies on feminist research and human geographies. </w:t>
      </w:r>
      <w:r w:rsidRPr="00E97981">
        <w:rPr>
          <w:rFonts w:ascii="Arial" w:eastAsia="Aptos" w:hAnsi="Arial" w:cs="Arial"/>
          <w:color w:val="222222"/>
          <w:sz w:val="20"/>
          <w:szCs w:val="20"/>
          <w:shd w:val="clear" w:color="auto" w:fill="FFFFFF"/>
        </w:rPr>
        <w:t>Against Rehabilitated Killjoys: Cripping Feminist Geographies of Academic Care. </w:t>
      </w:r>
      <w:r w:rsidRPr="00E97981">
        <w:rPr>
          <w:rFonts w:ascii="Arial" w:eastAsia="Aptos" w:hAnsi="Arial" w:cs="Arial"/>
          <w:i/>
          <w:iCs/>
          <w:color w:val="222222"/>
          <w:sz w:val="20"/>
          <w:szCs w:val="20"/>
        </w:rPr>
        <w:t>ACME</w:t>
      </w:r>
      <w:r w:rsidRPr="00E97981">
        <w:rPr>
          <w:rFonts w:ascii="Arial" w:eastAsia="Aptos" w:hAnsi="Arial" w:cs="Arial"/>
          <w:color w:val="222222"/>
          <w:sz w:val="20"/>
          <w:szCs w:val="20"/>
          <w:shd w:val="clear" w:color="auto" w:fill="FFFFFF"/>
        </w:rPr>
        <w:t>, </w:t>
      </w:r>
      <w:r w:rsidRPr="00E97981">
        <w:rPr>
          <w:rFonts w:ascii="Arial" w:eastAsia="Aptos" w:hAnsi="Arial" w:cs="Arial"/>
          <w:i/>
          <w:iCs/>
          <w:color w:val="222222"/>
          <w:sz w:val="20"/>
          <w:szCs w:val="20"/>
        </w:rPr>
        <w:t>23</w:t>
      </w:r>
      <w:r w:rsidRPr="00E97981">
        <w:rPr>
          <w:rFonts w:ascii="Arial" w:eastAsia="Aptos" w:hAnsi="Arial" w:cs="Arial"/>
          <w:color w:val="222222"/>
          <w:sz w:val="20"/>
          <w:szCs w:val="20"/>
          <w:shd w:val="clear" w:color="auto" w:fill="FFFFFF"/>
        </w:rPr>
        <w:t>(3), 169-191.</w:t>
      </w:r>
      <w:r w:rsidRPr="00E97981">
        <w:rPr>
          <w:rFonts w:eastAsia="Aptos"/>
        </w:rPr>
        <w:t xml:space="preserve"> https://www.erudit.org/en/journals/acme/2024-v23-n3-acme09404/1112082ar.pdf MM/Fuchs]</w:t>
      </w:r>
    </w:p>
    <w:p w14:paraId="2A9E2A4E" w14:textId="77777777" w:rsidR="00A75064" w:rsidRDefault="00A75064" w:rsidP="00A75064">
      <w:pPr>
        <w:spacing w:line="256" w:lineRule="auto"/>
        <w:rPr>
          <w:rFonts w:eastAsia="Aptos"/>
          <w:b/>
          <w:bCs/>
          <w:u w:val="single"/>
        </w:rPr>
      </w:pPr>
      <w:r w:rsidRPr="00E97981">
        <w:rPr>
          <w:rFonts w:eastAsia="Aptos"/>
          <w:u w:val="single"/>
        </w:rPr>
        <w:t>The discussion</w:t>
      </w:r>
      <w:r w:rsidRPr="00E97981">
        <w:rPr>
          <w:rFonts w:eastAsia="Aptos"/>
        </w:rPr>
        <w:t xml:space="preserve"> continued to bother me. It </w:t>
      </w:r>
      <w:r w:rsidRPr="00E97981">
        <w:rPr>
          <w:rFonts w:eastAsia="Aptos"/>
          <w:u w:val="single"/>
        </w:rPr>
        <w:t>felt ableist1</w:t>
      </w:r>
      <w:r w:rsidRPr="00E97981">
        <w:rPr>
          <w:rFonts w:eastAsia="Aptos"/>
        </w:rPr>
        <w:t xml:space="preserve"> </w:t>
      </w:r>
      <w:r w:rsidRPr="00E97981">
        <w:rPr>
          <w:rFonts w:eastAsia="Aptos"/>
          <w:u w:val="single"/>
        </w:rPr>
        <w:t>and unsettled my knowledge of the feminist killjoy</w:t>
      </w:r>
      <w:r w:rsidRPr="00E97981">
        <w:rPr>
          <w:rFonts w:eastAsia="Aptos"/>
        </w:rPr>
        <w:t xml:space="preserve">, a quotidian political position nominally central to academic feminist projects for at least the past six years (Ahmed 2017). </w:t>
      </w:r>
      <w:r w:rsidRPr="00E97981">
        <w:rPr>
          <w:rFonts w:eastAsia="Aptos"/>
          <w:b/>
          <w:bCs/>
          <w:highlight w:val="cyan"/>
          <w:u w:val="single"/>
        </w:rPr>
        <w:t>How can we choose happiness</w:t>
      </w:r>
      <w:r w:rsidRPr="00E97981">
        <w:rPr>
          <w:rFonts w:eastAsia="Aptos"/>
        </w:rPr>
        <w:t xml:space="preserve">, </w:t>
      </w:r>
      <w:r w:rsidRPr="00E97981">
        <w:rPr>
          <w:rFonts w:eastAsia="Aptos"/>
          <w:b/>
          <w:bCs/>
          <w:u w:val="single"/>
        </w:rPr>
        <w:t xml:space="preserve">when </w:t>
      </w:r>
      <w:r w:rsidRPr="00E97981">
        <w:rPr>
          <w:rFonts w:eastAsia="Aptos"/>
          <w:b/>
          <w:bCs/>
          <w:highlight w:val="cyan"/>
          <w:u w:val="single"/>
        </w:rPr>
        <w:t>the</w:t>
      </w:r>
      <w:r w:rsidRPr="00E97981">
        <w:rPr>
          <w:rFonts w:eastAsia="Aptos"/>
          <w:b/>
          <w:bCs/>
          <w:u w:val="single"/>
        </w:rPr>
        <w:t xml:space="preserve"> </w:t>
      </w:r>
      <w:r w:rsidRPr="00E97981">
        <w:rPr>
          <w:rFonts w:eastAsia="Aptos"/>
          <w:b/>
          <w:bCs/>
          <w:highlight w:val="cyan"/>
          <w:u w:val="single"/>
        </w:rPr>
        <w:t>killjoy</w:t>
      </w:r>
      <w:r w:rsidRPr="00E97981">
        <w:rPr>
          <w:rFonts w:eastAsia="Aptos"/>
          <w:b/>
          <w:bCs/>
          <w:u w:val="single"/>
        </w:rPr>
        <w:t xml:space="preserve"> </w:t>
      </w:r>
      <w:r w:rsidRPr="00E97981">
        <w:rPr>
          <w:rFonts w:eastAsia="Aptos"/>
          <w:b/>
          <w:bCs/>
          <w:highlight w:val="cyan"/>
          <w:u w:val="single"/>
        </w:rPr>
        <w:t>renounces</w:t>
      </w:r>
      <w:r w:rsidRPr="00E97981">
        <w:rPr>
          <w:rFonts w:eastAsia="Aptos"/>
          <w:b/>
          <w:bCs/>
          <w:u w:val="single"/>
        </w:rPr>
        <w:t xml:space="preserve"> </w:t>
      </w:r>
      <w:r w:rsidRPr="00E97981">
        <w:rPr>
          <w:rFonts w:eastAsia="Aptos"/>
          <w:b/>
          <w:bCs/>
          <w:highlight w:val="cyan"/>
          <w:u w:val="single"/>
        </w:rPr>
        <w:t>the</w:t>
      </w:r>
      <w:r w:rsidRPr="00E97981">
        <w:rPr>
          <w:rFonts w:eastAsia="Aptos"/>
          <w:b/>
          <w:bCs/>
          <w:u w:val="single"/>
        </w:rPr>
        <w:t xml:space="preserve"> </w:t>
      </w:r>
      <w:r w:rsidRPr="00E97981">
        <w:rPr>
          <w:rFonts w:eastAsia="Aptos"/>
          <w:b/>
          <w:bCs/>
          <w:highlight w:val="cyan"/>
          <w:u w:val="single"/>
        </w:rPr>
        <w:t>assumption</w:t>
      </w:r>
      <w:r w:rsidRPr="00E97981">
        <w:rPr>
          <w:rFonts w:eastAsia="Aptos"/>
          <w:b/>
          <w:bCs/>
          <w:u w:val="single"/>
        </w:rPr>
        <w:t xml:space="preserve"> </w:t>
      </w:r>
      <w:r w:rsidRPr="00E97981">
        <w:rPr>
          <w:rFonts w:eastAsia="Aptos"/>
          <w:b/>
          <w:bCs/>
          <w:highlight w:val="cyan"/>
          <w:u w:val="single"/>
        </w:rPr>
        <w:t>of</w:t>
      </w:r>
      <w:r w:rsidRPr="00E97981">
        <w:rPr>
          <w:rFonts w:eastAsia="Aptos"/>
          <w:b/>
          <w:bCs/>
          <w:u w:val="single"/>
        </w:rPr>
        <w:t xml:space="preserve"> </w:t>
      </w:r>
      <w:r w:rsidRPr="00E97981">
        <w:rPr>
          <w:rFonts w:eastAsia="Aptos"/>
          <w:b/>
          <w:bCs/>
          <w:highlight w:val="cyan"/>
          <w:u w:val="single"/>
        </w:rPr>
        <w:t>happiness</w:t>
      </w:r>
      <w:r w:rsidRPr="00E97981">
        <w:rPr>
          <w:rFonts w:eastAsia="Aptos"/>
          <w:b/>
          <w:bCs/>
          <w:u w:val="single"/>
        </w:rPr>
        <w:t xml:space="preserve"> </w:t>
      </w:r>
      <w:r w:rsidRPr="00E97981">
        <w:rPr>
          <w:rFonts w:eastAsia="Aptos"/>
          <w:b/>
          <w:bCs/>
          <w:highlight w:val="cyan"/>
          <w:u w:val="single"/>
        </w:rPr>
        <w:t>as a desired goal as often premised on others’ suffering</w:t>
      </w:r>
      <w:r w:rsidRPr="00E97981">
        <w:rPr>
          <w:rFonts w:eastAsia="Aptos"/>
        </w:rPr>
        <w:t xml:space="preserve"> (Ahmed 2010)? Such an announcement of choosing </w:t>
      </w:r>
      <w:r w:rsidRPr="00E97981">
        <w:rPr>
          <w:rFonts w:eastAsia="Aptos"/>
          <w:b/>
          <w:bCs/>
          <w:highlight w:val="cyan"/>
          <w:u w:val="single"/>
        </w:rPr>
        <w:t>happiness turns away from those “stuck</w:t>
      </w:r>
      <w:r w:rsidRPr="00E97981">
        <w:rPr>
          <w:rFonts w:eastAsia="Aptos"/>
          <w:b/>
          <w:bCs/>
          <w:u w:val="single"/>
        </w:rPr>
        <w:t xml:space="preserve">” </w:t>
      </w:r>
      <w:r w:rsidRPr="00E97981">
        <w:rPr>
          <w:rFonts w:eastAsia="Aptos"/>
          <w:b/>
          <w:bCs/>
          <w:highlight w:val="cyan"/>
          <w:u w:val="single"/>
        </w:rPr>
        <w:t>with chronic bad feelings contingent upon embodyminded</w:t>
      </w:r>
      <w:r w:rsidRPr="00E97981">
        <w:rPr>
          <w:rFonts w:eastAsia="Aptos"/>
        </w:rPr>
        <w:t xml:space="preserve">2 , </w:t>
      </w:r>
      <w:r w:rsidRPr="00E97981">
        <w:rPr>
          <w:rFonts w:eastAsia="Aptos"/>
          <w:b/>
          <w:bCs/>
          <w:highlight w:val="cyan"/>
          <w:u w:val="single"/>
        </w:rPr>
        <w:t>structural, and historical reasons</w:t>
      </w:r>
      <w:r w:rsidRPr="00E97981">
        <w:rPr>
          <w:rFonts w:eastAsia="Aptos"/>
        </w:rPr>
        <w:t xml:space="preserve">. Effectively, the </w:t>
      </w:r>
      <w:r w:rsidRPr="00E97981">
        <w:rPr>
          <w:rFonts w:eastAsia="Aptos"/>
          <w:b/>
          <w:bCs/>
          <w:highlight w:val="cyan"/>
          <w:u w:val="single"/>
        </w:rPr>
        <w:t xml:space="preserve">encounter reproduced the university’s enforcement of compulsory </w:t>
      </w:r>
      <w:proofErr w:type="spellStart"/>
      <w:r w:rsidRPr="00E97981">
        <w:rPr>
          <w:rFonts w:eastAsia="Aptos"/>
          <w:b/>
          <w:bCs/>
          <w:highlight w:val="cyan"/>
          <w:u w:val="single"/>
        </w:rPr>
        <w:t>ablebody</w:t>
      </w:r>
      <w:proofErr w:type="spellEnd"/>
      <w:r w:rsidRPr="00E97981">
        <w:rPr>
          <w:rFonts w:eastAsia="Aptos"/>
          <w:b/>
          <w:bCs/>
          <w:highlight w:val="cyan"/>
          <w:u w:val="single"/>
        </w:rPr>
        <w:t xml:space="preserve"> mindedness</w:t>
      </w:r>
      <w:r w:rsidRPr="00E97981">
        <w:rPr>
          <w:rFonts w:eastAsia="Aptos"/>
        </w:rPr>
        <w:t xml:space="preserve">, </w:t>
      </w:r>
      <w:r w:rsidRPr="00E97981">
        <w:rPr>
          <w:rFonts w:eastAsia="Aptos"/>
          <w:highlight w:val="cyan"/>
          <w:u w:val="single"/>
        </w:rPr>
        <w:t>wherein being chronically unhappy is pathologized</w:t>
      </w:r>
      <w:r w:rsidRPr="00E97981">
        <w:rPr>
          <w:rFonts w:eastAsia="Aptos"/>
          <w:u w:val="single"/>
        </w:rPr>
        <w:t>, or partially results from having already been pathologized</w:t>
      </w:r>
      <w:r w:rsidRPr="00E97981">
        <w:rPr>
          <w:rFonts w:eastAsia="Aptos"/>
        </w:rPr>
        <w:t xml:space="preserve">. To be clear, the stakes of resisting such reinforcement are quite high. </w:t>
      </w:r>
      <w:r w:rsidRPr="00E97981">
        <w:rPr>
          <w:rFonts w:eastAsia="Aptos"/>
          <w:u w:val="single"/>
        </w:rPr>
        <w:t>We are currently witnessing (re)pathologization via institutionalized transphobia and criminalization of trans (health)care</w:t>
      </w:r>
      <w:r w:rsidRPr="00E97981">
        <w:rPr>
          <w:rFonts w:eastAsia="Aptos"/>
        </w:rPr>
        <w:t xml:space="preserve"> (Rosenberg 2023; </w:t>
      </w:r>
      <w:proofErr w:type="spellStart"/>
      <w:r w:rsidRPr="00E97981">
        <w:rPr>
          <w:rFonts w:eastAsia="Aptos"/>
        </w:rPr>
        <w:t>GillPeterson</w:t>
      </w:r>
      <w:proofErr w:type="spellEnd"/>
      <w:r w:rsidRPr="00E97981">
        <w:rPr>
          <w:rFonts w:eastAsia="Aptos"/>
        </w:rPr>
        <w:t xml:space="preserve"> 2022); </w:t>
      </w:r>
      <w:r w:rsidRPr="00E97981">
        <w:rPr>
          <w:rFonts w:eastAsia="Aptos"/>
          <w:u w:val="single"/>
        </w:rPr>
        <w:t xml:space="preserve">the expansion of justifiable grounds to involuntarily psychiatrically incarcerate Mad3 and unhoused people </w:t>
      </w:r>
      <w:r w:rsidRPr="00E97981">
        <w:rPr>
          <w:rFonts w:eastAsia="Aptos"/>
        </w:rPr>
        <w:t xml:space="preserve">(Sy and Jackson 2023); </w:t>
      </w:r>
      <w:r w:rsidRPr="00E97981">
        <w:rPr>
          <w:rFonts w:eastAsia="Aptos"/>
          <w:u w:val="single"/>
        </w:rPr>
        <w:t xml:space="preserve">backlash to student protest against universities’ complicity in genocide </w:t>
      </w:r>
      <w:r w:rsidRPr="00E97981">
        <w:rPr>
          <w:rFonts w:eastAsia="Aptos"/>
        </w:rPr>
        <w:t>(</w:t>
      </w:r>
      <w:proofErr w:type="spellStart"/>
      <w:r w:rsidRPr="00E97981">
        <w:rPr>
          <w:rFonts w:eastAsia="Aptos"/>
        </w:rPr>
        <w:t>Thier</w:t>
      </w:r>
      <w:proofErr w:type="spellEnd"/>
      <w:r w:rsidRPr="00E97981">
        <w:rPr>
          <w:rFonts w:eastAsia="Aptos"/>
        </w:rPr>
        <w:t xml:space="preserve"> 2024); </w:t>
      </w:r>
      <w:r w:rsidRPr="00E97981">
        <w:rPr>
          <w:rFonts w:eastAsia="Aptos"/>
          <w:u w:val="single"/>
        </w:rPr>
        <w:t xml:space="preserve">and </w:t>
      </w:r>
      <w:proofErr w:type="spellStart"/>
      <w:r w:rsidRPr="00E97981">
        <w:rPr>
          <w:rFonts w:eastAsia="Aptos"/>
          <w:u w:val="single"/>
        </w:rPr>
        <w:t>hysterization</w:t>
      </w:r>
      <w:proofErr w:type="spellEnd"/>
      <w:r w:rsidRPr="00E97981">
        <w:rPr>
          <w:rFonts w:eastAsia="Aptos"/>
          <w:u w:val="single"/>
        </w:rPr>
        <w:t xml:space="preserve">/gaslighting of those continuing COVID precautions amidst the public fantasy of the pandemic’s end </w:t>
      </w:r>
      <w:r w:rsidRPr="00E97981">
        <w:rPr>
          <w:rFonts w:eastAsia="Aptos"/>
        </w:rPr>
        <w:t xml:space="preserve">(Adler-Bolton et al. 2022; Doubleday 2024). </w:t>
      </w:r>
      <w:r w:rsidRPr="00E97981">
        <w:rPr>
          <w:rFonts w:eastAsia="Aptos"/>
          <w:b/>
          <w:bCs/>
          <w:highlight w:val="cyan"/>
          <w:u w:val="single"/>
        </w:rPr>
        <w:t>Such pathologization enables institutional strategies of rehabilitating some into the neoliberal academic project while also expelling from, increasing surveillance, and confining the ‘incurable’ in institutions</w:t>
      </w:r>
      <w:r w:rsidRPr="00E97981">
        <w:rPr>
          <w:rFonts w:eastAsia="Aptos"/>
          <w:b/>
          <w:bCs/>
          <w:u w:val="single"/>
        </w:rPr>
        <w:t>.</w:t>
      </w:r>
    </w:p>
    <w:p w14:paraId="10C9BBB2" w14:textId="77777777" w:rsidR="00A75064" w:rsidRPr="00E97981" w:rsidRDefault="00A75064" w:rsidP="00A75064">
      <w:pPr>
        <w:spacing w:line="256" w:lineRule="auto"/>
        <w:rPr>
          <w:rFonts w:eastAsia="Aptos"/>
          <w:b/>
          <w:bCs/>
          <w:u w:val="single"/>
        </w:rPr>
      </w:pPr>
    </w:p>
    <w:p w14:paraId="0DC27E1B" w14:textId="760D48BD" w:rsidR="001C59C6" w:rsidRPr="001C59C6" w:rsidRDefault="00D94F81" w:rsidP="00D94F81">
      <w:pPr>
        <w:pStyle w:val="Heading4"/>
      </w:pPr>
      <w:r>
        <w:rPr>
          <w:rFonts w:eastAsia="Times New Roman"/>
        </w:rPr>
        <w:t xml:space="preserve">That causes crip labor and burn out –displaces questions of access and refusal onto disabled people which abdicates the responsibility of abled people to resist complicity with ableism – forced joy in the face of these structures </w:t>
      </w:r>
      <w:r>
        <w:t xml:space="preserve">causes endless cycles of burn out crips cannot escape from </w:t>
      </w:r>
    </w:p>
    <w:p w14:paraId="72131542" w14:textId="77777777" w:rsidR="00A75064" w:rsidRPr="00E97981" w:rsidRDefault="00A75064" w:rsidP="00A75064">
      <w:pPr>
        <w:spacing w:line="256" w:lineRule="auto"/>
        <w:rPr>
          <w:rFonts w:eastAsia="Aptos"/>
        </w:rPr>
      </w:pPr>
      <w:proofErr w:type="spellStart"/>
      <w:r w:rsidRPr="00E97981">
        <w:rPr>
          <w:rFonts w:eastAsia="Times New Roman" w:cs="Times New Roman"/>
          <w:b/>
          <w:iCs/>
          <w:sz w:val="26"/>
        </w:rPr>
        <w:t>Smil</w:t>
      </w:r>
      <w:r>
        <w:rPr>
          <w:rFonts w:eastAsia="Times New Roman" w:cs="Times New Roman"/>
          <w:b/>
          <w:iCs/>
          <w:sz w:val="26"/>
        </w:rPr>
        <w:t>g</w:t>
      </w:r>
      <w:r w:rsidRPr="00E97981">
        <w:rPr>
          <w:rFonts w:eastAsia="Times New Roman" w:cs="Times New Roman"/>
          <w:b/>
          <w:iCs/>
          <w:sz w:val="26"/>
        </w:rPr>
        <w:t>es</w:t>
      </w:r>
      <w:proofErr w:type="spellEnd"/>
      <w:r w:rsidRPr="00E97981">
        <w:rPr>
          <w:rFonts w:eastAsia="Aptos"/>
        </w:rPr>
        <w:t xml:space="preserve"> (20</w:t>
      </w:r>
      <w:r w:rsidRPr="00E97981">
        <w:rPr>
          <w:rFonts w:eastAsia="Times New Roman" w:cs="Times New Roman"/>
          <w:b/>
          <w:iCs/>
          <w:sz w:val="26"/>
        </w:rPr>
        <w:t>23</w:t>
      </w:r>
      <w:r w:rsidRPr="00E97981">
        <w:rPr>
          <w:rFonts w:eastAsia="Aptos"/>
        </w:rPr>
        <w:t xml:space="preserve">) [Logan </w:t>
      </w:r>
      <w:proofErr w:type="spellStart"/>
      <w:r w:rsidRPr="00E97981">
        <w:rPr>
          <w:rFonts w:ascii="Arial" w:eastAsia="Aptos" w:hAnsi="Arial" w:cs="Arial"/>
          <w:color w:val="222222"/>
          <w:sz w:val="20"/>
          <w:szCs w:val="20"/>
          <w:shd w:val="clear" w:color="auto" w:fill="FFFFFF"/>
        </w:rPr>
        <w:t>Smilges</w:t>
      </w:r>
      <w:proofErr w:type="spellEnd"/>
      <w:r w:rsidRPr="00E97981">
        <w:rPr>
          <w:rFonts w:ascii="Arial" w:eastAsia="Aptos" w:hAnsi="Arial" w:cs="Arial"/>
          <w:color w:val="222222"/>
          <w:sz w:val="20"/>
          <w:szCs w:val="20"/>
          <w:shd w:val="clear" w:color="auto" w:fill="FFFFFF"/>
        </w:rPr>
        <w:t xml:space="preserve"> is a writes and teaches at the nexus of queer/trans disability studies, the history of medicine, and rhetorical studies </w:t>
      </w:r>
      <w:r w:rsidRPr="00E97981">
        <w:rPr>
          <w:rFonts w:ascii="Arial" w:eastAsia="Aptos" w:hAnsi="Arial" w:cs="Arial"/>
          <w:i/>
          <w:iCs/>
          <w:color w:val="222222"/>
          <w:sz w:val="20"/>
          <w:szCs w:val="20"/>
        </w:rPr>
        <w:t>Crip negativity</w:t>
      </w:r>
      <w:r w:rsidRPr="00E97981">
        <w:rPr>
          <w:rFonts w:ascii="Arial" w:eastAsia="Aptos" w:hAnsi="Arial" w:cs="Arial"/>
          <w:color w:val="222222"/>
          <w:sz w:val="20"/>
          <w:szCs w:val="20"/>
          <w:shd w:val="clear" w:color="auto" w:fill="FFFFFF"/>
        </w:rPr>
        <w:t xml:space="preserve">. U of Minnesota Press. </w:t>
      </w:r>
      <w:r w:rsidRPr="00E97981">
        <w:rPr>
          <w:rFonts w:eastAsia="Aptos"/>
        </w:rPr>
        <w:t xml:space="preserve">https://manifold.umn.edu/read/crip-negativity/section/f6c2fecb-6bb1-47fe-898f-7412bf0f00a9 MM/Fuchs] </w:t>
      </w:r>
    </w:p>
    <w:p w14:paraId="612373DE" w14:textId="77777777" w:rsidR="00A75064" w:rsidRDefault="00A75064" w:rsidP="00A75064">
      <w:pPr>
        <w:spacing w:line="256" w:lineRule="auto"/>
        <w:rPr>
          <w:rFonts w:eastAsia="Aptos"/>
          <w:b/>
          <w:bCs/>
          <w:u w:val="single"/>
        </w:rPr>
      </w:pPr>
      <w:r w:rsidRPr="00E97981">
        <w:rPr>
          <w:rFonts w:eastAsia="Aptos"/>
        </w:rPr>
        <w:t xml:space="preserve">Sometimes </w:t>
      </w:r>
      <w:r w:rsidRPr="00E97981">
        <w:rPr>
          <w:rFonts w:eastAsia="Aptos"/>
          <w:b/>
          <w:bCs/>
          <w:highlight w:val="cyan"/>
          <w:u w:val="single"/>
        </w:rPr>
        <w:t>the cost to our emotional, physical, and spiritual health of explaining our bad crip feelings is too high</w:t>
      </w:r>
      <w:r w:rsidRPr="00E97981">
        <w:rPr>
          <w:rFonts w:eastAsia="Aptos"/>
        </w:rPr>
        <w:t xml:space="preserve">, especially for those of us who routinely play the role of the critic. At times, </w:t>
      </w:r>
      <w:r w:rsidRPr="00E97981">
        <w:rPr>
          <w:rFonts w:eastAsia="Aptos"/>
          <w:b/>
          <w:bCs/>
          <w:u w:val="single"/>
        </w:rPr>
        <w:t xml:space="preserve">this role is more or less assigned. </w:t>
      </w:r>
      <w:r w:rsidRPr="00E97981">
        <w:rPr>
          <w:rFonts w:eastAsia="Aptos"/>
        </w:rPr>
        <w:t xml:space="preserve">Ahmed (2017) likens this assignation to the burden of a “feminist killjoy”—someone who feels compelled to critique injustice because no one else will do it. While critiquing injustice is certainly useful, Ahmed also reminds us to ask “how the requirement to be useful is distributed” (2019, 10). </w:t>
      </w:r>
      <w:r w:rsidRPr="00E97981">
        <w:rPr>
          <w:rFonts w:eastAsia="Aptos"/>
          <w:b/>
          <w:bCs/>
          <w:u w:val="single"/>
        </w:rPr>
        <w:t xml:space="preserve">Too </w:t>
      </w:r>
      <w:r w:rsidRPr="00E97981">
        <w:rPr>
          <w:rFonts w:eastAsia="Aptos"/>
          <w:b/>
          <w:bCs/>
          <w:highlight w:val="cyan"/>
          <w:u w:val="single"/>
        </w:rPr>
        <w:t>often</w:t>
      </w:r>
      <w:r w:rsidRPr="00E97981">
        <w:rPr>
          <w:rFonts w:eastAsia="Aptos"/>
          <w:b/>
          <w:bCs/>
          <w:u w:val="single"/>
        </w:rPr>
        <w:t xml:space="preserve"> are </w:t>
      </w:r>
      <w:r w:rsidRPr="00E97981">
        <w:rPr>
          <w:rFonts w:eastAsia="Aptos"/>
          <w:b/>
          <w:bCs/>
          <w:highlight w:val="cyan"/>
          <w:u w:val="single"/>
        </w:rPr>
        <w:t>disabled</w:t>
      </w:r>
      <w:r w:rsidRPr="00E97981">
        <w:rPr>
          <w:rFonts w:eastAsia="Aptos"/>
          <w:b/>
          <w:bCs/>
          <w:u w:val="single"/>
        </w:rPr>
        <w:t xml:space="preserve"> </w:t>
      </w:r>
      <w:r w:rsidRPr="00E97981">
        <w:rPr>
          <w:rFonts w:eastAsia="Aptos"/>
          <w:b/>
          <w:bCs/>
          <w:highlight w:val="cyan"/>
          <w:u w:val="single"/>
        </w:rPr>
        <w:t>people</w:t>
      </w:r>
      <w:r w:rsidRPr="00E97981">
        <w:rPr>
          <w:rFonts w:eastAsia="Aptos"/>
          <w:b/>
          <w:bCs/>
          <w:u w:val="single"/>
        </w:rPr>
        <w:t xml:space="preserve"> </w:t>
      </w:r>
      <w:r w:rsidRPr="00E97981">
        <w:rPr>
          <w:rFonts w:eastAsia="Aptos"/>
          <w:b/>
          <w:bCs/>
          <w:highlight w:val="cyan"/>
          <w:u w:val="single"/>
        </w:rPr>
        <w:t>tasked</w:t>
      </w:r>
      <w:r w:rsidRPr="00E97981">
        <w:rPr>
          <w:rFonts w:eastAsia="Aptos"/>
          <w:b/>
          <w:bCs/>
          <w:u w:val="single"/>
        </w:rPr>
        <w:t xml:space="preserve"> </w:t>
      </w:r>
      <w:r w:rsidRPr="00E97981">
        <w:rPr>
          <w:rFonts w:eastAsia="Aptos"/>
          <w:b/>
          <w:bCs/>
          <w:highlight w:val="cyan"/>
          <w:u w:val="single"/>
        </w:rPr>
        <w:t>with</w:t>
      </w:r>
      <w:r w:rsidRPr="00E97981">
        <w:rPr>
          <w:rFonts w:eastAsia="Aptos"/>
          <w:b/>
          <w:bCs/>
          <w:u w:val="single"/>
        </w:rPr>
        <w:t xml:space="preserve"> the </w:t>
      </w:r>
      <w:r w:rsidRPr="00E97981">
        <w:rPr>
          <w:rFonts w:eastAsia="Aptos"/>
          <w:b/>
          <w:bCs/>
          <w:highlight w:val="cyan"/>
          <w:u w:val="single"/>
        </w:rPr>
        <w:t>responsibility</w:t>
      </w:r>
      <w:r w:rsidRPr="00E97981">
        <w:rPr>
          <w:rFonts w:eastAsia="Aptos"/>
          <w:b/>
          <w:bCs/>
          <w:u w:val="single"/>
        </w:rPr>
        <w:t xml:space="preserve"> </w:t>
      </w:r>
      <w:r w:rsidRPr="00E97981">
        <w:rPr>
          <w:rFonts w:eastAsia="Aptos"/>
          <w:b/>
          <w:bCs/>
          <w:highlight w:val="cyan"/>
          <w:u w:val="single"/>
        </w:rPr>
        <w:t>of bringing attention to ableism</w:t>
      </w:r>
      <w:r w:rsidRPr="00E97981">
        <w:rPr>
          <w:rFonts w:eastAsia="Aptos"/>
          <w:b/>
          <w:bCs/>
          <w:u w:val="single"/>
        </w:rPr>
        <w:t>, thereby transforming us into crip killjoys</w:t>
      </w:r>
      <w:r w:rsidRPr="00E97981">
        <w:rPr>
          <w:rFonts w:eastAsia="Aptos"/>
        </w:rPr>
        <w:t xml:space="preserve">. A common example of this responsibility is produced by retrofit models of access, which provide accommodations only upon request and which remain standard in most institutional settings, including universities (Dolmage 2008). </w:t>
      </w:r>
      <w:r w:rsidRPr="00E97981">
        <w:rPr>
          <w:rFonts w:eastAsia="Aptos"/>
          <w:b/>
          <w:bCs/>
          <w:highlight w:val="cyan"/>
          <w:u w:val="single"/>
        </w:rPr>
        <w:t>Forcing disabled students</w:t>
      </w:r>
      <w:r w:rsidRPr="00E97981">
        <w:rPr>
          <w:rFonts w:eastAsia="Aptos"/>
          <w:b/>
          <w:bCs/>
          <w:u w:val="single"/>
        </w:rPr>
        <w:t xml:space="preserve">, staff, and faculty </w:t>
      </w:r>
      <w:r w:rsidRPr="00E97981">
        <w:rPr>
          <w:rFonts w:eastAsia="Aptos"/>
          <w:b/>
          <w:bCs/>
          <w:highlight w:val="cyan"/>
          <w:u w:val="single"/>
        </w:rPr>
        <w:t>to secure accommodations through a disability services office</w:t>
      </w:r>
      <w:r w:rsidRPr="00E97981">
        <w:rPr>
          <w:rFonts w:eastAsia="Aptos"/>
          <w:b/>
          <w:bCs/>
          <w:u w:val="single"/>
        </w:rPr>
        <w:t xml:space="preserve">, </w:t>
      </w:r>
      <w:r w:rsidRPr="00E97981">
        <w:rPr>
          <w:rFonts w:eastAsia="Aptos"/>
          <w:b/>
          <w:bCs/>
          <w:highlight w:val="cyan"/>
          <w:u w:val="single"/>
        </w:rPr>
        <w:t>instead of allocating resources</w:t>
      </w:r>
      <w:r w:rsidRPr="00E97981">
        <w:rPr>
          <w:rFonts w:eastAsia="Aptos"/>
          <w:b/>
          <w:bCs/>
          <w:u w:val="single"/>
        </w:rPr>
        <w:t xml:space="preserve"> to ensure access for everyone regardless of their diagnostic status</w:t>
      </w:r>
      <w:r w:rsidRPr="00E97981">
        <w:rPr>
          <w:rFonts w:eastAsia="Aptos"/>
          <w:b/>
          <w:bCs/>
          <w:highlight w:val="cyan"/>
          <w:u w:val="single"/>
        </w:rPr>
        <w:t>, is paramount to displacing the labor of creating access back onto those of us who don’t yet have it.</w:t>
      </w:r>
      <w:r w:rsidRPr="00E97981">
        <w:rPr>
          <w:rFonts w:eastAsia="Aptos"/>
        </w:rPr>
        <w:t xml:space="preserve"> </w:t>
      </w:r>
      <w:r w:rsidRPr="00E97981">
        <w:rPr>
          <w:rFonts w:eastAsia="Aptos"/>
          <w:b/>
          <w:bCs/>
          <w:highlight w:val="cyan"/>
          <w:u w:val="single"/>
        </w:rPr>
        <w:t>The problem</w:t>
      </w:r>
      <w:r w:rsidRPr="00E97981">
        <w:rPr>
          <w:rFonts w:eastAsia="Aptos"/>
        </w:rPr>
        <w:t xml:space="preserve"> with this </w:t>
      </w:r>
      <w:r w:rsidRPr="00E97981">
        <w:rPr>
          <w:rFonts w:eastAsia="Aptos"/>
          <w:highlight w:val="cyan"/>
        </w:rPr>
        <w:t xml:space="preserve">displacement </w:t>
      </w:r>
      <w:r w:rsidRPr="00E97981">
        <w:rPr>
          <w:rFonts w:eastAsia="Aptos"/>
          <w:b/>
          <w:bCs/>
          <w:highlight w:val="cyan"/>
          <w:u w:val="single"/>
        </w:rPr>
        <w:t>is twofold</w:t>
      </w:r>
      <w:r w:rsidRPr="00E97981">
        <w:rPr>
          <w:rFonts w:eastAsia="Aptos"/>
          <w:b/>
          <w:bCs/>
          <w:u w:val="single"/>
        </w:rPr>
        <w:t>.</w:t>
      </w:r>
      <w:r w:rsidRPr="00E97981">
        <w:rPr>
          <w:rFonts w:eastAsia="Aptos"/>
        </w:rPr>
        <w:t xml:space="preserve"> </w:t>
      </w:r>
      <w:r w:rsidRPr="00E97981">
        <w:rPr>
          <w:rFonts w:eastAsia="Aptos"/>
          <w:b/>
          <w:bCs/>
          <w:highlight w:val="cyan"/>
          <w:u w:val="single"/>
        </w:rPr>
        <w:t>First, it absolves nondisabled people and institutions of their complicity with ableism</w:t>
      </w:r>
      <w:r w:rsidRPr="00E97981">
        <w:rPr>
          <w:rFonts w:eastAsia="Aptos"/>
          <w:b/>
          <w:bCs/>
          <w:u w:val="single"/>
        </w:rPr>
        <w:t xml:space="preserve"> because it allows them to ignore disabled people until explicitly instructed otherwise</w:t>
      </w:r>
      <w:r w:rsidRPr="00E97981">
        <w:rPr>
          <w:rFonts w:eastAsia="Aptos"/>
        </w:rPr>
        <w:t xml:space="preserve">. </w:t>
      </w:r>
      <w:r w:rsidRPr="00E97981">
        <w:rPr>
          <w:rFonts w:eastAsia="Aptos"/>
          <w:b/>
          <w:bCs/>
          <w:highlight w:val="cyan"/>
          <w:u w:val="single"/>
        </w:rPr>
        <w:t>Second</w:t>
      </w:r>
      <w:r w:rsidRPr="00E97981">
        <w:rPr>
          <w:rFonts w:eastAsia="Aptos"/>
        </w:rPr>
        <w:t xml:space="preserve">, </w:t>
      </w:r>
      <w:r w:rsidRPr="00E97981">
        <w:rPr>
          <w:rFonts w:eastAsia="Aptos"/>
          <w:b/>
          <w:bCs/>
          <w:highlight w:val="cyan"/>
          <w:u w:val="single"/>
        </w:rPr>
        <w:t>it demands a tremendous amount of crip labor that is not guaranteed to produce any results</w:t>
      </w:r>
      <w:r w:rsidRPr="00E97981">
        <w:rPr>
          <w:rFonts w:eastAsia="Aptos"/>
          <w:b/>
          <w:bCs/>
          <w:u w:val="single"/>
        </w:rPr>
        <w:t>. Accommodations can be delayed, and requests can be outright denied</w:t>
      </w:r>
      <w:r w:rsidRPr="00E97981">
        <w:rPr>
          <w:rFonts w:eastAsia="Aptos"/>
        </w:rPr>
        <w:t xml:space="preserve">. Not to mention, the labor involved in pursuing contingent access can produce “recursive debility,” according to Emily Lim Rogers (2022), among those whose symptoms are exacerbated by extraneous exertion. </w:t>
      </w:r>
      <w:r w:rsidRPr="00E97981">
        <w:rPr>
          <w:rFonts w:eastAsia="Aptos"/>
          <w:b/>
          <w:bCs/>
          <w:highlight w:val="cyan"/>
          <w:u w:val="single"/>
        </w:rPr>
        <w:t>Sometimes, the labor of critique can cause more bad crip feelings than it excises</w:t>
      </w:r>
      <w:r w:rsidRPr="00E97981">
        <w:rPr>
          <w:rFonts w:eastAsia="Aptos"/>
          <w:b/>
          <w:bCs/>
          <w:u w:val="single"/>
        </w:rPr>
        <w:t xml:space="preserve">. Negativity can lead us to critique, but </w:t>
      </w:r>
      <w:r w:rsidRPr="00E97981">
        <w:rPr>
          <w:rFonts w:eastAsia="Aptos"/>
          <w:b/>
          <w:bCs/>
          <w:highlight w:val="cyan"/>
          <w:u w:val="single"/>
        </w:rPr>
        <w:t>critique can also lead us back to negativity.</w:t>
      </w:r>
      <w:r w:rsidRPr="00E97981">
        <w:rPr>
          <w:rFonts w:eastAsia="Aptos"/>
          <w:b/>
          <w:bCs/>
          <w:u w:val="single"/>
        </w:rPr>
        <w:t xml:space="preserve"> </w:t>
      </w:r>
      <w:r w:rsidRPr="00E97981">
        <w:rPr>
          <w:rFonts w:eastAsia="Aptos"/>
          <w:b/>
          <w:bCs/>
          <w:highlight w:val="cyan"/>
          <w:u w:val="single"/>
        </w:rPr>
        <w:t>Once this cycle has been established, it can be difficult to break</w:t>
      </w:r>
      <w:r w:rsidRPr="00E97981">
        <w:rPr>
          <w:rFonts w:eastAsia="Aptos"/>
          <w:b/>
          <w:bCs/>
          <w:u w:val="single"/>
        </w:rPr>
        <w:t xml:space="preserve">. </w:t>
      </w:r>
      <w:r w:rsidRPr="00E97981">
        <w:rPr>
          <w:rFonts w:eastAsia="Aptos"/>
          <w:b/>
          <w:bCs/>
          <w:highlight w:val="cyan"/>
          <w:u w:val="single"/>
        </w:rPr>
        <w:t>Negativity begetting critique begetting negativity and back again.</w:t>
      </w:r>
    </w:p>
    <w:p w14:paraId="4F3A24C1" w14:textId="39AE55F3" w:rsidR="00A75064" w:rsidRPr="003F6242" w:rsidRDefault="00A75064" w:rsidP="00A75064">
      <w:pPr>
        <w:keepNext/>
        <w:keepLines/>
        <w:tabs>
          <w:tab w:val="left" w:pos="1956"/>
        </w:tabs>
        <w:spacing w:before="40" w:after="0" w:line="252" w:lineRule="auto"/>
        <w:outlineLvl w:val="3"/>
        <w:rPr>
          <w:rFonts w:eastAsia="Times New Roman" w:cs="Times New Roman"/>
          <w:b/>
          <w:iCs/>
          <w:sz w:val="26"/>
          <w:szCs w:val="24"/>
        </w:rPr>
      </w:pPr>
      <w:r w:rsidRPr="003C614B">
        <w:rPr>
          <w:rFonts w:eastAsia="Times New Roman" w:cs="Times New Roman"/>
          <w:b/>
          <w:iCs/>
          <w:sz w:val="26"/>
          <w:szCs w:val="24"/>
          <w:highlight w:val="magenta"/>
        </w:rPr>
        <w:t>What do you do when confronted with ableism?</w:t>
      </w:r>
      <w:r>
        <w:rPr>
          <w:rFonts w:eastAsia="Times New Roman" w:cs="Times New Roman"/>
          <w:b/>
          <w:iCs/>
          <w:sz w:val="26"/>
          <w:szCs w:val="24"/>
        </w:rPr>
        <w:t xml:space="preserve"> </w:t>
      </w:r>
      <w:r w:rsidRPr="003F6242">
        <w:rPr>
          <w:rFonts w:eastAsia="Times New Roman" w:cs="Times New Roman"/>
          <w:b/>
          <w:iCs/>
          <w:sz w:val="26"/>
          <w:szCs w:val="24"/>
        </w:rPr>
        <w:t xml:space="preserve">The failure to center </w:t>
      </w:r>
      <w:r>
        <w:rPr>
          <w:rFonts w:eastAsia="Times New Roman" w:cs="Times New Roman"/>
          <w:b/>
          <w:i/>
          <w:sz w:val="26"/>
          <w:szCs w:val="24"/>
        </w:rPr>
        <w:t xml:space="preserve">all </w:t>
      </w:r>
      <w:r w:rsidRPr="003F6242">
        <w:rPr>
          <w:rFonts w:eastAsia="Times New Roman" w:cs="Times New Roman"/>
          <w:b/>
          <w:iCs/>
          <w:sz w:val="26"/>
          <w:szCs w:val="24"/>
        </w:rPr>
        <w:t xml:space="preserve">disabled people is no mere oversight, but a facet of the eugenicist wish for eradication. </w:t>
      </w:r>
    </w:p>
    <w:p w14:paraId="04A0D7EF" w14:textId="77777777" w:rsidR="00A75064" w:rsidRPr="003F6242" w:rsidRDefault="00A75064" w:rsidP="00A75064">
      <w:pPr>
        <w:spacing w:line="252" w:lineRule="auto"/>
        <w:rPr>
          <w:rFonts w:eastAsia="Aptos" w:cs="Times New Roman"/>
          <w:szCs w:val="24"/>
        </w:rPr>
      </w:pPr>
      <w:r w:rsidRPr="003F6242">
        <w:rPr>
          <w:rFonts w:eastAsia="Aptos" w:cs="Times New Roman"/>
          <w:b/>
          <w:bCs/>
          <w:sz w:val="26"/>
          <w:szCs w:val="24"/>
        </w:rPr>
        <w:t xml:space="preserve">Dolmage 17 </w:t>
      </w:r>
      <w:r w:rsidRPr="003F6242">
        <w:rPr>
          <w:rFonts w:eastAsia="Aptos" w:cs="Times New Roman"/>
          <w:szCs w:val="24"/>
        </w:rPr>
        <w:t xml:space="preserve">(Jay Timothy Dolmage is the Chair of English at the University of Waterloo, 2017, </w:t>
      </w:r>
      <w:r w:rsidRPr="003F6242">
        <w:rPr>
          <w:rFonts w:eastAsia="Aptos" w:cs="Times New Roman"/>
          <w:i/>
          <w:iCs/>
          <w:szCs w:val="24"/>
        </w:rPr>
        <w:t>Academic Ableism: Disability and Higher Education</w:t>
      </w:r>
      <w:r w:rsidRPr="003F6242">
        <w:rPr>
          <w:rFonts w:eastAsia="Aptos" w:cs="Times New Roman"/>
          <w:szCs w:val="24"/>
        </w:rPr>
        <w:t>, University of Michigan Press, https://www.fulcrum.org/concern/monographs/1c18dg49d) MM</w:t>
      </w:r>
    </w:p>
    <w:p w14:paraId="2988B1CF" w14:textId="77777777" w:rsidR="00A75064" w:rsidRDefault="00A75064" w:rsidP="00A75064">
      <w:pPr>
        <w:spacing w:line="252" w:lineRule="auto"/>
        <w:rPr>
          <w:rFonts w:eastAsia="Aptos" w:cs="Times New Roman"/>
          <w:szCs w:val="24"/>
          <w:u w:val="single"/>
        </w:rPr>
      </w:pPr>
      <w:r w:rsidRPr="003F6242">
        <w:rPr>
          <w:rFonts w:eastAsia="Aptos" w:cs="Times New Roman"/>
          <w:sz w:val="16"/>
          <w:szCs w:val="24"/>
        </w:rPr>
        <w:t xml:space="preserve">There is a phrase that many disability studies teachers have heard from colleagues over and over again, noted first by Amy </w:t>
      </w:r>
      <w:proofErr w:type="spellStart"/>
      <w:r w:rsidRPr="003F6242">
        <w:rPr>
          <w:rFonts w:eastAsia="Aptos" w:cs="Times New Roman"/>
          <w:sz w:val="16"/>
          <w:szCs w:val="24"/>
        </w:rPr>
        <w:t>Vidali</w:t>
      </w:r>
      <w:proofErr w:type="spellEnd"/>
      <w:r w:rsidRPr="003F6242">
        <w:rPr>
          <w:rFonts w:eastAsia="Aptos" w:cs="Times New Roman"/>
          <w:sz w:val="16"/>
          <w:szCs w:val="24"/>
        </w:rPr>
        <w:t xml:space="preserve"> who noticed how often other teachers said to </w:t>
      </w:r>
      <w:r w:rsidRPr="003F6242">
        <w:rPr>
          <w:rFonts w:eastAsia="Aptos" w:cs="Times New Roman"/>
          <w:szCs w:val="24"/>
          <w:u w:val="single"/>
        </w:rPr>
        <w:t xml:space="preserve">her “but </w:t>
      </w:r>
      <w:r w:rsidRPr="003F6242">
        <w:rPr>
          <w:rFonts w:eastAsia="Aptos" w:cs="Times New Roman"/>
          <w:szCs w:val="24"/>
          <w:highlight w:val="cyan"/>
          <w:u w:val="single"/>
        </w:rPr>
        <w:t>there are no disabled students in my class</w:t>
      </w:r>
      <w:r w:rsidRPr="003F6242">
        <w:rPr>
          <w:rFonts w:eastAsia="Aptos" w:cs="Times New Roman"/>
          <w:szCs w:val="24"/>
          <w:u w:val="single"/>
        </w:rPr>
        <w:t xml:space="preserve">.” This </w:t>
      </w:r>
      <w:r w:rsidRPr="003F6242">
        <w:rPr>
          <w:rFonts w:eastAsia="Aptos" w:cs="Times New Roman"/>
          <w:szCs w:val="24"/>
          <w:highlight w:val="cyan"/>
          <w:u w:val="single"/>
        </w:rPr>
        <w:t>statement is</w:t>
      </w:r>
      <w:r w:rsidRPr="003F6242">
        <w:rPr>
          <w:rFonts w:eastAsia="Aptos" w:cs="Times New Roman"/>
          <w:szCs w:val="24"/>
          <w:u w:val="single"/>
        </w:rPr>
        <w:t xml:space="preserve"> a kind of </w:t>
      </w:r>
      <w:r w:rsidRPr="003F6242">
        <w:rPr>
          <w:rFonts w:eastAsia="Aptos" w:cs="Times New Roman"/>
          <w:szCs w:val="24"/>
          <w:highlight w:val="cyan"/>
          <w:u w:val="single"/>
        </w:rPr>
        <w:t>apologia for not creating</w:t>
      </w:r>
      <w:r w:rsidRPr="003F6242">
        <w:rPr>
          <w:rFonts w:eastAsia="Aptos" w:cs="Times New Roman"/>
          <w:szCs w:val="24"/>
          <w:u w:val="single"/>
        </w:rPr>
        <w:t xml:space="preserve"> an </w:t>
      </w:r>
      <w:r w:rsidRPr="003F6242">
        <w:rPr>
          <w:rFonts w:eastAsia="Aptos" w:cs="Times New Roman"/>
          <w:szCs w:val="24"/>
          <w:highlight w:val="cyan"/>
          <w:u w:val="single"/>
        </w:rPr>
        <w:t>inclusive classroom</w:t>
      </w:r>
      <w:r w:rsidRPr="003F6242">
        <w:rPr>
          <w:rFonts w:eastAsia="Aptos" w:cs="Times New Roman"/>
          <w:sz w:val="16"/>
          <w:szCs w:val="24"/>
        </w:rPr>
        <w:t xml:space="preserve">. The statement is something that </w:t>
      </w:r>
      <w:proofErr w:type="spellStart"/>
      <w:r w:rsidRPr="003F6242">
        <w:rPr>
          <w:rFonts w:eastAsia="Aptos" w:cs="Times New Roman"/>
          <w:sz w:val="16"/>
          <w:szCs w:val="24"/>
        </w:rPr>
        <w:t>Vidali</w:t>
      </w:r>
      <w:proofErr w:type="spellEnd"/>
      <w:r w:rsidRPr="003F6242">
        <w:rPr>
          <w:rFonts w:eastAsia="Aptos" w:cs="Times New Roman"/>
          <w:sz w:val="16"/>
          <w:szCs w:val="24"/>
        </w:rPr>
        <w:t xml:space="preserve"> and other </w:t>
      </w:r>
      <w:r w:rsidRPr="003F6242">
        <w:rPr>
          <w:rFonts w:eastAsia="Aptos" w:cs="Times New Roman"/>
          <w:szCs w:val="24"/>
          <w:u w:val="single"/>
        </w:rPr>
        <w:t xml:space="preserve">disability scholars find sad and ironic and maybe a bit humorous: it is statistically and </w:t>
      </w:r>
      <w:r w:rsidRPr="003F6242">
        <w:rPr>
          <w:rFonts w:eastAsia="Aptos" w:cs="Times New Roman"/>
          <w:szCs w:val="24"/>
          <w:highlight w:val="cyan"/>
          <w:u w:val="single"/>
        </w:rPr>
        <w:t>practically</w:t>
      </w:r>
      <w:r w:rsidRPr="003F6242">
        <w:rPr>
          <w:rFonts w:eastAsia="Aptos" w:cs="Times New Roman"/>
          <w:szCs w:val="24"/>
          <w:u w:val="single"/>
        </w:rPr>
        <w:t xml:space="preserve"> nearly </w:t>
      </w:r>
      <w:r w:rsidRPr="003F6242">
        <w:rPr>
          <w:rFonts w:eastAsia="Aptos" w:cs="Times New Roman"/>
          <w:szCs w:val="24"/>
          <w:highlight w:val="cyan"/>
          <w:u w:val="single"/>
        </w:rPr>
        <w:t>impossible</w:t>
      </w:r>
      <w:r w:rsidRPr="003F6242">
        <w:rPr>
          <w:rFonts w:eastAsia="Aptos" w:cs="Times New Roman"/>
          <w:szCs w:val="24"/>
          <w:u w:val="single"/>
        </w:rPr>
        <w:t xml:space="preserve">. The sad or scary part is that this statement sounds or feels like a wish or a desire. That </w:t>
      </w:r>
      <w:r w:rsidRPr="003F6242">
        <w:rPr>
          <w:rFonts w:eastAsia="Aptos" w:cs="Times New Roman"/>
          <w:szCs w:val="24"/>
          <w:highlight w:val="cyan"/>
          <w:u w:val="single"/>
        </w:rPr>
        <w:t xml:space="preserve">wish or desire for higher education without disability </w:t>
      </w:r>
      <w:r w:rsidRPr="003F6242">
        <w:rPr>
          <w:rFonts w:eastAsia="Aptos" w:cs="Times New Roman"/>
          <w:szCs w:val="24"/>
          <w:u w:val="single"/>
        </w:rPr>
        <w:t xml:space="preserve">is </w:t>
      </w:r>
      <w:r w:rsidRPr="003F6242">
        <w:rPr>
          <w:rFonts w:eastAsia="Aptos" w:cs="Times New Roman"/>
          <w:szCs w:val="24"/>
          <w:highlight w:val="cyan"/>
          <w:u w:val="single"/>
        </w:rPr>
        <w:t>academic ableism</w:t>
      </w:r>
      <w:r w:rsidRPr="003F6242">
        <w:rPr>
          <w:rFonts w:eastAsia="Aptos" w:cs="Times New Roman"/>
          <w:szCs w:val="24"/>
          <w:u w:val="single"/>
        </w:rPr>
        <w:t xml:space="preserve"> in a nutshell, and it is </w:t>
      </w:r>
      <w:r w:rsidRPr="003F6242">
        <w:rPr>
          <w:rFonts w:eastAsia="Aptos" w:cs="Times New Roman"/>
          <w:szCs w:val="24"/>
          <w:highlight w:val="cyan"/>
          <w:u w:val="single"/>
        </w:rPr>
        <w:t>rooted in eugenics,</w:t>
      </w:r>
      <w:r w:rsidRPr="003F6242">
        <w:rPr>
          <w:rFonts w:eastAsia="Aptos" w:cs="Times New Roman"/>
          <w:szCs w:val="24"/>
          <w:u w:val="single"/>
        </w:rPr>
        <w:t xml:space="preserve"> as I showed in my “approach.”</w:t>
      </w:r>
      <w:r w:rsidRPr="003F6242">
        <w:rPr>
          <w:rFonts w:eastAsia="Aptos" w:cs="Times New Roman"/>
          <w:sz w:val="16"/>
          <w:szCs w:val="24"/>
        </w:rPr>
        <w:t xml:space="preserve"> But by more literally mapping disability as a reality and an important, contributing population in colleges and universities, there is a move to refuse this desire for academia and for an educational space without disability. As David Harvey and others have argued, </w:t>
      </w:r>
      <w:r w:rsidRPr="003F6242">
        <w:rPr>
          <w:rFonts w:eastAsia="Aptos" w:cs="Times New Roman"/>
          <w:sz w:val="16"/>
          <w:szCs w:val="24"/>
          <w:highlight w:val="cyan"/>
        </w:rPr>
        <w:t>“</w:t>
      </w:r>
      <w:r w:rsidRPr="003F6242">
        <w:rPr>
          <w:rFonts w:eastAsia="Aptos" w:cs="Times New Roman"/>
          <w:szCs w:val="24"/>
          <w:highlight w:val="cyan"/>
          <w:u w:val="single"/>
        </w:rPr>
        <w:t>representations</w:t>
      </w:r>
      <w:r w:rsidRPr="003F6242">
        <w:rPr>
          <w:rFonts w:eastAsia="Aptos" w:cs="Times New Roman"/>
          <w:szCs w:val="24"/>
          <w:u w:val="single"/>
        </w:rPr>
        <w:t xml:space="preserve"> of places have material </w:t>
      </w:r>
      <w:r w:rsidRPr="003F6242">
        <w:rPr>
          <w:rFonts w:eastAsia="Aptos" w:cs="Times New Roman"/>
          <w:szCs w:val="24"/>
          <w:highlight w:val="cyan"/>
          <w:u w:val="single"/>
        </w:rPr>
        <w:t>consequences</w:t>
      </w:r>
      <w:r w:rsidRPr="003F6242">
        <w:rPr>
          <w:rFonts w:eastAsia="Aptos" w:cs="Times New Roman"/>
          <w:szCs w:val="24"/>
          <w:u w:val="single"/>
        </w:rPr>
        <w:t xml:space="preserve"> insofar as fantasies, </w:t>
      </w:r>
      <w:r w:rsidRPr="003F6242">
        <w:rPr>
          <w:rFonts w:eastAsia="Aptos" w:cs="Times New Roman"/>
          <w:szCs w:val="24"/>
          <w:highlight w:val="cyan"/>
          <w:u w:val="single"/>
        </w:rPr>
        <w:t xml:space="preserve">desires, </w:t>
      </w:r>
      <w:r w:rsidRPr="003F6242">
        <w:rPr>
          <w:rFonts w:eastAsia="Aptos" w:cs="Times New Roman"/>
          <w:szCs w:val="24"/>
          <w:u w:val="single"/>
        </w:rPr>
        <w:t xml:space="preserve">fears and longings are </w:t>
      </w:r>
      <w:r w:rsidRPr="003F6242">
        <w:rPr>
          <w:rFonts w:eastAsia="Aptos" w:cs="Times New Roman"/>
          <w:szCs w:val="24"/>
          <w:highlight w:val="cyan"/>
          <w:u w:val="single"/>
        </w:rPr>
        <w:t>expressed in</w:t>
      </w:r>
      <w:r w:rsidRPr="003F6242">
        <w:rPr>
          <w:rFonts w:eastAsia="Aptos" w:cs="Times New Roman"/>
          <w:szCs w:val="24"/>
          <w:u w:val="single"/>
        </w:rPr>
        <w:t xml:space="preserve"> actual </w:t>
      </w:r>
      <w:r w:rsidRPr="003F6242">
        <w:rPr>
          <w:rFonts w:eastAsia="Aptos" w:cs="Times New Roman"/>
          <w:szCs w:val="24"/>
          <w:highlight w:val="cyan"/>
          <w:u w:val="single"/>
        </w:rPr>
        <w:t>behavior</w:t>
      </w:r>
      <w:r w:rsidRPr="003F6242">
        <w:rPr>
          <w:rFonts w:eastAsia="Aptos" w:cs="Times New Roman"/>
          <w:sz w:val="16"/>
          <w:szCs w:val="24"/>
        </w:rPr>
        <w:t xml:space="preserve">” (From Space to Place , 22). </w:t>
      </w:r>
      <w:r w:rsidRPr="003F6242">
        <w:rPr>
          <w:rFonts w:eastAsia="Aptos" w:cs="Times New Roman"/>
          <w:szCs w:val="24"/>
          <w:highlight w:val="cyan"/>
          <w:u w:val="single"/>
        </w:rPr>
        <w:t>Spaces,</w:t>
      </w:r>
      <w:r w:rsidRPr="003F6242">
        <w:rPr>
          <w:rFonts w:eastAsia="Aptos" w:cs="Times New Roman"/>
          <w:szCs w:val="24"/>
          <w:u w:val="single"/>
        </w:rPr>
        <w:t xml:space="preserve"> and how we write about them, think about them and move through them, </w:t>
      </w:r>
      <w:r w:rsidRPr="003F6242">
        <w:rPr>
          <w:rFonts w:eastAsia="Aptos" w:cs="Times New Roman"/>
          <w:szCs w:val="24"/>
          <w:highlight w:val="cyan"/>
          <w:u w:val="single"/>
        </w:rPr>
        <w:t>suggest</w:t>
      </w:r>
      <w:r w:rsidRPr="003F6242">
        <w:rPr>
          <w:rFonts w:eastAsia="Aptos" w:cs="Times New Roman"/>
          <w:szCs w:val="24"/>
          <w:u w:val="single"/>
        </w:rPr>
        <w:t xml:space="preserve"> and delimit </w:t>
      </w:r>
      <w:r w:rsidRPr="003F6242">
        <w:rPr>
          <w:rFonts w:eastAsia="Aptos" w:cs="Times New Roman"/>
          <w:szCs w:val="24"/>
          <w:highlight w:val="cyan"/>
          <w:u w:val="single"/>
        </w:rPr>
        <w:t>attitudes</w:t>
      </w:r>
      <w:r w:rsidRPr="003F6242">
        <w:rPr>
          <w:rFonts w:eastAsia="Aptos" w:cs="Times New Roman"/>
          <w:sz w:val="16"/>
          <w:szCs w:val="24"/>
        </w:rPr>
        <w:t xml:space="preserve">. As Stewart Brand wrote in How Buildings Learn, </w:t>
      </w:r>
      <w:r w:rsidRPr="003F6242">
        <w:rPr>
          <w:rFonts w:eastAsia="Aptos" w:cs="Times New Roman"/>
          <w:szCs w:val="24"/>
          <w:u w:val="single"/>
        </w:rPr>
        <w:t xml:space="preserve">the term architecture means “unchanging deep structure” (2). But this is an illusion: building “means both the action and the verb build and ‘that which is built’” (2). Buildings are “always building and rebuilding. The idea is crystalline, the fact fluid” (2). Yet Rob Imrie has written about the “design apartheid” against people with disabilities— the methodical exclusion of disabled people from planning, architecture, and design decision making. </w:t>
      </w:r>
      <w:r w:rsidRPr="003F6242">
        <w:rPr>
          <w:rFonts w:eastAsia="Aptos" w:cs="Times New Roman"/>
          <w:b/>
          <w:bCs/>
          <w:szCs w:val="24"/>
          <w:u w:val="single"/>
        </w:rPr>
        <w:t xml:space="preserve">This </w:t>
      </w:r>
      <w:r w:rsidRPr="003F6242">
        <w:rPr>
          <w:rFonts w:eastAsia="Aptos" w:cs="Times New Roman"/>
          <w:b/>
          <w:bCs/>
          <w:szCs w:val="24"/>
          <w:highlight w:val="cyan"/>
          <w:u w:val="single"/>
        </w:rPr>
        <w:t>exclusion maps a wish: “there are no people with disabilities here</w:t>
      </w:r>
      <w:r w:rsidRPr="003F6242">
        <w:rPr>
          <w:rFonts w:eastAsia="Aptos" w:cs="Times New Roman"/>
          <w:b/>
          <w:bCs/>
          <w:szCs w:val="24"/>
          <w:u w:val="single"/>
        </w:rPr>
        <w:t>.</w:t>
      </w:r>
      <w:r w:rsidRPr="003F6242">
        <w:rPr>
          <w:rFonts w:eastAsia="Aptos" w:cs="Times New Roman"/>
          <w:szCs w:val="24"/>
          <w:u w:val="single"/>
        </w:rPr>
        <w:t>”</w:t>
      </w:r>
      <w:r w:rsidRPr="003F6242">
        <w:rPr>
          <w:rFonts w:eastAsia="Aptos" w:cs="Times New Roman"/>
          <w:sz w:val="16"/>
          <w:szCs w:val="24"/>
        </w:rPr>
        <w:t xml:space="preserve"> </w:t>
      </w:r>
      <w:r w:rsidRPr="003F6242">
        <w:rPr>
          <w:rFonts w:eastAsia="Aptos" w:cs="Times New Roman"/>
          <w:szCs w:val="24"/>
          <w:u w:val="single"/>
        </w:rPr>
        <w:t xml:space="preserve">In this way, disabled people have been traditionally </w:t>
      </w:r>
      <w:r w:rsidRPr="003F6242">
        <w:rPr>
          <w:rFonts w:eastAsia="Aptos" w:cs="Times New Roman"/>
          <w:szCs w:val="24"/>
          <w:highlight w:val="cyan"/>
          <w:u w:val="single"/>
        </w:rPr>
        <w:t>excluded both from buildings and</w:t>
      </w:r>
      <w:r w:rsidRPr="003F6242">
        <w:rPr>
          <w:rFonts w:eastAsia="Aptos" w:cs="Times New Roman"/>
          <w:szCs w:val="24"/>
          <w:u w:val="single"/>
        </w:rPr>
        <w:t xml:space="preserve"> from the </w:t>
      </w:r>
      <w:r w:rsidRPr="003F6242">
        <w:rPr>
          <w:rFonts w:eastAsia="Aptos" w:cs="Times New Roman"/>
          <w:szCs w:val="24"/>
          <w:highlight w:val="cyan"/>
          <w:u w:val="single"/>
        </w:rPr>
        <w:t>ongoing building of academia</w:t>
      </w:r>
      <w:r w:rsidRPr="003F6242">
        <w:rPr>
          <w:rFonts w:eastAsia="Aptos" w:cs="Times New Roman"/>
          <w:sz w:val="16"/>
          <w:szCs w:val="24"/>
        </w:rPr>
        <w:t>. As Brendan Gleeson shows, “</w:t>
      </w:r>
      <w:r w:rsidRPr="003F6242">
        <w:rPr>
          <w:rFonts w:eastAsia="Aptos" w:cs="Times New Roman"/>
          <w:szCs w:val="24"/>
          <w:u w:val="single"/>
        </w:rPr>
        <w:t xml:space="preserve">Disabled people in Western societies have been </w:t>
      </w:r>
      <w:r w:rsidRPr="003F6242">
        <w:rPr>
          <w:rFonts w:eastAsia="Aptos" w:cs="Times New Roman"/>
          <w:szCs w:val="24"/>
          <w:highlight w:val="cyan"/>
          <w:u w:val="single"/>
        </w:rPr>
        <w:t xml:space="preserve">oppressed by </w:t>
      </w:r>
      <w:r w:rsidRPr="003F6242">
        <w:rPr>
          <w:rFonts w:eastAsia="Aptos" w:cs="Times New Roman"/>
          <w:szCs w:val="24"/>
          <w:u w:val="single"/>
        </w:rPr>
        <w:t>the</w:t>
      </w:r>
      <w:r w:rsidRPr="003F6242">
        <w:rPr>
          <w:rFonts w:eastAsia="Aptos" w:cs="Times New Roman"/>
          <w:szCs w:val="24"/>
          <w:highlight w:val="cyan"/>
          <w:u w:val="single"/>
        </w:rPr>
        <w:t xml:space="preserve"> production </w:t>
      </w:r>
      <w:r w:rsidRPr="003F6242">
        <w:rPr>
          <w:rFonts w:eastAsia="Aptos" w:cs="Times New Roman"/>
          <w:szCs w:val="24"/>
          <w:u w:val="single"/>
        </w:rPr>
        <w:t xml:space="preserve">of space . . . due in part to their exclusion from the </w:t>
      </w:r>
      <w:r w:rsidRPr="003F6242">
        <w:rPr>
          <w:rFonts w:eastAsia="Aptos" w:cs="Times New Roman"/>
          <w:szCs w:val="24"/>
          <w:highlight w:val="cyan"/>
          <w:u w:val="single"/>
        </w:rPr>
        <w:t>discourses and practices</w:t>
      </w:r>
      <w:r w:rsidRPr="003F6242">
        <w:rPr>
          <w:rFonts w:eastAsia="Aptos" w:cs="Times New Roman"/>
          <w:szCs w:val="24"/>
          <w:u w:val="single"/>
        </w:rPr>
        <w:t xml:space="preserve"> that shape the physical layout of societies</w:t>
      </w:r>
      <w:r w:rsidRPr="003F6242">
        <w:rPr>
          <w:rFonts w:eastAsia="Aptos" w:cs="Times New Roman"/>
          <w:sz w:val="16"/>
          <w:szCs w:val="24"/>
        </w:rPr>
        <w:t xml:space="preserve">” (2). Further, as Tanya </w:t>
      </w:r>
      <w:proofErr w:type="spellStart"/>
      <w:r w:rsidRPr="003F6242">
        <w:rPr>
          <w:rFonts w:eastAsia="Aptos" w:cs="Times New Roman"/>
          <w:sz w:val="16"/>
          <w:szCs w:val="24"/>
        </w:rPr>
        <w:t>Titchkosky</w:t>
      </w:r>
      <w:proofErr w:type="spellEnd"/>
      <w:r w:rsidRPr="003F6242">
        <w:rPr>
          <w:rFonts w:eastAsia="Aptos" w:cs="Times New Roman"/>
          <w:sz w:val="16"/>
          <w:szCs w:val="24"/>
        </w:rPr>
        <w:t xml:space="preserve"> argues, “the mapping of disability is an imparting of some version of what disability is and, thus, contains implicit directions for how to move around, through or with it. . . . disability has a long history of being mapped as if it is a foreign land, and a distanced curiosity remains one of the most repetitive, debilitating, yet ‘normal’ ways of regarding the life and work of disabled people” (“Cultural Maps,” 101, 109</w:t>
      </w:r>
      <w:r w:rsidRPr="003F6242">
        <w:rPr>
          <w:rFonts w:eastAsia="Aptos" w:cs="Times New Roman"/>
          <w:szCs w:val="24"/>
          <w:u w:val="single"/>
        </w:rPr>
        <w:t>). In the modern university, students with disabilities are kept far away from the discussions within which their input could be most illuminating, most challenging</w:t>
      </w:r>
      <w:r w:rsidRPr="003F6242">
        <w:rPr>
          <w:rFonts w:eastAsia="Aptos" w:cs="Times New Roman"/>
          <w:sz w:val="16"/>
          <w:szCs w:val="24"/>
        </w:rPr>
        <w:t>. This exclusion extends from dialogue to infrastructure: as Sharon Snyder and David Mitchell write, “</w:t>
      </w:r>
      <w:r w:rsidRPr="003F6242">
        <w:rPr>
          <w:rFonts w:eastAsia="Aptos" w:cs="Times New Roman"/>
          <w:szCs w:val="24"/>
          <w:u w:val="single"/>
        </w:rPr>
        <w:t>the built environment also includes the mythologies, images and characterizations about disability that comprise the majority of interactions in our imaginary lives</w:t>
      </w:r>
      <w:r w:rsidRPr="003F6242">
        <w:rPr>
          <w:rFonts w:eastAsia="Aptos" w:cs="Times New Roman"/>
          <w:sz w:val="16"/>
          <w:szCs w:val="24"/>
        </w:rPr>
        <w:t>” (Narrative, xiv). Yet, as Snyder and Mitchell write, “</w:t>
      </w:r>
      <w:r w:rsidRPr="003F6242">
        <w:rPr>
          <w:rFonts w:eastAsia="Aptos" w:cs="Times New Roman"/>
          <w:b/>
          <w:bCs/>
          <w:szCs w:val="24"/>
          <w:highlight w:val="cyan"/>
          <w:u w:val="single"/>
        </w:rPr>
        <w:t>we cannot know a culture until we ask its disabled citizens to assess it</w:t>
      </w:r>
      <w:r w:rsidRPr="003F6242">
        <w:rPr>
          <w:rFonts w:eastAsia="Aptos" w:cs="Times New Roman"/>
          <w:sz w:val="16"/>
          <w:szCs w:val="24"/>
        </w:rPr>
        <w:t xml:space="preserve">” (Narrative, 178). </w:t>
      </w:r>
      <w:r w:rsidRPr="003F6242">
        <w:rPr>
          <w:rFonts w:eastAsia="Aptos" w:cs="Times New Roman"/>
          <w:b/>
          <w:bCs/>
          <w:szCs w:val="24"/>
          <w:u w:val="single"/>
        </w:rPr>
        <w:t xml:space="preserve">Likewise, we </w:t>
      </w:r>
      <w:r w:rsidRPr="003F6242">
        <w:rPr>
          <w:rFonts w:eastAsia="Aptos" w:cs="Times New Roman"/>
          <w:b/>
          <w:bCs/>
          <w:szCs w:val="24"/>
          <w:highlight w:val="cyan"/>
          <w:u w:val="single"/>
        </w:rPr>
        <w:t>cannot understand academia until</w:t>
      </w:r>
      <w:r w:rsidRPr="003F6242">
        <w:rPr>
          <w:rFonts w:eastAsia="Aptos" w:cs="Times New Roman"/>
          <w:b/>
          <w:bCs/>
          <w:szCs w:val="24"/>
          <w:u w:val="single"/>
        </w:rPr>
        <w:t xml:space="preserve"> we </w:t>
      </w:r>
      <w:r w:rsidRPr="003F6242">
        <w:rPr>
          <w:rFonts w:eastAsia="Aptos" w:cs="Times New Roman"/>
          <w:b/>
          <w:bCs/>
          <w:szCs w:val="24"/>
          <w:highlight w:val="cyan"/>
          <w:u w:val="single"/>
        </w:rPr>
        <w:t>interrogate</w:t>
      </w:r>
      <w:r w:rsidRPr="003F6242">
        <w:rPr>
          <w:rFonts w:eastAsia="Aptos" w:cs="Times New Roman"/>
          <w:b/>
          <w:bCs/>
          <w:szCs w:val="24"/>
          <w:u w:val="single"/>
        </w:rPr>
        <w:t xml:space="preserve"> it </w:t>
      </w:r>
      <w:r w:rsidRPr="003F6242">
        <w:rPr>
          <w:rFonts w:eastAsia="Aptos" w:cs="Times New Roman"/>
          <w:b/>
          <w:bCs/>
          <w:szCs w:val="24"/>
          <w:highlight w:val="cyan"/>
          <w:u w:val="single"/>
        </w:rPr>
        <w:t>from</w:t>
      </w:r>
      <w:r w:rsidRPr="003F6242">
        <w:rPr>
          <w:rFonts w:eastAsia="Aptos" w:cs="Times New Roman"/>
          <w:b/>
          <w:bCs/>
          <w:szCs w:val="24"/>
          <w:u w:val="single"/>
        </w:rPr>
        <w:t xml:space="preserve"> </w:t>
      </w:r>
      <w:r w:rsidRPr="003F6242">
        <w:rPr>
          <w:rFonts w:eastAsia="Aptos" w:cs="Times New Roman"/>
          <w:b/>
          <w:bCs/>
          <w:szCs w:val="24"/>
          <w:highlight w:val="cyan"/>
          <w:u w:val="single"/>
        </w:rPr>
        <w:t>the viewpoint of disability</w:t>
      </w:r>
      <w:r w:rsidRPr="003F6242">
        <w:rPr>
          <w:rFonts w:eastAsia="Aptos" w:cs="Times New Roman"/>
          <w:b/>
          <w:bCs/>
          <w:szCs w:val="24"/>
          <w:u w:val="single"/>
        </w:rPr>
        <w:t>.</w:t>
      </w:r>
      <w:r w:rsidRPr="003F6242">
        <w:rPr>
          <w:rFonts w:eastAsia="Aptos" w:cs="Times New Roman"/>
          <w:sz w:val="16"/>
          <w:szCs w:val="24"/>
        </w:rPr>
        <w:t xml:space="preserve"> Allow me to repeat myself</w:t>
      </w:r>
      <w:r w:rsidRPr="003F6242">
        <w:rPr>
          <w:rFonts w:eastAsia="Aptos" w:cs="Times New Roman"/>
          <w:szCs w:val="24"/>
          <w:u w:val="single"/>
        </w:rPr>
        <w:t xml:space="preserve">: if rhetoric is the circulation of discourse through the body, then spaces and </w:t>
      </w:r>
      <w:r w:rsidRPr="003F6242">
        <w:rPr>
          <w:rFonts w:eastAsia="Aptos" w:cs="Times New Roman"/>
          <w:szCs w:val="24"/>
          <w:highlight w:val="cyan"/>
          <w:u w:val="single"/>
        </w:rPr>
        <w:t>institutions cannot be disconnected from</w:t>
      </w:r>
      <w:r w:rsidRPr="003F6242">
        <w:rPr>
          <w:rFonts w:eastAsia="Aptos" w:cs="Times New Roman"/>
          <w:szCs w:val="24"/>
          <w:u w:val="single"/>
        </w:rPr>
        <w:t xml:space="preserve"> the bodies within them, the </w:t>
      </w:r>
      <w:r w:rsidRPr="003F6242">
        <w:rPr>
          <w:rFonts w:eastAsia="Aptos" w:cs="Times New Roman"/>
          <w:szCs w:val="24"/>
          <w:highlight w:val="cyan"/>
          <w:u w:val="single"/>
        </w:rPr>
        <w:t>bodies they</w:t>
      </w:r>
      <w:r w:rsidRPr="003F6242">
        <w:rPr>
          <w:rFonts w:eastAsia="Aptos" w:cs="Times New Roman"/>
          <w:szCs w:val="24"/>
          <w:u w:val="single"/>
        </w:rPr>
        <w:t xml:space="preserve"> selectively </w:t>
      </w:r>
      <w:r w:rsidRPr="003F6242">
        <w:rPr>
          <w:rFonts w:eastAsia="Aptos" w:cs="Times New Roman"/>
          <w:szCs w:val="24"/>
          <w:highlight w:val="cyan"/>
          <w:u w:val="single"/>
        </w:rPr>
        <w:t>exclude</w:t>
      </w:r>
      <w:r w:rsidRPr="003F6242">
        <w:rPr>
          <w:rFonts w:eastAsia="Aptos" w:cs="Times New Roman"/>
          <w:szCs w:val="24"/>
          <w:u w:val="single"/>
        </w:rPr>
        <w:t xml:space="preserve">, and the </w:t>
      </w:r>
      <w:r w:rsidRPr="003F6242">
        <w:rPr>
          <w:rFonts w:eastAsia="Aptos" w:cs="Times New Roman"/>
          <w:szCs w:val="24"/>
          <w:highlight w:val="cyan"/>
          <w:u w:val="single"/>
        </w:rPr>
        <w:t>bodies that</w:t>
      </w:r>
      <w:r w:rsidRPr="003F6242">
        <w:rPr>
          <w:rFonts w:eastAsia="Aptos" w:cs="Times New Roman"/>
          <w:szCs w:val="24"/>
          <w:u w:val="single"/>
        </w:rPr>
        <w:t xml:space="preserve"> actively </w:t>
      </w:r>
      <w:r w:rsidRPr="003F6242">
        <w:rPr>
          <w:rFonts w:eastAsia="Aptos" w:cs="Times New Roman"/>
          <w:szCs w:val="24"/>
          <w:highlight w:val="cyan"/>
          <w:u w:val="single"/>
        </w:rPr>
        <w:t>intervene to reshape them.</w:t>
      </w:r>
    </w:p>
    <w:p w14:paraId="7C1A1EB3" w14:textId="476AE964" w:rsidR="00A75064" w:rsidRPr="003F6242" w:rsidRDefault="00A75064" w:rsidP="00A75064">
      <w:pPr>
        <w:keepNext/>
        <w:keepLines/>
        <w:spacing w:before="40" w:after="0" w:line="256" w:lineRule="auto"/>
        <w:outlineLvl w:val="3"/>
        <w:rPr>
          <w:rFonts w:eastAsia="Times New Roman" w:cs="Times New Roman"/>
          <w:b/>
          <w:iCs/>
          <w:sz w:val="26"/>
        </w:rPr>
      </w:pPr>
      <w:r w:rsidRPr="00482A29">
        <w:rPr>
          <w:rFonts w:eastAsia="Times New Roman" w:cs="Times New Roman"/>
          <w:b/>
          <w:iCs/>
          <w:sz w:val="26"/>
        </w:rPr>
        <w:t xml:space="preserve">The erasure </w:t>
      </w:r>
      <w:r>
        <w:rPr>
          <w:rFonts w:eastAsia="Times New Roman" w:cs="Times New Roman"/>
          <w:b/>
          <w:iCs/>
          <w:sz w:val="26"/>
        </w:rPr>
        <w:t xml:space="preserve">and pathologization of disabled people is woven into the very fabric of the 1AC. </w:t>
      </w:r>
      <w:r w:rsidRPr="00A75064">
        <w:rPr>
          <w:rFonts w:eastAsia="Times New Roman" w:cs="Times New Roman"/>
          <w:b/>
          <w:iCs/>
          <w:sz w:val="26"/>
          <w:highlight w:val="magenta"/>
        </w:rPr>
        <w:t>Why should we have to accept violence as inevitable, as part of the disabled experience?</w:t>
      </w:r>
    </w:p>
    <w:p w14:paraId="33328CF1" w14:textId="1CD2519A" w:rsidR="00954C97" w:rsidRDefault="00954C97" w:rsidP="00954C97">
      <w:pPr>
        <w:pStyle w:val="Heading4"/>
      </w:pPr>
      <w:r>
        <w:t xml:space="preserve">This speech is our crip manifesto. </w:t>
      </w:r>
      <w:r w:rsidR="00D6400F">
        <w:t xml:space="preserve">We call for a never ending dedication to refuse ableist futures and imaginations and turn towards crip futures </w:t>
      </w:r>
    </w:p>
    <w:p w14:paraId="3555D87C" w14:textId="77777777" w:rsidR="00954C97" w:rsidRPr="009B04ED" w:rsidRDefault="00954C97" w:rsidP="00954C97">
      <w:pPr>
        <w:spacing w:line="256" w:lineRule="auto"/>
        <w:rPr>
          <w:rFonts w:eastAsia="Aptos"/>
        </w:rPr>
      </w:pPr>
      <w:r w:rsidRPr="00482A29">
        <w:rPr>
          <w:rFonts w:eastAsia="Aptos"/>
          <w:b/>
          <w:bCs/>
          <w:sz w:val="26"/>
        </w:rPr>
        <w:t xml:space="preserve">Floyd 24 </w:t>
      </w:r>
      <w:r w:rsidRPr="00482A29">
        <w:rPr>
          <w:rFonts w:eastAsia="Aptos"/>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482A29">
        <w:rPr>
          <w:rFonts w:eastAsia="Aptos"/>
          <w:i/>
          <w:iCs/>
        </w:rPr>
        <w:t>Disability Studies Quarterly</w:t>
      </w:r>
      <w:r w:rsidRPr="00482A29">
        <w:rPr>
          <w:rFonts w:eastAsia="Aptos"/>
        </w:rPr>
        <w:t xml:space="preserve"> 43(4). </w:t>
      </w:r>
      <w:proofErr w:type="spellStart"/>
      <w:r w:rsidRPr="00482A29">
        <w:rPr>
          <w:rFonts w:eastAsia="Aptos"/>
        </w:rPr>
        <w:t>doi</w:t>
      </w:r>
      <w:proofErr w:type="spellEnd"/>
      <w:r w:rsidRPr="00482A29">
        <w:rPr>
          <w:rFonts w:eastAsia="Aptos"/>
        </w:rPr>
        <w:t>: </w:t>
      </w:r>
      <w:r w:rsidRPr="00482A29">
        <w:rPr>
          <w:rFonts w:ascii="Aptos" w:eastAsia="Aptos" w:hAnsi="Aptos" w:cs="Times New Roman"/>
          <w:color w:val="467886" w:themeColor="hyperlink"/>
          <w:u w:val="single"/>
        </w:rPr>
        <w:t>https://doi.org/10.18061/dsq.v43i4.8270</w:t>
      </w:r>
      <w:r w:rsidRPr="00482A29">
        <w:rPr>
          <w:rFonts w:eastAsia="Aptos"/>
        </w:rPr>
        <w:t>) MM</w:t>
      </w:r>
    </w:p>
    <w:p w14:paraId="395EEC35" w14:textId="77777777" w:rsidR="00954C97" w:rsidRPr="009B04ED" w:rsidRDefault="00954C97" w:rsidP="00954C97">
      <w:r w:rsidRPr="009B04ED">
        <w:t>Applying Crip Theory in Higher Education Practice</w:t>
      </w:r>
      <w:r>
        <w:t xml:space="preserve"> </w:t>
      </w:r>
      <w:r w:rsidRPr="009B04ED">
        <w:t xml:space="preserve">Our crip analysis highlights how </w:t>
      </w:r>
      <w:r w:rsidRPr="00954C97">
        <w:rPr>
          <w:b/>
          <w:bCs/>
          <w:highlight w:val="cyan"/>
          <w:u w:val="single"/>
        </w:rPr>
        <w:t>ableism</w:t>
      </w:r>
      <w:r w:rsidRPr="009B04ED">
        <w:rPr>
          <w:b/>
          <w:bCs/>
          <w:u w:val="single"/>
        </w:rPr>
        <w:t xml:space="preserve"> is both </w:t>
      </w:r>
      <w:r w:rsidRPr="00954C97">
        <w:rPr>
          <w:b/>
          <w:bCs/>
          <w:highlight w:val="cyan"/>
          <w:u w:val="single"/>
        </w:rPr>
        <w:t>upheld</w:t>
      </w:r>
      <w:r w:rsidRPr="009B04ED">
        <w:rPr>
          <w:b/>
          <w:bCs/>
          <w:u w:val="single"/>
        </w:rPr>
        <w:t xml:space="preserve"> and </w:t>
      </w:r>
      <w:r w:rsidRPr="00954C97">
        <w:rPr>
          <w:b/>
          <w:bCs/>
          <w:highlight w:val="cyan"/>
          <w:u w:val="single"/>
        </w:rPr>
        <w:t>resisted in higher education</w:t>
      </w:r>
      <w:r w:rsidRPr="009B04ED">
        <w:rPr>
          <w:b/>
          <w:bCs/>
          <w:u w:val="single"/>
        </w:rPr>
        <w:t>.</w:t>
      </w:r>
      <w:r w:rsidRPr="009B04ED">
        <w:t xml:space="preserve"> To ground this </w:t>
      </w:r>
      <w:r w:rsidRPr="009B04ED">
        <w:rPr>
          <w:b/>
          <w:bCs/>
          <w:u w:val="single"/>
        </w:rPr>
        <w:t>analysis</w:t>
      </w:r>
      <w:r w:rsidRPr="009B04ED">
        <w:t xml:space="preserve">, Emily and Colleen share </w:t>
      </w:r>
      <w:r w:rsidRPr="009B04ED">
        <w:rPr>
          <w:b/>
          <w:bCs/>
          <w:u w:val="single"/>
        </w:rPr>
        <w:t>stories</w:t>
      </w:r>
      <w:r w:rsidRPr="009B04ED">
        <w:t xml:space="preserve"> of their academic </w:t>
      </w:r>
      <w:r w:rsidRPr="009B04ED">
        <w:rPr>
          <w:b/>
          <w:bCs/>
          <w:u w:val="single"/>
        </w:rPr>
        <w:t xml:space="preserve">experiences as students with </w:t>
      </w:r>
      <w:r w:rsidRPr="009B04ED">
        <w:t>psychological and learning</w:t>
      </w:r>
      <w:r w:rsidRPr="009B04ED">
        <w:rPr>
          <w:b/>
          <w:bCs/>
          <w:u w:val="single"/>
        </w:rPr>
        <w:t xml:space="preserve"> disabilities.</w:t>
      </w:r>
      <w:r w:rsidRPr="009B04ED">
        <w:t xml:space="preserve"> Together, we </w:t>
      </w:r>
      <w:r w:rsidRPr="009B04ED">
        <w:rPr>
          <w:b/>
          <w:bCs/>
          <w:u w:val="single"/>
        </w:rPr>
        <w:t xml:space="preserve">use the </w:t>
      </w:r>
      <w:r w:rsidRPr="00954C97">
        <w:rPr>
          <w:b/>
          <w:bCs/>
          <w:highlight w:val="cyan"/>
          <w:u w:val="single"/>
        </w:rPr>
        <w:t>crip theory</w:t>
      </w:r>
      <w:r w:rsidRPr="009B04ED">
        <w:rPr>
          <w:b/>
          <w:bCs/>
          <w:u w:val="single"/>
        </w:rPr>
        <w:t xml:space="preserve"> tenets of </w:t>
      </w:r>
      <w:r w:rsidRPr="00954C97">
        <w:rPr>
          <w:b/>
          <w:bCs/>
          <w:highlight w:val="cyan"/>
          <w:u w:val="single"/>
        </w:rPr>
        <w:t>fluidity, interdependence, and crip time</w:t>
      </w:r>
      <w:r w:rsidRPr="009B04ED">
        <w:rPr>
          <w:b/>
          <w:bCs/>
          <w:u w:val="single"/>
        </w:rPr>
        <w:t xml:space="preserve"> to </w:t>
      </w:r>
      <w:r w:rsidRPr="00954C97">
        <w:rPr>
          <w:b/>
          <w:bCs/>
          <w:highlight w:val="cyan"/>
          <w:u w:val="single"/>
        </w:rPr>
        <w:t>analyze these stories</w:t>
      </w:r>
      <w:r w:rsidRPr="009B04ED">
        <w:rPr>
          <w:b/>
          <w:bCs/>
          <w:u w:val="single"/>
        </w:rPr>
        <w:t xml:space="preserve"> and to </w:t>
      </w:r>
      <w:r w:rsidRPr="00954C97">
        <w:rPr>
          <w:b/>
          <w:bCs/>
          <w:highlight w:val="cyan"/>
          <w:u w:val="single"/>
        </w:rPr>
        <w:t>suggest cripped academic practice</w:t>
      </w:r>
      <w:r w:rsidRPr="009B04ED">
        <w:rPr>
          <w:b/>
          <w:bCs/>
          <w:u w:val="single"/>
        </w:rPr>
        <w:t xml:space="preserve">. Our </w:t>
      </w:r>
      <w:r w:rsidRPr="00954C97">
        <w:rPr>
          <w:b/>
          <w:bCs/>
          <w:u w:val="single"/>
        </w:rPr>
        <w:t xml:space="preserve">recommendations are framed as </w:t>
      </w:r>
      <w:r w:rsidRPr="00954C97">
        <w:rPr>
          <w:b/>
          <w:bCs/>
          <w:highlight w:val="cyan"/>
          <w:u w:val="single"/>
        </w:rPr>
        <w:t>a crip</w:t>
      </w:r>
      <w:r w:rsidRPr="00954C97">
        <w:rPr>
          <w:b/>
          <w:bCs/>
          <w:u w:val="single"/>
        </w:rPr>
        <w:t xml:space="preserve"> </w:t>
      </w:r>
      <w:r w:rsidRPr="00954C97">
        <w:rPr>
          <w:b/>
          <w:bCs/>
          <w:highlight w:val="cyan"/>
          <w:u w:val="single"/>
        </w:rPr>
        <w:t>manifesto.</w:t>
      </w:r>
      <w:r>
        <w:t xml:space="preserve"> </w:t>
      </w:r>
      <w:r w:rsidRPr="009B04ED">
        <w:t>Crip Manifestos</w:t>
      </w:r>
      <w:r>
        <w:t xml:space="preserve"> </w:t>
      </w:r>
      <w:r w:rsidRPr="009B04ED">
        <w:t xml:space="preserve">Rather than relying on accommodation checklists for access that assumes predictable needs students can articulate, </w:t>
      </w:r>
      <w:r w:rsidRPr="00954C97">
        <w:rPr>
          <w:b/>
          <w:bCs/>
          <w:highlight w:val="cyan"/>
          <w:u w:val="single"/>
        </w:rPr>
        <w:t>true access looks to the future</w:t>
      </w:r>
      <w:r w:rsidRPr="009B04ED">
        <w:rPr>
          <w:b/>
          <w:bCs/>
          <w:u w:val="single"/>
        </w:rPr>
        <w:t>, recognizing that "access [is] not…a synonym for justice but a beginning place for critical questions</w:t>
      </w:r>
      <w:r w:rsidRPr="009B04ED">
        <w:t>" (</w:t>
      </w:r>
      <w:proofErr w:type="spellStart"/>
      <w:r w:rsidRPr="009B04ED">
        <w:t>Titichkosky</w:t>
      </w:r>
      <w:proofErr w:type="spellEnd"/>
      <w:r w:rsidRPr="009B04ED">
        <w:t xml:space="preserve">, 2008, as cited in Kafer, 2013, p. 157). Inspired by Kafer's (2013) call for </w:t>
      </w:r>
      <w:r w:rsidRPr="00954C97">
        <w:rPr>
          <w:highlight w:val="cyan"/>
          <w:u w:val="single"/>
        </w:rPr>
        <w:t>reimagining disability futures</w:t>
      </w:r>
      <w:r w:rsidRPr="009B04ED">
        <w:rPr>
          <w:u w:val="single"/>
        </w:rPr>
        <w:t>, we draw upon her desire for crip manifestos</w:t>
      </w:r>
      <w:r w:rsidRPr="009B04ED">
        <w:t xml:space="preserve"> (Kafer, 2017). </w:t>
      </w:r>
      <w:r w:rsidRPr="00954C97">
        <w:rPr>
          <w:b/>
          <w:bCs/>
          <w:highlight w:val="cyan"/>
          <w:u w:val="single"/>
        </w:rPr>
        <w:t>Through manifestos</w:t>
      </w:r>
      <w:r w:rsidRPr="009B04ED">
        <w:rPr>
          <w:b/>
          <w:bCs/>
          <w:u w:val="single"/>
        </w:rPr>
        <w:t xml:space="preserve">, accessibility is </w:t>
      </w:r>
      <w:r w:rsidRPr="00954C97">
        <w:rPr>
          <w:b/>
          <w:bCs/>
          <w:highlight w:val="cyan"/>
          <w:u w:val="single"/>
        </w:rPr>
        <w:t>conceptualized as</w:t>
      </w:r>
      <w:r w:rsidRPr="009B04ED">
        <w:rPr>
          <w:b/>
          <w:bCs/>
          <w:u w:val="single"/>
        </w:rPr>
        <w:t xml:space="preserve"> a never</w:t>
      </w:r>
      <w:r w:rsidRPr="00954C97">
        <w:rPr>
          <w:b/>
          <w:bCs/>
          <w:highlight w:val="cyan"/>
          <w:u w:val="single"/>
        </w:rPr>
        <w:t>-ending dedication to creating space for the "unanticipated, the unpredictable</w:t>
      </w:r>
      <w:r w:rsidRPr="009B04ED">
        <w:t xml:space="preserve">" (Kafer, 2017, p. 4). At the same time that educators work for a better future, they must attend to the present, finding where and how ableism manifests. In this argument for manifestos, Kafer (2017) employed Audre Lorde's (1988) description of </w:t>
      </w:r>
      <w:r w:rsidRPr="009B04ED">
        <w:rPr>
          <w:b/>
          <w:bCs/>
          <w:u w:val="single"/>
        </w:rPr>
        <w:t>"</w:t>
      </w:r>
      <w:r w:rsidRPr="00954C97">
        <w:rPr>
          <w:b/>
          <w:bCs/>
          <w:highlight w:val="cyan"/>
          <w:u w:val="single"/>
        </w:rPr>
        <w:t>working for what has not yet been</w:t>
      </w:r>
      <w:r w:rsidRPr="009B04ED">
        <w:rPr>
          <w:b/>
          <w:bCs/>
          <w:u w:val="single"/>
        </w:rPr>
        <w:t xml:space="preserve"> while </w:t>
      </w:r>
      <w:r w:rsidRPr="00954C97">
        <w:rPr>
          <w:b/>
          <w:bCs/>
          <w:highlight w:val="cyan"/>
          <w:u w:val="single"/>
        </w:rPr>
        <w:t>living fully in the present now</w:t>
      </w:r>
      <w:r w:rsidRPr="009B04ED">
        <w:rPr>
          <w:b/>
          <w:bCs/>
          <w:u w:val="single"/>
        </w:rPr>
        <w:t>"</w:t>
      </w:r>
      <w:r w:rsidRPr="009B04ED">
        <w:t xml:space="preserve"> (as cited in Kafer, 2017, p. 5). Educators must invest in the present in order to </w:t>
      </w:r>
      <w:r w:rsidRPr="00954C97">
        <w:rPr>
          <w:b/>
          <w:bCs/>
          <w:highlight w:val="cyan"/>
          <w:u w:val="single"/>
        </w:rPr>
        <w:t>reimagine futures that desire and welcome disabled bodies and minds.</w:t>
      </w:r>
    </w:p>
    <w:p w14:paraId="09987AF5" w14:textId="77777777" w:rsidR="00954C97" w:rsidRPr="009B04ED" w:rsidRDefault="00954C97" w:rsidP="00954C97"/>
    <w:p w14:paraId="692DECA3" w14:textId="77777777" w:rsidR="00534D9B" w:rsidRDefault="00534D9B"/>
    <w:sectPr w:rsidR="00534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F6D0D"/>
    <w:multiLevelType w:val="hybridMultilevel"/>
    <w:tmpl w:val="46CA3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647052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50B"/>
    <w:rsid w:val="00074407"/>
    <w:rsid w:val="001C59C6"/>
    <w:rsid w:val="00534D9B"/>
    <w:rsid w:val="00581B3B"/>
    <w:rsid w:val="00954C97"/>
    <w:rsid w:val="00A75064"/>
    <w:rsid w:val="00B7677F"/>
    <w:rsid w:val="00D60EA7"/>
    <w:rsid w:val="00D6400F"/>
    <w:rsid w:val="00D94F81"/>
    <w:rsid w:val="00DB150B"/>
    <w:rsid w:val="00F81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BB50"/>
  <w15:chartTrackingRefBased/>
  <w15:docId w15:val="{3A7D1716-FCCC-4D60-976A-2C1B5DDF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4F8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94F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4F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94F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D94F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4F8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B1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4F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4F81"/>
  </w:style>
  <w:style w:type="character" w:customStyle="1" w:styleId="Heading1Char">
    <w:name w:val="Heading 1 Char"/>
    <w:aliases w:val="Pocket Char"/>
    <w:basedOn w:val="DefaultParagraphFont"/>
    <w:link w:val="Heading1"/>
    <w:rsid w:val="00D94F8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94F8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94F8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D94F8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94F8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B1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50B"/>
    <w:rPr>
      <w:rFonts w:eastAsiaTheme="majorEastAsia" w:cstheme="majorBidi"/>
      <w:color w:val="272727" w:themeColor="text1" w:themeTint="D8"/>
    </w:rPr>
  </w:style>
  <w:style w:type="paragraph" w:styleId="Title">
    <w:name w:val="Title"/>
    <w:basedOn w:val="Normal"/>
    <w:next w:val="Normal"/>
    <w:link w:val="TitleChar"/>
    <w:uiPriority w:val="10"/>
    <w:qFormat/>
    <w:rsid w:val="00DB1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50B"/>
    <w:pPr>
      <w:spacing w:before="160"/>
      <w:jc w:val="center"/>
    </w:pPr>
    <w:rPr>
      <w:i/>
      <w:iCs/>
      <w:color w:val="404040" w:themeColor="text1" w:themeTint="BF"/>
    </w:rPr>
  </w:style>
  <w:style w:type="character" w:customStyle="1" w:styleId="QuoteChar">
    <w:name w:val="Quote Char"/>
    <w:basedOn w:val="DefaultParagraphFont"/>
    <w:link w:val="Quote"/>
    <w:uiPriority w:val="29"/>
    <w:rsid w:val="00DB150B"/>
    <w:rPr>
      <w:i/>
      <w:iCs/>
      <w:color w:val="404040" w:themeColor="text1" w:themeTint="BF"/>
    </w:rPr>
  </w:style>
  <w:style w:type="paragraph" w:styleId="ListParagraph">
    <w:name w:val="List Paragraph"/>
    <w:basedOn w:val="Normal"/>
    <w:uiPriority w:val="34"/>
    <w:qFormat/>
    <w:rsid w:val="00DB150B"/>
    <w:pPr>
      <w:ind w:left="720"/>
      <w:contextualSpacing/>
    </w:pPr>
  </w:style>
  <w:style w:type="character" w:styleId="IntenseEmphasis">
    <w:name w:val="Intense Emphasis"/>
    <w:basedOn w:val="DefaultParagraphFont"/>
    <w:uiPriority w:val="21"/>
    <w:qFormat/>
    <w:rsid w:val="00DB150B"/>
    <w:rPr>
      <w:i/>
      <w:iCs/>
      <w:color w:val="0F4761" w:themeColor="accent1" w:themeShade="BF"/>
    </w:rPr>
  </w:style>
  <w:style w:type="paragraph" w:styleId="IntenseQuote">
    <w:name w:val="Intense Quote"/>
    <w:basedOn w:val="Normal"/>
    <w:next w:val="Normal"/>
    <w:link w:val="IntenseQuoteChar"/>
    <w:uiPriority w:val="30"/>
    <w:qFormat/>
    <w:rsid w:val="00DB1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50B"/>
    <w:rPr>
      <w:i/>
      <w:iCs/>
      <w:color w:val="0F4761" w:themeColor="accent1" w:themeShade="BF"/>
    </w:rPr>
  </w:style>
  <w:style w:type="character" w:styleId="IntenseReference">
    <w:name w:val="Intense Reference"/>
    <w:basedOn w:val="DefaultParagraphFont"/>
    <w:uiPriority w:val="32"/>
    <w:qFormat/>
    <w:rsid w:val="00DB150B"/>
    <w:rPr>
      <w:b/>
      <w:bCs/>
      <w:smallCaps/>
      <w:color w:val="0F4761" w:themeColor="accent1" w:themeShade="BF"/>
      <w:spacing w:val="5"/>
    </w:rPr>
  </w:style>
  <w:style w:type="character" w:styleId="Emphasis">
    <w:name w:val="Emphasis"/>
    <w:basedOn w:val="DefaultParagraphFont"/>
    <w:uiPriority w:val="8"/>
    <w:qFormat/>
    <w:rsid w:val="00D94F8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4F8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94F81"/>
    <w:rPr>
      <w:b/>
      <w:bCs/>
      <w:sz w:val="26"/>
      <w:u w:val="none"/>
    </w:rPr>
  </w:style>
  <w:style w:type="character" w:customStyle="1" w:styleId="StyleUnderline">
    <w:name w:val="Style Underline"/>
    <w:aliases w:val="Underline"/>
    <w:basedOn w:val="DefaultParagraphFont"/>
    <w:uiPriority w:val="7"/>
    <w:qFormat/>
    <w:rsid w:val="00D94F81"/>
    <w:rPr>
      <w:b w:val="0"/>
      <w:sz w:val="22"/>
      <w:u w:val="single"/>
    </w:rPr>
  </w:style>
  <w:style w:type="character" w:styleId="Strong">
    <w:name w:val="Strong"/>
    <w:basedOn w:val="DefaultParagraphFont"/>
    <w:uiPriority w:val="22"/>
    <w:qFormat/>
    <w:rsid w:val="00D94F81"/>
    <w:rPr>
      <w:b/>
      <w:bCs/>
    </w:rPr>
  </w:style>
  <w:style w:type="character" w:styleId="BookTitle">
    <w:name w:val="Book Title"/>
    <w:basedOn w:val="DefaultParagraphFont"/>
    <w:uiPriority w:val="33"/>
    <w:qFormat/>
    <w:rsid w:val="00D94F81"/>
    <w:rPr>
      <w:b/>
      <w:bCs/>
      <w:i/>
      <w:iCs/>
      <w:spacing w:val="5"/>
    </w:rPr>
  </w:style>
  <w:style w:type="numbering" w:styleId="111111">
    <w:name w:val="Outline List 2"/>
    <w:basedOn w:val="NoList"/>
    <w:uiPriority w:val="99"/>
    <w:semiHidden/>
    <w:unhideWhenUsed/>
    <w:rsid w:val="00D94F81"/>
  </w:style>
  <w:style w:type="paragraph" w:styleId="Header">
    <w:name w:val="header"/>
    <w:basedOn w:val="Normal"/>
    <w:link w:val="HeaderChar"/>
    <w:uiPriority w:val="99"/>
    <w:semiHidden/>
    <w:rsid w:val="00D94F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4F81"/>
    <w:rPr>
      <w:rFonts w:ascii="Calibri" w:hAnsi="Calibri" w:cs="Calibri"/>
      <w:kern w:val="0"/>
      <w:sz w:val="22"/>
      <w:szCs w:val="22"/>
      <w14:ligatures w14:val="none"/>
    </w:rPr>
  </w:style>
  <w:style w:type="paragraph" w:styleId="Footer">
    <w:name w:val="footer"/>
    <w:basedOn w:val="Normal"/>
    <w:link w:val="FooterChar"/>
    <w:uiPriority w:val="99"/>
    <w:semiHidden/>
    <w:rsid w:val="00D94F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4F8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94F81"/>
    <w:pPr>
      <w:spacing w:after="120"/>
    </w:pPr>
  </w:style>
  <w:style w:type="character" w:customStyle="1" w:styleId="BodyTextChar">
    <w:name w:val="Body Text Char"/>
    <w:basedOn w:val="DefaultParagraphFont"/>
    <w:link w:val="BodyText"/>
    <w:uiPriority w:val="99"/>
    <w:semiHidden/>
    <w:rsid w:val="00D94F81"/>
    <w:rPr>
      <w:rFonts w:ascii="Calibri" w:hAnsi="Calibri" w:cs="Calibri"/>
      <w:kern w:val="0"/>
      <w:sz w:val="22"/>
      <w:szCs w:val="22"/>
      <w14:ligatures w14:val="none"/>
    </w:rPr>
  </w:style>
  <w:style w:type="paragraph" w:styleId="NoSpacing">
    <w:name w:val="No Spacing"/>
    <w:link w:val="NoSpacingChar"/>
    <w:uiPriority w:val="99"/>
    <w:unhideWhenUsed/>
    <w:qFormat/>
    <w:rsid w:val="00D94F8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94F81"/>
    <w:rPr>
      <w:rFonts w:ascii="Calibri" w:hAnsi="Calibri" w:cs="Calibri"/>
      <w:kern w:val="0"/>
      <w:sz w:val="22"/>
      <w:szCs w:val="22"/>
      <w14:ligatures w14:val="none"/>
    </w:rPr>
  </w:style>
  <w:style w:type="character" w:styleId="Hyperlink">
    <w:name w:val="Hyperlink"/>
    <w:basedOn w:val="DefaultParagraphFont"/>
    <w:uiPriority w:val="99"/>
    <w:unhideWhenUsed/>
    <w:rsid w:val="00D94F81"/>
    <w:rPr>
      <w:color w:val="467886" w:themeColor="hyperlink"/>
      <w:u w:val="single"/>
    </w:rPr>
  </w:style>
  <w:style w:type="character" w:styleId="UnresolvedMention">
    <w:name w:val="Unresolved Mention"/>
    <w:basedOn w:val="DefaultParagraphFont"/>
    <w:uiPriority w:val="99"/>
    <w:semiHidden/>
    <w:unhideWhenUsed/>
    <w:rsid w:val="00D94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m11.safelinks.protection.outlook.com/?url=http%3A%2F%2Fwww.apadivisions.org%2Fdivision-39%2Fpublications%2Freviews%2Feconomics.aspx&amp;data=05%7C01%7Csouchant%40berkeleyprep.org%7Ce34120a116de4bfa0b8808dabf631e4f%7Cdef48ebd99c64b0baa6d3ff44364ddad%7C0%7C0%7C638032729689644870%7CUnknown%7CTWFpbGZsb3d8eyJWIjoiMC4wLjAwMDAiLCJQIjoiV2luMzIiLCJBTiI6Ik1haWwiLCJXVCI6Mn0%3D%7C3000%7C%7C%7C&amp;sdata=%2F1YFPXnax95c51s3AZ%2FdRT5TcmAWcv%2FTf4wZPTeep1M%3D&amp;reserved=0" TargetMode="External"/><Relationship Id="rId5" Type="http://schemas.openxmlformats.org/officeDocument/2006/relationships/hyperlink" Target="https://nam11.safelinks.protection.outlook.com/?url=http%3A%2F%2Fsmh.sagepub.com%2Fcontent%2F4%2F2%2F75.full.pdf&amp;data=05%7C01%7Csouchant%40berkeleyprep.org%7Ce34120a116de4bfa0b8808dabf631e4f%7Cdef48ebd99c64b0baa6d3ff44364ddad%7C0%7C0%7C638032729689644870%7CUnknown%7CTWFpbGZsb3d8eyJWIjoiMC4wLjAwMDAiLCJQIjoiV2luMzIiLCJBTiI6Ik1haWwiLCJXVCI6Mn0%3D%7C3000%7C%7C%7C&amp;sdata=PLvnM65Y9vebNBnxyjYOQAeADd7cNiaU9XxlMpuIxYM%3D&amp;reserved=0"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3078</Words>
  <Characters>17551</Characters>
  <Application>Microsoft Office Word</Application>
  <DocSecurity>0</DocSecurity>
  <Lines>146</Lines>
  <Paragraphs>41</Paragraphs>
  <ScaleCrop>false</ScaleCrop>
  <Company/>
  <LinksUpToDate>false</LinksUpToDate>
  <CharactersWithSpaces>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9</cp:revision>
  <dcterms:created xsi:type="dcterms:W3CDTF">2025-10-18T20:46:00Z</dcterms:created>
  <dcterms:modified xsi:type="dcterms:W3CDTF">2025-10-18T21:20:00Z</dcterms:modified>
</cp:coreProperties>
</file>