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CC8CDB" w14:textId="77777777" w:rsidR="005D1BCD" w:rsidRDefault="005D1BCD" w:rsidP="005D1BCD">
      <w:pPr>
        <w:pStyle w:val="Heading3"/>
      </w:pPr>
      <w:r>
        <w:t xml:space="preserve">Off </w:t>
      </w:r>
    </w:p>
    <w:p w14:paraId="1D445B44" w14:textId="77777777" w:rsidR="005D1BCD" w:rsidRDefault="005D1BCD" w:rsidP="005D1BCD">
      <w:pPr>
        <w:pStyle w:val="Heading4"/>
      </w:pPr>
      <w:proofErr w:type="spellStart"/>
      <w:r>
        <w:t>Tiqqun</w:t>
      </w:r>
      <w:proofErr w:type="spellEnd"/>
      <w:r>
        <w:t xml:space="preserve"> analysis of cybernetic capitalism and the flow of Empire relies upon the rhetorical abasement of disabled peoples – Houston’s invocation of </w:t>
      </w:r>
      <w:proofErr w:type="spellStart"/>
      <w:r>
        <w:t>Tiqqun</w:t>
      </w:r>
      <w:proofErr w:type="spellEnd"/>
      <w:r>
        <w:t xml:space="preserve"> as a mode of resistance or a scholarly project engages in cure logics that frame disabled peoples as </w:t>
      </w:r>
      <w:proofErr w:type="spellStart"/>
      <w:proofErr w:type="gramStart"/>
      <w:r>
        <w:t>a</w:t>
      </w:r>
      <w:proofErr w:type="spellEnd"/>
      <w:proofErr w:type="gramEnd"/>
      <w:r>
        <w:t xml:space="preserve"> active collaborators with Empire </w:t>
      </w:r>
    </w:p>
    <w:p w14:paraId="626E11E6" w14:textId="77777777" w:rsidR="005D1BCD" w:rsidRPr="00537D0E" w:rsidRDefault="005D1BCD" w:rsidP="005D1BCD">
      <w:r w:rsidRPr="008C7790">
        <w:rPr>
          <w:rStyle w:val="Style13ptBold"/>
        </w:rPr>
        <w:t>Johanson 11</w:t>
      </w:r>
      <w:r>
        <w:t xml:space="preserve"> – Professor of Composition and Literature at Capilano University (Reg, 2011, “O</w:t>
      </w:r>
      <w:r w:rsidRPr="00537D0E">
        <w:t xml:space="preserve">ur Bodies Feel Struggle": Loving/Hating the Symptom </w:t>
      </w:r>
      <w:proofErr w:type="gramStart"/>
      <w:r w:rsidRPr="00537D0E">
        <w:t>In</w:t>
      </w:r>
      <w:proofErr w:type="gramEnd"/>
      <w:r w:rsidRPr="00537D0E">
        <w:t xml:space="preserve"> </w:t>
      </w:r>
      <w:proofErr w:type="spellStart"/>
      <w:r w:rsidRPr="00537D0E">
        <w:t>Tiqqun</w:t>
      </w:r>
      <w:proofErr w:type="spellEnd"/>
      <w:r w:rsidRPr="00537D0E">
        <w:t xml:space="preserve"> and The Invisible Committee</w:t>
      </w:r>
      <w:r>
        <w:t xml:space="preserve">, Capilano Review, </w:t>
      </w:r>
      <w:r w:rsidRPr="00537D0E">
        <w:t>https://journals.sfu.ca/capreview/index.php/capreview/article/view/2908/2908</w:t>
      </w:r>
      <w:r>
        <w:t>)</w:t>
      </w:r>
    </w:p>
    <w:p w14:paraId="33B1885C" w14:textId="77777777" w:rsidR="005D1BCD" w:rsidRDefault="005D1BCD" w:rsidP="005D1BCD">
      <w:pPr>
        <w:rPr>
          <w:rStyle w:val="StyleUnderline"/>
        </w:rPr>
      </w:pPr>
      <w:r w:rsidRPr="00537D0E">
        <w:rPr>
          <w:sz w:val="16"/>
        </w:rPr>
        <w:t>Historically, "manifestoes functioned to circumvent ordinary parliamentarian av-</w:t>
      </w:r>
      <w:proofErr w:type="spellStart"/>
      <w:r w:rsidRPr="00537D0E">
        <w:rPr>
          <w:sz w:val="16"/>
        </w:rPr>
        <w:t>enues</w:t>
      </w:r>
      <w:proofErr w:type="spellEnd"/>
      <w:r w:rsidRPr="00537D0E">
        <w:rPr>
          <w:sz w:val="16"/>
        </w:rPr>
        <w:t xml:space="preserve"> of public redress, and to challenge the ostensible universalism that underpins modern democratic cultural formations" (Lyon 2</w:t>
      </w:r>
      <w:r w:rsidRPr="00537D0E">
        <w:rPr>
          <w:rStyle w:val="StyleUnderline"/>
        </w:rPr>
        <w:t xml:space="preserve">). </w:t>
      </w:r>
      <w:proofErr w:type="spellStart"/>
      <w:r w:rsidRPr="00515967">
        <w:rPr>
          <w:rStyle w:val="StyleUnderline"/>
          <w:highlight w:val="green"/>
        </w:rPr>
        <w:t>Tiqqun</w:t>
      </w:r>
      <w:proofErr w:type="spellEnd"/>
      <w:r w:rsidRPr="00537D0E">
        <w:rPr>
          <w:rStyle w:val="StyleUnderline"/>
        </w:rPr>
        <w:t xml:space="preserve"> and the Invisible Com-</w:t>
      </w:r>
      <w:proofErr w:type="spellStart"/>
      <w:r w:rsidRPr="00537D0E">
        <w:rPr>
          <w:rStyle w:val="StyleUnderline"/>
        </w:rPr>
        <w:t>mittee</w:t>
      </w:r>
      <w:proofErr w:type="spellEnd"/>
      <w:r w:rsidRPr="00537D0E">
        <w:rPr>
          <w:rStyle w:val="StyleUnderline"/>
        </w:rPr>
        <w:t xml:space="preserve"> do not seek any sort of "redress."</w:t>
      </w:r>
      <w:r w:rsidRPr="00537D0E">
        <w:rPr>
          <w:sz w:val="16"/>
        </w:rPr>
        <w:t xml:space="preserve"> It is the hailing, the interpellation, of what </w:t>
      </w:r>
      <w:proofErr w:type="spellStart"/>
      <w:r w:rsidRPr="00537D0E">
        <w:rPr>
          <w:sz w:val="16"/>
        </w:rPr>
        <w:t>Tiqqun</w:t>
      </w:r>
      <w:proofErr w:type="spellEnd"/>
      <w:r w:rsidRPr="00537D0E">
        <w:rPr>
          <w:sz w:val="16"/>
        </w:rPr>
        <w:t xml:space="preserve">, following Agamben, call "forms-of-life" as "entitled universal subjects of the modern state," that is rejected. </w:t>
      </w:r>
      <w:r w:rsidRPr="00537D0E">
        <w:rPr>
          <w:rStyle w:val="StyleUnderline"/>
        </w:rPr>
        <w:t xml:space="preserve">They </w:t>
      </w:r>
      <w:r w:rsidRPr="00515967">
        <w:rPr>
          <w:rStyle w:val="StyleUnderline"/>
          <w:highlight w:val="green"/>
        </w:rPr>
        <w:t>reject the politics of identity for a "resonance" among "singularities," beings without the attributes which are assigned to them by identity politics</w:t>
      </w:r>
      <w:r w:rsidRPr="00537D0E">
        <w:rPr>
          <w:rStyle w:val="StyleUnderline"/>
        </w:rPr>
        <w:t xml:space="preserve"> (of state, nation, race, gender, sexuality or class) and through which they might be named and thereby known to power.</w:t>
      </w:r>
      <w:r w:rsidRPr="00537D0E">
        <w:rPr>
          <w:sz w:val="16"/>
        </w:rPr>
        <w:t xml:space="preserve"> How does the "call" of </w:t>
      </w:r>
      <w:proofErr w:type="spellStart"/>
      <w:r w:rsidRPr="00537D0E">
        <w:rPr>
          <w:sz w:val="16"/>
        </w:rPr>
        <w:t>Tiqqun</w:t>
      </w:r>
      <w:proofErr w:type="spellEnd"/>
      <w:r w:rsidRPr="00537D0E">
        <w:rPr>
          <w:sz w:val="16"/>
        </w:rPr>
        <w:t xml:space="preserve"> and the Invisible Committee work then? How do unnamed singularities resonate to the experiences and conditions they describe? In the words of </w:t>
      </w:r>
      <w:proofErr w:type="spellStart"/>
      <w:r w:rsidRPr="00537D0E">
        <w:rPr>
          <w:sz w:val="16"/>
        </w:rPr>
        <w:t>Tiqqun</w:t>
      </w:r>
      <w:proofErr w:type="spellEnd"/>
      <w:r w:rsidRPr="00537D0E">
        <w:rPr>
          <w:sz w:val="16"/>
        </w:rPr>
        <w:t xml:space="preserve">, "we-those of us who refuse to settle for any sort of comfort, we who admittedly have frayed nerves but also intend to make them still more resistant, still more unyielding-we need something else entirely. We need a radically negative anthropology" (6). </w:t>
      </w:r>
      <w:r w:rsidRPr="00537D0E">
        <w:rPr>
          <w:rStyle w:val="StyleUnderline"/>
        </w:rPr>
        <w:t xml:space="preserve">Janet </w:t>
      </w:r>
      <w:r w:rsidRPr="00902981">
        <w:rPr>
          <w:rStyle w:val="StyleUnderline"/>
        </w:rPr>
        <w:t>Lyon argues that while the manifesto has been a "liberatory genre," it is also the genre not of universal liberation but of rigid hierarchical boundaries</w:t>
      </w:r>
      <w:r w:rsidRPr="00537D0E">
        <w:rPr>
          <w:rStyle w:val="StyleUnderline"/>
        </w:rPr>
        <w:t xml:space="preserve">: on this reading, </w:t>
      </w:r>
      <w:r w:rsidRPr="00515967">
        <w:rPr>
          <w:rStyle w:val="StyleUnderline"/>
        </w:rPr>
        <w:t>the</w:t>
      </w:r>
      <w:r w:rsidRPr="00537D0E">
        <w:rPr>
          <w:rStyle w:val="StyleUnderline"/>
        </w:rPr>
        <w:t xml:space="preserve"> manifesto participates in a reduced understanding of het-</w:t>
      </w:r>
      <w:proofErr w:type="spellStart"/>
      <w:r w:rsidRPr="00537D0E">
        <w:rPr>
          <w:rStyle w:val="StyleUnderline"/>
        </w:rPr>
        <w:t>erogeneous</w:t>
      </w:r>
      <w:proofErr w:type="spellEnd"/>
      <w:r w:rsidRPr="00537D0E">
        <w:rPr>
          <w:rStyle w:val="StyleUnderline"/>
        </w:rPr>
        <w:t xml:space="preserve"> social fields, creating audiences through a rhetoric of exclusivity, parceling out political identities across a polarized discursive field, claiming </w:t>
      </w:r>
      <w:r w:rsidRPr="00537D0E">
        <w:rPr>
          <w:sz w:val="16"/>
        </w:rPr>
        <w:t xml:space="preserve">131 for "us" the moral high ground of revolutionary idealism, and constructing "them" as ideological tyrants, bankrupt usurpers, or corrupt fools. (3) The </w:t>
      </w:r>
      <w:r w:rsidRPr="00537D0E">
        <w:rPr>
          <w:rStyle w:val="StyleUnderline"/>
        </w:rPr>
        <w:t xml:space="preserve">call of </w:t>
      </w:r>
      <w:proofErr w:type="spellStart"/>
      <w:r w:rsidRPr="00902981">
        <w:rPr>
          <w:rStyle w:val="StyleUnderline"/>
          <w:highlight w:val="green"/>
        </w:rPr>
        <w:t>Tiqqun</w:t>
      </w:r>
      <w:proofErr w:type="spellEnd"/>
      <w:r w:rsidRPr="00902981">
        <w:rPr>
          <w:rStyle w:val="StyleUnderline"/>
          <w:highlight w:val="green"/>
        </w:rPr>
        <w:t xml:space="preserve"> and the Invisible Committee operates through this negative "rhetoric of exclusivity</w:t>
      </w:r>
      <w:r w:rsidRPr="00537D0E">
        <w:rPr>
          <w:sz w:val="16"/>
        </w:rPr>
        <w:t xml:space="preserve">." The figure of the unenlightened mass for </w:t>
      </w:r>
      <w:proofErr w:type="spellStart"/>
      <w:r w:rsidRPr="00537D0E">
        <w:rPr>
          <w:sz w:val="16"/>
        </w:rPr>
        <w:t>Tiqqun</w:t>
      </w:r>
      <w:proofErr w:type="spellEnd"/>
      <w:r w:rsidRPr="00537D0E">
        <w:rPr>
          <w:sz w:val="16"/>
        </w:rPr>
        <w:t xml:space="preserve"> is "The Bloom,"2 and sometimes "THEY" or "ONE." Frere Dupont has criticized this problem in </w:t>
      </w:r>
      <w:proofErr w:type="spellStart"/>
      <w:r w:rsidRPr="00537D0E">
        <w:rPr>
          <w:sz w:val="16"/>
        </w:rPr>
        <w:t>Tiqqun</w:t>
      </w:r>
      <w:proofErr w:type="spellEnd"/>
      <w:r w:rsidRPr="00537D0E">
        <w:rPr>
          <w:sz w:val="16"/>
        </w:rPr>
        <w:t xml:space="preserve"> from the point of view of the isolation that such a conception of "others" produces. Likening </w:t>
      </w:r>
      <w:proofErr w:type="spellStart"/>
      <w:r w:rsidRPr="00537D0E">
        <w:rPr>
          <w:sz w:val="16"/>
        </w:rPr>
        <w:t>Tiqqun</w:t>
      </w:r>
      <w:proofErr w:type="spellEnd"/>
      <w:r w:rsidRPr="00537D0E">
        <w:rPr>
          <w:sz w:val="16"/>
        </w:rPr>
        <w:t xml:space="preserve"> to children in a field, Dupont writes, Perhaps </w:t>
      </w:r>
      <w:proofErr w:type="spellStart"/>
      <w:r w:rsidRPr="00537D0E">
        <w:rPr>
          <w:sz w:val="16"/>
        </w:rPr>
        <w:t>Tiqqun</w:t>
      </w:r>
      <w:proofErr w:type="spellEnd"/>
      <w:r w:rsidRPr="00537D0E">
        <w:rPr>
          <w:sz w:val="16"/>
        </w:rPr>
        <w:t xml:space="preserve"> play somewhere in a field near the rural </w:t>
      </w:r>
      <w:proofErr w:type="spellStart"/>
      <w:r w:rsidRPr="00537D0E">
        <w:rPr>
          <w:sz w:val="16"/>
        </w:rPr>
        <w:t>centre</w:t>
      </w:r>
      <w:proofErr w:type="spellEnd"/>
      <w:r w:rsidRPr="00537D0E">
        <w:rPr>
          <w:sz w:val="16"/>
        </w:rPr>
        <w:t xml:space="preserve"> of France and their rough and tumble has given rise to a set of demands relating to the own-</w:t>
      </w:r>
      <w:proofErr w:type="spellStart"/>
      <w:r w:rsidRPr="00537D0E">
        <w:rPr>
          <w:sz w:val="16"/>
        </w:rPr>
        <w:t>ership</w:t>
      </w:r>
      <w:proofErr w:type="spellEnd"/>
      <w:r w:rsidRPr="00537D0E">
        <w:rPr>
          <w:sz w:val="16"/>
        </w:rPr>
        <w:t xml:space="preserve"> of their field. </w:t>
      </w:r>
      <w:r w:rsidRPr="00537D0E">
        <w:rPr>
          <w:rStyle w:val="StyleUnderline"/>
        </w:rPr>
        <w:t>It is a natural progression for them to translate the rules of their play into the real world and thus demand that the field of play itself be released to them. (</w:t>
      </w:r>
      <w:proofErr w:type="spellStart"/>
      <w:r w:rsidRPr="00537D0E">
        <w:rPr>
          <w:sz w:val="16"/>
        </w:rPr>
        <w:t>n.p.</w:t>
      </w:r>
      <w:proofErr w:type="spellEnd"/>
      <w:r w:rsidRPr="00537D0E">
        <w:rPr>
          <w:sz w:val="16"/>
        </w:rPr>
        <w:t xml:space="preserve">) However, </w:t>
      </w:r>
      <w:proofErr w:type="gramStart"/>
      <w:r w:rsidRPr="00537D0E">
        <w:rPr>
          <w:sz w:val="16"/>
        </w:rPr>
        <w:t>Even</w:t>
      </w:r>
      <w:proofErr w:type="gramEnd"/>
      <w:r w:rsidRPr="00537D0E">
        <w:rPr>
          <w:sz w:val="16"/>
        </w:rPr>
        <w:t xml:space="preserve"> where the owner of the field accedes to the collectivity's demands and releases the field to the self-defined radical subjectivity, </w:t>
      </w:r>
      <w:r w:rsidRPr="00537D0E">
        <w:rPr>
          <w:rStyle w:val="StyleUnderline"/>
        </w:rPr>
        <w:t>"</w:t>
      </w:r>
      <w:r w:rsidRPr="00902981">
        <w:rPr>
          <w:rStyle w:val="StyleUnderline"/>
          <w:highlight w:val="green"/>
        </w:rPr>
        <w:t>they</w:t>
      </w:r>
      <w:r w:rsidRPr="00537D0E">
        <w:rPr>
          <w:rStyle w:val="StyleUnderline"/>
        </w:rPr>
        <w:t xml:space="preserve">" (i.e. everyone else) </w:t>
      </w:r>
      <w:r w:rsidRPr="00902981">
        <w:rPr>
          <w:rStyle w:val="StyleUnderline"/>
          <w:highlight w:val="green"/>
        </w:rPr>
        <w:t>remain unmoved, and see no reason not to stay where they</w:t>
      </w:r>
      <w:r w:rsidRPr="00537D0E">
        <w:rPr>
          <w:sz w:val="16"/>
        </w:rPr>
        <w:t xml:space="preserve"> are. </w:t>
      </w:r>
      <w:proofErr w:type="gramStart"/>
      <w:r w:rsidRPr="00537D0E">
        <w:rPr>
          <w:sz w:val="16"/>
        </w:rPr>
        <w:t>With-out</w:t>
      </w:r>
      <w:proofErr w:type="gramEnd"/>
      <w:r w:rsidRPr="00537D0E">
        <w:rPr>
          <w:sz w:val="16"/>
        </w:rPr>
        <w:t xml:space="preserve"> the tension of demand and counter-demand to sustain it, and whilst it recruits no others </w:t>
      </w:r>
      <w:proofErr w:type="gramStart"/>
      <w:r w:rsidRPr="00537D0E">
        <w:rPr>
          <w:sz w:val="16"/>
        </w:rPr>
        <w:t>in order to</w:t>
      </w:r>
      <w:proofErr w:type="gramEnd"/>
      <w:r w:rsidRPr="00537D0E">
        <w:rPr>
          <w:sz w:val="16"/>
        </w:rPr>
        <w:t xml:space="preserve"> expand its territory, the radical subject as soon as it successfully achieves its first demand, must then pass into a rapid state of decline; its radical example passing unconsumed by the indifferent masses. </w:t>
      </w:r>
      <w:proofErr w:type="spellStart"/>
      <w:r w:rsidRPr="00902981">
        <w:rPr>
          <w:rStyle w:val="StyleUnderline"/>
          <w:highlight w:val="green"/>
        </w:rPr>
        <w:t>Tiqqun</w:t>
      </w:r>
      <w:proofErr w:type="spellEnd"/>
      <w:r w:rsidRPr="00902981">
        <w:rPr>
          <w:rStyle w:val="StyleUnderline"/>
          <w:highlight w:val="green"/>
        </w:rPr>
        <w:t xml:space="preserve"> have achieved the status of life in a commune, and every "smallest detail" of their practice is a "heroic" victory and yet none of it makes any </w:t>
      </w:r>
      <w:proofErr w:type="spellStart"/>
      <w:r w:rsidRPr="00902981">
        <w:rPr>
          <w:rStyle w:val="StyleUnderline"/>
          <w:highlight w:val="green"/>
        </w:rPr>
        <w:t>dif-ference</w:t>
      </w:r>
      <w:proofErr w:type="spellEnd"/>
      <w:r w:rsidRPr="00902981">
        <w:rPr>
          <w:rStyle w:val="StyleUnderline"/>
          <w:highlight w:val="green"/>
        </w:rPr>
        <w:t>. It has no meaning for anyone but themselves</w:t>
      </w:r>
      <w:r w:rsidRPr="00537D0E">
        <w:rPr>
          <w:sz w:val="16"/>
        </w:rPr>
        <w:t>. (</w:t>
      </w:r>
      <w:proofErr w:type="spellStart"/>
      <w:r w:rsidRPr="00537D0E">
        <w:rPr>
          <w:sz w:val="16"/>
        </w:rPr>
        <w:t>n.p.</w:t>
      </w:r>
      <w:proofErr w:type="spellEnd"/>
      <w:r w:rsidRPr="00537D0E">
        <w:rPr>
          <w:sz w:val="16"/>
        </w:rPr>
        <w:t xml:space="preserve">) Dupont's condescension here is itself polemical, and the contention that "none of it makes any difference" is belied by the popularity of these texts (or does that confirm it?). He does, however, bring </w:t>
      </w:r>
      <w:r w:rsidRPr="00537D0E">
        <w:rPr>
          <w:rStyle w:val="StyleUnderline"/>
        </w:rPr>
        <w:t xml:space="preserve">out </w:t>
      </w:r>
      <w:proofErr w:type="spellStart"/>
      <w:r w:rsidRPr="00537D0E">
        <w:rPr>
          <w:rStyle w:val="StyleUnderline"/>
        </w:rPr>
        <w:t>Tiqqun's</w:t>
      </w:r>
      <w:proofErr w:type="spellEnd"/>
      <w:r w:rsidRPr="00537D0E">
        <w:rPr>
          <w:rStyle w:val="StyleUnderline"/>
        </w:rPr>
        <w:t xml:space="preserve"> tendency to privilege a mobility and ab </w:t>
      </w:r>
      <w:proofErr w:type="spellStart"/>
      <w:r w:rsidRPr="00537D0E">
        <w:rPr>
          <w:rStyle w:val="StyleUnderline"/>
        </w:rPr>
        <w:t>sence</w:t>
      </w:r>
      <w:proofErr w:type="spellEnd"/>
      <w:r w:rsidRPr="00537D0E">
        <w:rPr>
          <w:rStyle w:val="StyleUnderline"/>
        </w:rPr>
        <w:t xml:space="preserve"> of responsibility (to provide for children or other family members, for example) that are characteristic of youth and / or wealth</w:t>
      </w:r>
      <w:r w:rsidRPr="00537D0E">
        <w:rPr>
          <w:sz w:val="16"/>
        </w:rPr>
        <w:t xml:space="preserve">. For Dupont, </w:t>
      </w:r>
      <w:proofErr w:type="spellStart"/>
      <w:r w:rsidRPr="00537D0E">
        <w:rPr>
          <w:sz w:val="16"/>
        </w:rPr>
        <w:t>Tiqqun</w:t>
      </w:r>
      <w:proofErr w:type="spellEnd"/>
      <w:r w:rsidRPr="00537D0E">
        <w:rPr>
          <w:sz w:val="16"/>
        </w:rPr>
        <w:t xml:space="preserve">, even as it denounces subjective formations and identity politics, </w:t>
      </w:r>
      <w:proofErr w:type="spellStart"/>
      <w:r w:rsidRPr="00537D0E">
        <w:rPr>
          <w:sz w:val="16"/>
        </w:rPr>
        <w:t>nonethe</w:t>
      </w:r>
      <w:proofErr w:type="spellEnd"/>
      <w:r w:rsidRPr="00537D0E">
        <w:rPr>
          <w:sz w:val="16"/>
        </w:rPr>
        <w:t xml:space="preserve">-less still locates in its own practice a transcendent alternative to the lives of the "them," the herd, the spectators, the sometimes silk but usually plastic and always contemptible Blooms of conventional existence . . .. With Hellfire Club style exultations in images of "abandoning ourselves to our </w:t>
      </w:r>
      <w:proofErr w:type="spellStart"/>
      <w:r w:rsidRPr="00537D0E">
        <w:rPr>
          <w:sz w:val="16"/>
        </w:rPr>
        <w:t>inclina-tions</w:t>
      </w:r>
      <w:proofErr w:type="spellEnd"/>
      <w:r w:rsidRPr="00537D0E">
        <w:rPr>
          <w:sz w:val="16"/>
        </w:rPr>
        <w:t xml:space="preserve">," </w:t>
      </w:r>
      <w:proofErr w:type="spellStart"/>
      <w:r w:rsidRPr="00537D0E">
        <w:rPr>
          <w:rStyle w:val="StyleUnderline"/>
        </w:rPr>
        <w:t>Tiqqun</w:t>
      </w:r>
      <w:proofErr w:type="spellEnd"/>
      <w:r w:rsidRPr="00537D0E">
        <w:rPr>
          <w:rStyle w:val="StyleUnderline"/>
        </w:rPr>
        <w:t xml:space="preserve"> set themselves qualitatively against the masses who are to be understood in terms of "fake self-control, restraint, self-regulation of the passions .... " </w:t>
      </w:r>
      <w:proofErr w:type="spellStart"/>
      <w:r w:rsidRPr="00537D0E">
        <w:rPr>
          <w:rStyle w:val="StyleUnderline"/>
        </w:rPr>
        <w:t>Tiqqun</w:t>
      </w:r>
      <w:proofErr w:type="spellEnd"/>
      <w:r w:rsidRPr="00537D0E">
        <w:rPr>
          <w:rStyle w:val="StyleUnderline"/>
        </w:rPr>
        <w:t xml:space="preserve"> define the "us," the form-of-life, their civil war, as an exponential increase of excitations, a contagious sense of their "being car-</w:t>
      </w:r>
      <w:proofErr w:type="spellStart"/>
      <w:r w:rsidRPr="00537D0E">
        <w:rPr>
          <w:rStyle w:val="StyleUnderline"/>
        </w:rPr>
        <w:t>ried</w:t>
      </w:r>
      <w:proofErr w:type="spellEnd"/>
      <w:r w:rsidRPr="00537D0E">
        <w:rPr>
          <w:rStyle w:val="StyleUnderline"/>
        </w:rPr>
        <w:t xml:space="preserve"> away</w:t>
      </w:r>
      <w:r w:rsidRPr="00537D0E">
        <w:rPr>
          <w:sz w:val="16"/>
        </w:rPr>
        <w:t xml:space="preserve">." Grand gestures of relinquishment </w:t>
      </w:r>
      <w:proofErr w:type="gramStart"/>
      <w:r w:rsidRPr="00537D0E">
        <w:rPr>
          <w:sz w:val="16"/>
        </w:rPr>
        <w:t>sets</w:t>
      </w:r>
      <w:proofErr w:type="gramEnd"/>
      <w:r w:rsidRPr="00537D0E">
        <w:rPr>
          <w:sz w:val="16"/>
        </w:rPr>
        <w:t xml:space="preserve"> their "us" apart from the acquisitiveness of others. (</w:t>
      </w:r>
      <w:proofErr w:type="spellStart"/>
      <w:r w:rsidRPr="00537D0E">
        <w:rPr>
          <w:sz w:val="16"/>
        </w:rPr>
        <w:t>n.p.</w:t>
      </w:r>
      <w:proofErr w:type="spellEnd"/>
      <w:r w:rsidRPr="00537D0E">
        <w:rPr>
          <w:sz w:val="16"/>
        </w:rPr>
        <w:t xml:space="preserve">) The community imagined by </w:t>
      </w:r>
      <w:proofErr w:type="spellStart"/>
      <w:r w:rsidRPr="00537D0E">
        <w:rPr>
          <w:sz w:val="16"/>
        </w:rPr>
        <w:t>Tiqqun</w:t>
      </w:r>
      <w:proofErr w:type="spellEnd"/>
      <w:r w:rsidRPr="00537D0E">
        <w:rPr>
          <w:sz w:val="16"/>
        </w:rPr>
        <w:t xml:space="preserve">, Dupont argues, is not a community, "it is a gang. Or a congregation </w:t>
      </w:r>
      <w:proofErr w:type="gramStart"/>
      <w:r w:rsidRPr="00537D0E">
        <w:rPr>
          <w:sz w:val="16"/>
        </w:rPr>
        <w:t>. . . .</w:t>
      </w:r>
      <w:proofErr w:type="gramEnd"/>
      <w:r w:rsidRPr="00537D0E">
        <w:rPr>
          <w:sz w:val="16"/>
        </w:rPr>
        <w:t xml:space="preserve"> Community never exceeds the ideological representation of itself wherever it is proposed as people agreeing with each other" (</w:t>
      </w:r>
      <w:proofErr w:type="spellStart"/>
      <w:r w:rsidRPr="00537D0E">
        <w:rPr>
          <w:sz w:val="16"/>
        </w:rPr>
        <w:t>n.p.</w:t>
      </w:r>
      <w:proofErr w:type="spellEnd"/>
      <w:r w:rsidRPr="00537D0E">
        <w:rPr>
          <w:sz w:val="16"/>
        </w:rPr>
        <w:t xml:space="preserve">). </w:t>
      </w:r>
      <w:r w:rsidRPr="00537D0E">
        <w:rPr>
          <w:rStyle w:val="StyleUnderline"/>
        </w:rPr>
        <w:t xml:space="preserve">Here we see how </w:t>
      </w:r>
      <w:proofErr w:type="spellStart"/>
      <w:r w:rsidRPr="00537D0E">
        <w:rPr>
          <w:rStyle w:val="StyleUnderline"/>
        </w:rPr>
        <w:t>Tiqqun</w:t>
      </w:r>
      <w:proofErr w:type="spellEnd"/>
      <w:r w:rsidRPr="00537D0E">
        <w:rPr>
          <w:rStyle w:val="StyleUnderline"/>
        </w:rPr>
        <w:t xml:space="preserve"> are inheritors of the ambivalent </w:t>
      </w:r>
      <w:r w:rsidRPr="00537D0E">
        <w:rPr>
          <w:rStyle w:val="StyleUnderline"/>
        </w:rPr>
        <w:lastRenderedPageBreak/>
        <w:t>tradition of the manifesto, constructing an audience which reflects a "reduced understanding of heterogeneous social fields.</w:t>
      </w:r>
      <w:r w:rsidRPr="00537D0E">
        <w:rPr>
          <w:sz w:val="16"/>
        </w:rPr>
        <w:t xml:space="preserve">" As Dupont says, any community is the unlooked for, accidental and arbitrarily accumulated depositing of long histories of different human traffics which have all passed through this same narrowing in the river. </w:t>
      </w:r>
      <w:proofErr w:type="spellStart"/>
      <w:r w:rsidRPr="00537D0E">
        <w:rPr>
          <w:sz w:val="16"/>
        </w:rPr>
        <w:t>Tiqqun's</w:t>
      </w:r>
      <w:proofErr w:type="spellEnd"/>
      <w:r w:rsidRPr="00537D0E">
        <w:rPr>
          <w:sz w:val="16"/>
        </w:rPr>
        <w:t xml:space="preserve"> </w:t>
      </w:r>
      <w:r w:rsidRPr="00537D0E">
        <w:rPr>
          <w:rStyle w:val="StyleUnderline"/>
        </w:rPr>
        <w:t>urgent need for group consummation inhibits their grasp of the essential truth of community, which is that it is never achieved</w:t>
      </w:r>
      <w:r w:rsidRPr="00537D0E">
        <w:rPr>
          <w:sz w:val="16"/>
        </w:rPr>
        <w:t xml:space="preserve">. Every subject-fragment which sticks to this place rather than another, proceeds to disrupt the "us" which might just then have been about to </w:t>
      </w:r>
      <w:proofErr w:type="spellStart"/>
      <w:r w:rsidRPr="00537D0E">
        <w:rPr>
          <w:sz w:val="16"/>
        </w:rPr>
        <w:t>formalise</w:t>
      </w:r>
      <w:proofErr w:type="spellEnd"/>
      <w:r w:rsidRPr="00537D0E">
        <w:rPr>
          <w:sz w:val="16"/>
        </w:rPr>
        <w:t xml:space="preserve">. The presence of the new arrival causes the community as an aggregate to reorient towards a deferred and greater "us," the conditions for which are still not present and are always deferred. In short, a community is a positive representation of the binding together of conflicting interests in </w:t>
      </w:r>
      <w:proofErr w:type="gramStart"/>
      <w:r w:rsidRPr="00537D0E">
        <w:rPr>
          <w:sz w:val="16"/>
        </w:rPr>
        <w:t>close proximity</w:t>
      </w:r>
      <w:proofErr w:type="gramEnd"/>
      <w:r w:rsidRPr="00537D0E">
        <w:rPr>
          <w:sz w:val="16"/>
        </w:rPr>
        <w:t xml:space="preserve"> over long periods of </w:t>
      </w:r>
      <w:proofErr w:type="gramStart"/>
      <w:r w:rsidRPr="00537D0E">
        <w:rPr>
          <w:sz w:val="16"/>
        </w:rPr>
        <w:t>time</w:t>
      </w:r>
      <w:proofErr w:type="gramEnd"/>
      <w:r w:rsidRPr="00537D0E">
        <w:rPr>
          <w:sz w:val="16"/>
        </w:rPr>
        <w:t xml:space="preserve"> but it is never a community as such. (</w:t>
      </w:r>
      <w:proofErr w:type="spellStart"/>
      <w:r w:rsidRPr="00537D0E">
        <w:rPr>
          <w:sz w:val="16"/>
        </w:rPr>
        <w:t>n.p.</w:t>
      </w:r>
      <w:proofErr w:type="spellEnd"/>
      <w:r w:rsidRPr="00537D0E">
        <w:rPr>
          <w:sz w:val="16"/>
        </w:rPr>
        <w:t>) Just as Marx was contemptuous of the lumpenproletariat, whom he called a "sack of potatoes" and thought incapable of revolutionary organization</w:t>
      </w:r>
      <w:r w:rsidRPr="00537D0E">
        <w:rPr>
          <w:rStyle w:val="StyleUnderline"/>
        </w:rPr>
        <w:t xml:space="preserve">, both </w:t>
      </w:r>
      <w:proofErr w:type="spellStart"/>
      <w:r w:rsidRPr="00537D0E">
        <w:rPr>
          <w:rStyle w:val="StyleUnderline"/>
        </w:rPr>
        <w:t>Tiqqun</w:t>
      </w:r>
      <w:proofErr w:type="spellEnd"/>
      <w:r w:rsidRPr="00537D0E">
        <w:rPr>
          <w:rStyle w:val="StyleUnderline"/>
        </w:rPr>
        <w:t xml:space="preserve"> and the Invisible Committee reserve a special contempt for those community members who are</w:t>
      </w:r>
      <w:r w:rsidRPr="00537D0E">
        <w:rPr>
          <w:sz w:val="16"/>
        </w:rPr>
        <w:t xml:space="preserve"> sick, </w:t>
      </w:r>
      <w:r w:rsidRPr="00537D0E">
        <w:rPr>
          <w:rStyle w:val="StyleUnderline"/>
        </w:rPr>
        <w:t>disabled</w:t>
      </w:r>
      <w:r w:rsidRPr="00537D0E">
        <w:rPr>
          <w:sz w:val="16"/>
        </w:rPr>
        <w:t xml:space="preserve">, mentally ill, or otherwise handicapped. In TCI, </w:t>
      </w:r>
      <w:proofErr w:type="gramStart"/>
      <w:r w:rsidRPr="00537D0E">
        <w:rPr>
          <w:sz w:val="16"/>
        </w:rPr>
        <w:t>The</w:t>
      </w:r>
      <w:proofErr w:type="gramEnd"/>
      <w:r w:rsidRPr="00537D0E">
        <w:rPr>
          <w:sz w:val="16"/>
        </w:rPr>
        <w:t xml:space="preserve"> handicapped are the model citizens of tomorrow. It's not without foresight that the associations exploiting them today demand that they be 1 granted a "subsistence income" .... France wouldn't be the land of anxiety pills that it's become, the paradise of anti-depressants, the Mecca of neurosis, if it weren't also the European champion of hourly </w:t>
      </w:r>
      <w:r w:rsidRPr="00515967">
        <w:rPr>
          <w:rStyle w:val="StyleUnderline"/>
          <w:highlight w:val="green"/>
        </w:rPr>
        <w:t>productivity. Sickness, fa-</w:t>
      </w:r>
      <w:proofErr w:type="spellStart"/>
      <w:r w:rsidRPr="00515967">
        <w:rPr>
          <w:rStyle w:val="StyleUnderline"/>
          <w:highlight w:val="green"/>
        </w:rPr>
        <w:t>tigue</w:t>
      </w:r>
      <w:proofErr w:type="spellEnd"/>
      <w:r w:rsidRPr="00515967">
        <w:rPr>
          <w:rStyle w:val="StyleUnderline"/>
          <w:highlight w:val="green"/>
        </w:rPr>
        <w:t>, depression, can be seen as the individual symptoms of what needs to be cured</w:t>
      </w:r>
      <w:r w:rsidRPr="00537D0E">
        <w:rPr>
          <w:rStyle w:val="StyleUnderline"/>
        </w:rPr>
        <w:t xml:space="preserve">. They contribute to the maintenance of the existing order, to my docile adjustment to idiotic norms, and to the modernization of my crutches. They specify the selection of my opportune, compliant, and productive tendencies, as well as those that must be gently discarded .... (33-34) And in </w:t>
      </w:r>
      <w:proofErr w:type="spellStart"/>
      <w:r w:rsidRPr="00537D0E">
        <w:rPr>
          <w:rStyle w:val="StyleUnderline"/>
        </w:rPr>
        <w:t>Tiqqun</w:t>
      </w:r>
      <w:proofErr w:type="spellEnd"/>
      <w:r w:rsidRPr="00537D0E">
        <w:rPr>
          <w:rStyle w:val="StyleUnderline"/>
        </w:rPr>
        <w:t>: Insofar as we stay in contact with our own potentiality, even if only in think-</w:t>
      </w:r>
      <w:proofErr w:type="spellStart"/>
      <w:r w:rsidRPr="00537D0E">
        <w:rPr>
          <w:rStyle w:val="StyleUnderline"/>
        </w:rPr>
        <w:t>ing</w:t>
      </w:r>
      <w:proofErr w:type="spellEnd"/>
      <w:r w:rsidRPr="00537D0E">
        <w:rPr>
          <w:rStyle w:val="StyleUnderline"/>
        </w:rPr>
        <w:t xml:space="preserve"> through our experience, we represent a danger within the metropolises of Empi</w:t>
      </w:r>
      <w:r w:rsidRPr="00537D0E">
        <w:rPr>
          <w:sz w:val="16"/>
        </w:rPr>
        <w:t xml:space="preserve">re. We are whatever enemy against which all the imperial apparatuses and norms are positioned. Conversely, the resentful ones, the intellectual, the immunodeficient, the humanist, the transplant patient, the neurotic are Empire's model citizens. From these citizens, </w:t>
      </w:r>
      <w:r w:rsidRPr="00537D0E">
        <w:rPr>
          <w:rStyle w:val="StyleUnderline"/>
        </w:rPr>
        <w:t xml:space="preserve">THEY are certain there is </w:t>
      </w:r>
      <w:proofErr w:type="spellStart"/>
      <w:r w:rsidRPr="00537D0E">
        <w:rPr>
          <w:rStyle w:val="StyleUnderline"/>
        </w:rPr>
        <w:t>noth-ing</w:t>
      </w:r>
      <w:proofErr w:type="spellEnd"/>
      <w:r w:rsidRPr="00537D0E">
        <w:rPr>
          <w:rStyle w:val="StyleUnderline"/>
        </w:rPr>
        <w:t xml:space="preserve"> to fear. Given their circumstances, these citizens are lashed to a set of artificial conditions of existen</w:t>
      </w:r>
      <w:r w:rsidRPr="00537D0E">
        <w:rPr>
          <w:sz w:val="16"/>
        </w:rPr>
        <w:t xml:space="preserve">ce, such that only Empire can guarantee their survival; any dramatic shift in their conditions of existence and they die. </w:t>
      </w:r>
      <w:r w:rsidRPr="00902981">
        <w:rPr>
          <w:rStyle w:val="StyleUnderline"/>
          <w:highlight w:val="green"/>
        </w:rPr>
        <w:t>They are born collaborators. It is no</w:t>
      </w:r>
      <w:r w:rsidRPr="00537D0E">
        <w:rPr>
          <w:rStyle w:val="StyleUnderline"/>
        </w:rPr>
        <w:t>t</w:t>
      </w:r>
      <w:r w:rsidRPr="00537D0E">
        <w:rPr>
          <w:sz w:val="16"/>
        </w:rPr>
        <w:t xml:space="preserve"> only power that passes through their bodies, but also the police. This kind of mutilated life arises not only as a </w:t>
      </w:r>
      <w:proofErr w:type="gramStart"/>
      <w:r w:rsidRPr="00537D0E">
        <w:rPr>
          <w:sz w:val="16"/>
        </w:rPr>
        <w:t>con-sequence</w:t>
      </w:r>
      <w:proofErr w:type="gramEnd"/>
      <w:r w:rsidRPr="00537D0E">
        <w:rPr>
          <w:sz w:val="16"/>
        </w:rPr>
        <w:t xml:space="preserve"> of Empire's progress, but as its precondition. The equation citizen = cop runs deep within the crack that exists at the core of such bodies. (38) While I'm not prepared to come to the defense of the intellectual or the humanist, as a neurotic I must </w:t>
      </w:r>
      <w:r w:rsidRPr="00902981">
        <w:rPr>
          <w:rStyle w:val="StyleUnderline"/>
          <w:highlight w:val="green"/>
        </w:rPr>
        <w:t>protest</w:t>
      </w:r>
      <w:r w:rsidRPr="00537D0E">
        <w:rPr>
          <w:rStyle w:val="StyleUnderline"/>
        </w:rPr>
        <w:t xml:space="preserve">. Rather than a </w:t>
      </w:r>
      <w:r w:rsidRPr="00902981">
        <w:rPr>
          <w:rStyle w:val="StyleUnderline"/>
          <w:highlight w:val="green"/>
        </w:rPr>
        <w:t xml:space="preserve">compassionate care for and solidarity with those who "crack" under the pressures of the society </w:t>
      </w:r>
      <w:proofErr w:type="spellStart"/>
      <w:r w:rsidRPr="00902981">
        <w:rPr>
          <w:rStyle w:val="StyleUnderline"/>
          <w:highlight w:val="green"/>
        </w:rPr>
        <w:t>Tiqqun</w:t>
      </w:r>
      <w:proofErr w:type="spellEnd"/>
      <w:r w:rsidRPr="00902981">
        <w:rPr>
          <w:rStyle w:val="StyleUnderline"/>
          <w:highlight w:val="green"/>
        </w:rPr>
        <w:t xml:space="preserve"> condemns</w:t>
      </w:r>
      <w:r w:rsidRPr="00537D0E">
        <w:rPr>
          <w:rStyle w:val="StyleUnderline"/>
        </w:rPr>
        <w:t xml:space="preserve">, or with those who, </w:t>
      </w:r>
      <w:r w:rsidRPr="00902981">
        <w:rPr>
          <w:rStyle w:val="StyleUnderline"/>
          <w:highlight w:val="green"/>
        </w:rPr>
        <w:t>in the case of physical disability, suffer in spite of anything they might do about it, rather than offering the possibility of healing</w:t>
      </w:r>
      <w:r w:rsidRPr="00537D0E">
        <w:rPr>
          <w:rStyle w:val="StyleUnderline"/>
        </w:rPr>
        <w:t xml:space="preserve">, </w:t>
      </w:r>
      <w:proofErr w:type="spellStart"/>
      <w:r w:rsidRPr="00902981">
        <w:rPr>
          <w:rStyle w:val="StyleUnderline"/>
          <w:highlight w:val="green"/>
        </w:rPr>
        <w:t>Tiqqun</w:t>
      </w:r>
      <w:proofErr w:type="spellEnd"/>
      <w:r w:rsidRPr="00537D0E">
        <w:rPr>
          <w:rStyle w:val="StyleUnderline"/>
        </w:rPr>
        <w:t xml:space="preserve"> not only </w:t>
      </w:r>
      <w:r w:rsidRPr="00902981">
        <w:rPr>
          <w:rStyle w:val="StyleUnderline"/>
          <w:highlight w:val="green"/>
        </w:rPr>
        <w:t>digs their graves</w:t>
      </w:r>
      <w:r w:rsidRPr="00537D0E">
        <w:rPr>
          <w:rStyle w:val="StyleUnderline"/>
        </w:rPr>
        <w:t xml:space="preserve"> but makes their vulnerability grounds for suspicion of them as "collaborators</w:t>
      </w:r>
      <w:r w:rsidRPr="00537D0E">
        <w:rPr>
          <w:sz w:val="16"/>
        </w:rPr>
        <w:t xml:space="preserve">." In this they resemble fascist radicals for whom sickness and disease are signs of a process of natural (i.e., racial) selection. </w:t>
      </w:r>
      <w:r w:rsidRPr="00902981">
        <w:rPr>
          <w:rStyle w:val="StyleUnderline"/>
          <w:highlight w:val="green"/>
        </w:rPr>
        <w:t>The "us" of</w:t>
      </w:r>
      <w:r w:rsidRPr="00537D0E">
        <w:rPr>
          <w:rStyle w:val="StyleUnderline"/>
        </w:rPr>
        <w:t xml:space="preserve"> </w:t>
      </w:r>
      <w:proofErr w:type="spellStart"/>
      <w:r w:rsidRPr="00902981">
        <w:rPr>
          <w:rStyle w:val="StyleUnderline"/>
          <w:highlight w:val="green"/>
        </w:rPr>
        <w:t>Tiqqun</w:t>
      </w:r>
      <w:proofErr w:type="spellEnd"/>
      <w:r w:rsidRPr="00902981">
        <w:rPr>
          <w:rStyle w:val="StyleUnderline"/>
          <w:highlight w:val="green"/>
        </w:rPr>
        <w:t xml:space="preserve"> must be physically and mentally "fit," capable of speedy mobilization</w:t>
      </w:r>
      <w:r w:rsidRPr="00537D0E">
        <w:rPr>
          <w:rStyle w:val="StyleUnderline"/>
        </w:rPr>
        <w:t xml:space="preserve">, the highest level of intellectual engagement, and unencumbered by the obligations of any intimacy that doesn't permit these. </w:t>
      </w:r>
      <w:r w:rsidRPr="00537D0E">
        <w:rPr>
          <w:sz w:val="16"/>
        </w:rPr>
        <w:t xml:space="preserve">Dupont identifies "the presence of historical traces of modernist misanthropy" here, which "constructs small-group, avant-garde leadership ethics in contradistinction to the cracked and passive masses of the many .... </w:t>
      </w:r>
      <w:r w:rsidRPr="00902981">
        <w:rPr>
          <w:rStyle w:val="StyleUnderline"/>
          <w:highlight w:val="green"/>
        </w:rPr>
        <w:t xml:space="preserve">Hatred </w:t>
      </w:r>
      <w:proofErr w:type="gramStart"/>
      <w:r w:rsidRPr="00902981">
        <w:rPr>
          <w:rStyle w:val="StyleUnderline"/>
          <w:highlight w:val="green"/>
        </w:rPr>
        <w:t>of</w:t>
      </w:r>
      <w:proofErr w:type="gramEnd"/>
      <w:r w:rsidRPr="00902981">
        <w:rPr>
          <w:rStyle w:val="StyleUnderline"/>
          <w:highlight w:val="green"/>
        </w:rPr>
        <w:t xml:space="preserve"> the weak and sick is a crude</w:t>
      </w:r>
      <w:r w:rsidRPr="00537D0E">
        <w:rPr>
          <w:rStyle w:val="StyleUnderline"/>
        </w:rPr>
        <w:t xml:space="preserve"> rhetorical device </w:t>
      </w:r>
      <w:r w:rsidRPr="00537D0E">
        <w:rPr>
          <w:sz w:val="16"/>
        </w:rPr>
        <w:t xml:space="preserve">which has also been deployed by the Futurists, Lawrence, </w:t>
      </w:r>
      <w:proofErr w:type="gramStart"/>
      <w:r w:rsidRPr="00537D0E">
        <w:rPr>
          <w:sz w:val="16"/>
        </w:rPr>
        <w:t>H .</w:t>
      </w:r>
      <w:proofErr w:type="gramEnd"/>
      <w:r w:rsidRPr="00537D0E">
        <w:rPr>
          <w:sz w:val="16"/>
        </w:rPr>
        <w:t>G. Wells, Nietzsche, Leiris" (</w:t>
      </w:r>
      <w:proofErr w:type="spellStart"/>
      <w:r w:rsidRPr="00537D0E">
        <w:rPr>
          <w:sz w:val="16"/>
        </w:rPr>
        <w:t>n.p.</w:t>
      </w:r>
      <w:proofErr w:type="spellEnd"/>
      <w:r w:rsidRPr="00537D0E">
        <w:rPr>
          <w:sz w:val="16"/>
        </w:rPr>
        <w:t xml:space="preserve">). 134 The Invisible Committee however, in a move characteristic of autonomist </w:t>
      </w:r>
      <w:proofErr w:type="spellStart"/>
      <w:r w:rsidRPr="00537D0E">
        <w:rPr>
          <w:sz w:val="16"/>
        </w:rPr>
        <w:t>marx-ist</w:t>
      </w:r>
      <w:proofErr w:type="spellEnd"/>
      <w:r w:rsidRPr="00537D0E">
        <w:rPr>
          <w:sz w:val="16"/>
        </w:rPr>
        <w:t xml:space="preserve"> thought, does offer a way to recompose the crack-ups of mind and body. In Empire, Hardt and Negri suggest a more self-valorizing way to understand "failure": The will to be against really needs a body incapable of submitting to com-</w:t>
      </w:r>
      <w:proofErr w:type="spellStart"/>
      <w:r w:rsidRPr="00537D0E">
        <w:rPr>
          <w:sz w:val="16"/>
        </w:rPr>
        <w:t>mand</w:t>
      </w:r>
      <w:proofErr w:type="spellEnd"/>
      <w:r w:rsidRPr="00537D0E">
        <w:rPr>
          <w:sz w:val="16"/>
        </w:rPr>
        <w:t>. It needs a body that is incapable of submitting to family life, to factory discipline, to the regulations of a traditional sex life, and so forth. If you find your body refusing these "normal" modes of life, don't despair-realize your gift! (137) This is echoed in TCI: My failings ... become acts of resistance in the current war. They become a rebellion and a force against everything that conspires to normalize us, to am-</w:t>
      </w:r>
      <w:proofErr w:type="spellStart"/>
      <w:r w:rsidRPr="00537D0E">
        <w:rPr>
          <w:sz w:val="16"/>
        </w:rPr>
        <w:t>putate</w:t>
      </w:r>
      <w:proofErr w:type="spellEnd"/>
      <w:r w:rsidRPr="00537D0E">
        <w:rPr>
          <w:sz w:val="16"/>
        </w:rPr>
        <w:t xml:space="preserve"> us .... Our inadaptability is only a problem from the standpoint of what aims to subjugate us. [Symptoms] indicate rather a starting point, a meeting point, for new complicities. They reveal a landscape more damaged, but </w:t>
      </w:r>
      <w:proofErr w:type="spellStart"/>
      <w:r w:rsidRPr="00537D0E">
        <w:rPr>
          <w:sz w:val="16"/>
        </w:rPr>
        <w:t>infi-nitely</w:t>
      </w:r>
      <w:proofErr w:type="spellEnd"/>
      <w:r w:rsidRPr="00537D0E">
        <w:rPr>
          <w:sz w:val="16"/>
        </w:rPr>
        <w:t xml:space="preserve"> more sharable than all the fantasy lands this society maintains for its purposes. (34) The Invisible Committee proposes a necessary intermediate stage, maybe a </w:t>
      </w:r>
      <w:proofErr w:type="gramStart"/>
      <w:r w:rsidRPr="00537D0E">
        <w:rPr>
          <w:sz w:val="16"/>
        </w:rPr>
        <w:t>dictator-ship</w:t>
      </w:r>
      <w:proofErr w:type="gramEnd"/>
      <w:r w:rsidRPr="00537D0E">
        <w:rPr>
          <w:sz w:val="16"/>
        </w:rPr>
        <w:t xml:space="preserve"> of the wounded, while in </w:t>
      </w:r>
      <w:proofErr w:type="spellStart"/>
      <w:r w:rsidRPr="00537D0E">
        <w:rPr>
          <w:sz w:val="16"/>
        </w:rPr>
        <w:t>Tiqqun</w:t>
      </w:r>
      <w:proofErr w:type="spellEnd"/>
      <w:r w:rsidRPr="00537D0E">
        <w:rPr>
          <w:sz w:val="16"/>
        </w:rPr>
        <w:t xml:space="preserve">, revolutionary bodies are represented as whole-nesses, even while they valorize difference and multiplicity: A body's persistence in letting a single form-of-life affect it, despite the diversity of situations it passes through, depends on its crack. The more a body cracks up-that is, the wider and deeper its crack becomes-the fewer the </w:t>
      </w:r>
      <w:proofErr w:type="spellStart"/>
      <w:r w:rsidRPr="00537D0E">
        <w:rPr>
          <w:sz w:val="16"/>
        </w:rPr>
        <w:t>polariza-tions</w:t>
      </w:r>
      <w:proofErr w:type="spellEnd"/>
      <w:r w:rsidRPr="00537D0E">
        <w:rPr>
          <w:sz w:val="16"/>
        </w:rPr>
        <w:t xml:space="preserve"> compatible with its survival there are, and the more it will tend to </w:t>
      </w:r>
      <w:proofErr w:type="spellStart"/>
      <w:r w:rsidRPr="00537D0E">
        <w:rPr>
          <w:sz w:val="16"/>
        </w:rPr>
        <w:t>recre</w:t>
      </w:r>
      <w:proofErr w:type="spellEnd"/>
      <w:r w:rsidRPr="00537D0E">
        <w:rPr>
          <w:sz w:val="16"/>
        </w:rPr>
        <w:t xml:space="preserve">-ate situations in which it finds itself involved in its familiar polarizations. The bigger a body's crack grows, the more its absence to the world increases and its penchants dwindle. (9) </w:t>
      </w:r>
      <w:proofErr w:type="spellStart"/>
      <w:r w:rsidRPr="00537D0E">
        <w:rPr>
          <w:sz w:val="16"/>
        </w:rPr>
        <w:t>Tiqqun</w:t>
      </w:r>
      <w:proofErr w:type="spellEnd"/>
      <w:r w:rsidRPr="00537D0E">
        <w:rPr>
          <w:sz w:val="16"/>
        </w:rPr>
        <w:t xml:space="preserve"> takes "singularity," undividedness, not only as goal but also as starting place</w:t>
      </w:r>
      <w:r w:rsidRPr="00537D0E">
        <w:rPr>
          <w:rStyle w:val="StyleUnderline"/>
        </w:rPr>
        <w:t xml:space="preserve">. </w:t>
      </w:r>
      <w:r w:rsidRPr="00902981">
        <w:rPr>
          <w:rStyle w:val="StyleUnderline"/>
          <w:highlight w:val="green"/>
        </w:rPr>
        <w:t>They see a clear choice: "either desert, join us and throw yourself into becoming, or stay where you are and be dealt with in accordance with the well-</w:t>
      </w:r>
      <w:r w:rsidRPr="00902981">
        <w:rPr>
          <w:rStyle w:val="StyleUnderline"/>
          <w:highlight w:val="green"/>
        </w:rPr>
        <w:lastRenderedPageBreak/>
        <w:t xml:space="preserve">known principles of hostility: reduction and abasement" (38). But the sick, the cracked, among us are not welcome. They suspect us of being collaborators. </w:t>
      </w:r>
      <w:proofErr w:type="spellStart"/>
      <w:r w:rsidRPr="00902981">
        <w:rPr>
          <w:rStyle w:val="StyleUnderline"/>
          <w:highlight w:val="green"/>
        </w:rPr>
        <w:t>Tiqqun</w:t>
      </w:r>
      <w:proofErr w:type="spellEnd"/>
      <w:r w:rsidRPr="00902981">
        <w:rPr>
          <w:rStyle w:val="StyleUnderline"/>
          <w:highlight w:val="green"/>
        </w:rPr>
        <w:t xml:space="preserve"> also reduces and abases us.</w:t>
      </w:r>
      <w:r w:rsidRPr="00537D0E">
        <w:rPr>
          <w:rStyle w:val="StyleUnderline"/>
        </w:rPr>
        <w:t xml:space="preserve"> </w:t>
      </w:r>
    </w:p>
    <w:p w14:paraId="3CC9092A" w14:textId="3AE32C54" w:rsidR="005D1BCD" w:rsidRPr="00EE5FEC" w:rsidRDefault="005D1BCD" w:rsidP="005D1BCD">
      <w:pPr>
        <w:pStyle w:val="Heading4"/>
      </w:pPr>
      <w:r w:rsidRPr="00EE5FEC">
        <w:t>Imaged futures are rooted in a desire to eradicate disability. Dissenting in debate carves epistemological space for disabled communal futures.</w:t>
      </w:r>
    </w:p>
    <w:p w14:paraId="07715EA3" w14:textId="77777777" w:rsidR="005D1BCD" w:rsidRPr="00823C3D" w:rsidRDefault="005D1BCD" w:rsidP="005D1BCD">
      <w:pPr>
        <w:rPr>
          <w:rStyle w:val="StyleUnderline"/>
        </w:rPr>
      </w:pPr>
      <w:r>
        <w:rPr>
          <w:rStyle w:val="Style13ptBold"/>
        </w:rPr>
        <w:t>Kafer</w:t>
      </w:r>
      <w:r w:rsidRPr="004E5206">
        <w:rPr>
          <w:rStyle w:val="Style13ptBold"/>
        </w:rPr>
        <w:t xml:space="preserve"> </w:t>
      </w:r>
      <w:r>
        <w:rPr>
          <w:rStyle w:val="Style13ptBold"/>
        </w:rPr>
        <w:t>2013</w:t>
      </w:r>
      <w:r w:rsidRPr="004E5206">
        <w:t xml:space="preserve">, </w:t>
      </w:r>
      <w:r>
        <w:t xml:space="preserve">She is </w:t>
      </w:r>
      <w:proofErr w:type="spellStart"/>
      <w:proofErr w:type="gramStart"/>
      <w:r>
        <w:t>a</w:t>
      </w:r>
      <w:proofErr w:type="spellEnd"/>
      <w:proofErr w:type="gramEnd"/>
      <w:r>
        <w:t xml:space="preserve"> academic specializing in queer and disability studies</w:t>
      </w:r>
      <w:r w:rsidRPr="004E5206">
        <w:t>. (</w:t>
      </w:r>
      <w:r>
        <w:t>Alison</w:t>
      </w:r>
      <w:r w:rsidRPr="004E5206">
        <w:t xml:space="preserve">, </w:t>
      </w:r>
      <w:r>
        <w:t>2013</w:t>
      </w:r>
      <w:r w:rsidRPr="004E5206">
        <w:t>, “</w:t>
      </w:r>
      <w:r>
        <w:t>Time for disability studies and a future for crips</w:t>
      </w:r>
      <w:r w:rsidRPr="004E5206">
        <w:t xml:space="preserve">,” </w:t>
      </w:r>
      <w:r>
        <w:t>Indiana University Press</w:t>
      </w:r>
      <w:r w:rsidRPr="004E5206">
        <w:t xml:space="preserve">, </w:t>
      </w:r>
      <w:proofErr w:type="gramStart"/>
      <w:r w:rsidRPr="004E5206">
        <w:t xml:space="preserve">Link) </w:t>
      </w:r>
      <w:r>
        <w:t xml:space="preserve"> AF</w:t>
      </w:r>
      <w:proofErr w:type="gramEnd"/>
    </w:p>
    <w:p w14:paraId="2348468B" w14:textId="77777777" w:rsidR="005D1BCD" w:rsidRPr="006F1C47" w:rsidRDefault="005D1BCD" w:rsidP="005D1BCD">
      <w:pPr>
        <w:rPr>
          <w:sz w:val="16"/>
        </w:rPr>
      </w:pPr>
      <w:r w:rsidRPr="00CA4AE2">
        <w:rPr>
          <w:rStyle w:val="StyleUnderline"/>
        </w:rPr>
        <w:t xml:space="preserve">These grim </w:t>
      </w:r>
      <w:r w:rsidRPr="006F1C47">
        <w:rPr>
          <w:rStyle w:val="StyleUnderline"/>
        </w:rPr>
        <w:t>imagined futures</w:t>
      </w:r>
      <w:r w:rsidRPr="00CA4AE2">
        <w:rPr>
          <w:rStyle w:val="StyleUnderline"/>
        </w:rPr>
        <w:t>, these suggestions that a better life would of necessity require the absence of impairment, have not gone unchallenged. My friends, family, and colleagues have consistently conjured other futures for me, refusing to accept ableist suggestions that disability is a fate worse than death or that disability prohibits a full life</w:t>
      </w:r>
      <w:r w:rsidRPr="006F1C47">
        <w:rPr>
          <w:sz w:val="16"/>
        </w:rPr>
        <w:t xml:space="preserve">. Those who have been most vocal in imagining my future as ripe with opportunities have been other disabled people, who are themselves resisting negative interpretations of their futures. They tell stories of lives lived fully, and my future, according to them, involves not isolation and pathos but community and possibility: I could write books, teach, travel, love and be loved; I might raise children or become a community organizer or make art; I could engage in activist struggles for the rights of disabled people or get involved in other movements for social justice. </w:t>
      </w:r>
      <w:r w:rsidRPr="00CA4AE2">
        <w:rPr>
          <w:rStyle w:val="StyleUnderline"/>
        </w:rPr>
        <w:t xml:space="preserve">At first glance, these contradictory imagined futures have nothing in common: the first casts disability as pitiable misfortune, a tragedy that effectively prevents one from leading a good life, while the second refuses such inevitability, positioning ableism—not disability—as the obstacle to a good life. What these two representations of the future share, however, is a strong link to the present. </w:t>
      </w:r>
      <w:r w:rsidRPr="006F1C47">
        <w:rPr>
          <w:rStyle w:val="StyleUnderline"/>
          <w:highlight w:val="green"/>
        </w:rPr>
        <w:t>How one understands disability in the present determines how one imagines disability in the future</w:t>
      </w:r>
      <w:r w:rsidRPr="00CA4AE2">
        <w:rPr>
          <w:rStyle w:val="StyleUnderline"/>
        </w:rPr>
        <w:t xml:space="preserve">; one’s assumptions about the experience of disability create one’s conception of a better future. </w:t>
      </w:r>
      <w:r w:rsidRPr="006F1C47">
        <w:rPr>
          <w:rStyle w:val="StyleUnderline"/>
          <w:highlight w:val="green"/>
        </w:rPr>
        <w:t>If disability is conceptualized as a terrible</w:t>
      </w:r>
      <w:r w:rsidRPr="00CA4AE2">
        <w:rPr>
          <w:rStyle w:val="StyleUnderline"/>
        </w:rPr>
        <w:t xml:space="preserve"> unending </w:t>
      </w:r>
      <w:r w:rsidRPr="006F1C47">
        <w:rPr>
          <w:rStyle w:val="StyleUnderline"/>
          <w:highlight w:val="green"/>
        </w:rPr>
        <w:t xml:space="preserve">tragedy, then any future that includes disability can </w:t>
      </w:r>
      <w:r w:rsidRPr="00666005">
        <w:rPr>
          <w:rStyle w:val="StyleUnderline"/>
        </w:rPr>
        <w:t xml:space="preserve">only </w:t>
      </w:r>
      <w:r w:rsidRPr="006F1C47">
        <w:rPr>
          <w:rStyle w:val="StyleUnderline"/>
          <w:highlight w:val="green"/>
        </w:rPr>
        <w:t>be a future to avoid</w:t>
      </w:r>
      <w:r w:rsidRPr="00CA4AE2">
        <w:rPr>
          <w:rStyle w:val="StyleUnderline"/>
        </w:rPr>
        <w:t xml:space="preserve">. </w:t>
      </w:r>
      <w:r w:rsidRPr="00666005">
        <w:rPr>
          <w:rStyle w:val="StyleUnderline"/>
        </w:rPr>
        <w:t xml:space="preserve">A better future, in other words, is one that excludes disability and disabled bodies; indeed, it </w:t>
      </w:r>
      <w:r w:rsidRPr="00666005">
        <w:rPr>
          <w:rStyle w:val="Emphasis"/>
        </w:rPr>
        <w:t xml:space="preserve">is </w:t>
      </w:r>
      <w:r w:rsidRPr="006F1C47">
        <w:rPr>
          <w:rStyle w:val="Emphasis"/>
          <w:highlight w:val="green"/>
        </w:rPr>
        <w:t xml:space="preserve">the </w:t>
      </w:r>
      <w:r w:rsidRPr="00666005">
        <w:rPr>
          <w:rStyle w:val="Emphasis"/>
        </w:rPr>
        <w:t xml:space="preserve">very </w:t>
      </w:r>
      <w:r w:rsidRPr="006F1C47">
        <w:rPr>
          <w:rStyle w:val="Emphasis"/>
          <w:highlight w:val="green"/>
        </w:rPr>
        <w:t xml:space="preserve">absence of disability </w:t>
      </w:r>
      <w:r w:rsidRPr="00666005">
        <w:rPr>
          <w:rStyle w:val="Emphasis"/>
        </w:rPr>
        <w:t xml:space="preserve">that </w:t>
      </w:r>
      <w:r w:rsidRPr="006F1C47">
        <w:rPr>
          <w:rStyle w:val="Emphasis"/>
          <w:highlight w:val="green"/>
        </w:rPr>
        <w:t>signals this</w:t>
      </w:r>
      <w:r w:rsidRPr="00CA4AE2">
        <w:rPr>
          <w:rStyle w:val="Emphasis"/>
        </w:rPr>
        <w:t xml:space="preserve"> </w:t>
      </w:r>
      <w:r w:rsidRPr="006F1C47">
        <w:rPr>
          <w:rStyle w:val="Emphasis"/>
          <w:highlight w:val="green"/>
        </w:rPr>
        <w:t xml:space="preserve">better </w:t>
      </w:r>
      <w:r w:rsidRPr="00666005">
        <w:rPr>
          <w:rStyle w:val="Emphasis"/>
          <w:highlight w:val="green"/>
        </w:rPr>
        <w:t>future</w:t>
      </w:r>
      <w:r w:rsidRPr="00666005">
        <w:rPr>
          <w:rStyle w:val="StyleUnderline"/>
          <w:highlight w:val="green"/>
        </w:rPr>
        <w:t xml:space="preserve">. The presence of disability, </w:t>
      </w:r>
      <w:r w:rsidRPr="00666005">
        <w:rPr>
          <w:rStyle w:val="StyleUnderline"/>
        </w:rPr>
        <w:t>then</w:t>
      </w:r>
      <w:r w:rsidRPr="00666005">
        <w:rPr>
          <w:rStyle w:val="StyleUnderline"/>
          <w:highlight w:val="green"/>
        </w:rPr>
        <w:t xml:space="preserve">, signals </w:t>
      </w:r>
      <w:r w:rsidRPr="00666005">
        <w:rPr>
          <w:rStyle w:val="StyleUnderline"/>
        </w:rPr>
        <w:t>something else</w:t>
      </w:r>
      <w:r w:rsidRPr="00666005">
        <w:rPr>
          <w:rStyle w:val="StyleUnderline"/>
          <w:highlight w:val="green"/>
        </w:rPr>
        <w:t xml:space="preserve">: a future that bears too many </w:t>
      </w:r>
      <w:r w:rsidRPr="00666005">
        <w:rPr>
          <w:rStyle w:val="StyleUnderline"/>
        </w:rPr>
        <w:t xml:space="preserve">traces of the </w:t>
      </w:r>
      <w:r w:rsidRPr="00666005">
        <w:rPr>
          <w:rStyle w:val="StyleUnderline"/>
          <w:highlight w:val="green"/>
        </w:rPr>
        <w:t>ills of the present to be desirable.</w:t>
      </w:r>
      <w:r w:rsidRPr="006F1C47">
        <w:rPr>
          <w:rStyle w:val="StyleUnderline"/>
        </w:rPr>
        <w:t xml:space="preserve"> In this frame- work, a future with disability is a future no one wants, and the figure of the disabled person, especially the disabled fetus or child, becomes the symbol of this undesired</w:t>
      </w:r>
      <w:r w:rsidRPr="006F1C47">
        <w:rPr>
          <w:sz w:val="16"/>
        </w:rPr>
        <w:t xml:space="preserve"> </w:t>
      </w:r>
      <w:r w:rsidRPr="00CA4AE2">
        <w:rPr>
          <w:sz w:val="16"/>
        </w:rPr>
        <w:t>As James Watson—a geneticist involved in the discovery of DNA and the development of the Human Genome Project—puts it, “We already accept that most couples</w:t>
      </w:r>
      <w:r w:rsidRPr="006F1C47">
        <w:rPr>
          <w:sz w:val="16"/>
        </w:rPr>
        <w:t xml:space="preserve"> </w:t>
      </w:r>
      <w:r w:rsidRPr="00CA4AE2">
        <w:rPr>
          <w:sz w:val="16"/>
        </w:rPr>
        <w:t>don’t want a Down child. You would have to be crazy to say you wanted one, because</w:t>
      </w:r>
      <w:r w:rsidRPr="006F1C47">
        <w:rPr>
          <w:sz w:val="16"/>
        </w:rPr>
        <w:t xml:space="preserve"> </w:t>
      </w:r>
      <w:r w:rsidRPr="00CA4AE2">
        <w:rPr>
          <w:sz w:val="16"/>
        </w:rPr>
        <w:t>that child has no future.”1 Although Watson is infamous for making claims about who</w:t>
      </w:r>
      <w:r w:rsidRPr="006F1C47">
        <w:rPr>
          <w:sz w:val="16"/>
        </w:rPr>
        <w:t xml:space="preserve"> </w:t>
      </w:r>
      <w:r w:rsidRPr="00CA4AE2">
        <w:rPr>
          <w:sz w:val="16"/>
        </w:rPr>
        <w:t>should and shouldn’t inhabit the world, he’s not alone in expressing this kind of sentiment. 2 Watson’s version simply makes clear some of the assumptions underlying this</w:t>
      </w:r>
      <w:r w:rsidRPr="006F1C47">
        <w:rPr>
          <w:sz w:val="16"/>
        </w:rPr>
        <w:t xml:space="preserve"> </w:t>
      </w:r>
      <w:r w:rsidRPr="00CA4AE2">
        <w:rPr>
          <w:sz w:val="16"/>
        </w:rPr>
        <w:t xml:space="preserve">discourse, and they are assumptions that cut to the heart of this project. </w:t>
      </w:r>
      <w:r w:rsidRPr="00CA4AE2">
        <w:rPr>
          <w:rStyle w:val="StyleUnderline"/>
        </w:rPr>
        <w:t>The first is that</w:t>
      </w:r>
      <w:r w:rsidRPr="006F1C47">
        <w:rPr>
          <w:rStyle w:val="StyleUnderline"/>
        </w:rPr>
        <w:t xml:space="preserve"> </w:t>
      </w:r>
      <w:r w:rsidRPr="00CA4AE2">
        <w:rPr>
          <w:rStyle w:val="StyleUnderline"/>
          <w:highlight w:val="green"/>
        </w:rPr>
        <w:t>disability is seen as the sign of no future</w:t>
      </w:r>
      <w:r w:rsidRPr="00CA4AE2">
        <w:rPr>
          <w:rStyle w:val="StyleUnderline"/>
        </w:rPr>
        <w:t xml:space="preserve">, or at least of </w:t>
      </w:r>
      <w:proofErr w:type="gramStart"/>
      <w:r w:rsidRPr="00CA4AE2">
        <w:rPr>
          <w:rStyle w:val="StyleUnderline"/>
        </w:rPr>
        <w:t>no good</w:t>
      </w:r>
      <w:proofErr w:type="gramEnd"/>
      <w:r w:rsidRPr="00CA4AE2">
        <w:rPr>
          <w:rStyle w:val="StyleUnderline"/>
        </w:rPr>
        <w:t xml:space="preserve"> future. </w:t>
      </w:r>
      <w:r w:rsidRPr="00CA4AE2">
        <w:rPr>
          <w:rStyle w:val="StyleUnderline"/>
          <w:highlight w:val="green"/>
        </w:rPr>
        <w:t>The</w:t>
      </w:r>
      <w:r w:rsidRPr="00CA4AE2">
        <w:rPr>
          <w:rStyle w:val="StyleUnderline"/>
        </w:rPr>
        <w:t xml:space="preserve"> second, and</w:t>
      </w:r>
      <w:r w:rsidRPr="006F1C47">
        <w:rPr>
          <w:rStyle w:val="StyleUnderline"/>
        </w:rPr>
        <w:t xml:space="preserve"> </w:t>
      </w:r>
      <w:r w:rsidRPr="00CA4AE2">
        <w:rPr>
          <w:rStyle w:val="StyleUnderline"/>
        </w:rPr>
        <w:t xml:space="preserve">related, </w:t>
      </w:r>
      <w:r w:rsidRPr="00CA4AE2">
        <w:rPr>
          <w:rStyle w:val="StyleUnderline"/>
          <w:highlight w:val="green"/>
        </w:rPr>
        <w:t>assumption</w:t>
      </w:r>
      <w:r w:rsidRPr="00CA4AE2">
        <w:rPr>
          <w:rStyle w:val="StyleUnderline"/>
        </w:rPr>
        <w:t xml:space="preserve"> is </w:t>
      </w:r>
      <w:r w:rsidRPr="00CA4AE2">
        <w:rPr>
          <w:rStyle w:val="StyleUnderline"/>
          <w:highlight w:val="green"/>
        </w:rPr>
        <w:t>that we</w:t>
      </w:r>
      <w:r w:rsidRPr="00CA4AE2">
        <w:rPr>
          <w:rStyle w:val="StyleUnderline"/>
        </w:rPr>
        <w:t xml:space="preserve"> all </w:t>
      </w:r>
      <w:r w:rsidRPr="00CA4AE2">
        <w:rPr>
          <w:rStyle w:val="StyleUnderline"/>
          <w:highlight w:val="green"/>
        </w:rPr>
        <w:t>agree</w:t>
      </w:r>
      <w:r w:rsidRPr="00CA4AE2">
        <w:rPr>
          <w:rStyle w:val="StyleUnderline"/>
        </w:rPr>
        <w:t xml:space="preserve">; not only do we accept </w:t>
      </w:r>
      <w:r w:rsidRPr="00CA4AE2">
        <w:rPr>
          <w:rStyle w:val="StyleUnderline"/>
          <w:highlight w:val="green"/>
        </w:rPr>
        <w:t>that</w:t>
      </w:r>
      <w:r w:rsidRPr="00CA4AE2">
        <w:rPr>
          <w:rStyle w:val="StyleUnderline"/>
        </w:rPr>
        <w:t xml:space="preserve"> </w:t>
      </w:r>
      <w:r w:rsidRPr="00CA4AE2">
        <w:rPr>
          <w:rStyle w:val="StyleUnderline"/>
          <w:highlight w:val="green"/>
        </w:rPr>
        <w:t>couples don’t want</w:t>
      </w:r>
      <w:r w:rsidRPr="00666005">
        <w:rPr>
          <w:rStyle w:val="StyleUnderline"/>
          <w:highlight w:val="green"/>
        </w:rPr>
        <w:t xml:space="preserve"> </w:t>
      </w:r>
      <w:r w:rsidRPr="00CA4AE2">
        <w:rPr>
          <w:rStyle w:val="StyleUnderline"/>
          <w:highlight w:val="green"/>
        </w:rPr>
        <w:t>a child with Down syndrome</w:t>
      </w:r>
      <w:r w:rsidRPr="00CA4AE2">
        <w:rPr>
          <w:rStyle w:val="StyleUnderline"/>
        </w:rPr>
        <w:t>, we know that anyone who feels otherwise is “crazy.”</w:t>
      </w:r>
      <w:r w:rsidRPr="00CA4AE2">
        <w:rPr>
          <w:sz w:val="16"/>
        </w:rPr>
        <w:t>3 To</w:t>
      </w:r>
      <w:r w:rsidRPr="006F1C47">
        <w:rPr>
          <w:sz w:val="16"/>
        </w:rPr>
        <w:t xml:space="preserve"> </w:t>
      </w:r>
      <w:r w:rsidRPr="00CA4AE2">
        <w:rPr>
          <w:sz w:val="16"/>
        </w:rPr>
        <w:t>want a disabled child, to desire or even to accept disability in this way, is to be disordered, unbalanced, sick. “We” all know this, and there is no room for “you” to think</w:t>
      </w:r>
      <w:r w:rsidRPr="006F1C47">
        <w:rPr>
          <w:sz w:val="16"/>
        </w:rPr>
        <w:t xml:space="preserve"> </w:t>
      </w:r>
      <w:r w:rsidRPr="00CA4AE2">
        <w:rPr>
          <w:sz w:val="16"/>
        </w:rPr>
        <w:t>differently.</w:t>
      </w:r>
      <w:r w:rsidRPr="006F1C47">
        <w:rPr>
          <w:sz w:val="16"/>
        </w:rPr>
        <w:t xml:space="preserve"> </w:t>
      </w:r>
      <w:r w:rsidRPr="00CA4AE2">
        <w:rPr>
          <w:rStyle w:val="StyleUnderline"/>
          <w:highlight w:val="green"/>
        </w:rPr>
        <w:t>It is this presumption of agreement</w:t>
      </w:r>
      <w:r w:rsidRPr="00CA4AE2">
        <w:rPr>
          <w:rStyle w:val="StyleUnderline"/>
        </w:rPr>
        <w:t xml:space="preserve">, this belief </w:t>
      </w:r>
      <w:r w:rsidRPr="00CA4AE2">
        <w:rPr>
          <w:rStyle w:val="StyleUnderline"/>
          <w:highlight w:val="green"/>
        </w:rPr>
        <w:t>that we all desire the same</w:t>
      </w:r>
      <w:r w:rsidRPr="00CA4AE2">
        <w:rPr>
          <w:rStyle w:val="StyleUnderline"/>
        </w:rPr>
        <w:t xml:space="preserve"> </w:t>
      </w:r>
      <w:r w:rsidRPr="00CA4AE2">
        <w:rPr>
          <w:rStyle w:val="StyleUnderline"/>
          <w:highlight w:val="green"/>
        </w:rPr>
        <w:t>futures</w:t>
      </w:r>
      <w:r w:rsidRPr="00CA4AE2">
        <w:rPr>
          <w:rStyle w:val="StyleUnderline"/>
        </w:rPr>
        <w:t>,</w:t>
      </w:r>
      <w:r w:rsidRPr="006F1C47">
        <w:rPr>
          <w:rStyle w:val="StyleUnderline"/>
        </w:rPr>
        <w:t xml:space="preserve"> </w:t>
      </w:r>
      <w:r w:rsidRPr="00CA4AE2">
        <w:rPr>
          <w:rStyle w:val="StyleUnderline"/>
        </w:rPr>
        <w:t xml:space="preserve">that I take up in this book. I am particularly interested in uncovering the ways </w:t>
      </w:r>
      <w:r w:rsidRPr="00CA4AE2">
        <w:rPr>
          <w:rStyle w:val="StyleUnderline"/>
          <w:highlight w:val="green"/>
        </w:rPr>
        <w:t>the</w:t>
      </w:r>
      <w:r w:rsidRPr="00666005">
        <w:rPr>
          <w:rStyle w:val="StyleUnderline"/>
          <w:highlight w:val="green"/>
        </w:rPr>
        <w:t xml:space="preserve"> </w:t>
      </w:r>
      <w:r w:rsidRPr="00CA4AE2">
        <w:rPr>
          <w:rStyle w:val="StyleUnderline"/>
          <w:highlight w:val="green"/>
        </w:rPr>
        <w:t>disabled body</w:t>
      </w:r>
      <w:r w:rsidRPr="00CA4AE2">
        <w:rPr>
          <w:rStyle w:val="StyleUnderline"/>
        </w:rPr>
        <w:t xml:space="preserve"> </w:t>
      </w:r>
      <w:r w:rsidRPr="00CA4AE2">
        <w:rPr>
          <w:rStyle w:val="StyleUnderline"/>
          <w:highlight w:val="green"/>
        </w:rPr>
        <w:t xml:space="preserve">is put to use in </w:t>
      </w:r>
      <w:r w:rsidRPr="00CA4AE2">
        <w:rPr>
          <w:rStyle w:val="StyleUnderline"/>
        </w:rPr>
        <w:t xml:space="preserve">these </w:t>
      </w:r>
      <w:r w:rsidRPr="00CA4AE2">
        <w:rPr>
          <w:rStyle w:val="StyleUnderline"/>
          <w:highlight w:val="green"/>
        </w:rPr>
        <w:t>future visions, attending to both metaphorical</w:t>
      </w:r>
      <w:r w:rsidRPr="00666005">
        <w:rPr>
          <w:rStyle w:val="StyleUnderline"/>
          <w:highlight w:val="green"/>
        </w:rPr>
        <w:t xml:space="preserve"> </w:t>
      </w:r>
      <w:r w:rsidRPr="00CA4AE2">
        <w:rPr>
          <w:rStyle w:val="StyleUnderline"/>
          <w:highlight w:val="green"/>
        </w:rPr>
        <w:t>and “corporeal presence and absence</w:t>
      </w:r>
      <w:r w:rsidRPr="00CA4AE2">
        <w:rPr>
          <w:sz w:val="16"/>
        </w:rPr>
        <w:t xml:space="preserve">.”4 I argue </w:t>
      </w:r>
      <w:r w:rsidRPr="00CA4AE2">
        <w:rPr>
          <w:rStyle w:val="StyleUnderline"/>
        </w:rPr>
        <w:t>that disability is disavowed in these</w:t>
      </w:r>
      <w:r w:rsidRPr="006F1C47">
        <w:rPr>
          <w:rStyle w:val="StyleUnderline"/>
        </w:rPr>
        <w:t xml:space="preserve"> </w:t>
      </w:r>
      <w:r w:rsidRPr="00CA4AE2">
        <w:rPr>
          <w:rStyle w:val="StyleUnderline"/>
        </w:rPr>
        <w:t>futures in two ways: first, the value of a future that includes disabled people goes</w:t>
      </w:r>
      <w:r w:rsidRPr="006F1C47">
        <w:rPr>
          <w:rStyle w:val="StyleUnderline"/>
        </w:rPr>
        <w:t xml:space="preserve"> </w:t>
      </w:r>
      <w:r w:rsidRPr="00CA4AE2">
        <w:rPr>
          <w:rStyle w:val="StyleUnderline"/>
        </w:rPr>
        <w:t>unrecognized</w:t>
      </w:r>
      <w:r w:rsidRPr="00CA4AE2">
        <w:rPr>
          <w:sz w:val="16"/>
        </w:rPr>
        <w:t>, while the value of a disability-free future is seen as self-evident; and</w:t>
      </w:r>
      <w:r w:rsidRPr="006F1C47">
        <w:rPr>
          <w:sz w:val="16"/>
        </w:rPr>
        <w:t xml:space="preserve"> </w:t>
      </w:r>
      <w:r w:rsidRPr="00CA4AE2">
        <w:rPr>
          <w:rStyle w:val="StyleUnderline"/>
        </w:rPr>
        <w:t>second, the political nature of disability, namely its position as a category to be con-</w:t>
      </w:r>
      <w:r w:rsidRPr="006F1C47">
        <w:rPr>
          <w:rStyle w:val="StyleUnderline"/>
        </w:rPr>
        <w:t xml:space="preserve"> </w:t>
      </w:r>
      <w:r w:rsidRPr="00CA4AE2">
        <w:rPr>
          <w:rStyle w:val="StyleUnderline"/>
        </w:rPr>
        <w:t xml:space="preserve">tested and debated, goes unacknowledged. </w:t>
      </w:r>
      <w:r w:rsidRPr="00CA4AE2">
        <w:rPr>
          <w:sz w:val="16"/>
        </w:rPr>
        <w:t>The second failure of recognition makes</w:t>
      </w:r>
      <w:r w:rsidRPr="006F1C47">
        <w:rPr>
          <w:sz w:val="16"/>
        </w:rPr>
        <w:t xml:space="preserve"> </w:t>
      </w:r>
      <w:r w:rsidRPr="00CA4AE2">
        <w:rPr>
          <w:sz w:val="16"/>
        </w:rPr>
        <w:t>possible the first</w:t>
      </w:r>
      <w:r w:rsidRPr="00CA4AE2">
        <w:rPr>
          <w:sz w:val="20"/>
          <w:szCs w:val="28"/>
        </w:rPr>
        <w:t xml:space="preserve">; </w:t>
      </w:r>
      <w:r w:rsidRPr="00CA4AE2">
        <w:rPr>
          <w:sz w:val="20"/>
          <w:szCs w:val="28"/>
          <w:highlight w:val="green"/>
          <w:u w:val="single"/>
        </w:rPr>
        <w:t xml:space="preserve">casting disability as monolithic </w:t>
      </w:r>
      <w:r w:rsidRPr="00CA4AE2">
        <w:rPr>
          <w:sz w:val="20"/>
          <w:szCs w:val="28"/>
          <w:u w:val="single"/>
        </w:rPr>
        <w:t>fact of the body</w:t>
      </w:r>
      <w:r w:rsidRPr="00CA4AE2">
        <w:rPr>
          <w:sz w:val="20"/>
          <w:szCs w:val="28"/>
        </w:rPr>
        <w:t xml:space="preserve">, as </w:t>
      </w:r>
      <w:r w:rsidRPr="00CA4AE2">
        <w:rPr>
          <w:sz w:val="20"/>
          <w:szCs w:val="28"/>
          <w:highlight w:val="green"/>
          <w:u w:val="single"/>
        </w:rPr>
        <w:t>beyond the realm</w:t>
      </w:r>
      <w:r w:rsidRPr="00462556">
        <w:rPr>
          <w:sz w:val="20"/>
          <w:szCs w:val="28"/>
          <w:highlight w:val="green"/>
          <w:u w:val="single"/>
        </w:rPr>
        <w:t xml:space="preserve"> </w:t>
      </w:r>
      <w:r w:rsidRPr="00CA4AE2">
        <w:rPr>
          <w:sz w:val="20"/>
          <w:szCs w:val="28"/>
          <w:highlight w:val="green"/>
          <w:u w:val="single"/>
        </w:rPr>
        <w:t>of</w:t>
      </w:r>
      <w:r w:rsidRPr="00CA4AE2">
        <w:rPr>
          <w:sz w:val="20"/>
          <w:szCs w:val="28"/>
          <w:u w:val="single"/>
        </w:rPr>
        <w:t xml:space="preserve"> </w:t>
      </w:r>
      <w:r w:rsidRPr="00CA4AE2">
        <w:rPr>
          <w:sz w:val="20"/>
          <w:szCs w:val="28"/>
        </w:rPr>
        <w:t xml:space="preserve">the political and therefore beyond the realm of </w:t>
      </w:r>
      <w:r w:rsidRPr="00CA4AE2">
        <w:rPr>
          <w:sz w:val="20"/>
          <w:szCs w:val="28"/>
          <w:highlight w:val="green"/>
          <w:u w:val="single"/>
        </w:rPr>
        <w:t>debate or dissent, makes it impos</w:t>
      </w:r>
      <w:r w:rsidRPr="00462556">
        <w:rPr>
          <w:sz w:val="20"/>
          <w:szCs w:val="28"/>
          <w:highlight w:val="green"/>
          <w:u w:val="single"/>
        </w:rPr>
        <w:t>s</w:t>
      </w:r>
      <w:r w:rsidRPr="00CA4AE2">
        <w:rPr>
          <w:sz w:val="20"/>
          <w:szCs w:val="28"/>
          <w:highlight w:val="green"/>
          <w:u w:val="single"/>
        </w:rPr>
        <w:t>ible to imagine</w:t>
      </w:r>
      <w:r w:rsidRPr="00CA4AE2">
        <w:rPr>
          <w:sz w:val="20"/>
          <w:szCs w:val="28"/>
        </w:rPr>
        <w:t xml:space="preserve"> disability and </w:t>
      </w:r>
      <w:r w:rsidRPr="00CA4AE2">
        <w:rPr>
          <w:sz w:val="20"/>
          <w:szCs w:val="28"/>
          <w:highlight w:val="green"/>
          <w:u w:val="single"/>
        </w:rPr>
        <w:t>disability futures</w:t>
      </w:r>
      <w:r w:rsidRPr="00CA4AE2">
        <w:rPr>
          <w:sz w:val="20"/>
          <w:szCs w:val="28"/>
        </w:rPr>
        <w:t xml:space="preserve"> </w:t>
      </w:r>
      <w:r w:rsidRPr="00CA4AE2">
        <w:rPr>
          <w:sz w:val="16"/>
        </w:rPr>
        <w:t>differently. Challenging the rhetoric</w:t>
      </w:r>
      <w:r w:rsidRPr="006F1C47">
        <w:rPr>
          <w:sz w:val="16"/>
        </w:rPr>
        <w:t xml:space="preserve"> </w:t>
      </w:r>
      <w:r w:rsidRPr="00CA4AE2">
        <w:rPr>
          <w:sz w:val="16"/>
        </w:rPr>
        <w:t>of naturalness and inevitability that underlies these discussions, I argue that decisions</w:t>
      </w:r>
      <w:r w:rsidRPr="006F1C47">
        <w:rPr>
          <w:sz w:val="16"/>
        </w:rPr>
        <w:t xml:space="preserve"> </w:t>
      </w:r>
      <w:r w:rsidRPr="00CA4AE2">
        <w:rPr>
          <w:sz w:val="16"/>
        </w:rPr>
        <w:t>about the future of disability and disabled people are political decisions and should be</w:t>
      </w:r>
      <w:r w:rsidRPr="006F1C47">
        <w:rPr>
          <w:sz w:val="16"/>
        </w:rPr>
        <w:t xml:space="preserve"> </w:t>
      </w:r>
      <w:r w:rsidRPr="00CA4AE2">
        <w:rPr>
          <w:sz w:val="16"/>
        </w:rPr>
        <w:t>recognized and treated as such. Rather than assume that a “good” future naturally and</w:t>
      </w:r>
      <w:r w:rsidRPr="006F1C47">
        <w:rPr>
          <w:sz w:val="16"/>
        </w:rPr>
        <w:t xml:space="preserve"> </w:t>
      </w:r>
      <w:r w:rsidRPr="00CA4AE2">
        <w:rPr>
          <w:sz w:val="16"/>
        </w:rPr>
        <w:t xml:space="preserve">obviously depends upon the eradication of disability, we must recognize this perspective as colored by histories of ableism and disability oppression. </w:t>
      </w:r>
      <w:r w:rsidRPr="00CA4AE2">
        <w:rPr>
          <w:rStyle w:val="StyleUnderline"/>
        </w:rPr>
        <w:t>Thus, in tracing these</w:t>
      </w:r>
      <w:r w:rsidRPr="00823C3D">
        <w:rPr>
          <w:rStyle w:val="StyleUnderline"/>
        </w:rPr>
        <w:t xml:space="preserve"> </w:t>
      </w:r>
      <w:r w:rsidRPr="00CA4AE2">
        <w:rPr>
          <w:rStyle w:val="StyleUnderline"/>
        </w:rPr>
        <w:t xml:space="preserve">two failures of </w:t>
      </w:r>
      <w:r w:rsidRPr="00CA4AE2">
        <w:rPr>
          <w:rStyle w:val="StyleUnderline"/>
        </w:rPr>
        <w:lastRenderedPageBreak/>
        <w:t>recognition—the disavowal of disability from “our” futures—I imagine</w:t>
      </w:r>
      <w:r w:rsidRPr="00823C3D">
        <w:rPr>
          <w:rStyle w:val="StyleUnderline"/>
        </w:rPr>
        <w:t xml:space="preserve"> </w:t>
      </w:r>
      <w:r w:rsidRPr="00CA4AE2">
        <w:rPr>
          <w:rStyle w:val="StyleUnderline"/>
        </w:rPr>
        <w:t>futures otherwise, arguing for a cripped politics of access and engagement based on</w:t>
      </w:r>
      <w:r w:rsidRPr="006F1C47">
        <w:rPr>
          <w:rStyle w:val="StyleUnderline"/>
        </w:rPr>
        <w:t xml:space="preserve"> </w:t>
      </w:r>
      <w:r w:rsidRPr="00CA4AE2">
        <w:rPr>
          <w:rStyle w:val="StyleUnderline"/>
        </w:rPr>
        <w:t>the work of disability activists and theorists</w:t>
      </w:r>
      <w:r w:rsidRPr="00CA4AE2">
        <w:rPr>
          <w:sz w:val="16"/>
        </w:rPr>
        <w:t>.</w:t>
      </w:r>
      <w:r w:rsidRPr="006F1C47">
        <w:rPr>
          <w:sz w:val="16"/>
        </w:rPr>
        <w:t xml:space="preserve"> </w:t>
      </w:r>
    </w:p>
    <w:p w14:paraId="26C7063C" w14:textId="77777777" w:rsidR="005D1BCD" w:rsidRDefault="005D1BCD" w:rsidP="005D1BCD">
      <w:pPr>
        <w:rPr>
          <w:sz w:val="16"/>
        </w:rPr>
      </w:pPr>
    </w:p>
    <w:p w14:paraId="0AAB79B2" w14:textId="77777777" w:rsidR="00093ED1" w:rsidRPr="00C75CF7" w:rsidRDefault="00093ED1" w:rsidP="00093ED1">
      <w:pPr>
        <w:pStyle w:val="Heading4"/>
      </w:pPr>
      <w:r w:rsidRPr="00C75CF7">
        <w:t xml:space="preserve">The affirmative </w:t>
      </w:r>
      <w:r>
        <w:t xml:space="preserve">uses analogies of disability using narrative prosthesis causes </w:t>
      </w:r>
      <w:proofErr w:type="spellStart"/>
      <w:r>
        <w:t>violenece</w:t>
      </w:r>
      <w:proofErr w:type="spellEnd"/>
      <w:r>
        <w:t xml:space="preserve"> against disabled people </w:t>
      </w:r>
    </w:p>
    <w:p w14:paraId="6F684CBF" w14:textId="77777777" w:rsidR="00093ED1" w:rsidRDefault="00093ED1" w:rsidP="00093ED1">
      <w:proofErr w:type="spellStart"/>
      <w:r w:rsidRPr="00C75CF7">
        <w:rPr>
          <w:rStyle w:val="Style13ptBold"/>
        </w:rPr>
        <w:t>Erevelles</w:t>
      </w:r>
      <w:proofErr w:type="spellEnd"/>
      <w:r w:rsidRPr="00C75CF7">
        <w:rPr>
          <w:rStyle w:val="Style13ptBold"/>
        </w:rPr>
        <w:t xml:space="preserve"> 19</w:t>
      </w:r>
      <w:r>
        <w:t xml:space="preserve"> Professor at Alabama in </w:t>
      </w:r>
      <w:r w:rsidRPr="0098441A">
        <w:t>Social and Cultural Studies in Education</w:t>
      </w:r>
      <w:r>
        <w:t xml:space="preserve"> </w:t>
      </w:r>
      <w:proofErr w:type="gramStart"/>
      <w:r>
        <w:t>researches</w:t>
      </w:r>
      <w:proofErr w:type="gramEnd"/>
      <w:r>
        <w:t xml:space="preserve"> </w:t>
      </w:r>
      <w:r w:rsidRPr="0098441A">
        <w:t>disability studies, critical race theory, transnational feminism, sociology of education, and postcolonial studies.</w:t>
      </w:r>
      <w:r w:rsidRPr="00BE587E">
        <w:t xml:space="preserve"> </w:t>
      </w:r>
      <w:r w:rsidRPr="0098441A">
        <w:t>Her book, Disability and Difference in Global Contexts: Towards a Transformative Body Politic was published by Palgrave in November 2012 and was awarded the Critic’s Choice Award from the American Educational Studies Association. </w:t>
      </w:r>
      <w:r w:rsidRPr="006F5B25">
        <w:t>(</w:t>
      </w:r>
      <w:r>
        <w:t>Nirmala</w:t>
      </w:r>
      <w:r w:rsidRPr="006F5B25">
        <w:t xml:space="preserve">, </w:t>
      </w:r>
      <w:r>
        <w:t>November 8 2019</w:t>
      </w:r>
      <w:r w:rsidRPr="006F5B25">
        <w:t>, “</w:t>
      </w:r>
      <w:r w:rsidRPr="00C75CF7">
        <w:t xml:space="preserve">“Scenes of Subjection” in Public Education: Thinking </w:t>
      </w:r>
      <w:proofErr w:type="spellStart"/>
      <w:r w:rsidRPr="00C75CF7">
        <w:t>Intersectionally</w:t>
      </w:r>
      <w:proofErr w:type="spellEnd"/>
      <w:r w:rsidRPr="00C75CF7">
        <w:t xml:space="preserve"> as If Disability Matters</w:t>
      </w:r>
      <w:r>
        <w:t>” Taylor &amp; Francis</w:t>
      </w:r>
      <w:r w:rsidRPr="006F5B25">
        <w:t xml:space="preserve">, </w:t>
      </w:r>
      <w:hyperlink r:id="rId5" w:anchor="d1e139" w:history="1">
        <w:r w:rsidRPr="0040093C">
          <w:rPr>
            <w:rStyle w:val="Hyperlink"/>
          </w:rPr>
          <w:t>https://www.tandfonline.com/doi/full/10.1080/00131946.2019.1687481?casa_token=gPfuhjZXwSMAAAAA%3ANxK469Ye9Z1VKfONbahcDbFv3P55ydlfzOugFe61Bal1a8YH-Tj24X_E9KJAFjttJrorpUE68IDCNA#d1e139</w:t>
        </w:r>
      </w:hyperlink>
      <w:r w:rsidRPr="00BC4CA4">
        <w:t xml:space="preserve"> </w:t>
      </w:r>
    </w:p>
    <w:p w14:paraId="0F55263D" w14:textId="77777777" w:rsidR="00093ED1" w:rsidRPr="00BC4CA4" w:rsidRDefault="00093ED1" w:rsidP="00093ED1">
      <w:pPr>
        <w:rPr>
          <w:rStyle w:val="StyleUnderline"/>
        </w:rPr>
      </w:pPr>
      <w:r w:rsidRPr="001E7BD1">
        <w:rPr>
          <w:sz w:val="16"/>
        </w:rPr>
        <w:t>REFUSING DAMAGE/REFUSING DISABILITY: A QUESTION OF METHOD</w:t>
      </w:r>
      <w:r w:rsidRPr="00BC4CA4">
        <w:rPr>
          <w:sz w:val="16"/>
        </w:rPr>
        <w:t xml:space="preserve"> </w:t>
      </w:r>
      <w:r w:rsidRPr="001E7BD1">
        <w:rPr>
          <w:sz w:val="16"/>
        </w:rPr>
        <w:t xml:space="preserve">In a thought-provoking article, “Venus in Two Acts”, </w:t>
      </w:r>
      <w:proofErr w:type="spellStart"/>
      <w:r w:rsidRPr="001E7BD1">
        <w:rPr>
          <w:sz w:val="16"/>
        </w:rPr>
        <w:t>Saidiya</w:t>
      </w:r>
      <w:proofErr w:type="spellEnd"/>
      <w:r w:rsidRPr="001E7BD1">
        <w:rPr>
          <w:sz w:val="16"/>
        </w:rPr>
        <w:t xml:space="preserve"> Hartman (</w:t>
      </w:r>
      <w:hyperlink r:id="rId6" w:history="1">
        <w:r w:rsidRPr="001E7BD1">
          <w:rPr>
            <w:rStyle w:val="Hyperlink"/>
            <w:sz w:val="16"/>
          </w:rPr>
          <w:t>Citation2008</w:t>
        </w:r>
      </w:hyperlink>
      <w:r w:rsidRPr="001E7BD1">
        <w:rPr>
          <w:sz w:val="16"/>
        </w:rPr>
        <w:t xml:space="preserve">) struggles with the impossible task of representing “the lives of the nameless and the forgotten, to reckon with loss, and to respect the limits of what cannot be known” (p. 4). Here Hartman is referring to a legal archive that describes the trial of a slave captain responsible for the murder of two Negro girls, one of whom was flogged repeatedly with a whip for several days causing her death. But she (the girl that appears in the criminal charge against the slave captain) was not that dead girl who was given the generic moniker of Venus – “a pet name [that] licensed debauchery and made it sound agreeable” (Hartman, </w:t>
      </w:r>
      <w:hyperlink r:id="rId7" w:history="1">
        <w:r w:rsidRPr="001E7BD1">
          <w:rPr>
            <w:rStyle w:val="Hyperlink"/>
            <w:sz w:val="16"/>
          </w:rPr>
          <w:t>Citation2008</w:t>
        </w:r>
      </w:hyperlink>
      <w:r w:rsidRPr="001E7BD1">
        <w:rPr>
          <w:sz w:val="16"/>
        </w:rPr>
        <w:t xml:space="preserve">, p. 8). The only words spoken of this other anonymous Venus in the archive was this indifferent remark: “There was another girl aboard the Recovery…whom they named </w:t>
      </w:r>
      <w:proofErr w:type="gramStart"/>
      <w:r w:rsidRPr="001E7BD1">
        <w:rPr>
          <w:sz w:val="16"/>
        </w:rPr>
        <w:t>Venus</w:t>
      </w:r>
      <w:proofErr w:type="gramEnd"/>
      <w:r w:rsidRPr="001E7BD1">
        <w:rPr>
          <w:sz w:val="16"/>
        </w:rPr>
        <w:t xml:space="preserve"> and she too had the pox” (Trial of Captain Kimber for the Murder of the Negro Girl, qtd. in Hartman, </w:t>
      </w:r>
      <w:hyperlink r:id="rId8" w:history="1">
        <w:r w:rsidRPr="001E7BD1">
          <w:rPr>
            <w:rStyle w:val="Hyperlink"/>
            <w:sz w:val="16"/>
          </w:rPr>
          <w:t>Citation2008</w:t>
        </w:r>
      </w:hyperlink>
      <w:r w:rsidRPr="001E7BD1">
        <w:rPr>
          <w:sz w:val="16"/>
        </w:rPr>
        <w:t>, p. 8). Noting this dismissive anonymity that fails to account for a “libidinal investment in violence” (p. 5) that could have perhaps amplified “the slippage between victims and sweet hearts, acts of love and brutal excesses” (p. 5), Hartman laments that it is impossible “to reiterate her name and to tell a story about degraded matter and dishonored life [italics in the text] that doesn’t delight and titillate… [and so] instead [Hartman] ventures toward another mode of writing” (p. 7).</w:t>
      </w:r>
      <w:r w:rsidRPr="00BC4CA4">
        <w:rPr>
          <w:sz w:val="16"/>
        </w:rPr>
        <w:t xml:space="preserve"> </w:t>
      </w:r>
      <w:r w:rsidRPr="001E7BD1">
        <w:rPr>
          <w:sz w:val="16"/>
        </w:rPr>
        <w:t xml:space="preserve">This other mode of writing that Hartman turns to is one that refuses to reproduce the terrible sensationalism of violated bodies brought to our attention </w:t>
      </w:r>
      <w:proofErr w:type="gramStart"/>
      <w:r w:rsidRPr="001E7BD1">
        <w:rPr>
          <w:sz w:val="16"/>
        </w:rPr>
        <w:t>in order to</w:t>
      </w:r>
      <w:proofErr w:type="gramEnd"/>
      <w:r w:rsidRPr="001E7BD1">
        <w:rPr>
          <w:sz w:val="16"/>
        </w:rPr>
        <w:t xml:space="preserve"> inspire the affective response of horror. Thus, in the very first pages of Scenes of Subjection, Hartman (</w:t>
      </w:r>
      <w:hyperlink r:id="rId9" w:history="1">
        <w:r w:rsidRPr="001E7BD1">
          <w:rPr>
            <w:rStyle w:val="Hyperlink"/>
            <w:sz w:val="16"/>
          </w:rPr>
          <w:t>Citation2007</w:t>
        </w:r>
      </w:hyperlink>
      <w:r w:rsidRPr="001E7BD1">
        <w:rPr>
          <w:sz w:val="16"/>
        </w:rPr>
        <w:t>), refers to the primal scene in Frederick Douglas’ autobiography of the beating of his Aunt Hester, in order to raise questions about the ethics of representing “the spectacular character of black suffering” (p. 3). She writes:</w:t>
      </w:r>
      <w:r w:rsidRPr="00BC4CA4">
        <w:rPr>
          <w:sz w:val="16"/>
        </w:rPr>
        <w:t xml:space="preserve"> </w:t>
      </w:r>
      <w:r w:rsidRPr="001E7BD1">
        <w:rPr>
          <w:sz w:val="16"/>
        </w:rPr>
        <w:t xml:space="preserve">What interests me are the ways we are called upon to participate in these scenes. </w:t>
      </w:r>
      <w:r w:rsidRPr="001E7BD1">
        <w:rPr>
          <w:rStyle w:val="StyleUnderline"/>
        </w:rPr>
        <w:t xml:space="preserve">Are we witnesses who confirm the truth of what happened in the face of world destroying capacities of pain, the distortions of torture, the sheer </w:t>
      </w:r>
      <w:proofErr w:type="spellStart"/>
      <w:r w:rsidRPr="001E7BD1">
        <w:rPr>
          <w:rStyle w:val="StyleUnderline"/>
        </w:rPr>
        <w:t>unrepresentability</w:t>
      </w:r>
      <w:proofErr w:type="spellEnd"/>
      <w:r w:rsidRPr="001E7BD1">
        <w:rPr>
          <w:rStyle w:val="StyleUnderline"/>
        </w:rPr>
        <w:t xml:space="preserve"> of terror, and the repression of dominant account? Or are we voyeurs fascinated with and repelled by exhibitions of terror and sufferance? What does the exposure of the violated body yield? Proof of black sentience or the inhumanity of the ‘peculiar institution”? Or does the pain of the other provide us with the opportunity for self-reflection?</w:t>
      </w:r>
      <w:r w:rsidRPr="001E7BD1">
        <w:rPr>
          <w:sz w:val="16"/>
        </w:rPr>
        <w:t xml:space="preserve"> (Hartman, </w:t>
      </w:r>
      <w:hyperlink r:id="rId10" w:history="1">
        <w:r w:rsidRPr="001E7BD1">
          <w:rPr>
            <w:rStyle w:val="Hyperlink"/>
            <w:sz w:val="16"/>
          </w:rPr>
          <w:t>Citation2007</w:t>
        </w:r>
      </w:hyperlink>
      <w:r w:rsidRPr="001E7BD1">
        <w:rPr>
          <w:sz w:val="16"/>
        </w:rPr>
        <w:t>, pp. 3–4).</w:t>
      </w:r>
      <w:r w:rsidRPr="00BC4CA4">
        <w:rPr>
          <w:sz w:val="16"/>
        </w:rPr>
        <w:t xml:space="preserve"> </w:t>
      </w:r>
      <w:r w:rsidRPr="001E7BD1">
        <w:rPr>
          <w:rStyle w:val="StyleUnderline"/>
        </w:rPr>
        <w:t>The questions that Hartman raises here echo indigenous scholar, Eve Tuck’s (</w:t>
      </w:r>
      <w:hyperlink r:id="rId11" w:history="1">
        <w:r w:rsidRPr="001E7BD1">
          <w:rPr>
            <w:rStyle w:val="StyleUnderline"/>
          </w:rPr>
          <w:t>Citation2009</w:t>
        </w:r>
      </w:hyperlink>
      <w:r w:rsidRPr="001E7BD1">
        <w:rPr>
          <w:rStyle w:val="StyleUnderline"/>
        </w:rPr>
        <w:t>) exhortation to educational researchers and practitioners to join her “in re-visioning research in our [indigenous] communities not only to recognize the need to document the effects of oppression on our communities but also to consider the long-term repercussions of thinking of ourselves as broken [emphasis in the text]”</w:t>
      </w:r>
      <w:r w:rsidRPr="001E7BD1">
        <w:rPr>
          <w:sz w:val="16"/>
        </w:rPr>
        <w:t xml:space="preserve"> (p. 409). In short, Tuck along with Hartman are asking that we halt our misplaced and warped commitment to “damage-centered research” (p. 409). Tuck (</w:t>
      </w:r>
      <w:hyperlink r:id="rId12" w:history="1">
        <w:r w:rsidRPr="001E7BD1">
          <w:rPr>
            <w:rStyle w:val="Hyperlink"/>
            <w:sz w:val="16"/>
          </w:rPr>
          <w:t>Citation2009</w:t>
        </w:r>
      </w:hyperlink>
      <w:r w:rsidRPr="001E7BD1">
        <w:rPr>
          <w:sz w:val="16"/>
        </w:rPr>
        <w:t>) goes on to explain:</w:t>
      </w:r>
      <w:r w:rsidRPr="00BC4CA4">
        <w:rPr>
          <w:sz w:val="16"/>
        </w:rPr>
        <w:t xml:space="preserve"> </w:t>
      </w:r>
      <w:r w:rsidRPr="001E7BD1">
        <w:rPr>
          <w:sz w:val="16"/>
        </w:rPr>
        <w:t xml:space="preserve">In damage-centered research, one of the major activities is to document pain or loss in an individual community or tribe. </w:t>
      </w:r>
      <w:r w:rsidRPr="001E7BD1">
        <w:rPr>
          <w:rStyle w:val="StyleUnderline"/>
        </w:rPr>
        <w:t>Though connected to deficit models – frameworks that emphasize what a particular student, family, or community is lacking to explain underachievement or failure – damage-centered research is distinct in being more socially and historically situated. It looks to historical exploitation, domination and colonization to explain contemporary brokenness, such as poverty, poor health, and literacy</w:t>
      </w:r>
      <w:r w:rsidRPr="001E7BD1">
        <w:rPr>
          <w:sz w:val="16"/>
        </w:rPr>
        <w:t>. Commonsense tells us this is a good thing, but the danger in damage-centered research is that it is a pathologizing approach in which oppression singularly defines a community (p. 413).</w:t>
      </w:r>
      <w:r w:rsidRPr="00BC4CA4">
        <w:rPr>
          <w:sz w:val="16"/>
        </w:rPr>
        <w:t xml:space="preserve"> </w:t>
      </w:r>
      <w:r w:rsidRPr="001E7BD1">
        <w:rPr>
          <w:rStyle w:val="StyleUnderline"/>
        </w:rPr>
        <w:t xml:space="preserve">The arguments of Hartman and Tuck should give us pause to reflect on this commitment to suspend </w:t>
      </w:r>
      <w:r w:rsidRPr="001E7BD1">
        <w:rPr>
          <w:rStyle w:val="StyleUnderline"/>
        </w:rPr>
        <w:lastRenderedPageBreak/>
        <w:t xml:space="preserve">damage </w:t>
      </w:r>
      <w:proofErr w:type="gramStart"/>
      <w:r w:rsidRPr="001E7BD1">
        <w:rPr>
          <w:rStyle w:val="StyleUnderline"/>
        </w:rPr>
        <w:t>in order to</w:t>
      </w:r>
      <w:proofErr w:type="gramEnd"/>
      <w:r w:rsidRPr="001E7BD1">
        <w:rPr>
          <w:rStyle w:val="StyleUnderline"/>
        </w:rPr>
        <w:t xml:space="preserve"> not reproduce the very violence we are ironically seeking to terminate. But then, I argue, in our turning away from damage-centered research, from </w:t>
      </w:r>
      <w:r w:rsidRPr="001E7BD1">
        <w:rPr>
          <w:rStyle w:val="StyleUnderline"/>
          <w:highlight w:val="green"/>
        </w:rPr>
        <w:t>what</w:t>
      </w:r>
      <w:r w:rsidRPr="001E7BD1">
        <w:rPr>
          <w:rStyle w:val="StyleUnderline"/>
        </w:rPr>
        <w:t xml:space="preserve"> exactly </w:t>
      </w:r>
      <w:r w:rsidRPr="001E7BD1">
        <w:rPr>
          <w:rStyle w:val="StyleUnderline"/>
          <w:highlight w:val="green"/>
        </w:rPr>
        <w:t>are we turning away</w:t>
      </w:r>
      <w:r w:rsidRPr="001E7BD1">
        <w:rPr>
          <w:rStyle w:val="StyleUnderline"/>
        </w:rPr>
        <w:t xml:space="preserve">? The </w:t>
      </w:r>
      <w:r w:rsidRPr="001E7BD1">
        <w:rPr>
          <w:rStyle w:val="StyleUnderline"/>
          <w:highlight w:val="green"/>
        </w:rPr>
        <w:t>words that pepper</w:t>
      </w:r>
      <w:r w:rsidRPr="001E7BD1">
        <w:rPr>
          <w:rStyle w:val="StyleUnderline"/>
        </w:rPr>
        <w:t xml:space="preserve"> the landscape of damage-centered research – words like “</w:t>
      </w:r>
      <w:r w:rsidRPr="001E7BD1">
        <w:rPr>
          <w:rStyle w:val="StyleUnderline"/>
          <w:highlight w:val="green"/>
        </w:rPr>
        <w:t>deficit</w:t>
      </w:r>
      <w:r w:rsidRPr="001E7BD1">
        <w:rPr>
          <w:rStyle w:val="StyleUnderline"/>
        </w:rPr>
        <w:t>”, “underachievement”, “failure”, “</w:t>
      </w:r>
      <w:r w:rsidRPr="001E7BD1">
        <w:rPr>
          <w:rStyle w:val="StyleUnderline"/>
          <w:highlight w:val="green"/>
        </w:rPr>
        <w:t>brokenness</w:t>
      </w:r>
      <w:r w:rsidRPr="001E7BD1">
        <w:rPr>
          <w:rStyle w:val="StyleUnderline"/>
        </w:rPr>
        <w:t>,” “</w:t>
      </w:r>
      <w:r w:rsidRPr="001E7BD1">
        <w:rPr>
          <w:rStyle w:val="StyleUnderline"/>
          <w:highlight w:val="green"/>
        </w:rPr>
        <w:t>pathology</w:t>
      </w:r>
      <w:r w:rsidRPr="001E7BD1">
        <w:rPr>
          <w:rStyle w:val="StyleUnderline"/>
        </w:rPr>
        <w:t xml:space="preserve">”, </w:t>
      </w:r>
      <w:r w:rsidRPr="001E7BD1">
        <w:rPr>
          <w:rStyle w:val="StyleUnderline"/>
          <w:highlight w:val="green"/>
        </w:rPr>
        <w:t>are words</w:t>
      </w:r>
      <w:r w:rsidRPr="001E7BD1">
        <w:rPr>
          <w:rStyle w:val="StyleUnderline"/>
        </w:rPr>
        <w:t xml:space="preserve"> historically </w:t>
      </w:r>
      <w:r w:rsidRPr="001E7BD1">
        <w:rPr>
          <w:rStyle w:val="StyleUnderline"/>
          <w:highlight w:val="green"/>
        </w:rPr>
        <w:t>associated with disability</w:t>
      </w:r>
      <w:r w:rsidRPr="001E7BD1">
        <w:rPr>
          <w:rStyle w:val="StyleUnderline"/>
        </w:rPr>
        <w:t xml:space="preserve">. </w:t>
      </w:r>
      <w:r w:rsidRPr="001E7BD1">
        <w:rPr>
          <w:sz w:val="16"/>
        </w:rPr>
        <w:t xml:space="preserve">Thus, I argue that in order to get herself out of the representational quandary she described earlier, </w:t>
      </w:r>
      <w:r w:rsidRPr="001E7BD1">
        <w:rPr>
          <w:rStyle w:val="StyleUnderline"/>
          <w:highlight w:val="green"/>
        </w:rPr>
        <w:t>Hartman</w:t>
      </w:r>
      <w:r w:rsidRPr="001E7BD1">
        <w:rPr>
          <w:rStyle w:val="StyleUnderline"/>
        </w:rPr>
        <w:t xml:space="preserve"> unwittingly </w:t>
      </w:r>
      <w:r w:rsidRPr="001E7BD1">
        <w:rPr>
          <w:rStyle w:val="StyleUnderline"/>
          <w:highlight w:val="green"/>
        </w:rPr>
        <w:t>invokes</w:t>
      </w:r>
      <w:r w:rsidRPr="001E7BD1">
        <w:rPr>
          <w:rStyle w:val="StyleUnderline"/>
        </w:rPr>
        <w:t xml:space="preserve"> the spectral presence of </w:t>
      </w:r>
      <w:r w:rsidRPr="001E7BD1">
        <w:rPr>
          <w:rStyle w:val="StyleUnderline"/>
          <w:highlight w:val="green"/>
        </w:rPr>
        <w:t>disability</w:t>
      </w:r>
      <w:r w:rsidRPr="001E7BD1">
        <w:rPr>
          <w:rStyle w:val="StyleUnderline"/>
        </w:rPr>
        <w:t xml:space="preserve"> only </w:t>
      </w:r>
      <w:r w:rsidRPr="001E7BD1">
        <w:rPr>
          <w:rStyle w:val="StyleUnderline"/>
          <w:highlight w:val="green"/>
        </w:rPr>
        <w:t>to require</w:t>
      </w:r>
      <w:r w:rsidRPr="001E7BD1">
        <w:rPr>
          <w:rStyle w:val="StyleUnderline"/>
        </w:rPr>
        <w:t xml:space="preserve"> its immediate radical </w:t>
      </w:r>
      <w:r w:rsidRPr="001E7BD1">
        <w:rPr>
          <w:rStyle w:val="StyleUnderline"/>
          <w:highlight w:val="green"/>
        </w:rPr>
        <w:t>disavowal in her</w:t>
      </w:r>
      <w:r w:rsidRPr="001E7BD1">
        <w:rPr>
          <w:rStyle w:val="StyleUnderline"/>
        </w:rPr>
        <w:t xml:space="preserve"> ethical </w:t>
      </w:r>
      <w:r w:rsidRPr="001E7BD1">
        <w:rPr>
          <w:rStyle w:val="StyleUnderline"/>
          <w:highlight w:val="green"/>
        </w:rPr>
        <w:t>attempts</w:t>
      </w:r>
      <w:r w:rsidRPr="001E7BD1">
        <w:rPr>
          <w:rStyle w:val="StyleUnderline"/>
        </w:rPr>
        <w:t xml:space="preserve"> to “revisit the scene of subjection without replicating the grammar of violence” (Hartman, </w:t>
      </w:r>
      <w:hyperlink r:id="rId13" w:history="1">
        <w:r w:rsidRPr="001E7BD1">
          <w:rPr>
            <w:rStyle w:val="StyleUnderline"/>
          </w:rPr>
          <w:t>Citation2008</w:t>
        </w:r>
      </w:hyperlink>
      <w:r w:rsidRPr="001E7BD1">
        <w:rPr>
          <w:rStyle w:val="StyleUnderline"/>
        </w:rPr>
        <w:t>, p. 4) that inevitably results in “this routine display of the slave’s ravaged body”</w:t>
      </w:r>
      <w:r w:rsidRPr="001E7BD1">
        <w:rPr>
          <w:sz w:val="16"/>
        </w:rPr>
        <w:t xml:space="preserve"> (Hartman, </w:t>
      </w:r>
      <w:hyperlink r:id="rId14" w:history="1">
        <w:r w:rsidRPr="001E7BD1">
          <w:rPr>
            <w:rStyle w:val="Hyperlink"/>
            <w:sz w:val="16"/>
          </w:rPr>
          <w:t>Citation2007</w:t>
        </w:r>
      </w:hyperlink>
      <w:r w:rsidRPr="001E7BD1">
        <w:rPr>
          <w:sz w:val="16"/>
        </w:rPr>
        <w:t>; p. 3). Similarly, Tuck (</w:t>
      </w:r>
      <w:hyperlink r:id="rId15" w:history="1">
        <w:r w:rsidRPr="001E7BD1">
          <w:rPr>
            <w:rStyle w:val="Hyperlink"/>
            <w:sz w:val="16"/>
          </w:rPr>
          <w:t>Citation2009</w:t>
        </w:r>
      </w:hyperlink>
      <w:r w:rsidRPr="001E7BD1">
        <w:rPr>
          <w:sz w:val="16"/>
        </w:rPr>
        <w:t xml:space="preserve">) in </w:t>
      </w:r>
      <w:r w:rsidRPr="001E7BD1">
        <w:rPr>
          <w:rStyle w:val="StyleUnderline"/>
        </w:rPr>
        <w:t xml:space="preserve">asking for a “moratorium - a turning of our backs on narratives that insist that we are ruined, that we are broken, that we are damaged” (p. 424) implicitly </w:t>
      </w:r>
      <w:r w:rsidRPr="001E7BD1">
        <w:rPr>
          <w:rStyle w:val="StyleUnderline"/>
          <w:highlight w:val="green"/>
        </w:rPr>
        <w:t>suggests that we turn away from</w:t>
      </w:r>
      <w:r w:rsidRPr="001E7BD1">
        <w:rPr>
          <w:rStyle w:val="StyleUnderline"/>
        </w:rPr>
        <w:t xml:space="preserve"> the spectral </w:t>
      </w:r>
      <w:r w:rsidRPr="001E7BD1">
        <w:rPr>
          <w:rStyle w:val="StyleUnderline"/>
          <w:highlight w:val="green"/>
        </w:rPr>
        <w:t>presence of</w:t>
      </w:r>
      <w:r w:rsidRPr="001E7BD1">
        <w:rPr>
          <w:rStyle w:val="StyleUnderline"/>
        </w:rPr>
        <w:t xml:space="preserve"> </w:t>
      </w:r>
      <w:r w:rsidRPr="001E7BD1">
        <w:rPr>
          <w:rStyle w:val="StyleUnderline"/>
          <w:highlight w:val="green"/>
        </w:rPr>
        <w:t>disability</w:t>
      </w:r>
      <w:r w:rsidRPr="001E7BD1">
        <w:rPr>
          <w:rStyle w:val="StyleUnderline"/>
        </w:rPr>
        <w:t xml:space="preserve"> that has embodied what we have historically viewed as “deviant difference”. In both contexts, an appeal to ethical </w:t>
      </w:r>
      <w:r w:rsidRPr="001E7BD1">
        <w:rPr>
          <w:rStyle w:val="StyleUnderline"/>
          <w:highlight w:val="green"/>
        </w:rPr>
        <w:t>representations of racial difference hinges on a repudiation of disability</w:t>
      </w:r>
      <w:r w:rsidRPr="001E7BD1">
        <w:rPr>
          <w:rStyle w:val="StyleUnderline"/>
        </w:rPr>
        <w:t xml:space="preserve"> as voyeuristic fetish and/or disability as embodied damage. In each case, I argue </w:t>
      </w:r>
      <w:r w:rsidRPr="001E7BD1">
        <w:rPr>
          <w:rStyle w:val="StyleUnderline"/>
          <w:highlight w:val="green"/>
        </w:rPr>
        <w:t>disability is put to</w:t>
      </w:r>
      <w:r w:rsidRPr="001E7BD1">
        <w:rPr>
          <w:rStyle w:val="StyleUnderline"/>
        </w:rPr>
        <w:t xml:space="preserve"> </w:t>
      </w:r>
      <w:r w:rsidRPr="001E7BD1">
        <w:rPr>
          <w:rStyle w:val="StyleUnderline"/>
          <w:highlight w:val="green"/>
        </w:rPr>
        <w:t>work to liberate</w:t>
      </w:r>
      <w:r w:rsidRPr="001E7BD1">
        <w:rPr>
          <w:rStyle w:val="StyleUnderline"/>
        </w:rPr>
        <w:t xml:space="preserve"> critical/transformative </w:t>
      </w:r>
      <w:r w:rsidRPr="001E7BD1">
        <w:rPr>
          <w:rStyle w:val="StyleUnderline"/>
          <w:highlight w:val="green"/>
        </w:rPr>
        <w:t>methodologies from a damage-centered focus</w:t>
      </w:r>
      <w:r w:rsidRPr="001E7BD1">
        <w:rPr>
          <w:rStyle w:val="StyleUnderline"/>
        </w:rPr>
        <w:t xml:space="preserve"> at multiple scenes of subjection with </w:t>
      </w:r>
      <w:r w:rsidRPr="001E7BD1">
        <w:rPr>
          <w:rStyle w:val="StyleUnderline"/>
          <w:highlight w:val="green"/>
        </w:rPr>
        <w:t>scarce recognition of this labor</w:t>
      </w:r>
      <w:r w:rsidRPr="001E7BD1">
        <w:rPr>
          <w:rStyle w:val="StyleUnderline"/>
        </w:rPr>
        <w:t>.</w:t>
      </w:r>
      <w:r w:rsidRPr="006175E4">
        <w:rPr>
          <w:rStyle w:val="StyleUnderline"/>
        </w:rPr>
        <w:t xml:space="preserve"> </w:t>
      </w:r>
      <w:r w:rsidRPr="001E7BD1">
        <w:rPr>
          <w:rStyle w:val="StyleUnderline"/>
        </w:rPr>
        <w:t xml:space="preserve">I use the terms “unwittingly” and “implicitly” in describing this turning away from disability not as a critique of either of these scholars (whose work has transformed my own thinking) but rather to publicly alert us as to how </w:t>
      </w:r>
      <w:r w:rsidRPr="001E7BD1">
        <w:rPr>
          <w:rStyle w:val="StyleUnderline"/>
          <w:highlight w:val="green"/>
        </w:rPr>
        <w:t>disability’s ghostly</w:t>
      </w:r>
      <w:r w:rsidRPr="001E7BD1">
        <w:rPr>
          <w:rStyle w:val="StyleUnderline"/>
        </w:rPr>
        <w:t xml:space="preserve"> </w:t>
      </w:r>
      <w:r w:rsidRPr="001E7BD1">
        <w:rPr>
          <w:rStyle w:val="StyleUnderline"/>
          <w:highlight w:val="green"/>
        </w:rPr>
        <w:t>presence foregrounds</w:t>
      </w:r>
      <w:r w:rsidRPr="001E7BD1">
        <w:rPr>
          <w:rStyle w:val="StyleUnderline"/>
        </w:rPr>
        <w:t xml:space="preserve"> the </w:t>
      </w:r>
      <w:r w:rsidRPr="001E7BD1">
        <w:rPr>
          <w:rStyle w:val="StyleUnderline"/>
          <w:highlight w:val="green"/>
        </w:rPr>
        <w:t>naturalization of ableist imperatives in</w:t>
      </w:r>
      <w:r w:rsidRPr="001E7BD1">
        <w:rPr>
          <w:rStyle w:val="StyleUnderline"/>
        </w:rPr>
        <w:t xml:space="preserve"> critical/transformative </w:t>
      </w:r>
      <w:r w:rsidRPr="001E7BD1">
        <w:rPr>
          <w:rStyle w:val="StyleUnderline"/>
          <w:highlight w:val="green"/>
        </w:rPr>
        <w:t>methodologies</w:t>
      </w:r>
      <w:r w:rsidRPr="001E7BD1">
        <w:rPr>
          <w:rStyle w:val="StyleUnderline"/>
        </w:rPr>
        <w:t xml:space="preserve">. Here, </w:t>
      </w:r>
      <w:r w:rsidRPr="001E7BD1">
        <w:rPr>
          <w:rStyle w:val="StyleUnderline"/>
          <w:highlight w:val="green"/>
        </w:rPr>
        <w:t>rather than turning away</w:t>
      </w:r>
      <w:r w:rsidRPr="001E7BD1">
        <w:rPr>
          <w:rStyle w:val="StyleUnderline"/>
        </w:rPr>
        <w:t xml:space="preserve">, I </w:t>
      </w:r>
      <w:r w:rsidRPr="001E7BD1">
        <w:rPr>
          <w:rStyle w:val="StyleUnderline"/>
          <w:highlight w:val="green"/>
        </w:rPr>
        <w:t>urge critical scholars to direct their attention to the</w:t>
      </w:r>
      <w:r w:rsidRPr="001E7BD1">
        <w:rPr>
          <w:rStyle w:val="StyleUnderline"/>
        </w:rPr>
        <w:t xml:space="preserve"> spectral </w:t>
      </w:r>
      <w:r w:rsidRPr="001E7BD1">
        <w:rPr>
          <w:rStyle w:val="StyleUnderline"/>
          <w:highlight w:val="green"/>
        </w:rPr>
        <w:t xml:space="preserve">presence of disability </w:t>
      </w:r>
      <w:r w:rsidRPr="001E7BD1">
        <w:rPr>
          <w:rStyle w:val="StyleUnderline"/>
        </w:rPr>
        <w:t>that notifies us “that what’s been concealed is very much alive and present, interfering precisely with those always incomplete forms of containment and repression ceaselessly directed towards us”</w:t>
      </w:r>
      <w:r w:rsidRPr="001E7BD1">
        <w:rPr>
          <w:sz w:val="16"/>
        </w:rPr>
        <w:t xml:space="preserve"> (Gordon, </w:t>
      </w:r>
      <w:hyperlink r:id="rId16" w:history="1">
        <w:r w:rsidRPr="001E7BD1">
          <w:rPr>
            <w:rStyle w:val="Hyperlink"/>
            <w:sz w:val="16"/>
          </w:rPr>
          <w:t>Citation2008</w:t>
        </w:r>
      </w:hyperlink>
      <w:r w:rsidRPr="001E7BD1">
        <w:rPr>
          <w:sz w:val="16"/>
        </w:rPr>
        <w:t xml:space="preserve">, p. xvi). In other words, like Jojo, Leonie, and Kayla, the only characters in Ward’s novel who </w:t>
      </w:r>
      <w:proofErr w:type="gramStart"/>
      <w:r w:rsidRPr="001E7BD1">
        <w:rPr>
          <w:sz w:val="16"/>
        </w:rPr>
        <w:t>are able to</w:t>
      </w:r>
      <w:proofErr w:type="gramEnd"/>
      <w:r w:rsidRPr="001E7BD1">
        <w:rPr>
          <w:sz w:val="16"/>
        </w:rPr>
        <w:t xml:space="preserve"> see ghostly figures – denizens of those scenes of subjection – I urge critical scholars to likewise pay attention to hauntings in their critical/transformative methodologies of inquiry. Avery Gordon (</w:t>
      </w:r>
      <w:hyperlink r:id="rId17" w:history="1">
        <w:r w:rsidRPr="001E7BD1">
          <w:rPr>
            <w:rStyle w:val="Hyperlink"/>
            <w:sz w:val="16"/>
          </w:rPr>
          <w:t>Citation2008</w:t>
        </w:r>
      </w:hyperlink>
      <w:r w:rsidRPr="001E7BD1">
        <w:rPr>
          <w:sz w:val="16"/>
        </w:rPr>
        <w:t>) writes:</w:t>
      </w:r>
      <w:r w:rsidRPr="00BC4CA4">
        <w:rPr>
          <w:sz w:val="16"/>
        </w:rPr>
        <w:t xml:space="preserve"> </w:t>
      </w:r>
      <w:r w:rsidRPr="001E7BD1">
        <w:rPr>
          <w:sz w:val="16"/>
        </w:rPr>
        <w:t>Haunting is a frightening experience</w:t>
      </w:r>
      <w:r w:rsidRPr="001E7BD1">
        <w:rPr>
          <w:rStyle w:val="StyleUnderline"/>
        </w:rPr>
        <w:t>. It always registers the harm inflicted or the loss sustained by social violence done in the past or in the present. But, haunting like trauma, is distinctive for producing a something-to-be-done. Indeed, haunting was precisely the domain of turmoil and trouble, that moment (of however long duration) when things are not in their assigned places, when the cracks and riggings are exposed, when the people who are meant to be invisible show up without any sign of leaving, when disturbed feelings cannot be put away, when something else, something different from before, seems like it must be done.</w:t>
      </w:r>
      <w:r w:rsidRPr="001E7BD1">
        <w:rPr>
          <w:sz w:val="16"/>
        </w:rPr>
        <w:t xml:space="preserve"> It is this socio-psychological state to which haunting referred (p. xvi)</w:t>
      </w:r>
      <w:r w:rsidRPr="00BC4CA4">
        <w:rPr>
          <w:sz w:val="16"/>
        </w:rPr>
        <w:t xml:space="preserve"> </w:t>
      </w:r>
      <w:r w:rsidRPr="001E7BD1">
        <w:rPr>
          <w:sz w:val="16"/>
        </w:rPr>
        <w:t xml:space="preserve">Drawing on Gordon’s definition of haunting, I argue that the spectral presence of disability shows up at every “scene of subjection” we witness both inside and outside educational research/contexts without any sign of leaving. </w:t>
      </w:r>
      <w:r w:rsidRPr="001E7BD1">
        <w:rPr>
          <w:rStyle w:val="StyleUnderline"/>
        </w:rPr>
        <w:t xml:space="preserve">This is not to say that disability is unreal, confined to the realm of ghostly discourse. Rather, I argue that </w:t>
      </w:r>
      <w:r w:rsidRPr="001E7BD1">
        <w:rPr>
          <w:rStyle w:val="StyleUnderline"/>
          <w:highlight w:val="green"/>
        </w:rPr>
        <w:t>ableist constructions of disability as the embodiment of damage are</w:t>
      </w:r>
      <w:r w:rsidRPr="001E7BD1">
        <w:rPr>
          <w:rStyle w:val="StyleUnderline"/>
        </w:rPr>
        <w:t xml:space="preserve"> regularly </w:t>
      </w:r>
      <w:r w:rsidRPr="001E7BD1">
        <w:rPr>
          <w:rStyle w:val="StyleUnderline"/>
          <w:highlight w:val="green"/>
        </w:rPr>
        <w:t>deployed to compel us to witness</w:t>
      </w:r>
      <w:r w:rsidRPr="001E7BD1">
        <w:rPr>
          <w:rStyle w:val="StyleUnderline"/>
        </w:rPr>
        <w:t xml:space="preserve"> the realness of global </w:t>
      </w:r>
      <w:r w:rsidRPr="001E7BD1">
        <w:rPr>
          <w:rStyle w:val="StyleUnderline"/>
          <w:highlight w:val="green"/>
        </w:rPr>
        <w:t>suffering</w:t>
      </w:r>
      <w:r w:rsidRPr="001E7BD1">
        <w:rPr>
          <w:sz w:val="16"/>
        </w:rPr>
        <w:t xml:space="preserve">. On social and other media, photographic images of women and children with disabilities compete with thousands of other images of suffering (see for instance, Human Rights Watch, </w:t>
      </w:r>
      <w:hyperlink r:id="rId18" w:history="1">
        <w:r w:rsidRPr="001E7BD1">
          <w:rPr>
            <w:rStyle w:val="Hyperlink"/>
            <w:sz w:val="16"/>
          </w:rPr>
          <w:t>Citation2018</w:t>
        </w:r>
      </w:hyperlink>
      <w:r w:rsidRPr="001E7BD1">
        <w:rPr>
          <w:sz w:val="16"/>
        </w:rPr>
        <w:t xml:space="preserve">)) vying for the attention of an impatient and fickle global audience (Kim, </w:t>
      </w:r>
      <w:hyperlink r:id="rId19" w:history="1">
        <w:r w:rsidRPr="001E7BD1">
          <w:rPr>
            <w:rStyle w:val="Hyperlink"/>
            <w:sz w:val="16"/>
          </w:rPr>
          <w:t>Citation2011</w:t>
        </w:r>
      </w:hyperlink>
      <w:r w:rsidRPr="001E7BD1">
        <w:rPr>
          <w:sz w:val="16"/>
        </w:rPr>
        <w:t xml:space="preserve">). </w:t>
      </w:r>
      <w:r w:rsidRPr="001E7BD1">
        <w:rPr>
          <w:rStyle w:val="StyleUnderline"/>
        </w:rPr>
        <w:t xml:space="preserve">In these images, </w:t>
      </w:r>
      <w:r w:rsidRPr="001E7BD1">
        <w:rPr>
          <w:rStyle w:val="StyleUnderline"/>
          <w:highlight w:val="green"/>
        </w:rPr>
        <w:t>disability</w:t>
      </w:r>
      <w:r w:rsidRPr="001E7BD1">
        <w:rPr>
          <w:rStyle w:val="StyleUnderline"/>
        </w:rPr>
        <w:t xml:space="preserve"> appears </w:t>
      </w:r>
      <w:r w:rsidRPr="001E7BD1">
        <w:rPr>
          <w:rStyle w:val="StyleUnderline"/>
          <w:highlight w:val="green"/>
        </w:rPr>
        <w:t>synonymous with</w:t>
      </w:r>
      <w:r w:rsidRPr="001E7BD1">
        <w:rPr>
          <w:rStyle w:val="StyleUnderline"/>
        </w:rPr>
        <w:t xml:space="preserve"> an abject </w:t>
      </w:r>
      <w:r w:rsidRPr="001E7BD1">
        <w:rPr>
          <w:rStyle w:val="StyleUnderline"/>
          <w:highlight w:val="green"/>
        </w:rPr>
        <w:t>vulnerability becoming</w:t>
      </w:r>
      <w:r w:rsidRPr="001E7BD1">
        <w:rPr>
          <w:rStyle w:val="StyleUnderline"/>
        </w:rPr>
        <w:t xml:space="preserve"> simultaneously (</w:t>
      </w:r>
      <w:r w:rsidRPr="001E7BD1">
        <w:rPr>
          <w:rStyle w:val="StyleUnderline"/>
          <w:highlight w:val="green"/>
        </w:rPr>
        <w:t>hyper)visible</w:t>
      </w:r>
      <w:r w:rsidRPr="001E7BD1">
        <w:rPr>
          <w:rStyle w:val="StyleUnderline"/>
        </w:rPr>
        <w:t xml:space="preserve"> in its ability to trigger an </w:t>
      </w:r>
      <w:proofErr w:type="spellStart"/>
      <w:r w:rsidRPr="001E7BD1">
        <w:rPr>
          <w:rStyle w:val="StyleUnderline"/>
        </w:rPr>
        <w:t>affective</w:t>
      </w:r>
      <w:proofErr w:type="spellEnd"/>
      <w:r w:rsidRPr="001E7BD1">
        <w:rPr>
          <w:rStyle w:val="StyleUnderline"/>
        </w:rPr>
        <w:t xml:space="preserve"> response but (hyper)invisible when social policy is called upon to respond to the real material consequences of </w:t>
      </w:r>
      <w:proofErr w:type="gramStart"/>
      <w:r w:rsidRPr="001E7BD1">
        <w:rPr>
          <w:rStyle w:val="StyleUnderline"/>
        </w:rPr>
        <w:t>actually living</w:t>
      </w:r>
      <w:proofErr w:type="gramEnd"/>
      <w:r w:rsidRPr="001E7BD1">
        <w:rPr>
          <w:rStyle w:val="StyleUnderline"/>
        </w:rPr>
        <w:t xml:space="preserve"> with a disability</w:t>
      </w:r>
      <w:r w:rsidRPr="001E7BD1">
        <w:rPr>
          <w:sz w:val="16"/>
        </w:rPr>
        <w:t>.</w:t>
      </w:r>
      <w:r w:rsidRPr="00BC4CA4">
        <w:rPr>
          <w:sz w:val="16"/>
        </w:rPr>
        <w:t xml:space="preserve"> </w:t>
      </w:r>
      <w:r w:rsidRPr="001E7BD1">
        <w:rPr>
          <w:sz w:val="16"/>
        </w:rPr>
        <w:t xml:space="preserve">In an essay entitled, “The </w:t>
      </w:r>
      <w:proofErr w:type="spellStart"/>
      <w:r w:rsidRPr="001E7BD1">
        <w:rPr>
          <w:sz w:val="16"/>
        </w:rPr>
        <w:t>Spectre</w:t>
      </w:r>
      <w:proofErr w:type="spellEnd"/>
      <w:r w:rsidRPr="001E7BD1">
        <w:rPr>
          <w:sz w:val="16"/>
        </w:rPr>
        <w:t xml:space="preserve"> of Vulnerability and Disabled Bodies in Protest,” Eunjung Kim (</w:t>
      </w:r>
      <w:hyperlink r:id="rId20" w:history="1">
        <w:r w:rsidRPr="001E7BD1">
          <w:rPr>
            <w:rStyle w:val="Hyperlink"/>
            <w:sz w:val="16"/>
          </w:rPr>
          <w:t>Citation2016b</w:t>
        </w:r>
      </w:hyperlink>
      <w:r w:rsidRPr="001E7BD1">
        <w:rPr>
          <w:sz w:val="16"/>
        </w:rPr>
        <w:t>) discusses the Afghan film, Kandahar that features several scenes portraying bodies disabled by war. Kim observes that in these scenes “[d]</w:t>
      </w:r>
      <w:proofErr w:type="spellStart"/>
      <w:r w:rsidRPr="001E7BD1">
        <w:rPr>
          <w:sz w:val="16"/>
        </w:rPr>
        <w:t>isability</w:t>
      </w:r>
      <w:proofErr w:type="spellEnd"/>
      <w:r w:rsidRPr="001E7BD1">
        <w:rPr>
          <w:sz w:val="16"/>
        </w:rPr>
        <w:t xml:space="preserve"> is perceived as an anomalous incapacity, inviting harm or providing causes of harm, and as located within an individual body isolated from the social contexts that facilitate violence” (p. 138). </w:t>
      </w:r>
      <w:r w:rsidRPr="001E7BD1">
        <w:rPr>
          <w:rStyle w:val="StyleUnderline"/>
        </w:rPr>
        <w:t xml:space="preserve">Here too, just like in the ‘scenes of subjection” witnessed earlier, </w:t>
      </w:r>
      <w:r w:rsidRPr="001E7BD1">
        <w:rPr>
          <w:rStyle w:val="StyleUnderline"/>
          <w:highlight w:val="green"/>
        </w:rPr>
        <w:t>disability is recognized only when it exists</w:t>
      </w:r>
      <w:r w:rsidRPr="001E7BD1">
        <w:rPr>
          <w:rStyle w:val="StyleUnderline"/>
        </w:rPr>
        <w:t xml:space="preserve"> </w:t>
      </w:r>
      <w:r w:rsidRPr="001E7BD1">
        <w:rPr>
          <w:rStyle w:val="StyleUnderline"/>
          <w:highlight w:val="green"/>
        </w:rPr>
        <w:t>to</w:t>
      </w:r>
      <w:r w:rsidRPr="001E7BD1">
        <w:rPr>
          <w:rStyle w:val="StyleUnderline"/>
        </w:rPr>
        <w:t xml:space="preserve"> expose the vulnerability of Others </w:t>
      </w:r>
      <w:proofErr w:type="gramStart"/>
      <w:r w:rsidRPr="001E7BD1">
        <w:rPr>
          <w:rStyle w:val="StyleUnderline"/>
        </w:rPr>
        <w:t>in order to</w:t>
      </w:r>
      <w:proofErr w:type="gramEnd"/>
      <w:r w:rsidRPr="001E7BD1">
        <w:rPr>
          <w:rStyle w:val="StyleUnderline"/>
        </w:rPr>
        <w:t xml:space="preserve"> </w:t>
      </w:r>
      <w:r w:rsidRPr="001E7BD1">
        <w:rPr>
          <w:rStyle w:val="StyleUnderline"/>
          <w:highlight w:val="green"/>
        </w:rPr>
        <w:t>attain justice for the Others</w:t>
      </w:r>
      <w:r w:rsidRPr="001E7BD1">
        <w:rPr>
          <w:rStyle w:val="StyleUnderline"/>
        </w:rPr>
        <w:t xml:space="preserve"> themselves. Very </w:t>
      </w:r>
      <w:r w:rsidRPr="001E7BD1">
        <w:rPr>
          <w:rStyle w:val="StyleUnderline"/>
          <w:highlight w:val="green"/>
        </w:rPr>
        <w:t>rare is</w:t>
      </w:r>
      <w:r w:rsidRPr="001E7BD1">
        <w:rPr>
          <w:rStyle w:val="StyleUnderline"/>
        </w:rPr>
        <w:t xml:space="preserve"> </w:t>
      </w:r>
      <w:r w:rsidRPr="001E7BD1">
        <w:rPr>
          <w:rStyle w:val="StyleUnderline"/>
          <w:highlight w:val="green"/>
        </w:rPr>
        <w:t>the occasion when disability claims</w:t>
      </w:r>
      <w:r w:rsidRPr="001E7BD1">
        <w:rPr>
          <w:rStyle w:val="StyleUnderline"/>
        </w:rPr>
        <w:t xml:space="preserve"> our </w:t>
      </w:r>
      <w:r w:rsidRPr="001E7BD1">
        <w:rPr>
          <w:rStyle w:val="StyleUnderline"/>
          <w:highlight w:val="green"/>
        </w:rPr>
        <w:t>attention to attain</w:t>
      </w:r>
      <w:r w:rsidRPr="001E7BD1">
        <w:rPr>
          <w:rStyle w:val="StyleUnderline"/>
        </w:rPr>
        <w:t xml:space="preserve"> </w:t>
      </w:r>
      <w:r w:rsidRPr="001E7BD1">
        <w:rPr>
          <w:rStyle w:val="StyleUnderline"/>
          <w:highlight w:val="green"/>
        </w:rPr>
        <w:t>justice for itself</w:t>
      </w:r>
      <w:r w:rsidRPr="001E7BD1">
        <w:rPr>
          <w:rStyle w:val="StyleUnderline"/>
        </w:rPr>
        <w:t>.</w:t>
      </w:r>
      <w:r w:rsidRPr="001E7BD1">
        <w:rPr>
          <w:sz w:val="16"/>
        </w:rPr>
        <w:t xml:space="preserve"> Recognizing these discrepancies in critical/transformative circles, Kim </w:t>
      </w:r>
      <w:r w:rsidRPr="001E7BD1">
        <w:rPr>
          <w:sz w:val="16"/>
        </w:rPr>
        <w:lastRenderedPageBreak/>
        <w:t>(</w:t>
      </w:r>
      <w:hyperlink r:id="rId21" w:history="1">
        <w:r w:rsidRPr="001E7BD1">
          <w:rPr>
            <w:rStyle w:val="Hyperlink"/>
            <w:sz w:val="16"/>
          </w:rPr>
          <w:t>Citation2016b</w:t>
        </w:r>
      </w:hyperlink>
      <w:r w:rsidRPr="001E7BD1">
        <w:rPr>
          <w:sz w:val="16"/>
        </w:rPr>
        <w:t>) raises the following questions:</w:t>
      </w:r>
      <w:r w:rsidRPr="00BC4CA4">
        <w:rPr>
          <w:sz w:val="16"/>
        </w:rPr>
        <w:t xml:space="preserve"> </w:t>
      </w:r>
      <w:r w:rsidRPr="001E7BD1">
        <w:rPr>
          <w:sz w:val="16"/>
        </w:rPr>
        <w:t xml:space="preserve">What would happen if one compares the view of disability as evidence of social injustice and global struggle and the view of disability as evidence of diversity and belonging? Are the two perspectives incompatible? How does looking at disability as representing broader social contexts limit the understanding of everyday lives of disabled people vis-a-vis nondisabled people in non-Western [but also Western] societies? </w:t>
      </w:r>
      <w:r w:rsidRPr="001E7BD1">
        <w:rPr>
          <w:rStyle w:val="StyleUnderline"/>
        </w:rPr>
        <w:t xml:space="preserve">Is the disabled body constructed as tragic consequence of injustice specific to the non-Western world and positioned in relation to disability constructed as diversity and culture in the Western world? </w:t>
      </w:r>
      <w:r w:rsidRPr="001E7BD1">
        <w:rPr>
          <w:sz w:val="16"/>
        </w:rPr>
        <w:t>When bodies are wounded by violence, at what point does this consequential body of harm become a being entitled to resources and accommodation beyond the grief associated with loss of an able body? (pp. 140–141).</w:t>
      </w:r>
      <w:r w:rsidRPr="00BC4CA4">
        <w:rPr>
          <w:sz w:val="16"/>
        </w:rPr>
        <w:t xml:space="preserve"> </w:t>
      </w:r>
      <w:r w:rsidRPr="001E7BD1">
        <w:rPr>
          <w:sz w:val="16"/>
        </w:rPr>
        <w:t>Kim’s thought-provoking questions reminds us that refusing damage-centered research inevitably results in refusing disability. Moreover, we know that refusals, by themselves, are not substantive actions. We need something else. Something more. Both Hartman and Tuck also recognize this and respond accordingly. Hartman’s (</w:t>
      </w:r>
      <w:hyperlink r:id="rId22" w:history="1">
        <w:r w:rsidRPr="001E7BD1">
          <w:rPr>
            <w:rStyle w:val="Hyperlink"/>
            <w:sz w:val="16"/>
          </w:rPr>
          <w:t>Citation2008</w:t>
        </w:r>
      </w:hyperlink>
      <w:r w:rsidRPr="001E7BD1">
        <w:rPr>
          <w:sz w:val="16"/>
        </w:rPr>
        <w:t>) response is existentialist in her approach while leaving a door open to embrace the possibility of disability. She writes:</w:t>
      </w:r>
      <w:r w:rsidRPr="00BC4CA4">
        <w:rPr>
          <w:sz w:val="16"/>
        </w:rPr>
        <w:t xml:space="preserve"> </w:t>
      </w:r>
      <w:r w:rsidRPr="001E7BD1">
        <w:rPr>
          <w:sz w:val="16"/>
        </w:rPr>
        <w:t>How can a narrative of defeat enable a place for the living or envision an alternative future? (p. 14)…[And then she answers] Narrative restraint, the refusal to fill in the gaps and provide closure, is a requirement of this method, as is the imperative to respect black noise - the shrieks, the moans, the nonsense, the opacity, which are always in excess of legibility and of the law and which hint at and embody aspirations that are wildly utopian, derelict to capitalism, and antithetical to its attendant discourse of Man (p. 17).</w:t>
      </w:r>
      <w:r w:rsidRPr="00BC4CA4">
        <w:rPr>
          <w:sz w:val="16"/>
        </w:rPr>
        <w:t xml:space="preserve"> </w:t>
      </w:r>
      <w:r w:rsidRPr="001E7BD1">
        <w:rPr>
          <w:sz w:val="16"/>
        </w:rPr>
        <w:t>Tuck’s response (2009) requires that we make “an epistemological shift” (p. 419) from damage to desire and by doing so also leaves the door open to embrace the possibility of disability by proffering this conceptualization of desire:</w:t>
      </w:r>
      <w:r w:rsidRPr="00BC4CA4">
        <w:rPr>
          <w:sz w:val="16"/>
        </w:rPr>
        <w:t xml:space="preserve"> </w:t>
      </w:r>
      <w:r w:rsidRPr="001E7BD1">
        <w:rPr>
          <w:sz w:val="16"/>
        </w:rPr>
        <w:t>Desire is the song about walking through the storm, a song that recognizes rather than denies that pain doubtlessly lies ahead (p. 419) ….Desire is about longing, about a present that is enriched by both the past and the future. It is integral to our humanness (p. 417).</w:t>
      </w:r>
      <w:r w:rsidRPr="00BC4CA4">
        <w:rPr>
          <w:sz w:val="16"/>
        </w:rPr>
        <w:t xml:space="preserve"> </w:t>
      </w:r>
      <w:r w:rsidRPr="001E7BD1">
        <w:rPr>
          <w:rStyle w:val="StyleUnderline"/>
        </w:rPr>
        <w:t xml:space="preserve">Hartman and Tuck shift from refusal to a recognition of the transgressive possibilities contained in non-normative spaces that are usually conceived of as damaging. Here the shrieks, the moans, the nonsense, and the pain </w:t>
      </w:r>
      <w:proofErr w:type="gramStart"/>
      <w:r w:rsidRPr="001E7BD1">
        <w:rPr>
          <w:rStyle w:val="StyleUnderline"/>
        </w:rPr>
        <w:t>actually refuse</w:t>
      </w:r>
      <w:proofErr w:type="gramEnd"/>
      <w:r w:rsidRPr="001E7BD1">
        <w:rPr>
          <w:rStyle w:val="StyleUnderline"/>
        </w:rPr>
        <w:t xml:space="preserve"> the legitimacy that the normative order enforces in the process of remembering and forgetting and in doing so has the capacity to upend the legible historical ledger as well. Here, the utility of disability to disrupt the hegemonic shows its hand in emancipatory research; clearly an advancement from previous oppressive iterations of disability, and yet I demur that disability once again remains a ghostly figure doing work at the obscure edges of our critical consciousness(es). Disability studies scholars, David Mitchell and Sharon Snyder (</w:t>
      </w:r>
      <w:hyperlink r:id="rId23" w:history="1">
        <w:r w:rsidRPr="001E7BD1">
          <w:rPr>
            <w:rStyle w:val="StyleUnderline"/>
          </w:rPr>
          <w:t>Citation2000</w:t>
        </w:r>
      </w:hyperlink>
      <w:r w:rsidRPr="001E7BD1">
        <w:rPr>
          <w:rStyle w:val="StyleUnderline"/>
        </w:rPr>
        <w:t xml:space="preserve">) have described this </w:t>
      </w:r>
      <w:r w:rsidRPr="001E7BD1">
        <w:rPr>
          <w:rStyle w:val="StyleUnderline"/>
          <w:highlight w:val="green"/>
        </w:rPr>
        <w:t>utilization of disability whose sole purpose is to advance the narrative</w:t>
      </w:r>
      <w:r w:rsidRPr="001E7BD1">
        <w:rPr>
          <w:rStyle w:val="StyleUnderline"/>
        </w:rPr>
        <w:t xml:space="preserve">’s plot and </w:t>
      </w:r>
      <w:r w:rsidRPr="001E7BD1">
        <w:rPr>
          <w:rStyle w:val="StyleUnderline"/>
          <w:highlight w:val="green"/>
        </w:rPr>
        <w:t>yet not engage</w:t>
      </w:r>
      <w:r w:rsidRPr="001E7BD1">
        <w:rPr>
          <w:rStyle w:val="StyleUnderline"/>
        </w:rPr>
        <w:t xml:space="preserve"> </w:t>
      </w:r>
      <w:r w:rsidRPr="001E7BD1">
        <w:rPr>
          <w:rStyle w:val="StyleUnderline"/>
          <w:highlight w:val="green"/>
        </w:rPr>
        <w:t>disability</w:t>
      </w:r>
      <w:r w:rsidRPr="001E7BD1">
        <w:rPr>
          <w:rStyle w:val="StyleUnderline"/>
        </w:rPr>
        <w:t xml:space="preserve"> on its own terms as “</w:t>
      </w:r>
      <w:r w:rsidRPr="001E7BD1">
        <w:rPr>
          <w:rStyle w:val="StyleUnderline"/>
          <w:highlight w:val="green"/>
        </w:rPr>
        <w:t>narrative prosthesis</w:t>
      </w:r>
      <w:r w:rsidRPr="001E7BD1">
        <w:rPr>
          <w:rStyle w:val="StyleUnderline"/>
        </w:rPr>
        <w:t xml:space="preserve">.” Here, disability serves as a prosthetic device to the </w:t>
      </w:r>
      <w:proofErr w:type="gramStart"/>
      <w:r w:rsidRPr="001E7BD1">
        <w:rPr>
          <w:rStyle w:val="StyleUnderline"/>
        </w:rPr>
        <w:t>narrative;</w:t>
      </w:r>
      <w:proofErr w:type="gramEnd"/>
      <w:r w:rsidRPr="001E7BD1">
        <w:rPr>
          <w:rStyle w:val="StyleUnderline"/>
        </w:rPr>
        <w:t xml:space="preserve"> providing its dramatic flair. Here, though disability is prominently visible in the narrative, the </w:t>
      </w:r>
      <w:r w:rsidRPr="001E7BD1">
        <w:rPr>
          <w:rStyle w:val="StyleUnderline"/>
          <w:highlight w:val="green"/>
        </w:rPr>
        <w:t>disability attached to the narrative</w:t>
      </w:r>
      <w:r w:rsidRPr="001E7BD1">
        <w:rPr>
          <w:rStyle w:val="StyleUnderline"/>
        </w:rPr>
        <w:t xml:space="preserve">’s characters </w:t>
      </w:r>
      <w:r w:rsidRPr="001E7BD1">
        <w:rPr>
          <w:rStyle w:val="StyleUnderline"/>
          <w:highlight w:val="green"/>
        </w:rPr>
        <w:t>is one-dimensional</w:t>
      </w:r>
      <w:r w:rsidRPr="001E7BD1">
        <w:rPr>
          <w:rStyle w:val="StyleUnderline"/>
        </w:rPr>
        <w:t xml:space="preserve"> and serves </w:t>
      </w:r>
      <w:r w:rsidRPr="001E7BD1">
        <w:rPr>
          <w:rStyle w:val="StyleUnderline"/>
          <w:highlight w:val="green"/>
        </w:rPr>
        <w:t>only to verify its</w:t>
      </w:r>
      <w:r w:rsidRPr="001E7BD1">
        <w:rPr>
          <w:rStyle w:val="StyleUnderline"/>
        </w:rPr>
        <w:t xml:space="preserve"> </w:t>
      </w:r>
      <w:r w:rsidRPr="001E7BD1">
        <w:rPr>
          <w:rStyle w:val="StyleUnderline"/>
          <w:highlight w:val="green"/>
        </w:rPr>
        <w:t>stereotypical attributes</w:t>
      </w:r>
      <w:r w:rsidRPr="001E7BD1">
        <w:rPr>
          <w:rStyle w:val="StyleUnderline"/>
        </w:rPr>
        <w:t>.</w:t>
      </w:r>
      <w:r w:rsidRPr="001E7BD1">
        <w:rPr>
          <w:sz w:val="16"/>
        </w:rPr>
        <w:t xml:space="preserve"> John Steinbeck’s (</w:t>
      </w:r>
      <w:hyperlink r:id="rId24" w:history="1">
        <w:r w:rsidRPr="001E7BD1">
          <w:rPr>
            <w:rStyle w:val="Hyperlink"/>
            <w:sz w:val="16"/>
          </w:rPr>
          <w:t>Citation1994</w:t>
        </w:r>
      </w:hyperlink>
      <w:r w:rsidRPr="001E7BD1">
        <w:rPr>
          <w:sz w:val="16"/>
        </w:rPr>
        <w:t>) Of Mice &amp; Men is one such example. Another is Herman Melville’s (</w:t>
      </w:r>
      <w:hyperlink r:id="rId25" w:history="1">
        <w:r w:rsidRPr="001E7BD1">
          <w:rPr>
            <w:rStyle w:val="Hyperlink"/>
            <w:sz w:val="16"/>
          </w:rPr>
          <w:t>Citation2016</w:t>
        </w:r>
      </w:hyperlink>
      <w:r w:rsidRPr="001E7BD1">
        <w:rPr>
          <w:sz w:val="16"/>
        </w:rPr>
        <w:t>) Moby Dick. There is little interest in these narratives about troubling the flatness of disability representation, because disability, rather than showing any promise or possibility, instead foreshadows an ominous impending doom. In fact, there is no attempt to grant disabled characters what Avery Gordon calls “complex personhood” (p. 4). According to Gordon:</w:t>
      </w:r>
      <w:r w:rsidRPr="00BC4CA4">
        <w:rPr>
          <w:sz w:val="16"/>
        </w:rPr>
        <w:t xml:space="preserve"> </w:t>
      </w:r>
      <w:r w:rsidRPr="001E7BD1">
        <w:rPr>
          <w:sz w:val="16"/>
        </w:rPr>
        <w:t>[Complex personhood refers to how people]…get stuck in the symptoms of their troubles, and also transform themselves…that the stories people tell about themselves, about their troubles, about their social worlds, and about their society’s problems are entangled and weave between what is immediately available as a story and what their imaginations are reaching toward….[It means] conferring the respect on others that comes from presuming that life and people’s lives are simultaneously straightforward and full of enormously subtle meaning (pp. 4–5</w:t>
      </w:r>
      <w:r w:rsidRPr="001E7BD1">
        <w:rPr>
          <w:rStyle w:val="StyleUnderline"/>
        </w:rPr>
        <w:t>).</w:t>
      </w:r>
      <w:r w:rsidRPr="00BC4CA4">
        <w:rPr>
          <w:rStyle w:val="StyleUnderline"/>
        </w:rPr>
        <w:t xml:space="preserve"> </w:t>
      </w:r>
      <w:r w:rsidRPr="001E7BD1">
        <w:rPr>
          <w:rStyle w:val="StyleUnderline"/>
        </w:rPr>
        <w:t xml:space="preserve">What Mitchell and Snyder fail to observe is that most of the literary narratives that deploy disability as </w:t>
      </w:r>
      <w:r w:rsidRPr="001E7BD1">
        <w:rPr>
          <w:rStyle w:val="StyleUnderline"/>
          <w:highlight w:val="green"/>
        </w:rPr>
        <w:t>narrative prosthesis, do so</w:t>
      </w:r>
      <w:r w:rsidRPr="001E7BD1">
        <w:rPr>
          <w:rStyle w:val="StyleUnderline"/>
        </w:rPr>
        <w:t xml:space="preserve"> </w:t>
      </w:r>
      <w:proofErr w:type="gramStart"/>
      <w:r w:rsidRPr="001E7BD1">
        <w:rPr>
          <w:rStyle w:val="StyleUnderline"/>
        </w:rPr>
        <w:t xml:space="preserve">in order </w:t>
      </w:r>
      <w:r w:rsidRPr="001E7BD1">
        <w:rPr>
          <w:rStyle w:val="StyleUnderline"/>
          <w:highlight w:val="green"/>
        </w:rPr>
        <w:t>to</w:t>
      </w:r>
      <w:proofErr w:type="gramEnd"/>
      <w:r w:rsidRPr="001E7BD1">
        <w:rPr>
          <w:rStyle w:val="StyleUnderline"/>
        </w:rPr>
        <w:t xml:space="preserve"> </w:t>
      </w:r>
      <w:r w:rsidRPr="001E7BD1">
        <w:rPr>
          <w:rStyle w:val="StyleUnderline"/>
          <w:highlight w:val="green"/>
        </w:rPr>
        <w:t>shore up heteronormative white supremacy</w:t>
      </w:r>
      <w:r w:rsidRPr="001E7BD1">
        <w:rPr>
          <w:rStyle w:val="StyleUnderline"/>
        </w:rPr>
        <w:t xml:space="preserve"> when compared to the abnormality of disability</w:t>
      </w:r>
      <w:r w:rsidRPr="001E7BD1">
        <w:rPr>
          <w:sz w:val="16"/>
        </w:rPr>
        <w:t>. In sharp contrast, neither Ward nor Hartman nor Tuck have any investment to uphold heteronormative white supremacy and as a result they embrace the vulnerability that disability embodies as a political act – one that has much potential to be transformative</w:t>
      </w:r>
      <w:r w:rsidRPr="001E7BD1">
        <w:rPr>
          <w:rStyle w:val="StyleUnderline"/>
        </w:rPr>
        <w:t xml:space="preserve">. My only quibble with Ward, Hartman, and Tuck is that </w:t>
      </w:r>
      <w:r w:rsidRPr="001E7BD1">
        <w:rPr>
          <w:rStyle w:val="StyleUnderline"/>
          <w:highlight w:val="green"/>
        </w:rPr>
        <w:t>even when they invest the people in their narratives with “complex</w:t>
      </w:r>
      <w:r w:rsidRPr="001E7BD1">
        <w:rPr>
          <w:rStyle w:val="StyleUnderline"/>
        </w:rPr>
        <w:t xml:space="preserve"> </w:t>
      </w:r>
      <w:r w:rsidRPr="001E7BD1">
        <w:rPr>
          <w:rStyle w:val="StyleUnderline"/>
          <w:highlight w:val="green"/>
        </w:rPr>
        <w:t>personhood</w:t>
      </w:r>
      <w:r w:rsidRPr="001E7BD1">
        <w:rPr>
          <w:rStyle w:val="StyleUnderline"/>
        </w:rPr>
        <w:t xml:space="preserve">,” </w:t>
      </w:r>
      <w:r w:rsidRPr="001E7BD1">
        <w:rPr>
          <w:rStyle w:val="StyleUnderline"/>
          <w:highlight w:val="green"/>
        </w:rPr>
        <w:t>they do so by claiming the disruptive power of disability</w:t>
      </w:r>
      <w:r w:rsidRPr="001E7BD1">
        <w:rPr>
          <w:rStyle w:val="StyleUnderline"/>
        </w:rPr>
        <w:t xml:space="preserve"> while </w:t>
      </w:r>
      <w:r w:rsidRPr="001E7BD1">
        <w:rPr>
          <w:rStyle w:val="StyleUnderline"/>
          <w:highlight w:val="green"/>
        </w:rPr>
        <w:t>not attributing a</w:t>
      </w:r>
      <w:r w:rsidRPr="001E7BD1">
        <w:rPr>
          <w:rStyle w:val="StyleUnderline"/>
        </w:rPr>
        <w:t xml:space="preserve"> similar </w:t>
      </w:r>
      <w:r w:rsidRPr="001E7BD1">
        <w:rPr>
          <w:rStyle w:val="StyleUnderline"/>
          <w:highlight w:val="green"/>
        </w:rPr>
        <w:t>complex personhood to disabled subjectivities</w:t>
      </w:r>
      <w:r w:rsidRPr="001E7BD1">
        <w:rPr>
          <w:rStyle w:val="StyleUnderline"/>
        </w:rPr>
        <w:t xml:space="preserve">. As a result, </w:t>
      </w:r>
      <w:r w:rsidRPr="001E7BD1">
        <w:rPr>
          <w:rStyle w:val="StyleUnderline"/>
          <w:highlight w:val="green"/>
        </w:rPr>
        <w:t>disability continues to provide</w:t>
      </w:r>
      <w:r w:rsidRPr="001E7BD1">
        <w:rPr>
          <w:rStyle w:val="StyleUnderline"/>
        </w:rPr>
        <w:t xml:space="preserve"> uncompensated </w:t>
      </w:r>
      <w:r w:rsidRPr="001E7BD1">
        <w:rPr>
          <w:rStyle w:val="StyleUnderline"/>
          <w:highlight w:val="green"/>
        </w:rPr>
        <w:t>prosthetic labor to</w:t>
      </w:r>
      <w:r w:rsidRPr="001E7BD1">
        <w:rPr>
          <w:rStyle w:val="StyleUnderline"/>
        </w:rPr>
        <w:t xml:space="preserve"> critical/transformative </w:t>
      </w:r>
      <w:r w:rsidRPr="001E7BD1">
        <w:rPr>
          <w:rStyle w:val="StyleUnderline"/>
          <w:highlight w:val="green"/>
        </w:rPr>
        <w:t>methodologies</w:t>
      </w:r>
      <w:r w:rsidRPr="001E7BD1">
        <w:rPr>
          <w:rStyle w:val="StyleUnderline"/>
        </w:rPr>
        <w:t>.</w:t>
      </w:r>
      <w:r w:rsidRPr="00BC4CA4">
        <w:rPr>
          <w:rStyle w:val="StyleUnderline"/>
        </w:rPr>
        <w:t xml:space="preserve"> </w:t>
      </w:r>
      <w:r w:rsidRPr="001E7BD1">
        <w:rPr>
          <w:rStyle w:val="StyleUnderline"/>
        </w:rPr>
        <w:t>One of the ways by which Ward, Hartman, and Tuck offer a critique of heteronormative white supremacy is that they decry its pathologizing approach by which oppression singularly defines racialized others and their communities. However, disability is not accorded similar treatment, because it is generally accepted that disability in and of itself is direct evidence of tragic harm, injustice, and deprivation”</w:t>
      </w:r>
      <w:r w:rsidRPr="001E7BD1">
        <w:rPr>
          <w:sz w:val="16"/>
        </w:rPr>
        <w:t xml:space="preserve"> (Kim, </w:t>
      </w:r>
      <w:hyperlink r:id="rId26" w:history="1">
        <w:r w:rsidRPr="001E7BD1">
          <w:rPr>
            <w:rStyle w:val="Hyperlink"/>
            <w:sz w:val="16"/>
          </w:rPr>
          <w:t>Citation2016b</w:t>
        </w:r>
      </w:hyperlink>
      <w:r w:rsidRPr="001E7BD1">
        <w:rPr>
          <w:sz w:val="16"/>
        </w:rPr>
        <w:t xml:space="preserve">, p. 140), and is “attached to certain medical and legal categories of identity” (p. 141) from which social movements committed to anti–racist, feminist, queer, and/or class struggle seek to distance themselves. It is in this context then that disability studies scholar Michelle Jarman </w:t>
      </w:r>
      <w:r w:rsidRPr="001E7BD1">
        <w:rPr>
          <w:sz w:val="16"/>
        </w:rPr>
        <w:lastRenderedPageBreak/>
        <w:t>(</w:t>
      </w:r>
      <w:hyperlink r:id="rId27" w:history="1">
        <w:r w:rsidRPr="001E7BD1">
          <w:rPr>
            <w:rStyle w:val="Hyperlink"/>
            <w:sz w:val="16"/>
          </w:rPr>
          <w:t>Citation2005</w:t>
        </w:r>
      </w:hyperlink>
      <w:r w:rsidRPr="001E7BD1">
        <w:rPr>
          <w:sz w:val="16"/>
        </w:rPr>
        <w:t>) calls for theorizing disability as “radical vulnerability”. Kim (</w:t>
      </w:r>
      <w:hyperlink r:id="rId28" w:history="1">
        <w:r w:rsidRPr="001E7BD1">
          <w:rPr>
            <w:rStyle w:val="Hyperlink"/>
            <w:sz w:val="16"/>
          </w:rPr>
          <w:t>Citation2016b</w:t>
        </w:r>
      </w:hyperlink>
      <w:r w:rsidRPr="001E7BD1">
        <w:rPr>
          <w:sz w:val="16"/>
        </w:rPr>
        <w:t>) drawing on Jarman’s work writes:</w:t>
      </w:r>
      <w:r w:rsidRPr="00BC4CA4">
        <w:rPr>
          <w:sz w:val="16"/>
        </w:rPr>
        <w:t xml:space="preserve"> </w:t>
      </w:r>
      <w:r w:rsidRPr="001E7BD1">
        <w:rPr>
          <w:sz w:val="16"/>
        </w:rPr>
        <w:t>If we think of disability in terms of radical vulnerability, we insist not only upon a critical reading of the figure presented as innately vulnerable, but more importantly, upon exposing the concealed fears and desires mirrored by the discursive drive to exclude, efface, or eradicate…. Radical vulnerability is a transgressive point of departure for exposing the divides mapped onto an uneven geography and the privilege hidden beneath the claim of universal vulnerability (p. 145).</w:t>
      </w:r>
      <w:r w:rsidRPr="00BC4CA4">
        <w:rPr>
          <w:sz w:val="16"/>
        </w:rPr>
        <w:t xml:space="preserve"> </w:t>
      </w:r>
      <w:r w:rsidRPr="001E7BD1">
        <w:rPr>
          <w:sz w:val="16"/>
        </w:rPr>
        <w:t xml:space="preserve">Jarman and Kim both offer a discursive intervention by thinking of disability in terms of radical vulnerability. </w:t>
      </w:r>
      <w:r w:rsidRPr="001E7BD1">
        <w:rPr>
          <w:rStyle w:val="StyleUnderline"/>
        </w:rPr>
        <w:t xml:space="preserve">However, as I have argued before </w:t>
      </w:r>
      <w:r w:rsidRPr="001E7BD1">
        <w:rPr>
          <w:rStyle w:val="StyleUnderline"/>
          <w:highlight w:val="green"/>
        </w:rPr>
        <w:t>discursive interventions</w:t>
      </w:r>
      <w:r w:rsidRPr="001E7BD1">
        <w:rPr>
          <w:rStyle w:val="StyleUnderline"/>
        </w:rPr>
        <w:t xml:space="preserve"> while conceptually powerful </w:t>
      </w:r>
      <w:r w:rsidRPr="001E7BD1">
        <w:rPr>
          <w:rStyle w:val="StyleUnderline"/>
          <w:highlight w:val="green"/>
        </w:rPr>
        <w:t>are</w:t>
      </w:r>
      <w:r w:rsidRPr="001E7BD1">
        <w:rPr>
          <w:rStyle w:val="StyleUnderline"/>
        </w:rPr>
        <w:t xml:space="preserve"> </w:t>
      </w:r>
      <w:r w:rsidRPr="001E7BD1">
        <w:rPr>
          <w:rStyle w:val="StyleUnderline"/>
          <w:highlight w:val="green"/>
        </w:rPr>
        <w:t>not effective in transforming</w:t>
      </w:r>
      <w:r w:rsidRPr="001E7BD1">
        <w:rPr>
          <w:rStyle w:val="StyleUnderline"/>
        </w:rPr>
        <w:t xml:space="preserve"> the real </w:t>
      </w:r>
      <w:r w:rsidRPr="001E7BD1">
        <w:rPr>
          <w:rStyle w:val="StyleUnderline"/>
          <w:highlight w:val="green"/>
        </w:rPr>
        <w:t>material conditions</w:t>
      </w:r>
      <w:r w:rsidRPr="001E7BD1">
        <w:rPr>
          <w:rStyle w:val="StyleUnderline"/>
        </w:rPr>
        <w:t xml:space="preserve"> of those who live under oppressive social, political, and economic conditions at the intersections of difference. Disabled people, in global contexts, </w:t>
      </w:r>
      <w:proofErr w:type="gramStart"/>
      <w:r w:rsidRPr="001E7BD1">
        <w:rPr>
          <w:rStyle w:val="StyleUnderline"/>
        </w:rPr>
        <w:t>have to</w:t>
      </w:r>
      <w:proofErr w:type="gramEnd"/>
      <w:r w:rsidRPr="001E7BD1">
        <w:rPr>
          <w:rStyle w:val="StyleUnderline"/>
        </w:rPr>
        <w:t xml:space="preserve"> struggle to gain access to resources, care, and relationships in a world that is organized to keep them out. </w:t>
      </w:r>
      <w:proofErr w:type="gramStart"/>
      <w:r w:rsidRPr="001E7BD1">
        <w:rPr>
          <w:rStyle w:val="StyleUnderline"/>
        </w:rPr>
        <w:t>More often than not</w:t>
      </w:r>
      <w:proofErr w:type="gramEnd"/>
      <w:r w:rsidRPr="001E7BD1">
        <w:rPr>
          <w:rStyle w:val="StyleUnderline"/>
        </w:rPr>
        <w:t xml:space="preserve"> </w:t>
      </w:r>
      <w:r w:rsidRPr="001E7BD1">
        <w:rPr>
          <w:rStyle w:val="StyleUnderline"/>
          <w:highlight w:val="green"/>
        </w:rPr>
        <w:t xml:space="preserve">disabled people are dis-placed from </w:t>
      </w:r>
      <w:proofErr w:type="gramStart"/>
      <w:r w:rsidRPr="001E7BD1">
        <w:rPr>
          <w:rStyle w:val="StyleUnderline"/>
          <w:highlight w:val="green"/>
        </w:rPr>
        <w:t>class rooms</w:t>
      </w:r>
      <w:proofErr w:type="gramEnd"/>
      <w:r w:rsidRPr="001E7BD1">
        <w:rPr>
          <w:rStyle w:val="StyleUnderline"/>
          <w:highlight w:val="green"/>
        </w:rPr>
        <w:t>,</w:t>
      </w:r>
      <w:r w:rsidRPr="001E7BD1">
        <w:rPr>
          <w:rStyle w:val="StyleUnderline"/>
        </w:rPr>
        <w:t xml:space="preserve"> schools, and communities </w:t>
      </w:r>
      <w:r w:rsidRPr="001E7BD1">
        <w:rPr>
          <w:rStyle w:val="StyleUnderline"/>
          <w:highlight w:val="green"/>
        </w:rPr>
        <w:t>and</w:t>
      </w:r>
      <w:r w:rsidRPr="001E7BD1">
        <w:rPr>
          <w:rStyle w:val="StyleUnderline"/>
        </w:rPr>
        <w:t xml:space="preserve"> find themselves in </w:t>
      </w:r>
      <w:r w:rsidRPr="001E7BD1">
        <w:rPr>
          <w:rStyle w:val="StyleUnderline"/>
          <w:highlight w:val="green"/>
        </w:rPr>
        <w:t>segregated</w:t>
      </w:r>
      <w:r w:rsidRPr="001E7BD1">
        <w:rPr>
          <w:rStyle w:val="StyleUnderline"/>
        </w:rPr>
        <w:t xml:space="preserve"> institutional settings. For those disabled people at the oppressive end of racial, class, gender, and sexual identities, these </w:t>
      </w:r>
      <w:r w:rsidRPr="001E7BD1">
        <w:rPr>
          <w:rStyle w:val="StyleUnderline"/>
          <w:highlight w:val="green"/>
        </w:rPr>
        <w:t>dis-placements prove</w:t>
      </w:r>
      <w:r w:rsidRPr="001E7BD1">
        <w:rPr>
          <w:rStyle w:val="StyleUnderline"/>
        </w:rPr>
        <w:t xml:space="preserve"> to both damaging and </w:t>
      </w:r>
      <w:r w:rsidRPr="001E7BD1">
        <w:rPr>
          <w:rStyle w:val="StyleUnderline"/>
          <w:highlight w:val="green"/>
        </w:rPr>
        <w:t>deadly</w:t>
      </w:r>
      <w:r w:rsidRPr="001E7BD1">
        <w:rPr>
          <w:rStyle w:val="StyleUnderline"/>
        </w:rPr>
        <w:t xml:space="preserve"> – a discussion I will take up in the next section.</w:t>
      </w:r>
      <w:r w:rsidRPr="00BC4CA4">
        <w:rPr>
          <w:rStyle w:val="StyleUnderline"/>
        </w:rPr>
        <w:t xml:space="preserve"> </w:t>
      </w:r>
    </w:p>
    <w:p w14:paraId="71CB3E99" w14:textId="77777777" w:rsidR="0053103E" w:rsidRPr="00D030C3" w:rsidRDefault="0053103E" w:rsidP="0053103E">
      <w:pPr>
        <w:pStyle w:val="Heading4"/>
      </w:pPr>
      <w:r>
        <w:t>The absence of disability in the 1ac erases disability and sacrifices one group for another turns case</w:t>
      </w:r>
    </w:p>
    <w:p w14:paraId="1D2D610E" w14:textId="77777777" w:rsidR="0053103E" w:rsidRPr="00D030C3" w:rsidRDefault="0053103E" w:rsidP="0053103E">
      <w:proofErr w:type="spellStart"/>
      <w:r w:rsidRPr="00EB3A66">
        <w:rPr>
          <w:rStyle w:val="Style13ptBold"/>
        </w:rPr>
        <w:t>Erevelles</w:t>
      </w:r>
      <w:proofErr w:type="spellEnd"/>
      <w:r w:rsidRPr="00EB3A66">
        <w:rPr>
          <w:rStyle w:val="Style13ptBold"/>
        </w:rPr>
        <w:t xml:space="preserve"> and Abay</w:t>
      </w:r>
      <w:r>
        <w:rPr>
          <w:rStyle w:val="Style13ptBold"/>
        </w:rPr>
        <w:t xml:space="preserve"> </w:t>
      </w:r>
      <w:proofErr w:type="gramStart"/>
      <w:r>
        <w:rPr>
          <w:rStyle w:val="Style13ptBold"/>
        </w:rPr>
        <w:t>2024</w:t>
      </w:r>
      <w:r w:rsidRPr="00BE587E">
        <w:t>,</w:t>
      </w:r>
      <w:r>
        <w:t>*</w:t>
      </w:r>
      <w:proofErr w:type="gramEnd"/>
      <w:r>
        <w:t xml:space="preserve">Professor at Alabama in </w:t>
      </w:r>
      <w:r w:rsidRPr="0098441A">
        <w:t>Social and Cultural Studies in Education</w:t>
      </w:r>
      <w:r>
        <w:t xml:space="preserve"> </w:t>
      </w:r>
      <w:proofErr w:type="gramStart"/>
      <w:r>
        <w:t>researches</w:t>
      </w:r>
      <w:proofErr w:type="gramEnd"/>
      <w:r>
        <w:t xml:space="preserve"> </w:t>
      </w:r>
      <w:r w:rsidRPr="0098441A">
        <w:t>disability studies, critical race theory, transnational feminism, sociology of education, and postcolonial studies.</w:t>
      </w:r>
      <w:r w:rsidRPr="00BE587E">
        <w:t xml:space="preserve"> </w:t>
      </w:r>
      <w:r w:rsidRPr="0098441A">
        <w:t xml:space="preserve">Her book, Disability and Difference in Global Contexts: Towards a Transformative Body Politic was published by Palgrave in November 2012 and was awarded the Critic’s Choice Award from the American Educational Studies Association.  </w:t>
      </w:r>
      <w:r>
        <w:t xml:space="preserve">**Currently a guest professor at </w:t>
      </w:r>
      <w:r w:rsidRPr="0098441A">
        <w:t>Humboldt University of Berlin</w:t>
      </w:r>
      <w:r>
        <w:t xml:space="preserve"> and is a sociologist and </w:t>
      </w:r>
      <w:r w:rsidRPr="0098441A">
        <w:t>examines the Intersectional Colonialities of Ableism and Racis</w:t>
      </w:r>
      <w:r>
        <w:t>m</w:t>
      </w:r>
      <w:r w:rsidRPr="00BE587E">
        <w:t>. (*</w:t>
      </w:r>
      <w:r>
        <w:t xml:space="preserve">Nirmala </w:t>
      </w:r>
      <w:proofErr w:type="spellStart"/>
      <w:r>
        <w:t>Erevelles</w:t>
      </w:r>
      <w:proofErr w:type="spellEnd"/>
      <w:r w:rsidRPr="00BE587E">
        <w:t xml:space="preserve"> **</w:t>
      </w:r>
      <w:r w:rsidRPr="0098441A">
        <w:t xml:space="preserve"> </w:t>
      </w:r>
      <w:r>
        <w:t>Robel Afeworki Abay</w:t>
      </w:r>
      <w:r w:rsidRPr="00BE587E">
        <w:t xml:space="preserve">, </w:t>
      </w:r>
      <w:r>
        <w:t>May 27</w:t>
      </w:r>
      <w:proofErr w:type="gramStart"/>
      <w:r>
        <w:t xml:space="preserve"> 2024</w:t>
      </w:r>
      <w:proofErr w:type="gramEnd"/>
      <w:r w:rsidRPr="00BE587E">
        <w:t>, “</w:t>
      </w:r>
      <w:r>
        <w:t>Intersectional</w:t>
      </w:r>
      <w:r w:rsidRPr="00D030C3">
        <w:t xml:space="preserve"> Colonialities</w:t>
      </w:r>
      <w:r>
        <w:t xml:space="preserve">: </w:t>
      </w:r>
      <w:r w:rsidRPr="00BE587E">
        <w:t xml:space="preserve">Embodied Colonial Violence and Practices of Resistance at the Axis of Disability, Race, Indigeneity, Class, and Gender,” </w:t>
      </w:r>
      <w:r>
        <w:t>Taylor and Francis Group</w:t>
      </w:r>
      <w:r w:rsidRPr="00BE587E">
        <w:t>, https://www.taylorfrancis.com/books/edit/10.4324/9781003280422/intersectional-colonialities-robel-afeworki-abay-karen-soldati%C4%87</w:t>
      </w:r>
    </w:p>
    <w:p w14:paraId="70F11818" w14:textId="77777777" w:rsidR="0053103E" w:rsidRDefault="0053103E" w:rsidP="0053103E">
      <w:r w:rsidRPr="00764AF3">
        <w:rPr>
          <w:rStyle w:val="StyleUnderline"/>
        </w:rPr>
        <w:t xml:space="preserve">We, therefore, argue that when </w:t>
      </w:r>
      <w:r w:rsidRPr="00764AF3">
        <w:rPr>
          <w:rStyle w:val="StyleUnderline"/>
          <w:highlight w:val="green"/>
        </w:rPr>
        <w:t>disability</w:t>
      </w:r>
      <w:r w:rsidRPr="00764AF3">
        <w:rPr>
          <w:rStyle w:val="StyleUnderline"/>
        </w:rPr>
        <w:t xml:space="preserve"> is </w:t>
      </w:r>
      <w:r w:rsidRPr="00764AF3">
        <w:rPr>
          <w:rStyle w:val="StyleUnderline"/>
          <w:highlight w:val="green"/>
        </w:rPr>
        <w:t>included in</w:t>
      </w:r>
      <w:r w:rsidRPr="00764AF3">
        <w:rPr>
          <w:rStyle w:val="StyleUnderline"/>
        </w:rPr>
        <w:t xml:space="preserve"> an intersectional </w:t>
      </w:r>
      <w:r w:rsidRPr="00764AF3">
        <w:rPr>
          <w:rStyle w:val="StyleUnderline"/>
          <w:highlight w:val="green"/>
        </w:rPr>
        <w:t>analysis</w:t>
      </w:r>
      <w:r w:rsidRPr="00764AF3">
        <w:rPr>
          <w:rStyle w:val="StyleUnderline"/>
        </w:rPr>
        <w:t xml:space="preserve">, it </w:t>
      </w:r>
      <w:r w:rsidRPr="00764AF3">
        <w:rPr>
          <w:rStyle w:val="StyleUnderline"/>
          <w:highlight w:val="green"/>
        </w:rPr>
        <w:t>exceeds</w:t>
      </w:r>
      <w:r w:rsidRPr="00764AF3">
        <w:rPr>
          <w:rStyle w:val="StyleUnderline"/>
        </w:rPr>
        <w:t xml:space="preserve"> </w:t>
      </w:r>
      <w:r w:rsidRPr="00764AF3">
        <w:rPr>
          <w:rStyle w:val="StyleUnderline"/>
          <w:highlight w:val="green"/>
        </w:rPr>
        <w:t xml:space="preserve">representational politics to also perform epistemic </w:t>
      </w:r>
      <w:proofErr w:type="spellStart"/>
      <w:r w:rsidRPr="00764AF3">
        <w:rPr>
          <w:rStyle w:val="StyleUnderline"/>
          <w:highlight w:val="green"/>
        </w:rPr>
        <w:t>labour</w:t>
      </w:r>
      <w:proofErr w:type="spellEnd"/>
      <w:r w:rsidRPr="00764AF3">
        <w:rPr>
          <w:rStyle w:val="StyleUnderline"/>
        </w:rPr>
        <w:t xml:space="preserve"> in the constitution of other categories of difference</w:t>
      </w:r>
      <w:r w:rsidRPr="00764AF3">
        <w:t xml:space="preserve"> (</w:t>
      </w:r>
      <w:proofErr w:type="spellStart"/>
      <w:r w:rsidRPr="00764AF3">
        <w:t>Erevelles</w:t>
      </w:r>
      <w:proofErr w:type="spellEnd"/>
      <w:r w:rsidRPr="00764AF3">
        <w:t xml:space="preserve"> and Morrow,</w:t>
      </w:r>
      <w:r>
        <w:t xml:space="preserve"> </w:t>
      </w:r>
      <w:r w:rsidRPr="00764AF3">
        <w:t xml:space="preserve">2022). On one hand, as per Crenshaw’s articulation of structural </w:t>
      </w:r>
      <w:r>
        <w:t>intersectionality</w:t>
      </w:r>
      <w:r w:rsidRPr="00764AF3">
        <w:t xml:space="preserve">, </w:t>
      </w:r>
      <w:r w:rsidRPr="00764AF3">
        <w:rPr>
          <w:rStyle w:val="StyleUnderline"/>
        </w:rPr>
        <w:t xml:space="preserve">ableism intersects with other oppressive structures to impact social policy as well as the lived experiences of multiply </w:t>
      </w:r>
      <w:proofErr w:type="spellStart"/>
      <w:r w:rsidRPr="00764AF3">
        <w:rPr>
          <w:rStyle w:val="StyleUnderline"/>
        </w:rPr>
        <w:t>marginalised</w:t>
      </w:r>
      <w:proofErr w:type="spellEnd"/>
      <w:r w:rsidRPr="00764AF3">
        <w:rPr>
          <w:rStyle w:val="StyleUnderline"/>
        </w:rPr>
        <w:t xml:space="preserve"> communities as a tool to structure social difference</w:t>
      </w:r>
      <w:r w:rsidRPr="00764AF3">
        <w:t>. In fact, as many</w:t>
      </w:r>
      <w:r>
        <w:t xml:space="preserve"> </w:t>
      </w:r>
      <w:r w:rsidRPr="00764AF3">
        <w:t xml:space="preserve">disability studies scholars (McRuer, 2006; </w:t>
      </w:r>
      <w:proofErr w:type="spellStart"/>
      <w:r w:rsidRPr="00764AF3">
        <w:t>Erevelles</w:t>
      </w:r>
      <w:proofErr w:type="spellEnd"/>
      <w:r w:rsidRPr="00764AF3">
        <w:t>, 2011a; Pickens, 2019;</w:t>
      </w:r>
      <w:r>
        <w:t xml:space="preserve"> </w:t>
      </w:r>
      <w:r w:rsidRPr="00764AF3">
        <w:t xml:space="preserve">Kim and Schalk, 2021; Schalk, 2022) have pointed out, </w:t>
      </w:r>
      <w:r w:rsidRPr="00764AF3">
        <w:rPr>
          <w:rStyle w:val="StyleUnderline"/>
          <w:highlight w:val="green"/>
        </w:rPr>
        <w:t>disability serves as a mode of justifying the</w:t>
      </w:r>
      <w:r w:rsidRPr="00764AF3">
        <w:rPr>
          <w:rStyle w:val="StyleUnderline"/>
        </w:rPr>
        <w:t xml:space="preserve"> social </w:t>
      </w:r>
      <w:r w:rsidRPr="00764AF3">
        <w:rPr>
          <w:rStyle w:val="StyleUnderline"/>
          <w:highlight w:val="green"/>
        </w:rPr>
        <w:t xml:space="preserve">oppression of other categories of </w:t>
      </w:r>
      <w:proofErr w:type="gramStart"/>
      <w:r w:rsidRPr="00764AF3">
        <w:rPr>
          <w:rStyle w:val="StyleUnderline"/>
          <w:highlight w:val="green"/>
        </w:rPr>
        <w:t>difference</w:t>
      </w:r>
      <w:proofErr w:type="gramEnd"/>
      <w:r w:rsidRPr="00764AF3">
        <w:rPr>
          <w:rStyle w:val="StyleUnderline"/>
        </w:rPr>
        <w:t xml:space="preserve">. This recognition of disability within the context of structural intersection thus explains the vexed relation disability has with other categories of difference – in that </w:t>
      </w:r>
      <w:r w:rsidRPr="00764AF3">
        <w:rPr>
          <w:rStyle w:val="StyleUnderline"/>
          <w:highlight w:val="green"/>
        </w:rPr>
        <w:t>disability becomes the category to avoid rather than</w:t>
      </w:r>
      <w:r w:rsidRPr="00764AF3">
        <w:rPr>
          <w:rStyle w:val="StyleUnderline"/>
        </w:rPr>
        <w:t xml:space="preserve"> with </w:t>
      </w:r>
      <w:r w:rsidRPr="00764AF3">
        <w:rPr>
          <w:rStyle w:val="StyleUnderline"/>
          <w:highlight w:val="green"/>
        </w:rPr>
        <w:t>which to build an</w:t>
      </w:r>
      <w:r w:rsidRPr="00764AF3">
        <w:rPr>
          <w:rStyle w:val="StyleUnderline"/>
        </w:rPr>
        <w:t xml:space="preserve"> </w:t>
      </w:r>
      <w:r w:rsidRPr="00764AF3">
        <w:rPr>
          <w:rStyle w:val="StyleUnderline"/>
          <w:highlight w:val="green"/>
        </w:rPr>
        <w:t>alliance</w:t>
      </w:r>
      <w:r w:rsidRPr="00764AF3">
        <w:rPr>
          <w:rStyle w:val="StyleUnderline"/>
        </w:rPr>
        <w:t xml:space="preserve">. Here </w:t>
      </w:r>
      <w:r w:rsidRPr="00764AF3">
        <w:rPr>
          <w:rStyle w:val="StyleUnderline"/>
          <w:highlight w:val="green"/>
        </w:rPr>
        <w:t>disability</w:t>
      </w:r>
      <w:r w:rsidRPr="00764AF3">
        <w:rPr>
          <w:rStyle w:val="StyleUnderline"/>
        </w:rPr>
        <w:t xml:space="preserve"> as structure </w:t>
      </w:r>
      <w:r w:rsidRPr="00764AF3">
        <w:rPr>
          <w:rStyle w:val="StyleUnderline"/>
          <w:highlight w:val="green"/>
        </w:rPr>
        <w:t>marks</w:t>
      </w:r>
      <w:r w:rsidRPr="00764AF3">
        <w:rPr>
          <w:rStyle w:val="StyleUnderline"/>
        </w:rPr>
        <w:t xml:space="preserve"> the </w:t>
      </w:r>
      <w:r w:rsidRPr="00764AF3">
        <w:rPr>
          <w:rStyle w:val="StyleUnderline"/>
          <w:highlight w:val="green"/>
        </w:rPr>
        <w:t>distinctions between</w:t>
      </w:r>
      <w:r w:rsidRPr="00764AF3">
        <w:rPr>
          <w:rStyle w:val="StyleUnderline"/>
        </w:rPr>
        <w:t xml:space="preserve"> “worthy/valued” and “</w:t>
      </w:r>
      <w:r w:rsidRPr="00764AF3">
        <w:rPr>
          <w:rStyle w:val="StyleUnderline"/>
          <w:highlight w:val="green"/>
        </w:rPr>
        <w:t>disposable/devalued” life</w:t>
      </w:r>
      <w:r w:rsidRPr="00764AF3">
        <w:rPr>
          <w:rStyle w:val="StyleUnderline"/>
        </w:rPr>
        <w:t xml:space="preserve">. In fact, it is </w:t>
      </w:r>
      <w:r w:rsidRPr="00764AF3">
        <w:rPr>
          <w:rStyle w:val="StyleUnderline"/>
          <w:highlight w:val="green"/>
        </w:rPr>
        <w:t>only through the epistemic erasure of disability that other</w:t>
      </w:r>
      <w:r w:rsidRPr="00764AF3">
        <w:rPr>
          <w:rStyle w:val="StyleUnderline"/>
        </w:rPr>
        <w:t xml:space="preserve"> </w:t>
      </w:r>
      <w:r w:rsidRPr="00764AF3">
        <w:rPr>
          <w:rStyle w:val="StyleUnderline"/>
          <w:highlight w:val="green"/>
        </w:rPr>
        <w:t>categories of difference</w:t>
      </w:r>
      <w:r w:rsidRPr="00764AF3">
        <w:rPr>
          <w:rStyle w:val="StyleUnderline"/>
        </w:rPr>
        <w:t xml:space="preserve"> can </w:t>
      </w:r>
      <w:r w:rsidRPr="00764AF3">
        <w:rPr>
          <w:rStyle w:val="StyleUnderline"/>
          <w:highlight w:val="green"/>
        </w:rPr>
        <w:t>make claims to their own freedom</w:t>
      </w:r>
      <w:r w:rsidRPr="00764AF3">
        <w:rPr>
          <w:rStyle w:val="StyleUnderline"/>
        </w:rPr>
        <w:t xml:space="preserve">. This is what we argue is the epistemic </w:t>
      </w:r>
      <w:proofErr w:type="spellStart"/>
      <w:r w:rsidRPr="00764AF3">
        <w:rPr>
          <w:rStyle w:val="StyleUnderline"/>
        </w:rPr>
        <w:t>labour</w:t>
      </w:r>
      <w:proofErr w:type="spellEnd"/>
      <w:r w:rsidRPr="00764AF3">
        <w:rPr>
          <w:rStyle w:val="StyleUnderline"/>
        </w:rPr>
        <w:t xml:space="preserve"> that </w:t>
      </w:r>
      <w:r w:rsidRPr="00764AF3">
        <w:rPr>
          <w:rStyle w:val="StyleUnderline"/>
          <w:highlight w:val="green"/>
        </w:rPr>
        <w:t>disability is forced to do in intersectional analyses of difference</w:t>
      </w:r>
      <w:r w:rsidRPr="00764AF3">
        <w:rPr>
          <w:rStyle w:val="StyleUnderline"/>
        </w:rPr>
        <w:t xml:space="preserve">. And </w:t>
      </w:r>
      <w:r w:rsidRPr="00764AF3">
        <w:rPr>
          <w:rStyle w:val="StyleUnderline"/>
          <w:highlight w:val="green"/>
        </w:rPr>
        <w:t xml:space="preserve">failing to </w:t>
      </w:r>
      <w:proofErr w:type="spellStart"/>
      <w:r w:rsidRPr="00764AF3">
        <w:rPr>
          <w:rStyle w:val="StyleUnderline"/>
          <w:highlight w:val="green"/>
        </w:rPr>
        <w:t>recognise</w:t>
      </w:r>
      <w:proofErr w:type="spellEnd"/>
      <w:r w:rsidRPr="00764AF3">
        <w:rPr>
          <w:rStyle w:val="StyleUnderline"/>
        </w:rPr>
        <w:t xml:space="preserve"> </w:t>
      </w:r>
      <w:r w:rsidRPr="00764AF3">
        <w:rPr>
          <w:rStyle w:val="StyleUnderline"/>
          <w:highlight w:val="green"/>
        </w:rPr>
        <w:t>this</w:t>
      </w:r>
      <w:r w:rsidRPr="00764AF3">
        <w:rPr>
          <w:rStyle w:val="StyleUnderline"/>
        </w:rPr>
        <w:t xml:space="preserve"> epistemic </w:t>
      </w:r>
      <w:proofErr w:type="spellStart"/>
      <w:r w:rsidRPr="00764AF3">
        <w:rPr>
          <w:rStyle w:val="StyleUnderline"/>
        </w:rPr>
        <w:t>labour</w:t>
      </w:r>
      <w:proofErr w:type="spellEnd"/>
      <w:r w:rsidRPr="00764AF3">
        <w:rPr>
          <w:rStyle w:val="StyleUnderline"/>
        </w:rPr>
        <w:t xml:space="preserve"> serves to </w:t>
      </w:r>
      <w:proofErr w:type="gramStart"/>
      <w:r w:rsidRPr="00764AF3">
        <w:rPr>
          <w:rStyle w:val="StyleUnderline"/>
          <w:highlight w:val="green"/>
        </w:rPr>
        <w:t>effect</w:t>
      </w:r>
      <w:proofErr w:type="gramEnd"/>
      <w:r w:rsidRPr="00764AF3">
        <w:rPr>
          <w:rStyle w:val="StyleUnderline"/>
          <w:highlight w:val="green"/>
        </w:rPr>
        <w:t xml:space="preserve"> the erasure of Black, Queer, Indigenous, poor, gendered, disabled, and mad people</w:t>
      </w:r>
      <w:r w:rsidRPr="00764AF3">
        <w:rPr>
          <w:rStyle w:val="StyleUnderline"/>
        </w:rPr>
        <w:t xml:space="preserve"> since there is little space both in the discourse and dominant society for them.</w:t>
      </w:r>
      <w:r>
        <w:t xml:space="preserve"> </w:t>
      </w:r>
    </w:p>
    <w:p w14:paraId="6C3651E5" w14:textId="77777777" w:rsidR="0053103E" w:rsidRDefault="0053103E" w:rsidP="0053103E"/>
    <w:p w14:paraId="07B0DD0F" w14:textId="3963FA0A" w:rsidR="005D1BCD" w:rsidRDefault="005D1BCD" w:rsidP="005D1BCD">
      <w:pPr>
        <w:pStyle w:val="Heading4"/>
      </w:pPr>
      <w:r w:rsidRPr="006810FE">
        <w:lastRenderedPageBreak/>
        <w:t xml:space="preserve">Only rejection of ableism in all instances can allow us to </w:t>
      </w:r>
      <w:r>
        <w:t xml:space="preserve">address the problems the </w:t>
      </w:r>
      <w:proofErr w:type="spellStart"/>
      <w:r>
        <w:t>aff</w:t>
      </w:r>
      <w:proofErr w:type="spellEnd"/>
      <w:r>
        <w:t xml:space="preserve"> describes anything else reinscribes the power systems the </w:t>
      </w:r>
      <w:proofErr w:type="spellStart"/>
      <w:r>
        <w:t>aff</w:t>
      </w:r>
      <w:proofErr w:type="spellEnd"/>
      <w:r>
        <w:t xml:space="preserve"> critiques </w:t>
      </w:r>
    </w:p>
    <w:p w14:paraId="271D3F39" w14:textId="77777777" w:rsidR="005D1BCD" w:rsidRPr="006810FE" w:rsidRDefault="005D1BCD" w:rsidP="005D1BCD">
      <w:hyperlink r:id="rId29" w:history="1">
        <w:r w:rsidRPr="006810FE">
          <w:rPr>
            <w:rStyle w:val="Style13ptBold"/>
          </w:rPr>
          <w:t>Ellison</w:t>
        </w:r>
      </w:hyperlink>
      <w:r w:rsidRPr="006810FE">
        <w:rPr>
          <w:rStyle w:val="Style13ptBold"/>
        </w:rPr>
        <w:t xml:space="preserve"> 2024</w:t>
      </w:r>
      <w:r w:rsidRPr="006810FE">
        <w:t>, Black Trans Disabled Anarchist Survivor who writes to help people resist the forces of neoliberal fascism. (</w:t>
      </w:r>
      <w:hyperlink r:id="rId30" w:history="1">
        <w:r w:rsidRPr="006810FE">
          <w:rPr>
            <w:rStyle w:val="Hyperlink"/>
          </w:rPr>
          <w:t xml:space="preserve">Estelle </w:t>
        </w:r>
      </w:hyperlink>
      <w:r w:rsidRPr="006810FE">
        <w:t xml:space="preserve">, </w:t>
      </w:r>
      <w:r>
        <w:t>Jan 25 2024</w:t>
      </w:r>
      <w:r w:rsidRPr="006810FE">
        <w:t xml:space="preserve">, “Identifying And Rejecting Ableism In Movement Work,” </w:t>
      </w:r>
      <w:r>
        <w:t xml:space="preserve">Medium, </w:t>
      </w:r>
      <w:r w:rsidRPr="006810FE">
        <w:t>https://abolishtime.medium.com/identifying-and-rejecting-ableism-in-movement-work-322e2c85a80c</w:t>
      </w:r>
      <w:r>
        <w:t>)</w:t>
      </w:r>
    </w:p>
    <w:p w14:paraId="280F3F15" w14:textId="77777777" w:rsidR="005D1BCD" w:rsidRDefault="005D1BCD" w:rsidP="005D1BCD">
      <w:pPr>
        <w:rPr>
          <w:sz w:val="14"/>
        </w:rPr>
      </w:pPr>
      <w:r w:rsidRPr="005A51C2">
        <w:rPr>
          <w:rStyle w:val="StyleUnderline"/>
        </w:rPr>
        <w:t xml:space="preserve">In acknowledging these dynamics, it is also important to note that </w:t>
      </w:r>
      <w:r w:rsidRPr="005A51C2">
        <w:rPr>
          <w:rStyle w:val="StyleUnderline"/>
          <w:highlight w:val="green"/>
        </w:rPr>
        <w:t>being recognized</w:t>
      </w:r>
      <w:r w:rsidRPr="005A51C2">
        <w:rPr>
          <w:rStyle w:val="StyleUnderline"/>
        </w:rPr>
        <w:t xml:space="preserve"> in this way </w:t>
      </w:r>
      <w:r w:rsidRPr="005A51C2">
        <w:rPr>
          <w:rStyle w:val="StyleUnderline"/>
          <w:highlight w:val="green"/>
        </w:rPr>
        <w:t>does</w:t>
      </w:r>
      <w:r w:rsidRPr="005A51C2">
        <w:rPr>
          <w:rStyle w:val="StyleUnderline"/>
        </w:rPr>
        <w:t xml:space="preserve"> </w:t>
      </w:r>
      <w:r w:rsidRPr="005A51C2">
        <w:rPr>
          <w:rStyle w:val="StyleUnderline"/>
          <w:highlight w:val="green"/>
        </w:rPr>
        <w:t>not</w:t>
      </w:r>
      <w:r w:rsidRPr="005A51C2">
        <w:rPr>
          <w:rStyle w:val="StyleUnderline"/>
        </w:rPr>
        <w:t xml:space="preserve"> automatically </w:t>
      </w:r>
      <w:r w:rsidRPr="005A51C2">
        <w:rPr>
          <w:rStyle w:val="StyleUnderline"/>
          <w:highlight w:val="green"/>
        </w:rPr>
        <w:t>mean proper care will be received</w:t>
      </w:r>
      <w:r w:rsidRPr="005A51C2">
        <w:rPr>
          <w:rStyle w:val="StyleUnderline"/>
        </w:rPr>
        <w:t>. For example, while cancer may be widely known as a life-threatening condition that greatly harms a patient’s immune system, this has not stopped many hospitals offering treatment to cancer patients from dropping their mask mandates and exposing patients to covid during critical periods of their recovery</w:t>
      </w:r>
      <w:r w:rsidRPr="005A51C2">
        <w:rPr>
          <w:sz w:val="14"/>
        </w:rPr>
        <w:t>. These lethal failures present yet another hazard to Black people navigating the medical industrial complex which already systemically produces and reinforces anti-Blackness.</w:t>
      </w:r>
      <w:r w:rsidRPr="006810FE">
        <w:rPr>
          <w:sz w:val="14"/>
        </w:rPr>
        <w:t xml:space="preserve"> </w:t>
      </w:r>
      <w:r w:rsidRPr="005A51C2">
        <w:rPr>
          <w:sz w:val="14"/>
        </w:rPr>
        <w:t>There are cultural barriers to care we see when Black children are more likely to be disciplined in schools for having unmet needs rather than provided appropriate support. Black adults also very frequently find their access to care restricted or withheld due to the anti-Black prejudices held by their care providers. During this ongoing pandemic, anti-Blackness is made more lethal as Black people face a greater risk of death from covid as schools and workplaces abstain from any transmission mitigating protocols. Each of these examples illustrates the ways that different systems of oppression interlock and inform each other. To neglect one kind of analysis is to neglect an entire set of unmet needs an individual has as they struggle to survive capitalism.</w:t>
      </w:r>
      <w:r w:rsidRPr="006810FE">
        <w:rPr>
          <w:sz w:val="14"/>
        </w:rPr>
        <w:t xml:space="preserve"> </w:t>
      </w:r>
      <w:r w:rsidRPr="005A51C2">
        <w:rPr>
          <w:sz w:val="14"/>
        </w:rPr>
        <w:t xml:space="preserve">Disability justice circles that fail to incorporate an essential analysis of anti-Blackness have created some regionally distinct perceptions of disability justice as a type of advocacy that is not “for” Black people. Similarly, disability justice is perceived as a “middle-class” issue resulting from analyses of ableism that fail to confront classism and white supremacy. </w:t>
      </w:r>
      <w:proofErr w:type="gramStart"/>
      <w:r w:rsidRPr="005A51C2">
        <w:rPr>
          <w:sz w:val="14"/>
        </w:rPr>
        <w:t>As a consequence</w:t>
      </w:r>
      <w:proofErr w:type="gramEnd"/>
      <w:r w:rsidRPr="005A51C2">
        <w:rPr>
          <w:sz w:val="14"/>
        </w:rPr>
        <w:t>, Black and disabled people and those who belong to both identity categories and live especially precarious lives under capitalism are erased by these misperceptions, eroding the efficacy of disability justice as a movement.</w:t>
      </w:r>
      <w:r w:rsidRPr="006810FE">
        <w:rPr>
          <w:sz w:val="14"/>
        </w:rPr>
        <w:t xml:space="preserve"> </w:t>
      </w:r>
      <w:r w:rsidRPr="005A51C2">
        <w:rPr>
          <w:sz w:val="14"/>
        </w:rPr>
        <w:t>It can be said that these misperceptions are a product of co-optation and bad actors who engage in disability justice discourses as a means of veiling their own reactionary beliefs. While this is certainly a factor, the misperceptions are also a product of spaces that do not practice enough discernment about reactionary behaviors (i.e. behaviors that only exist for the benefit of oppressive systems). Not having a robust enough analysis of anti-Blackness means that much more anti-Blackness can go unchecked and unrecognized until the damage has already been done. Likewise, wealth distribution and mutual aid efforts have brought more marginalized folks in contact with more middle-class people than before in recent years. The absence of class analysis, class betrayers, or outspoken opposition to anti-Blackness and white supremacy sets the stage for increased conflict along the lines of these power dynamics.</w:t>
      </w:r>
      <w:r w:rsidRPr="006810FE">
        <w:rPr>
          <w:sz w:val="14"/>
        </w:rPr>
        <w:t xml:space="preserve"> </w:t>
      </w:r>
      <w:r w:rsidRPr="005A51C2">
        <w:rPr>
          <w:sz w:val="14"/>
        </w:rPr>
        <w:t xml:space="preserve">Looking at our present-day conditions in year five of the pandemic during multiple concurrent genocides, many disabled people (some who were disabled before the pandemic and some who were disabled by this pandemic) are struggling with despair in the face of </w:t>
      </w:r>
      <w:proofErr w:type="gramStart"/>
      <w:r w:rsidRPr="005A51C2">
        <w:rPr>
          <w:sz w:val="14"/>
        </w:rPr>
        <w:t>a majority of</w:t>
      </w:r>
      <w:proofErr w:type="gramEnd"/>
      <w:r w:rsidRPr="005A51C2">
        <w:rPr>
          <w:sz w:val="14"/>
        </w:rPr>
        <w:t xml:space="preserve"> people refusing to help us survive this deeply fascist period. We have seen eugenicist normalcy placed far above the need to protect those who are most vulnerable to covid. This ableist attitude is especially insidious given that the ongoing pandemic poses a threat to everyone. And yet, by isolating immunocompromised people, capitalism uses the ableism it has instilled in its population to help further its goal of economic exploitation. </w:t>
      </w:r>
      <w:r w:rsidRPr="005A51C2">
        <w:rPr>
          <w:rStyle w:val="StyleUnderline"/>
        </w:rPr>
        <w:t xml:space="preserve">Ableist apathy and resentment are such a predictable reaction from </w:t>
      </w:r>
      <w:proofErr w:type="spellStart"/>
      <w:r w:rsidRPr="005A51C2">
        <w:rPr>
          <w:rStyle w:val="StyleUnderline"/>
        </w:rPr>
        <w:t>americans</w:t>
      </w:r>
      <w:proofErr w:type="spellEnd"/>
      <w:r w:rsidRPr="005A51C2">
        <w:rPr>
          <w:rStyle w:val="StyleUnderline"/>
        </w:rPr>
        <w:t xml:space="preserve"> that capitalism has turned it into an incentive to build an ever more lethal normalcy, contributing to genocide at home and abroad. </w:t>
      </w:r>
      <w:r w:rsidRPr="005A51C2">
        <w:rPr>
          <w:rStyle w:val="StyleUnderline"/>
          <w:highlight w:val="green"/>
        </w:rPr>
        <w:t>Ableism</w:t>
      </w:r>
      <w:r w:rsidRPr="005A51C2">
        <w:rPr>
          <w:rStyle w:val="StyleUnderline"/>
        </w:rPr>
        <w:t xml:space="preserve"> in this way </w:t>
      </w:r>
      <w:r w:rsidRPr="005A51C2">
        <w:rPr>
          <w:rStyle w:val="StyleUnderline"/>
          <w:highlight w:val="green"/>
        </w:rPr>
        <w:t xml:space="preserve">is a </w:t>
      </w:r>
      <w:r w:rsidRPr="005A51C2">
        <w:rPr>
          <w:rStyle w:val="StyleUnderline"/>
        </w:rPr>
        <w:t xml:space="preserve">reliable </w:t>
      </w:r>
      <w:r w:rsidRPr="005A51C2">
        <w:rPr>
          <w:rStyle w:val="StyleUnderline"/>
          <w:highlight w:val="green"/>
        </w:rPr>
        <w:t>form of social control that capitalism</w:t>
      </w:r>
      <w:r w:rsidRPr="005A51C2">
        <w:rPr>
          <w:rStyle w:val="StyleUnderline"/>
        </w:rPr>
        <w:t xml:space="preserve"> </w:t>
      </w:r>
      <w:r w:rsidRPr="005A51C2">
        <w:rPr>
          <w:rStyle w:val="StyleUnderline"/>
          <w:highlight w:val="green"/>
        </w:rPr>
        <w:t>has proven</w:t>
      </w:r>
      <w:r w:rsidRPr="005A51C2">
        <w:rPr>
          <w:rStyle w:val="StyleUnderline"/>
        </w:rPr>
        <w:t xml:space="preserve"> very </w:t>
      </w:r>
      <w:r w:rsidRPr="005A51C2">
        <w:rPr>
          <w:rStyle w:val="StyleUnderline"/>
          <w:highlight w:val="green"/>
        </w:rPr>
        <w:t xml:space="preserve">capable of </w:t>
      </w:r>
      <w:r w:rsidRPr="005A51C2">
        <w:rPr>
          <w:rStyle w:val="StyleUnderline"/>
        </w:rPr>
        <w:t xml:space="preserve">activating and </w:t>
      </w:r>
      <w:r w:rsidRPr="005A51C2">
        <w:rPr>
          <w:rStyle w:val="StyleUnderline"/>
          <w:highlight w:val="green"/>
        </w:rPr>
        <w:t>exploiting to further its interests</w:t>
      </w:r>
      <w:r w:rsidRPr="005A51C2">
        <w:rPr>
          <w:rStyle w:val="StyleUnderline"/>
        </w:rPr>
        <w:t>.</w:t>
      </w:r>
      <w:r w:rsidRPr="006810FE">
        <w:rPr>
          <w:sz w:val="14"/>
        </w:rPr>
        <w:t xml:space="preserve"> </w:t>
      </w:r>
      <w:r w:rsidRPr="005A51C2">
        <w:rPr>
          <w:rStyle w:val="StyleUnderline"/>
        </w:rPr>
        <w:t xml:space="preserve">This is very similar to the way that capitalism plays </w:t>
      </w:r>
      <w:proofErr w:type="gramStart"/>
      <w:r w:rsidRPr="005A51C2">
        <w:rPr>
          <w:rStyle w:val="StyleUnderline"/>
        </w:rPr>
        <w:t>off of</w:t>
      </w:r>
      <w:proofErr w:type="gramEnd"/>
      <w:r w:rsidRPr="005A51C2">
        <w:rPr>
          <w:rStyle w:val="StyleUnderline"/>
        </w:rPr>
        <w:t xml:space="preserve"> the anti-Blackness and white supremacy it has instilled in the world. We see this in the increased likelihood of white </w:t>
      </w:r>
      <w:proofErr w:type="spellStart"/>
      <w:r w:rsidRPr="005A51C2">
        <w:rPr>
          <w:rStyle w:val="StyleUnderline"/>
        </w:rPr>
        <w:t>americans</w:t>
      </w:r>
      <w:proofErr w:type="spellEnd"/>
      <w:r w:rsidRPr="005A51C2">
        <w:rPr>
          <w:rStyle w:val="StyleUnderline"/>
        </w:rPr>
        <w:t xml:space="preserve"> dropping taking covid precautions after learning that Black and indigenous people and people of color face increased risks from covid transmissions</w:t>
      </w:r>
      <w:r w:rsidRPr="005A51C2">
        <w:rPr>
          <w:sz w:val="14"/>
        </w:rPr>
        <w:t xml:space="preserve">. We see ableism, anti-Blackness, and classism all at play where self-proclaimed covid cautious groups present no resources or alternatives to Black people who must work public-facing jobs at workplaces that have dropped all precautions and offer no sick leave. Despite this clear coercion into laboring within life-threatening conditions, they are condemned as though they’re the very landlords, bosses, and the state who’re all </w:t>
      </w:r>
      <w:proofErr w:type="gramStart"/>
      <w:r w:rsidRPr="005A51C2">
        <w:rPr>
          <w:sz w:val="14"/>
        </w:rPr>
        <w:t>actually the</w:t>
      </w:r>
      <w:proofErr w:type="gramEnd"/>
      <w:r w:rsidRPr="005A51C2">
        <w:rPr>
          <w:sz w:val="14"/>
        </w:rPr>
        <w:t xml:space="preserve"> driving forces behind today’s eugenicist normalcy. Victim blaming might best describe this behavior some covid conscious circles demonstrate.</w:t>
      </w:r>
      <w:r w:rsidRPr="006810FE">
        <w:rPr>
          <w:sz w:val="14"/>
        </w:rPr>
        <w:t xml:space="preserve"> </w:t>
      </w:r>
      <w:r w:rsidRPr="005A51C2">
        <w:rPr>
          <w:sz w:val="14"/>
        </w:rPr>
        <w:t xml:space="preserve">In this way, disability justice analyses that lack a substantive critique of anti-Blackness are </w:t>
      </w:r>
      <w:proofErr w:type="gramStart"/>
      <w:r w:rsidRPr="005A51C2">
        <w:rPr>
          <w:sz w:val="14"/>
        </w:rPr>
        <w:t>similar to</w:t>
      </w:r>
      <w:proofErr w:type="gramEnd"/>
      <w:r w:rsidRPr="005A51C2">
        <w:rPr>
          <w:sz w:val="14"/>
        </w:rPr>
        <w:t xml:space="preserve"> “covid conscious” networks that neglect the needs of Black people who are disproportionately harmed and killed by covid transmissions. Disidentification from both “covid conscious” and “disability justice” labels is a telling indictment of unchecked anti-Blackness and capitulation to fascism. Capitulating to fascism in this sense means bending to the demands of oppressive systems that produce fascism including but not limited </w:t>
      </w:r>
      <w:proofErr w:type="gramStart"/>
      <w:r w:rsidRPr="005A51C2">
        <w:rPr>
          <w:sz w:val="14"/>
        </w:rPr>
        <w:t>to;</w:t>
      </w:r>
      <w:proofErr w:type="gramEnd"/>
      <w:r w:rsidRPr="005A51C2">
        <w:rPr>
          <w:sz w:val="14"/>
        </w:rPr>
        <w:t xml:space="preserve"> upholding white supremacy and settler colonialism, participating in anti-Blackness, engaging in ableist resentment, using eugenicist logics or strategies, anti-survivorship, nationalism, or collaborating with the state.</w:t>
      </w:r>
      <w:r w:rsidRPr="006810FE">
        <w:rPr>
          <w:sz w:val="14"/>
        </w:rPr>
        <w:t xml:space="preserve"> </w:t>
      </w:r>
      <w:r w:rsidRPr="005A51C2">
        <w:rPr>
          <w:sz w:val="14"/>
        </w:rPr>
        <w:t xml:space="preserve">Understanding why so many of those who claim to be fighting for liberation are so willing to aid the project of eugenics requires us to identify the ways that the lack or absence of analyses of ableism finds expression in subcultural tendencies. Returning to those “rewards that make life livable,” normalcy made possible by eugenics, genocide, settler colonialism, and chattel slavery is worth the price of admission for most </w:t>
      </w:r>
      <w:proofErr w:type="spellStart"/>
      <w:r w:rsidRPr="005A51C2">
        <w:rPr>
          <w:sz w:val="14"/>
        </w:rPr>
        <w:t>americans</w:t>
      </w:r>
      <w:proofErr w:type="spellEnd"/>
      <w:r w:rsidRPr="005A51C2">
        <w:rPr>
          <w:sz w:val="14"/>
        </w:rPr>
        <w:t xml:space="preserve">. Still, of the various motivations there are for people to capitulate to fascism, there is one thing they all </w:t>
      </w:r>
      <w:proofErr w:type="gramStart"/>
      <w:r w:rsidRPr="005A51C2">
        <w:rPr>
          <w:sz w:val="14"/>
        </w:rPr>
        <w:t>share in common</w:t>
      </w:r>
      <w:proofErr w:type="gramEnd"/>
      <w:r w:rsidRPr="005A51C2">
        <w:rPr>
          <w:sz w:val="14"/>
        </w:rPr>
        <w:t>: a belief that some oppressive divisions of labor are just and/or the desire to orchestrate and oversee those divisions.</w:t>
      </w:r>
      <w:r w:rsidRPr="006810FE">
        <w:rPr>
          <w:sz w:val="14"/>
        </w:rPr>
        <w:t xml:space="preserve"> </w:t>
      </w:r>
      <w:r w:rsidRPr="005A51C2">
        <w:rPr>
          <w:sz w:val="14"/>
        </w:rPr>
        <w:t xml:space="preserve">Far </w:t>
      </w:r>
      <w:proofErr w:type="gramStart"/>
      <w:r w:rsidRPr="005A51C2">
        <w:rPr>
          <w:sz w:val="14"/>
        </w:rPr>
        <w:t>more often than not</w:t>
      </w:r>
      <w:proofErr w:type="gramEnd"/>
      <w:r w:rsidRPr="005A51C2">
        <w:rPr>
          <w:sz w:val="14"/>
        </w:rPr>
        <w:t xml:space="preserve">, both ableism and anti-Blackness get expressed in people’s preconceived notions about why certain divisions of labor should be enforced and normalized. Anti-Blackness is the continuation of chattel slavery and the same </w:t>
      </w:r>
      <w:proofErr w:type="spellStart"/>
      <w:r w:rsidRPr="005A51C2">
        <w:rPr>
          <w:sz w:val="14"/>
        </w:rPr>
        <w:t>pseudosciences</w:t>
      </w:r>
      <w:proofErr w:type="spellEnd"/>
      <w:r w:rsidRPr="005A51C2">
        <w:rPr>
          <w:sz w:val="14"/>
        </w:rPr>
        <w:t xml:space="preserve"> and eugenicist logics that justified slavery as an institution also enforce ableism. Ableism in this sense is just another rubric for denying people the means of survival so that those at the top of a white supremacist hierarchy can enjoy a “livable life”. Put more simply, anti-Blackness produces the belief that Black people exist for the labor non-Black people do not wish to do</w:t>
      </w:r>
      <w:r w:rsidRPr="005A51C2">
        <w:rPr>
          <w:sz w:val="14"/>
          <w:szCs w:val="14"/>
        </w:rPr>
        <w:t>.</w:t>
      </w:r>
      <w:r w:rsidRPr="006810FE">
        <w:rPr>
          <w:sz w:val="14"/>
          <w:szCs w:val="14"/>
        </w:rPr>
        <w:t xml:space="preserve"> </w:t>
      </w:r>
      <w:r w:rsidRPr="005A51C2">
        <w:rPr>
          <w:rStyle w:val="StyleUnderline"/>
          <w:sz w:val="14"/>
          <w:szCs w:val="14"/>
        </w:rPr>
        <w:t xml:space="preserve">Just as different forms of oppression overlap and reinforce each other, so too do combinations of reactionary divisions of labor develop and justify each other. We are familiar with the way that patriarchy assigns and enforces gendered divisions of labor, but these reactionary divisions of labor also find expression in groups and formations claiming to be fighting for liberation as well as informal queer and trans circles. </w:t>
      </w:r>
      <w:r w:rsidRPr="005A51C2">
        <w:rPr>
          <w:sz w:val="14"/>
          <w:szCs w:val="14"/>
        </w:rPr>
        <w:t>Outside of openly reactionary organizations or groups that take no issue with being the stewards of capitalist systems, the desire to justify and/or orchestrate and oversee oppressive labor divisions is rarely if ever revealed so explicitly. Still, studying the relational dynamics of leftist groups and their respective ableist pitfalls reveals a clear picture of how labor is at the root of it all.</w:t>
      </w:r>
      <w:r w:rsidRPr="006810FE">
        <w:rPr>
          <w:sz w:val="14"/>
          <w:szCs w:val="14"/>
        </w:rPr>
        <w:t xml:space="preserve"> </w:t>
      </w:r>
      <w:r w:rsidRPr="005A51C2">
        <w:rPr>
          <w:sz w:val="14"/>
          <w:szCs w:val="14"/>
        </w:rPr>
        <w:t xml:space="preserve">Central to our analysis of these </w:t>
      </w:r>
      <w:r w:rsidRPr="005A51C2">
        <w:rPr>
          <w:sz w:val="14"/>
          <w:szCs w:val="14"/>
        </w:rPr>
        <w:lastRenderedPageBreak/>
        <w:t xml:space="preserve">dynamics is an acknowledgment of the way that capitalism informs </w:t>
      </w:r>
      <w:proofErr w:type="gramStart"/>
      <w:r w:rsidRPr="005A51C2">
        <w:rPr>
          <w:sz w:val="14"/>
          <w:szCs w:val="14"/>
        </w:rPr>
        <w:t>all of</w:t>
      </w:r>
      <w:proofErr w:type="gramEnd"/>
      <w:r w:rsidRPr="005A51C2">
        <w:rPr>
          <w:sz w:val="14"/>
          <w:szCs w:val="14"/>
        </w:rPr>
        <w:t xml:space="preserve"> our social interactions and daily lives. Capitalism primarily accomplishes this by violently enforcing scarcity and this scarcity serves as the foundation for essentially all decisions we make. Our decision to work for a wage. To pay rent. To pay taxes. To submit in a police kettle. Each decision reinforces how little we have access to and how much less we’ll have if we make the “wrong” choice. Even considering what might possibly be meant when we evoke “free will,” that notion under capitalism remains a product of violent coercion.</w:t>
      </w:r>
      <w:r w:rsidRPr="006810FE">
        <w:rPr>
          <w:sz w:val="14"/>
          <w:szCs w:val="14"/>
        </w:rPr>
        <w:t xml:space="preserve"> </w:t>
      </w:r>
      <w:r w:rsidRPr="005A51C2">
        <w:rPr>
          <w:sz w:val="14"/>
          <w:szCs w:val="14"/>
        </w:rPr>
        <w:t xml:space="preserve">By design, </w:t>
      </w:r>
      <w:proofErr w:type="spellStart"/>
      <w:r w:rsidRPr="005A51C2">
        <w:rPr>
          <w:sz w:val="14"/>
          <w:szCs w:val="14"/>
        </w:rPr>
        <w:t>american</w:t>
      </w:r>
      <w:proofErr w:type="spellEnd"/>
      <w:r w:rsidRPr="005A51C2">
        <w:rPr>
          <w:sz w:val="14"/>
          <w:szCs w:val="14"/>
        </w:rPr>
        <w:t xml:space="preserve"> individualism seeks to make our individual agency so thoroughly diminished to the point that the state can write it off as unimportant and ineffective. This is why the state criminalizes liberation struggles while incentivizing behaviors that adhere to the </w:t>
      </w:r>
      <w:proofErr w:type="spellStart"/>
      <w:r w:rsidRPr="005A51C2">
        <w:rPr>
          <w:sz w:val="14"/>
          <w:szCs w:val="14"/>
        </w:rPr>
        <w:t>american</w:t>
      </w:r>
      <w:proofErr w:type="spellEnd"/>
      <w:r w:rsidRPr="005A51C2">
        <w:rPr>
          <w:sz w:val="14"/>
          <w:szCs w:val="14"/>
        </w:rPr>
        <w:t xml:space="preserve"> dream. Our isolation and lack of access to resources are intended consequences that necessarily impact how we seek to move towards a liberatory future despite being so positioned by the machinations of capitalism. Put another way, we are denied any tangible examples of how we might liberate ourselves in today’s circumstances until we seek out another way of being.</w:t>
      </w:r>
      <w:r w:rsidRPr="006810FE">
        <w:rPr>
          <w:sz w:val="14"/>
          <w:szCs w:val="14"/>
        </w:rPr>
        <w:t xml:space="preserve"> </w:t>
      </w:r>
      <w:r w:rsidRPr="005A51C2">
        <w:rPr>
          <w:sz w:val="14"/>
          <w:szCs w:val="14"/>
        </w:rPr>
        <w:t xml:space="preserve">In this context, all of us who </w:t>
      </w:r>
      <w:proofErr w:type="gramStart"/>
      <w:r w:rsidRPr="005A51C2">
        <w:rPr>
          <w:sz w:val="14"/>
          <w:szCs w:val="14"/>
        </w:rPr>
        <w:t>come into contact with</w:t>
      </w:r>
      <w:proofErr w:type="gramEnd"/>
      <w:r w:rsidRPr="005A51C2">
        <w:rPr>
          <w:sz w:val="14"/>
          <w:szCs w:val="14"/>
        </w:rPr>
        <w:t xml:space="preserve"> any liberation struggles are being exposed to the possibility of freedom. For many of us living in the imperial core, collective spaces where people share a desire to get free and are taking steps towards actualizing that dream are our first experiences with networks of care that are seemingly not so thoroughly dominated by capitalism and its authority. These are networks where the state and capitalist institutions do not appear to be calling the shots and determining who is and is not deserving of care.</w:t>
      </w:r>
      <w:r w:rsidRPr="006810FE">
        <w:rPr>
          <w:sz w:val="14"/>
          <w:szCs w:val="14"/>
        </w:rPr>
        <w:t xml:space="preserve"> </w:t>
      </w:r>
      <w:r w:rsidRPr="005A51C2">
        <w:rPr>
          <w:sz w:val="14"/>
          <w:szCs w:val="14"/>
        </w:rPr>
        <w:t xml:space="preserve">These collective spaces and relationships within are a response to capitalism’s manufactured scarcity that drives everyday life. But, because they are responses to normalized scarcity, these attempts to counter capitalism still exist in this context of scarcity. This is not to say that they have no worthwhile impact because they do not escape the reach of scarcity. The point is that efforts to lessen the damage that scarcity and precarity inflict on us will not make scarcity obsolete until capitalism </w:t>
      </w:r>
      <w:proofErr w:type="gramStart"/>
      <w:r w:rsidRPr="005A51C2">
        <w:rPr>
          <w:sz w:val="14"/>
          <w:szCs w:val="14"/>
        </w:rPr>
        <w:t>as a whole is</w:t>
      </w:r>
      <w:proofErr w:type="gramEnd"/>
      <w:r w:rsidRPr="005A51C2">
        <w:rPr>
          <w:sz w:val="14"/>
          <w:szCs w:val="14"/>
        </w:rPr>
        <w:t xml:space="preserve"> buried. Our liberatory aspirations won’t allow us to be content with just survival. In surviving within </w:t>
      </w:r>
      <w:proofErr w:type="gramStart"/>
      <w:r w:rsidRPr="005A51C2">
        <w:rPr>
          <w:sz w:val="14"/>
          <w:szCs w:val="14"/>
        </w:rPr>
        <w:t>capitalism</w:t>
      </w:r>
      <w:proofErr w:type="gramEnd"/>
      <w:r w:rsidRPr="005A51C2">
        <w:rPr>
          <w:sz w:val="14"/>
          <w:szCs w:val="14"/>
        </w:rPr>
        <w:t xml:space="preserve"> we also wish to become its gravediggers.</w:t>
      </w:r>
      <w:r w:rsidRPr="006810FE">
        <w:rPr>
          <w:sz w:val="14"/>
          <w:szCs w:val="14"/>
        </w:rPr>
        <w:t xml:space="preserve"> </w:t>
      </w:r>
      <w:r w:rsidRPr="005A51C2">
        <w:rPr>
          <w:sz w:val="14"/>
          <w:szCs w:val="14"/>
        </w:rPr>
        <w:t>This is worth acknowledging because this scarcity sets the stage for ableism, anti-Blackness, and other prejudices working in tandem with their respective forms of systemic oppression that all help normalize capitalist violence. Sadly, leftist movements are not safe from the influence of these dynamics. Just as capitalism uses scarcity to determine how different forms of labor are arranged and conducted, liberatory efforts often seek to determine who does what kind of labor while referencing scarcity as a moral justification for those same divisions of labor.</w:t>
      </w:r>
      <w:r w:rsidRPr="006810FE">
        <w:rPr>
          <w:sz w:val="14"/>
          <w:szCs w:val="14"/>
        </w:rPr>
        <w:t xml:space="preserve"> </w:t>
      </w:r>
      <w:r w:rsidRPr="005A51C2">
        <w:rPr>
          <w:sz w:val="14"/>
          <w:szCs w:val="14"/>
        </w:rPr>
        <w:t>Where capitalism justifies layoffs and low wages, leaders of leftist organizations might justify gendered divisions of labor on the grounds that urgency requires us to accept these conditions or else let the movement down. In both examples, the exact way that labor is coordinated is deceptively presented as the only possible way it could be conducted. In leftist movements, critiquing these divisions of labor is often viewed in bad faith as either irrational or hostile toward the project’s political objectives.</w:t>
      </w:r>
      <w:r w:rsidRPr="006810FE">
        <w:rPr>
          <w:sz w:val="14"/>
          <w:szCs w:val="14"/>
        </w:rPr>
        <w:t xml:space="preserve"> </w:t>
      </w:r>
      <w:r w:rsidRPr="005A51C2">
        <w:rPr>
          <w:sz w:val="14"/>
          <w:szCs w:val="14"/>
        </w:rPr>
        <w:t xml:space="preserve">The question of who </w:t>
      </w:r>
      <w:proofErr w:type="gramStart"/>
      <w:r w:rsidRPr="005A51C2">
        <w:rPr>
          <w:sz w:val="14"/>
          <w:szCs w:val="14"/>
        </w:rPr>
        <w:t>is most deserving of scarce resources</w:t>
      </w:r>
      <w:proofErr w:type="gramEnd"/>
      <w:r w:rsidRPr="005A51C2">
        <w:rPr>
          <w:sz w:val="14"/>
          <w:szCs w:val="14"/>
        </w:rPr>
        <w:t xml:space="preserve"> is answered differently depending on the group of people asking. “Resources” in this sense can refer to networks of care, comradeship, wealth redistribution efforts, advocacy strategies, blocs, and more. For non-profits, staff and volunteers essentially pitch their answer to this question to a funding class of people who either affirm or reject it by providing funding or withholding it. Philanthropy organizations are run this way as well. For groups that do not have state-recognition however, answers to this question vary greatly and are primarily a product of the </w:t>
      </w:r>
      <w:proofErr w:type="gramStart"/>
      <w:r w:rsidRPr="005A51C2">
        <w:rPr>
          <w:sz w:val="14"/>
          <w:szCs w:val="14"/>
        </w:rPr>
        <w:t>most commonly held</w:t>
      </w:r>
      <w:proofErr w:type="gramEnd"/>
      <w:r w:rsidRPr="005A51C2">
        <w:rPr>
          <w:sz w:val="14"/>
          <w:szCs w:val="14"/>
        </w:rPr>
        <w:t xml:space="preserve"> ideological beliefs in the group or network.</w:t>
      </w:r>
      <w:r w:rsidRPr="006810FE">
        <w:rPr>
          <w:sz w:val="14"/>
          <w:szCs w:val="14"/>
        </w:rPr>
        <w:t xml:space="preserve"> </w:t>
      </w:r>
      <w:r w:rsidRPr="005A51C2">
        <w:rPr>
          <w:sz w:val="14"/>
          <w:szCs w:val="14"/>
        </w:rPr>
        <w:t xml:space="preserve">It is important to reiterate that exploring how oppressive dynamics stem from scarcity does not mean </w:t>
      </w:r>
      <w:r w:rsidRPr="005A51C2">
        <w:rPr>
          <w:rStyle w:val="StyleUnderline"/>
        </w:rPr>
        <w:t xml:space="preserve">working within scarcity automatically dooms us to reproduce that which we seek to dismantle. Ideological beliefs of political tendencies typically reflect how they utilize resources in the context of scarcity, emphasizing values each group deems the most actionable. The examples listed below are meant to demonstrate how </w:t>
      </w:r>
      <w:r w:rsidRPr="005A51C2">
        <w:rPr>
          <w:rStyle w:val="StyleUnderline"/>
          <w:highlight w:val="green"/>
        </w:rPr>
        <w:t>ableism and divisions of labor damage</w:t>
      </w:r>
      <w:r w:rsidRPr="005A51C2">
        <w:rPr>
          <w:rStyle w:val="StyleUnderline"/>
        </w:rPr>
        <w:t xml:space="preserve"> movement </w:t>
      </w:r>
      <w:r w:rsidRPr="005A51C2">
        <w:rPr>
          <w:rStyle w:val="StyleUnderline"/>
          <w:highlight w:val="green"/>
        </w:rPr>
        <w:t>work under the guise of adhering to</w:t>
      </w:r>
      <w:r w:rsidRPr="005A51C2">
        <w:rPr>
          <w:rStyle w:val="StyleUnderline"/>
        </w:rPr>
        <w:t xml:space="preserve"> certain </w:t>
      </w:r>
      <w:r w:rsidRPr="005A51C2">
        <w:rPr>
          <w:rStyle w:val="StyleUnderline"/>
          <w:highlight w:val="green"/>
        </w:rPr>
        <w:t>ideological approaches</w:t>
      </w:r>
      <w:r w:rsidRPr="005A51C2">
        <w:rPr>
          <w:rStyle w:val="StyleUnderline"/>
        </w:rPr>
        <w:t xml:space="preserve"> to dealing with scarcity.</w:t>
      </w:r>
      <w:r>
        <w:rPr>
          <w:rStyle w:val="StyleUnderline"/>
        </w:rPr>
        <w:t xml:space="preserve"> </w:t>
      </w:r>
      <w:r w:rsidRPr="005A51C2">
        <w:rPr>
          <w:sz w:val="14"/>
        </w:rPr>
        <w:t xml:space="preserve">An abolitionist org might put its collective resources into policy advocacy and individual campaigns for incarcerated people. </w:t>
      </w:r>
      <w:r w:rsidRPr="005A51C2">
        <w:rPr>
          <w:rStyle w:val="StyleUnderline"/>
          <w:highlight w:val="green"/>
        </w:rPr>
        <w:t>In pursuit of</w:t>
      </w:r>
      <w:r w:rsidRPr="005A51C2">
        <w:rPr>
          <w:rStyle w:val="StyleUnderline"/>
        </w:rPr>
        <w:t xml:space="preserve"> these well-intentioned </w:t>
      </w:r>
      <w:r w:rsidRPr="005A51C2">
        <w:rPr>
          <w:rStyle w:val="StyleUnderline"/>
          <w:highlight w:val="green"/>
        </w:rPr>
        <w:t>goals</w:t>
      </w:r>
      <w:r w:rsidRPr="005A51C2">
        <w:rPr>
          <w:rStyle w:val="StyleUnderline"/>
        </w:rPr>
        <w:t xml:space="preserve">, </w:t>
      </w:r>
      <w:r w:rsidRPr="005A51C2">
        <w:rPr>
          <w:sz w:val="14"/>
        </w:rPr>
        <w:t xml:space="preserve">orgs like this may likely depend on volunteers heavily despite not investing time and effort into supporting said volunteers. </w:t>
      </w:r>
      <w:r w:rsidRPr="005A51C2">
        <w:rPr>
          <w:rStyle w:val="StyleUnderline"/>
        </w:rPr>
        <w:t xml:space="preserve">Cadre, leadership, managers, or directors who are likely the only </w:t>
      </w:r>
      <w:r w:rsidRPr="005A51C2">
        <w:rPr>
          <w:rStyle w:val="StyleUnderline"/>
          <w:highlight w:val="green"/>
        </w:rPr>
        <w:t>people</w:t>
      </w:r>
      <w:r w:rsidRPr="005A51C2">
        <w:rPr>
          <w:rStyle w:val="StyleUnderline"/>
        </w:rPr>
        <w:t xml:space="preserve"> who receive pay in these kinds of orgs compensate for waves of burnout by pushing recruitment efforts to replace lost members. Aside from </w:t>
      </w:r>
      <w:r w:rsidRPr="005A51C2">
        <w:rPr>
          <w:rStyle w:val="StyleUnderline"/>
          <w:highlight w:val="green"/>
        </w:rPr>
        <w:t>burn</w:t>
      </w:r>
      <w:r w:rsidRPr="005A51C2">
        <w:rPr>
          <w:rStyle w:val="StyleUnderline"/>
        </w:rPr>
        <w:t xml:space="preserve">ing </w:t>
      </w:r>
      <w:r w:rsidRPr="005A51C2">
        <w:rPr>
          <w:rStyle w:val="StyleUnderline"/>
          <w:highlight w:val="green"/>
        </w:rPr>
        <w:t>out from the</w:t>
      </w:r>
      <w:r w:rsidRPr="005A51C2">
        <w:rPr>
          <w:rStyle w:val="StyleUnderline"/>
        </w:rPr>
        <w:t xml:space="preserve"> sheer volume of </w:t>
      </w:r>
      <w:r w:rsidRPr="005A51C2">
        <w:rPr>
          <w:rStyle w:val="StyleUnderline"/>
          <w:highlight w:val="green"/>
        </w:rPr>
        <w:t>work</w:t>
      </w:r>
      <w:r w:rsidRPr="005A51C2">
        <w:rPr>
          <w:rStyle w:val="StyleUnderline"/>
        </w:rPr>
        <w:t>, there are often also members who leave due to interpersonal conflict or organizational abuse, neither of which are usually met with the seriousness they deserve because they do not fall within the org’s ideologically justified uses of resources and labor.</w:t>
      </w:r>
      <w:r w:rsidRPr="005A51C2">
        <w:rPr>
          <w:sz w:val="14"/>
        </w:rPr>
        <w:t xml:space="preserve"> Dismantling the prison industrial complex does not necessarily require such oversights, but an oversimplified and reductive focus on this goal quickly leads to issues that threaten the efficacy of prison abolitionist organizations that make these kinds of ideological errors.</w:t>
      </w:r>
      <w:r w:rsidRPr="006810FE">
        <w:rPr>
          <w:sz w:val="14"/>
        </w:rPr>
        <w:t xml:space="preserve"> </w:t>
      </w:r>
      <w:r w:rsidRPr="005A51C2">
        <w:rPr>
          <w:sz w:val="14"/>
        </w:rPr>
        <w:t>A militant formation seeking to become capable of endangering the state might abide by strictly gendered divisions of labor where militancy is viewed as separate from and more important than care labor. Marginalized genders may be assigned to laboring for and supporting the “actual” militants who oftentimes consist primarily of cis men. Such formations may go so far as to justify violence against those who fight against gendered violence and marginalization on the grounds that these dynamics are ideologically seen as being less important than direct confrontation with the state. In seeking to embody discipline for the sake of a romanticized understanding of revolt and insurrection, these tendencies create more oppressed and exploited communities in exchange for labor they then squander, failing to actualize their own goals as well as anyone whose goal it is to see the end of all forms of exploitation.</w:t>
      </w:r>
      <w:r w:rsidRPr="006810FE">
        <w:rPr>
          <w:sz w:val="14"/>
        </w:rPr>
        <w:t xml:space="preserve"> </w:t>
      </w:r>
      <w:r w:rsidRPr="005A51C2">
        <w:rPr>
          <w:sz w:val="14"/>
        </w:rPr>
        <w:t>Direct service organizations may justify gendered divisions of labor with the need to provide marginalized people with services capitalism renders inaccessible for most. Those who either have the closest relationship to a funding class of people who provide resources are separate from and assign labor to those who do the actual work of redistribution. When these leadership bodies have their authority and influence challenged or exposed as harmful and/or abusive, we often see these divisions appear again in who is most often expected to intervene in interpersonal conflict as a mediator or on behalf of the parties involved</w:t>
      </w:r>
      <w:r w:rsidRPr="005A51C2">
        <w:rPr>
          <w:rStyle w:val="StyleUnderline"/>
        </w:rPr>
        <w:t xml:space="preserve">. The act of </w:t>
      </w:r>
      <w:r w:rsidRPr="005A51C2">
        <w:rPr>
          <w:rStyle w:val="StyleUnderline"/>
          <w:highlight w:val="green"/>
        </w:rPr>
        <w:t>making exceptions for who is and is not valued enough to get away</w:t>
      </w:r>
      <w:r w:rsidRPr="005A51C2">
        <w:rPr>
          <w:rStyle w:val="StyleUnderline"/>
        </w:rPr>
        <w:t xml:space="preserve"> </w:t>
      </w:r>
      <w:r w:rsidRPr="005A51C2">
        <w:rPr>
          <w:rStyle w:val="StyleUnderline"/>
          <w:highlight w:val="green"/>
        </w:rPr>
        <w:t>with reactionary behavior inscribes yet another oppressive division of labor</w:t>
      </w:r>
      <w:r w:rsidRPr="005A51C2">
        <w:rPr>
          <w:rStyle w:val="StyleUnderline"/>
        </w:rPr>
        <w:t>.</w:t>
      </w:r>
      <w:r>
        <w:rPr>
          <w:rStyle w:val="StyleUnderline"/>
        </w:rPr>
        <w:t xml:space="preserve"> </w:t>
      </w:r>
      <w:r w:rsidRPr="005A51C2">
        <w:rPr>
          <w:sz w:val="14"/>
        </w:rPr>
        <w:t xml:space="preserve">Among action organizers, there is a very common division of labor that tends to emerge. We see this in who is expected or organize jail support after the fact and who is permitted to engage in high-risk actions before the support networks have even been formed. Now during solidarity protests of genocides abroad, we see ableism openly and brazenly used to justify not only unmasked protests but also to denigrate those who have no choice but to stay home and continue taking covid precautions. In these instances, the people who care for and support the people who get covid from these actions are completely </w:t>
      </w:r>
      <w:proofErr w:type="spellStart"/>
      <w:r w:rsidRPr="005A51C2">
        <w:rPr>
          <w:sz w:val="14"/>
        </w:rPr>
        <w:t>invisibilized</w:t>
      </w:r>
      <w:proofErr w:type="spellEnd"/>
      <w:r w:rsidRPr="005A51C2">
        <w:rPr>
          <w:sz w:val="14"/>
        </w:rPr>
        <w:t>, getting no acknowledgment from organizers. The potential media impact on genocide abroad is ideologically justified as having more importance than creating the ability to definitively end genocide both at home and abroad by preserving the health of protestors and others who are the primary targets of fascism.</w:t>
      </w:r>
      <w:r w:rsidRPr="006810FE">
        <w:rPr>
          <w:sz w:val="14"/>
        </w:rPr>
        <w:t xml:space="preserve"> </w:t>
      </w:r>
      <w:r w:rsidRPr="005A51C2">
        <w:rPr>
          <w:rStyle w:val="StyleUnderline"/>
        </w:rPr>
        <w:t xml:space="preserve">In each of these cases, the answer to “who is most deserving” determines who contributes what to that </w:t>
      </w:r>
      <w:proofErr w:type="gramStart"/>
      <w:r w:rsidRPr="005A51C2">
        <w:rPr>
          <w:rStyle w:val="StyleUnderline"/>
        </w:rPr>
        <w:t>particular group</w:t>
      </w:r>
      <w:proofErr w:type="gramEnd"/>
      <w:r w:rsidRPr="005A51C2">
        <w:rPr>
          <w:rStyle w:val="StyleUnderline"/>
        </w:rPr>
        <w:t xml:space="preserve"> or project. Circumstances that prevent someone from getting involved (be it due to </w:t>
      </w:r>
      <w:r w:rsidRPr="005A51C2">
        <w:rPr>
          <w:rStyle w:val="StyleUnderline"/>
        </w:rPr>
        <w:lastRenderedPageBreak/>
        <w:t xml:space="preserve">paid work, disability, trauma, or even abuse experienced in that very formation) are rarely if ever seen as shortcomings stemming from the way work is being done. Hand waving away people becoming uninvolved or people who never become involved is yet another way that ableism disguises itself. Rather than evaluating the accessibility of the work, the inaccessibility and/or unsustainability of the work is ideologically justified as necessary and unchangeable. This is contrasted with instances where separating people from the work is necessary, such as someone’s insistence on upholding reactionary power dynamics, collaborating with the state, or protecting the wealthy to name a few. </w:t>
      </w:r>
      <w:r w:rsidRPr="005A51C2">
        <w:rPr>
          <w:sz w:val="14"/>
        </w:rPr>
        <w:t>Even here though, many groups refuse to address these situations with the seriousness they deserve, instead allowing abuse, exploitation, and state collaboration to continue. It is far more often the case that people’s disabilities and limited capacity are viewed as ideological failings rather than evidence of unaddressed and unconfronted oppressive dynamics in movement work that restrict the possibility of liberation.</w:t>
      </w:r>
      <w:r w:rsidRPr="006810FE">
        <w:rPr>
          <w:sz w:val="14"/>
        </w:rPr>
        <w:t xml:space="preserve"> </w:t>
      </w:r>
      <w:r w:rsidRPr="005A51C2">
        <w:rPr>
          <w:sz w:val="14"/>
        </w:rPr>
        <w:t xml:space="preserve">Oftentimes, poor working class and disabled people simply must choose between surviving capitalism and contributing at the intensity a group or project demands. Indeed, this acknowledgment alone may have prompted you, dear reader, to conclude that the previous sentence is an attempt to justify inaction. And yet, this too reveals how commonplace ableism has become. There is an unwillingness to imagine, brainstorm, and act on more coordinated and accessible plans of action that make tangible steps toward liberation all the same. As many different solidarity strategies and discourses as we see now in the face of multiple concurrent genocides at home and abroad, there is the stubborn insistence that the work can only look one way. </w:t>
      </w:r>
      <w:r w:rsidRPr="005A51C2">
        <w:rPr>
          <w:rStyle w:val="StyleUnderline"/>
          <w:highlight w:val="green"/>
        </w:rPr>
        <w:t>Nothing is lost in rejecting ableism at every level and scale of movement work except for ideological shortcomings that will not bury fascism in our lifetimes.</w:t>
      </w:r>
      <w:r>
        <w:rPr>
          <w:rStyle w:val="StyleUnderline"/>
        </w:rPr>
        <w:t xml:space="preserve"> </w:t>
      </w:r>
      <w:r w:rsidRPr="005A51C2">
        <w:rPr>
          <w:rStyle w:val="StyleUnderline"/>
        </w:rPr>
        <w:t>Ableism views people who will not ignore this pandemic just to resemble protests from past historical periods as less valuable and insufficiently radical. Sometimes those who do manage to contribute at inaccessible intensities belong to the same demographics that projects claim to serve while not receiving support themselves</w:t>
      </w:r>
      <w:r w:rsidRPr="005A51C2">
        <w:rPr>
          <w:sz w:val="14"/>
        </w:rPr>
        <w:t>. In this unsustainable cycle, those who are burned out are usually replaced with younger and or wealthier people who can contribute either more labor or more wealth to these efforts.</w:t>
      </w:r>
      <w:r w:rsidRPr="006810FE">
        <w:rPr>
          <w:sz w:val="14"/>
        </w:rPr>
        <w:t xml:space="preserve"> </w:t>
      </w:r>
      <w:r w:rsidRPr="005A51C2">
        <w:rPr>
          <w:sz w:val="14"/>
        </w:rPr>
        <w:t xml:space="preserve">Another way that ableism gets expressed as a division of labor is in the vilification of care and resources that disabled people need to survive. Rather than grappling with the ways that capitalism makes support inaccessible for most, the care and resources themselves are viewed as oppressive. During this ongoing pandemic, animosity toward masks and air filters is common. </w:t>
      </w:r>
      <w:r w:rsidRPr="005A51C2">
        <w:rPr>
          <w:rStyle w:val="StyleUnderline"/>
        </w:rPr>
        <w:t xml:space="preserve">But there are also ideological condemnations of those who receive disability benefits. Some such </w:t>
      </w:r>
      <w:r w:rsidRPr="005A51C2">
        <w:rPr>
          <w:rStyle w:val="StyleUnderline"/>
          <w:highlight w:val="green"/>
        </w:rPr>
        <w:t>condemnations go so</w:t>
      </w:r>
      <w:r w:rsidRPr="005A51C2">
        <w:rPr>
          <w:rStyle w:val="StyleUnderline"/>
        </w:rPr>
        <w:t xml:space="preserve"> </w:t>
      </w:r>
      <w:r w:rsidRPr="005A51C2">
        <w:rPr>
          <w:rStyle w:val="StyleUnderline"/>
          <w:highlight w:val="green"/>
        </w:rPr>
        <w:t>far as to view humanitarian aid for Palestinians as</w:t>
      </w:r>
      <w:r w:rsidRPr="005A51C2">
        <w:rPr>
          <w:rStyle w:val="StyleUnderline"/>
        </w:rPr>
        <w:t xml:space="preserve"> a form of </w:t>
      </w:r>
      <w:r w:rsidRPr="005A51C2">
        <w:rPr>
          <w:rStyle w:val="StyleUnderline"/>
          <w:highlight w:val="green"/>
        </w:rPr>
        <w:t>collaboration with the state</w:t>
      </w:r>
      <w:r w:rsidRPr="005A51C2">
        <w:rPr>
          <w:rStyle w:val="StyleUnderline"/>
        </w:rPr>
        <w:t xml:space="preserve"> that runs counter to liberation efforts. Here again, </w:t>
      </w:r>
      <w:r w:rsidRPr="005A51C2">
        <w:rPr>
          <w:rStyle w:val="StyleUnderline"/>
          <w:highlight w:val="green"/>
        </w:rPr>
        <w:t>we see how ableism is seen as a justifiable prejudice in the</w:t>
      </w:r>
      <w:r w:rsidRPr="005A51C2">
        <w:rPr>
          <w:rStyle w:val="StyleUnderline"/>
        </w:rPr>
        <w:t xml:space="preserve"> name </w:t>
      </w:r>
      <w:r w:rsidRPr="005A51C2">
        <w:rPr>
          <w:rStyle w:val="StyleUnderline"/>
          <w:highlight w:val="green"/>
        </w:rPr>
        <w:t>of grappling with scarcity</w:t>
      </w:r>
      <w:r w:rsidRPr="005A51C2">
        <w:rPr>
          <w:rStyle w:val="StyleUnderline"/>
        </w:rPr>
        <w:t>. Understandable resentment of scarcity becomes warped into resentment of all who have not yet succumbed to scarcity, forming yet another reactionary tendency we must guard against as we seek to end fascism in our lifetimes.</w:t>
      </w:r>
      <w:r>
        <w:rPr>
          <w:rStyle w:val="StyleUnderline"/>
        </w:rPr>
        <w:t xml:space="preserve"> </w:t>
      </w:r>
      <w:r w:rsidRPr="005A51C2">
        <w:rPr>
          <w:sz w:val="14"/>
        </w:rPr>
        <w:t>While not exhaustively detailed here (lifetimes could be spent studying the unique and specific iterations of these phenomena) these manifestations of ableism as divisions of labor all reflect a wish for someone else to labor on our behalf. Indeed, living under capitalism where we are all made to work for another’s benefit, it isn’t surprising that an expectation of the same deference might creep into our own expectations. In an abstract sense, all the kinds of labor are divisions in and of themselves. But what makes oppressive divisions of labor oppressive is the fact that they contain within them permission to dismiss the needs of the laborer. They are a license to divest from and become unanswerable to the laborer. To be clear, this is not an appeal to marginalized and oppressed people to tend to settlers who look to alleviate their guilt by providing labor to others. Rather, the point is that tolerating certain prejudices and reactionary tendencies for the sake of preserving oppressive divisions of labor cannot be made liberatory through ideological justification.</w:t>
      </w:r>
      <w:r w:rsidRPr="006810FE">
        <w:rPr>
          <w:sz w:val="14"/>
        </w:rPr>
        <w:t xml:space="preserve"> </w:t>
      </w:r>
      <w:r w:rsidRPr="005A51C2">
        <w:rPr>
          <w:sz w:val="14"/>
        </w:rPr>
        <w:t xml:space="preserve">Liberatory aspirations are made feasible when our collective capacity reflects how we accommodate those who can show up while earnestly taking into consideration why people might not be able to show up, all without capitulating to fascism or maintaining eugenicist normalcy. Our most ambitious goals for getting free cannot be meaningfully pursued when they require erasing the reality of other oppressed people’s struggles. </w:t>
      </w:r>
      <w:r w:rsidRPr="005A51C2">
        <w:rPr>
          <w:rStyle w:val="StyleUnderline"/>
        </w:rPr>
        <w:t>We do not become more revolutionary by becoming closed off from those who face unique combinations of oppressive systems our analyses and behaviors have yet to account for. We make revolution by empowering each other to survive scarcity in tangible pursuit of its abolition.</w:t>
      </w:r>
      <w:r w:rsidRPr="005A51C2">
        <w:rPr>
          <w:sz w:val="14"/>
        </w:rPr>
        <w:t xml:space="preserve"> Just as we do not wish to peacefully co-exist with a system that kills us and our planet, we must not embrace that which would take the shovel out of our hands when we go to dig our oppressors’ graves.</w:t>
      </w:r>
      <w:r w:rsidRPr="006810FE">
        <w:rPr>
          <w:sz w:val="14"/>
        </w:rPr>
        <w:t xml:space="preserve"> </w:t>
      </w:r>
    </w:p>
    <w:p w14:paraId="5E40088A" w14:textId="49C69A26" w:rsidR="00951890" w:rsidRDefault="005D1BCD" w:rsidP="005D1BCD">
      <w:pPr>
        <w:pStyle w:val="Heading3"/>
      </w:pPr>
      <w:r>
        <w:lastRenderedPageBreak/>
        <w:t>Case</w:t>
      </w:r>
    </w:p>
    <w:p w14:paraId="465E8B41" w14:textId="77777777" w:rsidR="005D1BCD" w:rsidRDefault="005D1BCD" w:rsidP="005D1BCD">
      <w:pPr>
        <w:pStyle w:val="Heading4"/>
      </w:pPr>
      <w:proofErr w:type="spellStart"/>
      <w:r>
        <w:t>Tiqqun’s</w:t>
      </w:r>
      <w:proofErr w:type="spellEnd"/>
      <w:r>
        <w:t xml:space="preserve"> understanding of cybernetic capitalist flows engages in a reductionist narrative of Gender – their </w:t>
      </w:r>
      <w:proofErr w:type="spellStart"/>
      <w:r>
        <w:t>enframing</w:t>
      </w:r>
      <w:proofErr w:type="spellEnd"/>
      <w:r>
        <w:t xml:space="preserve"> of Girlhood as commodity capitalism reproduces gendered violence through their framing of the ascendancy of </w:t>
      </w:r>
      <w:proofErr w:type="spellStart"/>
      <w:r>
        <w:t>libral</w:t>
      </w:r>
      <w:proofErr w:type="spellEnd"/>
      <w:r>
        <w:t xml:space="preserve"> feminism over revolutionary, performative modes of feminist revolution </w:t>
      </w:r>
    </w:p>
    <w:p w14:paraId="3411170E" w14:textId="77777777" w:rsidR="005D1BCD" w:rsidRPr="008C7790" w:rsidRDefault="005D1BCD" w:rsidP="005D1BCD">
      <w:r w:rsidRPr="008C7790">
        <w:rPr>
          <w:rStyle w:val="Style13ptBold"/>
        </w:rPr>
        <w:t>Malatino 11</w:t>
      </w:r>
      <w:r>
        <w:t xml:space="preserve"> - Assistant professor of women’s, gender, and sexuality studies at Pennsylvania State University and core faculty in the Rock Ethics </w:t>
      </w:r>
      <w:proofErr w:type="gramStart"/>
      <w:r>
        <w:t>Institute(</w:t>
      </w:r>
      <w:proofErr w:type="gramEnd"/>
      <w:r>
        <w:t xml:space="preserve">Hil, </w:t>
      </w:r>
      <w:proofErr w:type="gramStart"/>
      <w:r>
        <w:t xml:space="preserve">2011, </w:t>
      </w:r>
      <w:r w:rsidRPr="008C7790">
        <w:t xml:space="preserve"> ,</w:t>
      </w:r>
      <w:proofErr w:type="gramEnd"/>
      <w:r w:rsidRPr="008C7790">
        <w:t xml:space="preserve"> "</w:t>
      </w:r>
      <w:r>
        <w:t>The Becoming-Woman of the Young-Girls: Revisiting Riot Grrrl, Rethinking Girlhood</w:t>
      </w:r>
      <w:r w:rsidRPr="008C7790">
        <w:t xml:space="preserve">", </w:t>
      </w:r>
      <w:r>
        <w:t>Rhizomes Issue 22</w:t>
      </w:r>
      <w:r w:rsidRPr="008C7790">
        <w:t>, https://www.rhizomes.net/issue22/malatino.html</w:t>
      </w:r>
    </w:p>
    <w:p w14:paraId="0EAE30C8" w14:textId="77777777" w:rsidR="005D1BCD" w:rsidRDefault="005D1BCD" w:rsidP="005D1BCD">
      <w:pPr>
        <w:rPr>
          <w:sz w:val="16"/>
        </w:rPr>
      </w:pPr>
      <w:r w:rsidRPr="008C7790">
        <w:rPr>
          <w:rStyle w:val="StyleUnderline"/>
        </w:rPr>
        <w:t xml:space="preserve">Certain arguments put forth within the space of </w:t>
      </w:r>
      <w:proofErr w:type="spellStart"/>
      <w:r w:rsidRPr="009A35C0">
        <w:rPr>
          <w:rStyle w:val="StyleUnderline"/>
          <w:b/>
          <w:bCs/>
          <w:highlight w:val="cyan"/>
        </w:rPr>
        <w:t>Tiqqun's</w:t>
      </w:r>
      <w:proofErr w:type="spellEnd"/>
      <w:r w:rsidRPr="009A35C0">
        <w:rPr>
          <w:rStyle w:val="StyleUnderline"/>
          <w:b/>
          <w:bCs/>
          <w:highlight w:val="cyan"/>
        </w:rPr>
        <w:t xml:space="preserve"> writing echo, nearly point for point, a corpus of political critique s</w:t>
      </w:r>
      <w:r w:rsidRPr="008C7790">
        <w:rPr>
          <w:rStyle w:val="StyleUnderline"/>
        </w:rPr>
        <w:t xml:space="preserve">cattered across the diverse array of written, aural, visual, and performative texts that comprise the agglomeration termed Riot </w:t>
      </w:r>
      <w:proofErr w:type="spellStart"/>
      <w:r w:rsidRPr="008C7790">
        <w:rPr>
          <w:rStyle w:val="StyleUnderline"/>
        </w:rPr>
        <w:t>Grrrl</w:t>
      </w:r>
      <w:proofErr w:type="spellEnd"/>
      <w:r w:rsidRPr="008C7790">
        <w:rPr>
          <w:sz w:val="16"/>
        </w:rPr>
        <w:t xml:space="preserve">. I don't aim to give an exhaustive account of the topography of this terrain here. [16] Rather, I would like to provide a brief address of the interventions and inventions of Riot </w:t>
      </w:r>
      <w:proofErr w:type="spellStart"/>
      <w:r w:rsidRPr="008C7790">
        <w:rPr>
          <w:sz w:val="16"/>
        </w:rPr>
        <w:t>Grrrl</w:t>
      </w:r>
      <w:proofErr w:type="spellEnd"/>
      <w:r w:rsidRPr="008C7790">
        <w:rPr>
          <w:sz w:val="16"/>
        </w:rPr>
        <w:t xml:space="preserve"> premised as a response to two curious assertions. The first is one I rehearsed at the beginning of this text: that Riot </w:t>
      </w:r>
      <w:proofErr w:type="spellStart"/>
      <w:r w:rsidRPr="008C7790">
        <w:rPr>
          <w:sz w:val="16"/>
        </w:rPr>
        <w:t>Grrrl</w:t>
      </w:r>
      <w:proofErr w:type="spellEnd"/>
      <w:r w:rsidRPr="008C7790">
        <w:rPr>
          <w:sz w:val="16"/>
        </w:rPr>
        <w:t xml:space="preserve"> is fundamentally concerned with social rather than economic issues</w:t>
      </w:r>
      <w:r w:rsidRPr="009A35C0">
        <w:rPr>
          <w:b/>
          <w:bCs/>
          <w:sz w:val="16"/>
          <w:highlight w:val="cyan"/>
          <w:u w:val="single"/>
        </w:rPr>
        <w:t xml:space="preserve">. </w:t>
      </w:r>
      <w:r w:rsidRPr="009A35C0">
        <w:rPr>
          <w:rStyle w:val="StyleUnderline"/>
          <w:b/>
          <w:bCs/>
          <w:highlight w:val="cyan"/>
        </w:rPr>
        <w:t xml:space="preserve">The second is a two-part claim made by </w:t>
      </w:r>
      <w:proofErr w:type="spellStart"/>
      <w:r w:rsidRPr="009A35C0">
        <w:rPr>
          <w:rStyle w:val="StyleUnderline"/>
          <w:b/>
          <w:bCs/>
          <w:highlight w:val="cyan"/>
        </w:rPr>
        <w:t>Tiqqun</w:t>
      </w:r>
      <w:proofErr w:type="spellEnd"/>
      <w:r w:rsidRPr="009A35C0">
        <w:rPr>
          <w:rStyle w:val="StyleUnderline"/>
          <w:b/>
          <w:bCs/>
          <w:highlight w:val="cyan"/>
        </w:rPr>
        <w:t xml:space="preserve"> by way of glossing the advent and development of the figure of the Young-Girl</w:t>
      </w:r>
      <w:r w:rsidRPr="008C7790">
        <w:rPr>
          <w:rStyle w:val="StyleUnderline"/>
        </w:rPr>
        <w:t>. They declare that this figure originates in the crisis of classical gender roles as "the offensive that commodity domination responds to that crisis with," [17] and that its "triumph originates with the failure of feminism."</w:t>
      </w:r>
      <w:r w:rsidRPr="008C7790">
        <w:rPr>
          <w:sz w:val="16"/>
        </w:rPr>
        <w:t xml:space="preserve"> [18] [21] </w:t>
      </w:r>
      <w:r w:rsidRPr="009A35C0">
        <w:rPr>
          <w:rStyle w:val="StyleUnderline"/>
          <w:b/>
          <w:bCs/>
          <w:highlight w:val="cyan"/>
        </w:rPr>
        <w:t>Each of these assertions is founded on profound, and reductive, misapprehensions.</w:t>
      </w:r>
      <w:r w:rsidRPr="008C7790">
        <w:rPr>
          <w:sz w:val="16"/>
        </w:rPr>
        <w:t xml:space="preserve"> For the former, it is a matter of </w:t>
      </w:r>
      <w:r w:rsidRPr="008C7790">
        <w:rPr>
          <w:rStyle w:val="StyleUnderline"/>
        </w:rPr>
        <w:t>mistaking a distinctly anti-capitalist politics that refuses cultural commoditization while attempting to carve out not-for-profit spaces for performance, interaction, and action for an absence of economic engagement</w:t>
      </w:r>
      <w:r w:rsidRPr="008C7790">
        <w:rPr>
          <w:sz w:val="16"/>
        </w:rPr>
        <w:t xml:space="preserve">. Unsurprisingly, for news outlets such as Newsweek, the economic is completely coextensive with a specifically capitalist economics. </w:t>
      </w:r>
      <w:r w:rsidRPr="008C7790">
        <w:rPr>
          <w:rStyle w:val="StyleUnderline"/>
        </w:rPr>
        <w:t xml:space="preserve">Within this logic, social organization that works alternatively to the ethos of commoditization appears as "merely" social. </w:t>
      </w:r>
      <w:r w:rsidRPr="008C7790">
        <w:rPr>
          <w:sz w:val="16"/>
        </w:rPr>
        <w:t>This is the sort of purview that mistakes the passage of an Equal Rights Amendment for the realization of gender parity; or would view the breakage of a glass ceiling (rather than the process of making possible a collective, definitive exit from the building itself) a success of feminist politics. Within this perspective, the on</w:t>
      </w:r>
      <w:r w:rsidRPr="008C7790">
        <w:rPr>
          <w:rStyle w:val="StyleUnderline"/>
        </w:rPr>
        <w:t xml:space="preserve">ly feminism that engages the question of economy is liberal feminism. </w:t>
      </w:r>
      <w:r w:rsidRPr="008C7790">
        <w:rPr>
          <w:sz w:val="16"/>
        </w:rPr>
        <w:t xml:space="preserve">As remarked upon earlier, other feminisms are posited as misled, naive, evidence of a set of growing pains on the route to a fully pro-capitalist feminist politics that has as its shibboleths both demands for equal pay as well as one's right to possess one's body as their own property. While equal pay and the right to reproductive self-determination are, of course, necessary struggles in our contemporary conjuncture, it is also necessary to be able to question and develop alternatives to both the reigning economic system, as well as the presuppositions of possessive individualism that make its motor run. [22] </w:t>
      </w:r>
      <w:r w:rsidRPr="008C7790">
        <w:rPr>
          <w:rStyle w:val="StyleUnderline"/>
        </w:rPr>
        <w:t xml:space="preserve">In </w:t>
      </w:r>
      <w:r w:rsidRPr="009A35C0">
        <w:rPr>
          <w:rStyle w:val="StyleUnderline"/>
          <w:b/>
          <w:bCs/>
          <w:highlight w:val="cyan"/>
        </w:rPr>
        <w:t>the latter assertion, that hinging on the ostensible "failure of feminism," the problem lies in mistaking the ascendancy of liberal feminism over more radical strains of feminist movement with the ostensible failure of feminism full-st</w:t>
      </w:r>
      <w:r w:rsidRPr="009A35C0">
        <w:rPr>
          <w:b/>
          <w:bCs/>
          <w:sz w:val="16"/>
          <w:highlight w:val="cyan"/>
          <w:u w:val="single"/>
        </w:rPr>
        <w:t xml:space="preserve">op. </w:t>
      </w:r>
      <w:r w:rsidRPr="009A35C0">
        <w:rPr>
          <w:rStyle w:val="StyleUnderline"/>
          <w:b/>
          <w:bCs/>
          <w:highlight w:val="cyan"/>
        </w:rPr>
        <w:t>The former assertion defangs Riot Grrrl, while the later cannot</w:t>
      </w:r>
      <w:r w:rsidRPr="009A35C0">
        <w:rPr>
          <w:rStyle w:val="StyleUnderline"/>
          <w:b/>
          <w:bCs/>
        </w:rPr>
        <w:t xml:space="preserve"> </w:t>
      </w:r>
      <w:r w:rsidRPr="008C7790">
        <w:rPr>
          <w:rStyle w:val="StyleUnderline"/>
        </w:rPr>
        <w:t>accommodate for its historically concurrent existence on account of its ground-clearing attempt to demonstrate the force and efficacy of the Young-</w:t>
      </w:r>
      <w:r w:rsidRPr="008C7790">
        <w:rPr>
          <w:sz w:val="16"/>
        </w:rPr>
        <w:t>Girl. A more accurate way of telling this story would be to write of the Young-</w:t>
      </w:r>
      <w:proofErr w:type="spellStart"/>
      <w:r w:rsidRPr="008C7790">
        <w:rPr>
          <w:sz w:val="16"/>
        </w:rPr>
        <w:t>Girlization</w:t>
      </w:r>
      <w:proofErr w:type="spellEnd"/>
      <w:r w:rsidRPr="008C7790">
        <w:rPr>
          <w:sz w:val="16"/>
        </w:rPr>
        <w:t xml:space="preserve"> of Riot </w:t>
      </w:r>
      <w:proofErr w:type="spellStart"/>
      <w:r w:rsidRPr="008C7790">
        <w:rPr>
          <w:sz w:val="16"/>
        </w:rPr>
        <w:t>Grrrl</w:t>
      </w:r>
      <w:proofErr w:type="spellEnd"/>
      <w:r w:rsidRPr="008C7790">
        <w:rPr>
          <w:sz w:val="16"/>
        </w:rPr>
        <w:t xml:space="preserve">, or the politically strange development from Revolution, Girl Style Now! to Girl Power. For, indeed, Riot </w:t>
      </w:r>
      <w:proofErr w:type="spellStart"/>
      <w:r w:rsidRPr="008C7790">
        <w:rPr>
          <w:sz w:val="16"/>
        </w:rPr>
        <w:t>Grrrl</w:t>
      </w:r>
      <w:proofErr w:type="spellEnd"/>
      <w:r w:rsidRPr="008C7790">
        <w:rPr>
          <w:sz w:val="16"/>
        </w:rPr>
        <w:t xml:space="preserve"> was eventually (if only partially) subsumed by the marketing machines that it was responding against. This was why issues of reformulating intersubjective </w:t>
      </w:r>
      <w:proofErr w:type="spellStart"/>
      <w:r w:rsidRPr="008C7790">
        <w:rPr>
          <w:sz w:val="16"/>
        </w:rPr>
        <w:t>erotics</w:t>
      </w:r>
      <w:proofErr w:type="spellEnd"/>
      <w:r w:rsidRPr="008C7790">
        <w:rPr>
          <w:sz w:val="16"/>
        </w:rPr>
        <w:t xml:space="preserve">, thinking and enacting alternatives to heteronormativity, directly addressing sexual abuse, and examining the forces that conspire to create and sustain destructive body images were such hot topics of Riot </w:t>
      </w:r>
      <w:proofErr w:type="spellStart"/>
      <w:r w:rsidRPr="008C7790">
        <w:rPr>
          <w:sz w:val="16"/>
        </w:rPr>
        <w:t>Grrrl</w:t>
      </w:r>
      <w:proofErr w:type="spellEnd"/>
      <w:r w:rsidRPr="008C7790">
        <w:rPr>
          <w:sz w:val="16"/>
        </w:rPr>
        <w:t xml:space="preserve"> discourse. </w:t>
      </w:r>
      <w:r w:rsidRPr="008C7790">
        <w:rPr>
          <w:rStyle w:val="StyleUnderline"/>
        </w:rPr>
        <w:t>All of this was a response to an intimate, if not fully theorized, understanding of the dynamics of Young-</w:t>
      </w:r>
      <w:proofErr w:type="spellStart"/>
      <w:r w:rsidRPr="008C7790">
        <w:rPr>
          <w:rStyle w:val="StyleUnderline"/>
        </w:rPr>
        <w:t>Girlization</w:t>
      </w:r>
      <w:proofErr w:type="spellEnd"/>
      <w:r w:rsidRPr="008C7790">
        <w:rPr>
          <w:rStyle w:val="StyleUnderline"/>
        </w:rPr>
        <w:t>, which we can now gloss as the biopolitical rendering of bodies both spectacular and docile in a manner coextensive with the interests of communicative capitalism</w:t>
      </w:r>
      <w:r w:rsidRPr="008C7790">
        <w:rPr>
          <w:sz w:val="16"/>
        </w:rPr>
        <w:t xml:space="preserve">. The girls who initiated and grew Riot </w:t>
      </w:r>
      <w:proofErr w:type="spellStart"/>
      <w:r w:rsidRPr="008C7790">
        <w:rPr>
          <w:sz w:val="16"/>
        </w:rPr>
        <w:t>Grrrl</w:t>
      </w:r>
      <w:proofErr w:type="spellEnd"/>
      <w:r w:rsidRPr="008C7790">
        <w:rPr>
          <w:sz w:val="16"/>
        </w:rPr>
        <w:t xml:space="preserve"> lived this process in the most intimate, molecular sense; it is no surprise that they resisted it so vociferously (when rebellion finally comes, it comes hard). These girls were positioned as the most cherished and valuable target of an ever-more-intensive commoditization process that made (and makes) millions off the creation of awful affects in young women, among them self-hatred, corporeal loathing, feelings of sexual worthlessness, and the inculcation of a sense of weak to nonexistent political effectivity</w:t>
      </w:r>
      <w:r w:rsidRPr="008C7790">
        <w:rPr>
          <w:rStyle w:val="StyleUnderline"/>
        </w:rPr>
        <w:t xml:space="preserve">. Ignoring the media and utilizing the energetic attention </w:t>
      </w:r>
      <w:r w:rsidRPr="008C7790">
        <w:rPr>
          <w:rStyle w:val="StyleUnderline"/>
        </w:rPr>
        <w:lastRenderedPageBreak/>
        <w:t>formerly spent there to focus, instead, on collective poietic projects—bands, fanzines, political actions, art projects, consciousness-raising—is nothing short of a radical anti-capitalist (and thus, of course, economically interested) gesture.</w:t>
      </w:r>
      <w:r w:rsidRPr="008C7790">
        <w:rPr>
          <w:sz w:val="16"/>
        </w:rPr>
        <w:t xml:space="preserve"> [23] Of course it is written of (and off) by mainstream media as another short-lived, politically ineffective youth sub-culture.</w:t>
      </w:r>
      <w:r w:rsidRPr="008C7790">
        <w:rPr>
          <w:rStyle w:val="StyleUnderline"/>
        </w:rPr>
        <w:t xml:space="preserve"> But, even speaking only in terms of my own biography, it was obvious that Riot </w:t>
      </w:r>
      <w:proofErr w:type="spellStart"/>
      <w:r w:rsidRPr="008C7790">
        <w:rPr>
          <w:rStyle w:val="StyleUnderline"/>
        </w:rPr>
        <w:t>Grrrl</w:t>
      </w:r>
      <w:proofErr w:type="spellEnd"/>
      <w:r w:rsidRPr="008C7790">
        <w:rPr>
          <w:rStyle w:val="StyleUnderline"/>
        </w:rPr>
        <w:t xml:space="preserve"> was </w:t>
      </w:r>
      <w:proofErr w:type="gramStart"/>
      <w:r w:rsidRPr="008C7790">
        <w:rPr>
          <w:rStyle w:val="StyleUnderline"/>
        </w:rPr>
        <w:t>actually something</w:t>
      </w:r>
      <w:proofErr w:type="gramEnd"/>
      <w:r w:rsidRPr="008C7790">
        <w:rPr>
          <w:rStyle w:val="StyleUnderline"/>
        </w:rPr>
        <w:t xml:space="preserve"> much more imperative: a laboratory of radical political engagement that emphasized becoming in the context of radical feminist, as well as radical queer, political actions, epistemic orientations, and </w:t>
      </w:r>
      <w:proofErr w:type="spellStart"/>
      <w:r w:rsidRPr="008C7790">
        <w:rPr>
          <w:rStyle w:val="StyleUnderline"/>
        </w:rPr>
        <w:t>poeietic</w:t>
      </w:r>
      <w:proofErr w:type="spellEnd"/>
      <w:r w:rsidRPr="008C7790">
        <w:rPr>
          <w:rStyle w:val="StyleUnderline"/>
        </w:rPr>
        <w:t xml:space="preserve"> projects.</w:t>
      </w:r>
      <w:r w:rsidRPr="008C7790">
        <w:rPr>
          <w:sz w:val="16"/>
        </w:rPr>
        <w:t xml:space="preserve"> To further parse this process of becoming-beyond-the-Young-Girl, we can look towards the emphasis Deleuze and </w:t>
      </w:r>
      <w:proofErr w:type="spellStart"/>
      <w:r w:rsidRPr="008C7790">
        <w:rPr>
          <w:sz w:val="16"/>
        </w:rPr>
        <w:t>Guattari</w:t>
      </w:r>
      <w:proofErr w:type="spellEnd"/>
      <w:r w:rsidRPr="008C7790">
        <w:rPr>
          <w:sz w:val="16"/>
        </w:rPr>
        <w:t xml:space="preserve"> place on the figure of the 'girl' within A Thousand Plateaus and consider its deep resonance in the politically motivated revaluation of the radical potentialities of the girl that operated, with Riot Grrrl, as a temporally </w:t>
      </w:r>
      <w:proofErr w:type="spellStart"/>
      <w:r w:rsidRPr="008C7790">
        <w:rPr>
          <w:sz w:val="16"/>
        </w:rPr>
        <w:t>schizzed</w:t>
      </w:r>
      <w:proofErr w:type="spellEnd"/>
      <w:r w:rsidRPr="008C7790">
        <w:rPr>
          <w:sz w:val="16"/>
        </w:rPr>
        <w:t xml:space="preserve"> embrace of a wilder, less thoroughly socialized, less straightjacketed brand of femininity located temporally prior to the construction of, in Kathleen Hanna's words, "the walls that say you can't." These walls, in Hanna's purview, are precisely those teachings which come commensurate with proper female gender enactment within the milieu of what hooks has termed white-supremacist-capitalist patriarchy. In the zine Bikini Kill, which witnessed the first publication of Hanna's "Burn Down the Walls that Say You Can't," Hanna lists these necessary </w:t>
      </w:r>
      <w:proofErr w:type="spellStart"/>
      <w:r w:rsidRPr="008C7790">
        <w:rPr>
          <w:sz w:val="16"/>
        </w:rPr>
        <w:t>unlearnings</w:t>
      </w:r>
      <w:proofErr w:type="spellEnd"/>
      <w:r w:rsidRPr="008C7790">
        <w:rPr>
          <w:sz w:val="16"/>
        </w:rPr>
        <w:t xml:space="preserve"> –among them: Resist the temptation to view those around you as objects &amp; use them. Recognize empathy and vulnerability as positive forms of strength. Resist the internalization of capitalism, the reducing of people &amp; oneself to commodities, meant to be consumed. Resist psychic death. Acknowledge emotional violence as real. Close your mind to the propaganda of the status quo by examining its effects on you, cell by artificial cell. [19] </w:t>
      </w:r>
      <w:r w:rsidRPr="008C7790">
        <w:rPr>
          <w:rStyle w:val="StyleUnderline"/>
        </w:rPr>
        <w:t xml:space="preserve">These </w:t>
      </w:r>
      <w:proofErr w:type="spellStart"/>
      <w:r w:rsidRPr="008C7790">
        <w:rPr>
          <w:rStyle w:val="StyleUnderline"/>
        </w:rPr>
        <w:t>unlearnings</w:t>
      </w:r>
      <w:proofErr w:type="spellEnd"/>
      <w:r w:rsidRPr="008C7790">
        <w:rPr>
          <w:rStyle w:val="StyleUnderline"/>
        </w:rPr>
        <w:t xml:space="preserve"> are necessary </w:t>
      </w:r>
      <w:proofErr w:type="gramStart"/>
      <w:r w:rsidRPr="008C7790">
        <w:rPr>
          <w:rStyle w:val="StyleUnderline"/>
        </w:rPr>
        <w:t>in order to</w:t>
      </w:r>
      <w:proofErr w:type="gramEnd"/>
      <w:r w:rsidRPr="008C7790">
        <w:rPr>
          <w:rStyle w:val="StyleUnderline"/>
        </w:rPr>
        <w:t xml:space="preserve"> harness what Bikini Kill has called the </w:t>
      </w:r>
      <w:proofErr w:type="spellStart"/>
      <w:r w:rsidRPr="008C7790">
        <w:rPr>
          <w:rStyle w:val="StyleUnderline"/>
        </w:rPr>
        <w:t>revolutionarysoulforce</w:t>
      </w:r>
      <w:proofErr w:type="spellEnd"/>
      <w:r w:rsidRPr="008C7790">
        <w:rPr>
          <w:sz w:val="16"/>
        </w:rPr>
        <w:t xml:space="preserve"> of the girl. Harnessing this force </w:t>
      </w:r>
      <w:r w:rsidRPr="008C7790">
        <w:rPr>
          <w:rStyle w:val="StyleUnderline"/>
        </w:rPr>
        <w:t>entails a psychosomatic stripping that aims to rid oneself of the deliberate psychical-corporeal conditioning of communicative capitalism, intent as it is on instrumentalization, denigration of the intuitive and empathic, with the intended side effects of epistemic, emotional, and physical violence enacted against women, queers, folks of color, the poor</w:t>
      </w:r>
      <w:r w:rsidRPr="008C7790">
        <w:rPr>
          <w:sz w:val="16"/>
        </w:rPr>
        <w:t xml:space="preserve">. </w:t>
      </w:r>
      <w:proofErr w:type="spellStart"/>
      <w:r w:rsidRPr="008C7790">
        <w:rPr>
          <w:sz w:val="16"/>
        </w:rPr>
        <w:t>Revolutionarysoulforce</w:t>
      </w:r>
      <w:proofErr w:type="spellEnd"/>
      <w:r w:rsidRPr="008C7790">
        <w:rPr>
          <w:sz w:val="16"/>
        </w:rPr>
        <w:t xml:space="preserve"> is the short term for what is freed up as one de-schools or de-toxifies from the internalization of multiple hegemonies. [24] Riot </w:t>
      </w:r>
      <w:proofErr w:type="spellStart"/>
      <w:r w:rsidRPr="008C7790">
        <w:rPr>
          <w:sz w:val="16"/>
        </w:rPr>
        <w:t>Grrrl</w:t>
      </w:r>
      <w:proofErr w:type="spellEnd"/>
      <w:r w:rsidRPr="008C7790">
        <w:rPr>
          <w:sz w:val="16"/>
        </w:rPr>
        <w:t xml:space="preserve"> </w:t>
      </w:r>
      <w:r w:rsidRPr="008C7790">
        <w:rPr>
          <w:rStyle w:val="StyleUnderline"/>
        </w:rPr>
        <w:t>locates the girl as a real space up for reinhabitation regardless of one's age, providing a commitment to this process of unlearning and invention guided by a specifically anti-capitalist DIY ethic</w:t>
      </w:r>
      <w:r w:rsidRPr="008C7790">
        <w:rPr>
          <w:sz w:val="16"/>
        </w:rPr>
        <w:t xml:space="preserve">. The temporal and spatial location of the girl is </w:t>
      </w:r>
      <w:proofErr w:type="gramStart"/>
      <w:r w:rsidRPr="008C7790">
        <w:rPr>
          <w:sz w:val="16"/>
        </w:rPr>
        <w:t>actually a</w:t>
      </w:r>
      <w:proofErr w:type="gramEnd"/>
      <w:r w:rsidRPr="008C7790">
        <w:rPr>
          <w:sz w:val="16"/>
        </w:rPr>
        <w:t xml:space="preserve"> modality wherein one is simultaneously temperamental, inquisitive, demanding, and mutable, unfixed. And it is from within this mode that Riot </w:t>
      </w:r>
      <w:proofErr w:type="spellStart"/>
      <w:r w:rsidRPr="008C7790">
        <w:rPr>
          <w:sz w:val="16"/>
        </w:rPr>
        <w:t>Grrrl</w:t>
      </w:r>
      <w:proofErr w:type="spellEnd"/>
      <w:r w:rsidRPr="008C7790">
        <w:rPr>
          <w:sz w:val="16"/>
        </w:rPr>
        <w:t xml:space="preserve">—zines, bands, performance art—moves. [25] Deleuze and </w:t>
      </w:r>
      <w:proofErr w:type="spellStart"/>
      <w:r w:rsidRPr="008C7790">
        <w:rPr>
          <w:sz w:val="16"/>
        </w:rPr>
        <w:t>Guattari</w:t>
      </w:r>
      <w:proofErr w:type="spellEnd"/>
      <w:r w:rsidRPr="008C7790">
        <w:rPr>
          <w:sz w:val="16"/>
        </w:rPr>
        <w:t xml:space="preserve"> write of the girl that it is her body that is "stolen first" in the process of fabricating sexed and sexually "opposable organisms," and that this theft is constituted by a series of order-words, demands, impositions: "stop behaving like that, you're not a little girl anymore, you're not a tomboy, etc." [20] This series of impositions establishes a unified prehistory for the girl, a principle of intelligibility for her being a sexed body which excises behavioral, desirous contradictions, all manner of compelling, queer impropriety. It is through this process of fabrication and excision that </w:t>
      </w:r>
      <w:proofErr w:type="spellStart"/>
      <w:r w:rsidRPr="008C7790">
        <w:rPr>
          <w:sz w:val="16"/>
        </w:rPr>
        <w:t>heterosex</w:t>
      </w:r>
      <w:proofErr w:type="spellEnd"/>
      <w:r w:rsidRPr="008C7790">
        <w:rPr>
          <w:sz w:val="16"/>
        </w:rPr>
        <w:t xml:space="preserve"> is then installed as normative: "it is by using the girl as an example [of] the object of [the boy's] desire, that an opposed organism, a dominant history is fabricated for him too." [21] Within this schematic, girlhood is posited as prior to the instantiation of biunivocal sex, and thus becomes a privileged figure of desiring production, on account of inhabiting a corporeal and psychic space that is "indifferent to memory" and non-figurative, refusing postponed fulfillment, delayed gratifications, nor the grafting of one's substance, one's desires, one's being onto a fabricated 'opposable organism,' within a dyadic, heterosexist libidinal economy. Thus, Deleuze and </w:t>
      </w:r>
      <w:proofErr w:type="spellStart"/>
      <w:r w:rsidRPr="008C7790">
        <w:rPr>
          <w:sz w:val="16"/>
        </w:rPr>
        <w:t>Guattari</w:t>
      </w:r>
      <w:proofErr w:type="spellEnd"/>
      <w:r w:rsidRPr="008C7790">
        <w:rPr>
          <w:sz w:val="16"/>
        </w:rPr>
        <w:t xml:space="preserve"> advocate an embrace of girlhood as a line of flight, an inhabitation of the between, the intermezzo, neither and not-yet either man nor woman, that undoes the great "dualism machines." [22] This embrace is, at core, what is meant by becoming-woman. As they write, by way of a reversal of gendered developmental temporalities, "it is not the girl who becomes a woman; it is becoming-woman that produces the universal girl." [23] [26] This is precisely what Tobi Vail, drummer for Bikini Kill and the </w:t>
      </w:r>
      <w:proofErr w:type="spellStart"/>
      <w:r w:rsidRPr="008C7790">
        <w:rPr>
          <w:sz w:val="16"/>
        </w:rPr>
        <w:t>Frumpies</w:t>
      </w:r>
      <w:proofErr w:type="spellEnd"/>
      <w:r w:rsidRPr="008C7790">
        <w:rPr>
          <w:sz w:val="16"/>
        </w:rPr>
        <w:t xml:space="preserve">, multi-instrumentalist and the brain behind Jigsaw zine, elucidates regarding the difference between 'femininity' and 'girl culture,' although in a radically different vernacular aimed at girls and queer youth: That's what we mean by girl culture. There's a whole girl culture that exists when you're little. There girls have their own scene. And it always gets totally fucked up when girls start dating boys. Like two of them like the same guy. Or they just start dating guys and that becomes their </w:t>
      </w:r>
      <w:proofErr w:type="spellStart"/>
      <w:r w:rsidRPr="008C7790">
        <w:rPr>
          <w:sz w:val="16"/>
        </w:rPr>
        <w:t>llife</w:t>
      </w:r>
      <w:proofErr w:type="spellEnd"/>
      <w:r w:rsidRPr="008C7790">
        <w:rPr>
          <w:sz w:val="16"/>
        </w:rPr>
        <w:t xml:space="preserve">. Then they get married and that's traditionally how women get into these situations where they are totally separated from each other in these domestic spheres. What we want to say is, 'no, that's not happening to us. This is girl culture and these are our rituals'. [24] </w:t>
      </w:r>
      <w:r w:rsidRPr="008C7790">
        <w:rPr>
          <w:rStyle w:val="StyleUnderline"/>
        </w:rPr>
        <w:t>Girl culture can be thought of, then, as a definite and defiantly queer realm that establishes counter-norms and alternative, resistant community by way of rituals that evade majoritarian/hegemonic logics is what is enabled by this embrace of girlhood, by this process of becoming-otherwise than what white-supremacist capitalist patriarchy has attempted to make of . This</w:t>
      </w:r>
      <w:r w:rsidRPr="008C7790">
        <w:rPr>
          <w:sz w:val="16"/>
        </w:rPr>
        <w:t xml:space="preserve"> trajectory is one of disarticulation without telos, one of refusing the organismic intelligibility lent by the coherency and ontological stasis of being a woman...or a man. [27] Engaging in these sorts of </w:t>
      </w:r>
      <w:proofErr w:type="spellStart"/>
      <w:r w:rsidRPr="008C7790">
        <w:rPr>
          <w:sz w:val="16"/>
        </w:rPr>
        <w:t>becomings</w:t>
      </w:r>
      <w:proofErr w:type="spellEnd"/>
      <w:r w:rsidRPr="008C7790">
        <w:rPr>
          <w:sz w:val="16"/>
        </w:rPr>
        <w:t xml:space="preserve"> is, for sure, a kind of girl power: </w:t>
      </w:r>
      <w:proofErr w:type="spellStart"/>
      <w:r w:rsidRPr="008C7790">
        <w:rPr>
          <w:sz w:val="16"/>
        </w:rPr>
        <w:t>potentia</w:t>
      </w:r>
      <w:proofErr w:type="spellEnd"/>
      <w:r w:rsidRPr="008C7790">
        <w:rPr>
          <w:sz w:val="16"/>
        </w:rPr>
        <w:t xml:space="preserve"> </w:t>
      </w:r>
      <w:proofErr w:type="spellStart"/>
      <w:r w:rsidRPr="008C7790">
        <w:rPr>
          <w:sz w:val="16"/>
        </w:rPr>
        <w:t>feminae</w:t>
      </w:r>
      <w:proofErr w:type="spellEnd"/>
      <w:r w:rsidRPr="008C7790">
        <w:rPr>
          <w:sz w:val="16"/>
        </w:rPr>
        <w:t xml:space="preserve">. </w:t>
      </w:r>
    </w:p>
    <w:p w14:paraId="4B922114" w14:textId="77777777" w:rsidR="005D1BCD" w:rsidRPr="005D388F" w:rsidRDefault="005D1BCD" w:rsidP="005D1BCD"/>
    <w:p w14:paraId="362F8EFE" w14:textId="77777777" w:rsidR="005D1BCD" w:rsidRPr="000622E6" w:rsidRDefault="005D1BCD" w:rsidP="005D1BCD">
      <w:pPr>
        <w:pStyle w:val="Heading4"/>
      </w:pPr>
      <w:r>
        <w:lastRenderedPageBreak/>
        <w:t xml:space="preserve">The </w:t>
      </w:r>
      <w:proofErr w:type="spellStart"/>
      <w:r>
        <w:t>aff</w:t>
      </w:r>
      <w:proofErr w:type="spellEnd"/>
      <w:r>
        <w:t xml:space="preserve"> relies on ablest norms of productivity to achieve their alternative through the praise of the ballot</w:t>
      </w:r>
    </w:p>
    <w:p w14:paraId="598D7493" w14:textId="77777777" w:rsidR="005D1BCD" w:rsidRPr="005A1E33" w:rsidRDefault="005D1BCD" w:rsidP="005D1BCD">
      <w:pPr>
        <w:rPr>
          <w:rStyle w:val="StyleUnderline"/>
        </w:rPr>
      </w:pPr>
      <w:r>
        <w:rPr>
          <w:rStyle w:val="Style13ptBold"/>
        </w:rPr>
        <w:t>Price</w:t>
      </w:r>
      <w:r w:rsidRPr="004E5206">
        <w:rPr>
          <w:rStyle w:val="Style13ptBold"/>
        </w:rPr>
        <w:t xml:space="preserve"> </w:t>
      </w:r>
      <w:r>
        <w:rPr>
          <w:rStyle w:val="Style13ptBold"/>
        </w:rPr>
        <w:t>2011</w:t>
      </w:r>
      <w:r w:rsidRPr="004E5206">
        <w:t xml:space="preserve">, </w:t>
      </w:r>
      <w:r w:rsidRPr="000622E6">
        <w:t>Professor and Director of Disability Studies Program</w:t>
      </w:r>
      <w:r>
        <w:t xml:space="preserve"> Ohio State</w:t>
      </w:r>
      <w:r w:rsidRPr="004E5206">
        <w:t>. (</w:t>
      </w:r>
      <w:r w:rsidRPr="003A749F">
        <w:t>Margaret</w:t>
      </w:r>
      <w:r w:rsidRPr="004E5206">
        <w:t xml:space="preserve">, </w:t>
      </w:r>
      <w:r w:rsidRPr="00DF537A">
        <w:t>February 2011</w:t>
      </w:r>
      <w:r w:rsidRPr="004E5206">
        <w:t>, “</w:t>
      </w:r>
      <w:r w:rsidRPr="00DF537A">
        <w:t>Mad at School Rhetorics of Mental Disability and Academic Life</w:t>
      </w:r>
      <w:r w:rsidRPr="000E559C">
        <w:t xml:space="preserve"> University of Michigan Press</w:t>
      </w:r>
      <w:r w:rsidRPr="004E5206">
        <w:t xml:space="preserve">, </w:t>
      </w:r>
      <w:r w:rsidRPr="000E559C">
        <w:t>https://press.umich.edu/Books/M/Mad-at-School2</w:t>
      </w:r>
      <w:r w:rsidRPr="004E5206">
        <w:t xml:space="preserve">) </w:t>
      </w:r>
    </w:p>
    <w:p w14:paraId="22BDFE20" w14:textId="77777777" w:rsidR="005D1BCD" w:rsidRPr="005A57C6" w:rsidRDefault="005D1BCD" w:rsidP="005D1BCD">
      <w:pPr>
        <w:rPr>
          <w:sz w:val="16"/>
        </w:rPr>
      </w:pPr>
      <w:r w:rsidRPr="00001A37">
        <w:rPr>
          <w:rStyle w:val="StyleUnderline"/>
        </w:rPr>
        <w:t xml:space="preserve">My analysis of academic discourse4 focuses on certain commonplace beliefs, or topoi. Lawrence J. </w:t>
      </w:r>
      <w:proofErr w:type="spellStart"/>
      <w:r w:rsidRPr="00001A37">
        <w:rPr>
          <w:rStyle w:val="StyleUnderline"/>
        </w:rPr>
        <w:t>Prelli</w:t>
      </w:r>
      <w:proofErr w:type="spellEnd"/>
      <w:r w:rsidRPr="00001A37">
        <w:rPr>
          <w:rStyle w:val="StyleUnderline"/>
        </w:rPr>
        <w:t xml:space="preserve"> explains topoi (singular </w:t>
      </w:r>
      <w:proofErr w:type="spellStart"/>
      <w:r w:rsidRPr="00001A37">
        <w:rPr>
          <w:rStyle w:val="StyleUnderline"/>
        </w:rPr>
        <w:t>topos</w:t>
      </w:r>
      <w:proofErr w:type="spellEnd"/>
      <w:r w:rsidRPr="00001A37">
        <w:rPr>
          <w:rStyle w:val="StyleUnderline"/>
        </w:rPr>
        <w:t xml:space="preserve">) as “lines of thought that bear on a [person’s] credibility in this or that rhetorical </w:t>
      </w:r>
      <w:r>
        <w:rPr>
          <w:rStyle w:val="StyleUnderline"/>
        </w:rPr>
        <w:t>situation</w:t>
      </w:r>
      <w:r w:rsidRPr="00001A37">
        <w:rPr>
          <w:rStyle w:val="StyleUnderline"/>
        </w:rPr>
        <w:t xml:space="preserve">” (90). A </w:t>
      </w:r>
      <w:proofErr w:type="spellStart"/>
      <w:r w:rsidRPr="00001A37">
        <w:rPr>
          <w:rStyle w:val="StyleUnderline"/>
        </w:rPr>
        <w:t>topos</w:t>
      </w:r>
      <w:proofErr w:type="spellEnd"/>
      <w:r w:rsidRPr="00001A37">
        <w:rPr>
          <w:rStyle w:val="StyleUnderline"/>
        </w:rPr>
        <w:t xml:space="preserve"> contributes to the construction of a rhetor’s ethos, or perceived character. It is often an issue or theme with which she must con- tend in the process of presenting herself as a credible and persuasive </w:t>
      </w:r>
      <w:r>
        <w:rPr>
          <w:rStyle w:val="StyleUnderline"/>
        </w:rPr>
        <w:t>person</w:t>
      </w:r>
      <w:r w:rsidRPr="00001A37">
        <w:rPr>
          <w:rStyle w:val="StyleUnderline"/>
        </w:rPr>
        <w:t>.</w:t>
      </w:r>
      <w:r w:rsidRPr="005A57C6">
        <w:rPr>
          <w:sz w:val="16"/>
        </w:rPr>
        <w:t xml:space="preserve"> Because common topoi are generally recognized by a rhetor and her audience, they can serve as points from which to begin arguments. However, when they are shared by an in-group, they also tend to be unexamined; thus, as Sharon Crowley explains, “commonplaces are part of the discursive machinery that hides the ›ow of difference” (73). Common topoi are often invoked when rhetors wish to reinforce dominant values or “</w:t>
      </w:r>
      <w:proofErr w:type="spellStart"/>
      <w:r w:rsidRPr="005A57C6">
        <w:rPr>
          <w:sz w:val="16"/>
        </w:rPr>
        <w:t>challeng</w:t>
      </w:r>
      <w:proofErr w:type="spellEnd"/>
      <w:r w:rsidRPr="005A57C6">
        <w:rPr>
          <w:sz w:val="16"/>
        </w:rPr>
        <w:t xml:space="preserve">[e] the beliefs/practices of miscreants and outsiders” (Crowley 73).5 This gives topoi great power, especially power on the part of dominant groups to exclude or punish marginalized groups or persons. </w:t>
      </w:r>
      <w:r w:rsidRPr="00001A37">
        <w:rPr>
          <w:rStyle w:val="StyleUnderline"/>
        </w:rPr>
        <w:t xml:space="preserve">I argue that some of </w:t>
      </w:r>
      <w:r w:rsidRPr="00001A37">
        <w:rPr>
          <w:rStyle w:val="StyleUnderline"/>
          <w:highlight w:val="green"/>
        </w:rPr>
        <w:t>the most important common topoi of academe intersect problematically with</w:t>
      </w:r>
      <w:r w:rsidRPr="00001A37">
        <w:rPr>
          <w:rStyle w:val="StyleUnderline"/>
        </w:rPr>
        <w:t xml:space="preserve"> mental </w:t>
      </w:r>
      <w:r w:rsidRPr="00001A37">
        <w:rPr>
          <w:rStyle w:val="StyleUnderline"/>
          <w:highlight w:val="green"/>
        </w:rPr>
        <w:t>disability</w:t>
      </w:r>
      <w:r w:rsidRPr="00001A37">
        <w:rPr>
          <w:rStyle w:val="StyleUnderline"/>
        </w:rPr>
        <w:t xml:space="preserve">. </w:t>
      </w:r>
      <w:r w:rsidRPr="00001A37">
        <w:rPr>
          <w:rStyle w:val="StyleUnderline"/>
          <w:highlight w:val="green"/>
        </w:rPr>
        <w:t>These include</w:t>
      </w:r>
      <w:r w:rsidRPr="00001A37">
        <w:rPr>
          <w:rStyle w:val="StyleUnderline"/>
        </w:rPr>
        <w:t xml:space="preserve"> • Rationality • Criticality • Presence • </w:t>
      </w:r>
      <w:r w:rsidRPr="00001A37">
        <w:rPr>
          <w:rStyle w:val="StyleUnderline"/>
          <w:highlight w:val="green"/>
        </w:rPr>
        <w:t>Participation</w:t>
      </w:r>
      <w:r w:rsidRPr="00001A37">
        <w:rPr>
          <w:rStyle w:val="StyleUnderline"/>
        </w:rPr>
        <w:t xml:space="preserve"> • Resistance • </w:t>
      </w:r>
      <w:r w:rsidRPr="00001A37">
        <w:rPr>
          <w:rStyle w:val="StyleUnderline"/>
          <w:highlight w:val="green"/>
        </w:rPr>
        <w:t>Productivity</w:t>
      </w:r>
      <w:r w:rsidRPr="00001A37">
        <w:rPr>
          <w:rStyle w:val="StyleUnderline"/>
        </w:rPr>
        <w:t xml:space="preserve"> • </w:t>
      </w:r>
      <w:r w:rsidRPr="00001A37">
        <w:rPr>
          <w:rStyle w:val="StyleUnderline"/>
          <w:highlight w:val="green"/>
        </w:rPr>
        <w:t>Collegiality</w:t>
      </w:r>
      <w:r w:rsidRPr="00001A37">
        <w:rPr>
          <w:rStyle w:val="StyleUnderline"/>
        </w:rPr>
        <w:t xml:space="preserve"> • Security • Coherence • Truth • Independence For instance, </w:t>
      </w:r>
      <w:r w:rsidRPr="00001A37">
        <w:rPr>
          <w:rStyle w:val="StyleUnderline"/>
          <w:highlight w:val="green"/>
        </w:rPr>
        <w:t>what does “participation</w:t>
      </w:r>
      <w:r w:rsidRPr="00001A37">
        <w:rPr>
          <w:rStyle w:val="StyleUnderline"/>
        </w:rPr>
        <w:t xml:space="preserve">” in a class </w:t>
      </w:r>
      <w:r w:rsidRPr="00001A37">
        <w:rPr>
          <w:rStyle w:val="StyleUnderline"/>
          <w:highlight w:val="green"/>
        </w:rPr>
        <w:t>mean for a student who</w:t>
      </w:r>
      <w:r w:rsidRPr="00001A37">
        <w:rPr>
          <w:rStyle w:val="StyleUnderline"/>
        </w:rPr>
        <w:t xml:space="preserve"> is undergoing a deep depression and </w:t>
      </w:r>
      <w:r w:rsidRPr="00001A37">
        <w:rPr>
          <w:rStyle w:val="StyleUnderline"/>
          <w:highlight w:val="green"/>
        </w:rPr>
        <w:t>cannot get out of bed</w:t>
      </w:r>
      <w:r w:rsidRPr="00001A37">
        <w:rPr>
          <w:rStyle w:val="StyleUnderline"/>
        </w:rPr>
        <w:t xml:space="preserve">? Or a student who experiences such severe anxiety, or obsession, that he can barely leave his dorm room </w:t>
      </w:r>
      <w:r w:rsidRPr="00001A37">
        <w:rPr>
          <w:rStyle w:val="StyleUnderline"/>
          <w:highlight w:val="green"/>
        </w:rPr>
        <w:t>or</w:t>
      </w:r>
      <w:r w:rsidRPr="00001A37">
        <w:rPr>
          <w:rStyle w:val="StyleUnderline"/>
        </w:rPr>
        <w:t xml:space="preserve"> home? What about </w:t>
      </w:r>
      <w:r w:rsidRPr="00001A37">
        <w:rPr>
          <w:rStyle w:val="StyleUnderline"/>
          <w:highlight w:val="green"/>
        </w:rPr>
        <w:t>a student on the autism spectrum who has difficulty apprehending</w:t>
      </w:r>
      <w:r w:rsidRPr="00001A37">
        <w:rPr>
          <w:rStyle w:val="StyleUnderline"/>
        </w:rPr>
        <w:t xml:space="preserve"> the </w:t>
      </w:r>
      <w:r w:rsidRPr="00001A37">
        <w:rPr>
          <w:rStyle w:val="StyleUnderline"/>
          <w:highlight w:val="green"/>
        </w:rPr>
        <w:t>subtle social cues</w:t>
      </w:r>
      <w:r w:rsidRPr="00001A37">
        <w:rPr>
          <w:rStyle w:val="StyleUnderline"/>
        </w:rPr>
        <w:t xml:space="preserve"> </w:t>
      </w:r>
      <w:r w:rsidRPr="00001A37">
        <w:rPr>
          <w:rStyle w:val="StyleUnderline"/>
          <w:highlight w:val="green"/>
        </w:rPr>
        <w:t>that govern</w:t>
      </w:r>
      <w:r w:rsidRPr="00001A37">
        <w:rPr>
          <w:rStyle w:val="StyleUnderline"/>
        </w:rPr>
        <w:t xml:space="preserve"> classroom </w:t>
      </w:r>
      <w:r w:rsidRPr="00001A37">
        <w:rPr>
          <w:rStyle w:val="StyleUnderline"/>
          <w:highlight w:val="green"/>
        </w:rPr>
        <w:t>participation</w:t>
      </w:r>
      <w:r w:rsidRPr="00001A37">
        <w:rPr>
          <w:rStyle w:val="StyleUnderline"/>
        </w:rPr>
        <w:t xml:space="preserve">, the difference between “showing engagement” and “dominating the conversation,” </w:t>
      </w:r>
      <w:r w:rsidRPr="00001A37">
        <w:rPr>
          <w:rStyle w:val="StyleUnderline"/>
          <w:highlight w:val="green"/>
        </w:rPr>
        <w:t>the sorts of spontaneous oral performances that are considered “smart</w:t>
      </w:r>
      <w:r w:rsidRPr="00001A37">
        <w:rPr>
          <w:rStyle w:val="StyleUnderline"/>
        </w:rPr>
        <w:t>”?</w:t>
      </w:r>
      <w:r w:rsidRPr="005A57C6">
        <w:rPr>
          <w:sz w:val="16"/>
        </w:rPr>
        <w:t xml:space="preserve"> What does “collegiality” mean for a faculty member who has these same difficulties? </w:t>
      </w:r>
      <w:r w:rsidRPr="008B3BAF">
        <w:rPr>
          <w:rStyle w:val="StyleUnderline"/>
          <w:highlight w:val="green"/>
        </w:rPr>
        <w:t>What happens to the “productivity” of a</w:t>
      </w:r>
      <w:r w:rsidRPr="008B3BAF">
        <w:rPr>
          <w:rStyle w:val="StyleUnderline"/>
        </w:rPr>
        <w:t>n</w:t>
      </w:r>
      <w:r w:rsidRPr="00001A37">
        <w:rPr>
          <w:rStyle w:val="StyleUnderline"/>
        </w:rPr>
        <w:t xml:space="preserve"> academic </w:t>
      </w:r>
      <w:r w:rsidRPr="008B3BAF">
        <w:rPr>
          <w:rStyle w:val="StyleUnderline"/>
          <w:highlight w:val="green"/>
        </w:rPr>
        <w:t xml:space="preserve">writer who struggles to achieve the linear coherence </w:t>
      </w:r>
      <w:r w:rsidRPr="008B3BAF">
        <w:rPr>
          <w:rStyle w:val="StyleUnderline"/>
        </w:rPr>
        <w:t>that most academic writing demands? Or whose disability affects the many self-directed stages</w:t>
      </w:r>
      <w:r w:rsidRPr="00001A37">
        <w:rPr>
          <w:rStyle w:val="StyleUnderline"/>
        </w:rPr>
        <w:t xml:space="preserve"> of writing and </w:t>
      </w:r>
      <w:r>
        <w:rPr>
          <w:rStyle w:val="StyleUnderline"/>
        </w:rPr>
        <w:t>revising</w:t>
      </w:r>
      <w:r w:rsidRPr="00001A37">
        <w:rPr>
          <w:rStyle w:val="StyleUnderline"/>
        </w:rPr>
        <w:t xml:space="preserve">—initiation, organization, seeking and applying feedback, </w:t>
      </w:r>
      <w:r>
        <w:rPr>
          <w:rStyle w:val="StyleUnderline"/>
        </w:rPr>
        <w:t>completion</w:t>
      </w:r>
      <w:r w:rsidRPr="00001A37">
        <w:rPr>
          <w:rStyle w:val="StyleUnderline"/>
        </w:rPr>
        <w:t xml:space="preserve">? </w:t>
      </w:r>
      <w:r w:rsidRPr="00172E59">
        <w:rPr>
          <w:rStyle w:val="StyleUnderline"/>
          <w:highlight w:val="green"/>
        </w:rPr>
        <w:t>Why</w:t>
      </w:r>
      <w:r w:rsidRPr="00001A37">
        <w:rPr>
          <w:rStyle w:val="StyleUnderline"/>
        </w:rPr>
        <w:t xml:space="preserve">, indeed, </w:t>
      </w:r>
      <w:r w:rsidRPr="00172E59">
        <w:rPr>
          <w:rStyle w:val="StyleUnderline"/>
          <w:highlight w:val="green"/>
        </w:rPr>
        <w:t>is</w:t>
      </w:r>
      <w:r w:rsidRPr="00001A37">
        <w:rPr>
          <w:rStyle w:val="StyleUnderline"/>
        </w:rPr>
        <w:t xml:space="preserve"> “</w:t>
      </w:r>
      <w:r w:rsidRPr="00172E59">
        <w:rPr>
          <w:rStyle w:val="StyleUnderline"/>
          <w:highlight w:val="green"/>
        </w:rPr>
        <w:t>coherence”</w:t>
      </w:r>
      <w:r w:rsidRPr="00001A37">
        <w:rPr>
          <w:rStyle w:val="StyleUnderline"/>
        </w:rPr>
        <w:t xml:space="preserve"> one of the most-often </w:t>
      </w:r>
      <w:r w:rsidRPr="00172E59">
        <w:rPr>
          <w:rStyle w:val="StyleUnderline"/>
          <w:highlight w:val="green"/>
        </w:rPr>
        <w:t>emphasized features of</w:t>
      </w:r>
      <w:r w:rsidRPr="00001A37">
        <w:rPr>
          <w:rStyle w:val="StyleUnderline"/>
        </w:rPr>
        <w:t xml:space="preserve"> a thesis-driven </w:t>
      </w:r>
      <w:r w:rsidRPr="00172E59">
        <w:rPr>
          <w:rStyle w:val="StyleUnderline"/>
          <w:highlight w:val="green"/>
        </w:rPr>
        <w:t>academic argument</w:t>
      </w:r>
      <w:r w:rsidRPr="00001A37">
        <w:rPr>
          <w:rStyle w:val="StyleUnderline"/>
        </w:rPr>
        <w:t>; does the demonstration of coherence indicate a stronger mind? How do the new requirements for “security” in U.S. academic environments resonate with (or against) our cherished values of free speech and independence</w:t>
      </w:r>
      <w:r w:rsidRPr="005A57C6">
        <w:rPr>
          <w:sz w:val="16"/>
        </w:rPr>
        <w:t xml:space="preserve">? Finally, what are we to make of the ever-growing number of “independent” scholars in the United States, many of whom occupy that “independent” status because their mental impairments or disabilities make a securely affiliated academic job impossible? </w:t>
      </w:r>
      <w:proofErr w:type="gramStart"/>
      <w:r w:rsidRPr="005A57C6">
        <w:rPr>
          <w:sz w:val="16"/>
        </w:rPr>
        <w:t>To a great extent</w:t>
      </w:r>
      <w:proofErr w:type="gramEnd"/>
      <w:r w:rsidRPr="005A57C6">
        <w:rPr>
          <w:sz w:val="16"/>
        </w:rPr>
        <w:t xml:space="preserve">, we don’t know the answers to these questions, for </w:t>
      </w:r>
      <w:r w:rsidRPr="00001A37">
        <w:rPr>
          <w:rStyle w:val="StyleUnderline"/>
        </w:rPr>
        <w:t>academics</w:t>
      </w:r>
      <w:r w:rsidRPr="005A57C6">
        <w:rPr>
          <w:sz w:val="16"/>
        </w:rPr>
        <w:t xml:space="preserve"> (which I </w:t>
      </w:r>
      <w:proofErr w:type="spellStart"/>
      <w:r w:rsidRPr="005A57C6">
        <w:rPr>
          <w:sz w:val="16"/>
        </w:rPr>
        <w:t>de‹ne</w:t>
      </w:r>
      <w:proofErr w:type="spellEnd"/>
      <w:r w:rsidRPr="005A57C6">
        <w:rPr>
          <w:sz w:val="16"/>
        </w:rPr>
        <w:t xml:space="preserve">, for the purposes of this study, to include students, staff, administrators, and </w:t>
      </w:r>
      <w:r w:rsidRPr="00172E59">
        <w:rPr>
          <w:rStyle w:val="StyleUnderline"/>
          <w:highlight w:val="green"/>
        </w:rPr>
        <w:t>independent scholars</w:t>
      </w:r>
      <w:r w:rsidRPr="00172E59">
        <w:rPr>
          <w:rStyle w:val="StyleUnderline"/>
        </w:rPr>
        <w:t xml:space="preserve"> as well as faculty) </w:t>
      </w:r>
      <w:r w:rsidRPr="00172E59">
        <w:rPr>
          <w:rStyle w:val="StyleUnderline"/>
          <w:highlight w:val="green"/>
        </w:rPr>
        <w:t>with mental disabilities are largely excluded from academic discourse</w:t>
      </w:r>
      <w:r w:rsidRPr="00001A37">
        <w:rPr>
          <w:rStyle w:val="StyleUnderline"/>
        </w:rPr>
        <w:t xml:space="preserve">. The </w:t>
      </w:r>
      <w:r w:rsidRPr="00172E59">
        <w:rPr>
          <w:rStyle w:val="StyleUnderline"/>
          <w:highlight w:val="green"/>
        </w:rPr>
        <w:t>instruments of</w:t>
      </w:r>
      <w:r w:rsidRPr="00001A37">
        <w:rPr>
          <w:rStyle w:val="StyleUnderline"/>
        </w:rPr>
        <w:t xml:space="preserve"> </w:t>
      </w:r>
      <w:r w:rsidRPr="00172E59">
        <w:rPr>
          <w:rStyle w:val="StyleUnderline"/>
          <w:highlight w:val="green"/>
        </w:rPr>
        <w:t>exclusion are not visible</w:t>
      </w:r>
      <w:r w:rsidRPr="00172E59">
        <w:rPr>
          <w:rStyle w:val="StyleUnderline"/>
        </w:rPr>
        <w:t xml:space="preserve"> or dramatic—men in white coats dragging people away—</w:t>
      </w:r>
      <w:r w:rsidRPr="00172E59">
        <w:rPr>
          <w:rStyle w:val="StyleUnderline"/>
          <w:highlight w:val="green"/>
        </w:rPr>
        <w:t>but</w:t>
      </w:r>
      <w:r w:rsidRPr="00172E59">
        <w:rPr>
          <w:rStyle w:val="StyleUnderline"/>
        </w:rPr>
        <w:t xml:space="preserve"> quiet, </w:t>
      </w:r>
      <w:r w:rsidRPr="00172E59">
        <w:rPr>
          <w:rStyle w:val="StyleUnderline"/>
          <w:highlight w:val="green"/>
        </w:rPr>
        <w:t>insidious</w:t>
      </w:r>
      <w:r w:rsidRPr="00172E59">
        <w:rPr>
          <w:rStyle w:val="StyleUnderline"/>
        </w:rPr>
        <w:t xml:space="preserve">: </w:t>
      </w:r>
      <w:r w:rsidRPr="00172E59">
        <w:rPr>
          <w:rStyle w:val="StyleUnderline"/>
          <w:highlight w:val="green"/>
        </w:rPr>
        <w:t>We flunk out and drop out.</w:t>
      </w:r>
      <w:r w:rsidRPr="00172E59">
        <w:rPr>
          <w:rStyle w:val="StyleUnderline"/>
        </w:rPr>
        <w:t xml:space="preserve"> We fail to get tenure. </w:t>
      </w:r>
      <w:r w:rsidRPr="00172E59">
        <w:rPr>
          <w:rStyle w:val="StyleUnderline"/>
          <w:highlight w:val="green"/>
        </w:rPr>
        <w:t>We take jobs as adjuncts rather than tenure- track faculty</w:t>
      </w:r>
      <w:r w:rsidRPr="00172E59">
        <w:rPr>
          <w:rStyle w:val="StyleUnderline"/>
        </w:rPr>
        <w:t>.</w:t>
      </w:r>
      <w:r w:rsidRPr="005A57C6">
        <w:rPr>
          <w:sz w:val="16"/>
        </w:rPr>
        <w:t xml:space="preserve"> We transfer schools; we and a way to get a job or a degree elsewhere. O</w:t>
      </w:r>
      <w:r w:rsidRPr="00001A37">
        <w:rPr>
          <w:rStyle w:val="StyleUnderline"/>
        </w:rPr>
        <w:t xml:space="preserve">r not. Earlier, I said that mental disabilities are better </w:t>
      </w:r>
      <w:r>
        <w:rPr>
          <w:rStyle w:val="StyleUnderline"/>
        </w:rPr>
        <w:t>understood</w:t>
      </w:r>
      <w:r w:rsidRPr="00001A37">
        <w:rPr>
          <w:rStyle w:val="StyleUnderline"/>
        </w:rPr>
        <w:t xml:space="preserve"> in terms of variety and difference rather than “yes/no” diagnoses. That’s true; but another truth exists alongside, which is that, in the </w:t>
      </w:r>
      <w:r>
        <w:rPr>
          <w:rStyle w:val="StyleUnderline"/>
        </w:rPr>
        <w:t>institutional</w:t>
      </w:r>
      <w:r w:rsidRPr="00001A37">
        <w:rPr>
          <w:rStyle w:val="StyleUnderline"/>
        </w:rPr>
        <w:t xml:space="preserve"> terms of academic discourse, a sharp rhetorical divide exists between those who are allowed in and those who are not. </w:t>
      </w:r>
      <w:r w:rsidRPr="005A57C6">
        <w:rPr>
          <w:sz w:val="16"/>
        </w:rPr>
        <w:t>The fondly regarded “absent-minded” or “quirky” professor is a noticeable ‹</w:t>
      </w:r>
      <w:proofErr w:type="spellStart"/>
      <w:r w:rsidRPr="005A57C6">
        <w:rPr>
          <w:sz w:val="16"/>
        </w:rPr>
        <w:t>gure</w:t>
      </w:r>
      <w:proofErr w:type="spellEnd"/>
      <w:r w:rsidRPr="005A57C6">
        <w:rPr>
          <w:sz w:val="16"/>
        </w:rPr>
        <w:t xml:space="preserve">, but less noticeable is the student with severe depression who drops out of school; the adjunct with autism who never manages to navigate a tenure- track job interview successfully; or the independent scholar whose writ- ten works are widely cited but who cannot adhere to the social require- </w:t>
      </w:r>
      <w:proofErr w:type="spellStart"/>
      <w:r w:rsidRPr="005A57C6">
        <w:rPr>
          <w:sz w:val="16"/>
        </w:rPr>
        <w:t>ments</w:t>
      </w:r>
      <w:proofErr w:type="spellEnd"/>
      <w:r w:rsidRPr="005A57C6">
        <w:rPr>
          <w:sz w:val="16"/>
        </w:rPr>
        <w:t xml:space="preserve"> of teaching in a classroom. </w:t>
      </w:r>
      <w:r w:rsidRPr="00172E59">
        <w:rPr>
          <w:rStyle w:val="StyleUnderline"/>
          <w:highlight w:val="green"/>
        </w:rPr>
        <w:t>Those of us who do function successfully in academe tend to pass much of the time.</w:t>
      </w:r>
      <w:r w:rsidRPr="00001A37">
        <w:rPr>
          <w:rStyle w:val="StyleUnderline"/>
        </w:rPr>
        <w:t xml:space="preserve"> Sadly, </w:t>
      </w:r>
      <w:r w:rsidRPr="00172E59">
        <w:rPr>
          <w:rStyle w:val="StyleUnderline"/>
          <w:highlight w:val="green"/>
        </w:rPr>
        <w:t>the necessity of passing for survival perpetuates the conventional view of academe as an “ivory tower”—</w:t>
      </w:r>
      <w:r w:rsidRPr="00001A37">
        <w:rPr>
          <w:rStyle w:val="StyleUnderline"/>
        </w:rPr>
        <w:t xml:space="preserve">an immaculate location humming with mental agility and energy, only occasionally threatened </w:t>
      </w:r>
      <w:r w:rsidRPr="00001A37">
        <w:rPr>
          <w:rStyle w:val="StyleUnderline"/>
        </w:rPr>
        <w:lastRenderedPageBreak/>
        <w:t>(from the outside) by the destructive force of insanity.</w:t>
      </w:r>
      <w:r w:rsidRPr="005A57C6">
        <w:rPr>
          <w:sz w:val="16"/>
        </w:rPr>
        <w:t xml:space="preserve"> Recently, this destructive force is often represented as a violent student or faculty member who is assumed to have gone mentally haywire, like a bad cog in an otherwise smoothly operating machine. But things are going to change, not least because those with atypical minds are entering academe in unprecedented numbers. (Or, as some arguments suggest, we are simply being noticed more often.) According to the U.S. Department of Education, in the year 2003–4, 22 percent of students with disabilities in college reported having “mental illness or depression”; 7 percent reported learning disabilities; and 11 percent reported attention deficit disorder (“</w:t>
      </w:r>
      <w:proofErr w:type="spellStart"/>
      <w:r w:rsidRPr="005A57C6">
        <w:rPr>
          <w:sz w:val="16"/>
        </w:rPr>
        <w:t>Pro‹le</w:t>
      </w:r>
      <w:proofErr w:type="spellEnd"/>
      <w:r w:rsidRPr="005A57C6">
        <w:rPr>
          <w:sz w:val="16"/>
        </w:rPr>
        <w:t>” 133). Results published in the Archives of General Psychiatry put the numbers even higher: according to analysis of data from the 2001–2 National Epidemiologic Survey on Alcohol and Related Conditions, nearly half (46 percent) of college students reported having experienced some psychiatric disorder in the year the survey was conducted (Blanco et al.).6 Meanwhile, between 1994 and 2004, the percentage of students in K–12 schools labeled as having autism rose 525 percent (</w:t>
      </w:r>
      <w:proofErr w:type="spellStart"/>
      <w:r w:rsidRPr="005A57C6">
        <w:rPr>
          <w:sz w:val="16"/>
        </w:rPr>
        <w:t>Monastersky</w:t>
      </w:r>
      <w:proofErr w:type="spellEnd"/>
      <w:r w:rsidRPr="005A57C6">
        <w:rPr>
          <w:sz w:val="16"/>
        </w:rPr>
        <w:t xml:space="preserve">).7 Indeed, in particular locations, things are changing, and often for the better, as shown by programs such as “College Camp,” which is designed to introduce students with intellectual differences to college life (Sunderland). This is a book about the violence of exclusion, but also about the ongoing negotiations and successes achieved by aca- </w:t>
      </w:r>
      <w:proofErr w:type="spellStart"/>
      <w:r w:rsidRPr="005A57C6">
        <w:rPr>
          <w:sz w:val="16"/>
        </w:rPr>
        <w:t>demics</w:t>
      </w:r>
      <w:proofErr w:type="spellEnd"/>
      <w:r w:rsidRPr="005A57C6">
        <w:rPr>
          <w:sz w:val="16"/>
        </w:rPr>
        <w:t xml:space="preserve"> with mental disabilities—not through heroic feats of “</w:t>
      </w:r>
      <w:proofErr w:type="spellStart"/>
      <w:r w:rsidRPr="005A57C6">
        <w:rPr>
          <w:sz w:val="16"/>
        </w:rPr>
        <w:t>overcom</w:t>
      </w:r>
      <w:proofErr w:type="spellEnd"/>
      <w:r w:rsidRPr="005A57C6">
        <w:rPr>
          <w:sz w:val="16"/>
        </w:rPr>
        <w:t xml:space="preserve">- </w:t>
      </w:r>
      <w:proofErr w:type="spellStart"/>
      <w:r w:rsidRPr="005A57C6">
        <w:rPr>
          <w:sz w:val="16"/>
        </w:rPr>
        <w:t>ing</w:t>
      </w:r>
      <w:proofErr w:type="spellEnd"/>
      <w:r w:rsidRPr="005A57C6">
        <w:rPr>
          <w:sz w:val="16"/>
        </w:rPr>
        <w:t xml:space="preserve">,” but through </w:t>
      </w:r>
      <w:proofErr w:type="spellStart"/>
      <w:r w:rsidRPr="005A57C6">
        <w:rPr>
          <w:sz w:val="16"/>
        </w:rPr>
        <w:t>microrebellions</w:t>
      </w:r>
      <w:proofErr w:type="spellEnd"/>
      <w:r w:rsidRPr="005A57C6">
        <w:rPr>
          <w:sz w:val="16"/>
        </w:rPr>
        <w:t>, new forms of access and cooperation, a gradual reshaping of what academe is and might be.</w:t>
      </w:r>
    </w:p>
    <w:p w14:paraId="6DCAD97B" w14:textId="77777777" w:rsidR="005D1BCD" w:rsidRPr="006B54C0" w:rsidRDefault="005D1BCD" w:rsidP="005D1BCD"/>
    <w:sectPr w:rsidR="005D1BCD" w:rsidRPr="006B54C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755051505">
    <w:abstractNumId w:val="9"/>
  </w:num>
  <w:num w:numId="2" w16cid:durableId="1597059858">
    <w:abstractNumId w:val="7"/>
  </w:num>
  <w:num w:numId="3" w16cid:durableId="55513177">
    <w:abstractNumId w:val="6"/>
  </w:num>
  <w:num w:numId="4" w16cid:durableId="271713215">
    <w:abstractNumId w:val="5"/>
  </w:num>
  <w:num w:numId="5" w16cid:durableId="559637528">
    <w:abstractNumId w:val="4"/>
  </w:num>
  <w:num w:numId="6" w16cid:durableId="438917390">
    <w:abstractNumId w:val="8"/>
  </w:num>
  <w:num w:numId="7" w16cid:durableId="2138837520">
    <w:abstractNumId w:val="3"/>
  </w:num>
  <w:num w:numId="8" w16cid:durableId="1804689389">
    <w:abstractNumId w:val="2"/>
  </w:num>
  <w:num w:numId="9" w16cid:durableId="579095925">
    <w:abstractNumId w:val="1"/>
  </w:num>
  <w:num w:numId="10" w16cid:durableId="2099790533">
    <w:abstractNumId w:val="0"/>
  </w:num>
  <w:num w:numId="11" w16cid:durableId="909073978">
    <w:abstractNumId w:val="13"/>
  </w:num>
  <w:num w:numId="12" w16cid:durableId="1205605210">
    <w:abstractNumId w:val="12"/>
  </w:num>
  <w:num w:numId="13" w16cid:durableId="1695883432">
    <w:abstractNumId w:val="11"/>
  </w:num>
  <w:num w:numId="1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1BCD"/>
    <w:rsid w:val="00093ED1"/>
    <w:rsid w:val="000F008C"/>
    <w:rsid w:val="00154FC0"/>
    <w:rsid w:val="00215B92"/>
    <w:rsid w:val="0053103E"/>
    <w:rsid w:val="005D1BCD"/>
    <w:rsid w:val="00915861"/>
    <w:rsid w:val="00951890"/>
    <w:rsid w:val="00964D70"/>
    <w:rsid w:val="00D444BA"/>
    <w:rsid w:val="00E707C4"/>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8785A5F"/>
  <w15:chartTrackingRefBased/>
  <w15:docId w15:val="{DE62254A-9882-4E47-A6E0-558424EA6D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53103E"/>
    <w:rPr>
      <w:rFonts w:ascii="Calibri" w:hAnsi="Calibri"/>
      <w:kern w:val="0"/>
      <w14:ligatures w14:val="none"/>
    </w:rPr>
  </w:style>
  <w:style w:type="paragraph" w:styleId="Heading1">
    <w:name w:val="heading 1"/>
    <w:aliases w:val="Pocket"/>
    <w:basedOn w:val="Normal"/>
    <w:next w:val="Normal"/>
    <w:link w:val="Heading1Char"/>
    <w:qFormat/>
    <w:rsid w:val="0053103E"/>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53103E"/>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D Underline,Citation Char Char,Heading 3 Char1 Char Char,Heading 3 Char Char Char Char,Citation Char Char Char Char,Citation Char1 Char Char,Heading 3 Char Char1,Citation Char Char1,cites Char,Heading 3 Char Char Char,Char,Char1 Char,no"/>
    <w:basedOn w:val="Normal"/>
    <w:next w:val="Normal"/>
    <w:link w:val="Heading3Char"/>
    <w:uiPriority w:val="2"/>
    <w:unhideWhenUsed/>
    <w:qFormat/>
    <w:rsid w:val="0053103E"/>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body,small text,heading 2, Ch,Heading 2 Char2 Char,Heading 2 Char1 Char Char,TAG,Ch,no read,No Spacing211,No Spacing12,No Spacing2111,No Spacing111111,No Spacing11111,No Spacing4,ta,No Spacing5,No Spacing21,tags,T,t,Cle,C"/>
    <w:basedOn w:val="Normal"/>
    <w:next w:val="Normal"/>
    <w:link w:val="Heading4Char"/>
    <w:uiPriority w:val="3"/>
    <w:unhideWhenUsed/>
    <w:qFormat/>
    <w:rsid w:val="0053103E"/>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215B92"/>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5D1BC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D1BC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D1BC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D1BC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53103E"/>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53103E"/>
  </w:style>
  <w:style w:type="character" w:customStyle="1" w:styleId="Heading1Char">
    <w:name w:val="Heading 1 Char"/>
    <w:aliases w:val="Pocket Char"/>
    <w:basedOn w:val="DefaultParagraphFont"/>
    <w:link w:val="Heading1"/>
    <w:rsid w:val="0053103E"/>
    <w:rPr>
      <w:rFonts w:ascii="Calibri" w:eastAsiaTheme="majorEastAsia" w:hAnsi="Calibri"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53103E"/>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CD Underline Char,Citation Char Char Char1,Heading 3 Char1 Char Char Char,Heading 3 Char Char Char Char Char,Citation Char Char Char Char Char,Citation Char1 Char Char Char,Heading 3 Char Char1 Char,Citation Char Char1 Char"/>
    <w:basedOn w:val="DefaultParagraphFont"/>
    <w:link w:val="Heading3"/>
    <w:uiPriority w:val="2"/>
    <w:rsid w:val="0053103E"/>
    <w:rPr>
      <w:rFonts w:ascii="Calibri" w:eastAsiaTheme="majorEastAsia" w:hAnsi="Calibri" w:cstheme="majorBidi"/>
      <w:b/>
      <w:kern w:val="0"/>
      <w:sz w:val="32"/>
      <w:szCs w:val="24"/>
      <w:u w:val="single"/>
      <w14:ligatures w14:val="none"/>
    </w:rPr>
  </w:style>
  <w:style w:type="character" w:customStyle="1" w:styleId="Heading4Char">
    <w:name w:val="Heading 4 Char"/>
    <w:aliases w:val="Tag Char,Big card Char,Normal Tag Char,body Char,small text Char,heading 2 Char, Ch Char,Heading 2 Char2 Char Char,Heading 2 Char1 Char Char Char,TAG Char,Ch Char,no read Char,No Spacing211 Char,No Spacing12 Char,No Spacing2111 Char"/>
    <w:basedOn w:val="DefaultParagraphFont"/>
    <w:link w:val="Heading4"/>
    <w:uiPriority w:val="3"/>
    <w:rsid w:val="0053103E"/>
    <w:rPr>
      <w:rFonts w:ascii="Calibri" w:eastAsiaTheme="majorEastAsia" w:hAnsi="Calibri" w:cstheme="majorBidi"/>
      <w:b/>
      <w:iCs/>
      <w:kern w:val="0"/>
      <w:sz w:val="26"/>
      <w14:ligatures w14:val="none"/>
    </w:rPr>
  </w:style>
  <w:style w:type="character" w:customStyle="1" w:styleId="Heading5Char">
    <w:name w:val="Heading 5 Char"/>
    <w:basedOn w:val="DefaultParagraphFont"/>
    <w:link w:val="Heading5"/>
    <w:uiPriority w:val="9"/>
    <w:semiHidden/>
    <w:rsid w:val="00215B92"/>
    <w:rPr>
      <w:rFonts w:asciiTheme="majorHAnsi" w:eastAsiaTheme="majorEastAsia" w:hAnsiTheme="majorHAnsi" w:cstheme="majorBidi"/>
      <w:color w:val="2F5496" w:themeColor="accent1" w:themeShade="BF"/>
      <w:kern w:val="0"/>
      <w14:ligatures w14:val="none"/>
    </w:rPr>
  </w:style>
  <w:style w:type="character" w:customStyle="1" w:styleId="Heading6Char">
    <w:name w:val="Heading 6 Char"/>
    <w:basedOn w:val="DefaultParagraphFont"/>
    <w:link w:val="Heading6"/>
    <w:uiPriority w:val="9"/>
    <w:semiHidden/>
    <w:rsid w:val="005D1BC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D1BC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D1BC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D1BCD"/>
    <w:rPr>
      <w:rFonts w:eastAsiaTheme="majorEastAsia" w:cstheme="majorBidi"/>
      <w:color w:val="272727" w:themeColor="text1" w:themeTint="D8"/>
    </w:rPr>
  </w:style>
  <w:style w:type="paragraph" w:styleId="Title">
    <w:name w:val="Title"/>
    <w:basedOn w:val="Normal"/>
    <w:next w:val="Normal"/>
    <w:link w:val="TitleChar"/>
    <w:uiPriority w:val="10"/>
    <w:qFormat/>
    <w:rsid w:val="005D1BC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D1BC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D1BC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D1BC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D1BCD"/>
    <w:pPr>
      <w:spacing w:before="160"/>
      <w:jc w:val="center"/>
    </w:pPr>
    <w:rPr>
      <w:i/>
      <w:iCs/>
      <w:color w:val="404040" w:themeColor="text1" w:themeTint="BF"/>
    </w:rPr>
  </w:style>
  <w:style w:type="character" w:customStyle="1" w:styleId="QuoteChar">
    <w:name w:val="Quote Char"/>
    <w:basedOn w:val="DefaultParagraphFont"/>
    <w:link w:val="Quote"/>
    <w:uiPriority w:val="29"/>
    <w:rsid w:val="005D1BCD"/>
    <w:rPr>
      <w:i/>
      <w:iCs/>
      <w:color w:val="404040" w:themeColor="text1" w:themeTint="BF"/>
    </w:rPr>
  </w:style>
  <w:style w:type="paragraph" w:styleId="ListParagraph">
    <w:name w:val="List Paragraph"/>
    <w:basedOn w:val="Normal"/>
    <w:uiPriority w:val="34"/>
    <w:qFormat/>
    <w:rsid w:val="005D1BCD"/>
    <w:pPr>
      <w:ind w:left="720"/>
      <w:contextualSpacing/>
    </w:pPr>
  </w:style>
  <w:style w:type="character" w:styleId="IntenseEmphasis">
    <w:name w:val="Intense Emphasis"/>
    <w:basedOn w:val="DefaultParagraphFont"/>
    <w:uiPriority w:val="21"/>
    <w:qFormat/>
    <w:rsid w:val="005D1BCD"/>
    <w:rPr>
      <w:i/>
      <w:iCs/>
      <w:color w:val="2F5496" w:themeColor="accent1" w:themeShade="BF"/>
    </w:rPr>
  </w:style>
  <w:style w:type="paragraph" w:styleId="IntenseQuote">
    <w:name w:val="Intense Quote"/>
    <w:basedOn w:val="Normal"/>
    <w:next w:val="Normal"/>
    <w:link w:val="IntenseQuoteChar"/>
    <w:uiPriority w:val="30"/>
    <w:qFormat/>
    <w:rsid w:val="005D1BC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D1BCD"/>
    <w:rPr>
      <w:i/>
      <w:iCs/>
      <w:color w:val="2F5496" w:themeColor="accent1" w:themeShade="BF"/>
    </w:rPr>
  </w:style>
  <w:style w:type="character" w:styleId="IntenseReference">
    <w:name w:val="Intense Reference"/>
    <w:basedOn w:val="DefaultParagraphFont"/>
    <w:uiPriority w:val="32"/>
    <w:qFormat/>
    <w:rsid w:val="005D1BCD"/>
    <w:rPr>
      <w:b/>
      <w:bCs/>
      <w:smallCaps/>
      <w:color w:val="2F5496" w:themeColor="accent1" w:themeShade="BF"/>
      <w:spacing w:val="5"/>
    </w:rPr>
  </w:style>
  <w:style w:type="character" w:styleId="Emphasis">
    <w:name w:val="Emphasis"/>
    <w:aliases w:val="Evidence,Minimized,minimized,Highlighted,tag2,Size 10,emphasis in card,CD Card,ED - Tag,emphasis,Underlined,Emphasis!!,small,Qualifications,normal card text,Shrunk,qualifications in card,qualifications,Bold Underline,Box,Debate,bold underline,B"/>
    <w:basedOn w:val="DefaultParagraphFont"/>
    <w:link w:val="Emphasis1"/>
    <w:uiPriority w:val="7"/>
    <w:qFormat/>
    <w:rsid w:val="0053103E"/>
    <w:rPr>
      <w:rFonts w:ascii="Calibri" w:hAnsi="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53103E"/>
    <w:rPr>
      <w:b/>
      <w:bCs/>
      <w:sz w:val="26"/>
      <w:u w:val="none"/>
    </w:rPr>
  </w:style>
  <w:style w:type="character" w:customStyle="1" w:styleId="StyleUnderline">
    <w:name w:val="Style Underline"/>
    <w:aliases w:val="Underline,Style Bold Underline,Intense Emphasis1,apple-style-span + 6 pt,Kern at 16 pt,Bold,Intense Emphasis11,Intense Emphasis2,HHeading 3 + 12 pt,Cards + Font: 12 pt Char,Bold Cite Char,Citation Char Char Char,Underline Char,Style,9.5 ,c"/>
    <w:basedOn w:val="DefaultParagraphFont"/>
    <w:uiPriority w:val="6"/>
    <w:qFormat/>
    <w:rsid w:val="0053103E"/>
    <w:rPr>
      <w:b w:val="0"/>
      <w:sz w:val="22"/>
      <w:u w:val="single"/>
    </w:rPr>
  </w:style>
  <w:style w:type="character" w:styleId="Hyperlink">
    <w:name w:val="Hyperlink"/>
    <w:aliases w:val="heading 1 (block title),Important,Read,Card Text,Internet Link,Analytic Text,Internet link,Char Char1,Underline Char Char Char Char1,Heading 3 Char Char Char Char Char Char Char Char Char Char1,F2 - Heading 1 Char1,AHeading 1 Char1,Block Char1"/>
    <w:basedOn w:val="DefaultParagraphFont"/>
    <w:link w:val="Heading411"/>
    <w:uiPriority w:val="99"/>
    <w:unhideWhenUsed/>
    <w:rsid w:val="0053103E"/>
    <w:rPr>
      <w:color w:val="auto"/>
      <w:u w:val="none"/>
    </w:rPr>
  </w:style>
  <w:style w:type="character" w:styleId="FollowedHyperlink">
    <w:name w:val="FollowedHyperlink"/>
    <w:basedOn w:val="DefaultParagraphFont"/>
    <w:uiPriority w:val="99"/>
    <w:semiHidden/>
    <w:unhideWhenUsed/>
    <w:rsid w:val="0053103E"/>
    <w:rPr>
      <w:color w:val="auto"/>
      <w:u w:val="none"/>
    </w:rPr>
  </w:style>
  <w:style w:type="paragraph" w:customStyle="1" w:styleId="Emphasis1">
    <w:name w:val="Emphasis1"/>
    <w:basedOn w:val="Normal"/>
    <w:link w:val="Emphasis"/>
    <w:autoRedefine/>
    <w:uiPriority w:val="7"/>
    <w:qFormat/>
    <w:rsid w:val="005D1BCD"/>
    <w:pPr>
      <w:pBdr>
        <w:top w:val="single" w:sz="8" w:space="1" w:color="auto"/>
        <w:left w:val="single" w:sz="8" w:space="4" w:color="auto"/>
        <w:bottom w:val="single" w:sz="8" w:space="1" w:color="auto"/>
        <w:right w:val="single" w:sz="8" w:space="4" w:color="auto"/>
      </w:pBdr>
      <w:ind w:left="720"/>
      <w:jc w:val="both"/>
    </w:pPr>
    <w:rPr>
      <w:b/>
      <w:iCs/>
      <w:kern w:val="2"/>
      <w:u w:val="single"/>
      <w14:ligatures w14:val="standardContextual"/>
    </w:rPr>
  </w:style>
  <w:style w:type="paragraph" w:customStyle="1" w:styleId="Heading411">
    <w:name w:val="Heading 411"/>
    <w:basedOn w:val="Heading1"/>
    <w:next w:val="NoSpacing"/>
    <w:link w:val="Hyperlink"/>
    <w:autoRedefine/>
    <w:uiPriority w:val="99"/>
    <w:qFormat/>
    <w:rsid w:val="005D1BCD"/>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kern w:val="2"/>
      <w:sz w:val="22"/>
      <w:szCs w:val="22"/>
      <w14:ligatures w14:val="standardContextual"/>
    </w:rPr>
  </w:style>
  <w:style w:type="paragraph" w:styleId="NoSpacing">
    <w:name w:val="No Spacing"/>
    <w:link w:val="NoSpacingChar"/>
    <w:uiPriority w:val="99"/>
    <w:unhideWhenUsed/>
    <w:qFormat/>
    <w:rsid w:val="00215B92"/>
    <w:pPr>
      <w:spacing w:after="0" w:line="240" w:lineRule="auto"/>
    </w:pPr>
    <w:rPr>
      <w:rFonts w:ascii="Calibri" w:hAnsi="Calibri" w:cs="Calibri"/>
      <w:kern w:val="0"/>
      <w14:ligatures w14:val="none"/>
    </w:rPr>
  </w:style>
  <w:style w:type="paragraph" w:customStyle="1" w:styleId="textbold">
    <w:name w:val="text bold"/>
    <w:basedOn w:val="Normal"/>
    <w:uiPriority w:val="7"/>
    <w:qFormat/>
    <w:rsid w:val="005D1BCD"/>
    <w:pPr>
      <w:widowControl w:val="0"/>
      <w:ind w:left="720"/>
    </w:pPr>
    <w:rPr>
      <w:b/>
      <w:iCs/>
      <w:u w:val="single"/>
    </w:rPr>
  </w:style>
  <w:style w:type="character" w:styleId="Strong">
    <w:name w:val="Strong"/>
    <w:basedOn w:val="DefaultParagraphFont"/>
    <w:uiPriority w:val="22"/>
    <w:qFormat/>
    <w:rsid w:val="00215B92"/>
    <w:rPr>
      <w:b/>
      <w:bCs/>
    </w:rPr>
  </w:style>
  <w:style w:type="character" w:styleId="BookTitle">
    <w:name w:val="Book Title"/>
    <w:basedOn w:val="DefaultParagraphFont"/>
    <w:uiPriority w:val="33"/>
    <w:qFormat/>
    <w:rsid w:val="00215B92"/>
    <w:rPr>
      <w:b/>
      <w:bCs/>
      <w:i/>
      <w:iCs/>
      <w:spacing w:val="5"/>
    </w:rPr>
  </w:style>
  <w:style w:type="numbering" w:styleId="111111">
    <w:name w:val="Outline List 2"/>
    <w:basedOn w:val="NoList"/>
    <w:uiPriority w:val="99"/>
    <w:semiHidden/>
    <w:unhideWhenUsed/>
    <w:rsid w:val="00215B92"/>
  </w:style>
  <w:style w:type="paragraph" w:styleId="Header">
    <w:name w:val="header"/>
    <w:basedOn w:val="Normal"/>
    <w:link w:val="HeaderChar"/>
    <w:uiPriority w:val="99"/>
    <w:semiHidden/>
    <w:rsid w:val="00215B92"/>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215B92"/>
    <w:rPr>
      <w:rFonts w:ascii="Times New Roman" w:hAnsi="Times New Roman" w:cs="Times New Roman"/>
      <w:kern w:val="0"/>
      <w14:ligatures w14:val="none"/>
    </w:rPr>
  </w:style>
  <w:style w:type="paragraph" w:styleId="Footer">
    <w:name w:val="footer"/>
    <w:basedOn w:val="Normal"/>
    <w:link w:val="FooterChar"/>
    <w:uiPriority w:val="99"/>
    <w:semiHidden/>
    <w:rsid w:val="00215B92"/>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215B92"/>
    <w:rPr>
      <w:rFonts w:ascii="Times New Roman" w:hAnsi="Times New Roman" w:cs="Times New Roman"/>
      <w:kern w:val="0"/>
      <w14:ligatures w14:val="none"/>
    </w:rPr>
  </w:style>
  <w:style w:type="paragraph" w:styleId="BodyText">
    <w:name w:val="Body Text"/>
    <w:basedOn w:val="Normal"/>
    <w:link w:val="BodyTextChar"/>
    <w:uiPriority w:val="99"/>
    <w:semiHidden/>
    <w:unhideWhenUsed/>
    <w:rsid w:val="00215B92"/>
    <w:pPr>
      <w:spacing w:after="120"/>
    </w:pPr>
  </w:style>
  <w:style w:type="character" w:customStyle="1" w:styleId="BodyTextChar">
    <w:name w:val="Body Text Char"/>
    <w:basedOn w:val="DefaultParagraphFont"/>
    <w:link w:val="BodyText"/>
    <w:uiPriority w:val="99"/>
    <w:semiHidden/>
    <w:rsid w:val="00215B92"/>
    <w:rPr>
      <w:rFonts w:ascii="Times New Roman" w:hAnsi="Times New Roman" w:cs="Times New Roman"/>
      <w:kern w:val="0"/>
      <w14:ligatures w14:val="none"/>
    </w:rPr>
  </w:style>
  <w:style w:type="character" w:customStyle="1" w:styleId="NoSpacingChar">
    <w:name w:val="No Spacing Char"/>
    <w:basedOn w:val="DefaultParagraphFont"/>
    <w:link w:val="NoSpacing"/>
    <w:uiPriority w:val="99"/>
    <w:rsid w:val="00215B92"/>
    <w:rPr>
      <w:rFonts w:ascii="Calibri" w:hAnsi="Calibri" w:cs="Calibri"/>
      <w:kern w:val="0"/>
      <w14:ligatures w14:val="none"/>
    </w:rPr>
  </w:style>
  <w:style w:type="character" w:styleId="UnresolvedMention">
    <w:name w:val="Unresolved Mention"/>
    <w:basedOn w:val="DefaultParagraphFont"/>
    <w:uiPriority w:val="99"/>
    <w:semiHidden/>
    <w:unhideWhenUsed/>
    <w:rsid w:val="00215B9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tandfonline.com/doi/full/10.1080/00131946.2019.1687481?casa_token=gPfuhjZXwSMAAAAA%3ANxK469Ye9Z1VKfONbahcDbFv3P55ydlfzOugFe61Bal1a8YH-Tj24X_E9KJAFjttJrorpUE68IDCNA" TargetMode="External"/><Relationship Id="rId13" Type="http://schemas.openxmlformats.org/officeDocument/2006/relationships/hyperlink" Target="https://www.tandfonline.com/doi/full/10.1080/00131946.2019.1687481?casa_token=gPfuhjZXwSMAAAAA%3ANxK469Ye9Z1VKfONbahcDbFv3P55ydlfzOugFe61Bal1a8YH-Tj24X_E9KJAFjttJrorpUE68IDCNA" TargetMode="External"/><Relationship Id="rId18" Type="http://schemas.openxmlformats.org/officeDocument/2006/relationships/hyperlink" Target="https://www.tandfonline.com/doi/full/10.1080/00131946.2019.1687481?casa_token=gPfuhjZXwSMAAAAA%3ANxK469Ye9Z1VKfONbahcDbFv3P55ydlfzOugFe61Bal1a8YH-Tj24X_E9KJAFjttJrorpUE68IDCNA" TargetMode="External"/><Relationship Id="rId26" Type="http://schemas.openxmlformats.org/officeDocument/2006/relationships/hyperlink" Target="https://www.tandfonline.com/doi/full/10.1080/00131946.2019.1687481?casa_token=gPfuhjZXwSMAAAAA%3ANxK469Ye9Z1VKfONbahcDbFv3P55ydlfzOugFe61Bal1a8YH-Tj24X_E9KJAFjttJrorpUE68IDCNA" TargetMode="External"/><Relationship Id="rId3" Type="http://schemas.openxmlformats.org/officeDocument/2006/relationships/settings" Target="settings.xml"/><Relationship Id="rId21" Type="http://schemas.openxmlformats.org/officeDocument/2006/relationships/hyperlink" Target="https://www.tandfonline.com/doi/full/10.1080/00131946.2019.1687481?casa_token=gPfuhjZXwSMAAAAA%3ANxK469Ye9Z1VKfONbahcDbFv3P55ydlfzOugFe61Bal1a8YH-Tj24X_E9KJAFjttJrorpUE68IDCNA" TargetMode="External"/><Relationship Id="rId7" Type="http://schemas.openxmlformats.org/officeDocument/2006/relationships/hyperlink" Target="https://www.tandfonline.com/doi/full/10.1080/00131946.2019.1687481?casa_token=gPfuhjZXwSMAAAAA%3ANxK469Ye9Z1VKfONbahcDbFv3P55ydlfzOugFe61Bal1a8YH-Tj24X_E9KJAFjttJrorpUE68IDCNA" TargetMode="External"/><Relationship Id="rId12" Type="http://schemas.openxmlformats.org/officeDocument/2006/relationships/hyperlink" Target="https://www.tandfonline.com/doi/full/10.1080/00131946.2019.1687481?casa_token=gPfuhjZXwSMAAAAA%3ANxK469Ye9Z1VKfONbahcDbFv3P55ydlfzOugFe61Bal1a8YH-Tj24X_E9KJAFjttJrorpUE68IDCNA" TargetMode="External"/><Relationship Id="rId17" Type="http://schemas.openxmlformats.org/officeDocument/2006/relationships/hyperlink" Target="https://www.tandfonline.com/doi/full/10.1080/00131946.2019.1687481?casa_token=gPfuhjZXwSMAAAAA%3ANxK469Ye9Z1VKfONbahcDbFv3P55ydlfzOugFe61Bal1a8YH-Tj24X_E9KJAFjttJrorpUE68IDCNA" TargetMode="External"/><Relationship Id="rId25" Type="http://schemas.openxmlformats.org/officeDocument/2006/relationships/hyperlink" Target="https://www.tandfonline.com/doi/full/10.1080/00131946.2019.1687481?casa_token=gPfuhjZXwSMAAAAA%3ANxK469Ye9Z1VKfONbahcDbFv3P55ydlfzOugFe61Bal1a8YH-Tj24X_E9KJAFjttJrorpUE68IDCNA" TargetMode="External"/><Relationship Id="rId2" Type="http://schemas.openxmlformats.org/officeDocument/2006/relationships/styles" Target="styles.xml"/><Relationship Id="rId16" Type="http://schemas.openxmlformats.org/officeDocument/2006/relationships/hyperlink" Target="https://www.tandfonline.com/doi/full/10.1080/00131946.2019.1687481?casa_token=gPfuhjZXwSMAAAAA%3ANxK469Ye9Z1VKfONbahcDbFv3P55ydlfzOugFe61Bal1a8YH-Tj24X_E9KJAFjttJrorpUE68IDCNA" TargetMode="External"/><Relationship Id="rId20" Type="http://schemas.openxmlformats.org/officeDocument/2006/relationships/hyperlink" Target="https://www.tandfonline.com/doi/full/10.1080/00131946.2019.1687481?casa_token=gPfuhjZXwSMAAAAA%3ANxK469Ye9Z1VKfONbahcDbFv3P55ydlfzOugFe61Bal1a8YH-Tj24X_E9KJAFjttJrorpUE68IDCNA" TargetMode="External"/><Relationship Id="rId29" Type="http://schemas.openxmlformats.org/officeDocument/2006/relationships/hyperlink" Target="https://abolishtime.medium.com/?source=post_page---byline--322e2c85a80c--------------------------------" TargetMode="External"/><Relationship Id="rId1" Type="http://schemas.openxmlformats.org/officeDocument/2006/relationships/numbering" Target="numbering.xml"/><Relationship Id="rId6" Type="http://schemas.openxmlformats.org/officeDocument/2006/relationships/hyperlink" Target="https://www.tandfonline.com/doi/full/10.1080/00131946.2019.1687481?casa_token=gPfuhjZXwSMAAAAA%3ANxK469Ye9Z1VKfONbahcDbFv3P55ydlfzOugFe61Bal1a8YH-Tj24X_E9KJAFjttJrorpUE68IDCNA" TargetMode="External"/><Relationship Id="rId11" Type="http://schemas.openxmlformats.org/officeDocument/2006/relationships/hyperlink" Target="https://www.tandfonline.com/doi/full/10.1080/00131946.2019.1687481?casa_token=gPfuhjZXwSMAAAAA%3ANxK469Ye9Z1VKfONbahcDbFv3P55ydlfzOugFe61Bal1a8YH-Tj24X_E9KJAFjttJrorpUE68IDCNA" TargetMode="External"/><Relationship Id="rId24" Type="http://schemas.openxmlformats.org/officeDocument/2006/relationships/hyperlink" Target="https://www.tandfonline.com/doi/full/10.1080/00131946.2019.1687481?casa_token=gPfuhjZXwSMAAAAA%3ANxK469Ye9Z1VKfONbahcDbFv3P55ydlfzOugFe61Bal1a8YH-Tj24X_E9KJAFjttJrorpUE68IDCNA" TargetMode="External"/><Relationship Id="rId32" Type="http://schemas.openxmlformats.org/officeDocument/2006/relationships/theme" Target="theme/theme1.xml"/><Relationship Id="rId5" Type="http://schemas.openxmlformats.org/officeDocument/2006/relationships/hyperlink" Target="https://www.tandfonline.com/doi/full/10.1080/00131946.2019.1687481?casa_token=gPfuhjZXwSMAAAAA%3ANxK469Ye9Z1VKfONbahcDbFv3P55ydlfzOugFe61Bal1a8YH-Tj24X_E9KJAFjttJrorpUE68IDCNA" TargetMode="External"/><Relationship Id="rId15" Type="http://schemas.openxmlformats.org/officeDocument/2006/relationships/hyperlink" Target="https://www.tandfonline.com/doi/full/10.1080/00131946.2019.1687481?casa_token=gPfuhjZXwSMAAAAA%3ANxK469Ye9Z1VKfONbahcDbFv3P55ydlfzOugFe61Bal1a8YH-Tj24X_E9KJAFjttJrorpUE68IDCNA" TargetMode="External"/><Relationship Id="rId23" Type="http://schemas.openxmlformats.org/officeDocument/2006/relationships/hyperlink" Target="https://www.tandfonline.com/doi/full/10.1080/00131946.2019.1687481?casa_token=gPfuhjZXwSMAAAAA%3ANxK469Ye9Z1VKfONbahcDbFv3P55ydlfzOugFe61Bal1a8YH-Tj24X_E9KJAFjttJrorpUE68IDCNA" TargetMode="External"/><Relationship Id="rId28" Type="http://schemas.openxmlformats.org/officeDocument/2006/relationships/hyperlink" Target="https://www.tandfonline.com/doi/full/10.1080/00131946.2019.1687481?casa_token=gPfuhjZXwSMAAAAA%3ANxK469Ye9Z1VKfONbahcDbFv3P55ydlfzOugFe61Bal1a8YH-Tj24X_E9KJAFjttJrorpUE68IDCNA" TargetMode="External"/><Relationship Id="rId10" Type="http://schemas.openxmlformats.org/officeDocument/2006/relationships/hyperlink" Target="https://www.tandfonline.com/doi/full/10.1080/00131946.2019.1687481?casa_token=gPfuhjZXwSMAAAAA%3ANxK469Ye9Z1VKfONbahcDbFv3P55ydlfzOugFe61Bal1a8YH-Tj24X_E9KJAFjttJrorpUE68IDCNA" TargetMode="External"/><Relationship Id="rId19" Type="http://schemas.openxmlformats.org/officeDocument/2006/relationships/hyperlink" Target="https://www.tandfonline.com/doi/full/10.1080/00131946.2019.1687481?casa_token=gPfuhjZXwSMAAAAA%3ANxK469Ye9Z1VKfONbahcDbFv3P55ydlfzOugFe61Bal1a8YH-Tj24X_E9KJAFjttJrorpUE68IDCNA" TargetMode="External"/><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tandfonline.com/doi/full/10.1080/00131946.2019.1687481?casa_token=gPfuhjZXwSMAAAAA%3ANxK469Ye9Z1VKfONbahcDbFv3P55ydlfzOugFe61Bal1a8YH-Tj24X_E9KJAFjttJrorpUE68IDCNA" TargetMode="External"/><Relationship Id="rId14" Type="http://schemas.openxmlformats.org/officeDocument/2006/relationships/hyperlink" Target="https://www.tandfonline.com/doi/full/10.1080/00131946.2019.1687481?casa_token=gPfuhjZXwSMAAAAA%3ANxK469Ye9Z1VKfONbahcDbFv3P55ydlfzOugFe61Bal1a8YH-Tj24X_E9KJAFjttJrorpUE68IDCNA" TargetMode="External"/><Relationship Id="rId22" Type="http://schemas.openxmlformats.org/officeDocument/2006/relationships/hyperlink" Target="https://www.tandfonline.com/doi/full/10.1080/00131946.2019.1687481?casa_token=gPfuhjZXwSMAAAAA%3ANxK469Ye9Z1VKfONbahcDbFv3P55ydlfzOugFe61Bal1a8YH-Tj24X_E9KJAFjttJrorpUE68IDCNA" TargetMode="External"/><Relationship Id="rId27" Type="http://schemas.openxmlformats.org/officeDocument/2006/relationships/hyperlink" Target="https://www.tandfonline.com/doi/full/10.1080/00131946.2019.1687481?casa_token=gPfuhjZXwSMAAAAA%3ANxK469Ye9Z1VKfONbahcDbFv3P55ydlfzOugFe61Bal1a8YH-Tj24X_E9KJAFjttJrorpUE68IDCNA" TargetMode="External"/><Relationship Id="rId30" Type="http://schemas.openxmlformats.org/officeDocument/2006/relationships/hyperlink" Target="https://abolishtime.medium.com/?source=post_page---byline--322e2c85a80c--------------------------------"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ida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Debate.dotm</Template>
  <TotalTime>1</TotalTime>
  <Pages>14</Pages>
  <Words>12000</Words>
  <Characters>66277</Characters>
  <Application>Microsoft Office Word</Application>
  <DocSecurity>0</DocSecurity>
  <Lines>642</Lines>
  <Paragraphs>23</Paragraphs>
  <ScaleCrop>false</ScaleCrop>
  <Company/>
  <LinksUpToDate>false</LinksUpToDate>
  <CharactersWithSpaces>78271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Aidan Foust</dc:creator>
  <cp:keywords/>
  <dc:description/>
  <cp:lastModifiedBy>Aidan Foust</cp:lastModifiedBy>
  <cp:revision>2</cp:revision>
  <dcterms:created xsi:type="dcterms:W3CDTF">2025-10-31T22:18:00Z</dcterms:created>
  <dcterms:modified xsi:type="dcterms:W3CDTF">2025-10-31T22:18:00Z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5990eb9d-6fd4-4be0-b6e3-bd0702e5e5e7</vt:lpwstr>
  </property>
</Properties>
</file>