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DAB6C" w14:textId="5A2C6513" w:rsidR="00C42954" w:rsidRPr="00C42954" w:rsidRDefault="00C42954" w:rsidP="00C42954">
      <w:pPr>
        <w:pStyle w:val="Heading1"/>
        <w:rPr>
          <w:bCs/>
        </w:rPr>
      </w:pPr>
      <w:r>
        <w:t>Opensource---Texas R1---Neg vs. Kansas BB---</w:t>
      </w:r>
      <w:r w:rsidRPr="00C42954">
        <w:rPr>
          <w:bCs/>
        </w:rPr>
        <w:t>Roetlin</w:t>
      </w:r>
    </w:p>
    <w:p w14:paraId="5FFE1A2B" w14:textId="45D24494" w:rsidR="00C42954" w:rsidRDefault="00C42954" w:rsidP="00C42954">
      <w:pPr>
        <w:pStyle w:val="Heading1"/>
      </w:pPr>
      <w:r>
        <w:t>1NC---Texas R1 vs. Kansas BB</w:t>
      </w:r>
    </w:p>
    <w:p w14:paraId="323EDE5B" w14:textId="77777777" w:rsidR="00C42954" w:rsidRDefault="00C42954" w:rsidP="00C42954">
      <w:pPr>
        <w:pStyle w:val="Heading2"/>
      </w:pPr>
      <w:r>
        <w:t>OFF</w:t>
      </w:r>
    </w:p>
    <w:p w14:paraId="30E510C4" w14:textId="77777777" w:rsidR="00C42954" w:rsidRDefault="00C42954" w:rsidP="00C42954">
      <w:pPr>
        <w:pStyle w:val="Heading3"/>
      </w:pPr>
      <w:r>
        <w:t>1NC---T</w:t>
      </w:r>
    </w:p>
    <w:p w14:paraId="5EC10286" w14:textId="77777777" w:rsidR="00C42954" w:rsidRDefault="00C42954" w:rsidP="00C42954">
      <w:pPr>
        <w:pStyle w:val="Heading4"/>
      </w:pPr>
      <w:r>
        <w:t xml:space="preserve">Topical affirmatives must defend </w:t>
      </w:r>
      <w:r>
        <w:rPr>
          <w:u w:val="single"/>
        </w:rPr>
        <w:t>the US government strengthening collective bargaining rights</w:t>
      </w:r>
      <w:r>
        <w:t>.</w:t>
      </w:r>
    </w:p>
    <w:p w14:paraId="2D8AA7EC" w14:textId="77777777" w:rsidR="00C42954" w:rsidRPr="00544E5F" w:rsidRDefault="00C42954" w:rsidP="00C42954"/>
    <w:p w14:paraId="3B58C906" w14:textId="77777777" w:rsidR="00C42954" w:rsidRPr="00EB717A" w:rsidRDefault="00C42954" w:rsidP="00C42954">
      <w:pPr>
        <w:pStyle w:val="Heading4"/>
        <w:rPr>
          <w:rFonts w:eastAsia="Times New Roman"/>
        </w:rPr>
      </w:pPr>
      <w:r w:rsidRPr="00EB717A">
        <w:rPr>
          <w:rFonts w:eastAsia="Times New Roman"/>
        </w:rPr>
        <w:t>"Federal Government" means the national government, not the states or localities</w:t>
      </w:r>
    </w:p>
    <w:p w14:paraId="5824BF2C" w14:textId="77777777" w:rsidR="00C42954" w:rsidRPr="00EB717A" w:rsidRDefault="00C42954" w:rsidP="00C42954">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14C6EC94" w14:textId="77777777" w:rsidR="00C42954" w:rsidRPr="009F251D" w:rsidRDefault="00C42954" w:rsidP="00C42954">
      <w:pPr>
        <w:rPr>
          <w:sz w:val="16"/>
        </w:rPr>
      </w:pPr>
      <w:r w:rsidRPr="00B64CEC">
        <w:rPr>
          <w:highlight w:val="green"/>
          <w:u w:val="single"/>
        </w:rPr>
        <w:t>federal government</w:t>
      </w:r>
      <w:r w:rsidRPr="00EB717A">
        <w:rPr>
          <w:sz w:val="16"/>
        </w:rPr>
        <w:t xml:space="preserve">  The term </w:t>
      </w:r>
      <w:r w:rsidRPr="00B64CEC">
        <w:rPr>
          <w:highlight w:val="green"/>
          <w:u w:val="single"/>
        </w:rPr>
        <w:t>used to refer to the central</w:t>
      </w:r>
      <w:r w:rsidRPr="00EB717A">
        <w:rPr>
          <w:u w:val="single"/>
        </w:rPr>
        <w:t xml:space="preserve">, national </w:t>
      </w:r>
      <w:r w:rsidRPr="00B64CEC">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B64CEC">
        <w:rPr>
          <w:highlight w:val="green"/>
          <w:u w:val="single"/>
        </w:rPr>
        <w:t>in</w:t>
      </w:r>
      <w:r w:rsidRPr="00EB717A">
        <w:rPr>
          <w:sz w:val="16"/>
        </w:rPr>
        <w:t xml:space="preserve"> Washington </w:t>
      </w:r>
      <w:r w:rsidRPr="00B64CEC">
        <w:rPr>
          <w:highlight w:val="green"/>
          <w:u w:val="single"/>
        </w:rPr>
        <w:t>DC</w:t>
      </w:r>
      <w:r w:rsidRPr="00EB717A">
        <w:rPr>
          <w:sz w:val="16"/>
        </w:rPr>
        <w:t xml:space="preserve">.  </w:t>
      </w:r>
      <w:r w:rsidRPr="00EB717A">
        <w:rPr>
          <w:u w:val="single"/>
        </w:rPr>
        <w:t xml:space="preserve">The federal government </w:t>
      </w:r>
      <w:r w:rsidRPr="00B64CEC">
        <w:rPr>
          <w:highlight w:val="green"/>
          <w:u w:val="single"/>
        </w:rPr>
        <w:t>differs from the</w:t>
      </w:r>
      <w:r w:rsidRPr="00EB717A">
        <w:rPr>
          <w:sz w:val="16"/>
        </w:rPr>
        <w:t xml:space="preserve"> fifty </w:t>
      </w:r>
      <w:r w:rsidRPr="00B64CEC">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2E6EAB54" w14:textId="77777777" w:rsidR="00C42954" w:rsidRPr="00090B14" w:rsidRDefault="00C42954" w:rsidP="00C42954">
      <w:pPr>
        <w:pStyle w:val="Heading4"/>
      </w:pPr>
      <w:r>
        <w:t>“</w:t>
      </w:r>
      <w:r w:rsidRPr="00090B14">
        <w:t>Strengthen</w:t>
      </w:r>
      <w:r>
        <w:t xml:space="preserve">” </w:t>
      </w:r>
      <w:r w:rsidRPr="00090B14">
        <w:t>means to make more effective</w:t>
      </w:r>
    </w:p>
    <w:p w14:paraId="66AF8CE1" w14:textId="77777777" w:rsidR="00C42954" w:rsidRPr="00090B14" w:rsidRDefault="00C42954" w:rsidP="00C42954">
      <w:pPr>
        <w:rPr>
          <w:rStyle w:val="Style13ptBold"/>
        </w:rPr>
      </w:pPr>
      <w:r w:rsidRPr="00090B14">
        <w:rPr>
          <w:rStyle w:val="Style13ptBold"/>
        </w:rPr>
        <w:t>Cambridge Dictionary No Date</w:t>
      </w:r>
    </w:p>
    <w:p w14:paraId="77BC8BFF" w14:textId="77777777" w:rsidR="00C42954" w:rsidRPr="00090B14" w:rsidRDefault="00C42954" w:rsidP="00C42954">
      <w:r w:rsidRPr="00090B14">
        <w:t xml:space="preserve">“Meaning of strengthening in English”, </w:t>
      </w:r>
      <w:r w:rsidRPr="002855A5">
        <w:t>https://dictionary.cambridge.org/us/dictionary/english/strengthening</w:t>
      </w:r>
      <w:r w:rsidRPr="00090B14">
        <w:t xml:space="preserve"> --- ECM</w:t>
      </w:r>
    </w:p>
    <w:p w14:paraId="1753A3EF" w14:textId="77777777" w:rsidR="00C42954" w:rsidRPr="002855A5" w:rsidRDefault="00C42954" w:rsidP="00C42954">
      <w:r w:rsidRPr="0008619E">
        <w:rPr>
          <w:rStyle w:val="StyleUnderline"/>
          <w:highlight w:val="green"/>
        </w:rPr>
        <w:t>to make something</w:t>
      </w:r>
      <w:r w:rsidRPr="002855A5">
        <w:t xml:space="preserve"> </w:t>
      </w:r>
      <w:r w:rsidRPr="0008619E">
        <w:rPr>
          <w:rStyle w:val="Emphasis"/>
          <w:highlight w:val="green"/>
        </w:rPr>
        <w:t>stronger or more effective</w:t>
      </w:r>
      <w:r w:rsidRPr="002855A5">
        <w:t>, or to become stronger or more effective:</w:t>
      </w:r>
    </w:p>
    <w:p w14:paraId="7EC4C9AF" w14:textId="77777777" w:rsidR="00C42954" w:rsidRPr="002855A5" w:rsidRDefault="00C42954" w:rsidP="00C42954">
      <w:r w:rsidRPr="002855A5">
        <w:t>They have been strengthening their border defences in preparation for war.</w:t>
      </w:r>
    </w:p>
    <w:p w14:paraId="5E7A31D0" w14:textId="77777777" w:rsidR="00C42954" w:rsidRPr="002855A5" w:rsidRDefault="00C42954" w:rsidP="00C42954">
      <w:r w:rsidRPr="002855A5">
        <w:t>His battle against cancer has strengthened his belief in God.</w:t>
      </w:r>
    </w:p>
    <w:p w14:paraId="10D5E07E" w14:textId="77777777" w:rsidR="00C42954" w:rsidRPr="002855A5" w:rsidRDefault="00C42954" w:rsidP="00C42954">
      <w:r w:rsidRPr="002855A5">
        <w:t>The accident strengthens the case for better safety measures at fairgrounds.</w:t>
      </w:r>
    </w:p>
    <w:p w14:paraId="7811F2C6" w14:textId="77777777" w:rsidR="00C42954" w:rsidRPr="002855A5" w:rsidRDefault="00C42954" w:rsidP="00C42954">
      <w:r w:rsidRPr="002855A5">
        <w:t>The bank loan has greatly strengthened our financial position.</w:t>
      </w:r>
    </w:p>
    <w:p w14:paraId="639B8E30" w14:textId="77777777" w:rsidR="00C42954" w:rsidRPr="002855A5" w:rsidRDefault="00C42954" w:rsidP="00C42954">
      <w:r w:rsidRPr="002855A5">
        <w:t>The organization's aim is to strengthen the cultural ties between Britain and Germany.</w:t>
      </w:r>
    </w:p>
    <w:p w14:paraId="61AAB5CE" w14:textId="77777777" w:rsidR="00C42954" w:rsidRDefault="00C42954" w:rsidP="00C42954">
      <w:r w:rsidRPr="002855A5">
        <w:t>The rise in US interest rates caused the dollar to strengthen (= increase in value) against all the Asian currencies.</w:t>
      </w:r>
    </w:p>
    <w:p w14:paraId="6D0D8F07" w14:textId="77777777" w:rsidR="00C42954" w:rsidRPr="006463E6" w:rsidRDefault="00C42954" w:rsidP="00C42954">
      <w:pPr>
        <w:pStyle w:val="Heading4"/>
      </w:pPr>
      <w:r>
        <w:t>“Collective bargaining” is governed by statute, agency regs, and judicial decisions</w:t>
      </w:r>
    </w:p>
    <w:p w14:paraId="3C34EEAA" w14:textId="77777777" w:rsidR="00C42954" w:rsidRDefault="00C42954" w:rsidP="00C42954">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DoA 5/31/2025, DVOG) </w:t>
      </w:r>
    </w:p>
    <w:p w14:paraId="55B4B19E" w14:textId="77777777" w:rsidR="00C42954" w:rsidRPr="00D853DA" w:rsidRDefault="00C42954" w:rsidP="00C42954">
      <w:pPr>
        <w:rPr>
          <w:rStyle w:val="StyleUnderline"/>
        </w:rPr>
      </w:pPr>
      <w:r w:rsidRPr="003C3685">
        <w:rPr>
          <w:rStyle w:val="Emphasis"/>
          <w:highlight w:val="green"/>
        </w:rPr>
        <w:t>C</w:t>
      </w:r>
      <w:r w:rsidRPr="003C3685">
        <w:rPr>
          <w:rStyle w:val="StyleUnderline"/>
          <w:highlight w:val="green"/>
        </w:rPr>
        <w:t xml:space="preserve">ollective </w:t>
      </w:r>
      <w:r w:rsidRPr="003C3685">
        <w:rPr>
          <w:rStyle w:val="Emphasis"/>
          <w:highlight w:val="green"/>
        </w:rPr>
        <w:t>b</w:t>
      </w:r>
      <w:r w:rsidRPr="003C3685">
        <w:rPr>
          <w:rStyle w:val="StyleUnderline"/>
          <w:highlight w:val="green"/>
        </w:rPr>
        <w:t>argaining is</w:t>
      </w:r>
      <w:r w:rsidRPr="006463E6">
        <w:rPr>
          <w:rStyle w:val="StyleUnderline"/>
        </w:rPr>
        <w:t xml:space="preserve"> the </w:t>
      </w:r>
      <w:r w:rsidRPr="003C3685">
        <w:rPr>
          <w:rStyle w:val="StyleUnderline"/>
          <w:highlight w:val="green"/>
        </w:rPr>
        <w:t>negotiation</w:t>
      </w:r>
      <w:r w:rsidRPr="006463E6">
        <w:rPr>
          <w:rStyle w:val="StyleUnderline"/>
        </w:rPr>
        <w:t xml:space="preserve"> process </w:t>
      </w:r>
      <w:r w:rsidRPr="003C3685">
        <w:rPr>
          <w:rStyle w:val="StyleUnderline"/>
          <w:highlight w:val="green"/>
        </w:rPr>
        <w:t>between</w:t>
      </w:r>
      <w:r w:rsidRPr="006463E6">
        <w:rPr>
          <w:rStyle w:val="StyleUnderline"/>
        </w:rPr>
        <w:t xml:space="preserve"> an </w:t>
      </w:r>
      <w:r w:rsidRPr="003C3685">
        <w:rPr>
          <w:rStyle w:val="StyleUnderline"/>
          <w:highlight w:val="green"/>
        </w:rPr>
        <w:t xml:space="preserve">employer and a </w:t>
      </w:r>
      <w:r w:rsidRPr="003C3685">
        <w:rPr>
          <w:rStyle w:val="Emphasis"/>
          <w:highlight w:val="green"/>
        </w:rPr>
        <w:t>union</w:t>
      </w:r>
      <w:r w:rsidRPr="006463E6">
        <w:rPr>
          <w:rStyle w:val="StyleUnderline"/>
        </w:rPr>
        <w:t xml:space="preserve"> comprised of workers </w:t>
      </w:r>
      <w:r w:rsidRPr="003C3685">
        <w:rPr>
          <w:rStyle w:val="StyleUnderline"/>
          <w:highlight w:val="green"/>
        </w:rPr>
        <w:t>to create an agreement</w:t>
      </w:r>
      <w:r w:rsidRPr="006463E6">
        <w:rPr>
          <w:rStyle w:val="StyleUnderline"/>
        </w:rPr>
        <w:t xml:space="preserve"> that will govern the terms and conditions of the workers' employment.</w:t>
      </w:r>
    </w:p>
    <w:p w14:paraId="100EEDA4" w14:textId="77777777" w:rsidR="00C42954" w:rsidRPr="00D853DA" w:rsidRDefault="00C42954" w:rsidP="00C42954">
      <w:pPr>
        <w:rPr>
          <w:rStyle w:val="StyleUnderline"/>
        </w:rPr>
      </w:pPr>
      <w:r w:rsidRPr="00D853DA">
        <w:rPr>
          <w:rStyle w:val="StyleUnderline"/>
        </w:rPr>
        <w:t xml:space="preserve">The result of collective bargaining procedures is a collective agreement .  </w:t>
      </w:r>
      <w:r w:rsidRPr="006463E6">
        <w:rPr>
          <w:rStyle w:val="Emphasis"/>
          <w:highlight w:val="green"/>
        </w:rPr>
        <w:t>C</w:t>
      </w:r>
      <w:r w:rsidRPr="00D853DA">
        <w:rPr>
          <w:rStyle w:val="StyleUnderline"/>
        </w:rPr>
        <w:t xml:space="preserve">ollective </w:t>
      </w:r>
      <w:r w:rsidRPr="006463E6">
        <w:rPr>
          <w:rStyle w:val="Emphasis"/>
          <w:highlight w:val="green"/>
        </w:rPr>
        <w:t>b</w:t>
      </w:r>
      <w:r w:rsidRPr="00D853DA">
        <w:rPr>
          <w:rStyle w:val="StyleUnderline"/>
        </w:rPr>
        <w:t xml:space="preserve">argaining </w:t>
      </w:r>
      <w:r w:rsidRPr="006463E6">
        <w:rPr>
          <w:rStyle w:val="StyleUnderline"/>
          <w:highlight w:val="green"/>
        </w:rPr>
        <w:t>is governed by</w:t>
      </w:r>
      <w:r w:rsidRPr="00D853DA">
        <w:rPr>
          <w:rStyle w:val="StyleUnderline"/>
        </w:rPr>
        <w:t xml:space="preserve"> federal and state </w:t>
      </w:r>
      <w:r w:rsidRPr="006463E6">
        <w:rPr>
          <w:rStyle w:val="Emphasis"/>
          <w:highlight w:val="green"/>
        </w:rPr>
        <w:t>statutory laws</w:t>
      </w:r>
      <w:r w:rsidRPr="00D853DA">
        <w:rPr>
          <w:rStyle w:val="StyleUnderline"/>
        </w:rPr>
        <w:t xml:space="preserve">, administrative </w:t>
      </w:r>
      <w:r w:rsidRPr="006463E6">
        <w:rPr>
          <w:rStyle w:val="Emphasis"/>
          <w:highlight w:val="green"/>
        </w:rPr>
        <w:t>agency reg</w:t>
      </w:r>
      <w:r w:rsidRPr="006463E6">
        <w:rPr>
          <w:rStyle w:val="Emphasis"/>
        </w:rPr>
        <w:t>ulation</w:t>
      </w:r>
      <w:r w:rsidRPr="006463E6">
        <w:rPr>
          <w:rStyle w:val="Emphasis"/>
          <w:highlight w:val="green"/>
        </w:rPr>
        <w:t>s</w:t>
      </w:r>
      <w:r w:rsidRPr="00D853DA">
        <w:rPr>
          <w:rStyle w:val="StyleUnderline"/>
        </w:rPr>
        <w:t xml:space="preserve"> , </w:t>
      </w:r>
      <w:r w:rsidRPr="006463E6">
        <w:rPr>
          <w:rStyle w:val="StyleUnderline"/>
          <w:highlight w:val="green"/>
        </w:rPr>
        <w:t>and</w:t>
      </w:r>
      <w:r w:rsidRPr="00D853DA">
        <w:rPr>
          <w:rStyle w:val="StyleUnderline"/>
        </w:rPr>
        <w:t xml:space="preserve"> </w:t>
      </w:r>
      <w:r w:rsidRPr="006463E6">
        <w:rPr>
          <w:rStyle w:val="Emphasis"/>
          <w:highlight w:val="green"/>
        </w:rPr>
        <w:t>judicial decisions</w:t>
      </w:r>
      <w:r w:rsidRPr="00D853DA">
        <w:rPr>
          <w:rStyle w:val="StyleUnderline"/>
        </w:rPr>
        <w:t>.</w:t>
      </w:r>
    </w:p>
    <w:p w14:paraId="27BF6DFE" w14:textId="77777777" w:rsidR="00C42954" w:rsidRPr="006463E6" w:rsidRDefault="00C42954" w:rsidP="00C42954">
      <w:pPr>
        <w:rPr>
          <w:sz w:val="16"/>
        </w:rPr>
      </w:pPr>
      <w:r w:rsidRPr="006463E6">
        <w:rPr>
          <w:sz w:val="16"/>
        </w:rPr>
        <w:t>National Labor Relations</w:t>
      </w:r>
    </w:p>
    <w:p w14:paraId="75EB72B3" w14:textId="77777777" w:rsidR="00C42954" w:rsidRPr="006463E6" w:rsidRDefault="00C42954" w:rsidP="00C42954">
      <w:pPr>
        <w:rPr>
          <w:sz w:val="16"/>
        </w:rPr>
      </w:pPr>
      <w:r w:rsidRPr="00D853DA">
        <w:rPr>
          <w:rStyle w:val="StyleUnderline"/>
        </w:rPr>
        <w:t>The main body of law governing collective bargaining is the National Labor Relations Act</w:t>
      </w:r>
      <w:r w:rsidRPr="006463E6">
        <w:rPr>
          <w:sz w:val="16"/>
        </w:rPr>
        <w:t xml:space="preserve"> (NLRA) . It is also referred to as the Wagner Act, and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I , Section 8 of the U.S. Constitution . </w:t>
      </w:r>
      <w:r w:rsidRPr="00D853DA">
        <w:rPr>
          <w:rStyle w:val="StyleUnderline"/>
        </w:rPr>
        <w:t>It applies to most private non-agricultural employees and employers engaged in some aspect of interstate commerce</w:t>
      </w:r>
      <w:r w:rsidRPr="006463E6">
        <w:rPr>
          <w:sz w:val="16"/>
        </w:rPr>
        <w:t xml:space="preserve"> . Decisions and regulations of the National Labor Relations Board (NLRB) , which was established by the NLRA, greatly supplement and define the provisions of the act.</w:t>
      </w:r>
    </w:p>
    <w:p w14:paraId="649C3D87" w14:textId="77777777" w:rsidR="00C42954" w:rsidRPr="006463E6" w:rsidRDefault="00C42954" w:rsidP="00C42954">
      <w:pPr>
        <w:rPr>
          <w:sz w:val="16"/>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58F151A9" w14:textId="77777777" w:rsidR="00C42954" w:rsidRPr="006463E6" w:rsidRDefault="00C42954" w:rsidP="00C42954">
      <w:pPr>
        <w:rPr>
          <w:sz w:val="16"/>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3CD6B6A2" w14:textId="77777777" w:rsidR="00C42954" w:rsidRDefault="00C42954" w:rsidP="00C42954"/>
    <w:p w14:paraId="14293075" w14:textId="77777777" w:rsidR="00C42954" w:rsidRPr="00F04C01" w:rsidRDefault="00C42954" w:rsidP="00C42954">
      <w:pPr>
        <w:pStyle w:val="Heading4"/>
      </w:pPr>
      <w:r>
        <w:t>Vote Negative.</w:t>
      </w:r>
    </w:p>
    <w:p w14:paraId="0B34B68C" w14:textId="77777777" w:rsidR="00C42954" w:rsidRDefault="00C42954" w:rsidP="00C42954">
      <w:pPr>
        <w:pStyle w:val="Heading4"/>
      </w:pPr>
      <w:r>
        <w:t xml:space="preserve">1. </w:t>
      </w:r>
      <w:r w:rsidRPr="00CF2037">
        <w:rPr>
          <w:u w:val="single"/>
        </w:rPr>
        <w:t>Competitive equity</w:t>
      </w:r>
      <w:r>
        <w:t xml:space="preserve">. Debate is a </w:t>
      </w:r>
      <w:r w:rsidRPr="00CC529E">
        <w:rPr>
          <w:u w:val="single"/>
        </w:rPr>
        <w:t>game</w:t>
      </w:r>
      <w:r>
        <w:t xml:space="preserve"> where </w:t>
      </w:r>
      <w:r w:rsidRPr="00CC529E">
        <w:rPr>
          <w:u w:val="single"/>
        </w:rPr>
        <w:t>argument selection</w:t>
      </w:r>
      <w:r>
        <w:t xml:space="preserve"> is driven by </w:t>
      </w:r>
      <w:r w:rsidRPr="00CC529E">
        <w:rPr>
          <w:u w:val="single"/>
        </w:rPr>
        <w:t>competitive incentives</w:t>
      </w:r>
      <w:r w:rsidRPr="00E150A2">
        <w:t>---</w:t>
      </w:r>
      <w:r>
        <w:t xml:space="preserve">abandoning a topical stasis creates a </w:t>
      </w:r>
      <w:r w:rsidRPr="00E150A2">
        <w:rPr>
          <w:u w:val="single"/>
        </w:rPr>
        <w:t>moral hazard</w:t>
      </w:r>
      <w:r>
        <w:t xml:space="preserve"> to </w:t>
      </w:r>
      <w:r w:rsidRPr="00E150A2">
        <w:rPr>
          <w:u w:val="single"/>
        </w:rPr>
        <w:t>avoid controversial positions</w:t>
      </w:r>
      <w:r>
        <w:t xml:space="preserve"> and denies a </w:t>
      </w:r>
      <w:r w:rsidRPr="00F04C01">
        <w:rPr>
          <w:u w:val="single"/>
        </w:rPr>
        <w:t>predictable role</w:t>
      </w:r>
      <w:r>
        <w:t xml:space="preserve"> for the </w:t>
      </w:r>
      <w:r w:rsidRPr="00F04C01">
        <w:rPr>
          <w:u w:val="single"/>
        </w:rPr>
        <w:t>negative</w:t>
      </w:r>
      <w:r>
        <w:t xml:space="preserve">. Competitive equity is a </w:t>
      </w:r>
      <w:r w:rsidRPr="0056330D">
        <w:rPr>
          <w:u w:val="single"/>
        </w:rPr>
        <w:t>prerequisite</w:t>
      </w:r>
      <w:r>
        <w:t xml:space="preserve"> to </w:t>
      </w:r>
      <w:r w:rsidRPr="0056330D">
        <w:rPr>
          <w:u w:val="single"/>
        </w:rPr>
        <w:t>any pedagogical value of debate</w:t>
      </w:r>
      <w:r>
        <w:t xml:space="preserve"> AND is the </w:t>
      </w:r>
      <w:r w:rsidRPr="00E150A2">
        <w:rPr>
          <w:u w:val="single"/>
        </w:rPr>
        <w:t>only impact</w:t>
      </w:r>
      <w:r>
        <w:t xml:space="preserve"> solvable by the </w:t>
      </w:r>
      <w:r w:rsidRPr="00E150A2">
        <w:rPr>
          <w:u w:val="single"/>
        </w:rPr>
        <w:t>ballot</w:t>
      </w:r>
      <w:r>
        <w:t xml:space="preserve">. High-level debates are </w:t>
      </w:r>
      <w:r w:rsidRPr="00664496">
        <w:rPr>
          <w:u w:val="single"/>
        </w:rPr>
        <w:t>lost</w:t>
      </w:r>
      <w:r>
        <w:t xml:space="preserve"> on the </w:t>
      </w:r>
      <w:r w:rsidRPr="00664496">
        <w:rPr>
          <w:u w:val="single"/>
        </w:rPr>
        <w:t>margins</w:t>
      </w:r>
      <w:r>
        <w:t xml:space="preserve">, so the </w:t>
      </w:r>
      <w:r w:rsidRPr="00E150A2">
        <w:rPr>
          <w:u w:val="single"/>
        </w:rPr>
        <w:t>threshold</w:t>
      </w:r>
      <w:r>
        <w:t xml:space="preserve"> for an impact is </w:t>
      </w:r>
      <w:r w:rsidRPr="00E150A2">
        <w:rPr>
          <w:u w:val="single"/>
        </w:rPr>
        <w:t>low</w:t>
      </w:r>
      <w:r>
        <w:t>.</w:t>
      </w:r>
    </w:p>
    <w:p w14:paraId="004BDBA0" w14:textId="77777777" w:rsidR="00C42954" w:rsidRDefault="00C42954" w:rsidP="00C42954"/>
    <w:p w14:paraId="79353687" w14:textId="77777777" w:rsidR="00C42954" w:rsidRDefault="00C42954" w:rsidP="00C42954">
      <w:pPr>
        <w:pStyle w:val="Heading4"/>
      </w:pPr>
      <w:r>
        <w:t xml:space="preserve">2. </w:t>
      </w:r>
      <w:r w:rsidRPr="00B7002B">
        <w:rPr>
          <w:u w:val="single"/>
        </w:rPr>
        <w:t>Clash</w:t>
      </w:r>
      <w:r>
        <w:t xml:space="preserve">. It’s an </w:t>
      </w:r>
      <w:r w:rsidRPr="00B7002B">
        <w:rPr>
          <w:u w:val="single"/>
        </w:rPr>
        <w:t>external impact</w:t>
      </w:r>
      <w:r>
        <w:t xml:space="preserve"> to argument engagement. </w:t>
      </w:r>
      <w:r w:rsidRPr="00B7002B">
        <w:rPr>
          <w:u w:val="single"/>
        </w:rPr>
        <w:t>If they are right</w:t>
      </w:r>
      <w:r>
        <w:t xml:space="preserve"> that debates </w:t>
      </w:r>
      <w:r w:rsidRPr="00B7002B">
        <w:rPr>
          <w:u w:val="single"/>
        </w:rPr>
        <w:t>can shape our subjectivity</w:t>
      </w:r>
      <w:r>
        <w:t xml:space="preserve">, those shifts are </w:t>
      </w:r>
      <w:r w:rsidRPr="00B7002B">
        <w:rPr>
          <w:u w:val="single"/>
        </w:rPr>
        <w:t>more likely to occur</w:t>
      </w:r>
      <w:r>
        <w:t xml:space="preserve"> through </w:t>
      </w:r>
      <w:r w:rsidRPr="00B7002B">
        <w:rPr>
          <w:u w:val="single"/>
        </w:rPr>
        <w:t>rigorous contestation</w:t>
      </w:r>
      <w:r>
        <w:t xml:space="preserve"> over the </w:t>
      </w:r>
      <w:r w:rsidRPr="00B7002B">
        <w:rPr>
          <w:u w:val="single"/>
        </w:rPr>
        <w:t>course of the season</w:t>
      </w:r>
      <w:r>
        <w:t xml:space="preserve">. Centering CBRs is crucial for dialogue because it’s grounded in a textual reading of the resolution---ensuring a </w:t>
      </w:r>
      <w:r w:rsidRPr="00B7002B">
        <w:rPr>
          <w:u w:val="single"/>
        </w:rPr>
        <w:t>limit</w:t>
      </w:r>
      <w:r>
        <w:t xml:space="preserve"> on </w:t>
      </w:r>
      <w:r w:rsidRPr="00B7002B">
        <w:rPr>
          <w:u w:val="single"/>
        </w:rPr>
        <w:t>potential affirmatives</w:t>
      </w:r>
      <w:r>
        <w:t xml:space="preserve"> and </w:t>
      </w:r>
      <w:r w:rsidRPr="00B7002B">
        <w:rPr>
          <w:u w:val="single"/>
        </w:rPr>
        <w:t>guaranteed negative ground</w:t>
      </w:r>
      <w:r>
        <w:t xml:space="preserve">. Clash is an </w:t>
      </w:r>
      <w:r w:rsidRPr="00B7002B">
        <w:rPr>
          <w:u w:val="single"/>
        </w:rPr>
        <w:t>impact</w:t>
      </w:r>
      <w:r>
        <w:t xml:space="preserve"> to </w:t>
      </w:r>
      <w:r w:rsidRPr="00B7002B">
        <w:rPr>
          <w:u w:val="single"/>
        </w:rPr>
        <w:t>every debate</w:t>
      </w:r>
      <w:r>
        <w:t xml:space="preserve"> AND helps </w:t>
      </w:r>
      <w:r w:rsidRPr="00B7002B">
        <w:rPr>
          <w:u w:val="single"/>
        </w:rPr>
        <w:t>break down dogma</w:t>
      </w:r>
      <w:r>
        <w:t xml:space="preserve">, create </w:t>
      </w:r>
      <w:r w:rsidRPr="00B7002B">
        <w:rPr>
          <w:u w:val="single"/>
        </w:rPr>
        <w:t>better advocates</w:t>
      </w:r>
      <w:r>
        <w:t xml:space="preserve">, and </w:t>
      </w:r>
      <w:r w:rsidRPr="00B7002B">
        <w:rPr>
          <w:u w:val="single"/>
        </w:rPr>
        <w:t>refine arguments</w:t>
      </w:r>
      <w:r>
        <w:t xml:space="preserve">---which </w:t>
      </w:r>
      <w:r w:rsidRPr="00B7002B">
        <w:rPr>
          <w:u w:val="single"/>
        </w:rPr>
        <w:t>turns the case</w:t>
      </w:r>
      <w:r>
        <w:t>.</w:t>
      </w:r>
    </w:p>
    <w:p w14:paraId="0979DC19" w14:textId="77777777" w:rsidR="00C42954" w:rsidRPr="00062A76" w:rsidRDefault="00C42954" w:rsidP="00C42954"/>
    <w:p w14:paraId="22FD611C" w14:textId="77777777" w:rsidR="00C42954" w:rsidRPr="00062A76" w:rsidRDefault="00C42954" w:rsidP="00C42954">
      <w:pPr>
        <w:pStyle w:val="Heading4"/>
      </w:pPr>
      <w:r w:rsidRPr="00900591">
        <w:t>Reading an undisclosed new affirmative is an independent voting issue AND magnifies all of our offense---it proves they are wedded to competitive incentives because not disclosing was a strategic choice AND irrevocably skews Neg preparation and strategy---which turns any offense about engaging with the Aff being good.</w:t>
      </w:r>
    </w:p>
    <w:p w14:paraId="6D832139" w14:textId="77777777" w:rsidR="00C42954" w:rsidRDefault="00C42954" w:rsidP="00C42954">
      <w:pPr>
        <w:pStyle w:val="Heading3"/>
      </w:pPr>
      <w:r>
        <w:t>1NC---DA</w:t>
      </w:r>
    </w:p>
    <w:p w14:paraId="5A9E6E6F" w14:textId="77777777" w:rsidR="00C42954" w:rsidRPr="00B42FAE" w:rsidRDefault="00C42954" w:rsidP="00C42954">
      <w:r>
        <w:t xml:space="preserve">Cede the CBAs. </w:t>
      </w:r>
    </w:p>
    <w:p w14:paraId="0AFF735E" w14:textId="77777777" w:rsidR="00C42954" w:rsidRPr="00544D58" w:rsidRDefault="00C42954" w:rsidP="00C42954">
      <w:pPr>
        <w:pStyle w:val="Heading4"/>
      </w:pPr>
      <w:r w:rsidRPr="00544D58">
        <w:t xml:space="preserve">The aff’s </w:t>
      </w:r>
      <w:r w:rsidRPr="00544D58">
        <w:rPr>
          <w:u w:val="single"/>
        </w:rPr>
        <w:t>rejection</w:t>
      </w:r>
      <w:r w:rsidRPr="00544D58">
        <w:t xml:space="preserve"> of collective bargaining </w:t>
      </w:r>
      <w:r w:rsidRPr="00544D58">
        <w:rPr>
          <w:u w:val="single"/>
        </w:rPr>
        <w:t>precludes</w:t>
      </w:r>
      <w:r w:rsidRPr="00544D58">
        <w:t xml:space="preserve"> using CBAs as a </w:t>
      </w:r>
      <w:r w:rsidRPr="00544D58">
        <w:rPr>
          <w:u w:val="single"/>
        </w:rPr>
        <w:t>vehicle</w:t>
      </w:r>
      <w:r w:rsidRPr="00544D58">
        <w:t xml:space="preserve"> for divestment. CBAs can be </w:t>
      </w:r>
      <w:r w:rsidRPr="00544D58">
        <w:rPr>
          <w:u w:val="single"/>
        </w:rPr>
        <w:t>weaponized</w:t>
      </w:r>
      <w:r w:rsidRPr="00544D58">
        <w:t xml:space="preserve"> to target police unions and demand community control.</w:t>
      </w:r>
    </w:p>
    <w:p w14:paraId="04F984DD" w14:textId="77777777" w:rsidR="00C42954" w:rsidRPr="00544D58" w:rsidRDefault="00C42954" w:rsidP="00C42954">
      <w:r w:rsidRPr="00544D58">
        <w:rPr>
          <w:rStyle w:val="Style13ptBold"/>
        </w:rPr>
        <w:t xml:space="preserve">Margolis 22 </w:t>
      </w:r>
      <w:r w:rsidRPr="00544D58">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736AD019" w14:textId="77777777" w:rsidR="00C42954" w:rsidRPr="00544D58" w:rsidRDefault="00C42954" w:rsidP="00C42954">
      <w:pPr>
        <w:rPr>
          <w:b/>
          <w:bCs/>
          <w:sz w:val="26"/>
        </w:rPr>
      </w:pPr>
      <w:r w:rsidRPr="00544D58">
        <w:t>*MPD = Metropolitan Police Department</w:t>
      </w:r>
    </w:p>
    <w:p w14:paraId="63BE49AA" w14:textId="77777777" w:rsidR="00C42954" w:rsidRPr="00544D58" w:rsidRDefault="00C42954" w:rsidP="00C42954">
      <w:pPr>
        <w:rPr>
          <w:sz w:val="12"/>
        </w:rPr>
      </w:pPr>
      <w:r w:rsidRPr="00544D58">
        <w:rPr>
          <w:sz w:val="12"/>
        </w:rPr>
        <w:t>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Mayor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161CDEE5" w14:textId="77777777" w:rsidR="00C42954" w:rsidRPr="00544D58" w:rsidRDefault="00C42954" w:rsidP="00C42954">
      <w:pPr>
        <w:rPr>
          <w:sz w:val="12"/>
        </w:rPr>
      </w:pPr>
      <w:r w:rsidRPr="00544D58">
        <w:rPr>
          <w:rStyle w:val="StyleUnderline"/>
        </w:rPr>
        <w:t>The last police union contract ratification</w:t>
      </w:r>
      <w:r w:rsidRPr="00544D58">
        <w:rPr>
          <w:sz w:val="12"/>
        </w:rPr>
        <w:t xml:space="preserve">, in 2018, </w:t>
      </w:r>
      <w:r w:rsidRPr="00544D58">
        <w:rPr>
          <w:rStyle w:val="StyleUnderline"/>
        </w:rPr>
        <w:t>is illustrative</w:t>
      </w:r>
      <w:r w:rsidRPr="00544D58">
        <w:rPr>
          <w:sz w:val="12"/>
        </w:rPr>
        <w:t xml:space="preserve">. </w:t>
      </w:r>
      <w:r w:rsidRPr="00544D58">
        <w:rPr>
          <w:rStyle w:val="StyleUnderline"/>
        </w:rPr>
        <w:t>The D.C. Council’s Committee on Labor and Workforce Development invited only one opportunity for public input on the CBA</w:t>
      </w:r>
      <w:r w:rsidRPr="00544D58">
        <w:rPr>
          <w:sz w:val="12"/>
        </w:rPr>
        <w:t>—two days before the contract would be ratified. The contract was hailed as the first to reach ratification without impasse or arbitration in seventeen years, but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6C9FAC63" w14:textId="77777777" w:rsidR="00C42954" w:rsidRPr="00544D58" w:rsidRDefault="00C42954" w:rsidP="00C42954">
      <w:pPr>
        <w:rPr>
          <w:rStyle w:val="Emphasis"/>
        </w:rPr>
      </w:pPr>
      <w:r w:rsidRPr="00544D58">
        <w:rPr>
          <w:rStyle w:val="StyleUnderline"/>
        </w:rPr>
        <w:t xml:space="preserve">By contrast, </w:t>
      </w:r>
      <w:r w:rsidRPr="00544D58">
        <w:rPr>
          <w:sz w:val="12"/>
        </w:rPr>
        <w:t>through its 2020 public letter campaign,</w:t>
      </w:r>
      <w:r w:rsidRPr="00544D58">
        <w:rPr>
          <w:rStyle w:val="StyleUnderline"/>
        </w:rPr>
        <w:t xml:space="preserve"> </w:t>
      </w:r>
      <w:r w:rsidRPr="00544D58">
        <w:rPr>
          <w:rStyle w:val="Emphasis"/>
          <w:highlight w:val="green"/>
        </w:rPr>
        <w:t xml:space="preserve">Defund MPD asserted </w:t>
      </w:r>
      <w:r w:rsidRPr="00544D58">
        <w:rPr>
          <w:rStyle w:val="Emphasis"/>
        </w:rPr>
        <w:t xml:space="preserve">a </w:t>
      </w:r>
      <w:r w:rsidRPr="00544D58">
        <w:rPr>
          <w:rStyle w:val="Emphasis"/>
          <w:highlight w:val="green"/>
        </w:rPr>
        <w:t xml:space="preserve">direct role for </w:t>
      </w:r>
      <w:r w:rsidRPr="00544D58">
        <w:rPr>
          <w:rStyle w:val="Emphasis"/>
        </w:rPr>
        <w:t xml:space="preserve">the </w:t>
      </w:r>
      <w:r w:rsidRPr="00544D58">
        <w:rPr>
          <w:rStyle w:val="Emphasis"/>
          <w:highlight w:val="green"/>
        </w:rPr>
        <w:t>community in</w:t>
      </w:r>
      <w:r w:rsidRPr="00544D58">
        <w:rPr>
          <w:rStyle w:val="Emphasis"/>
        </w:rPr>
        <w:t xml:space="preserve"> determining </w:t>
      </w:r>
      <w:r w:rsidRPr="00544D58">
        <w:rPr>
          <w:rStyle w:val="Emphasis"/>
          <w:highlight w:val="green"/>
        </w:rPr>
        <w:t>the new police union contract</w:t>
      </w:r>
      <w:r w:rsidRPr="00544D58">
        <w:rPr>
          <w:rStyle w:val="Emphasis"/>
        </w:rPr>
        <w:t>’s terms</w:t>
      </w:r>
      <w:r w:rsidRPr="00544D58">
        <w:rPr>
          <w:sz w:val="12"/>
        </w:rPr>
        <w:t xml:space="preserve">. </w:t>
      </w:r>
      <w:r w:rsidRPr="00544D58">
        <w:rPr>
          <w:rStyle w:val="StyleUnderline"/>
        </w:rPr>
        <w:t xml:space="preserve">Defund’s </w:t>
      </w:r>
      <w:r w:rsidRPr="00544D58">
        <w:rPr>
          <w:sz w:val="12"/>
        </w:rPr>
        <w:t xml:space="preserve">bargaining proposal suggests it </w:t>
      </w:r>
      <w:r w:rsidRPr="00544D58">
        <w:rPr>
          <w:rStyle w:val="StyleUnderline"/>
        </w:rPr>
        <w:t>viewed the contract as a locus of policymaking</w:t>
      </w:r>
      <w:r w:rsidRPr="00544D58">
        <w:rPr>
          <w:sz w:val="12"/>
        </w:rPr>
        <w:t xml:space="preserve">, akin to the District budget or legislative process. </w:t>
      </w:r>
      <w:r w:rsidRPr="00544D58">
        <w:rPr>
          <w:rStyle w:val="StyleUnderline"/>
        </w:rPr>
        <w:t xml:space="preserve">This </w:t>
      </w:r>
      <w:r w:rsidRPr="00544D58">
        <w:rPr>
          <w:sz w:val="12"/>
        </w:rPr>
        <w:t>approach</w:t>
      </w:r>
      <w:r w:rsidRPr="00544D58">
        <w:rPr>
          <w:rStyle w:val="StyleUnderline"/>
        </w:rPr>
        <w:t xml:space="preserve"> reflects the reality that police </w:t>
      </w:r>
      <w:r w:rsidRPr="00544D58">
        <w:rPr>
          <w:rStyle w:val="StyleUnderline"/>
          <w:highlight w:val="green"/>
        </w:rPr>
        <w:t>unions</w:t>
      </w:r>
      <w:r w:rsidRPr="00544D58">
        <w:rPr>
          <w:rStyle w:val="StyleUnderline"/>
        </w:rPr>
        <w:t xml:space="preserve"> </w:t>
      </w:r>
      <w:r w:rsidRPr="00544D58">
        <w:rPr>
          <w:sz w:val="12"/>
        </w:rPr>
        <w:t xml:space="preserve">inflect and </w:t>
      </w:r>
      <w:r w:rsidRPr="00544D58">
        <w:rPr>
          <w:rStyle w:val="StyleUnderline"/>
          <w:highlight w:val="green"/>
        </w:rPr>
        <w:t xml:space="preserve">develop policy through the </w:t>
      </w:r>
      <w:r w:rsidRPr="00544D58">
        <w:rPr>
          <w:rStyle w:val="Emphasis"/>
          <w:sz w:val="24"/>
          <w:szCs w:val="24"/>
          <w:highlight w:val="green"/>
        </w:rPr>
        <w:t>c</w:t>
      </w:r>
      <w:r w:rsidRPr="00544D58">
        <w:rPr>
          <w:rStyle w:val="Emphasis"/>
          <w:sz w:val="24"/>
          <w:szCs w:val="24"/>
        </w:rPr>
        <w:t xml:space="preserve">ollective </w:t>
      </w:r>
      <w:r w:rsidRPr="00544D58">
        <w:rPr>
          <w:rStyle w:val="Emphasis"/>
          <w:sz w:val="24"/>
          <w:szCs w:val="24"/>
          <w:highlight w:val="green"/>
        </w:rPr>
        <w:t>b</w:t>
      </w:r>
      <w:r w:rsidRPr="00544D58">
        <w:rPr>
          <w:rStyle w:val="Emphasis"/>
          <w:sz w:val="24"/>
          <w:szCs w:val="24"/>
        </w:rPr>
        <w:t xml:space="preserve">argaining </w:t>
      </w:r>
      <w:r w:rsidRPr="00544D58">
        <w:rPr>
          <w:rStyle w:val="Emphasis"/>
          <w:sz w:val="24"/>
          <w:szCs w:val="24"/>
          <w:highlight w:val="green"/>
        </w:rPr>
        <w:t>process</w:t>
      </w:r>
      <w:r w:rsidRPr="00544D58">
        <w:rPr>
          <w:rStyle w:val="StyleUnderline"/>
          <w:sz w:val="24"/>
          <w:szCs w:val="24"/>
        </w:rPr>
        <w:t xml:space="preserve"> </w:t>
      </w:r>
      <w:r w:rsidRPr="00544D58">
        <w:rPr>
          <w:sz w:val="12"/>
        </w:rPr>
        <w:t xml:space="preserve">and asserts the importance of public participation, particularly of those most impacted by racialized police violence, in determining these policies. </w:t>
      </w:r>
      <w:r w:rsidRPr="00544D58">
        <w:rPr>
          <w:rStyle w:val="StyleUnderline"/>
        </w:rPr>
        <w:t xml:space="preserve">After the movement did not obtain the budget cuts and radical reforms it sought through the legislative process, </w:t>
      </w:r>
      <w:r w:rsidRPr="00544D58">
        <w:rPr>
          <w:rStyle w:val="Emphasis"/>
        </w:rPr>
        <w:t>it turned to the union contract as an alternative.</w:t>
      </w:r>
      <w:r w:rsidRPr="00544D58">
        <w:rPr>
          <w:rStyle w:val="StyleUnderline"/>
        </w:rPr>
        <w:t xml:space="preserve"> </w:t>
      </w:r>
      <w:r w:rsidRPr="00544D58">
        <w:rPr>
          <w:rStyle w:val="Emphasis"/>
          <w:highlight w:val="green"/>
        </w:rPr>
        <w:t xml:space="preserve">Many </w:t>
      </w:r>
      <w:r w:rsidRPr="00544D58">
        <w:rPr>
          <w:rStyle w:val="Emphasis"/>
        </w:rPr>
        <w:t xml:space="preserve">of Defund MPD’s </w:t>
      </w:r>
      <w:r w:rsidRPr="00544D58">
        <w:rPr>
          <w:rStyle w:val="Emphasis"/>
          <w:highlight w:val="green"/>
        </w:rPr>
        <w:t xml:space="preserve">contract terms are </w:t>
      </w:r>
      <w:r w:rsidRPr="00544D58">
        <w:rPr>
          <w:rStyle w:val="Emphasis"/>
        </w:rPr>
        <w:t xml:space="preserve">now </w:t>
      </w:r>
      <w:r w:rsidRPr="00544D58">
        <w:rPr>
          <w:rStyle w:val="Emphasis"/>
          <w:highlight w:val="green"/>
        </w:rPr>
        <w:t xml:space="preserve">policy goals in </w:t>
      </w:r>
      <w:r w:rsidRPr="00544D58">
        <w:rPr>
          <w:rStyle w:val="Emphasis"/>
        </w:rPr>
        <w:t xml:space="preserve">its </w:t>
      </w:r>
      <w:r w:rsidRPr="00544D58">
        <w:rPr>
          <w:rStyle w:val="Emphasis"/>
          <w:highlight w:val="green"/>
        </w:rPr>
        <w:t>roadmap to reduc</w:t>
      </w:r>
      <w:r w:rsidRPr="00544D58">
        <w:rPr>
          <w:rStyle w:val="Emphasis"/>
        </w:rPr>
        <w:t>ing</w:t>
      </w:r>
      <w:r w:rsidRPr="00544D58">
        <w:rPr>
          <w:rStyle w:val="Emphasis"/>
          <w:highlight w:val="green"/>
        </w:rPr>
        <w:t xml:space="preserve"> the</w:t>
      </w:r>
      <w:r w:rsidRPr="00544D58">
        <w:rPr>
          <w:rStyle w:val="Emphasis"/>
        </w:rPr>
        <w:t xml:space="preserve"> MPD’s </w:t>
      </w:r>
      <w:r w:rsidRPr="00544D58">
        <w:rPr>
          <w:rStyle w:val="Emphasis"/>
          <w:highlight w:val="green"/>
        </w:rPr>
        <w:t>budget</w:t>
      </w:r>
      <w:r w:rsidRPr="00544D58">
        <w:rPr>
          <w:rStyle w:val="Emphasis"/>
        </w:rPr>
        <w:t xml:space="preserve"> by 50% over the next three years</w:t>
      </w:r>
      <w:r w:rsidRPr="00544D58">
        <w:rPr>
          <w:sz w:val="12"/>
        </w:rPr>
        <w:t>. To the extent that shifting policy design into the hands of constituents directly impacted by police violence is a goal,</w:t>
      </w:r>
      <w:r w:rsidRPr="00544D58">
        <w:rPr>
          <w:rStyle w:val="StyleUnderline"/>
        </w:rPr>
        <w:t xml:space="preserve"> </w:t>
      </w:r>
      <w:r w:rsidRPr="00544D58">
        <w:rPr>
          <w:rStyle w:val="Emphasis"/>
        </w:rPr>
        <w:t>Defund’s approach to the police union contract is a useful model.</w:t>
      </w:r>
    </w:p>
    <w:p w14:paraId="44A550D2" w14:textId="77777777" w:rsidR="00C42954" w:rsidRPr="00544D58" w:rsidRDefault="00C42954" w:rsidP="00C42954">
      <w:pPr>
        <w:rPr>
          <w:rStyle w:val="Emphasis"/>
        </w:rPr>
      </w:pPr>
      <w:r w:rsidRPr="00544D58">
        <w:rPr>
          <w:rStyle w:val="StyleUnderline"/>
        </w:rPr>
        <w:t xml:space="preserve">Defund’s bargaining proposal </w:t>
      </w:r>
      <w:r w:rsidRPr="00544D58">
        <w:rPr>
          <w:rStyle w:val="StyleUnderline"/>
          <w:highlight w:val="green"/>
        </w:rPr>
        <w:t>reflects a “community control” approach</w:t>
      </w:r>
      <w:r w:rsidRPr="00544D58">
        <w:rPr>
          <w:rStyle w:val="StyleUnderline"/>
        </w:rPr>
        <w:t xml:space="preserve"> to policing and budgeting.</w:t>
      </w:r>
      <w:r w:rsidRPr="00544D58">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544D58">
        <w:rPr>
          <w:rStyle w:val="StyleUnderline"/>
        </w:rPr>
        <w:t xml:space="preserve">rather than instituting a community oversight board, Chicago organizers proposed a “Civilian Police Accountability Council” (CPAC) </w:t>
      </w:r>
      <w:r w:rsidRPr="00544D58">
        <w:rPr>
          <w:sz w:val="12"/>
        </w:rPr>
        <w:t>that would be</w:t>
      </w:r>
      <w:r w:rsidRPr="00544D58">
        <w:rPr>
          <w:rStyle w:val="StyleUnderline"/>
        </w:rPr>
        <w:t xml:space="preserve"> empowered “to appoint the superintendent, to adopt rules for police conduct, and to sign off on all disciplinary decisions.”</w:t>
      </w:r>
      <w:r w:rsidRPr="00544D58">
        <w:rPr>
          <w:sz w:val="12"/>
        </w:rPr>
        <w:t xml:space="preserve"> The</w:t>
      </w:r>
      <w:r w:rsidRPr="00544D58">
        <w:rPr>
          <w:rStyle w:val="StyleUnderline"/>
        </w:rPr>
        <w:t xml:space="preserve"> CPAC would be composed of community members who had no personal or professional connections to law enforcement. </w:t>
      </w:r>
      <w:r w:rsidRPr="00544D58">
        <w:rPr>
          <w:sz w:val="12"/>
        </w:rPr>
        <w:t>This example illustrates the</w:t>
      </w:r>
      <w:r w:rsidRPr="00544D58">
        <w:rPr>
          <w:rStyle w:val="StyleUnderline"/>
        </w:rPr>
        <w:t xml:space="preserve"> three design principles of community control: (1) control rather than input, (2) representation of the historically disempowered, and (3) the exercise of authority ex ante rather than ex post</w:t>
      </w:r>
      <w:r w:rsidRPr="00544D58">
        <w:rPr>
          <w:sz w:val="12"/>
        </w:rPr>
        <w:t xml:space="preserve">. </w:t>
      </w:r>
      <w:r w:rsidRPr="00544D58">
        <w:rPr>
          <w:rStyle w:val="StyleUnderline"/>
        </w:rPr>
        <w:t xml:space="preserve">Community members designed the standards for police discipline ex ante and were empowered to make disciplinary decisions, </w:t>
      </w:r>
      <w:r w:rsidRPr="00544D58">
        <w:rPr>
          <w:rStyle w:val="Emphasis"/>
        </w:rPr>
        <w:t>in contrast to civilian review boards</w:t>
      </w:r>
      <w:r w:rsidRPr="00544D58">
        <w:rPr>
          <w:rStyle w:val="StyleUnderline"/>
        </w:rPr>
        <w:t>, which assess misconduct ex post and provide recommendations that are seldom followed.</w:t>
      </w:r>
      <w:r w:rsidRPr="00544D58">
        <w:rPr>
          <w:sz w:val="12"/>
        </w:rPr>
        <w:t xml:space="preserve"> </w:t>
      </w:r>
      <w:r w:rsidRPr="00544D58">
        <w:rPr>
          <w:rStyle w:val="Emphasis"/>
        </w:rPr>
        <w:t xml:space="preserve">By </w:t>
      </w:r>
      <w:r w:rsidRPr="00544D58">
        <w:rPr>
          <w:rStyle w:val="Emphasis"/>
          <w:highlight w:val="green"/>
        </w:rPr>
        <w:t xml:space="preserve">endowing </w:t>
      </w:r>
      <w:r w:rsidRPr="00544D58">
        <w:rPr>
          <w:rStyle w:val="Emphasis"/>
        </w:rPr>
        <w:t xml:space="preserve">impacted </w:t>
      </w:r>
      <w:r w:rsidRPr="00544D58">
        <w:rPr>
          <w:rStyle w:val="Emphasis"/>
          <w:highlight w:val="green"/>
        </w:rPr>
        <w:t xml:space="preserve">community members with </w:t>
      </w:r>
      <w:r w:rsidRPr="00544D58">
        <w:rPr>
          <w:rStyle w:val="Emphasis"/>
        </w:rPr>
        <w:t xml:space="preserve">real </w:t>
      </w:r>
      <w:r w:rsidRPr="00544D58">
        <w:rPr>
          <w:rStyle w:val="Emphasis"/>
          <w:highlight w:val="green"/>
        </w:rPr>
        <w:t>authority</w:t>
      </w:r>
      <w:r w:rsidRPr="00544D58">
        <w:rPr>
          <w:rStyle w:val="Emphasis"/>
        </w:rPr>
        <w:t xml:space="preserve"> and shifting the moment at which that authority is exercised, community control models open the possibility of </w:t>
      </w:r>
      <w:r w:rsidRPr="00544D58">
        <w:rPr>
          <w:rStyle w:val="Emphasis"/>
          <w:highlight w:val="green"/>
        </w:rPr>
        <w:t>making structural changes to policing</w:t>
      </w:r>
      <w:r w:rsidRPr="00544D58">
        <w:rPr>
          <w:rStyle w:val="Emphasis"/>
        </w:rPr>
        <w:t xml:space="preserve"> that get at its very foundation.</w:t>
      </w:r>
    </w:p>
    <w:p w14:paraId="151A4FB3" w14:textId="77777777" w:rsidR="00C42954" w:rsidRPr="00544D58" w:rsidRDefault="00C42954" w:rsidP="00C42954">
      <w:pPr>
        <w:rPr>
          <w:sz w:val="12"/>
        </w:rPr>
      </w:pPr>
      <w:r w:rsidRPr="00544D58">
        <w:rPr>
          <w:rStyle w:val="StyleUnderline"/>
        </w:rPr>
        <w:t xml:space="preserve">Community control’s </w:t>
      </w:r>
      <w:r w:rsidRPr="00544D58">
        <w:rPr>
          <w:rStyle w:val="StyleUnderline"/>
          <w:highlight w:val="green"/>
        </w:rPr>
        <w:t>transfer of authority</w:t>
      </w:r>
      <w:r w:rsidRPr="00544D58">
        <w:rPr>
          <w:rStyle w:val="StyleUnderline"/>
        </w:rPr>
        <w:t xml:space="preserve"> and emphasis on ex ante policy design </w:t>
      </w:r>
      <w:r w:rsidRPr="00544D58">
        <w:rPr>
          <w:rStyle w:val="StyleUnderline"/>
          <w:highlight w:val="green"/>
        </w:rPr>
        <w:t>evokes</w:t>
      </w:r>
      <w:r w:rsidRPr="00544D58">
        <w:rPr>
          <w:rStyle w:val="StyleUnderline"/>
        </w:rPr>
        <w:t xml:space="preserve"> a view of accountability broader than accounting for past wrongs. </w:t>
      </w:r>
      <w:r w:rsidRPr="00544D58">
        <w:rPr>
          <w:sz w:val="12"/>
        </w:rPr>
        <w:t>Accountability instead might imply iterative and transformative possibilities for violence prevention,</w:t>
      </w:r>
      <w:r w:rsidRPr="00544D58">
        <w:rPr>
          <w:rStyle w:val="StyleUnderline"/>
        </w:rPr>
        <w:t xml:space="preserve"> including </w:t>
      </w:r>
      <w:r w:rsidRPr="00544D58">
        <w:rPr>
          <w:sz w:val="12"/>
        </w:rPr>
        <w:t>alternative, non-punitive systems of healing, like</w:t>
      </w:r>
      <w:r w:rsidRPr="00544D58">
        <w:rPr>
          <w:rStyle w:val="StyleUnderline"/>
        </w:rPr>
        <w:t xml:space="preserve"> </w:t>
      </w:r>
      <w:r w:rsidRPr="00544D58">
        <w:rPr>
          <w:rStyle w:val="Emphasis"/>
          <w:highlight w:val="green"/>
        </w:rPr>
        <w:t>transformative justice</w:t>
      </w:r>
      <w:r w:rsidRPr="00544D58">
        <w:rPr>
          <w:sz w:val="12"/>
        </w:rPr>
        <w:t xml:space="preserve">. Simonson argues that </w:t>
      </w:r>
      <w:r w:rsidRPr="00544D58">
        <w:rPr>
          <w:rStyle w:val="StyleUnderline"/>
        </w:rPr>
        <w:t>such transfer of power is inherently reparative</w:t>
      </w:r>
      <w:r w:rsidRPr="00544D58">
        <w:rPr>
          <w:sz w:val="12"/>
        </w:rPr>
        <w:t xml:space="preserve"> in that </w:t>
      </w:r>
      <w:r w:rsidRPr="00544D58">
        <w:rPr>
          <w:rStyle w:val="StyleUnderline"/>
        </w:rPr>
        <w:t xml:space="preserve">it </w:t>
      </w:r>
      <w:r w:rsidRPr="00544D58">
        <w:rPr>
          <w:rStyle w:val="StyleUnderline"/>
          <w:highlight w:val="green"/>
        </w:rPr>
        <w:t xml:space="preserve">restores power to communities </w:t>
      </w:r>
      <w:r w:rsidRPr="00544D58">
        <w:rPr>
          <w:rStyle w:val="StyleUnderline"/>
        </w:rPr>
        <w:t>that have been denied political power</w:t>
      </w:r>
      <w:r w:rsidRPr="00544D58">
        <w:rPr>
          <w:sz w:val="12"/>
        </w:rPr>
        <w:t xml:space="preserve"> as a result of policing.</w:t>
      </w:r>
    </w:p>
    <w:p w14:paraId="2D703D7A" w14:textId="77777777" w:rsidR="00C42954" w:rsidRPr="00544D58" w:rsidRDefault="00C42954" w:rsidP="00C42954">
      <w:pPr>
        <w:rPr>
          <w:sz w:val="12"/>
        </w:rPr>
      </w:pPr>
      <w:r w:rsidRPr="00544D58">
        <w:rPr>
          <w:sz w:val="12"/>
        </w:rPr>
        <w:t xml:space="preserve">By drafting contractual provisions, Defund claimed a direct role in defining the scope and power of the police department ex ante. In the hands of Defund, </w:t>
      </w:r>
      <w:r w:rsidRPr="00544D58">
        <w:rPr>
          <w:rStyle w:val="StyleUnderline"/>
        </w:rPr>
        <w:t xml:space="preserve">the </w:t>
      </w:r>
      <w:r w:rsidRPr="00544D58">
        <w:rPr>
          <w:rStyle w:val="StyleUnderline"/>
          <w:highlight w:val="green"/>
        </w:rPr>
        <w:t xml:space="preserve">contract </w:t>
      </w:r>
      <w:r w:rsidRPr="00544D58">
        <w:rPr>
          <w:rStyle w:val="StyleUnderline"/>
        </w:rPr>
        <w:t xml:space="preserve">became a </w:t>
      </w:r>
      <w:r w:rsidRPr="00544D58">
        <w:rPr>
          <w:rStyle w:val="StyleUnderline"/>
          <w:highlight w:val="green"/>
        </w:rPr>
        <w:t>site of policymaking accessible to people impacted by police violence</w:t>
      </w:r>
      <w:r w:rsidRPr="00544D58">
        <w:rPr>
          <w:rStyle w:val="StyleUnderline"/>
        </w:rPr>
        <w:t>. Defund defined itself against the police union’s regulatory capture: “</w:t>
      </w:r>
      <w:r w:rsidRPr="00544D58">
        <w:rPr>
          <w:rStyle w:val="Emphasis"/>
        </w:rPr>
        <w:t>the road to abolition</w:t>
      </w:r>
      <w:r w:rsidRPr="00544D58">
        <w:rPr>
          <w:rStyle w:val="StyleUnderline"/>
        </w:rPr>
        <w:t xml:space="preserve"> and a safe community is to disrupt and disempower</w:t>
      </w:r>
      <w:r w:rsidRPr="00544D58">
        <w:rPr>
          <w:sz w:val="12"/>
        </w:rPr>
        <w:t xml:space="preserve"> [the FOP’s] </w:t>
      </w:r>
      <w:r w:rsidRPr="00544D58">
        <w:rPr>
          <w:rStyle w:val="StyleUnderline"/>
        </w:rPr>
        <w:t>control over our communities</w:t>
      </w:r>
      <w:r w:rsidRPr="00544D58">
        <w:rPr>
          <w:sz w:val="12"/>
        </w:rPr>
        <w:t xml:space="preserve"> and the DC council [sic]. This fight is one of transparency and accountability versus the white boys club and DC FOP Power.” This move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45F334AE" w14:textId="77777777" w:rsidR="00C42954" w:rsidRPr="00544D58" w:rsidRDefault="00C42954" w:rsidP="00C42954">
      <w:pPr>
        <w:rPr>
          <w:sz w:val="12"/>
        </w:rPr>
      </w:pPr>
      <w:r w:rsidRPr="00544D58">
        <w:rPr>
          <w:sz w:val="12"/>
        </w:rPr>
        <w:t xml:space="preserve">By contrast, </w:t>
      </w:r>
      <w:r w:rsidRPr="00544D58">
        <w:rPr>
          <w:rStyle w:val="Emphasis"/>
          <w:sz w:val="24"/>
          <w:szCs w:val="24"/>
        </w:rPr>
        <w:t xml:space="preserve">Defund MPD viewed the </w:t>
      </w:r>
      <w:r w:rsidRPr="00544D58">
        <w:rPr>
          <w:rStyle w:val="Emphasis"/>
          <w:sz w:val="24"/>
          <w:szCs w:val="24"/>
          <w:highlight w:val="green"/>
        </w:rPr>
        <w:t xml:space="preserve">contract </w:t>
      </w:r>
      <w:r w:rsidRPr="00544D58">
        <w:rPr>
          <w:rStyle w:val="Emphasis"/>
          <w:sz w:val="24"/>
          <w:szCs w:val="24"/>
        </w:rPr>
        <w:t xml:space="preserve">as </w:t>
      </w:r>
      <w:r w:rsidRPr="00544D58">
        <w:rPr>
          <w:rStyle w:val="Emphasis"/>
          <w:sz w:val="24"/>
          <w:szCs w:val="24"/>
          <w:highlight w:val="green"/>
        </w:rPr>
        <w:t>a vehicle for divestment</w:t>
      </w:r>
      <w:r w:rsidRPr="00544D58">
        <w:rPr>
          <w:sz w:val="12"/>
        </w:rPr>
        <w:t xml:space="preserve">. By </w:t>
      </w:r>
      <w:r w:rsidRPr="00544D58">
        <w:rPr>
          <w:rStyle w:val="StyleUnderline"/>
        </w:rPr>
        <w:t>claiming the CBA as a forum for communities to develop policy and influence the District budget, Defund opened the possibility for community control to be implemented in the police discipline process and</w:t>
      </w:r>
      <w:r w:rsidRPr="00544D58">
        <w:rPr>
          <w:sz w:val="12"/>
        </w:rPr>
        <w:t xml:space="preserve"> perhaps in </w:t>
      </w:r>
      <w:r w:rsidRPr="00544D58">
        <w:rPr>
          <w:rStyle w:val="StyleUnderline"/>
        </w:rPr>
        <w:t>public-sector union negotiations across the board</w:t>
      </w:r>
      <w:r w:rsidRPr="00544D58">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1E38DC5E" w14:textId="77777777" w:rsidR="00C42954" w:rsidRPr="00544D58" w:rsidRDefault="00C42954" w:rsidP="00C42954">
      <w:pPr>
        <w:rPr>
          <w:rStyle w:val="StyleUnderline"/>
        </w:rPr>
      </w:pPr>
      <w:r w:rsidRPr="00544D58">
        <w:rPr>
          <w:rStyle w:val="StyleUnderline"/>
        </w:rPr>
        <w:t>Community control evokes a deep critique of the legal system’s role in maintaining race and class oppression and asks for a model of democratic governance that restores power to the historically marginalized</w:t>
      </w:r>
      <w:r w:rsidRPr="00544D58">
        <w:rPr>
          <w:sz w:val="12"/>
        </w:rPr>
        <w:t xml:space="preserve">. As such, </w:t>
      </w:r>
      <w:r w:rsidRPr="00544D58">
        <w:rPr>
          <w:rStyle w:val="StyleUnderline"/>
        </w:rPr>
        <w:t>one critique of community control is that “communities” are not a monolith</w:t>
      </w:r>
      <w:r w:rsidRPr="00544D58">
        <w:rPr>
          <w:sz w:val="12"/>
        </w:rPr>
        <w:t xml:space="preserve">. They have diverse political composition, and inequities can arise in the transfer of power to the historically marginalized. </w:t>
      </w:r>
      <w:r w:rsidRPr="00544D58">
        <w:rPr>
          <w:rStyle w:val="Emphasis"/>
          <w:sz w:val="24"/>
          <w:szCs w:val="24"/>
          <w:highlight w:val="green"/>
        </w:rPr>
        <w:t>That</w:t>
      </w:r>
      <w:r w:rsidRPr="00544D58">
        <w:rPr>
          <w:rStyle w:val="Emphasis"/>
          <w:sz w:val="24"/>
          <w:szCs w:val="24"/>
        </w:rPr>
        <w:t xml:space="preserve"> the </w:t>
      </w:r>
      <w:r w:rsidRPr="00544D58">
        <w:rPr>
          <w:rStyle w:val="Emphasis"/>
          <w:sz w:val="24"/>
          <w:szCs w:val="24"/>
          <w:highlight w:val="green"/>
        </w:rPr>
        <w:t xml:space="preserve">composition of </w:t>
      </w:r>
      <w:r w:rsidRPr="00544D58">
        <w:rPr>
          <w:rStyle w:val="Emphasis"/>
          <w:sz w:val="24"/>
          <w:szCs w:val="24"/>
        </w:rPr>
        <w:t xml:space="preserve">the </w:t>
      </w:r>
      <w:r w:rsidRPr="00544D58">
        <w:rPr>
          <w:rStyle w:val="Emphasis"/>
          <w:sz w:val="24"/>
          <w:szCs w:val="24"/>
          <w:highlight w:val="green"/>
        </w:rPr>
        <w:t>“community”</w:t>
      </w:r>
      <w:r w:rsidRPr="00544D58">
        <w:rPr>
          <w:rStyle w:val="Emphasis"/>
          <w:sz w:val="24"/>
          <w:szCs w:val="24"/>
        </w:rPr>
        <w:t xml:space="preserve"> itself </w:t>
      </w:r>
      <w:r w:rsidRPr="00544D58">
        <w:rPr>
          <w:rStyle w:val="Emphasis"/>
          <w:sz w:val="24"/>
          <w:szCs w:val="24"/>
          <w:highlight w:val="green"/>
        </w:rPr>
        <w:t>is contested and risks cooptation is not a reason to neglect such proposals</w:t>
      </w:r>
      <w:r w:rsidRPr="00544D58">
        <w:rPr>
          <w:sz w:val="12"/>
          <w:highlight w:val="green"/>
        </w:rPr>
        <w:t>.</w:t>
      </w:r>
      <w:r w:rsidRPr="00544D58">
        <w:rPr>
          <w:sz w:val="12"/>
        </w:rPr>
        <w:t xml:space="preserve"> Rather, </w:t>
      </w:r>
      <w:r w:rsidRPr="00544D58">
        <w:rPr>
          <w:rStyle w:val="StyleUnderline"/>
        </w:rPr>
        <w:t>Defund movements, speaking in many voices, pose a powerful and dynamic counterweight to existing modes of policymaking</w:t>
      </w:r>
      <w:r w:rsidRPr="00544D58">
        <w:rPr>
          <w:sz w:val="12"/>
        </w:rPr>
        <w:t>—one that demands recognition, investment, and further inquiry.</w:t>
      </w:r>
    </w:p>
    <w:p w14:paraId="066ABDDF" w14:textId="77777777" w:rsidR="00C42954" w:rsidRPr="00544D58" w:rsidRDefault="00C42954" w:rsidP="00C42954">
      <w:pPr>
        <w:rPr>
          <w:rStyle w:val="StyleUnderline"/>
        </w:rPr>
      </w:pPr>
      <w:r w:rsidRPr="00544D58">
        <w:rPr>
          <w:sz w:val="12"/>
        </w:rPr>
        <w:t xml:space="preserve">Though Defund’s assertion of community control has just begun, </w:t>
      </w:r>
      <w:r w:rsidRPr="00544D58">
        <w:rPr>
          <w:rStyle w:val="Emphasis"/>
          <w:highlight w:val="green"/>
        </w:rPr>
        <w:t>it has already proven effective</w:t>
      </w:r>
      <w:r w:rsidRPr="00544D58">
        <w:rPr>
          <w:sz w:val="12"/>
        </w:rPr>
        <w:t xml:space="preserve">. The scale and presence of the mass movement on the ground in D.C. mobilized the D.C. Council to pass swifter and broader reform legislation in July 2020 than most cities have achieved today. From this position of leverage, </w:t>
      </w:r>
      <w:r w:rsidRPr="00544D58">
        <w:rPr>
          <w:rStyle w:val="StyleUnderline"/>
        </w:rPr>
        <w:t>Defund challenged reformers to address the police union contract as a site of divestment—and to reimagine community power in a way that addresses the roots of economic oppression and state violence.</w:t>
      </w:r>
    </w:p>
    <w:p w14:paraId="4802BE92" w14:textId="77777777" w:rsidR="00C42954" w:rsidRPr="00544D58" w:rsidRDefault="00C42954" w:rsidP="00C42954">
      <w:pPr>
        <w:pStyle w:val="Heading4"/>
      </w:pPr>
      <w:r w:rsidRPr="00544D58">
        <w:t xml:space="preserve">Community control paves the way to </w:t>
      </w:r>
      <w:r w:rsidRPr="00544D58">
        <w:rPr>
          <w:u w:val="single"/>
        </w:rPr>
        <w:t>abolition</w:t>
      </w:r>
      <w:r w:rsidRPr="00544D58">
        <w:t xml:space="preserve"> and communal </w:t>
      </w:r>
      <w:r w:rsidRPr="00544D58">
        <w:rPr>
          <w:u w:val="single"/>
        </w:rPr>
        <w:t>self-determination</w:t>
      </w:r>
      <w:r w:rsidRPr="00544D58">
        <w:t xml:space="preserve">. </w:t>
      </w:r>
    </w:p>
    <w:p w14:paraId="2C55C779" w14:textId="77777777" w:rsidR="00C42954" w:rsidRPr="00544D58" w:rsidRDefault="00C42954" w:rsidP="00C42954">
      <w:pPr>
        <w:rPr>
          <w:rStyle w:val="Style13ptBold"/>
          <w:b w:val="0"/>
          <w:bCs w:val="0"/>
          <w:sz w:val="22"/>
        </w:rPr>
      </w:pPr>
      <w:r w:rsidRPr="00544D58">
        <w:rPr>
          <w:rStyle w:val="Style13ptBold"/>
        </w:rPr>
        <w:t xml:space="preserve">Ford 20 </w:t>
      </w:r>
      <w:r w:rsidRPr="00544D58">
        <w:t xml:space="preserve">[Glen Ford, Black Agenda Report Executive Editor, 6-18-2020, "Community Control of the Police – and a Whole Lot More", Black Agenda Report, </w:t>
      </w:r>
      <w:hyperlink r:id="rId8" w:history="1">
        <w:r w:rsidRPr="00544D58">
          <w:rPr>
            <w:rStyle w:val="Hyperlink"/>
          </w:rPr>
          <w:t>https://www.blackagendareport.com/community-control-police-and-whole-lot-more</w:t>
        </w:r>
      </w:hyperlink>
      <w:r w:rsidRPr="00544D58">
        <w:t>, JKS]</w:t>
      </w:r>
    </w:p>
    <w:p w14:paraId="71D23E07" w14:textId="77777777" w:rsidR="00C42954" w:rsidRPr="00544D58" w:rsidRDefault="00C42954" w:rsidP="00C42954">
      <w:pPr>
        <w:rPr>
          <w:sz w:val="12"/>
        </w:rPr>
      </w:pPr>
      <w:r w:rsidRPr="00544D58">
        <w:rPr>
          <w:rStyle w:val="Emphasis"/>
          <w:sz w:val="24"/>
          <w:szCs w:val="24"/>
          <w:highlight w:val="green"/>
        </w:rPr>
        <w:t xml:space="preserve">Abolition </w:t>
      </w:r>
      <w:r w:rsidRPr="00544D58">
        <w:rPr>
          <w:rStyle w:val="Emphasis"/>
          <w:sz w:val="24"/>
          <w:szCs w:val="24"/>
        </w:rPr>
        <w:t xml:space="preserve">of the police </w:t>
      </w:r>
      <w:r w:rsidRPr="00544D58">
        <w:rPr>
          <w:rStyle w:val="Emphasis"/>
          <w:sz w:val="24"/>
          <w:szCs w:val="24"/>
          <w:highlight w:val="green"/>
        </w:rPr>
        <w:t>begins with community control</w:t>
      </w:r>
      <w:r w:rsidRPr="00544D58">
        <w:rPr>
          <w:sz w:val="12"/>
          <w:highlight w:val="green"/>
        </w:rPr>
        <w:t>,</w:t>
      </w:r>
      <w:r w:rsidRPr="00544D58">
        <w:rPr>
          <w:sz w:val="12"/>
        </w:rPr>
        <w:t xml:space="preserve"> in which community representatives not only hire, fire and oversee the cops, but decide the nature of the policing that is necessary and acceptable.</w:t>
      </w:r>
    </w:p>
    <w:p w14:paraId="29A280EA" w14:textId="77777777" w:rsidR="00C42954" w:rsidRPr="00544D58" w:rsidRDefault="00C42954" w:rsidP="00C42954">
      <w:pPr>
        <w:rPr>
          <w:sz w:val="12"/>
        </w:rPr>
      </w:pPr>
      <w:r w:rsidRPr="00544D58">
        <w:rPr>
          <w:sz w:val="12"/>
        </w:rPr>
        <w:t>“Movements are about amassing power to the people, not collecting promises from corporate flunkies.”</w:t>
      </w:r>
    </w:p>
    <w:p w14:paraId="5A3859E9" w14:textId="77777777" w:rsidR="00C42954" w:rsidRPr="00544D58" w:rsidRDefault="00C42954" w:rsidP="00C42954">
      <w:pPr>
        <w:rPr>
          <w:rStyle w:val="Emphasis"/>
        </w:rPr>
      </w:pPr>
      <w:r w:rsidRPr="00544D58">
        <w:rPr>
          <w:sz w:val="12"/>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544D58">
        <w:rPr>
          <w:rStyle w:val="StyleUnderline"/>
          <w:highlight w:val="green"/>
        </w:rPr>
        <w:t>That means</w:t>
      </w:r>
      <w:r w:rsidRPr="00544D58">
        <w:rPr>
          <w:rStyle w:val="StyleUnderline"/>
        </w:rPr>
        <w:t xml:space="preserve"> demanding community </w:t>
      </w:r>
      <w:r w:rsidRPr="00544D58">
        <w:rPr>
          <w:rStyle w:val="StyleUnderline"/>
          <w:highlight w:val="green"/>
        </w:rPr>
        <w:t>control of</w:t>
      </w:r>
      <w:r w:rsidRPr="00544D58">
        <w:rPr>
          <w:rStyle w:val="StyleUnderline"/>
        </w:rPr>
        <w:t xml:space="preserve"> </w:t>
      </w:r>
      <w:r w:rsidRPr="00544D58">
        <w:rPr>
          <w:sz w:val="12"/>
        </w:rPr>
        <w:t xml:space="preserve">the </w:t>
      </w:r>
      <w:r w:rsidRPr="00544D58">
        <w:rPr>
          <w:rStyle w:val="StyleUnderline"/>
          <w:highlight w:val="green"/>
        </w:rPr>
        <w:t>police, and</w:t>
      </w:r>
      <w:r w:rsidRPr="00544D58">
        <w:rPr>
          <w:rStyle w:val="StyleUnderline"/>
        </w:rPr>
        <w:t xml:space="preserve"> </w:t>
      </w:r>
      <w:r w:rsidRPr="00544D58">
        <w:rPr>
          <w:sz w:val="12"/>
        </w:rPr>
        <w:t>of those</w:t>
      </w:r>
      <w:r w:rsidRPr="00544D58">
        <w:rPr>
          <w:rStyle w:val="StyleUnderline"/>
        </w:rPr>
        <w:t xml:space="preserve"> </w:t>
      </w:r>
      <w:r w:rsidRPr="00544D58">
        <w:rPr>
          <w:rStyle w:val="StyleUnderline"/>
          <w:highlight w:val="green"/>
        </w:rPr>
        <w:t xml:space="preserve">funds </w:t>
      </w:r>
      <w:r w:rsidRPr="00544D58">
        <w:rPr>
          <w:sz w:val="12"/>
        </w:rPr>
        <w:t xml:space="preserve">that </w:t>
      </w:r>
      <w:r w:rsidRPr="00544D58">
        <w:rPr>
          <w:rStyle w:val="StyleUnderline"/>
          <w:highlight w:val="green"/>
        </w:rPr>
        <w:t>local governments are</w:t>
      </w:r>
      <w:r w:rsidRPr="00544D58">
        <w:rPr>
          <w:rStyle w:val="StyleUnderline"/>
        </w:rPr>
        <w:t xml:space="preserve"> </w:t>
      </w:r>
      <w:r w:rsidRPr="00544D58">
        <w:rPr>
          <w:sz w:val="12"/>
        </w:rPr>
        <w:t>supposedly</w:t>
      </w:r>
      <w:r w:rsidRPr="00544D58">
        <w:rPr>
          <w:rStyle w:val="StyleUnderline"/>
        </w:rPr>
        <w:t xml:space="preserve"> </w:t>
      </w:r>
      <w:r w:rsidRPr="00544D58">
        <w:rPr>
          <w:rStyle w:val="StyleUnderline"/>
          <w:highlight w:val="green"/>
        </w:rPr>
        <w:t>diverting from</w:t>
      </w:r>
      <w:r w:rsidRPr="00544D58">
        <w:rPr>
          <w:rStyle w:val="StyleUnderline"/>
        </w:rPr>
        <w:t xml:space="preserve"> </w:t>
      </w:r>
      <w:r w:rsidRPr="00544D58">
        <w:rPr>
          <w:sz w:val="12"/>
        </w:rPr>
        <w:t>the</w:t>
      </w:r>
      <w:r w:rsidRPr="00544D58">
        <w:rPr>
          <w:rStyle w:val="StyleUnderline"/>
        </w:rPr>
        <w:t xml:space="preserve"> </w:t>
      </w:r>
      <w:r w:rsidRPr="00544D58">
        <w:rPr>
          <w:rStyle w:val="StyleUnderline"/>
          <w:highlight w:val="green"/>
        </w:rPr>
        <w:t xml:space="preserve">police to </w:t>
      </w:r>
      <w:r w:rsidRPr="00544D58">
        <w:rPr>
          <w:rStyle w:val="Emphasis"/>
          <w:highlight w:val="green"/>
        </w:rPr>
        <w:t>social programs</w:t>
      </w:r>
      <w:r w:rsidRPr="00544D58">
        <w:rPr>
          <w:rStyle w:val="Emphasis"/>
        </w:rPr>
        <w:t>.</w:t>
      </w:r>
    </w:p>
    <w:p w14:paraId="3EDE35BB" w14:textId="77777777" w:rsidR="00C42954" w:rsidRPr="00544D58" w:rsidRDefault="00C42954" w:rsidP="00C42954">
      <w:pPr>
        <w:rPr>
          <w:sz w:val="12"/>
        </w:rPr>
      </w:pPr>
      <w:r w:rsidRPr="00544D58">
        <w:rPr>
          <w:sz w:val="12"/>
        </w:rPr>
        <w:t xml:space="preserve">If anything has been learned from the past half century of Black reliance on Democratic Party politicians, it is that </w:t>
      </w:r>
      <w:r w:rsidRPr="00544D58">
        <w:rPr>
          <w:rStyle w:val="StyleUnderline"/>
          <w:highlight w:val="green"/>
        </w:rPr>
        <w:t>no lasting victories can be achieved without</w:t>
      </w:r>
      <w:r w:rsidRPr="00544D58">
        <w:rPr>
          <w:rStyle w:val="StyleUnderline"/>
        </w:rPr>
        <w:t xml:space="preserve"> the </w:t>
      </w:r>
      <w:r w:rsidRPr="00544D58">
        <w:rPr>
          <w:rStyle w:val="StyleUnderline"/>
          <w:highlight w:val="green"/>
        </w:rPr>
        <w:t xml:space="preserve">transfer of control of </w:t>
      </w:r>
      <w:r w:rsidRPr="00544D58">
        <w:rPr>
          <w:rStyle w:val="Emphasis"/>
          <w:highlight w:val="green"/>
        </w:rPr>
        <w:t>public resources</w:t>
      </w:r>
      <w:r w:rsidRPr="00544D58">
        <w:rPr>
          <w:sz w:val="12"/>
        </w:rPr>
        <w:t xml:space="preserve"> directly to the people. That was the meaning of “All Power to the People” when the phrase was coined, and must remain the goal of the movement, today. </w:t>
      </w:r>
    </w:p>
    <w:p w14:paraId="6DC02AF6" w14:textId="77777777" w:rsidR="00C42954" w:rsidRPr="00544D58" w:rsidRDefault="00C42954" w:rsidP="00C42954">
      <w:pPr>
        <w:rPr>
          <w:sz w:val="12"/>
        </w:rPr>
      </w:pPr>
      <w:r w:rsidRPr="00544D58">
        <w:rPr>
          <w:sz w:val="12"/>
        </w:rPr>
        <w:t>“No lasting victories can be achieved without the transfer of control of public resources directly to the people.”</w:t>
      </w:r>
    </w:p>
    <w:p w14:paraId="003D0C04" w14:textId="77777777" w:rsidR="00C42954" w:rsidRPr="00544D58" w:rsidRDefault="00C42954" w:rsidP="00C42954">
      <w:pPr>
        <w:rPr>
          <w:sz w:val="12"/>
        </w:rPr>
      </w:pPr>
      <w:r w:rsidRPr="00544D58">
        <w:rPr>
          <w:sz w:val="12"/>
        </w:rPr>
        <w:t xml:space="preserve">Although there is no intrinsic contradiction between the three most-voiced demands of the current movement -- community control of police, defunding the police, and abolition of policing as we know it – </w:t>
      </w:r>
      <w:r w:rsidRPr="00544D58">
        <w:rPr>
          <w:rStyle w:val="StyleUnderline"/>
          <w:highlight w:val="green"/>
        </w:rPr>
        <w:t>only</w:t>
      </w:r>
      <w:r w:rsidRPr="00544D58">
        <w:rPr>
          <w:rStyle w:val="StyleUnderline"/>
        </w:rPr>
        <w:t xml:space="preserve"> </w:t>
      </w:r>
      <w:r w:rsidRPr="00544D58">
        <w:rPr>
          <w:sz w:val="12"/>
        </w:rPr>
        <w:t xml:space="preserve">proposals for </w:t>
      </w:r>
      <w:r w:rsidRPr="00544D58">
        <w:rPr>
          <w:rStyle w:val="StyleUnderline"/>
          <w:highlight w:val="green"/>
        </w:rPr>
        <w:t>community control</w:t>
      </w:r>
      <w:r w:rsidRPr="00544D58">
        <w:rPr>
          <w:rStyle w:val="StyleUnderline"/>
        </w:rPr>
        <w:t xml:space="preserve"> of the police directly </w:t>
      </w:r>
      <w:r w:rsidRPr="00544D58">
        <w:rPr>
          <w:rStyle w:val="StyleUnderline"/>
          <w:highlight w:val="green"/>
        </w:rPr>
        <w:t>confront the issue of power</w:t>
      </w:r>
      <w:r w:rsidRPr="00544D58">
        <w:rPr>
          <w:rStyle w:val="StyleUnderline"/>
        </w:rPr>
        <w:t xml:space="preserve"> in the here and now</w:t>
      </w:r>
      <w:r w:rsidRPr="00544D58">
        <w:rPr>
          <w:rStyle w:val="StyleUnderline"/>
          <w:highlight w:val="green"/>
        </w:rPr>
        <w:t>, and</w:t>
      </w:r>
      <w:r w:rsidRPr="00544D58">
        <w:rPr>
          <w:rStyle w:val="StyleUnderline"/>
        </w:rPr>
        <w:t xml:space="preserve"> </w:t>
      </w:r>
      <w:r w:rsidRPr="00544D58">
        <w:rPr>
          <w:sz w:val="12"/>
        </w:rPr>
        <w:t>also address</w:t>
      </w:r>
      <w:r w:rsidRPr="00544D58">
        <w:rPr>
          <w:rStyle w:val="StyleUnderline"/>
        </w:rPr>
        <w:t xml:space="preserve"> </w:t>
      </w:r>
      <w:r w:rsidRPr="00544D58">
        <w:rPr>
          <w:rStyle w:val="StyleUnderline"/>
          <w:highlight w:val="green"/>
        </w:rPr>
        <w:t>demands</w:t>
      </w:r>
      <w:r w:rsidRPr="00544D58">
        <w:rPr>
          <w:rStyle w:val="StyleUnderline"/>
        </w:rPr>
        <w:t xml:space="preserve"> </w:t>
      </w:r>
      <w:r w:rsidRPr="00544D58">
        <w:rPr>
          <w:rStyle w:val="StyleUnderline"/>
          <w:highlight w:val="green"/>
        </w:rPr>
        <w:t>for</w:t>
      </w:r>
      <w:r w:rsidRPr="00544D58">
        <w:rPr>
          <w:rStyle w:val="StyleUnderline"/>
        </w:rPr>
        <w:t xml:space="preserve"> direct democracy and </w:t>
      </w:r>
      <w:r w:rsidRPr="00AB4599">
        <w:rPr>
          <w:rStyle w:val="StyleUnderline"/>
        </w:rPr>
        <w:t>Black self-determination</w:t>
      </w:r>
      <w:r w:rsidRPr="00544D58">
        <w:rPr>
          <w:sz w:val="12"/>
          <w:highlight w:val="green"/>
        </w:rPr>
        <w:t xml:space="preserve">. </w:t>
      </w:r>
      <w:r w:rsidRPr="00544D58">
        <w:rPr>
          <w:rStyle w:val="StyleUnderline"/>
          <w:highlight w:val="green"/>
        </w:rPr>
        <w:t>Community control</w:t>
      </w:r>
      <w:r w:rsidRPr="00544D58">
        <w:rPr>
          <w:rStyle w:val="StyleUnderline"/>
        </w:rPr>
        <w:t xml:space="preserve"> </w:t>
      </w:r>
      <w:r w:rsidRPr="00544D58">
        <w:rPr>
          <w:sz w:val="12"/>
        </w:rPr>
        <w:t>of the police</w:t>
      </w:r>
      <w:r w:rsidRPr="00544D58">
        <w:rPr>
          <w:rStyle w:val="StyleUnderline"/>
        </w:rPr>
        <w:t xml:space="preserve"> was </w:t>
      </w:r>
      <w:r w:rsidRPr="00AB4599">
        <w:rPr>
          <w:rStyle w:val="StyleUnderline"/>
        </w:rPr>
        <w:t>essential to the</w:t>
      </w:r>
      <w:r w:rsidRPr="00544D58">
        <w:rPr>
          <w:rStyle w:val="StyleUnderline"/>
        </w:rPr>
        <w:t xml:space="preserve"> formation of the </w:t>
      </w:r>
      <w:r w:rsidRPr="00AB4599">
        <w:rPr>
          <w:rStyle w:val="StyleUnderline"/>
        </w:rPr>
        <w:t>Black Panther Party</w:t>
      </w:r>
      <w:r w:rsidRPr="00544D58">
        <w:rPr>
          <w:rStyle w:val="StyleUnderline"/>
        </w:rPr>
        <w:t>, and has been an active demand of Chicago organizers since 2012.  Support for a Civilian Police Accountability Council</w:t>
      </w:r>
      <w:r w:rsidRPr="00544D58">
        <w:rPr>
          <w:sz w:val="12"/>
        </w:rPr>
        <w:t xml:space="preserve"> (CPAC) </w:t>
      </w:r>
      <w:r w:rsidRPr="00544D58">
        <w:rPr>
          <w:rStyle w:val="StyleUnderline"/>
        </w:rPr>
        <w:t>has grown from only one of the 50-member city council</w:t>
      </w:r>
      <w:r w:rsidRPr="00544D58">
        <w:rPr>
          <w:sz w:val="12"/>
        </w:rPr>
        <w:t xml:space="preserve"> (board of aldermen) </w:t>
      </w:r>
      <w:r w:rsidRPr="00544D58">
        <w:rPr>
          <w:rStyle w:val="StyleUnderline"/>
        </w:rPr>
        <w:t>to 19 co-sponsors of the enabling legislation.</w:t>
      </w:r>
      <w:r w:rsidRPr="00544D58">
        <w:rPr>
          <w:sz w:val="12"/>
        </w:rPr>
        <w:t xml:space="preserve"> Last fall, more than a </w:t>
      </w:r>
      <w:r w:rsidRPr="00544D58">
        <w:rPr>
          <w:rStyle w:val="StyleUnderline"/>
        </w:rPr>
        <w:t>thousand activists from across the country met in Chicago to endorse the concept of community control of police, and pledged to fight for its enactment in 22 cities</w:t>
      </w:r>
      <w:r w:rsidRPr="00544D58">
        <w:rPr>
          <w:sz w:val="12"/>
        </w:rPr>
        <w:t xml:space="preserve"> – a list that has grown with the wave of George Floyd protests. </w:t>
      </w:r>
    </w:p>
    <w:p w14:paraId="4102B79D" w14:textId="77777777" w:rsidR="00C42954" w:rsidRPr="00544D58" w:rsidRDefault="00C42954" w:rsidP="00C42954">
      <w:pPr>
        <w:rPr>
          <w:sz w:val="12"/>
        </w:rPr>
      </w:pPr>
      <w:r w:rsidRPr="00544D58">
        <w:rPr>
          <w:sz w:val="12"/>
        </w:rPr>
        <w:t>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Party political player and go-to person for corporate philanthropy.</w:t>
      </w:r>
    </w:p>
    <w:p w14:paraId="204AEACA" w14:textId="77777777" w:rsidR="00C42954" w:rsidRPr="00544D58" w:rsidRDefault="00C42954" w:rsidP="00C42954">
      <w:pPr>
        <w:rPr>
          <w:sz w:val="12"/>
        </w:rPr>
      </w:pPr>
      <w:r w:rsidRPr="00544D58">
        <w:rPr>
          <w:sz w:val="12"/>
        </w:rPr>
        <w:t>“Black Lives Matter is more a quilt than a monolith.”</w:t>
      </w:r>
    </w:p>
    <w:p w14:paraId="751E06B2" w14:textId="77777777" w:rsidR="00C42954" w:rsidRPr="00544D58" w:rsidRDefault="00C42954" w:rsidP="00C42954">
      <w:pPr>
        <w:rPr>
          <w:rStyle w:val="StyleUnderline"/>
        </w:rPr>
      </w:pPr>
      <w:r w:rsidRPr="00544D58">
        <w:rPr>
          <w:rStyle w:val="Emphasis"/>
        </w:rPr>
        <w:t>A serious, methodical program of defunding the police requires a community control approach</w:t>
      </w:r>
      <w:r w:rsidRPr="00544D58">
        <w:rPr>
          <w:sz w:val="12"/>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544D58">
        <w:rPr>
          <w:rStyle w:val="StyleUnderline"/>
          <w:highlight w:val="green"/>
        </w:rPr>
        <w:t xml:space="preserve">defunding </w:t>
      </w:r>
      <w:r w:rsidRPr="00544D58">
        <w:rPr>
          <w:rStyle w:val="StyleUnderline"/>
        </w:rPr>
        <w:t xml:space="preserve">of police </w:t>
      </w:r>
      <w:r w:rsidRPr="00544D58">
        <w:rPr>
          <w:rStyle w:val="StyleUnderline"/>
          <w:highlight w:val="green"/>
        </w:rPr>
        <w:t xml:space="preserve">leads directly to the funding of specific public services, </w:t>
      </w:r>
      <w:r w:rsidRPr="00544D58">
        <w:rPr>
          <w:rStyle w:val="StyleUnderline"/>
        </w:rPr>
        <w:t xml:space="preserve">some of them currently badly performed by cops and all of which should be overseen by the publics most directly affected. </w:t>
      </w:r>
      <w:r w:rsidRPr="00544D58">
        <w:rPr>
          <w:rStyle w:val="StyleUnderline"/>
          <w:highlight w:val="green"/>
        </w:rPr>
        <w:t>Absent community control, defunding</w:t>
      </w:r>
      <w:r w:rsidRPr="00544D58">
        <w:rPr>
          <w:rStyle w:val="StyleUnderline"/>
        </w:rPr>
        <w:t xml:space="preserve"> </w:t>
      </w:r>
      <w:r w:rsidRPr="00544D58">
        <w:rPr>
          <w:sz w:val="12"/>
        </w:rPr>
        <w:t>of police</w:t>
      </w:r>
      <w:r w:rsidRPr="00544D58">
        <w:rPr>
          <w:rStyle w:val="StyleUnderline"/>
        </w:rPr>
        <w:t xml:space="preserve"> </w:t>
      </w:r>
      <w:r w:rsidRPr="00544D58">
        <w:rPr>
          <w:rStyle w:val="StyleUnderline"/>
          <w:highlight w:val="green"/>
        </w:rPr>
        <w:t>will</w:t>
      </w:r>
      <w:r w:rsidRPr="00544D58">
        <w:rPr>
          <w:rStyle w:val="StyleUnderline"/>
        </w:rPr>
        <w:t xml:space="preserve"> </w:t>
      </w:r>
      <w:r w:rsidRPr="00544D58">
        <w:rPr>
          <w:sz w:val="12"/>
        </w:rPr>
        <w:t>only</w:t>
      </w:r>
      <w:r w:rsidRPr="00544D58">
        <w:rPr>
          <w:rStyle w:val="StyleUnderline"/>
        </w:rPr>
        <w:t xml:space="preserve"> result in a shrinkage of the domestic army of occupation, </w:t>
      </w:r>
      <w:r w:rsidRPr="00544D58">
        <w:rPr>
          <w:rStyle w:val="StyleUnderline"/>
          <w:highlight w:val="green"/>
        </w:rPr>
        <w:t xml:space="preserve">not </w:t>
      </w:r>
      <w:r w:rsidRPr="00544D58">
        <w:rPr>
          <w:rStyle w:val="StyleUnderline"/>
        </w:rPr>
        <w:t xml:space="preserve">a </w:t>
      </w:r>
      <w:r w:rsidRPr="00544D58">
        <w:rPr>
          <w:rStyle w:val="StyleUnderline"/>
          <w:highlight w:val="green"/>
        </w:rPr>
        <w:t xml:space="preserve">change </w:t>
      </w:r>
      <w:r w:rsidRPr="00544D58">
        <w:rPr>
          <w:rStyle w:val="StyleUnderline"/>
        </w:rPr>
        <w:t xml:space="preserve">in </w:t>
      </w:r>
      <w:r w:rsidRPr="00544D58">
        <w:rPr>
          <w:rStyle w:val="StyleUnderline"/>
          <w:highlight w:val="green"/>
        </w:rPr>
        <w:t>the lethally oppressive relationship</w:t>
      </w:r>
      <w:r w:rsidRPr="00544D58">
        <w:rPr>
          <w:rStyle w:val="StyleUnderline"/>
        </w:rPr>
        <w:t xml:space="preserve">, and any social services that receive new funding will be answerable only to the legislators that had previously starved the community of services. </w:t>
      </w:r>
    </w:p>
    <w:p w14:paraId="1BF3C72A" w14:textId="77777777" w:rsidR="00C42954" w:rsidRPr="00544D58" w:rsidRDefault="00C42954" w:rsidP="00C42954">
      <w:pPr>
        <w:rPr>
          <w:rStyle w:val="Emphasis"/>
          <w:sz w:val="24"/>
          <w:szCs w:val="24"/>
        </w:rPr>
      </w:pPr>
      <w:r w:rsidRPr="00544D58">
        <w:rPr>
          <w:rStyle w:val="Emphasis"/>
        </w:rPr>
        <w:t>Abolition of the police begins with community control,</w:t>
      </w:r>
      <w:r w:rsidRPr="00544D58">
        <w:rPr>
          <w:sz w:val="12"/>
        </w:rPr>
        <w:t xml:space="preserve"> in which community representatives not only hire, fire and oversee the cops, but decide the nature of the policing that is necessary and acceptable. </w:t>
      </w:r>
      <w:r w:rsidRPr="00544D58">
        <w:rPr>
          <w:rStyle w:val="Emphasis"/>
          <w:sz w:val="24"/>
          <w:szCs w:val="24"/>
          <w:highlight w:val="green"/>
        </w:rPr>
        <w:t xml:space="preserve">Community control </w:t>
      </w:r>
      <w:r w:rsidRPr="00544D58">
        <w:rPr>
          <w:rStyle w:val="Emphasis"/>
          <w:sz w:val="24"/>
          <w:szCs w:val="24"/>
        </w:rPr>
        <w:t xml:space="preserve">is a </w:t>
      </w:r>
      <w:r w:rsidRPr="00544D58">
        <w:rPr>
          <w:rStyle w:val="Emphasis"/>
          <w:sz w:val="24"/>
          <w:szCs w:val="24"/>
          <w:highlight w:val="green"/>
        </w:rPr>
        <w:t xml:space="preserve">prerequisite </w:t>
      </w:r>
      <w:r w:rsidRPr="00544D58">
        <w:rPr>
          <w:rStyle w:val="Emphasis"/>
          <w:sz w:val="24"/>
          <w:szCs w:val="24"/>
        </w:rPr>
        <w:t>to communities policing themselves to the greatest degree possible.</w:t>
      </w:r>
    </w:p>
    <w:p w14:paraId="722C4A55" w14:textId="77777777" w:rsidR="00C42954" w:rsidRDefault="00C42954" w:rsidP="00C42954">
      <w:pPr>
        <w:rPr>
          <w:rStyle w:val="StyleUnderline"/>
        </w:rPr>
      </w:pPr>
      <w:r w:rsidRPr="00544D58">
        <w:rPr>
          <w:sz w:val="12"/>
        </w:rPr>
        <w:t xml:space="preserve">Indeed, </w:t>
      </w:r>
      <w:r w:rsidRPr="00544D58">
        <w:rPr>
          <w:rStyle w:val="StyleUnderline"/>
        </w:rPr>
        <w:t xml:space="preserve">communities should control, not just the police, but much of the rest of their neighborhoods’ vital services and resources. The right to self-determination is not confined to the criminal justice system. </w:t>
      </w:r>
      <w:r w:rsidRPr="00544D58">
        <w:rPr>
          <w:sz w:val="12"/>
        </w:rPr>
        <w:t xml:space="preserve">Therefore, </w:t>
      </w:r>
      <w:r w:rsidRPr="00544D58">
        <w:rPr>
          <w:rStyle w:val="StyleUnderline"/>
        </w:rPr>
        <w:t>community control of police advocates would be in principled agreement with the Los Angeles Movement 4 Black Lives position: “</w:t>
      </w:r>
      <w:r w:rsidRPr="00544D58">
        <w:rPr>
          <w:rStyle w:val="StyleUnderline"/>
          <w:highlight w:val="green"/>
        </w:rPr>
        <w:t>The most impacted in our communities need to control</w:t>
      </w:r>
      <w:r w:rsidRPr="00544D58">
        <w:rPr>
          <w:rStyle w:val="StyleUnderline"/>
        </w:rPr>
        <w:t xml:space="preserve"> </w:t>
      </w:r>
      <w:r w:rsidRPr="00544D58">
        <w:rPr>
          <w:sz w:val="12"/>
        </w:rPr>
        <w:t xml:space="preserve">the </w:t>
      </w:r>
      <w:r w:rsidRPr="00544D58">
        <w:rPr>
          <w:rStyle w:val="StyleUnderline"/>
          <w:highlight w:val="green"/>
        </w:rPr>
        <w:t>laws, institutions, and policies</w:t>
      </w:r>
      <w:r w:rsidRPr="00544D58">
        <w:rPr>
          <w:rStyle w:val="StyleUnderline"/>
        </w:rPr>
        <w:t xml:space="preserve"> that are meant to serve us – from </w:t>
      </w:r>
      <w:r w:rsidRPr="00544D58">
        <w:rPr>
          <w:sz w:val="12"/>
        </w:rPr>
        <w:t>our</w:t>
      </w:r>
      <w:r w:rsidRPr="00544D58">
        <w:rPr>
          <w:rStyle w:val="StyleUnderline"/>
        </w:rPr>
        <w:t xml:space="preserve"> </w:t>
      </w:r>
      <w:r w:rsidRPr="00544D58">
        <w:rPr>
          <w:rStyle w:val="Emphasis"/>
        </w:rPr>
        <w:t>schools to</w:t>
      </w:r>
      <w:r w:rsidRPr="00544D58">
        <w:rPr>
          <w:rStyle w:val="StyleUnderline"/>
        </w:rPr>
        <w:t xml:space="preserve"> </w:t>
      </w:r>
      <w:r w:rsidRPr="00544D58">
        <w:rPr>
          <w:sz w:val="12"/>
        </w:rPr>
        <w:t>our</w:t>
      </w:r>
      <w:r w:rsidRPr="00544D58">
        <w:rPr>
          <w:rStyle w:val="StyleUnderline"/>
        </w:rPr>
        <w:t xml:space="preserve"> </w:t>
      </w:r>
      <w:r w:rsidRPr="00544D58">
        <w:rPr>
          <w:rStyle w:val="Emphasis"/>
        </w:rPr>
        <w:t>local budgets, economies,</w:t>
      </w:r>
      <w:r w:rsidRPr="00544D58">
        <w:rPr>
          <w:rStyle w:val="StyleUnderline"/>
        </w:rPr>
        <w:t xml:space="preserve"> and police department.”</w:t>
      </w:r>
    </w:p>
    <w:p w14:paraId="282C81F0" w14:textId="77777777" w:rsidR="00C42954" w:rsidRDefault="00C42954" w:rsidP="00C42954">
      <w:pPr>
        <w:pStyle w:val="Heading3"/>
      </w:pPr>
      <w:r>
        <w:t>1NC---K</w:t>
      </w:r>
    </w:p>
    <w:p w14:paraId="4E818CC2" w14:textId="77777777" w:rsidR="00C42954" w:rsidRPr="00277802" w:rsidRDefault="00C42954" w:rsidP="00C42954">
      <w:r>
        <w:t xml:space="preserve">Unions Good. </w:t>
      </w:r>
    </w:p>
    <w:p w14:paraId="5B01CDA2" w14:textId="77777777" w:rsidR="00C42954" w:rsidRDefault="00C42954" w:rsidP="00C42954">
      <w:pPr>
        <w:pStyle w:val="Heading4"/>
      </w:pPr>
      <w:r>
        <w:t>Your primary ethical obligation is to fight for unions and organized labor. That’s key to stopping ICE, ensuring worker protections, and fighting Trumpian fascism.</w:t>
      </w:r>
    </w:p>
    <w:p w14:paraId="6F3AB3EA" w14:textId="77777777" w:rsidR="00C42954" w:rsidRDefault="00C42954" w:rsidP="00C42954">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In Court to Unions and the Workers Who Power Them" July 28 2025 </w:t>
      </w:r>
      <w:r w:rsidRPr="00277802">
        <w:t>https://ballsandstrikes.org/law-politics/trump-unions-losing-in-court/</w:t>
      </w:r>
      <w:r>
        <w:t xml:space="preserve"> NL]</w:t>
      </w:r>
    </w:p>
    <w:p w14:paraId="3A14FFB6" w14:textId="77777777" w:rsidR="00C42954" w:rsidRPr="004302D2" w:rsidRDefault="00C42954" w:rsidP="00C42954">
      <w:pPr>
        <w:rPr>
          <w:rStyle w:val="StyleUnderline"/>
        </w:rPr>
      </w:pPr>
      <w:r w:rsidRPr="00943198">
        <w:rPr>
          <w:rStyle w:val="StyleUnderline"/>
          <w:highlight w:val="green"/>
        </w:rPr>
        <w:t>In</w:t>
      </w:r>
      <w:r w:rsidRPr="004302D2">
        <w:rPr>
          <w:rStyle w:val="StyleUnderline"/>
        </w:rPr>
        <w:t xml:space="preserve"> the first year of President Donald </w:t>
      </w:r>
      <w:r w:rsidRPr="00943198">
        <w:rPr>
          <w:rStyle w:val="StyleUnderline"/>
          <w:highlight w:val="green"/>
        </w:rPr>
        <w:t>Trump’s second term</w:t>
      </w:r>
      <w:r w:rsidRPr="004302D2">
        <w:rPr>
          <w:rStyle w:val="StyleUnderline"/>
        </w:rPr>
        <w:t xml:space="preserve">, as </w:t>
      </w:r>
      <w:r w:rsidRPr="00277802">
        <w:rPr>
          <w:rStyle w:val="Emphasis"/>
        </w:rPr>
        <w:t>rural hospitals and abortion clinics close</w:t>
      </w:r>
      <w:r w:rsidRPr="00277802">
        <w:rPr>
          <w:rStyle w:val="StyleUnderline"/>
        </w:rPr>
        <w:t xml:space="preserve">, </w:t>
      </w:r>
      <w:r w:rsidRPr="00277802">
        <w:rPr>
          <w:rStyle w:val="Emphasis"/>
        </w:rPr>
        <w:t>ICE raids escalate</w:t>
      </w:r>
      <w:r w:rsidRPr="00277802">
        <w:rPr>
          <w:rStyle w:val="StyleUnderline"/>
        </w:rPr>
        <w:t xml:space="preserve">, and </w:t>
      </w:r>
      <w:r w:rsidRPr="00277802">
        <w:rPr>
          <w:rStyle w:val="Emphasis"/>
        </w:rPr>
        <w:t>federal worker protections get gutted b</w:t>
      </w:r>
      <w:r w:rsidRPr="004302D2">
        <w:rPr>
          <w:rStyle w:val="Emphasis"/>
        </w:rPr>
        <w:t>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52A2AB94" w14:textId="77777777" w:rsidR="00C42954" w:rsidRPr="00277802" w:rsidRDefault="00C42954" w:rsidP="00C42954">
      <w:pPr>
        <w:rPr>
          <w:sz w:val="16"/>
        </w:rPr>
      </w:pPr>
      <w:r w:rsidRPr="00943198">
        <w:rPr>
          <w:rStyle w:val="StyleUnderline"/>
          <w:highlight w:val="green"/>
        </w:rPr>
        <w:t>Organized labor has become</w:t>
      </w:r>
      <w:r w:rsidRPr="004302D2">
        <w:rPr>
          <w:rStyle w:val="StyleUnderline"/>
        </w:rPr>
        <w:t xml:space="preserve"> one </w:t>
      </w:r>
      <w:r w:rsidRPr="000268A6">
        <w:rPr>
          <w:rStyle w:val="StyleUnderline"/>
        </w:rPr>
        <w:t xml:space="preserve">of </w:t>
      </w:r>
      <w:r w:rsidRPr="00943198">
        <w:rPr>
          <w:rStyle w:val="StyleUnderline"/>
          <w:highlight w:val="green"/>
        </w:rPr>
        <w:t xml:space="preserve">the </w:t>
      </w:r>
      <w:r w:rsidRPr="00943198">
        <w:rPr>
          <w:rStyle w:val="Emphasis"/>
          <w:highlight w:val="green"/>
        </w:rPr>
        <w:t>most effective</w:t>
      </w:r>
      <w:r w:rsidRPr="004302D2">
        <w:rPr>
          <w:rStyle w:val="StyleUnderline"/>
        </w:rPr>
        <w:t xml:space="preserve"> legal </w:t>
      </w:r>
      <w:r w:rsidRPr="00943198">
        <w:rPr>
          <w:rStyle w:val="Emphasis"/>
          <w:highlight w:val="green"/>
        </w:rPr>
        <w:t>opponent</w:t>
      </w:r>
      <w:r w:rsidRPr="005A7166">
        <w:rPr>
          <w:rStyle w:val="StyleUnderline"/>
        </w:rPr>
        <w:t xml:space="preserve">s </w:t>
      </w:r>
      <w:r w:rsidRPr="00277802">
        <w:rPr>
          <w:rStyle w:val="Emphasis"/>
        </w:rPr>
        <w:t>of</w:t>
      </w:r>
      <w:r w:rsidRPr="00277802">
        <w:rPr>
          <w:rStyle w:val="StyleUnderline"/>
        </w:rPr>
        <w:t xml:space="preserve"> the </w:t>
      </w:r>
      <w:r w:rsidRPr="00277802">
        <w:rPr>
          <w:rStyle w:val="Emphasis"/>
        </w:rPr>
        <w:t>Trump</w:t>
      </w:r>
      <w:r w:rsidRPr="004302D2">
        <w:rPr>
          <w:rStyle w:val="StyleUnderline"/>
        </w:rPr>
        <w:t xml:space="preserve"> administration’s second-term agenda—not because it wants to, but </w:t>
      </w:r>
      <w:r w:rsidRPr="004302D2">
        <w:rPr>
          <w:rStyle w:val="Emphasis"/>
        </w:rPr>
        <w:t>because it has to</w:t>
      </w:r>
      <w:r w:rsidRPr="004302D2">
        <w:rPr>
          <w:rStyle w:val="StyleUnderline"/>
        </w:rPr>
        <w:t>.</w:t>
      </w:r>
      <w:r w:rsidRPr="00277802">
        <w:rPr>
          <w:sz w:val="16"/>
        </w:rPr>
        <w:t xml:space="preserve"> Take, for example, CBS’s sudden cancellation of </w:t>
      </w:r>
      <w:r w:rsidRPr="00277802">
        <w:rPr>
          <w:i/>
          <w:iCs/>
          <w:sz w:val="16"/>
        </w:rPr>
        <w:t>The Late Show</w:t>
      </w:r>
      <w:r w:rsidRPr="00277802">
        <w:rPr>
          <w:sz w:val="16"/>
        </w:rPr>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459D2B07" w14:textId="77777777" w:rsidR="00C42954" w:rsidRPr="00277802" w:rsidRDefault="00C42954" w:rsidP="00C42954">
      <w:pPr>
        <w:rPr>
          <w:sz w:val="16"/>
        </w:rPr>
      </w:pPr>
      <w:r w:rsidRPr="004302D2">
        <w:rPr>
          <w:rStyle w:val="StyleUnderline"/>
        </w:rPr>
        <w:t xml:space="preserve">This is </w:t>
      </w:r>
      <w:r w:rsidRPr="00943198">
        <w:rPr>
          <w:rStyle w:val="StyleUnderline"/>
          <w:highlight w:val="green"/>
        </w:rPr>
        <w:t>the</w:t>
      </w:r>
      <w:r w:rsidRPr="00277802">
        <w:rPr>
          <w:sz w:val="16"/>
        </w:rPr>
        <w:t xml:space="preserve"> kind of </w:t>
      </w:r>
      <w:r w:rsidRPr="00943198">
        <w:rPr>
          <w:rStyle w:val="Emphasis"/>
          <w:highlight w:val="green"/>
        </w:rPr>
        <w:t>speed</w:t>
      </w:r>
      <w:r w:rsidRPr="00943198">
        <w:rPr>
          <w:rStyle w:val="StyleUnderline"/>
          <w:highlight w:val="green"/>
        </w:rPr>
        <w:t xml:space="preserve"> and </w:t>
      </w:r>
      <w:r w:rsidRPr="00943198">
        <w:rPr>
          <w:rStyle w:val="Emphasis"/>
          <w:highlight w:val="green"/>
        </w:rPr>
        <w:t>clarity</w:t>
      </w:r>
      <w:r w:rsidRPr="004302D2">
        <w:rPr>
          <w:rStyle w:val="StyleUnderline"/>
        </w:rPr>
        <w:t xml:space="preserve"> needed </w:t>
      </w:r>
      <w:r w:rsidRPr="00277802">
        <w:rPr>
          <w:rStyle w:val="StyleUnderline"/>
        </w:rPr>
        <w:t xml:space="preserve">to </w:t>
      </w:r>
      <w:r w:rsidRPr="00943198">
        <w:rPr>
          <w:rStyle w:val="Emphasis"/>
          <w:highlight w:val="green"/>
        </w:rPr>
        <w:t>cut through Trump’s noise.</w:t>
      </w:r>
      <w:r w:rsidRPr="00277802">
        <w:rPr>
          <w:sz w:val="16"/>
        </w:rPr>
        <w:t xml:space="preserve"> So far, </w:t>
      </w:r>
      <w:r w:rsidRPr="004302D2">
        <w:rPr>
          <w:rStyle w:val="StyleUnderline"/>
        </w:rPr>
        <w:t xml:space="preserve">the </w:t>
      </w:r>
      <w:r w:rsidRPr="00277802">
        <w:rPr>
          <w:rStyle w:val="StyleUnderline"/>
          <w:highlight w:val="green"/>
        </w:rPr>
        <w:t>labor</w:t>
      </w:r>
      <w:r w:rsidRPr="004302D2">
        <w:rPr>
          <w:rStyle w:val="StyleUnderline"/>
        </w:rPr>
        <w:t xml:space="preserve"> movement is proving itself to be </w:t>
      </w:r>
      <w:r w:rsidRPr="00277802">
        <w:rPr>
          <w:rStyle w:val="Emphasis"/>
          <w:highlight w:val="green"/>
        </w:rPr>
        <w:t>uniquely positioned</w:t>
      </w:r>
      <w:r w:rsidRPr="004302D2">
        <w:rPr>
          <w:rStyle w:val="Emphasis"/>
        </w:rPr>
        <w:t xml:space="preserve"> to deliver</w:t>
      </w:r>
      <w:r w:rsidRPr="00277802">
        <w:rPr>
          <w:sz w:val="16"/>
        </w:rPr>
        <w:t>.</w:t>
      </w:r>
    </w:p>
    <w:p w14:paraId="3988725A" w14:textId="77777777" w:rsidR="00C42954" w:rsidRPr="00277802" w:rsidRDefault="00C42954" w:rsidP="00C42954">
      <w:pPr>
        <w:rPr>
          <w:sz w:val="16"/>
        </w:rPr>
      </w:pPr>
      <w:r w:rsidRPr="00277802">
        <w:rPr>
          <w:sz w:val="16"/>
        </w:rPr>
        <w:t xml:space="preserve">Already, the </w:t>
      </w:r>
      <w:r w:rsidRPr="004302D2">
        <w:rPr>
          <w:rStyle w:val="StyleUnderline"/>
        </w:rPr>
        <w:t>Trump</w:t>
      </w:r>
      <w:r w:rsidRPr="00277802">
        <w:rPr>
          <w:sz w:val="16"/>
        </w:rPr>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277802">
        <w:rPr>
          <w:sz w:val="16"/>
        </w:rPr>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277802">
        <w:rPr>
          <w:sz w:val="16"/>
        </w:rPr>
        <w:t xml:space="preserve">, freezing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revived the subminimum wage for disabled workers</w:t>
      </w:r>
      <w:r w:rsidRPr="00277802">
        <w:rPr>
          <w:sz w:val="16"/>
        </w:rPr>
        <w:t>, and pushed executive orders that make it harder for federal employees to organize. Meanwhile, the nominee to replace Gwynne Wilcox as chair of the NLRB is a former partner at Morgan Lewis, a law firm that has represented Amazon in high-profile union-busting efforts. </w:t>
      </w:r>
    </w:p>
    <w:p w14:paraId="4297B31F" w14:textId="77777777" w:rsidR="00C42954" w:rsidRPr="00277802" w:rsidRDefault="00C42954" w:rsidP="00C42954">
      <w:pPr>
        <w:rPr>
          <w:sz w:val="16"/>
        </w:rPr>
      </w:pPr>
      <w:r w:rsidRPr="00277802">
        <w:rPr>
          <w:sz w:val="16"/>
        </w:rPr>
        <w:t>The strategy isn’t subtle: use a barrage of obscure administrative tools—midnight memos, stop-and-go rulemaking, unannounced enforcement shifts—to move faster than the opposition can react. If your enemy is delayed, procedural chaos is your friend. </w:t>
      </w:r>
    </w:p>
    <w:p w14:paraId="50BF9097" w14:textId="77777777" w:rsidR="00C42954" w:rsidRPr="004302D2" w:rsidRDefault="00C42954" w:rsidP="00C42954">
      <w:pPr>
        <w:rPr>
          <w:rStyle w:val="StyleUnderline"/>
        </w:rPr>
      </w:pPr>
      <w:r w:rsidRPr="00277802">
        <w:rPr>
          <w:sz w:val="16"/>
        </w:rPr>
        <w:t xml:space="preserve">That is, unless your opponent knows how to file a TRO by breakfast. </w:t>
      </w:r>
      <w:r w:rsidRPr="00943198">
        <w:rPr>
          <w:rStyle w:val="StyleUnderline"/>
          <w:highlight w:val="green"/>
        </w:rPr>
        <w:t>Unlike most</w:t>
      </w:r>
      <w:r w:rsidRPr="004302D2">
        <w:rPr>
          <w:rStyle w:val="StyleUnderline"/>
        </w:rPr>
        <w:t xml:space="preserve"> would-be </w:t>
      </w:r>
      <w:r w:rsidRPr="00943198">
        <w:rPr>
          <w:rStyle w:val="StyleUnderline"/>
          <w:highlight w:val="green"/>
        </w:rPr>
        <w:t>challengers</w:t>
      </w:r>
      <w:r w:rsidRPr="004302D2">
        <w:rPr>
          <w:rStyle w:val="StyleUnderline"/>
        </w:rPr>
        <w:t xml:space="preserve"> to Trump’s policies, </w:t>
      </w:r>
      <w:r w:rsidRPr="00943198">
        <w:rPr>
          <w:rStyle w:val="StyleUnderline"/>
          <w:highlight w:val="green"/>
        </w:rPr>
        <w:t xml:space="preserve">unions </w:t>
      </w:r>
      <w:r w:rsidRPr="00277802">
        <w:rPr>
          <w:rStyle w:val="StyleUnderline"/>
        </w:rPr>
        <w:t xml:space="preserve">don’t need </w:t>
      </w:r>
      <w:r w:rsidRPr="005A7166">
        <w:rPr>
          <w:rStyle w:val="StyleUnderline"/>
        </w:rPr>
        <w:t xml:space="preserve">time </w:t>
      </w:r>
      <w:r w:rsidRPr="00277802">
        <w:rPr>
          <w:rStyle w:val="StyleUnderline"/>
        </w:rPr>
        <w:t>to get organized. They </w:t>
      </w:r>
      <w:r w:rsidRPr="00943198">
        <w:rPr>
          <w:rStyle w:val="Emphasis"/>
          <w:highlight w:val="green"/>
        </w:rPr>
        <w:t>are</w:t>
      </w:r>
      <w:r w:rsidRPr="00943198">
        <w:rPr>
          <w:rStyle w:val="StyleUnderline"/>
          <w:highlight w:val="green"/>
        </w:rPr>
        <w:t> organized</w:t>
      </w:r>
      <w:r w:rsidRPr="00277802">
        <w:rPr>
          <w:sz w:val="16"/>
        </w:rPr>
        <w:t xml:space="preserve">. They have in-house counsel and outside counsel on speed dial, and are used to going to court in the middle of an organizing campaign to block employer retaliation or enforce a contract. </w:t>
      </w:r>
      <w:r w:rsidRPr="00943198">
        <w:rPr>
          <w:rStyle w:val="StyleUnderline"/>
          <w:highlight w:val="green"/>
        </w:rPr>
        <w:t xml:space="preserve">They </w:t>
      </w:r>
      <w:r w:rsidRPr="00277802">
        <w:rPr>
          <w:rStyle w:val="StyleUnderline"/>
        </w:rPr>
        <w:t xml:space="preserve">know how to </w:t>
      </w:r>
      <w:r w:rsidRPr="00943198">
        <w:rPr>
          <w:rStyle w:val="StyleUnderline"/>
          <w:highlight w:val="green"/>
        </w:rPr>
        <w:t>challenge rulemakings</w:t>
      </w:r>
      <w:r w:rsidRPr="004302D2">
        <w:rPr>
          <w:rStyle w:val="StyleUnderline"/>
        </w:rPr>
        <w:t xml:space="preserve"> at DOL and NLRB </w:t>
      </w:r>
      <w:r w:rsidRPr="00277802">
        <w:rPr>
          <w:rStyle w:val="StyleUnderline"/>
        </w:rPr>
        <w:t xml:space="preserve">because </w:t>
      </w:r>
      <w:r w:rsidRPr="00277802">
        <w:rPr>
          <w:rStyle w:val="Emphasis"/>
        </w:rPr>
        <w:t>they’ve been doing it for decades.</w:t>
      </w:r>
      <w:r w:rsidRPr="00277802">
        <w:rPr>
          <w:sz w:val="16"/>
        </w:rPr>
        <w:t xml:space="preserve"> They have members—millions of them—who can serve as plaintiffs, witnesses, press spokespeople, and direct action organizers. Most importantly, </w:t>
      </w:r>
      <w:r w:rsidRPr="004302D2">
        <w:rPr>
          <w:rStyle w:val="StyleUnderline"/>
        </w:rPr>
        <w:t xml:space="preserve">they proactively </w:t>
      </w:r>
      <w:r w:rsidRPr="00943198">
        <w:rPr>
          <w:rStyle w:val="Emphasis"/>
          <w:highlight w:val="green"/>
        </w:rPr>
        <w:t>train their base to know their rights</w:t>
      </w:r>
      <w:r w:rsidRPr="00943198">
        <w:rPr>
          <w:rStyle w:val="StyleUnderline"/>
          <w:highlight w:val="green"/>
        </w:rPr>
        <w:t xml:space="preserve"> and </w:t>
      </w:r>
      <w:r w:rsidRPr="00943198">
        <w:rPr>
          <w:rStyle w:val="Emphasis"/>
          <w:highlight w:val="green"/>
        </w:rPr>
        <w:t>how to enforce them</w:t>
      </w:r>
      <w:r w:rsidRPr="004302D2">
        <w:rPr>
          <w:rStyle w:val="StyleUnderline"/>
        </w:rPr>
        <w:t xml:space="preserve"> in the moment, </w:t>
      </w:r>
      <w:r w:rsidRPr="00943198">
        <w:rPr>
          <w:rStyle w:val="StyleUnderline"/>
          <w:highlight w:val="green"/>
        </w:rPr>
        <w:t xml:space="preserve">making </w:t>
      </w:r>
      <w:r w:rsidRPr="00943198">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601AD303" w14:textId="77777777" w:rsidR="00C42954" w:rsidRPr="004302D2" w:rsidRDefault="00C42954" w:rsidP="00C42954">
      <w:pPr>
        <w:rPr>
          <w:rStyle w:val="Emphasis"/>
        </w:rPr>
      </w:pPr>
      <w:r w:rsidRPr="004302D2">
        <w:rPr>
          <w:rStyle w:val="StyleUnderline"/>
        </w:rPr>
        <w:t>And</w:t>
      </w:r>
      <w:r w:rsidRPr="00277802">
        <w:rPr>
          <w:sz w:val="16"/>
        </w:rPr>
        <w:t xml:space="preserve"> unlike many public interest organizations that depend on the slow churn of foundation grants and fundraising emails, </w:t>
      </w:r>
      <w:r w:rsidRPr="00943198">
        <w:rPr>
          <w:rStyle w:val="StyleUnderline"/>
          <w:highlight w:val="green"/>
        </w:rPr>
        <w:t xml:space="preserve">unions </w:t>
      </w:r>
      <w:r w:rsidRPr="00277802">
        <w:rPr>
          <w:rStyle w:val="StyleUnderline"/>
        </w:rPr>
        <w:t xml:space="preserve">are funded by dues—meaning they can </w:t>
      </w:r>
      <w:r w:rsidRPr="00943198">
        <w:rPr>
          <w:rStyle w:val="Emphasis"/>
          <w:highlight w:val="green"/>
        </w:rPr>
        <w:t>focus</w:t>
      </w:r>
      <w:r w:rsidRPr="004302D2">
        <w:rPr>
          <w:rStyle w:val="Emphasis"/>
        </w:rPr>
        <w:t xml:space="preserve"> energy </w:t>
      </w:r>
      <w:r w:rsidRPr="00943198">
        <w:rPr>
          <w:rStyle w:val="Emphasis"/>
          <w:highlight w:val="green"/>
        </w:rPr>
        <w:t>on</w:t>
      </w:r>
      <w:r w:rsidRPr="004302D2">
        <w:rPr>
          <w:rStyle w:val="Emphasis"/>
        </w:rPr>
        <w:t xml:space="preserve"> the </w:t>
      </w:r>
      <w:r w:rsidRPr="00943198">
        <w:rPr>
          <w:rStyle w:val="Emphasis"/>
          <w:highlight w:val="green"/>
        </w:rPr>
        <w:t>work</w:t>
      </w:r>
      <w:r w:rsidRPr="00943198">
        <w:rPr>
          <w:rStyle w:val="StyleUnderline"/>
          <w:highlight w:val="green"/>
        </w:rPr>
        <w:t>, instead of on fundraising</w:t>
      </w:r>
      <w:r w:rsidRPr="00277802">
        <w:rPr>
          <w:sz w:val="16"/>
        </w:rPr>
        <w:t xml:space="preserve">. In February 2025, days after the Department of Labor became the next target of DOGE, a coalition of </w:t>
      </w:r>
      <w:r w:rsidRPr="00277802">
        <w:rPr>
          <w:rStyle w:val="StyleUnderline"/>
        </w:rPr>
        <w:t xml:space="preserve">unions </w:t>
      </w:r>
      <w:r w:rsidRPr="00277802">
        <w:rPr>
          <w:rStyle w:val="StyleUnderline"/>
          <w:highlight w:val="green"/>
        </w:rPr>
        <w:t>filed</w:t>
      </w:r>
      <w:r w:rsidRPr="004302D2">
        <w:rPr>
          <w:rStyle w:val="StyleUnderline"/>
        </w:rPr>
        <w:t xml:space="preserve"> multiple </w:t>
      </w:r>
      <w:r w:rsidRPr="00943198">
        <w:rPr>
          <w:rStyle w:val="StyleUnderline"/>
          <w:highlight w:val="green"/>
        </w:rPr>
        <w:t xml:space="preserve">lawsuits to block DOGE </w:t>
      </w:r>
      <w:r w:rsidRPr="00277802">
        <w:rPr>
          <w:rStyle w:val="StyleUnderline"/>
        </w:rPr>
        <w:t>from accessing Social Security data</w:t>
      </w:r>
      <w:r w:rsidRPr="00277802">
        <w:rPr>
          <w:sz w:val="16"/>
        </w:rPr>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federal judge enjoining it within the week.</w:t>
      </w:r>
    </w:p>
    <w:p w14:paraId="001DF1FC" w14:textId="77777777" w:rsidR="00C42954" w:rsidRPr="00277802" w:rsidRDefault="00C42954" w:rsidP="00C42954">
      <w:pPr>
        <w:rPr>
          <w:sz w:val="16"/>
        </w:rPr>
      </w:pPr>
      <w:r w:rsidRPr="00277802">
        <w:rPr>
          <w:rStyle w:val="StyleUnderline"/>
        </w:rPr>
        <w:t>Labor</w:t>
      </w:r>
      <w:r w:rsidRPr="004302D2">
        <w:rPr>
          <w:rStyle w:val="StyleUnderline"/>
        </w:rPr>
        <w:t xml:space="preserve"> even has </w:t>
      </w:r>
      <w:r w:rsidRPr="00943198">
        <w:rPr>
          <w:rStyle w:val="Emphasis"/>
          <w:highlight w:val="green"/>
        </w:rPr>
        <w:t>responded to ICE kidnappings</w:t>
      </w:r>
      <w:r w:rsidRPr="00277802">
        <w:rPr>
          <w:sz w:val="16"/>
        </w:rPr>
        <w:t xml:space="preserve">. Back in March, </w:t>
      </w:r>
      <w:r w:rsidRPr="004302D2">
        <w:rPr>
          <w:rStyle w:val="StyleUnderline"/>
        </w:rPr>
        <w:t xml:space="preserve">SEIU California President David </w:t>
      </w:r>
      <w:r w:rsidRPr="00943198">
        <w:rPr>
          <w:rStyle w:val="StyleUnderline"/>
          <w:highlight w:val="green"/>
        </w:rPr>
        <w:t>Huerta was detained</w:t>
      </w:r>
      <w:r w:rsidRPr="004302D2">
        <w:rPr>
          <w:rStyle w:val="StyleUnderline"/>
        </w:rPr>
        <w:t xml:space="preserve"> and injured </w:t>
      </w:r>
      <w:r w:rsidRPr="00943198">
        <w:rPr>
          <w:rStyle w:val="StyleUnderline"/>
          <w:highlight w:val="green"/>
        </w:rPr>
        <w:t>by ICE</w:t>
      </w:r>
      <w:r w:rsidRPr="004302D2">
        <w:rPr>
          <w:rStyle w:val="StyleUnderline"/>
        </w:rPr>
        <w:t xml:space="preserve"> agents during a protest in Los Angeles</w:t>
      </w:r>
      <w:r w:rsidRPr="00277802">
        <w:rPr>
          <w:sz w:val="16"/>
        </w:rPr>
        <w:t xml:space="preserve">, marking the fourth run-in between one of SEIU’s own and DHS since the Trump Administration escalated ICE activity. </w:t>
      </w:r>
      <w:r w:rsidRPr="00943198">
        <w:rPr>
          <w:rStyle w:val="StyleUnderline"/>
          <w:highlight w:val="green"/>
        </w:rPr>
        <w:t>SEIU</w:t>
      </w:r>
      <w:r w:rsidRPr="004302D2">
        <w:rPr>
          <w:rStyle w:val="StyleUnderline"/>
        </w:rPr>
        <w:t xml:space="preserve"> condemned the incident, staging additional protests in more than a dozen major cities within days, </w:t>
      </w:r>
      <w:r w:rsidRPr="00277802">
        <w:rPr>
          <w:rStyle w:val="StyleUnderline"/>
        </w:rPr>
        <w:t>rustling up</w:t>
      </w:r>
      <w:r w:rsidRPr="004302D2">
        <w:rPr>
          <w:rStyle w:val="StyleUnderline"/>
        </w:rPr>
        <w:t xml:space="preserve"> statements of </w:t>
      </w:r>
      <w:r w:rsidRPr="00277802">
        <w:rPr>
          <w:rStyle w:val="StyleUnderline"/>
        </w:rPr>
        <w:t>support</w:t>
      </w:r>
      <w:r w:rsidRPr="004302D2">
        <w:rPr>
          <w:rStyle w:val="StyleUnderline"/>
        </w:rPr>
        <w:t xml:space="preserve"> from politicians and even the more Trump-friendly union leaders. </w:t>
      </w:r>
      <w:r w:rsidRPr="00277802">
        <w:rPr>
          <w:rStyle w:val="StyleUnderline"/>
        </w:rPr>
        <w:t>This</w:t>
      </w:r>
      <w:r w:rsidRPr="004302D2">
        <w:rPr>
          <w:rStyle w:val="StyleUnderline"/>
        </w:rPr>
        <w:t xml:space="preserve"> rapid response effort </w:t>
      </w:r>
      <w:r w:rsidRPr="00943198">
        <w:rPr>
          <w:rStyle w:val="StyleUnderline"/>
          <w:highlight w:val="green"/>
        </w:rPr>
        <w:t xml:space="preserve">created </w:t>
      </w:r>
      <w:r w:rsidRPr="00277802">
        <w:rPr>
          <w:rStyle w:val="StyleUnderline"/>
        </w:rPr>
        <w:t xml:space="preserve">enough </w:t>
      </w:r>
      <w:r w:rsidRPr="00943198">
        <w:rPr>
          <w:rStyle w:val="StyleUnderline"/>
          <w:highlight w:val="green"/>
        </w:rPr>
        <w:t xml:space="preserve">pressure to </w:t>
      </w:r>
      <w:r w:rsidRPr="00943198">
        <w:rPr>
          <w:rStyle w:val="Emphasis"/>
          <w:highlight w:val="green"/>
        </w:rPr>
        <w:t>force</w:t>
      </w:r>
      <w:r w:rsidRPr="004302D2">
        <w:rPr>
          <w:rStyle w:val="Emphasis"/>
        </w:rPr>
        <w:t xml:space="preserve"> the </w:t>
      </w:r>
      <w:r w:rsidRPr="00943198">
        <w:rPr>
          <w:rStyle w:val="Emphasis"/>
          <w:highlight w:val="green"/>
        </w:rPr>
        <w:t>LAPD to release Huerta</w:t>
      </w:r>
      <w:r w:rsidRPr="004302D2">
        <w:rPr>
          <w:rStyle w:val="Emphasis"/>
        </w:rPr>
        <w:t xml:space="preserve"> and other detained SEIU members </w:t>
      </w:r>
      <w:r w:rsidRPr="00277802">
        <w:rPr>
          <w:sz w:val="16"/>
        </w:rPr>
        <w:t>within days.  </w:t>
      </w:r>
    </w:p>
    <w:p w14:paraId="17D9067F" w14:textId="77777777" w:rsidR="00C42954" w:rsidRPr="004302D2" w:rsidRDefault="00C42954" w:rsidP="00C42954">
      <w:pPr>
        <w:rPr>
          <w:rStyle w:val="StyleUnderline"/>
        </w:rPr>
      </w:pPr>
      <w:r w:rsidRPr="00277802">
        <w:rPr>
          <w:sz w:val="16"/>
        </w:rPr>
        <w:t xml:space="preserve">Similarly, </w:t>
      </w:r>
      <w:r w:rsidRPr="004302D2">
        <w:rPr>
          <w:rStyle w:val="StyleUnderline"/>
        </w:rPr>
        <w:t xml:space="preserve">in March, Kilmar Abrego </w:t>
      </w:r>
      <w:r w:rsidRPr="00943198">
        <w:rPr>
          <w:rStyle w:val="StyleUnderline"/>
          <w:highlight w:val="green"/>
        </w:rPr>
        <w:t>Garcia</w:t>
      </w:r>
      <w:r w:rsidRPr="004302D2">
        <w:rPr>
          <w:rStyle w:val="StyleUnderline"/>
        </w:rPr>
        <w:t xml:space="preserve">, a sheet metal apprentice with SMART Local 100, </w:t>
      </w:r>
      <w:r w:rsidRPr="00943198">
        <w:rPr>
          <w:rStyle w:val="StyleUnderline"/>
          <w:highlight w:val="green"/>
        </w:rPr>
        <w:t>was deported to El Salvador</w:t>
      </w:r>
      <w:r w:rsidRPr="004302D2">
        <w:rPr>
          <w:rStyle w:val="StyleUnderline"/>
        </w:rPr>
        <w:t xml:space="preserve"> despite having legal protections and a court order preventing his removal</w:t>
      </w:r>
      <w:r w:rsidRPr="00277802">
        <w:rPr>
          <w:sz w:val="16"/>
        </w:rPr>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943198">
        <w:rPr>
          <w:rStyle w:val="StyleUnderline"/>
          <w:highlight w:val="green"/>
        </w:rPr>
        <w:t>unions</w:t>
      </w:r>
      <w:r w:rsidRPr="00277802">
        <w:rPr>
          <w:sz w:val="16"/>
        </w:rPr>
        <w:t xml:space="preserve"> have a more conservative tendency, they </w:t>
      </w:r>
      <w:r w:rsidRPr="00277802">
        <w:rPr>
          <w:rStyle w:val="Emphasis"/>
        </w:rPr>
        <w:t>reacted strongly</w:t>
      </w:r>
      <w:r w:rsidRPr="004302D2">
        <w:rPr>
          <w:rStyle w:val="StyleUnderline"/>
        </w:rPr>
        <w:t xml:space="preserve"> to Abrego Garcia’s deportation, </w:t>
      </w:r>
      <w:r w:rsidRPr="00943198">
        <w:rPr>
          <w:rStyle w:val="StyleUnderline"/>
          <w:highlight w:val="green"/>
        </w:rPr>
        <w:t>raising</w:t>
      </w:r>
      <w:r w:rsidRPr="004302D2">
        <w:rPr>
          <w:rStyle w:val="StyleUnderline"/>
        </w:rPr>
        <w:t xml:space="preserve"> </w:t>
      </w:r>
      <w:r w:rsidRPr="004302D2">
        <w:rPr>
          <w:rStyle w:val="Emphasis"/>
        </w:rPr>
        <w:t xml:space="preserve">over </w:t>
      </w:r>
      <w:r w:rsidRPr="00943198">
        <w:rPr>
          <w:rStyle w:val="Emphasis"/>
          <w:highlight w:val="green"/>
        </w:rPr>
        <w:t>a quarter of a million</w:t>
      </w:r>
      <w:r w:rsidRPr="004302D2">
        <w:rPr>
          <w:rStyle w:val="Emphasis"/>
        </w:rPr>
        <w:t xml:space="preserve"> dollars</w:t>
      </w:r>
      <w:r w:rsidRPr="004302D2">
        <w:rPr>
          <w:rStyle w:val="StyleUnderline"/>
        </w:rPr>
        <w:t xml:space="preserve"> from members to support his family and </w:t>
      </w:r>
      <w:r w:rsidRPr="004302D2">
        <w:rPr>
          <w:rStyle w:val="Emphasis"/>
        </w:rPr>
        <w:t>sending direct appeals to rank and file to contact their representatives</w:t>
      </w:r>
      <w:r w:rsidRPr="004302D2">
        <w:rPr>
          <w:rStyle w:val="StyleUnderline"/>
        </w:rPr>
        <w:t xml:space="preserve"> in support of bringing “Brother Kilmar” home.</w:t>
      </w:r>
    </w:p>
    <w:p w14:paraId="7BDB0795" w14:textId="77777777" w:rsidR="00C42954" w:rsidRPr="00277802" w:rsidRDefault="00C42954" w:rsidP="00C42954">
      <w:pPr>
        <w:rPr>
          <w:sz w:val="16"/>
        </w:rPr>
      </w:pPr>
      <w:r w:rsidRPr="004302D2">
        <w:rPr>
          <w:rStyle w:val="StyleUnderline"/>
        </w:rPr>
        <w:t xml:space="preserve">In each of these cases, </w:t>
      </w:r>
      <w:r w:rsidRPr="00943198">
        <w:rPr>
          <w:rStyle w:val="StyleUnderline"/>
          <w:highlight w:val="green"/>
        </w:rPr>
        <w:t>union</w:t>
      </w:r>
      <w:r w:rsidRPr="004302D2">
        <w:rPr>
          <w:rStyle w:val="StyleUnderline"/>
        </w:rPr>
        <w:t xml:space="preserve"> law </w:t>
      </w:r>
      <w:r w:rsidRPr="00277802">
        <w:rPr>
          <w:rStyle w:val="StyleUnderline"/>
        </w:rPr>
        <w:t>department</w:t>
      </w:r>
      <w:r w:rsidRPr="00277802">
        <w:rPr>
          <w:rStyle w:val="StyleUnderline"/>
          <w:highlight w:val="green"/>
        </w:rPr>
        <w:t>s</w:t>
      </w:r>
      <w:r w:rsidRPr="00277802">
        <w:rPr>
          <w:rStyle w:val="StyleUnderline"/>
        </w:rPr>
        <w:t xml:space="preserve"> </w:t>
      </w:r>
      <w:r w:rsidRPr="00943198">
        <w:rPr>
          <w:rStyle w:val="Emphasis"/>
          <w:highlight w:val="green"/>
        </w:rPr>
        <w:t>didn’t act alone</w:t>
      </w:r>
      <w:r w:rsidRPr="00943198">
        <w:rPr>
          <w:rStyle w:val="StyleUnderline"/>
          <w:highlight w:val="green"/>
        </w:rPr>
        <w:t xml:space="preserve">. They </w:t>
      </w:r>
      <w:r w:rsidRPr="00943198">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277802">
        <w:rPr>
          <w:sz w:val="16"/>
        </w:rPr>
        <w:t>. And they did not need to create this structure to prepare for Trump. It was already in place, and well practiced from years of taking on some of Trump’s biggest supporters.</w:t>
      </w:r>
    </w:p>
    <w:p w14:paraId="1CBED859" w14:textId="77777777" w:rsidR="00C42954" w:rsidRPr="004302D2" w:rsidRDefault="00C42954" w:rsidP="00C42954">
      <w:pPr>
        <w:rPr>
          <w:rStyle w:val="Emphasis"/>
        </w:rPr>
      </w:pPr>
      <w:r w:rsidRPr="00277802">
        <w:rPr>
          <w:rStyle w:val="StyleUnderline"/>
        </w:rPr>
        <w:t xml:space="preserve">This is what movement lawyering </w:t>
      </w:r>
      <w:r w:rsidRPr="00277802">
        <w:rPr>
          <w:rStyle w:val="Emphasis"/>
        </w:rPr>
        <w:t>actually</w:t>
      </w:r>
      <w:r w:rsidRPr="00277802">
        <w:rPr>
          <w:rStyle w:val="StyleUnderline"/>
        </w:rPr>
        <w:t xml:space="preserve"> looks like. </w:t>
      </w:r>
      <w:r w:rsidRPr="00943198">
        <w:rPr>
          <w:rStyle w:val="StyleUnderline"/>
          <w:highlight w:val="green"/>
        </w:rPr>
        <w:t>Labor’s advantage</w:t>
      </w:r>
      <w:r w:rsidRPr="004302D2">
        <w:rPr>
          <w:rStyle w:val="StyleUnderline"/>
        </w:rPr>
        <w:t xml:space="preserve"> isn’t just speed or legal savvy—</w:t>
      </w:r>
      <w:r w:rsidRPr="00943198">
        <w:rPr>
          <w:rStyle w:val="Emphasis"/>
          <w:highlight w:val="green"/>
        </w:rPr>
        <w:t>i</w:t>
      </w:r>
      <w:r w:rsidRPr="00277802">
        <w:rPr>
          <w:rStyle w:val="Emphasis"/>
        </w:rPr>
        <w:t>t’</w:t>
      </w:r>
      <w:r w:rsidRPr="00943198">
        <w:rPr>
          <w:rStyle w:val="Emphasis"/>
          <w:highlight w:val="green"/>
        </w:rPr>
        <w: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277802">
        <w:rPr>
          <w:sz w:val="16"/>
        </w:rPr>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277802">
        <w:rPr>
          <w:sz w:val="16"/>
        </w:rPr>
        <w:t>unlike constitutional impact litigation, which often happens far in both time and space from where people actually live and work,</w:t>
      </w:r>
      <w:r w:rsidRPr="004302D2">
        <w:rPr>
          <w:rStyle w:val="StyleUnderline"/>
        </w:rPr>
        <w:t xml:space="preserve"> labor’s legal fights are </w:t>
      </w:r>
      <w:r w:rsidRPr="00943198">
        <w:rPr>
          <w:rStyle w:val="Emphasis"/>
          <w:highlight w:val="green"/>
        </w:rPr>
        <w:t>immediate</w:t>
      </w:r>
      <w:r w:rsidRPr="00277802">
        <w:rPr>
          <w:rStyle w:val="StyleUnderline"/>
        </w:rPr>
        <w:t xml:space="preserve">, </w:t>
      </w:r>
      <w:r w:rsidRPr="00277802">
        <w:rPr>
          <w:rStyle w:val="Emphasis"/>
          <w:highlight w:val="green"/>
        </w:rPr>
        <w:t>tangible</w:t>
      </w:r>
      <w:r w:rsidRPr="004302D2">
        <w:rPr>
          <w:rStyle w:val="StyleUnderline"/>
        </w:rPr>
        <w:t xml:space="preserve">, and </w:t>
      </w:r>
      <w:r w:rsidRPr="00943198">
        <w:rPr>
          <w:rStyle w:val="Emphasis"/>
          <w:highlight w:val="green"/>
        </w:rPr>
        <w:t>winnable</w:t>
      </w:r>
      <w:r w:rsidRPr="00943198">
        <w:rPr>
          <w:rStyle w:val="StyleUnderline"/>
          <w:highlight w:val="green"/>
        </w:rPr>
        <w:t>.</w:t>
      </w:r>
      <w:r w:rsidRPr="00277802">
        <w:rPr>
          <w:rStyle w:val="StyleUnderline"/>
        </w:rPr>
        <w:t xml:space="preserve"> The </w:t>
      </w:r>
      <w:r w:rsidRPr="00943198">
        <w:rPr>
          <w:rStyle w:val="StyleUnderline"/>
          <w:highlight w:val="green"/>
        </w:rPr>
        <w:t xml:space="preserve">stakes </w:t>
      </w:r>
      <w:r w:rsidRPr="00943198">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607E85B4" w14:textId="77777777" w:rsidR="00C42954" w:rsidRPr="00045C8F" w:rsidRDefault="00C42954" w:rsidP="00C42954">
      <w:pPr>
        <w:rPr>
          <w:b/>
          <w:iCs/>
          <w:u w:val="single"/>
          <w:bdr w:val="single" w:sz="8" w:space="0" w:color="auto"/>
        </w:rPr>
      </w:pPr>
      <w:r w:rsidRPr="00277802">
        <w:rPr>
          <w:sz w:val="16"/>
        </w:rPr>
        <w:t xml:space="preserve">Over the past several years, and especially since Trump took office again, </w:t>
      </w:r>
      <w:r w:rsidRPr="00277802">
        <w:rPr>
          <w:rStyle w:val="StyleUnderline"/>
        </w:rPr>
        <w:t>there has been</w:t>
      </w:r>
      <w:r w:rsidRPr="004302D2">
        <w:rPr>
          <w:rStyle w:val="StyleUnderline"/>
        </w:rPr>
        <w:t xml:space="preserve"> a great deal of </w:t>
      </w:r>
      <w:r w:rsidRPr="00277802">
        <w:rPr>
          <w:rStyle w:val="StyleUnderline"/>
        </w:rPr>
        <w:t>headscratching about how the left plans to address the right-wing takeover</w:t>
      </w:r>
      <w:r w:rsidRPr="004302D2">
        <w:rPr>
          <w:rStyle w:val="StyleUnderline"/>
        </w:rPr>
        <w:t xml:space="preserve"> of the courts. </w:t>
      </w:r>
      <w:r w:rsidRPr="00277802">
        <w:rPr>
          <w:rStyle w:val="StyleUnderline"/>
        </w:rPr>
        <w:t xml:space="preserve">But </w:t>
      </w:r>
      <w:r w:rsidRPr="00943198">
        <w:rPr>
          <w:rStyle w:val="StyleUnderline"/>
          <w:highlight w:val="green"/>
        </w:rPr>
        <w:t xml:space="preserve">people </w:t>
      </w:r>
      <w:r w:rsidRPr="00277802">
        <w:rPr>
          <w:rStyle w:val="StyleUnderline"/>
        </w:rPr>
        <w:t xml:space="preserve">are </w:t>
      </w:r>
      <w:r w:rsidRPr="00943198">
        <w:rPr>
          <w:rStyle w:val="StyleUnderline"/>
          <w:highlight w:val="green"/>
        </w:rPr>
        <w:t xml:space="preserve">already </w:t>
      </w:r>
      <w:r w:rsidRPr="00943198">
        <w:rPr>
          <w:rStyle w:val="Emphasis"/>
          <w:highlight w:val="green"/>
        </w:rPr>
        <w:t>recognizing</w:t>
      </w:r>
      <w:r w:rsidRPr="004302D2">
        <w:rPr>
          <w:rStyle w:val="StyleUnderline"/>
        </w:rPr>
        <w:t xml:space="preserve"> and </w:t>
      </w:r>
      <w:r w:rsidRPr="004302D2">
        <w:rPr>
          <w:rStyle w:val="Emphasis"/>
        </w:rPr>
        <w:t xml:space="preserve">responding to </w:t>
      </w:r>
      <w:r w:rsidRPr="00943198">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277802">
        <w:rPr>
          <w:sz w:val="16"/>
        </w:rPr>
        <w:t xml:space="preserve">. </w:t>
      </w:r>
      <w:r w:rsidRPr="004302D2">
        <w:rPr>
          <w:rStyle w:val="StyleUnderline"/>
        </w:rPr>
        <w:t xml:space="preserve">There might not be a roadmap for stopping the conservative counterrevolution. But making it easier for workers to organize—and </w:t>
      </w:r>
      <w:r w:rsidRPr="00277802">
        <w:rPr>
          <w:rStyle w:val="StyleUnderline"/>
        </w:rPr>
        <w:t>training labor lawyers</w:t>
      </w:r>
      <w:r w:rsidRPr="004302D2">
        <w:rPr>
          <w:rStyle w:val="StyleUnderline"/>
        </w:rPr>
        <w:t xml:space="preserve"> to fight on their behalf—</w:t>
      </w:r>
      <w:r w:rsidRPr="00277802">
        <w:rPr>
          <w:rStyle w:val="Emphasis"/>
        </w:rPr>
        <w:t>would be a fine place to start.</w:t>
      </w:r>
      <w:r w:rsidRPr="004302D2">
        <w:rPr>
          <w:rStyle w:val="Emphasis"/>
        </w:rPr>
        <w:t> </w:t>
      </w:r>
    </w:p>
    <w:p w14:paraId="70DC2D25" w14:textId="77777777" w:rsidR="00C42954" w:rsidRDefault="00C42954" w:rsidP="00C42954">
      <w:pPr>
        <w:pStyle w:val="Heading4"/>
      </w:pPr>
      <w:r>
        <w:t>Only unions can stop the existential threat of Project 2025 and Trumpian fascism.</w:t>
      </w:r>
    </w:p>
    <w:p w14:paraId="49BCCDB7" w14:textId="77777777" w:rsidR="00C42954" w:rsidRDefault="00C42954" w:rsidP="00C42954">
      <w:r w:rsidRPr="00E75C1E">
        <w:rPr>
          <w:rStyle w:val="Style13ptBold"/>
        </w:rPr>
        <w:t>Gibb 25</w:t>
      </w:r>
      <w:r>
        <w:t xml:space="preserve"> [Euan is regional secretary for Inter-America at Public Services International. With </w:t>
      </w:r>
      <w:r w:rsidRPr="00E33000">
        <w:t>Ethan T. Young is Sub-regional Secretary, North Americ</w:t>
      </w:r>
      <w:r>
        <w:t xml:space="preserve">a, at Public Services International. </w:t>
      </w:r>
      <w:r w:rsidRPr="00E33000">
        <w:t xml:space="preserve">"Unions Rise as America's Defiant Shield Against Trump's Authoritarianism," March 25 2025 </w:t>
      </w:r>
      <w:r w:rsidRPr="00277802">
        <w:t>https://publicservices.international/resources/news/unions-rise-as-americas-defiant-shield-against-trumps-authoritarianism?id=15733&amp;lang=en</w:t>
      </w:r>
      <w:r>
        <w:t xml:space="preserve"> NL]</w:t>
      </w:r>
    </w:p>
    <w:p w14:paraId="6B2CC742" w14:textId="77777777" w:rsidR="00C42954" w:rsidRPr="00BD18F5" w:rsidRDefault="00C42954" w:rsidP="00C42954">
      <w:pPr>
        <w:rPr>
          <w:rStyle w:val="StyleUnderline"/>
        </w:rPr>
      </w:pPr>
      <w:r w:rsidRPr="00BD18F5">
        <w:rPr>
          <w:rStyle w:val="StyleUnderline"/>
        </w:rPr>
        <w:t xml:space="preserve">As it becomes increasingly clear what a second Trump presidency means, </w:t>
      </w:r>
      <w:r w:rsidRPr="00876CD0">
        <w:rPr>
          <w:rStyle w:val="StyleUnderline"/>
        </w:rPr>
        <w:t xml:space="preserve">America's </w:t>
      </w:r>
      <w:r w:rsidRPr="00943198">
        <w:rPr>
          <w:rStyle w:val="StyleUnderline"/>
          <w:highlight w:val="green"/>
        </w:rPr>
        <w:t>labor</w:t>
      </w:r>
      <w:r w:rsidRPr="00BD18F5">
        <w:rPr>
          <w:rStyle w:val="StyleUnderline"/>
        </w:rPr>
        <w:t xml:space="preserve"> movement </w:t>
      </w:r>
      <w:r w:rsidRPr="00876CD0">
        <w:rPr>
          <w:rStyle w:val="StyleUnderline"/>
        </w:rPr>
        <w:t xml:space="preserve">has positioned itself as </w:t>
      </w:r>
      <w:r w:rsidRPr="00943198">
        <w:rPr>
          <w:rStyle w:val="StyleUnderline"/>
          <w:highlight w:val="green"/>
        </w:rPr>
        <w:t xml:space="preserve">democracy's </w:t>
      </w:r>
      <w:r w:rsidRPr="00943198">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943198">
        <w:rPr>
          <w:rStyle w:val="StyleUnderline"/>
          <w:highlight w:val="green"/>
        </w:rPr>
        <w:t xml:space="preserve">and </w:t>
      </w:r>
      <w:r w:rsidRPr="00943198">
        <w:rPr>
          <w:rStyle w:val="Emphasis"/>
          <w:highlight w:val="green"/>
        </w:rPr>
        <w:t>best</w:t>
      </w:r>
      <w:r w:rsidRPr="00BD18F5">
        <w:rPr>
          <w:rStyle w:val="Emphasis"/>
        </w:rPr>
        <w:t xml:space="preserve"> organized line of </w:t>
      </w:r>
      <w:r w:rsidRPr="00943198">
        <w:rPr>
          <w:rStyle w:val="Emphasis"/>
          <w:highlight w:val="green"/>
        </w:rPr>
        <w:t>defense</w:t>
      </w:r>
      <w:r w:rsidRPr="00943198">
        <w:rPr>
          <w:rStyle w:val="StyleUnderline"/>
          <w:highlight w:val="green"/>
        </w:rPr>
        <w:t xml:space="preserve"> against </w:t>
      </w:r>
      <w:r w:rsidRPr="00876CD0">
        <w:rPr>
          <w:rStyle w:val="StyleUnderline"/>
        </w:rPr>
        <w:t>a</w:t>
      </w:r>
      <w:r w:rsidRPr="00BD18F5">
        <w:rPr>
          <w:rStyle w:val="StyleUnderline"/>
        </w:rPr>
        <w:t xml:space="preserve"> </w:t>
      </w:r>
      <w:r w:rsidRPr="00BD18F5">
        <w:rPr>
          <w:rStyle w:val="Emphasis"/>
        </w:rPr>
        <w:t xml:space="preserve">sweeping </w:t>
      </w:r>
      <w:r w:rsidRPr="00943198">
        <w:rPr>
          <w:rStyle w:val="Emphasis"/>
          <w:highlight w:val="green"/>
        </w:rPr>
        <w:t>authoritarian agenda.</w:t>
      </w:r>
      <w:r w:rsidRPr="00876CD0">
        <w:rPr>
          <w:sz w:val="16"/>
        </w:rPr>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943198">
        <w:rPr>
          <w:rStyle w:val="StyleUnderline"/>
          <w:highlight w:val="green"/>
        </w:rPr>
        <w:t xml:space="preserve">confronting </w:t>
      </w:r>
      <w:r w:rsidRPr="00876CD0">
        <w:rPr>
          <w:rStyle w:val="StyleUnderline"/>
        </w:rPr>
        <w:t xml:space="preserve">the </w:t>
      </w:r>
      <w:r w:rsidRPr="00876CD0">
        <w:rPr>
          <w:rStyle w:val="Emphasis"/>
        </w:rPr>
        <w:t>existential threat</w:t>
      </w:r>
      <w:r w:rsidRPr="00876CD0">
        <w:rPr>
          <w:rStyle w:val="StyleUnderline"/>
        </w:rPr>
        <w:t xml:space="preserve"> of </w:t>
      </w:r>
      <w:r w:rsidRPr="00943198">
        <w:rPr>
          <w:rStyle w:val="StyleUnderline"/>
          <w:highlight w:val="green"/>
        </w:rPr>
        <w:t>Project 2025</w:t>
      </w:r>
      <w:r w:rsidRPr="00876CD0">
        <w:rPr>
          <w:sz w:val="16"/>
        </w:rPr>
        <w:t>'s plan to dismantle America's most important institutions.</w:t>
      </w:r>
    </w:p>
    <w:p w14:paraId="2FE530C1" w14:textId="77777777" w:rsidR="00C42954" w:rsidRPr="00876CD0" w:rsidRDefault="00C42954" w:rsidP="00C42954">
      <w:pPr>
        <w:rPr>
          <w:sz w:val="16"/>
        </w:rPr>
      </w:pPr>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interests</w:t>
      </w:r>
      <w:r w:rsidRPr="00876CD0">
        <w:rPr>
          <w:sz w:val="16"/>
        </w:rPr>
        <w:t>. These moves represent more than policy changes—they constitute a wholesale transfer of public goods into private hands, deliberately eroding worker protection while restructuring government to serve elite interests.</w:t>
      </w:r>
    </w:p>
    <w:p w14:paraId="068C26AC" w14:textId="77777777" w:rsidR="00C42954" w:rsidRPr="00BD18F5" w:rsidRDefault="00C42954" w:rsidP="00C42954">
      <w:pPr>
        <w:rPr>
          <w:rStyle w:val="StyleUnderline"/>
        </w:rPr>
      </w:pPr>
      <w:r w:rsidRPr="00BD18F5">
        <w:rPr>
          <w:rStyle w:val="StyleUnderline"/>
        </w:rPr>
        <w:t xml:space="preserve">In response, PSI’s affiliates have </w:t>
      </w:r>
      <w:r w:rsidRPr="00943198">
        <w:rPr>
          <w:rStyle w:val="StyleUnderline"/>
          <w:highlight w:val="green"/>
        </w:rPr>
        <w:t>launched</w:t>
      </w:r>
      <w:r w:rsidRPr="00BD18F5">
        <w:rPr>
          <w:rStyle w:val="StyleUnderline"/>
        </w:rPr>
        <w:t xml:space="preserve"> </w:t>
      </w:r>
      <w:r w:rsidRPr="00BD18F5">
        <w:rPr>
          <w:rStyle w:val="Emphasis"/>
        </w:rPr>
        <w:t xml:space="preserve">unprecedented </w:t>
      </w:r>
      <w:r w:rsidRPr="00943198">
        <w:rPr>
          <w:rStyle w:val="Emphasis"/>
          <w:highlight w:val="green"/>
        </w:rPr>
        <w:t>multi-front resistance</w:t>
      </w:r>
      <w:r w:rsidRPr="00943198">
        <w:rPr>
          <w:rStyle w:val="StyleUnderline"/>
          <w:highlight w:val="green"/>
        </w:rPr>
        <w:t xml:space="preserve"> in </w:t>
      </w:r>
      <w:r w:rsidRPr="00876CD0">
        <w:rPr>
          <w:rStyle w:val="StyleUnderline"/>
        </w:rPr>
        <w:t xml:space="preserve">the </w:t>
      </w:r>
      <w:r w:rsidRPr="00943198">
        <w:rPr>
          <w:rStyle w:val="Emphasis"/>
          <w:highlight w:val="green"/>
        </w:rPr>
        <w:t>streets</w:t>
      </w:r>
      <w:r w:rsidRPr="00BD18F5">
        <w:rPr>
          <w:rStyle w:val="StyleUnderline"/>
        </w:rPr>
        <w:t xml:space="preserve">, the </w:t>
      </w:r>
      <w:r w:rsidRPr="00943198">
        <w:rPr>
          <w:rStyle w:val="Emphasis"/>
          <w:highlight w:val="green"/>
        </w:rPr>
        <w:t>workplace</w:t>
      </w:r>
      <w:r w:rsidRPr="00BD18F5">
        <w:rPr>
          <w:rStyle w:val="StyleUnderline"/>
        </w:rPr>
        <w:t xml:space="preserve">, the </w:t>
      </w:r>
      <w:r w:rsidRPr="00943198">
        <w:rPr>
          <w:rStyle w:val="Emphasis"/>
          <w:highlight w:val="green"/>
        </w:rPr>
        <w:t>media</w:t>
      </w:r>
      <w:r w:rsidRPr="00943198">
        <w:rPr>
          <w:rStyle w:val="StyleUnderline"/>
          <w:highlight w:val="green"/>
        </w:rPr>
        <w:t xml:space="preserve"> </w:t>
      </w:r>
      <w:r w:rsidRPr="00876CD0">
        <w:rPr>
          <w:rStyle w:val="StyleUnderline"/>
        </w:rPr>
        <w:t>and</w:t>
      </w:r>
      <w:r w:rsidRPr="00BD18F5">
        <w:rPr>
          <w:rStyle w:val="StyleUnderline"/>
        </w:rPr>
        <w:t xml:space="preserve"> in the </w:t>
      </w:r>
      <w:r w:rsidRPr="00943198">
        <w:rPr>
          <w:rStyle w:val="Emphasis"/>
          <w:highlight w:val="green"/>
        </w:rPr>
        <w:t>courts</w:t>
      </w:r>
      <w:r w:rsidRPr="00BD18F5">
        <w:rPr>
          <w:rStyle w:val="StyleUnderline"/>
        </w:rPr>
        <w:t xml:space="preserve">. The American Federation of Teachers is </w:t>
      </w:r>
      <w:r w:rsidRPr="00943198">
        <w:rPr>
          <w:rStyle w:val="Emphasis"/>
          <w:highlight w:val="green"/>
        </w:rPr>
        <w:t>mobilizing against</w:t>
      </w:r>
      <w:r w:rsidRPr="00BD18F5">
        <w:rPr>
          <w:rStyle w:val="Emphasis"/>
        </w:rPr>
        <w:t xml:space="preserve"> school </w:t>
      </w:r>
      <w:r w:rsidRPr="00876CD0">
        <w:rPr>
          <w:rStyle w:val="Emphasis"/>
          <w:highlight w:val="green"/>
        </w:rPr>
        <w:t>voucher</w:t>
      </w:r>
      <w:r w:rsidRPr="00BD18F5">
        <w:rPr>
          <w:rStyle w:val="Emphasis"/>
        </w:rPr>
        <w:t xml:space="preserve"> scheme</w:t>
      </w:r>
      <w:r w:rsidRPr="00876CD0">
        <w:rPr>
          <w:rStyle w:val="Emphasis"/>
          <w:highlight w:val="green"/>
        </w:rPr>
        <w:t>s</w:t>
      </w:r>
      <w:r w:rsidRPr="00BD18F5">
        <w:rPr>
          <w:rStyle w:val="Emphasis"/>
        </w:rPr>
        <w:t xml:space="preserve"> that </w:t>
      </w:r>
      <w:r w:rsidRPr="00876CD0">
        <w:rPr>
          <w:rStyle w:val="Emphasis"/>
        </w:rPr>
        <w:t>defund public education</w:t>
      </w:r>
      <w:r w:rsidRPr="00BD18F5">
        <w:rPr>
          <w:rStyle w:val="StyleUnderline"/>
        </w:rPr>
        <w:t xml:space="preserve">. National Nurses United is </w:t>
      </w:r>
      <w:r w:rsidRPr="00876CD0">
        <w:rPr>
          <w:rStyle w:val="Emphasis"/>
        </w:rPr>
        <w:t xml:space="preserve">fighting to </w:t>
      </w:r>
      <w:r w:rsidRPr="00943198">
        <w:rPr>
          <w:rStyle w:val="Emphasis"/>
          <w:highlight w:val="green"/>
        </w:rPr>
        <w:t>defend Medicare</w:t>
      </w:r>
      <w:r w:rsidRPr="00BD18F5">
        <w:rPr>
          <w:rStyle w:val="Emphasis"/>
        </w:rPr>
        <w:t xml:space="preserve"> </w:t>
      </w:r>
      <w:r w:rsidRPr="00876CD0">
        <w:rPr>
          <w:rStyle w:val="Emphasis"/>
        </w:rPr>
        <w:t>from</w:t>
      </w:r>
      <w:r w:rsidRPr="00BD18F5">
        <w:rPr>
          <w:rStyle w:val="Emphasis"/>
        </w:rPr>
        <w:t xml:space="preserve"> privatization </w:t>
      </w:r>
      <w:r w:rsidRPr="00BD18F5">
        <w:rPr>
          <w:rStyle w:val="StyleUnderline"/>
        </w:rPr>
        <w:t xml:space="preserve">through patient advocacy campaigns. AFSCME members are </w:t>
      </w:r>
      <w:r w:rsidRPr="00876CD0">
        <w:rPr>
          <w:rStyle w:val="Emphasis"/>
        </w:rPr>
        <w:t>deploying</w:t>
      </w:r>
      <w:r w:rsidRPr="00BD18F5">
        <w:rPr>
          <w:rStyle w:val="Emphasis"/>
        </w:rPr>
        <w:t xml:space="preserve"> emergency response plans for mass firings of civil servants.</w:t>
      </w:r>
      <w:r w:rsidRPr="00BD18F5">
        <w:rPr>
          <w:rStyle w:val="StyleUnderline"/>
        </w:rPr>
        <w:t xml:space="preserve"> The Service Employees International Union has partnered with civil rights organizations to </w:t>
      </w:r>
      <w:r w:rsidRPr="00943198">
        <w:rPr>
          <w:rStyle w:val="Emphasis"/>
          <w:highlight w:val="green"/>
        </w:rPr>
        <w:t>combat voter suppression</w:t>
      </w:r>
      <w:r w:rsidRPr="00BD18F5">
        <w:rPr>
          <w:rStyle w:val="StyleUnderline"/>
        </w:rPr>
        <w:t xml:space="preserve"> tactics targeting working-class communities.</w:t>
      </w:r>
    </w:p>
    <w:p w14:paraId="49B43DB2" w14:textId="77777777" w:rsidR="00C42954" w:rsidRPr="00BD18F5" w:rsidRDefault="00C42954" w:rsidP="00C42954">
      <w:pPr>
        <w:rPr>
          <w:rStyle w:val="StyleUnderline"/>
        </w:rPr>
      </w:pPr>
      <w:r w:rsidRPr="00876CD0">
        <w:rPr>
          <w:rStyle w:val="StyleUnderline"/>
        </w:rPr>
        <w:t xml:space="preserve">The movement's strength lies in </w:t>
      </w:r>
      <w:r w:rsidRPr="00876CD0">
        <w:rPr>
          <w:rStyle w:val="Emphasis"/>
        </w:rPr>
        <w:t xml:space="preserve">its </w:t>
      </w:r>
      <w:r w:rsidRPr="00943198">
        <w:rPr>
          <w:rStyle w:val="Emphasis"/>
          <w:highlight w:val="green"/>
        </w:rPr>
        <w:t>proven ability to win battles</w:t>
      </w:r>
      <w:r w:rsidRPr="00BD18F5">
        <w:rPr>
          <w:rStyle w:val="StyleUnderline"/>
        </w:rPr>
        <w:t xml:space="preserve"> across </w:t>
      </w:r>
      <w:r w:rsidRPr="00BD18F5">
        <w:rPr>
          <w:rStyle w:val="Emphasis"/>
        </w:rPr>
        <w:t>multiple arenas.</w:t>
      </w:r>
      <w:r w:rsidRPr="00876CD0">
        <w:rPr>
          <w:sz w:val="16"/>
        </w:rPr>
        <w:t xml:space="preserve"> </w:t>
      </w:r>
      <w:r w:rsidRPr="00BD18F5">
        <w:rPr>
          <w:rStyle w:val="StyleUnderline"/>
        </w:rPr>
        <w:t xml:space="preserve">The American Federation of Government Employees demonstrated this last week when they </w:t>
      </w:r>
      <w:r w:rsidRPr="007F17F6">
        <w:rPr>
          <w:rStyle w:val="StyleUnderline"/>
        </w:rPr>
        <w:t>secured a landmark legal victory against Trump's illegal termination of federal workers</w:t>
      </w:r>
      <w:r w:rsidRPr="00876CD0">
        <w:rPr>
          <w:sz w:val="16"/>
        </w:rPr>
        <w:t xml:space="preserve">. Federal Judge William Alsup's blistering ruling exposed how the administration fabricated performance claims to justify firings, ordering immediate reinstatement of thousands of workers while declaring that the terminations "based on a lie." </w:t>
      </w:r>
      <w:r w:rsidRPr="00BD18F5">
        <w:rPr>
          <w:rStyle w:val="StyleUnderline"/>
        </w:rPr>
        <w:t xml:space="preserve">This victory </w:t>
      </w:r>
      <w:r w:rsidRPr="00876CD0">
        <w:rPr>
          <w:rStyle w:val="StyleUnderline"/>
        </w:rPr>
        <w:t xml:space="preserve">proved </w:t>
      </w:r>
      <w:r w:rsidRPr="00943198">
        <w:rPr>
          <w:rStyle w:val="StyleUnderline"/>
          <w:highlight w:val="green"/>
        </w:rPr>
        <w:t xml:space="preserve">unions </w:t>
      </w:r>
      <w:r w:rsidRPr="00876CD0">
        <w:rPr>
          <w:rStyle w:val="StyleUnderline"/>
        </w:rPr>
        <w:t xml:space="preserve">could </w:t>
      </w:r>
      <w:r w:rsidRPr="00876CD0">
        <w:rPr>
          <w:rStyle w:val="Emphasis"/>
          <w:highlight w:val="green"/>
        </w:rPr>
        <w:t>successfully</w:t>
      </w:r>
      <w:r w:rsidRPr="00876CD0">
        <w:rPr>
          <w:rStyle w:val="Emphasis"/>
        </w:rPr>
        <w:t xml:space="preserve"> </w:t>
      </w:r>
      <w:r w:rsidRPr="00943198">
        <w:rPr>
          <w:rStyle w:val="Emphasis"/>
          <w:highlight w:val="green"/>
        </w:rPr>
        <w:t xml:space="preserve">challenge </w:t>
      </w:r>
      <w:r w:rsidRPr="00876CD0">
        <w:rPr>
          <w:rStyle w:val="Emphasis"/>
        </w:rPr>
        <w:t xml:space="preserve">authoritarian </w:t>
      </w:r>
      <w:r w:rsidRPr="00943198">
        <w:rPr>
          <w:rStyle w:val="Emphasis"/>
          <w:highlight w:val="green"/>
        </w:rPr>
        <w:t xml:space="preserve">overreach through </w:t>
      </w:r>
      <w:r w:rsidRPr="00876CD0">
        <w:rPr>
          <w:rStyle w:val="Emphasis"/>
        </w:rPr>
        <w:t xml:space="preserve">the </w:t>
      </w:r>
      <w:r w:rsidRPr="00943198">
        <w:rPr>
          <w:rStyle w:val="Emphasis"/>
          <w:highlight w:val="green"/>
        </w:rPr>
        <w:t>courts</w:t>
      </w:r>
      <w:r w:rsidRPr="00BD18F5">
        <w:rPr>
          <w:rStyle w:val="StyleUnderline"/>
        </w:rPr>
        <w:t>—a lesson being institutionalized through new initiatives like Democracy 2025, which pre-positions legal teams to file challenges within hours of unconstitutional actions.</w:t>
      </w:r>
    </w:p>
    <w:p w14:paraId="22AFABC2" w14:textId="77777777" w:rsidR="00C42954" w:rsidRPr="00876CD0" w:rsidRDefault="00C42954" w:rsidP="00C42954">
      <w:pPr>
        <w:rPr>
          <w:sz w:val="16"/>
        </w:rPr>
      </w:pPr>
      <w:r w:rsidRPr="00876CD0">
        <w:rPr>
          <w:sz w:val="16"/>
        </w:rPr>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485D0000" w14:textId="77777777" w:rsidR="00C42954" w:rsidRPr="00876CD0" w:rsidRDefault="00C42954" w:rsidP="00C42954">
      <w:pPr>
        <w:rPr>
          <w:sz w:val="16"/>
        </w:rPr>
      </w:pPr>
      <w:r w:rsidRPr="00876CD0">
        <w:rPr>
          <w:rStyle w:val="StyleUnderline"/>
        </w:rPr>
        <w:t>What makes this</w:t>
      </w:r>
      <w:r w:rsidRPr="00BD18F5">
        <w:rPr>
          <w:rStyle w:val="StyleUnderline"/>
        </w:rPr>
        <w:t xml:space="preserve"> </w:t>
      </w:r>
      <w:r w:rsidRPr="00876CD0">
        <w:rPr>
          <w:rStyle w:val="StyleUnderline"/>
          <w:highlight w:val="green"/>
        </w:rPr>
        <w:t>resistance</w:t>
      </w:r>
      <w:r w:rsidRPr="00BD18F5">
        <w:rPr>
          <w:rStyle w:val="StyleUnderline"/>
        </w:rPr>
        <w:t xml:space="preserve"> </w:t>
      </w:r>
      <w:r w:rsidRPr="00876CD0">
        <w:rPr>
          <w:rStyle w:val="StyleUnderline"/>
        </w:rPr>
        <w:t xml:space="preserve">unique is its </w:t>
      </w:r>
      <w:r w:rsidRPr="00943198">
        <w:rPr>
          <w:rStyle w:val="Emphasis"/>
          <w:highlight w:val="green"/>
        </w:rPr>
        <w:t>comprehensive</w:t>
      </w:r>
      <w:r w:rsidRPr="00943198">
        <w:rPr>
          <w:rStyle w:val="StyleUnderline"/>
          <w:highlight w:val="green"/>
        </w:rPr>
        <w:t xml:space="preserve"> </w:t>
      </w:r>
      <w:r w:rsidRPr="00876CD0">
        <w:rPr>
          <w:rStyle w:val="StyleUnderline"/>
        </w:rPr>
        <w:t>nature</w:t>
      </w:r>
      <w:r w:rsidRPr="00876CD0">
        <w:rPr>
          <w:sz w:val="16"/>
        </w:rPr>
        <w:t xml:space="preserve">. The United Auto Workers' historic strike strategy—simultaneously targeting the three biggest automakers—has </w:t>
      </w:r>
      <w:r w:rsidRPr="00BD18F5">
        <w:rPr>
          <w:rStyle w:val="StyleUnderline"/>
        </w:rPr>
        <w:t xml:space="preserve">inspired similar </w:t>
      </w:r>
      <w:r w:rsidRPr="00876CD0">
        <w:rPr>
          <w:rStyle w:val="StyleUnderline"/>
          <w:highlight w:val="green"/>
        </w:rPr>
        <w:t>coordinated</w:t>
      </w:r>
      <w:r w:rsidRPr="00BD18F5">
        <w:rPr>
          <w:rStyle w:val="StyleUnderline"/>
        </w:rPr>
        <w:t xml:space="preserve"> actions </w:t>
      </w:r>
      <w:r w:rsidRPr="00943198">
        <w:rPr>
          <w:rStyle w:val="Emphasis"/>
          <w:highlight w:val="green"/>
        </w:rPr>
        <w:t>across sectors</w:t>
      </w:r>
      <w:r w:rsidRPr="00876CD0">
        <w:rPr>
          <w:sz w:val="16"/>
        </w:rPr>
        <w:t>. Teachers’ unions now pair strike actions with political education about school privatization threats. Postal worker protests highlight both workplace issues and the danger of privatization.</w:t>
      </w:r>
    </w:p>
    <w:p w14:paraId="32D5E7A1" w14:textId="77777777" w:rsidR="00C42954" w:rsidRPr="00876CD0" w:rsidRDefault="00C42954" w:rsidP="00C42954">
      <w:pPr>
        <w:rPr>
          <w:sz w:val="16"/>
        </w:rPr>
      </w:pPr>
      <w:r w:rsidRPr="00876CD0">
        <w:rPr>
          <w:sz w:val="16"/>
        </w:rPr>
        <w:t xml:space="preserve">April Verrett, SEIU President, remembers that </w:t>
      </w:r>
      <w:r w:rsidRPr="00876CD0">
        <w:rPr>
          <w:rStyle w:val="StyleUnderline"/>
        </w:rPr>
        <w:t xml:space="preserve">unions will </w:t>
      </w:r>
      <w:r w:rsidRPr="00876CD0">
        <w:rPr>
          <w:rStyle w:val="Emphasis"/>
        </w:rPr>
        <w:t>not</w:t>
      </w:r>
      <w:r w:rsidRPr="00876CD0">
        <w:rPr>
          <w:rStyle w:val="StyleUnderline"/>
        </w:rPr>
        <w:t xml:space="preserve"> stay</w:t>
      </w:r>
      <w:r w:rsidRPr="00BD18F5">
        <w:rPr>
          <w:rStyle w:val="StyleUnderline"/>
        </w:rPr>
        <w:t xml:space="preserve"> and </w:t>
      </w:r>
      <w:r w:rsidRPr="00876CD0">
        <w:rPr>
          <w:rStyle w:val="StyleUnderline"/>
        </w:rPr>
        <w:t>still</w:t>
      </w:r>
      <w:r w:rsidRPr="00876CD0">
        <w:rPr>
          <w:sz w:val="16"/>
        </w:rPr>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5323C6FB" w14:textId="77777777" w:rsidR="00C42954" w:rsidRPr="00B65563" w:rsidRDefault="00C42954" w:rsidP="00C42954">
      <w:pPr>
        <w:rPr>
          <w:rStyle w:val="StyleUnderline"/>
        </w:rPr>
      </w:pPr>
      <w:r w:rsidRPr="00876CD0">
        <w:rPr>
          <w:rStyle w:val="StyleUnderline"/>
        </w:rPr>
        <w:t xml:space="preserve">The </w:t>
      </w:r>
      <w:r w:rsidRPr="00943198">
        <w:rPr>
          <w:rStyle w:val="StyleUnderline"/>
          <w:highlight w:val="green"/>
        </w:rPr>
        <w:t xml:space="preserve">stakes </w:t>
      </w:r>
      <w:r w:rsidRPr="00943198">
        <w:rPr>
          <w:rStyle w:val="Emphasis"/>
          <w:highlight w:val="green"/>
        </w:rPr>
        <w:t>transcend</w:t>
      </w:r>
      <w:r w:rsidRPr="00B65563">
        <w:rPr>
          <w:rStyle w:val="Emphasis"/>
        </w:rPr>
        <w:t xml:space="preserve"> traditional </w:t>
      </w:r>
      <w:r w:rsidRPr="00943198">
        <w:rPr>
          <w:rStyle w:val="Emphasis"/>
          <w:highlight w:val="green"/>
        </w:rPr>
        <w:t>labor</w:t>
      </w:r>
      <w:r w:rsidRPr="00B65563">
        <w:rPr>
          <w:rStyle w:val="Emphasis"/>
        </w:rPr>
        <w:t xml:space="preserve"> issues</w:t>
      </w:r>
      <w:r w:rsidRPr="00B65563">
        <w:rPr>
          <w:rStyle w:val="StyleUnderline"/>
        </w:rPr>
        <w:t xml:space="preserve">. Should </w:t>
      </w:r>
      <w:r w:rsidRPr="00943198">
        <w:rPr>
          <w:rStyle w:val="StyleUnderline"/>
          <w:highlight w:val="green"/>
        </w:rPr>
        <w:t>Project 2025</w:t>
      </w:r>
      <w:r w:rsidRPr="00B65563">
        <w:rPr>
          <w:rStyle w:val="StyleUnderline"/>
        </w:rPr>
        <w:t xml:space="preserve"> succeed, </w:t>
      </w:r>
      <w:r w:rsidRPr="00876CD0">
        <w:rPr>
          <w:rStyle w:val="StyleUnderline"/>
        </w:rPr>
        <w:t>we'd see</w:t>
      </w:r>
      <w:r w:rsidRPr="00B65563">
        <w:rPr>
          <w:rStyle w:val="StyleUnderline"/>
        </w:rPr>
        <w:t xml:space="preserve"> not just eroded worker protections but </w:t>
      </w:r>
      <w:r w:rsidRPr="00876CD0">
        <w:rPr>
          <w:rStyle w:val="Emphasis"/>
        </w:rPr>
        <w:t xml:space="preserve">the </w:t>
      </w:r>
      <w:r w:rsidRPr="00876CD0">
        <w:rPr>
          <w:rStyle w:val="Emphasis"/>
          <w:highlight w:val="green"/>
        </w:rPr>
        <w:t>dismantling</w:t>
      </w:r>
      <w:r w:rsidRPr="00876CD0">
        <w:rPr>
          <w:rStyle w:val="Emphasis"/>
        </w:rPr>
        <w:t xml:space="preserve"> of </w:t>
      </w:r>
      <w:r w:rsidRPr="00943198">
        <w:rPr>
          <w:rStyle w:val="Emphasis"/>
          <w:highlight w:val="green"/>
        </w:rPr>
        <w:t>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1E956D91" w14:textId="77777777" w:rsidR="00C42954" w:rsidRPr="00876CD0" w:rsidRDefault="00C42954" w:rsidP="00C42954">
      <w:pPr>
        <w:rPr>
          <w:sz w:val="16"/>
        </w:rPr>
      </w:pPr>
      <w:r w:rsidRPr="00876CD0">
        <w:rPr>
          <w:sz w:val="16"/>
        </w:rPr>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65991A1B" w14:textId="77777777" w:rsidR="00C42954" w:rsidRPr="00876CD0" w:rsidRDefault="00C42954" w:rsidP="00C42954">
      <w:pPr>
        <w:rPr>
          <w:sz w:val="16"/>
        </w:rPr>
      </w:pPr>
      <w:r w:rsidRPr="00876CD0">
        <w:rPr>
          <w:sz w:val="16"/>
        </w:rPr>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876CD0">
        <w:rPr>
          <w:sz w:val="16"/>
        </w:rPr>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876CD0">
        <w:rPr>
          <w:sz w:val="16"/>
        </w:rPr>
        <w:t>. Their victories—from courtroom triumphs to workplace organizing wins—provide guidance and inspiration for the broader fights to defend democracy in the US and globally.</w:t>
      </w:r>
    </w:p>
    <w:p w14:paraId="3D8B741F" w14:textId="77777777" w:rsidR="00C42954" w:rsidRDefault="00C42954" w:rsidP="00C42954">
      <w:pPr>
        <w:pStyle w:val="Heading4"/>
      </w:pPr>
      <w:r>
        <w:t>Vote neg for a “Block and Build” approach to union organizing. This is not liberalist reform but radical change that dismantles institutional violence.</w:t>
      </w:r>
    </w:p>
    <w:p w14:paraId="29F29BD6" w14:textId="77777777" w:rsidR="00C42954" w:rsidRDefault="00C42954" w:rsidP="00C42954">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r w:rsidRPr="00277802">
        <w:t>United Teachers Los Angeles</w:t>
      </w:r>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r w:rsidRPr="00277802">
        <w:t>https://convergencemag.com/articles/how-labor-can-fight-trumps-authoritarianism/</w:t>
      </w:r>
      <w:r>
        <w:t xml:space="preserve"> NL]</w:t>
      </w:r>
    </w:p>
    <w:p w14:paraId="5B511AA9" w14:textId="77777777" w:rsidR="00C42954" w:rsidRPr="00876CD0" w:rsidRDefault="00C42954" w:rsidP="00C42954">
      <w:pPr>
        <w:rPr>
          <w:sz w:val="16"/>
        </w:rPr>
      </w:pPr>
      <w:r w:rsidRPr="00876CD0">
        <w:rPr>
          <w:sz w:val="16"/>
        </w:rPr>
        <w:t xml:space="preserve">In the coming years, </w:t>
      </w:r>
      <w:r w:rsidRPr="00943198">
        <w:rPr>
          <w:rStyle w:val="StyleUnderline"/>
          <w:highlight w:val="green"/>
        </w:rPr>
        <w:t xml:space="preserve">defeating MAGA </w:t>
      </w:r>
      <w:r w:rsidRPr="007F17F6">
        <w:rPr>
          <w:rStyle w:val="StyleUnderline"/>
        </w:rPr>
        <w:t xml:space="preserve">authoritarianism </w:t>
      </w:r>
      <w:r w:rsidRPr="00943198">
        <w:rPr>
          <w:rStyle w:val="Emphasis"/>
          <w:highlight w:val="green"/>
        </w:rPr>
        <w:t>must</w:t>
      </w:r>
      <w:r w:rsidRPr="00943198">
        <w:rPr>
          <w:rStyle w:val="StyleUnderline"/>
          <w:highlight w:val="green"/>
        </w:rPr>
        <w:t xml:space="preserve"> be </w:t>
      </w:r>
      <w:r w:rsidRPr="007F17F6">
        <w:rPr>
          <w:rStyle w:val="StyleUnderline"/>
        </w:rPr>
        <w:t xml:space="preserve">US </w:t>
      </w:r>
      <w:r w:rsidRPr="00943198">
        <w:rPr>
          <w:rStyle w:val="StyleUnderline"/>
          <w:highlight w:val="green"/>
        </w:rPr>
        <w:t xml:space="preserve">labor’s </w:t>
      </w:r>
      <w:r w:rsidRPr="007F17F6">
        <w:rPr>
          <w:rStyle w:val="StyleUnderline"/>
        </w:rPr>
        <w:t xml:space="preserve">main </w:t>
      </w:r>
      <w:r w:rsidRPr="00943198">
        <w:rPr>
          <w:rStyle w:val="StyleUnderline"/>
          <w:highlight w:val="green"/>
        </w:rPr>
        <w:t xml:space="preserve">objective, </w:t>
      </w:r>
      <w:r w:rsidRPr="00876CD0">
        <w:rPr>
          <w:rStyle w:val="StyleUnderline"/>
        </w:rPr>
        <w:t xml:space="preserve">embedded within a </w:t>
      </w:r>
      <w:r w:rsidRPr="007F17F6">
        <w:rPr>
          <w:rStyle w:val="StyleUnderline"/>
        </w:rPr>
        <w:t xml:space="preserve">long-term </w:t>
      </w:r>
      <w:r w:rsidRPr="00876CD0">
        <w:rPr>
          <w:rStyle w:val="StyleUnderline"/>
        </w:rPr>
        <w:t xml:space="preserve">strategy to </w:t>
      </w:r>
      <w:r w:rsidRPr="00876CD0">
        <w:rPr>
          <w:rStyle w:val="Emphasis"/>
        </w:rPr>
        <w:t>fight for multi-racial democracy</w:t>
      </w:r>
      <w:r w:rsidRPr="00876CD0">
        <w:rPr>
          <w:rStyle w:val="StyleUnderline"/>
        </w:rPr>
        <w:t xml:space="preserve"> and an economy in </w:t>
      </w:r>
      <w:r w:rsidRPr="00876CD0">
        <w:rPr>
          <w:rStyle w:val="Emphasis"/>
        </w:rPr>
        <w:t>which working-class people thrive</w:t>
      </w:r>
      <w:r w:rsidRPr="00876CD0">
        <w:rPr>
          <w:sz w:val="16"/>
        </w:rPr>
        <w:t xml:space="preserve">. I propose that </w:t>
      </w:r>
      <w:r w:rsidRPr="00ED2411">
        <w:rPr>
          <w:rStyle w:val="StyleUnderline"/>
        </w:rPr>
        <w:t xml:space="preserve">labor </w:t>
      </w:r>
      <w:r w:rsidRPr="00943198">
        <w:rPr>
          <w:rStyle w:val="StyleUnderline"/>
          <w:highlight w:val="green"/>
        </w:rPr>
        <w:t>adopt</w:t>
      </w:r>
      <w:r w:rsidRPr="00ED2411">
        <w:rPr>
          <w:rStyle w:val="StyleUnderline"/>
        </w:rPr>
        <w:t xml:space="preserve"> an intensified “</w:t>
      </w:r>
      <w:r w:rsidRPr="00943198">
        <w:rPr>
          <w:rStyle w:val="Emphasis"/>
          <w:highlight w:val="green"/>
        </w:rPr>
        <w:t>Block and Build</w:t>
      </w:r>
      <w:r w:rsidRPr="00ED2411">
        <w:rPr>
          <w:rStyle w:val="StyleUnderline"/>
        </w:rPr>
        <w:t>” approach</w:t>
      </w:r>
      <w:r w:rsidRPr="00876CD0">
        <w:rPr>
          <w:sz w:val="16"/>
        </w:rPr>
        <w:t>. </w:t>
      </w:r>
    </w:p>
    <w:p w14:paraId="5178AEE5" w14:textId="77777777" w:rsidR="00C42954" w:rsidRPr="00ED2411" w:rsidRDefault="00C42954" w:rsidP="00C42954">
      <w:pPr>
        <w:rPr>
          <w:rStyle w:val="Emphasis"/>
        </w:rPr>
      </w:pPr>
      <w:r w:rsidRPr="00943198">
        <w:rPr>
          <w:rStyle w:val="StyleUnderline"/>
          <w:highlight w:val="green"/>
        </w:rPr>
        <w:t xml:space="preserve">“Blocking” </w:t>
      </w:r>
      <w:r w:rsidRPr="00F91A3F">
        <w:rPr>
          <w:rStyle w:val="StyleUnderline"/>
        </w:rPr>
        <w:t xml:space="preserve">means </w:t>
      </w:r>
      <w:r w:rsidRPr="00943198">
        <w:rPr>
          <w:rStyle w:val="StyleUnderline"/>
          <w:highlight w:val="green"/>
        </w:rPr>
        <w:t>organizing</w:t>
      </w:r>
      <w:r w:rsidRPr="00ED2411">
        <w:rPr>
          <w:rStyle w:val="StyleUnderline"/>
        </w:rPr>
        <w:t xml:space="preserve"> </w:t>
      </w:r>
      <w:r w:rsidRPr="00ED2411">
        <w:rPr>
          <w:rStyle w:val="Emphasis"/>
        </w:rPr>
        <w:t xml:space="preserve">broad </w:t>
      </w:r>
      <w:r w:rsidRPr="00943198">
        <w:rPr>
          <w:rStyle w:val="Emphasis"/>
          <w:highlight w:val="green"/>
        </w:rPr>
        <w:t xml:space="preserve">labor, community, </w:t>
      </w:r>
      <w:r w:rsidRPr="00F91A3F">
        <w:rPr>
          <w:rStyle w:val="Emphasis"/>
        </w:rPr>
        <w:t xml:space="preserve">and </w:t>
      </w:r>
      <w:r w:rsidRPr="00943198">
        <w:rPr>
          <w:rStyle w:val="Emphasis"/>
          <w:highlight w:val="green"/>
        </w:rPr>
        <w:t>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F91A3F">
        <w:rPr>
          <w:rStyle w:val="Emphasis"/>
        </w:rPr>
        <w:t>defending the most vulnerable</w:t>
      </w:r>
      <w:r w:rsidRPr="00F91A3F">
        <w:rPr>
          <w:rStyle w:val="StyleUnderline"/>
        </w:rPr>
        <w:t xml:space="preserve">. </w:t>
      </w:r>
      <w:r w:rsidRPr="00943198">
        <w:rPr>
          <w:rStyle w:val="StyleUnderline"/>
          <w:highlight w:val="green"/>
        </w:rPr>
        <w:t xml:space="preserve">“Building” </w:t>
      </w:r>
      <w:r w:rsidRPr="00F91A3F">
        <w:rPr>
          <w:rStyle w:val="StyleUnderline"/>
        </w:rPr>
        <w:t>means</w:t>
      </w:r>
      <w:r w:rsidRPr="00ED2411">
        <w:rPr>
          <w:rStyle w:val="StyleUnderline"/>
        </w:rPr>
        <w:t xml:space="preserve"> </w:t>
      </w:r>
      <w:r w:rsidRPr="007F17F6">
        <w:rPr>
          <w:rStyle w:val="StyleUnderline"/>
        </w:rPr>
        <w:t xml:space="preserve">massively </w:t>
      </w:r>
      <w:r w:rsidRPr="00943198">
        <w:rPr>
          <w:rStyle w:val="Emphasis"/>
          <w:highlight w:val="green"/>
        </w:rPr>
        <w:t>expanding a social base</w:t>
      </w:r>
      <w:r w:rsidRPr="00ED2411">
        <w:rPr>
          <w:rStyle w:val="StyleUnderline"/>
        </w:rPr>
        <w:t xml:space="preserve"> and movement infrastructure that will </w:t>
      </w:r>
      <w:r w:rsidRPr="00F91A3F">
        <w:rPr>
          <w:rStyle w:val="Emphasis"/>
          <w:highlight w:val="green"/>
        </w:rPr>
        <w:t>fight</w:t>
      </w:r>
      <w:r w:rsidRPr="00ED2411">
        <w:rPr>
          <w:rStyle w:val="Emphasis"/>
        </w:rPr>
        <w:t xml:space="preserve"> authoritarianism </w:t>
      </w:r>
      <w:r w:rsidRPr="00F91A3F">
        <w:rPr>
          <w:rStyle w:val="Emphasis"/>
          <w:highlight w:val="green"/>
        </w:rPr>
        <w:t>long-term</w:t>
      </w:r>
      <w:r w:rsidRPr="00ED2411">
        <w:rPr>
          <w:rStyle w:val="StyleUnderline"/>
        </w:rPr>
        <w:t xml:space="preserve"> and </w:t>
      </w:r>
      <w:r w:rsidRPr="00F91A3F">
        <w:rPr>
          <w:rStyle w:val="Emphasis"/>
        </w:rPr>
        <w:t>build campaigns for multi-racial democracy</w:t>
      </w:r>
      <w:r w:rsidRPr="00ED2411">
        <w:rPr>
          <w:rStyle w:val="StyleUnderline"/>
        </w:rPr>
        <w:t xml:space="preserve"> and </w:t>
      </w:r>
      <w:r w:rsidRPr="00ED2411">
        <w:rPr>
          <w:rStyle w:val="Emphasis"/>
        </w:rPr>
        <w:t>an economy that radically departs from the corporate-driven, unequal model that has dominated since the 1970s.</w:t>
      </w:r>
      <w:r w:rsidRPr="00876CD0">
        <w:rPr>
          <w:sz w:val="16"/>
        </w:rPr>
        <w:t>  </w:t>
      </w:r>
    </w:p>
    <w:p w14:paraId="1DDA5771" w14:textId="77777777" w:rsidR="00C42954" w:rsidRPr="00876CD0" w:rsidRDefault="00C42954" w:rsidP="00C42954">
      <w:pPr>
        <w:rPr>
          <w:sz w:val="16"/>
        </w:rPr>
      </w:pPr>
      <w:r w:rsidRPr="00876CD0">
        <w:rPr>
          <w:sz w:val="16"/>
        </w:rPr>
        <w:t>This objective comes in the context of efforts by Trump and MAGA forces to bring some unions more formally into the Right’s coalition, which echoes similar efforts by racist authoritarians throughout history.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5C595221" w14:textId="77777777" w:rsidR="00C42954" w:rsidRPr="00876CD0" w:rsidRDefault="00C42954" w:rsidP="00C42954">
      <w:pPr>
        <w:rPr>
          <w:sz w:val="16"/>
        </w:rPr>
      </w:pPr>
      <w:r w:rsidRPr="00876CD0">
        <w:rPr>
          <w:sz w:val="16"/>
        </w:rPr>
        <w:t xml:space="preserve">A critical component of an intensified Block and Build strategy within labor </w:t>
      </w:r>
      <w:r w:rsidRPr="00ED2411">
        <w:rPr>
          <w:rStyle w:val="StyleUnderline"/>
        </w:rPr>
        <w:t xml:space="preserve">must be constructing a new vision in which the US labor movement is unapologetically </w:t>
      </w:r>
      <w:r w:rsidRPr="00F91A3F">
        <w:rPr>
          <w:rStyle w:val="StyleUnderline"/>
        </w:rPr>
        <w:t xml:space="preserve">fighting </w:t>
      </w:r>
      <w:r w:rsidRPr="00943198">
        <w:rPr>
          <w:rStyle w:val="StyleUnderline"/>
          <w:highlight w:val="green"/>
        </w:rPr>
        <w:t xml:space="preserve">for the </w:t>
      </w:r>
      <w:r w:rsidRPr="00943198">
        <w:rPr>
          <w:rStyle w:val="Emphasis"/>
          <w:highlight w:val="green"/>
        </w:rPr>
        <w:t>entirety</w:t>
      </w:r>
      <w:r w:rsidRPr="00943198">
        <w:rPr>
          <w:rStyle w:val="StyleUnderline"/>
          <w:highlight w:val="green"/>
        </w:rPr>
        <w:t xml:space="preserve"> of the working class, </w:t>
      </w:r>
      <w:r w:rsidRPr="00F91A3F">
        <w:rPr>
          <w:rStyle w:val="Emphasis"/>
          <w:highlight w:val="green"/>
        </w:rPr>
        <w:t>not</w:t>
      </w:r>
      <w:r w:rsidRPr="00F91A3F">
        <w:rPr>
          <w:rStyle w:val="StyleUnderline"/>
          <w:highlight w:val="green"/>
        </w:rPr>
        <w:t xml:space="preserve"> just</w:t>
      </w:r>
      <w:r w:rsidRPr="00ED2411">
        <w:rPr>
          <w:rStyle w:val="StyleUnderline"/>
        </w:rPr>
        <w:t xml:space="preserve"> currently </w:t>
      </w:r>
      <w:r w:rsidRPr="00943198">
        <w:rPr>
          <w:rStyle w:val="StyleUnderline"/>
          <w:highlight w:val="green"/>
        </w:rPr>
        <w:t>unionized workers</w:t>
      </w:r>
      <w:r w:rsidRPr="00876CD0">
        <w:rPr>
          <w:sz w:val="16"/>
        </w:rPr>
        <w:t>. Though Trump will dramatically weaken the National Labor Relations Board (NLRB) and more employers will engage in anti-union campaigns, this is not the time for hunker-down unionism, in which we try to weather a four-year storm by hoping for a better day. </w:t>
      </w:r>
    </w:p>
    <w:p w14:paraId="69B0B226" w14:textId="77777777" w:rsidR="00C42954" w:rsidRPr="00ED2411" w:rsidRDefault="00C42954" w:rsidP="00C42954">
      <w:pPr>
        <w:rPr>
          <w:rStyle w:val="Emphasis"/>
        </w:rPr>
      </w:pPr>
      <w:r w:rsidRPr="00ED2411">
        <w:rPr>
          <w:rStyle w:val="StyleUnderline"/>
        </w:rPr>
        <w:t xml:space="preserve">This is a time to </w:t>
      </w:r>
      <w:r w:rsidRPr="00F91A3F">
        <w:rPr>
          <w:rStyle w:val="Emphasis"/>
        </w:rPr>
        <w:t>shift</w:t>
      </w:r>
      <w:r w:rsidRPr="00ED2411">
        <w:rPr>
          <w:rStyle w:val="StyleUnderline"/>
        </w:rPr>
        <w:t xml:space="preserve"> union </w:t>
      </w:r>
      <w:r w:rsidRPr="00F91A3F">
        <w:rPr>
          <w:rStyle w:val="StyleUnderline"/>
        </w:rPr>
        <w:t>strategy</w:t>
      </w:r>
      <w:r w:rsidRPr="00876CD0">
        <w:rPr>
          <w:sz w:val="16"/>
        </w:rPr>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ED2411">
        <w:rPr>
          <w:rStyle w:val="StyleUnderline"/>
        </w:rPr>
        <w:t xml:space="preserve">our overall orientation must be </w:t>
      </w:r>
      <w:r w:rsidRPr="00F91A3F">
        <w:rPr>
          <w:rStyle w:val="Emphasis"/>
        </w:rPr>
        <w:t>bold</w:t>
      </w:r>
      <w:r w:rsidRPr="00F91A3F">
        <w:rPr>
          <w:rStyle w:val="StyleUnderline"/>
        </w:rPr>
        <w:t xml:space="preserve">, </w:t>
      </w:r>
      <w:r w:rsidRPr="00F91A3F">
        <w:rPr>
          <w:rStyle w:val="Emphasis"/>
        </w:rPr>
        <w:t>aggressive</w:t>
      </w:r>
      <w:r w:rsidRPr="00ED2411">
        <w:rPr>
          <w:rStyle w:val="StyleUnderline"/>
        </w:rPr>
        <w:t xml:space="preserve">, and </w:t>
      </w:r>
      <w:r w:rsidRPr="00F91A3F">
        <w:rPr>
          <w:rStyle w:val="Emphasis"/>
        </w:rPr>
        <w:t>unapologetic</w:t>
      </w:r>
      <w:r w:rsidRPr="00ED2411">
        <w:rPr>
          <w:rStyle w:val="StyleUnderline"/>
        </w:rPr>
        <w:t xml:space="preserve"> in seeking to </w:t>
      </w:r>
      <w:r w:rsidRPr="00ED2411">
        <w:rPr>
          <w:rStyle w:val="Emphasis"/>
        </w:rPr>
        <w:t>change the world</w:t>
      </w:r>
      <w:r w:rsidRPr="00876CD0">
        <w:rPr>
          <w:sz w:val="16"/>
        </w:rPr>
        <w:t>.    </w:t>
      </w:r>
    </w:p>
    <w:p w14:paraId="3AAF46CE" w14:textId="77777777" w:rsidR="00C42954" w:rsidRPr="00ED2411" w:rsidRDefault="00C42954" w:rsidP="00C42954">
      <w:pPr>
        <w:rPr>
          <w:rStyle w:val="Emphasis"/>
        </w:rPr>
      </w:pPr>
      <w:r w:rsidRPr="00876CD0">
        <w:rPr>
          <w:sz w:val="16"/>
        </w:rPr>
        <w:t xml:space="preserve">Tactically for labor, intensified “Block” </w:t>
      </w:r>
      <w:r w:rsidRPr="00F91A3F">
        <w:rPr>
          <w:rStyle w:val="StyleUnderline"/>
        </w:rPr>
        <w:t xml:space="preserve">means </w:t>
      </w:r>
      <w:r w:rsidRPr="00943198">
        <w:rPr>
          <w:rStyle w:val="Emphasis"/>
          <w:highlight w:val="green"/>
        </w:rPr>
        <w:t>investing more 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876CD0">
        <w:rPr>
          <w:sz w:val="16"/>
        </w:rPr>
        <w:t xml:space="preserve">It </w:t>
      </w:r>
      <w:r w:rsidRPr="00ED2411">
        <w:rPr>
          <w:rStyle w:val="StyleUnderline"/>
        </w:rPr>
        <w:t xml:space="preserve">means </w:t>
      </w:r>
      <w:r w:rsidRPr="00F91A3F">
        <w:rPr>
          <w:rStyle w:val="StyleUnderline"/>
        </w:rPr>
        <w:t xml:space="preserve">connecting with unions </w:t>
      </w:r>
      <w:r w:rsidRPr="00F91A3F">
        <w:rPr>
          <w:rStyle w:val="Emphasis"/>
        </w:rPr>
        <w:t>internationally</w:t>
      </w:r>
      <w:r w:rsidRPr="00ED2411">
        <w:rPr>
          <w:rStyle w:val="StyleUnderline"/>
        </w:rPr>
        <w:t xml:space="preserve"> for lessons on fighting authoritarianism, </w:t>
      </w:r>
      <w:r w:rsidRPr="00943198">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943198">
        <w:rPr>
          <w:rStyle w:val="Emphasis"/>
          <w:highlight w:val="green"/>
        </w:rPr>
        <w:t xml:space="preserve">in </w:t>
      </w:r>
      <w:r w:rsidRPr="00F91A3F">
        <w:rPr>
          <w:rStyle w:val="Emphasis"/>
          <w:highlight w:val="green"/>
        </w:rPr>
        <w:t>support o</w:t>
      </w:r>
      <w:r w:rsidRPr="00943198">
        <w:rPr>
          <w:rStyle w:val="Emphasis"/>
          <w:highlight w:val="green"/>
        </w:rPr>
        <w:t>f reproductive justice</w:t>
      </w:r>
      <w:r w:rsidRPr="00ED2411">
        <w:rPr>
          <w:rStyle w:val="StyleUnderline"/>
        </w:rPr>
        <w:t xml:space="preserve">, and </w:t>
      </w:r>
      <w:r w:rsidRPr="00943198">
        <w:rPr>
          <w:rStyle w:val="Emphasis"/>
          <w:highlight w:val="green"/>
        </w:rPr>
        <w:t>against white supremacist</w:t>
      </w:r>
      <w:r w:rsidRPr="00ED2411">
        <w:rPr>
          <w:rStyle w:val="Emphasis"/>
        </w:rPr>
        <w:t xml:space="preserve"> actions, </w:t>
      </w:r>
      <w:r w:rsidRPr="00943198">
        <w:rPr>
          <w:rStyle w:val="Emphasis"/>
          <w:highlight w:val="green"/>
        </w:rPr>
        <w:t xml:space="preserve">deportation </w:t>
      </w:r>
      <w:r w:rsidRPr="00F91A3F">
        <w:rPr>
          <w:rStyle w:val="Emphasis"/>
        </w:rPr>
        <w:t>of immigrants</w:t>
      </w:r>
      <w:r w:rsidRPr="00ED2411">
        <w:rPr>
          <w:rStyle w:val="Emphasis"/>
        </w:rPr>
        <w:t xml:space="preserve">, and </w:t>
      </w:r>
      <w:r w:rsidRPr="00943198">
        <w:rPr>
          <w:rStyle w:val="Emphasis"/>
          <w:highlight w:val="green"/>
        </w:rPr>
        <w:t>attacks on</w:t>
      </w:r>
      <w:r w:rsidRPr="00ED2411">
        <w:rPr>
          <w:rStyle w:val="Emphasis"/>
        </w:rPr>
        <w:t xml:space="preserve"> the </w:t>
      </w:r>
      <w:r w:rsidRPr="00943198">
        <w:rPr>
          <w:rStyle w:val="Emphasis"/>
          <w:highlight w:val="green"/>
        </w:rPr>
        <w:t>LGBTQ community</w:t>
      </w:r>
      <w:r w:rsidRPr="00876CD0">
        <w:rPr>
          <w:sz w:val="16"/>
        </w:rPr>
        <w:t xml:space="preserve">. </w:t>
      </w:r>
      <w:r w:rsidRPr="00ED241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F91A3F">
        <w:rPr>
          <w:rStyle w:val="Emphasis"/>
        </w:rPr>
        <w:t>leading in defending rights.</w:t>
      </w:r>
      <w:r w:rsidRPr="00ED2411">
        <w:rPr>
          <w:rStyle w:val="Emphasis"/>
        </w:rPr>
        <w:t> </w:t>
      </w:r>
    </w:p>
    <w:p w14:paraId="713C0EFF" w14:textId="77777777" w:rsidR="00C42954" w:rsidRPr="00876CD0" w:rsidRDefault="00C42954" w:rsidP="00C42954">
      <w:pPr>
        <w:rPr>
          <w:sz w:val="16"/>
        </w:rPr>
      </w:pPr>
      <w:r w:rsidRPr="00876CD0">
        <w:rPr>
          <w:sz w:val="16"/>
        </w:rPr>
        <w:t xml:space="preserve">Regarding offensive tactics, intensified “Build” for labor means strengthening our organizations and promoting a new vision for society. Both must be founded upon building power in measurable ways. </w:t>
      </w:r>
      <w:r w:rsidRPr="00ED2411">
        <w:rPr>
          <w:rStyle w:val="StyleUnderline"/>
        </w:rPr>
        <w:t xml:space="preserve">This means </w:t>
      </w:r>
      <w:r w:rsidRPr="00ED2411">
        <w:rPr>
          <w:rStyle w:val="Emphasis"/>
        </w:rPr>
        <w:t>dramatically expanding the number of people involved</w:t>
      </w:r>
      <w:r w:rsidRPr="00876CD0">
        <w:rPr>
          <w:sz w:val="16"/>
        </w:rPr>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876CD0">
        <w:rPr>
          <w:sz w:val="16"/>
        </w:rPr>
        <w:t> </w:t>
      </w:r>
    </w:p>
    <w:p w14:paraId="28183563" w14:textId="77777777" w:rsidR="00C42954" w:rsidRPr="00876CD0" w:rsidRDefault="00C42954" w:rsidP="00C42954">
      <w:pPr>
        <w:rPr>
          <w:sz w:val="16"/>
        </w:rPr>
      </w:pPr>
      <w:r w:rsidRPr="00ED2411">
        <w:rPr>
          <w:rStyle w:val="StyleUnderline"/>
        </w:rPr>
        <w:t xml:space="preserve">Working with community groups has been a consistent weak point for U.S. labor. </w:t>
      </w:r>
      <w:r w:rsidRPr="00ED2411">
        <w:rPr>
          <w:rStyle w:val="Emphasis"/>
        </w:rPr>
        <w:t>That must change</w:t>
      </w:r>
      <w:r w:rsidRPr="00876CD0">
        <w:rPr>
          <w:sz w:val="16"/>
        </w:rPr>
        <w:t>. For example, UTLA would not have been able to shift power relations in LA schools without a methodical and collaborative two-and-a-half-year process that initiated Reclaim Our Schools LA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43C4EE68" w14:textId="77777777" w:rsidR="00C42954" w:rsidRPr="00045C8F" w:rsidRDefault="00C42954" w:rsidP="00C42954">
      <w:pPr>
        <w:rPr>
          <w:rStyle w:val="StyleUnderline"/>
        </w:rPr>
      </w:pPr>
      <w:r w:rsidRPr="00876CD0">
        <w:rPr>
          <w:sz w:val="16"/>
        </w:rPr>
        <w:t xml:space="preserve">The work of the Reclaim coalition as a whole has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74FAE4A5" w14:textId="77777777" w:rsidR="00C42954" w:rsidRPr="00876CD0" w:rsidRDefault="00C42954" w:rsidP="00C42954">
      <w:pPr>
        <w:rPr>
          <w:sz w:val="16"/>
        </w:rPr>
      </w:pPr>
      <w:r w:rsidRPr="00876CD0">
        <w:rPr>
          <w:sz w:val="16"/>
        </w:rPr>
        <w:t>It is only through intentional work with community that labor will be able to build a multi-faceted working-class movement.</w:t>
      </w:r>
    </w:p>
    <w:p w14:paraId="5822781D" w14:textId="77777777" w:rsidR="00C42954" w:rsidRPr="00045C8F" w:rsidRDefault="00C42954" w:rsidP="00C42954">
      <w:pPr>
        <w:rPr>
          <w:rStyle w:val="Emphasis"/>
        </w:rPr>
      </w:pPr>
      <w:r w:rsidRPr="00876CD0">
        <w:rPr>
          <w:sz w:val="16"/>
        </w:rPr>
        <w:t xml:space="preserve">Regarding vision, the perspective labor puts forward must be developed with community organizations </w:t>
      </w:r>
      <w:r w:rsidRPr="00F91A3F">
        <w:rPr>
          <w:rStyle w:val="StyleUnderline"/>
        </w:rPr>
        <w:t>and offer an analysis of</w:t>
      </w:r>
      <w:r w:rsidRPr="00876CD0">
        <w:rPr>
          <w:sz w:val="16"/>
        </w:rPr>
        <w:t xml:space="preserve"> the recent election — </w:t>
      </w:r>
      <w:r w:rsidRPr="00045C8F">
        <w:rPr>
          <w:rStyle w:val="StyleUnderline"/>
        </w:rPr>
        <w:t xml:space="preserve">the destructive impacts of </w:t>
      </w:r>
      <w:r w:rsidRPr="00F91A3F">
        <w:rPr>
          <w:rStyle w:val="Emphasis"/>
        </w:rPr>
        <w:t>racism, misogyny, transphobia</w:t>
      </w:r>
      <w:r w:rsidRPr="00045C8F">
        <w:rPr>
          <w:rStyle w:val="Emphasis"/>
        </w:rPr>
        <w:t xml:space="preserve">, and </w:t>
      </w:r>
      <w:r w:rsidRPr="00F91A3F">
        <w:rPr>
          <w:rStyle w:val="Emphasis"/>
        </w:rPr>
        <w:t>xenophobia</w:t>
      </w:r>
      <w:r w:rsidRPr="00876CD0">
        <w:rPr>
          <w:sz w:val="16"/>
        </w:rPr>
        <w:t xml:space="preserve"> in the election; </w:t>
      </w:r>
      <w:r w:rsidRPr="00045C8F">
        <w:rPr>
          <w:rStyle w:val="StyleUnderline"/>
        </w:rPr>
        <w:t>the economic suffering of the multi-racial working class</w:t>
      </w:r>
      <w:r w:rsidRPr="00876CD0">
        <w:rPr>
          <w:sz w:val="16"/>
        </w:rPr>
        <w:t xml:space="preserve">; and the profound alienation of tens of millions of working-class voters. Our vision for society must explain why economic inequality exists, identify corporate and billionaire enemies, and pick fights. </w:t>
      </w:r>
      <w:r w:rsidRPr="00045C8F">
        <w:rPr>
          <w:rStyle w:val="StyleUnderline"/>
        </w:rPr>
        <w:t xml:space="preserve">It must be </w:t>
      </w:r>
      <w:r w:rsidRPr="00943198">
        <w:rPr>
          <w:rStyle w:val="StyleUnderline"/>
          <w:highlight w:val="green"/>
        </w:rPr>
        <w:t>based on</w:t>
      </w:r>
      <w:r w:rsidRPr="00045C8F">
        <w:rPr>
          <w:rStyle w:val="StyleUnderline"/>
        </w:rPr>
        <w:t xml:space="preserve"> meeting </w:t>
      </w:r>
      <w:r w:rsidRPr="00943198">
        <w:rPr>
          <w:rStyle w:val="Emphasis"/>
          <w:highlight w:val="green"/>
        </w:rPr>
        <w:t>immediate material needs</w:t>
      </w:r>
      <w:r w:rsidRPr="00045C8F">
        <w:rPr>
          <w:rStyle w:val="StyleUnderline"/>
        </w:rPr>
        <w:t xml:space="preserve">, justice, anti-oppression, economic redistribution, democratic rights, </w:t>
      </w:r>
      <w:r w:rsidRPr="00F91A3F">
        <w:rPr>
          <w:rStyle w:val="Emphasis"/>
        </w:rPr>
        <w:t>climate justice</w:t>
      </w:r>
      <w:r w:rsidRPr="00045C8F">
        <w:rPr>
          <w:rStyle w:val="StyleUnderline"/>
        </w:rPr>
        <w:t xml:space="preserve">, </w:t>
      </w:r>
      <w:r w:rsidRPr="00045C8F">
        <w:rPr>
          <w:rStyle w:val="Emphasis"/>
        </w:rPr>
        <w:t xml:space="preserve">a </w:t>
      </w:r>
      <w:r w:rsidRPr="00F91A3F">
        <w:rPr>
          <w:rStyle w:val="Emphasis"/>
        </w:rPr>
        <w:t>ceasefire in Gaza</w:t>
      </w:r>
      <w:r w:rsidRPr="00045C8F">
        <w:rPr>
          <w:rStyle w:val="StyleUnderline"/>
        </w:rPr>
        <w:t xml:space="preserve">, and </w:t>
      </w:r>
      <w:r w:rsidRPr="00F91A3F">
        <w:rPr>
          <w:rStyle w:val="Emphasis"/>
        </w:rPr>
        <w:t>international peace.</w:t>
      </w:r>
      <w:r w:rsidRPr="00876CD0">
        <w:rPr>
          <w:sz w:val="16"/>
        </w:rPr>
        <w:t> </w:t>
      </w:r>
    </w:p>
    <w:p w14:paraId="3D66D936" w14:textId="77777777" w:rsidR="00C42954" w:rsidRPr="00876CD0" w:rsidRDefault="00C42954" w:rsidP="00C42954">
      <w:pPr>
        <w:rPr>
          <w:sz w:val="16"/>
        </w:rPr>
      </w:pPr>
      <w:r w:rsidRPr="00943198">
        <w:rPr>
          <w:rStyle w:val="StyleUnderline"/>
          <w:highlight w:val="green"/>
        </w:rPr>
        <w:t xml:space="preserve">This is </w:t>
      </w:r>
      <w:r w:rsidRPr="00943198">
        <w:rPr>
          <w:rStyle w:val="Emphasis"/>
          <w:highlight w:val="green"/>
        </w:rPr>
        <w:t>not</w:t>
      </w:r>
      <w:r w:rsidRPr="00943198">
        <w:rPr>
          <w:rStyle w:val="StyleUnderline"/>
          <w:highlight w:val="green"/>
        </w:rPr>
        <w:t xml:space="preserve"> the Democratic Party</w:t>
      </w:r>
      <w:r w:rsidRPr="00045C8F">
        <w:rPr>
          <w:rStyle w:val="StyleUnderline"/>
        </w:rPr>
        <w:t xml:space="preserve">’s vision. The </w:t>
      </w:r>
      <w:r w:rsidRPr="00045C8F">
        <w:rPr>
          <w:rStyle w:val="Emphasis"/>
        </w:rPr>
        <w:t>party’s corporate and billionaire funders,</w:t>
      </w:r>
      <w:r w:rsidRPr="00045C8F">
        <w:rPr>
          <w:rStyle w:val="StyleUnderline"/>
        </w:rPr>
        <w:t xml:space="preserve"> and its </w:t>
      </w:r>
      <w:r w:rsidRPr="00045C8F">
        <w:rPr>
          <w:rStyle w:val="Emphasis"/>
        </w:rPr>
        <w:t>defense of</w:t>
      </w:r>
      <w:r w:rsidRPr="00045C8F">
        <w:rPr>
          <w:rStyle w:val="StyleUnderline"/>
        </w:rPr>
        <w:t xml:space="preserve"> economic </w:t>
      </w:r>
      <w:r w:rsidRPr="00045C8F">
        <w:rPr>
          <w:rStyle w:val="Emphasis"/>
        </w:rPr>
        <w:t>inequality</w:t>
      </w:r>
      <w:r w:rsidRPr="00045C8F">
        <w:rPr>
          <w:rStyle w:val="StyleUnderline"/>
        </w:rPr>
        <w:t xml:space="preserve"> and </w:t>
      </w:r>
      <w:r w:rsidRPr="00045C8F">
        <w:rPr>
          <w:rStyle w:val="Emphasis"/>
        </w:rPr>
        <w:t>militarism</w:t>
      </w:r>
      <w:r w:rsidRPr="00045C8F">
        <w:rPr>
          <w:rStyle w:val="StyleUnderline"/>
        </w:rPr>
        <w:t xml:space="preserve">, including the </w:t>
      </w:r>
      <w:r w:rsidRPr="00045C8F">
        <w:rPr>
          <w:rStyle w:val="Emphasis"/>
        </w:rPr>
        <w:t>genocidal war in Gaza</w:t>
      </w:r>
      <w:r w:rsidRPr="00045C8F">
        <w:rPr>
          <w:rStyle w:val="StyleUnderline"/>
        </w:rPr>
        <w:t xml:space="preserve">, are </w:t>
      </w:r>
      <w:r w:rsidRPr="00045C8F">
        <w:rPr>
          <w:rStyle w:val="Emphasis"/>
        </w:rPr>
        <w:t>structural barriers</w:t>
      </w:r>
      <w:r w:rsidRPr="00045C8F">
        <w:rPr>
          <w:rStyle w:val="StyleUnderline"/>
        </w:rPr>
        <w:t xml:space="preserve"> to the party advancing this vision</w:t>
      </w:r>
      <w:r w:rsidRPr="00876CD0">
        <w:rPr>
          <w:sz w:val="16"/>
        </w:rPr>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2DA7BCF1" w14:textId="77777777" w:rsidR="00C42954" w:rsidRPr="00876CD0" w:rsidRDefault="00C42954" w:rsidP="00C42954">
      <w:pPr>
        <w:rPr>
          <w:sz w:val="16"/>
        </w:rPr>
      </w:pPr>
      <w:r w:rsidRPr="00876CD0">
        <w:rPr>
          <w:sz w:val="16"/>
        </w:rPr>
        <w:t xml:space="preserve">Many of us did exactly this in campaigning for Kamala Harris in the recent election. This approach is particularly important in the U.S. South and Southwest. Yet while in these tactical alliances, </w:t>
      </w:r>
      <w:r w:rsidRPr="00F91A3F">
        <w:rPr>
          <w:rStyle w:val="StyleUnderline"/>
        </w:rPr>
        <w:t>we must be</w:t>
      </w:r>
      <w:r w:rsidRPr="00045C8F">
        <w:rPr>
          <w:rStyle w:val="StyleUnderline"/>
        </w:rPr>
        <w:t xml:space="preserve"> intentional about our organizations remaining </w:t>
      </w:r>
      <w:r w:rsidRPr="00045C8F">
        <w:rPr>
          <w:rStyle w:val="Emphasis"/>
        </w:rPr>
        <w:t>clearly</w:t>
      </w:r>
      <w:r w:rsidRPr="00045C8F">
        <w:rPr>
          <w:rStyle w:val="StyleUnderline"/>
        </w:rPr>
        <w:t xml:space="preserve"> and </w:t>
      </w:r>
      <w:r w:rsidRPr="00045C8F">
        <w:rPr>
          <w:rStyle w:val="Emphasis"/>
        </w:rPr>
        <w:t>publicly distinct</w:t>
      </w:r>
      <w:r w:rsidRPr="00045C8F">
        <w:rPr>
          <w:rStyle w:val="StyleUnderline"/>
        </w:rPr>
        <w:t xml:space="preserve"> from and </w:t>
      </w:r>
      <w:r w:rsidRPr="00045C8F">
        <w:rPr>
          <w:rStyle w:val="Emphasis"/>
        </w:rPr>
        <w:t xml:space="preserve">frequently </w:t>
      </w:r>
      <w:r w:rsidRPr="00F91A3F">
        <w:rPr>
          <w:rStyle w:val="Emphasis"/>
        </w:rPr>
        <w:t>critical of</w:t>
      </w:r>
      <w:r w:rsidRPr="00F91A3F">
        <w:rPr>
          <w:rStyle w:val="StyleUnderline"/>
        </w:rPr>
        <w:t xml:space="preserve"> the </w:t>
      </w:r>
      <w:r w:rsidRPr="007F17F6">
        <w:rPr>
          <w:rStyle w:val="StyleUnderline"/>
        </w:rPr>
        <w:t xml:space="preserve">Democratic </w:t>
      </w:r>
      <w:r w:rsidRPr="00F91A3F">
        <w:rPr>
          <w:rStyle w:val="StyleUnderline"/>
        </w:rPr>
        <w:t>Party</w:t>
      </w:r>
      <w:r w:rsidRPr="00876CD0">
        <w:rPr>
          <w:sz w:val="16"/>
        </w:rPr>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1708389A" w14:textId="77777777" w:rsidR="00C42954" w:rsidRPr="00876CD0" w:rsidRDefault="00C42954" w:rsidP="00C42954">
      <w:pPr>
        <w:rPr>
          <w:sz w:val="16"/>
        </w:rPr>
      </w:pPr>
      <w:r w:rsidRPr="00876CD0">
        <w:rPr>
          <w:sz w:val="16"/>
        </w:rPr>
        <w:t>The union difference</w:t>
      </w:r>
    </w:p>
    <w:p w14:paraId="317037A0" w14:textId="77777777" w:rsidR="00C42954" w:rsidRPr="00045C8F" w:rsidRDefault="00C42954" w:rsidP="00C42954">
      <w:pPr>
        <w:rPr>
          <w:rStyle w:val="Emphasis"/>
        </w:rPr>
      </w:pPr>
      <w:r w:rsidRPr="00876CD0">
        <w:rPr>
          <w:sz w:val="16"/>
        </w:rPr>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045C8F">
        <w:rPr>
          <w:rStyle w:val="StyleUnderline"/>
        </w:rPr>
        <w:t xml:space="preserve">with the current imperative </w:t>
      </w:r>
      <w:r w:rsidRPr="00F91A3F">
        <w:rPr>
          <w:rStyle w:val="StyleUnderline"/>
        </w:rPr>
        <w:t>to build an independent</w:t>
      </w:r>
      <w:r w:rsidRPr="00045C8F">
        <w:rPr>
          <w:rStyle w:val="StyleUnderline"/>
        </w:rPr>
        <w:t xml:space="preserve">, expanding </w:t>
      </w:r>
      <w:r w:rsidRPr="00F91A3F">
        <w:rPr>
          <w:rStyle w:val="StyleUnderline"/>
        </w:rPr>
        <w:t>multi-racial working-class movement</w:t>
      </w:r>
      <w:r w:rsidRPr="00045C8F">
        <w:rPr>
          <w:rStyle w:val="StyleUnderline"/>
        </w:rPr>
        <w:t xml:space="preserve"> that includes people from all walks of life, the labor movement </w:t>
      </w:r>
      <w:r w:rsidRPr="00045C8F">
        <w:rPr>
          <w:rStyle w:val="Emphasis"/>
        </w:rPr>
        <w:t>plays a unique role.</w:t>
      </w:r>
      <w:r w:rsidRPr="00876CD0">
        <w:rPr>
          <w:sz w:val="16"/>
        </w:rPr>
        <w:t> </w:t>
      </w:r>
    </w:p>
    <w:p w14:paraId="3912BA22" w14:textId="77777777" w:rsidR="00C42954" w:rsidRPr="00045C8F" w:rsidRDefault="00C42954" w:rsidP="00C42954">
      <w:pPr>
        <w:rPr>
          <w:rStyle w:val="StyleUnderline"/>
        </w:rPr>
      </w:pPr>
      <w:r w:rsidRPr="00943198">
        <w:rPr>
          <w:rStyle w:val="StyleUnderline"/>
          <w:highlight w:val="green"/>
        </w:rPr>
        <w:t xml:space="preserve">Unions </w:t>
      </w:r>
      <w:r w:rsidRPr="00F91A3F">
        <w:rPr>
          <w:rStyle w:val="StyleUnderline"/>
        </w:rPr>
        <w:t xml:space="preserve">are </w:t>
      </w:r>
      <w:r w:rsidRPr="00F91A3F">
        <w:rPr>
          <w:rStyle w:val="Emphasis"/>
        </w:rPr>
        <w:t>mass organizations</w:t>
      </w:r>
      <w:r w:rsidRPr="00F91A3F">
        <w:rPr>
          <w:rStyle w:val="StyleUnderline"/>
        </w:rPr>
        <w:t xml:space="preserve"> that </w:t>
      </w:r>
      <w:r w:rsidRPr="00943198">
        <w:rPr>
          <w:rStyle w:val="Emphasis"/>
          <w:highlight w:val="green"/>
        </w:rPr>
        <w:t>bring people together</w:t>
      </w:r>
      <w:r w:rsidRPr="00045C8F">
        <w:rPr>
          <w:rStyle w:val="StyleUnderline"/>
        </w:rPr>
        <w:t xml:space="preserve"> </w:t>
      </w:r>
      <w:r w:rsidRPr="00876CD0">
        <w:rPr>
          <w:sz w:val="16"/>
        </w:rPr>
        <w:t xml:space="preserve">across differences: the common denominator of members is their employer. </w:t>
      </w:r>
      <w:r w:rsidRPr="00045C8F">
        <w:rPr>
          <w:rStyle w:val="StyleUnderline"/>
        </w:rPr>
        <w:t xml:space="preserve">Unions </w:t>
      </w:r>
      <w:r w:rsidRPr="00943198">
        <w:rPr>
          <w:rStyle w:val="Emphasis"/>
          <w:highlight w:val="green"/>
        </w:rPr>
        <w:t>have</w:t>
      </w:r>
      <w:r w:rsidRPr="00045C8F">
        <w:rPr>
          <w:rStyle w:val="Emphasis"/>
        </w:rPr>
        <w:t xml:space="preserve"> their own </w:t>
      </w:r>
      <w:r w:rsidRPr="00943198">
        <w:rPr>
          <w:rStyle w:val="Emphasis"/>
          <w:highlight w:val="green"/>
        </w:rPr>
        <w:t>resources</w:t>
      </w:r>
      <w:r w:rsidRPr="00943198">
        <w:rPr>
          <w:rStyle w:val="StyleUnderline"/>
          <w:highlight w:val="green"/>
        </w:rPr>
        <w:t>, are</w:t>
      </w:r>
      <w:r w:rsidRPr="00045C8F">
        <w:rPr>
          <w:rStyle w:val="StyleUnderline"/>
        </w:rPr>
        <w:t xml:space="preserve"> often </w:t>
      </w:r>
      <w:r w:rsidRPr="00943198">
        <w:rPr>
          <w:rStyle w:val="Emphasis"/>
          <w:highlight w:val="green"/>
        </w:rPr>
        <w:t>multi-racial</w:t>
      </w:r>
      <w:r w:rsidRPr="00045C8F">
        <w:rPr>
          <w:rStyle w:val="StyleUnderline"/>
        </w:rPr>
        <w:t xml:space="preserve">, many </w:t>
      </w:r>
      <w:r w:rsidRPr="00045C8F">
        <w:rPr>
          <w:rStyle w:val="Emphasis"/>
        </w:rPr>
        <w:t>have democratic mechanisms</w:t>
      </w:r>
      <w:r w:rsidRPr="00045C8F">
        <w:rPr>
          <w:rStyle w:val="StyleUnderline"/>
        </w:rPr>
        <w:t xml:space="preserve">, and they are one of few organizations that give working people direct experience with democracy. Many unions </w:t>
      </w:r>
      <w:r w:rsidRPr="00943198">
        <w:rPr>
          <w:rStyle w:val="Emphasis"/>
          <w:highlight w:val="green"/>
        </w:rPr>
        <w:t xml:space="preserve">have </w:t>
      </w:r>
      <w:r w:rsidRPr="00F91A3F">
        <w:rPr>
          <w:rStyle w:val="Emphasis"/>
        </w:rPr>
        <w:t xml:space="preserve">the </w:t>
      </w:r>
      <w:r w:rsidRPr="00943198">
        <w:rPr>
          <w:rStyle w:val="Emphasis"/>
          <w:highlight w:val="green"/>
        </w:rPr>
        <w:t xml:space="preserve">potential for scale </w:t>
      </w:r>
      <w:r w:rsidRPr="00F91A3F">
        <w:rPr>
          <w:rStyle w:val="Emphasis"/>
        </w:rPr>
        <w:t>across</w:t>
      </w:r>
      <w:r w:rsidRPr="00045C8F">
        <w:rPr>
          <w:rStyle w:val="Emphasis"/>
        </w:rPr>
        <w:t xml:space="preserve"> regions, states, and </w:t>
      </w:r>
      <w:r w:rsidRPr="00F91A3F">
        <w:rPr>
          <w:rStyle w:val="Emphasis"/>
        </w:rPr>
        <w:t>the country</w:t>
      </w:r>
      <w:r w:rsidRPr="00045C8F">
        <w:rPr>
          <w:rStyle w:val="StyleUnderline"/>
        </w:rPr>
        <w:t>, as well as legal and political structures for bargaining and pushing common good demands. </w:t>
      </w:r>
    </w:p>
    <w:p w14:paraId="1E7B8F5B" w14:textId="77777777" w:rsidR="00C42954" w:rsidRPr="00876CD0" w:rsidRDefault="00C42954" w:rsidP="00C42954">
      <w:pPr>
        <w:rPr>
          <w:sz w:val="16"/>
        </w:rPr>
      </w:pPr>
      <w:r w:rsidRPr="00045C8F">
        <w:rPr>
          <w:rStyle w:val="StyleUnderline"/>
        </w:rPr>
        <w:t xml:space="preserve">Unions have the potential, and often legal rights, </w:t>
      </w:r>
      <w:r w:rsidRPr="00045C8F">
        <w:rPr>
          <w:rStyle w:val="Emphasis"/>
        </w:rPr>
        <w:t>to create economic disruption</w:t>
      </w:r>
      <w:r w:rsidRPr="00876CD0">
        <w:rPr>
          <w:sz w:val="16"/>
        </w:rPr>
        <w:t xml:space="preserve">. Moreover, </w:t>
      </w:r>
      <w:r w:rsidRPr="00045C8F">
        <w:rPr>
          <w:rStyle w:val="StyleUnderline"/>
        </w:rPr>
        <w:t xml:space="preserve">unions </w:t>
      </w:r>
      <w:r w:rsidRPr="00943198">
        <w:rPr>
          <w:rStyle w:val="StyleUnderline"/>
          <w:highlight w:val="green"/>
        </w:rPr>
        <w:t xml:space="preserve">have a </w:t>
      </w:r>
      <w:r w:rsidRPr="00F91A3F">
        <w:rPr>
          <w:rStyle w:val="Emphasis"/>
        </w:rPr>
        <w:t xml:space="preserve">long </w:t>
      </w:r>
      <w:r w:rsidRPr="00943198">
        <w:rPr>
          <w:rStyle w:val="Emphasis"/>
          <w:highlight w:val="green"/>
        </w:rPr>
        <w:t>history of fighting</w:t>
      </w:r>
      <w:r w:rsidRPr="00045C8F">
        <w:rPr>
          <w:rStyle w:val="Emphasis"/>
        </w:rPr>
        <w:t xml:space="preserve"> against </w:t>
      </w:r>
      <w:r w:rsidRPr="00943198">
        <w:rPr>
          <w:rStyle w:val="Emphasis"/>
          <w:highlight w:val="green"/>
        </w:rPr>
        <w:t>authoritarianism</w:t>
      </w:r>
      <w:r w:rsidRPr="00045C8F">
        <w:rPr>
          <w:rStyle w:val="StyleUnderline"/>
        </w:rPr>
        <w:t xml:space="preserve">, </w:t>
      </w:r>
      <w:r w:rsidRPr="00045C8F">
        <w:rPr>
          <w:rStyle w:val="Emphasis"/>
        </w:rPr>
        <w:t>fascism</w:t>
      </w:r>
      <w:r w:rsidRPr="00045C8F">
        <w:rPr>
          <w:rStyle w:val="StyleUnderline"/>
        </w:rPr>
        <w:t xml:space="preserve">, </w:t>
      </w:r>
      <w:r w:rsidRPr="00943198">
        <w:rPr>
          <w:rStyle w:val="StyleUnderline"/>
          <w:highlight w:val="green"/>
        </w:rPr>
        <w:t xml:space="preserve">and </w:t>
      </w:r>
      <w:r w:rsidRPr="00943198">
        <w:rPr>
          <w:rStyle w:val="Emphasis"/>
          <w:highlight w:val="green"/>
        </w:rPr>
        <w:t>repression</w:t>
      </w:r>
      <w:r w:rsidRPr="00045C8F">
        <w:rPr>
          <w:rStyle w:val="StyleUnderline"/>
        </w:rPr>
        <w:t xml:space="preserve"> – </w:t>
      </w:r>
      <w:r w:rsidRPr="00943198">
        <w:rPr>
          <w:rStyle w:val="Emphasis"/>
          <w:highlight w:val="green"/>
        </w:rPr>
        <w:t>in South Africa</w:t>
      </w:r>
      <w:r w:rsidRPr="00045C8F">
        <w:rPr>
          <w:rStyle w:val="Emphasis"/>
        </w:rPr>
        <w:t xml:space="preserve"> in the fight against apartheid</w:t>
      </w:r>
      <w:r w:rsidRPr="00045C8F">
        <w:rPr>
          <w:rStyle w:val="StyleUnderline"/>
        </w:rPr>
        <w:t xml:space="preserve">, </w:t>
      </w:r>
      <w:r w:rsidRPr="00045C8F">
        <w:rPr>
          <w:rStyle w:val="Emphasis"/>
        </w:rPr>
        <w:t xml:space="preserve">in </w:t>
      </w:r>
      <w:r w:rsidRPr="00F91A3F">
        <w:rPr>
          <w:rStyle w:val="Emphasis"/>
        </w:rPr>
        <w:t>Central America</w:t>
      </w:r>
      <w:r w:rsidRPr="00045C8F">
        <w:rPr>
          <w:rStyle w:val="Emphasis"/>
        </w:rPr>
        <w:t xml:space="preserve"> in the struggles against U.S.-supported authoritarian regimes</w:t>
      </w:r>
      <w:r w:rsidRPr="00045C8F">
        <w:rPr>
          <w:rStyle w:val="StyleUnderline"/>
        </w:rPr>
        <w:t xml:space="preserve">, in </w:t>
      </w:r>
      <w:r w:rsidRPr="00045C8F">
        <w:rPr>
          <w:rStyle w:val="Emphasis"/>
        </w:rPr>
        <w:t>the U.S. in support of the Civil Rights Movement</w:t>
      </w:r>
      <w:r w:rsidRPr="00045C8F">
        <w:rPr>
          <w:rStyle w:val="StyleUnderline"/>
        </w:rPr>
        <w:t> and against anti-worker repression, and in many other instances domestically and internationally</w:t>
      </w:r>
      <w:r w:rsidRPr="00876CD0">
        <w:rPr>
          <w:sz w:val="16"/>
        </w:rPr>
        <w:t>. </w:t>
      </w:r>
    </w:p>
    <w:p w14:paraId="05376A35" w14:textId="77777777" w:rsidR="00C42954" w:rsidRPr="00876CD0" w:rsidRDefault="00C42954" w:rsidP="00C42954">
      <w:pPr>
        <w:rPr>
          <w:sz w:val="16"/>
        </w:rPr>
      </w:pPr>
      <w:r w:rsidRPr="00F91A3F">
        <w:rPr>
          <w:rStyle w:val="StyleUnderline"/>
        </w:rPr>
        <w:t xml:space="preserve">As the </w:t>
      </w:r>
      <w:r w:rsidRPr="00F91A3F">
        <w:rPr>
          <w:rStyle w:val="Emphasis"/>
        </w:rPr>
        <w:t>most diverse organizations</w:t>
      </w:r>
      <w:r w:rsidRPr="00F91A3F">
        <w:rPr>
          <w:rStyle w:val="StyleUnderline"/>
        </w:rPr>
        <w:t xml:space="preserve"> in the U.S., </w:t>
      </w:r>
      <w:r w:rsidRPr="00F91A3F">
        <w:rPr>
          <w:rStyle w:val="StyleUnderline"/>
          <w:highlight w:val="green"/>
        </w:rPr>
        <w:t xml:space="preserve">unions </w:t>
      </w:r>
      <w:r w:rsidRPr="00F91A3F">
        <w:rPr>
          <w:rStyle w:val="StyleUnderline"/>
        </w:rPr>
        <w:t xml:space="preserve">are the </w:t>
      </w:r>
      <w:r w:rsidRPr="00F91A3F">
        <w:rPr>
          <w:rStyle w:val="Emphasis"/>
          <w:highlight w:val="green"/>
        </w:rPr>
        <w:t>best</w:t>
      </w:r>
      <w:r w:rsidRPr="00F91A3F">
        <w:rPr>
          <w:rStyle w:val="StyleUnderline"/>
          <w:highlight w:val="green"/>
        </w:rPr>
        <w:t xml:space="preserve"> vehicle to address </w:t>
      </w:r>
      <w:r w:rsidRPr="00F91A3F">
        <w:rPr>
          <w:rStyle w:val="Emphasis"/>
          <w:highlight w:val="green"/>
        </w:rPr>
        <w:t>racist, sexist, anti-</w:t>
      </w:r>
      <w:r w:rsidRPr="00943198">
        <w:rPr>
          <w:rStyle w:val="Emphasis"/>
          <w:highlight w:val="green"/>
        </w:rPr>
        <w:t>LGBTQ</w:t>
      </w:r>
      <w:r w:rsidRPr="007F17F6">
        <w:rPr>
          <w:rStyle w:val="Emphasis"/>
        </w:rPr>
        <w:t xml:space="preserve">, and </w:t>
      </w:r>
      <w:r w:rsidRPr="00943198">
        <w:rPr>
          <w:rStyle w:val="Emphasis"/>
          <w:highlight w:val="green"/>
        </w:rPr>
        <w:t>xenophobic views</w:t>
      </w:r>
      <w:r w:rsidRPr="00045C8F">
        <w:rPr>
          <w:rStyle w:val="StyleUnderline"/>
        </w:rPr>
        <w:t>, and the social isolation and alienation that exacerbate them</w:t>
      </w:r>
      <w:r w:rsidRPr="00876CD0">
        <w:rPr>
          <w:sz w:val="16"/>
        </w:rPr>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943198">
        <w:rPr>
          <w:rStyle w:val="StyleUnderline"/>
          <w:highlight w:val="green"/>
        </w:rPr>
        <w:t xml:space="preserve">People </w:t>
      </w:r>
      <w:r w:rsidRPr="00943198">
        <w:rPr>
          <w:rStyle w:val="Emphasis"/>
          <w:highlight w:val="green"/>
        </w:rPr>
        <w:t>learn solidarity in union fights</w:t>
      </w:r>
      <w:r w:rsidRPr="00045C8F">
        <w:rPr>
          <w:rStyle w:val="StyleUnderline"/>
        </w:rPr>
        <w:t xml:space="preserve">, and being a union member </w:t>
      </w:r>
      <w:r w:rsidRPr="00F91A3F">
        <w:rPr>
          <w:rStyle w:val="StyleUnderline"/>
        </w:rPr>
        <w:t xml:space="preserve">leads to </w:t>
      </w:r>
      <w:r w:rsidRPr="00F91A3F">
        <w:rPr>
          <w:rStyle w:val="Emphasis"/>
        </w:rPr>
        <w:t>progressive views on the economy</w:t>
      </w:r>
      <w:r w:rsidRPr="00F91A3F">
        <w:rPr>
          <w:rStyle w:val="StyleUnderline"/>
        </w:rPr>
        <w:t xml:space="preserve">, </w:t>
      </w:r>
      <w:r w:rsidRPr="00F91A3F">
        <w:rPr>
          <w:rStyle w:val="Emphasis"/>
        </w:rPr>
        <w:t>race</w:t>
      </w:r>
      <w:r w:rsidRPr="00F91A3F">
        <w:rPr>
          <w:rStyle w:val="StyleUnderline"/>
        </w:rPr>
        <w:t xml:space="preserve">, </w:t>
      </w:r>
      <w:r w:rsidRPr="00F91A3F">
        <w:rPr>
          <w:rStyle w:val="Emphasis"/>
        </w:rPr>
        <w:t>gender</w:t>
      </w:r>
      <w:r w:rsidRPr="00F91A3F">
        <w:rPr>
          <w:rStyle w:val="StyleUnderline"/>
        </w:rPr>
        <w:t xml:space="preserve">, and </w:t>
      </w:r>
      <w:r w:rsidRPr="00F91A3F">
        <w:rPr>
          <w:rStyle w:val="Emphasis"/>
        </w:rPr>
        <w:t>more</w:t>
      </w:r>
      <w:r w:rsidRPr="00F91A3F">
        <w:rPr>
          <w:rStyle w:val="StyleUnderline"/>
        </w:rPr>
        <w:t>.</w:t>
      </w:r>
    </w:p>
    <w:p w14:paraId="39F2260E" w14:textId="77777777" w:rsidR="00C42954" w:rsidRPr="00045C8F" w:rsidRDefault="00C42954" w:rsidP="00C42954">
      <w:pPr>
        <w:rPr>
          <w:rStyle w:val="Emphasis"/>
        </w:rPr>
      </w:pPr>
      <w:r w:rsidRPr="00876CD0">
        <w:rPr>
          <w:sz w:val="16"/>
        </w:rPr>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F91A3F">
        <w:rPr>
          <w:rStyle w:val="StyleUnderline"/>
        </w:rPr>
        <w:t xml:space="preserve">Organizing to radically increase union membership is a </w:t>
      </w:r>
      <w:r w:rsidRPr="00F91A3F">
        <w:rPr>
          <w:rStyle w:val="Emphasis"/>
        </w:rPr>
        <w:t>foundational part of the work ahead</w:t>
      </w:r>
      <w:r w:rsidRPr="00045C8F">
        <w:rPr>
          <w:rStyle w:val="StyleUnderline"/>
        </w:rPr>
        <w:t xml:space="preserve"> — not only for economic justice, but </w:t>
      </w:r>
      <w:r w:rsidRPr="00045C8F">
        <w:rPr>
          <w:rStyle w:val="Emphasis"/>
        </w:rPr>
        <w:t>for multi-racial democracy.</w:t>
      </w:r>
    </w:p>
    <w:p w14:paraId="19AAC6C6" w14:textId="77777777" w:rsidR="00C42954" w:rsidRPr="00876CD0" w:rsidRDefault="00C42954" w:rsidP="00C42954">
      <w:pPr>
        <w:rPr>
          <w:sz w:val="16"/>
        </w:rPr>
      </w:pPr>
      <w:r w:rsidRPr="00045C8F">
        <w:rPr>
          <w:rStyle w:val="StyleUnderline"/>
        </w:rPr>
        <w:t>The</w:t>
      </w:r>
      <w:r w:rsidRPr="00876CD0">
        <w:rPr>
          <w:sz w:val="16"/>
        </w:rPr>
        <w:t xml:space="preserve"> primary </w:t>
      </w:r>
      <w:r w:rsidRPr="00045C8F">
        <w:rPr>
          <w:rStyle w:val="StyleUnderline"/>
        </w:rPr>
        <w:t>tasks of an intensified Block and Build approach</w:t>
      </w:r>
      <w:r w:rsidRPr="00876CD0">
        <w:rPr>
          <w:sz w:val="16"/>
        </w:rPr>
        <w:t xml:space="preserve"> will be different based on context. In blue areas, </w:t>
      </w:r>
      <w:r w:rsidRPr="00045C8F">
        <w:rPr>
          <w:rStyle w:val="StyleUnderline"/>
        </w:rPr>
        <w:t>it will include building zones of resistance, competing for governing power in labor/community coalitions, and fighting for structural demands for economic redistribution and democratic rights</w:t>
      </w:r>
      <w:r w:rsidRPr="00876CD0">
        <w:rPr>
          <w:sz w:val="16"/>
        </w:rPr>
        <w:t>. Unions in blue areas should systematically organize to provide solidarity support for actions in red and purple areas, and should direct resources to organizations in those areas. </w:t>
      </w:r>
    </w:p>
    <w:p w14:paraId="47984BAF" w14:textId="77777777" w:rsidR="00C42954" w:rsidRPr="00876CD0" w:rsidRDefault="00C42954" w:rsidP="00C42954">
      <w:pPr>
        <w:rPr>
          <w:sz w:val="16"/>
        </w:rPr>
      </w:pPr>
      <w:r w:rsidRPr="00876CD0">
        <w:rPr>
          <w:sz w:val="16"/>
        </w:rPr>
        <w:t xml:space="preserve">In purple areas, </w:t>
      </w:r>
      <w:r w:rsidRPr="00045C8F">
        <w:rPr>
          <w:rStyle w:val="StyleUnderline"/>
        </w:rPr>
        <w:t xml:space="preserve">the strategy </w:t>
      </w:r>
      <w:r w:rsidRPr="00F91A3F">
        <w:rPr>
          <w:rStyle w:val="StyleUnderline"/>
        </w:rPr>
        <w:t xml:space="preserve">will include </w:t>
      </w:r>
      <w:r w:rsidRPr="00943198">
        <w:rPr>
          <w:rStyle w:val="Emphasis"/>
          <w:highlight w:val="green"/>
        </w:rPr>
        <w:t>defending the most vulnerable</w:t>
      </w:r>
      <w:r w:rsidRPr="00045C8F">
        <w:rPr>
          <w:rStyle w:val="StyleUnderline"/>
        </w:rPr>
        <w:t xml:space="preserve">, building </w:t>
      </w:r>
      <w:r w:rsidRPr="00045C8F">
        <w:rPr>
          <w:rStyle w:val="Emphasis"/>
        </w:rPr>
        <w:t xml:space="preserve">campaigns </w:t>
      </w:r>
      <w:r w:rsidRPr="00F91A3F">
        <w:rPr>
          <w:rStyle w:val="Emphasis"/>
        </w:rPr>
        <w:t>for economic redistribution</w:t>
      </w:r>
      <w:r w:rsidRPr="00045C8F">
        <w:rPr>
          <w:rStyle w:val="StyleUnderline"/>
        </w:rPr>
        <w:t xml:space="preserve"> and </w:t>
      </w:r>
      <w:r w:rsidRPr="00045C8F">
        <w:rPr>
          <w:rStyle w:val="Emphasis"/>
        </w:rPr>
        <w:t>democratic rights</w:t>
      </w:r>
      <w:r w:rsidRPr="00045C8F">
        <w:rPr>
          <w:rStyle w:val="StyleUnderline"/>
        </w:rPr>
        <w:t xml:space="preserve">, and </w:t>
      </w:r>
      <w:r w:rsidRPr="00943198">
        <w:rPr>
          <w:rStyle w:val="Emphasis"/>
          <w:highlight w:val="green"/>
        </w:rPr>
        <w:t>organizing to defeat MAGA</w:t>
      </w:r>
      <w:r w:rsidRPr="00876CD0">
        <w:rPr>
          <w:sz w:val="16"/>
        </w:rPr>
        <w:t xml:space="preserve"> in 2026. In red areas, the work will include defending the most vulnerable, building mutual aid and alternative institutions, and organizing labor/community issue campaigns </w:t>
      </w:r>
      <w:r w:rsidRPr="00F91A3F">
        <w:rPr>
          <w:rStyle w:val="StyleUnderline"/>
          <w:highlight w:val="green"/>
        </w:rPr>
        <w:t>th</w:t>
      </w:r>
      <w:r w:rsidRPr="00F91A3F">
        <w:rPr>
          <w:rStyle w:val="StyleUnderline"/>
        </w:rPr>
        <w:t>at split the Right’s coalition</w:t>
      </w:r>
      <w:r w:rsidRPr="00F91A3F">
        <w:rPr>
          <w:sz w:val="16"/>
        </w:rPr>
        <w:t>.</w:t>
      </w:r>
      <w:r w:rsidRPr="00876CD0">
        <w:rPr>
          <w:sz w:val="16"/>
        </w:rPr>
        <w:t xml:space="preserve"> In all contexts, resources should go towards organizing drives and campaigns where workers and communities can build strategic leverage against employers of size and political importance.</w:t>
      </w:r>
    </w:p>
    <w:p w14:paraId="389C436E" w14:textId="77777777" w:rsidR="00C42954" w:rsidRPr="006933A2" w:rsidRDefault="00C42954" w:rsidP="00C42954"/>
    <w:p w14:paraId="5DD3980B" w14:textId="77777777" w:rsidR="00C42954" w:rsidRDefault="00C42954" w:rsidP="00C42954">
      <w:pPr>
        <w:pStyle w:val="Heading2"/>
      </w:pPr>
      <w:r>
        <w:t>ON</w:t>
      </w:r>
    </w:p>
    <w:p w14:paraId="197CC9F8" w14:textId="77777777" w:rsidR="00C42954" w:rsidRPr="00BD1FCF" w:rsidRDefault="00C42954" w:rsidP="00C42954">
      <w:pPr>
        <w:pStyle w:val="Heading3"/>
      </w:pPr>
      <w:r>
        <w:t>1NC---Presumption</w:t>
      </w:r>
    </w:p>
    <w:p w14:paraId="5228BFC9" w14:textId="77777777" w:rsidR="00C42954" w:rsidRDefault="00C42954" w:rsidP="00C42954"/>
    <w:p w14:paraId="00525B57" w14:textId="77777777" w:rsidR="00C42954" w:rsidRDefault="00C42954" w:rsidP="00C42954">
      <w:pPr>
        <w:pStyle w:val="Heading3"/>
      </w:pPr>
      <w:r>
        <w:t>1NC---AT: Settler Colonialism---Thesis</w:t>
      </w:r>
    </w:p>
    <w:p w14:paraId="7286B97F" w14:textId="77777777" w:rsidR="00C42954" w:rsidRPr="00BF0C4B" w:rsidRDefault="00C42954" w:rsidP="00C42954">
      <w:pPr>
        <w:pStyle w:val="Heading4"/>
      </w:pPr>
      <w:r w:rsidRPr="00BF0C4B">
        <w:t xml:space="preserve">Their totalizing framing of settler colonialism actively reifies settler dominance---that impact turns their notion of fatalism </w:t>
      </w:r>
    </w:p>
    <w:p w14:paraId="35873360" w14:textId="77777777" w:rsidR="00C42954" w:rsidRPr="00BF0C4B" w:rsidRDefault="00C42954" w:rsidP="00C42954">
      <w:pPr>
        <w:pStyle w:val="ListParagraph"/>
        <w:numPr>
          <w:ilvl w:val="0"/>
          <w:numId w:val="46"/>
        </w:numPr>
      </w:pPr>
      <w:r w:rsidRPr="00BF0C4B">
        <w:t xml:space="preserve">It’s not a structural issue – changeable </w:t>
      </w:r>
    </w:p>
    <w:p w14:paraId="1ECAC3DE" w14:textId="77777777" w:rsidR="00C42954" w:rsidRPr="00BF0C4B" w:rsidRDefault="00C42954" w:rsidP="00C42954">
      <w:pPr>
        <w:rPr>
          <w:sz w:val="16"/>
        </w:rPr>
      </w:pPr>
      <w:r w:rsidRPr="00BF0C4B">
        <w:rPr>
          <w:sz w:val="16"/>
        </w:rPr>
        <w:t xml:space="preserve">Rachel </w:t>
      </w:r>
      <w:r w:rsidRPr="00BF0C4B">
        <w:rPr>
          <w:rStyle w:val="Style13ptBold"/>
          <w:sz w:val="28"/>
        </w:rPr>
        <w:t>Busbridge 18</w:t>
      </w:r>
      <w:r w:rsidRPr="00BF0C4B">
        <w:rPr>
          <w:sz w:val="16"/>
        </w:rPr>
        <w:t xml:space="preserve">. </w:t>
      </w:r>
      <w:r w:rsidRPr="00BF0C4B">
        <w:rPr>
          <w:rFonts w:eastAsia="Times New Roman"/>
          <w:sz w:val="16"/>
        </w:rPr>
        <w:t>Research Fellow at the Centre for Dialogue, La Trobe University., 2018, “Israel-Palestine and the Settler Colonial ‘Turn’: From Interpretation to Decolonization,” Theory, Culture &amp; Society Vol 35, Issue 1, 2018, dml</w:t>
      </w:r>
    </w:p>
    <w:p w14:paraId="63C8D4E4" w14:textId="77777777" w:rsidR="00C42954" w:rsidRPr="00BF0C4B" w:rsidRDefault="00C42954" w:rsidP="00C42954">
      <w:pPr>
        <w:rPr>
          <w:sz w:val="12"/>
        </w:rPr>
      </w:pPr>
      <w:r w:rsidRPr="00BF0C4B">
        <w:rPr>
          <w:rFonts w:eastAsia="Times New Roman"/>
          <w:u w:val="single"/>
        </w:rPr>
        <w:t>The prescription for decolonisation</w:t>
      </w:r>
      <w:r w:rsidRPr="00BF0C4B">
        <w:rPr>
          <w:rFonts w:eastAsia="Times New Roman"/>
          <w:sz w:val="12"/>
        </w:rPr>
        <w:t xml:space="preserve">—that is, </w:t>
      </w:r>
      <w:r w:rsidRPr="00BF0C4B">
        <w:rPr>
          <w:rFonts w:eastAsia="Times New Roman"/>
          <w:u w:val="single"/>
        </w:rPr>
        <w:t xml:space="preserve">a normative project committed to the </w:t>
      </w:r>
      <w:r w:rsidRPr="00BF0C4B">
        <w:rPr>
          <w:rStyle w:val="Emphasis"/>
        </w:rPr>
        <w:t>liberation of the colonised</w:t>
      </w:r>
      <w:r w:rsidRPr="00BF0C4B">
        <w:rPr>
          <w:rFonts w:eastAsia="Times New Roman"/>
          <w:u w:val="single"/>
        </w:rPr>
        <w:t xml:space="preserve"> and the </w:t>
      </w:r>
      <w:r w:rsidRPr="00BF0C4B">
        <w:rPr>
          <w:rStyle w:val="Emphasis"/>
        </w:rPr>
        <w:t>overturning of colonial relationships of power</w:t>
      </w:r>
      <w:r w:rsidRPr="00BF0C4B">
        <w:rPr>
          <w:rFonts w:eastAsia="Times New Roman"/>
          <w:sz w:val="12"/>
        </w:rPr>
        <w:t xml:space="preserve"> (Kohn &amp; McBride, 2011: 3)—</w:t>
      </w:r>
      <w:r w:rsidRPr="00BF0C4B">
        <w:rPr>
          <w:rFonts w:eastAsia="Times New Roman"/>
          <w:u w:val="single"/>
        </w:rPr>
        <w:t>is</w:t>
      </w:r>
      <w:r w:rsidRPr="00BF0C4B">
        <w:rPr>
          <w:rFonts w:eastAsia="Times New Roman"/>
          <w:sz w:val="12"/>
        </w:rPr>
        <w:t xml:space="preserve"> indeed </w:t>
      </w:r>
      <w:r w:rsidRPr="00BF0C4B">
        <w:rPr>
          <w:rFonts w:eastAsia="Times New Roman"/>
          <w:u w:val="single"/>
        </w:rPr>
        <w:t xml:space="preserve">one of the </w:t>
      </w:r>
      <w:r w:rsidRPr="00BF0C4B">
        <w:rPr>
          <w:rStyle w:val="Emphasis"/>
        </w:rPr>
        <w:t>most counterhegemonic implications</w:t>
      </w:r>
      <w:r w:rsidRPr="00BF0C4B">
        <w:rPr>
          <w:rFonts w:eastAsia="Times New Roman"/>
          <w:u w:val="single"/>
        </w:rPr>
        <w:t xml:space="preserve"> of the settler colonial paradigm</w:t>
      </w:r>
      <w:r w:rsidRPr="00BF0C4B">
        <w:rPr>
          <w:rFonts w:eastAsia="Times New Roman"/>
          <w:sz w:val="12"/>
        </w:rPr>
        <w:t xml:space="preserve"> as applied to IsraelPalestine, </w:t>
      </w:r>
      <w:r w:rsidRPr="00BF0C4B">
        <w:rPr>
          <w:rFonts w:eastAsia="Times New Roman"/>
          <w:u w:val="single"/>
        </w:rPr>
        <w:t>potentially shifting it from a diagnostic frame to a prognostic one which offers a ‘proposed solution to the problem, or at least a plan of attack’</w:t>
      </w:r>
      <w:r w:rsidRPr="00BF0C4B">
        <w:rPr>
          <w:rFonts w:eastAsia="Times New Roman"/>
          <w:sz w:val="12"/>
        </w:rPr>
        <w:t xml:space="preserve"> (Benford &amp; Snow, 2000: 616). </w:t>
      </w:r>
      <w:r w:rsidRPr="00BF0C4B">
        <w:rPr>
          <w:rFonts w:eastAsia="Times New Roman"/>
          <w:u w:val="single"/>
        </w:rPr>
        <w:t>What</w:t>
      </w:r>
      <w:r w:rsidRPr="00BF0C4B">
        <w:rPr>
          <w:rFonts w:eastAsia="Times New Roman"/>
          <w:sz w:val="12"/>
        </w:rPr>
        <w:t xml:space="preserve">, however, </w:t>
      </w:r>
      <w:r w:rsidRPr="00BF0C4B">
        <w:rPr>
          <w:rFonts w:eastAsia="Times New Roman"/>
          <w:u w:val="single"/>
        </w:rPr>
        <w:t xml:space="preserve">does the settler colonial paradigm offer by way of </w:t>
      </w:r>
      <w:r w:rsidRPr="00BF0C4B">
        <w:rPr>
          <w:rStyle w:val="Emphasis"/>
        </w:rPr>
        <w:t>envisioning decolonisation</w:t>
      </w:r>
      <w:r w:rsidRPr="00BF0C4B">
        <w:rPr>
          <w:rFonts w:eastAsia="Times New Roman"/>
          <w:u w:val="single"/>
        </w:rPr>
        <w:t>?</w:t>
      </w:r>
      <w:r w:rsidRPr="00BF0C4B">
        <w:rPr>
          <w:rFonts w:eastAsia="Times New Roman"/>
          <w:sz w:val="12"/>
        </w:rPr>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‘motherland’), </w:t>
      </w:r>
      <w:r w:rsidRPr="00BF0C4B">
        <w:rPr>
          <w:rFonts w:eastAsia="Times New Roman"/>
          <w:highlight w:val="cyan"/>
          <w:u w:val="single"/>
        </w:rPr>
        <w:t>there is</w:t>
      </w:r>
      <w:r w:rsidRPr="00BF0C4B">
        <w:rPr>
          <w:rFonts w:eastAsia="Times New Roman"/>
          <w:sz w:val="12"/>
        </w:rPr>
        <w:t xml:space="preserve"> nevertheless </w:t>
      </w:r>
      <w:r w:rsidRPr="00BF0C4B">
        <w:rPr>
          <w:rFonts w:eastAsia="Times New Roman"/>
          <w:highlight w:val="cyan"/>
          <w:u w:val="single"/>
        </w:rPr>
        <w:t>a</w:t>
      </w:r>
      <w:r w:rsidRPr="00BF0C4B">
        <w:rPr>
          <w:rFonts w:eastAsia="Times New Roman"/>
          <w:u w:val="single"/>
        </w:rPr>
        <w:t xml:space="preserve"> ‘</w:t>
      </w:r>
      <w:r w:rsidRPr="00BF0C4B">
        <w:rPr>
          <w:rStyle w:val="Emphasis"/>
        </w:rPr>
        <w:t xml:space="preserve">narrative </w:t>
      </w:r>
      <w:r w:rsidRPr="00BF0C4B">
        <w:rPr>
          <w:rStyle w:val="Emphasis"/>
          <w:highlight w:val="cyan"/>
        </w:rPr>
        <w:t>deficit</w:t>
      </w:r>
      <w:r w:rsidRPr="00BF0C4B">
        <w:rPr>
          <w:rFonts w:eastAsia="Times New Roman"/>
          <w:highlight w:val="cyan"/>
          <w:u w:val="single"/>
        </w:rPr>
        <w:t>’</w:t>
      </w:r>
      <w:r w:rsidRPr="00BF0C4B">
        <w:rPr>
          <w:rFonts w:eastAsia="Times New Roman"/>
          <w:u w:val="single"/>
        </w:rPr>
        <w:t xml:space="preserve"> when it comes </w:t>
      </w:r>
      <w:r w:rsidRPr="00BF0C4B">
        <w:rPr>
          <w:rFonts w:eastAsia="Times New Roman"/>
          <w:highlight w:val="cyan"/>
          <w:u w:val="single"/>
        </w:rPr>
        <w:t xml:space="preserve">to </w:t>
      </w:r>
      <w:r w:rsidRPr="00BF0C4B">
        <w:rPr>
          <w:rStyle w:val="Emphasis"/>
          <w:highlight w:val="cyan"/>
        </w:rPr>
        <w:t>imagining settler decolonisation</w:t>
      </w:r>
      <w:r w:rsidRPr="00BF0C4B">
        <w:rPr>
          <w:rFonts w:eastAsia="Times New Roman"/>
          <w:sz w:val="12"/>
        </w:rPr>
        <w:t xml:space="preserve">. While Veracini (2007) relates this deficit to a matter of conceptualisation, it is apparent that </w:t>
      </w:r>
      <w:r w:rsidRPr="00BF0C4B">
        <w:rPr>
          <w:rFonts w:eastAsia="Times New Roman"/>
          <w:highlight w:val="cyan"/>
          <w:u w:val="single"/>
        </w:rPr>
        <w:t xml:space="preserve">the </w:t>
      </w:r>
      <w:r w:rsidRPr="00BF0C4B">
        <w:rPr>
          <w:rStyle w:val="Emphasis"/>
          <w:highlight w:val="cyan"/>
        </w:rPr>
        <w:t>structural perspective</w:t>
      </w:r>
      <w:r w:rsidRPr="00BF0C4B">
        <w:rPr>
          <w:rFonts w:eastAsia="Times New Roman"/>
          <w:u w:val="single"/>
        </w:rPr>
        <w:t xml:space="preserve"> of the paradigm</w:t>
      </w:r>
      <w:r w:rsidRPr="00BF0C4B">
        <w:rPr>
          <w:rFonts w:eastAsia="Times New Roman"/>
          <w:sz w:val="12"/>
        </w:rPr>
        <w:t xml:space="preserve"> in many ways </w:t>
      </w:r>
      <w:r w:rsidRPr="00BF0C4B">
        <w:rPr>
          <w:rStyle w:val="Emphasis"/>
          <w:highlight w:val="cyan"/>
        </w:rPr>
        <w:t>closes down possibilities</w:t>
      </w:r>
      <w:r w:rsidRPr="00BF0C4B">
        <w:rPr>
          <w:rFonts w:eastAsia="Times New Roman"/>
          <w:u w:val="single"/>
        </w:rPr>
        <w:t xml:space="preserve"> </w:t>
      </w:r>
      <w:r w:rsidRPr="00BF0C4B">
        <w:rPr>
          <w:rFonts w:eastAsia="Times New Roman"/>
          <w:highlight w:val="cyan"/>
          <w:u w:val="single"/>
        </w:rPr>
        <w:t>of</w:t>
      </w:r>
      <w:r w:rsidRPr="00BF0C4B">
        <w:rPr>
          <w:rFonts w:eastAsia="Times New Roman"/>
          <w:u w:val="single"/>
        </w:rPr>
        <w:t xml:space="preserve"> </w:t>
      </w:r>
      <w:r w:rsidRPr="00BF0C4B">
        <w:rPr>
          <w:rStyle w:val="Emphasis"/>
        </w:rPr>
        <w:t>imagining the type of social</w:t>
      </w:r>
      <w:r w:rsidRPr="00BF0C4B">
        <w:rPr>
          <w:rFonts w:eastAsia="Times New Roman"/>
          <w:u w:val="single"/>
        </w:rPr>
        <w:t xml:space="preserve"> and </w:t>
      </w:r>
      <w:r w:rsidRPr="00BF0C4B">
        <w:rPr>
          <w:rStyle w:val="Emphasis"/>
          <w:highlight w:val="cyan"/>
        </w:rPr>
        <w:t>political transformation</w:t>
      </w:r>
      <w:r w:rsidRPr="00BF0C4B">
        <w:rPr>
          <w:rFonts w:eastAsia="Times New Roman"/>
          <w:u w:val="single"/>
        </w:rPr>
        <w:t xml:space="preserve"> to which the </w:t>
      </w:r>
      <w:r w:rsidRPr="00BF0C4B">
        <w:rPr>
          <w:rStyle w:val="Emphasis"/>
        </w:rPr>
        <w:t>notion of decolonisation aspires</w:t>
      </w:r>
      <w:r w:rsidRPr="00BF0C4B">
        <w:rPr>
          <w:rFonts w:eastAsia="Times New Roman"/>
          <w:sz w:val="12"/>
        </w:rPr>
        <w:t xml:space="preserve">. In this regard, </w:t>
      </w:r>
      <w:r w:rsidRPr="00BF0C4B">
        <w:rPr>
          <w:rFonts w:eastAsia="Times New Roman"/>
          <w:u w:val="single"/>
        </w:rPr>
        <w:t xml:space="preserve">there is a </w:t>
      </w:r>
      <w:r w:rsidRPr="00BF0C4B">
        <w:rPr>
          <w:rStyle w:val="Emphasis"/>
        </w:rPr>
        <w:t>worrying tendency</w:t>
      </w:r>
      <w:r w:rsidRPr="00BF0C4B">
        <w:rPr>
          <w:rFonts w:eastAsia="Times New Roman"/>
          <w:sz w:val="12"/>
        </w:rPr>
        <w:t xml:space="preserve"> (</w:t>
      </w:r>
      <w:r w:rsidRPr="00BF0C4B">
        <w:rPr>
          <w:rFonts w:eastAsia="Times New Roman"/>
          <w:u w:val="single"/>
        </w:rPr>
        <w:t xml:space="preserve">if not </w:t>
      </w:r>
      <w:r w:rsidRPr="00BF0C4B">
        <w:rPr>
          <w:rStyle w:val="Emphasis"/>
        </w:rPr>
        <w:t>tautological discrepancy</w:t>
      </w:r>
      <w:r w:rsidRPr="00BF0C4B">
        <w:rPr>
          <w:rFonts w:eastAsia="Times New Roman"/>
          <w:sz w:val="12"/>
        </w:rPr>
        <w:t xml:space="preserve">) </w:t>
      </w:r>
      <w:r w:rsidRPr="00BF0C4B">
        <w:rPr>
          <w:rFonts w:eastAsia="Times New Roman"/>
          <w:u w:val="single"/>
        </w:rPr>
        <w:t xml:space="preserve">in settler colonial studies, where </w:t>
      </w:r>
      <w:r w:rsidRPr="00BF0C4B">
        <w:rPr>
          <w:rFonts w:eastAsia="Times New Roman"/>
          <w:highlight w:val="cyan"/>
          <w:u w:val="single"/>
        </w:rPr>
        <w:t xml:space="preserve">the </w:t>
      </w:r>
      <w:r w:rsidRPr="00BF0C4B">
        <w:rPr>
          <w:rStyle w:val="Emphasis"/>
          <w:highlight w:val="cyan"/>
        </w:rPr>
        <w:t>only solution to settler colonialism is decolonisation</w:t>
      </w:r>
      <w:r w:rsidRPr="00BF0C4B">
        <w:rPr>
          <w:rFonts w:eastAsia="Times New Roman"/>
          <w:u w:val="single"/>
        </w:rPr>
        <w:t>—</w:t>
      </w:r>
      <w:r w:rsidRPr="00BF0C4B">
        <w:rPr>
          <w:rFonts w:eastAsia="Times New Roman"/>
          <w:highlight w:val="cyan"/>
          <w:u w:val="single"/>
        </w:rPr>
        <w:t>which</w:t>
      </w:r>
      <w:r w:rsidRPr="00BF0C4B">
        <w:rPr>
          <w:rFonts w:eastAsia="Times New Roman"/>
          <w:u w:val="single"/>
        </w:rPr>
        <w:t xml:space="preserve"> a faithful adherence to the paradigm </w:t>
      </w:r>
      <w:r w:rsidRPr="00BF0C4B">
        <w:rPr>
          <w:rStyle w:val="Emphasis"/>
          <w:highlight w:val="cyan"/>
        </w:rPr>
        <w:t>renders</w:t>
      </w:r>
      <w:r w:rsidRPr="00BF0C4B">
        <w:rPr>
          <w:rStyle w:val="Emphasis"/>
        </w:rPr>
        <w:t xml:space="preserve"> largely unachievable</w:t>
      </w:r>
      <w:r w:rsidRPr="00BF0C4B">
        <w:rPr>
          <w:rFonts w:eastAsia="Times New Roman"/>
          <w:u w:val="single"/>
        </w:rPr>
        <w:t xml:space="preserve">, if not </w:t>
      </w:r>
      <w:r w:rsidRPr="00BF0C4B">
        <w:rPr>
          <w:rStyle w:val="Emphasis"/>
          <w:highlight w:val="cyan"/>
        </w:rPr>
        <w:t>impossible</w:t>
      </w:r>
      <w:r w:rsidRPr="00BF0C4B">
        <w:rPr>
          <w:rFonts w:eastAsia="Times New Roman"/>
          <w:sz w:val="12"/>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BF0C4B">
        <w:rPr>
          <w:rFonts w:eastAsia="Times New Roman"/>
          <w:u w:val="single"/>
        </w:rPr>
        <w:t>structuralism</w:t>
      </w:r>
      <w:r w:rsidRPr="00BF0C4B">
        <w:rPr>
          <w:rFonts w:eastAsia="Times New Roman"/>
          <w:sz w:val="12"/>
        </w:rPr>
        <w:t xml:space="preserve"> of this account </w:t>
      </w:r>
      <w:r w:rsidRPr="00BF0C4B">
        <w:rPr>
          <w:rFonts w:eastAsia="Times New Roman"/>
          <w:u w:val="single"/>
        </w:rPr>
        <w:t xml:space="preserve">has </w:t>
      </w:r>
      <w:r w:rsidRPr="00BF0C4B">
        <w:rPr>
          <w:rStyle w:val="Emphasis"/>
        </w:rPr>
        <w:t>immense power</w:t>
      </w:r>
      <w:r w:rsidRPr="00BF0C4B">
        <w:rPr>
          <w:rFonts w:eastAsia="Times New Roman"/>
          <w:u w:val="single"/>
        </w:rPr>
        <w:t xml:space="preserve"> as a means of mapping forms of injustice and indignity as well as strategies of resistance and refusal</w:t>
      </w:r>
      <w:r w:rsidRPr="00BF0C4B">
        <w:rPr>
          <w:rFonts w:eastAsia="Times New Roman"/>
          <w:sz w:val="12"/>
        </w:rPr>
        <w:t xml:space="preserve">, and Wolfe is careful to show how transmutations of the logic of elimination are complex, variable, discontinuous and uneven. </w:t>
      </w:r>
      <w:r w:rsidRPr="00BF0C4B">
        <w:rPr>
          <w:rFonts w:eastAsia="Times New Roman"/>
          <w:u w:val="single"/>
        </w:rPr>
        <w:t xml:space="preserve">Yet, in seeking to </w:t>
      </w:r>
      <w:r w:rsidRPr="00BF0C4B">
        <w:rPr>
          <w:rStyle w:val="Emphasis"/>
        </w:rPr>
        <w:t>elucidate the logic of elimination</w:t>
      </w:r>
      <w:r w:rsidRPr="00BF0C4B">
        <w:rPr>
          <w:rFonts w:eastAsia="Times New Roman"/>
          <w:u w:val="single"/>
        </w:rPr>
        <w:t xml:space="preserve"> as the </w:t>
      </w:r>
      <w:r w:rsidRPr="00BF0C4B">
        <w:rPr>
          <w:rStyle w:val="Emphasis"/>
        </w:rPr>
        <w:t>overarching historical force</w:t>
      </w:r>
      <w:r w:rsidRPr="00BF0C4B">
        <w:rPr>
          <w:rFonts w:eastAsia="Times New Roman"/>
          <w:u w:val="single"/>
        </w:rPr>
        <w:t xml:space="preserve"> guiding settler-native relations </w:t>
      </w:r>
      <w:r w:rsidRPr="00BF0C4B">
        <w:rPr>
          <w:rFonts w:eastAsia="Times New Roman"/>
          <w:highlight w:val="cyan"/>
          <w:u w:val="single"/>
        </w:rPr>
        <w:t xml:space="preserve">there is an </w:t>
      </w:r>
      <w:r w:rsidRPr="00BF0C4B">
        <w:rPr>
          <w:rStyle w:val="Emphasis"/>
          <w:highlight w:val="cyan"/>
        </w:rPr>
        <w:t>operational weakness</w:t>
      </w:r>
      <w:r w:rsidRPr="00BF0C4B">
        <w:rPr>
          <w:rFonts w:eastAsia="Times New Roman"/>
          <w:u w:val="single"/>
        </w:rPr>
        <w:t xml:space="preserve"> in the theory, </w:t>
      </w:r>
      <w:r w:rsidRPr="00BF0C4B">
        <w:rPr>
          <w:rFonts w:eastAsia="Times New Roman"/>
          <w:highlight w:val="cyan"/>
          <w:u w:val="single"/>
        </w:rPr>
        <w:t>whereby</w:t>
      </w:r>
      <w:r w:rsidRPr="00BF0C4B">
        <w:rPr>
          <w:rFonts w:eastAsia="Times New Roman"/>
          <w:u w:val="single"/>
        </w:rPr>
        <w:t xml:space="preserve"> such a </w:t>
      </w:r>
      <w:r w:rsidRPr="00BF0C4B">
        <w:rPr>
          <w:rFonts w:eastAsia="Times New Roman"/>
          <w:highlight w:val="cyan"/>
          <w:u w:val="single"/>
        </w:rPr>
        <w:t>logic</w:t>
      </w:r>
      <w:r w:rsidRPr="00BF0C4B">
        <w:rPr>
          <w:rFonts w:eastAsia="Times New Roman"/>
          <w:u w:val="single"/>
        </w:rPr>
        <w:t xml:space="preserve"> </w:t>
      </w:r>
      <w:r w:rsidRPr="00BF0C4B">
        <w:rPr>
          <w:rFonts w:eastAsia="Times New Roman"/>
          <w:highlight w:val="cyan"/>
          <w:u w:val="single"/>
        </w:rPr>
        <w:t>is</w:t>
      </w:r>
      <w:r w:rsidRPr="00BF0C4B">
        <w:rPr>
          <w:rFonts w:eastAsia="Times New Roman"/>
          <w:u w:val="single"/>
        </w:rPr>
        <w:t xml:space="preserve"> </w:t>
      </w:r>
      <w:r w:rsidRPr="00BF0C4B">
        <w:rPr>
          <w:rStyle w:val="Emphasis"/>
        </w:rPr>
        <w:t>simply there</w:t>
      </w:r>
      <w:r w:rsidRPr="00BF0C4B">
        <w:rPr>
          <w:rFonts w:eastAsia="Times New Roman"/>
          <w:u w:val="single"/>
        </w:rPr>
        <w:t xml:space="preserve">, </w:t>
      </w:r>
      <w:r w:rsidRPr="00BF0C4B">
        <w:rPr>
          <w:rStyle w:val="Emphasis"/>
          <w:highlight w:val="cyan"/>
        </w:rPr>
        <w:t>omnipresent</w:t>
      </w:r>
      <w:r w:rsidRPr="00BF0C4B">
        <w:rPr>
          <w:rFonts w:eastAsia="Times New Roman"/>
          <w:u w:val="single"/>
        </w:rPr>
        <w:t xml:space="preserve"> and </w:t>
      </w:r>
      <w:r w:rsidRPr="00BF0C4B">
        <w:rPr>
          <w:rStyle w:val="Emphasis"/>
        </w:rPr>
        <w:t>manifest</w:t>
      </w:r>
      <w:r w:rsidRPr="00BF0C4B">
        <w:rPr>
          <w:rFonts w:eastAsia="Times New Roman"/>
          <w:u w:val="single"/>
        </w:rPr>
        <w:t xml:space="preserve"> even when (and perhaps especially when) it </w:t>
      </w:r>
      <w:r w:rsidRPr="00BF0C4B">
        <w:rPr>
          <w:rStyle w:val="Emphasis"/>
        </w:rPr>
        <w:t>appears not to be</w:t>
      </w:r>
      <w:r w:rsidRPr="00BF0C4B">
        <w:rPr>
          <w:rFonts w:eastAsia="Times New Roman"/>
          <w:u w:val="single"/>
        </w:rPr>
        <w:t xml:space="preserve">; the settler colonial studies scholar need only </w:t>
      </w:r>
      <w:r w:rsidRPr="00BF0C4B">
        <w:rPr>
          <w:rStyle w:val="Emphasis"/>
        </w:rPr>
        <w:t>read it into a situation</w:t>
      </w:r>
      <w:r w:rsidRPr="00BF0C4B">
        <w:rPr>
          <w:rFonts w:eastAsia="Times New Roman"/>
          <w:u w:val="single"/>
        </w:rPr>
        <w:t xml:space="preserve"> or </w:t>
      </w:r>
      <w:r w:rsidRPr="00BF0C4B">
        <w:rPr>
          <w:rStyle w:val="Emphasis"/>
        </w:rPr>
        <w:t>context</w:t>
      </w:r>
      <w:r w:rsidRPr="00BF0C4B">
        <w:rPr>
          <w:rFonts w:eastAsia="Times New Roman"/>
          <w:u w:val="single"/>
        </w:rPr>
        <w:t>. It</w:t>
      </w:r>
      <w:r w:rsidRPr="00BF0C4B">
        <w:rPr>
          <w:rFonts w:eastAsia="Times New Roman"/>
          <w:sz w:val="12"/>
        </w:rPr>
        <w:t xml:space="preserve"> thus </w:t>
      </w:r>
      <w:r w:rsidRPr="00BF0C4B">
        <w:rPr>
          <w:rStyle w:val="Emphasis"/>
        </w:rPr>
        <w:t>hurtles from the past</w:t>
      </w:r>
      <w:r w:rsidRPr="00BF0C4B">
        <w:rPr>
          <w:rFonts w:eastAsia="Times New Roman"/>
          <w:u w:val="single"/>
        </w:rPr>
        <w:t xml:space="preserve"> to the </w:t>
      </w:r>
      <w:r w:rsidRPr="00BF0C4B">
        <w:rPr>
          <w:rStyle w:val="Emphasis"/>
        </w:rPr>
        <w:t>present</w:t>
      </w:r>
      <w:r w:rsidRPr="00BF0C4B">
        <w:rPr>
          <w:rFonts w:eastAsia="Times New Roman"/>
          <w:u w:val="single"/>
        </w:rPr>
        <w:t xml:space="preserve"> into the </w:t>
      </w:r>
      <w:r w:rsidRPr="00BF0C4B">
        <w:rPr>
          <w:rStyle w:val="Emphasis"/>
        </w:rPr>
        <w:t>future</w:t>
      </w:r>
      <w:r w:rsidRPr="00BF0C4B">
        <w:rPr>
          <w:rFonts w:eastAsia="Times New Roman"/>
          <w:u w:val="single"/>
        </w:rPr>
        <w:t xml:space="preserve">, never to be fully extinguished until the native is, or until history itself ends. There is thus a </w:t>
      </w:r>
      <w:r w:rsidRPr="00BF0C4B">
        <w:rPr>
          <w:rStyle w:val="Emphasis"/>
        </w:rPr>
        <w:t>powerful ontological</w:t>
      </w:r>
      <w:r w:rsidRPr="00BF0C4B">
        <w:rPr>
          <w:rFonts w:eastAsia="Times New Roman"/>
          <w:sz w:val="12"/>
        </w:rPr>
        <w:t xml:space="preserve"> (if not metaphysical) </w:t>
      </w:r>
      <w:r w:rsidRPr="00BF0C4B">
        <w:rPr>
          <w:rStyle w:val="Emphasis"/>
        </w:rPr>
        <w:t>dimension</w:t>
      </w:r>
      <w:r w:rsidRPr="00BF0C4B">
        <w:rPr>
          <w:rFonts w:eastAsia="Times New Roman"/>
          <w:sz w:val="12"/>
        </w:rPr>
        <w:t xml:space="preserve"> to Wolfe’s account, </w:t>
      </w:r>
      <w:r w:rsidRPr="00BF0C4B">
        <w:rPr>
          <w:rFonts w:eastAsia="Times New Roman"/>
          <w:u w:val="single"/>
        </w:rPr>
        <w:t>where there is such thing as a ‘</w:t>
      </w:r>
      <w:r w:rsidRPr="00BF0C4B">
        <w:rPr>
          <w:rStyle w:val="Emphasis"/>
        </w:rPr>
        <w:t>settler will</w:t>
      </w:r>
      <w:r w:rsidRPr="00BF0C4B">
        <w:rPr>
          <w:rFonts w:eastAsia="Times New Roman"/>
          <w:u w:val="single"/>
        </w:rPr>
        <w:t xml:space="preserve">’ that </w:t>
      </w:r>
      <w:r w:rsidRPr="00BF0C4B">
        <w:rPr>
          <w:rStyle w:val="Emphasis"/>
        </w:rPr>
        <w:t>inherently desires the elimination of the native</w:t>
      </w:r>
      <w:r w:rsidRPr="00BF0C4B">
        <w:rPr>
          <w:rFonts w:eastAsia="Times New Roman"/>
          <w:u w:val="single"/>
        </w:rPr>
        <w:t xml:space="preserve"> and the distinction between the settler and native </w:t>
      </w:r>
      <w:r w:rsidRPr="00BF0C4B">
        <w:rPr>
          <w:rStyle w:val="Emphasis"/>
        </w:rPr>
        <w:t>can only ever be categorical</w:t>
      </w:r>
      <w:r w:rsidRPr="00BF0C4B">
        <w:rPr>
          <w:rFonts w:eastAsia="Times New Roman"/>
          <w:u w:val="single"/>
        </w:rPr>
        <w:t>, founded as it is on the ‘primal binarism of the frontier’</w:t>
      </w:r>
      <w:r w:rsidRPr="00BF0C4B">
        <w:rPr>
          <w:rFonts w:eastAsia="Times New Roman"/>
          <w:sz w:val="12"/>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w:t>
      </w:r>
      <w:r w:rsidRPr="00BF0C4B">
        <w:rPr>
          <w:rFonts w:eastAsia="Times New Roman"/>
          <w:u w:val="single"/>
        </w:rPr>
        <w:t>settler</w:t>
      </w:r>
      <w:r w:rsidRPr="00BF0C4B">
        <w:rPr>
          <w:rFonts w:eastAsia="Times New Roman"/>
          <w:sz w:val="12"/>
        </w:rPr>
        <w:t xml:space="preserve">, who </w:t>
      </w:r>
      <w:r w:rsidRPr="00BF0C4B">
        <w:rPr>
          <w:rFonts w:eastAsia="Times New Roman"/>
          <w:u w:val="single"/>
        </w:rPr>
        <w:t xml:space="preserve">seeks to </w:t>
      </w:r>
      <w:r w:rsidRPr="00BF0C4B">
        <w:rPr>
          <w:rStyle w:val="Emphasis"/>
        </w:rPr>
        <w:t>destroy</w:t>
      </w:r>
      <w:r w:rsidRPr="00BF0C4B">
        <w:rPr>
          <w:rFonts w:eastAsia="Times New Roman"/>
          <w:u w:val="single"/>
        </w:rPr>
        <w:t xml:space="preserve"> and </w:t>
      </w:r>
      <w:r w:rsidRPr="00BF0C4B">
        <w:rPr>
          <w:rStyle w:val="Emphasis"/>
        </w:rPr>
        <w:t>replace the native</w:t>
      </w:r>
      <w:r w:rsidRPr="00BF0C4B">
        <w:rPr>
          <w:rFonts w:eastAsia="Times New Roman"/>
          <w:u w:val="single"/>
        </w:rPr>
        <w:t>, and native</w:t>
      </w:r>
      <w:r w:rsidRPr="00BF0C4B">
        <w:rPr>
          <w:rFonts w:eastAsia="Times New Roman"/>
          <w:sz w:val="12"/>
        </w:rPr>
        <w:t xml:space="preserve">, who </w:t>
      </w:r>
      <w:r w:rsidRPr="00BF0C4B">
        <w:rPr>
          <w:rStyle w:val="Emphasis"/>
        </w:rPr>
        <w:t>can only ever push back</w:t>
      </w:r>
      <w:r w:rsidRPr="00BF0C4B">
        <w:rPr>
          <w:rFonts w:eastAsia="Times New Roman"/>
          <w:sz w:val="12"/>
        </w:rPr>
        <w:t xml:space="preserve">. Indeed, </w:t>
      </w:r>
      <w:r w:rsidRPr="00BF0C4B">
        <w:rPr>
          <w:rFonts w:eastAsia="Times New Roman"/>
          <w:u w:val="single"/>
        </w:rPr>
        <w:t>if the settler colonial paradigm views history in</w:t>
      </w:r>
      <w:r w:rsidRPr="00BF0C4B">
        <w:rPr>
          <w:rFonts w:eastAsia="Times New Roman"/>
          <w:sz w:val="12"/>
        </w:rPr>
        <w:t xml:space="preserve"> similar </w:t>
      </w:r>
      <w:r w:rsidRPr="00BF0C4B">
        <w:rPr>
          <w:rFonts w:eastAsia="Times New Roman"/>
          <w:u w:val="single"/>
        </w:rPr>
        <w:t>teleological terms</w:t>
      </w:r>
      <w:r w:rsidRPr="00BF0C4B">
        <w:rPr>
          <w:rFonts w:eastAsia="Times New Roman"/>
          <w:sz w:val="12"/>
        </w:rPr>
        <w:t xml:space="preserve"> to the Marxist framework, </w:t>
      </w:r>
      <w:r w:rsidRPr="00BF0C4B">
        <w:rPr>
          <w:rFonts w:eastAsia="Times New Roman"/>
          <w:u w:val="single"/>
        </w:rPr>
        <w:t xml:space="preserve">it </w:t>
      </w:r>
      <w:r w:rsidRPr="00BF0C4B">
        <w:rPr>
          <w:rStyle w:val="Emphasis"/>
        </w:rPr>
        <w:t>does not offer</w:t>
      </w:r>
      <w:r w:rsidRPr="00BF0C4B">
        <w:rPr>
          <w:rFonts w:eastAsia="Times New Roman"/>
          <w:u w:val="single"/>
        </w:rPr>
        <w:t xml:space="preserve"> the same hopeful vision of a liberated future</w:t>
      </w:r>
      <w:r w:rsidRPr="00BF0C4B">
        <w:rPr>
          <w:rFonts w:eastAsia="Times New Roman"/>
          <w:sz w:val="12"/>
        </w:rPr>
        <w:t xml:space="preserve">. After all, </w:t>
      </w:r>
      <w:r w:rsidRPr="00BF0C4B">
        <w:rPr>
          <w:rFonts w:eastAsia="Times New Roman"/>
          <w:highlight w:val="cyan"/>
          <w:u w:val="single"/>
        </w:rPr>
        <w:t xml:space="preserve">settler colonialism has </w:t>
      </w:r>
      <w:r w:rsidRPr="00BF0C4B">
        <w:rPr>
          <w:rStyle w:val="Emphasis"/>
        </w:rPr>
        <w:t xml:space="preserve">only </w:t>
      </w:r>
      <w:r w:rsidRPr="00BF0C4B">
        <w:rPr>
          <w:rStyle w:val="Emphasis"/>
          <w:highlight w:val="cyan"/>
        </w:rPr>
        <w:t xml:space="preserve">one story </w:t>
      </w:r>
      <w:r w:rsidRPr="00BF0C4B">
        <w:rPr>
          <w:rStyle w:val="Emphasis"/>
        </w:rPr>
        <w:t>to tell</w:t>
      </w:r>
      <w:r w:rsidRPr="00BF0C4B">
        <w:rPr>
          <w:rFonts w:eastAsia="Times New Roman"/>
          <w:u w:val="single"/>
        </w:rPr>
        <w:t>—‘</w:t>
      </w:r>
      <w:r w:rsidRPr="00BF0C4B">
        <w:rPr>
          <w:rFonts w:eastAsia="Times New Roman"/>
          <w:highlight w:val="cyan"/>
          <w:u w:val="single"/>
        </w:rPr>
        <w:t>either</w:t>
      </w:r>
      <w:r w:rsidRPr="00BF0C4B">
        <w:rPr>
          <w:rFonts w:eastAsia="Times New Roman"/>
          <w:u w:val="single"/>
        </w:rPr>
        <w:t xml:space="preserve"> </w:t>
      </w:r>
      <w:r w:rsidRPr="00BF0C4B">
        <w:rPr>
          <w:rStyle w:val="Emphasis"/>
          <w:highlight w:val="cyan"/>
        </w:rPr>
        <w:t>total victory</w:t>
      </w:r>
      <w:r w:rsidRPr="00BF0C4B">
        <w:rPr>
          <w:rFonts w:eastAsia="Times New Roman"/>
          <w:highlight w:val="cyan"/>
          <w:u w:val="single"/>
        </w:rPr>
        <w:t xml:space="preserve"> or</w:t>
      </w:r>
      <w:r w:rsidRPr="00BF0C4B">
        <w:rPr>
          <w:rFonts w:eastAsia="Times New Roman"/>
          <w:u w:val="single"/>
        </w:rPr>
        <w:t xml:space="preserve"> </w:t>
      </w:r>
      <w:r w:rsidRPr="00BF0C4B">
        <w:rPr>
          <w:rStyle w:val="Emphasis"/>
          <w:highlight w:val="cyan"/>
        </w:rPr>
        <w:t>total failure</w:t>
      </w:r>
      <w:r w:rsidRPr="00BF0C4B">
        <w:rPr>
          <w:rFonts w:eastAsia="Times New Roman"/>
          <w:highlight w:val="cyan"/>
          <w:u w:val="single"/>
        </w:rPr>
        <w:t>’</w:t>
      </w:r>
      <w:r w:rsidRPr="00BF0C4B">
        <w:rPr>
          <w:rFonts w:eastAsia="Times New Roman"/>
          <w:sz w:val="12"/>
        </w:rPr>
        <w:t xml:space="preserve"> (Veracini, 2007). 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The ‘primal binarism of the frontier’ plays a particularly ambivalent role in Veracini’s (2011: 6) formulation, where </w:t>
      </w:r>
      <w:r w:rsidRPr="00BF0C4B">
        <w:rPr>
          <w:rFonts w:eastAsia="Times New Roman"/>
          <w:highlight w:val="cyan"/>
          <w:u w:val="single"/>
        </w:rPr>
        <w:t>the</w:t>
      </w:r>
      <w:r w:rsidRPr="00BF0C4B">
        <w:rPr>
          <w:rFonts w:eastAsia="Times New Roman"/>
          <w:u w:val="single"/>
        </w:rPr>
        <w:t xml:space="preserve"> </w:t>
      </w:r>
      <w:r w:rsidRPr="00BF0C4B">
        <w:rPr>
          <w:rStyle w:val="Emphasis"/>
        </w:rPr>
        <w:t xml:space="preserve">categorical </w:t>
      </w:r>
      <w:r w:rsidRPr="00BF0C4B">
        <w:rPr>
          <w:rStyle w:val="Emphasis"/>
          <w:highlight w:val="cyan"/>
        </w:rPr>
        <w:t>distinction</w:t>
      </w:r>
      <w:r w:rsidRPr="00BF0C4B">
        <w:rPr>
          <w:rFonts w:eastAsia="Times New Roman"/>
          <w:u w:val="single"/>
        </w:rPr>
        <w:t xml:space="preserve"> between settler and native </w:t>
      </w:r>
      <w:r w:rsidRPr="00BF0C4B">
        <w:rPr>
          <w:rStyle w:val="Emphasis"/>
          <w:highlight w:val="cyan"/>
        </w:rPr>
        <w:t>obstructs</w:t>
      </w:r>
      <w:r w:rsidRPr="00BF0C4B">
        <w:rPr>
          <w:rFonts w:eastAsia="Times New Roman"/>
          <w:u w:val="single"/>
        </w:rPr>
        <w:t xml:space="preserve"> </w:t>
      </w:r>
      <w:r w:rsidRPr="00BF0C4B">
        <w:rPr>
          <w:rFonts w:eastAsia="Times New Roman"/>
          <w:highlight w:val="cyan"/>
          <w:u w:val="single"/>
        </w:rPr>
        <w:t>the ‘possibility of a genuinely decolonised relationship</w:t>
      </w:r>
      <w:r w:rsidRPr="00BF0C4B">
        <w:rPr>
          <w:rFonts w:eastAsia="Times New Roman"/>
          <w:u w:val="single"/>
        </w:rPr>
        <w:t>’</w:t>
      </w:r>
      <w:r w:rsidRPr="00BF0C4B">
        <w:rPr>
          <w:rFonts w:eastAsia="Times New Roman"/>
          <w:sz w:val="12"/>
        </w:rPr>
        <w:t xml:space="preserve"> (by virtue of its lopsidedness) </w:t>
      </w:r>
      <w:r w:rsidRPr="00BF0C4B">
        <w:rPr>
          <w:rFonts w:eastAsia="Times New Roman"/>
          <w:u w:val="single"/>
        </w:rPr>
        <w:t xml:space="preserve">yet is a </w:t>
      </w:r>
      <w:r w:rsidRPr="00BF0C4B">
        <w:rPr>
          <w:rStyle w:val="Emphasis"/>
        </w:rPr>
        <w:t>necessary political strategy</w:t>
      </w:r>
      <w:r w:rsidRPr="00BF0C4B">
        <w:rPr>
          <w:rFonts w:eastAsia="Times New Roman"/>
          <w:u w:val="single"/>
        </w:rPr>
        <w:t xml:space="preserve"> to </w:t>
      </w:r>
      <w:r w:rsidRPr="00BF0C4B">
        <w:rPr>
          <w:rStyle w:val="Emphasis"/>
        </w:rPr>
        <w:t>guard against the absorption</w:t>
      </w:r>
      <w:r w:rsidRPr="00BF0C4B">
        <w:rPr>
          <w:rFonts w:eastAsia="Times New Roman"/>
          <w:u w:val="single"/>
        </w:rPr>
        <w:t xml:space="preserve"> of Indigenous people into the settler fold, which would </w:t>
      </w:r>
      <w:r w:rsidRPr="00BF0C4B">
        <w:rPr>
          <w:rStyle w:val="Emphasis"/>
        </w:rPr>
        <w:t>represent settler colonialism’s final victory</w:t>
      </w:r>
      <w:r w:rsidRPr="00BF0C4B">
        <w:rPr>
          <w:rFonts w:eastAsia="Times New Roman"/>
          <w:sz w:val="12"/>
        </w:rPr>
        <w:t xml:space="preserve">. </w:t>
      </w:r>
      <w:r w:rsidRPr="00BF0C4B">
        <w:rPr>
          <w:rFonts w:eastAsia="Times New Roman"/>
          <w:u w:val="single"/>
        </w:rPr>
        <w:t xml:space="preserve">The battle here is between a ‘settler colonialism [that] is designed to produce a fundamental discontinuity as its “logic of elimination” runs its course until it actually extinguishes the settler colonial relation’ and an </w:t>
      </w:r>
      <w:r w:rsidRPr="00BF0C4B">
        <w:rPr>
          <w:rFonts w:eastAsia="Times New Roman"/>
          <w:highlight w:val="cyan"/>
          <w:u w:val="single"/>
        </w:rPr>
        <w:t>anti-colonial struggle</w:t>
      </w:r>
      <w:r w:rsidRPr="00BF0C4B">
        <w:rPr>
          <w:rFonts w:eastAsia="Times New Roman"/>
          <w:u w:val="single"/>
        </w:rPr>
        <w:t xml:space="preserve"> that ‘</w:t>
      </w:r>
      <w:r w:rsidRPr="00BF0C4B">
        <w:rPr>
          <w:rStyle w:val="Emphasis"/>
          <w:highlight w:val="cyan"/>
        </w:rPr>
        <w:t>must aim to keep the settler-indigenous relationship going</w:t>
      </w:r>
      <w:r w:rsidRPr="00BF0C4B">
        <w:rPr>
          <w:rFonts w:eastAsia="Times New Roman"/>
          <w:highlight w:val="cyan"/>
          <w:u w:val="single"/>
        </w:rPr>
        <w:t>’</w:t>
      </w:r>
      <w:r w:rsidRPr="00BF0C4B">
        <w:rPr>
          <w:rFonts w:eastAsia="Times New Roman"/>
          <w:sz w:val="12"/>
        </w:rPr>
        <w:t xml:space="preserve"> (2011: 7). In other words, </w:t>
      </w:r>
      <w:r w:rsidRPr="00BF0C4B">
        <w:rPr>
          <w:rFonts w:eastAsia="Times New Roman"/>
          <w:u w:val="single"/>
        </w:rPr>
        <w:t xml:space="preserve">the categorical distinction produced by the frontier </w:t>
      </w:r>
      <w:r w:rsidRPr="00BF0C4B">
        <w:rPr>
          <w:rStyle w:val="Emphasis"/>
        </w:rPr>
        <w:t>must be maintained in order to struggle against its effects</w:t>
      </w:r>
      <w:r w:rsidRPr="00BF0C4B">
        <w:rPr>
          <w:rFonts w:eastAsia="Times New Roman"/>
          <w:sz w:val="12"/>
        </w:rPr>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Scholars have long reckoned with the ambivalence of the settler colonial situation, which is simultaneously colonial and postcolonial, colonising and decolonising (Curthoys, 1999: 288). </w:t>
      </w:r>
      <w:r w:rsidRPr="00BF0C4B">
        <w:rPr>
          <w:rFonts w:eastAsia="Times New Roman"/>
          <w:u w:val="single"/>
        </w:rPr>
        <w:t>Given the generally dreadful</w:t>
      </w:r>
      <w:r w:rsidRPr="00BF0C4B">
        <w:rPr>
          <w:rFonts w:eastAsia="Times New Roman"/>
          <w:sz w:val="12"/>
        </w:rPr>
        <w:t xml:space="preserve"> Fourth World </w:t>
      </w:r>
      <w:r w:rsidRPr="00BF0C4B">
        <w:rPr>
          <w:rFonts w:eastAsia="Times New Roman"/>
          <w:u w:val="single"/>
        </w:rPr>
        <w:t>circumstances facing many Indigenous peoples</w:t>
      </w:r>
      <w:r w:rsidRPr="00BF0C4B">
        <w:rPr>
          <w:rFonts w:eastAsia="Times New Roman"/>
          <w:sz w:val="12"/>
        </w:rPr>
        <w:t xml:space="preserve"> in settler societies, </w:t>
      </w:r>
      <w:r w:rsidRPr="00BF0C4B">
        <w:rPr>
          <w:rFonts w:eastAsia="Times New Roman"/>
          <w:u w:val="single"/>
        </w:rPr>
        <w:t xml:space="preserve">it </w:t>
      </w:r>
      <w:r w:rsidRPr="00BF0C4B">
        <w:rPr>
          <w:rStyle w:val="Emphasis"/>
        </w:rPr>
        <w:t>could be argued</w:t>
      </w:r>
      <w:r w:rsidRPr="00BF0C4B">
        <w:rPr>
          <w:rFonts w:eastAsia="Times New Roman"/>
          <w:u w:val="single"/>
        </w:rPr>
        <w:t xml:space="preserve"> that there is good reason for</w:t>
      </w:r>
      <w:r w:rsidRPr="00BF0C4B">
        <w:rPr>
          <w:rFonts w:eastAsia="Times New Roman"/>
          <w:sz w:val="12"/>
        </w:rPr>
        <w:t xml:space="preserve"> such </w:t>
      </w:r>
      <w:r w:rsidRPr="00BF0C4B">
        <w:rPr>
          <w:rStyle w:val="Emphasis"/>
        </w:rPr>
        <w:t>pessimism</w:t>
      </w:r>
      <w:r w:rsidRPr="00BF0C4B">
        <w:rPr>
          <w:rFonts w:eastAsia="Times New Roman"/>
          <w:sz w:val="12"/>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BF0C4B">
        <w:rPr>
          <w:rStyle w:val="Emphasis"/>
        </w:rPr>
        <w:t>Nonetheless</w:t>
      </w:r>
      <w:r w:rsidRPr="00BF0C4B">
        <w:rPr>
          <w:rFonts w:eastAsia="Times New Roman"/>
          <w:u w:val="single"/>
        </w:rPr>
        <w:t xml:space="preserve">, </w:t>
      </w:r>
      <w:r w:rsidRPr="00BF0C4B">
        <w:rPr>
          <w:rFonts w:eastAsia="Times New Roman"/>
          <w:highlight w:val="cyan"/>
          <w:u w:val="single"/>
        </w:rPr>
        <w:t xml:space="preserve">the </w:t>
      </w:r>
      <w:r w:rsidRPr="00BF0C4B">
        <w:rPr>
          <w:rStyle w:val="Emphasis"/>
          <w:highlight w:val="cyan"/>
        </w:rPr>
        <w:t>fatalism</w:t>
      </w:r>
      <w:r w:rsidRPr="00BF0C4B">
        <w:rPr>
          <w:rFonts w:eastAsia="Times New Roman"/>
          <w:u w:val="single"/>
        </w:rPr>
        <w:t xml:space="preserve"> of the settler colonial paradigm</w:t>
      </w:r>
      <w:r w:rsidRPr="00BF0C4B">
        <w:rPr>
          <w:rFonts w:eastAsia="Times New Roman"/>
          <w:sz w:val="12"/>
        </w:rPr>
        <w:t>—whereby decolonisation is by and large put beyond the realms of possibility—</w:t>
      </w:r>
      <w:r w:rsidRPr="00BF0C4B">
        <w:rPr>
          <w:rFonts w:eastAsia="Times New Roman"/>
          <w:u w:val="single"/>
        </w:rPr>
        <w:t>has</w:t>
      </w:r>
      <w:r w:rsidRPr="00BF0C4B">
        <w:rPr>
          <w:rFonts w:eastAsia="Times New Roman"/>
          <w:sz w:val="12"/>
        </w:rPr>
        <w:t xml:space="preserve"> seen it </w:t>
      </w:r>
      <w:r w:rsidRPr="00BF0C4B">
        <w:rPr>
          <w:rFonts w:eastAsia="Times New Roman"/>
          <w:u w:val="single"/>
        </w:rPr>
        <w:t xml:space="preserve">come under </w:t>
      </w:r>
      <w:r w:rsidRPr="00BF0C4B">
        <w:rPr>
          <w:rStyle w:val="Emphasis"/>
        </w:rPr>
        <w:t>considerable critique</w:t>
      </w:r>
      <w:r w:rsidRPr="00BF0C4B">
        <w:rPr>
          <w:rFonts w:eastAsia="Times New Roman"/>
          <w:u w:val="single"/>
        </w:rPr>
        <w:t xml:space="preserve"> for </w:t>
      </w:r>
      <w:r w:rsidRPr="00BF0C4B">
        <w:rPr>
          <w:rStyle w:val="Emphasis"/>
          <w:highlight w:val="cyan"/>
        </w:rPr>
        <w:t>reifying settler colonialism</w:t>
      </w:r>
      <w:r w:rsidRPr="00BF0C4B">
        <w:rPr>
          <w:rFonts w:eastAsia="Times New Roman"/>
          <w:highlight w:val="cyan"/>
          <w:u w:val="single"/>
        </w:rPr>
        <w:t xml:space="preserve"> as a</w:t>
      </w:r>
      <w:r w:rsidRPr="00BF0C4B">
        <w:rPr>
          <w:rFonts w:eastAsia="Times New Roman"/>
          <w:u w:val="single"/>
        </w:rPr>
        <w:t xml:space="preserve"> transhistorical </w:t>
      </w:r>
      <w:r w:rsidRPr="00BF0C4B">
        <w:rPr>
          <w:rFonts w:eastAsia="Times New Roman"/>
          <w:highlight w:val="cyan"/>
          <w:u w:val="single"/>
        </w:rPr>
        <w:t>meta-structure</w:t>
      </w:r>
      <w:r w:rsidRPr="00BF0C4B">
        <w:rPr>
          <w:rFonts w:eastAsia="Times New Roman"/>
          <w:u w:val="single"/>
        </w:rPr>
        <w:t xml:space="preserve"> </w:t>
      </w:r>
      <w:r w:rsidRPr="00BF0C4B">
        <w:rPr>
          <w:rFonts w:eastAsia="Times New Roman"/>
          <w:highlight w:val="cyan"/>
          <w:u w:val="single"/>
        </w:rPr>
        <w:t>where</w:t>
      </w:r>
      <w:r w:rsidRPr="00BF0C4B">
        <w:rPr>
          <w:rFonts w:eastAsia="Times New Roman"/>
          <w:u w:val="single"/>
        </w:rPr>
        <w:t xml:space="preserve"> </w:t>
      </w:r>
      <w:r w:rsidRPr="00BF0C4B">
        <w:rPr>
          <w:rFonts w:eastAsia="Times New Roman"/>
          <w:highlight w:val="cyan"/>
          <w:u w:val="single"/>
        </w:rPr>
        <w:t xml:space="preserve">colonial relations of domination are </w:t>
      </w:r>
      <w:r w:rsidRPr="00BF0C4B">
        <w:rPr>
          <w:rStyle w:val="Emphasis"/>
          <w:highlight w:val="cyan"/>
        </w:rPr>
        <w:t>inevitable</w:t>
      </w:r>
      <w:r w:rsidRPr="00BF0C4B">
        <w:rPr>
          <w:rFonts w:eastAsia="Times New Roman"/>
          <w:sz w:val="12"/>
        </w:rPr>
        <w:t xml:space="preserve"> (Macoun &amp; Strakosch, 2013: 435; Snelgrove et al., 2014: 9). </w:t>
      </w:r>
      <w:r w:rsidRPr="00BF0C4B">
        <w:rPr>
          <w:rFonts w:eastAsia="Times New Roman"/>
          <w:u w:val="single"/>
        </w:rPr>
        <w:t>Not only does</w:t>
      </w:r>
      <w:r w:rsidRPr="00BF0C4B">
        <w:rPr>
          <w:rFonts w:eastAsia="Times New Roman"/>
          <w:sz w:val="12"/>
        </w:rPr>
        <w:t xml:space="preserve"> Wolfe’s </w:t>
      </w:r>
      <w:r w:rsidRPr="00BF0C4B">
        <w:rPr>
          <w:rFonts w:eastAsia="Times New Roman"/>
          <w:highlight w:val="cyan"/>
          <w:u w:val="single"/>
        </w:rPr>
        <w:t>ontology</w:t>
      </w:r>
      <w:r w:rsidRPr="00BF0C4B">
        <w:rPr>
          <w:rFonts w:eastAsia="Times New Roman"/>
          <w:u w:val="single"/>
        </w:rPr>
        <w:t xml:space="preserve"> </w:t>
      </w:r>
      <w:r w:rsidRPr="00BF0C4B">
        <w:rPr>
          <w:rStyle w:val="Emphasis"/>
          <w:highlight w:val="cyan"/>
        </w:rPr>
        <w:t>erase</w:t>
      </w:r>
      <w:r w:rsidRPr="00BF0C4B">
        <w:rPr>
          <w:rStyle w:val="Emphasis"/>
        </w:rPr>
        <w:t xml:space="preserve"> contingency</w:t>
      </w:r>
      <w:r w:rsidRPr="00BF0C4B">
        <w:rPr>
          <w:rFonts w:eastAsia="Times New Roman"/>
          <w:u w:val="single"/>
        </w:rPr>
        <w:t xml:space="preserve">, </w:t>
      </w:r>
      <w:r w:rsidRPr="00BF0C4B">
        <w:rPr>
          <w:rStyle w:val="Emphasis"/>
        </w:rPr>
        <w:t>heterogeneity</w:t>
      </w:r>
      <w:r w:rsidRPr="00BF0C4B">
        <w:rPr>
          <w:rFonts w:eastAsia="Times New Roman"/>
          <w:u w:val="single"/>
        </w:rPr>
        <w:t xml:space="preserve"> and (crucially) </w:t>
      </w:r>
      <w:r w:rsidRPr="00BF0C4B">
        <w:rPr>
          <w:rStyle w:val="Emphasis"/>
          <w:highlight w:val="cyan"/>
        </w:rPr>
        <w:t>agency</w:t>
      </w:r>
      <w:r w:rsidRPr="00BF0C4B">
        <w:rPr>
          <w:rFonts w:eastAsia="Times New Roman"/>
          <w:sz w:val="12"/>
        </w:rPr>
        <w:t xml:space="preserve"> (Merlan, 1997; Rowse, 2014), </w:t>
      </w:r>
      <w:r w:rsidRPr="00BF0C4B">
        <w:rPr>
          <w:rFonts w:eastAsia="Times New Roman"/>
          <w:u w:val="single"/>
        </w:rPr>
        <w:t>but its polarised framework effectively ‘</w:t>
      </w:r>
      <w:r w:rsidRPr="00BF0C4B">
        <w:rPr>
          <w:rStyle w:val="Emphasis"/>
          <w:highlight w:val="cyan"/>
        </w:rPr>
        <w:t>puts politics to death</w:t>
      </w:r>
      <w:r w:rsidRPr="00BF0C4B">
        <w:rPr>
          <w:rFonts w:eastAsia="Times New Roman"/>
          <w:highlight w:val="cyan"/>
          <w:u w:val="single"/>
        </w:rPr>
        <w:t>’</w:t>
      </w:r>
      <w:r w:rsidRPr="00BF0C4B">
        <w:rPr>
          <w:rFonts w:eastAsia="Times New Roman"/>
          <w:sz w:val="12"/>
        </w:rPr>
        <w:t xml:space="preserve"> (Svirsky, 2014: 327). In response to such critiques, Wolfe (2013a: 213) suggests that ‘the repudiation of binarism’ may just represent a ‘settler perspective’. However, as Elizabeth Povinelli (1997: 22) has astutely shown, it is in this regard that </w:t>
      </w:r>
      <w:r w:rsidRPr="00BF0C4B">
        <w:rPr>
          <w:rFonts w:eastAsia="Times New Roman"/>
          <w:u w:val="single"/>
        </w:rPr>
        <w:t xml:space="preserve">the </w:t>
      </w:r>
      <w:r w:rsidRPr="00BF0C4B">
        <w:rPr>
          <w:rStyle w:val="Emphasis"/>
        </w:rPr>
        <w:t>totalising logic</w:t>
      </w:r>
      <w:r w:rsidRPr="00BF0C4B">
        <w:rPr>
          <w:rFonts w:eastAsia="Times New Roman"/>
          <w:u w:val="single"/>
        </w:rPr>
        <w:t xml:space="preserve"> of</w:t>
      </w:r>
      <w:r w:rsidRPr="00BF0C4B">
        <w:rPr>
          <w:rFonts w:eastAsia="Times New Roman"/>
          <w:sz w:val="12"/>
        </w:rPr>
        <w:t xml:space="preserve"> Wolfe’s </w:t>
      </w:r>
      <w:r w:rsidRPr="00BF0C4B">
        <w:rPr>
          <w:rFonts w:eastAsia="Times New Roman"/>
          <w:u w:val="single"/>
        </w:rPr>
        <w:t xml:space="preserve">structure of invasion </w:t>
      </w:r>
      <w:r w:rsidRPr="00BF0C4B">
        <w:rPr>
          <w:rStyle w:val="Emphasis"/>
        </w:rPr>
        <w:t>rests on a disciplinary gesture</w:t>
      </w:r>
      <w:r w:rsidRPr="00BF0C4B">
        <w:rPr>
          <w:rFonts w:eastAsia="Times New Roman"/>
          <w:u w:val="single"/>
        </w:rPr>
        <w:t xml:space="preserve"> </w:t>
      </w:r>
      <w:r w:rsidRPr="00BF0C4B">
        <w:rPr>
          <w:rFonts w:eastAsia="Times New Roman"/>
          <w:highlight w:val="cyan"/>
          <w:u w:val="single"/>
        </w:rPr>
        <w:t>where</w:t>
      </w:r>
      <w:r w:rsidRPr="00BF0C4B">
        <w:rPr>
          <w:rFonts w:eastAsia="Times New Roman"/>
          <w:u w:val="single"/>
        </w:rPr>
        <w:t xml:space="preserve"> ‘</w:t>
      </w:r>
      <w:r w:rsidRPr="00BF0C4B">
        <w:rPr>
          <w:rStyle w:val="Emphasis"/>
          <w:highlight w:val="cyan"/>
        </w:rPr>
        <w:t>any discussion</w:t>
      </w:r>
      <w:r w:rsidRPr="00BF0C4B">
        <w:rPr>
          <w:rFonts w:eastAsia="Times New Roman"/>
          <w:u w:val="single"/>
        </w:rPr>
        <w:t xml:space="preserve"> which </w:t>
      </w:r>
      <w:r w:rsidRPr="00BF0C4B">
        <w:rPr>
          <w:rStyle w:val="Emphasis"/>
        </w:rPr>
        <w:t>does not insist</w:t>
      </w:r>
      <w:r w:rsidRPr="00BF0C4B">
        <w:rPr>
          <w:rFonts w:eastAsia="Times New Roman"/>
          <w:u w:val="single"/>
        </w:rPr>
        <w:t xml:space="preserve"> on the polarity of the [settler] colonial project’ </w:t>
      </w:r>
      <w:r w:rsidRPr="00BF0C4B">
        <w:rPr>
          <w:rFonts w:eastAsia="Times New Roman"/>
          <w:highlight w:val="cyan"/>
          <w:u w:val="single"/>
        </w:rPr>
        <w:t xml:space="preserve">is </w:t>
      </w:r>
      <w:r w:rsidRPr="00BF0C4B">
        <w:rPr>
          <w:rStyle w:val="Emphasis"/>
          <w:highlight w:val="cyan"/>
        </w:rPr>
        <w:t>assimilationist</w:t>
      </w:r>
      <w:r w:rsidRPr="00BF0C4B">
        <w:rPr>
          <w:rFonts w:eastAsia="Times New Roman"/>
          <w:u w:val="single"/>
        </w:rPr>
        <w:t xml:space="preserve">, worse still, </w:t>
      </w:r>
      <w:r w:rsidRPr="00BF0C4B">
        <w:rPr>
          <w:rStyle w:val="Emphasis"/>
        </w:rPr>
        <w:t>genocidal</w:t>
      </w:r>
      <w:r w:rsidRPr="00BF0C4B">
        <w:rPr>
          <w:rFonts w:eastAsia="Times New Roman"/>
          <w:u w:val="single"/>
        </w:rPr>
        <w:t xml:space="preserve"> in effect if not intent. </w:t>
      </w:r>
      <w:r w:rsidRPr="00BF0C4B">
        <w:rPr>
          <w:rStyle w:val="Emphasis"/>
        </w:rPr>
        <w:t>Any attempt</w:t>
      </w:r>
      <w:r w:rsidRPr="00BF0C4B">
        <w:rPr>
          <w:rFonts w:eastAsia="Times New Roman"/>
          <w:u w:val="single"/>
        </w:rPr>
        <w:t xml:space="preserve"> to ‘explore the </w:t>
      </w:r>
      <w:r w:rsidRPr="00BF0C4B">
        <w:rPr>
          <w:rStyle w:val="Emphasis"/>
        </w:rPr>
        <w:t>dialogical</w:t>
      </w:r>
      <w:r w:rsidRPr="00BF0C4B">
        <w:rPr>
          <w:rFonts w:eastAsia="Times New Roman"/>
          <w:u w:val="single"/>
        </w:rPr>
        <w:t xml:space="preserve"> or </w:t>
      </w:r>
      <w:r w:rsidRPr="00BF0C4B">
        <w:rPr>
          <w:rStyle w:val="Emphasis"/>
        </w:rPr>
        <w:t>hybrid nature</w:t>
      </w:r>
      <w:r w:rsidRPr="00BF0C4B">
        <w:rPr>
          <w:rFonts w:eastAsia="Times New Roman"/>
          <w:u w:val="single"/>
        </w:rPr>
        <w:t xml:space="preserve"> of colonial subjectivity’—which would entail </w:t>
      </w:r>
      <w:r w:rsidRPr="00BF0C4B">
        <w:rPr>
          <w:rStyle w:val="Emphasis"/>
        </w:rPr>
        <w:t>working beyond the bounds of absolute polarity</w:t>
      </w:r>
      <w:r w:rsidRPr="00BF0C4B">
        <w:rPr>
          <w:rFonts w:eastAsia="Times New Roman"/>
          <w:u w:val="single"/>
        </w:rPr>
        <w:t xml:space="preserve">—is </w:t>
      </w:r>
      <w:r w:rsidRPr="00BF0C4B">
        <w:rPr>
          <w:rStyle w:val="Emphasis"/>
        </w:rPr>
        <w:t>disciplined as complicit</w:t>
      </w:r>
      <w:r w:rsidRPr="00BF0C4B">
        <w:rPr>
          <w:rFonts w:eastAsia="Times New Roman"/>
          <w:u w:val="single"/>
        </w:rPr>
        <w:t xml:space="preserve"> in the settler colonial project itself, leaving ‘the </w:t>
      </w:r>
      <w:r w:rsidRPr="00BF0C4B">
        <w:rPr>
          <w:rStyle w:val="Emphasis"/>
        </w:rPr>
        <w:t>only nonassimilationist position</w:t>
      </w:r>
      <w:r w:rsidRPr="00BF0C4B">
        <w:rPr>
          <w:rFonts w:eastAsia="Times New Roman"/>
          <w:u w:val="single"/>
        </w:rPr>
        <w:t xml:space="preserve"> one that </w:t>
      </w:r>
      <w:r w:rsidRPr="00BF0C4B">
        <w:rPr>
          <w:rStyle w:val="Emphasis"/>
        </w:rPr>
        <w:t>adheres strictly</w:t>
      </w:r>
      <w:r w:rsidRPr="00BF0C4B">
        <w:rPr>
          <w:rFonts w:eastAsia="Times New Roman"/>
          <w:u w:val="single"/>
        </w:rPr>
        <w:t xml:space="preserve"> and </w:t>
      </w:r>
      <w:r w:rsidRPr="00BF0C4B">
        <w:rPr>
          <w:rStyle w:val="Emphasis"/>
        </w:rPr>
        <w:t>solely</w:t>
      </w:r>
      <w:r w:rsidRPr="00BF0C4B">
        <w:rPr>
          <w:rFonts w:eastAsia="Times New Roman"/>
          <w:u w:val="single"/>
        </w:rPr>
        <w:t xml:space="preserve"> to a </w:t>
      </w:r>
      <w:r w:rsidRPr="00BF0C4B">
        <w:rPr>
          <w:rStyle w:val="Emphasis"/>
        </w:rPr>
        <w:t>critique</w:t>
      </w:r>
      <w:r w:rsidRPr="00BF0C4B">
        <w:rPr>
          <w:rFonts w:eastAsia="Times New Roman"/>
          <w:u w:val="single"/>
        </w:rPr>
        <w:t xml:space="preserve"> of [settler] state discourse’. This gesture not only </w:t>
      </w:r>
      <w:r w:rsidRPr="00BF0C4B">
        <w:rPr>
          <w:rStyle w:val="Emphasis"/>
          <w:highlight w:val="cyan"/>
        </w:rPr>
        <w:t>disallows the possibility of counter-publics</w:t>
      </w:r>
      <w:r w:rsidRPr="00BF0C4B">
        <w:rPr>
          <w:rFonts w:eastAsia="Times New Roman"/>
          <w:u w:val="single"/>
        </w:rPr>
        <w:t xml:space="preserve"> </w:t>
      </w:r>
      <w:r w:rsidRPr="00BF0C4B">
        <w:rPr>
          <w:rFonts w:eastAsia="Times New Roman"/>
          <w:highlight w:val="cyan"/>
          <w:u w:val="single"/>
        </w:rPr>
        <w:t>and</w:t>
      </w:r>
      <w:r w:rsidRPr="00BF0C4B">
        <w:rPr>
          <w:rFonts w:eastAsia="Times New Roman"/>
          <w:u w:val="single"/>
        </w:rPr>
        <w:t xml:space="preserve"> </w:t>
      </w:r>
      <w:r w:rsidRPr="00BF0C4B">
        <w:rPr>
          <w:rStyle w:val="Emphasis"/>
        </w:rPr>
        <w:t xml:space="preserve">strategic </w:t>
      </w:r>
      <w:r w:rsidRPr="00BF0C4B">
        <w:rPr>
          <w:rStyle w:val="Emphasis"/>
          <w:highlight w:val="cyan"/>
        </w:rPr>
        <w:t>alliances</w:t>
      </w:r>
      <w:r w:rsidRPr="00BF0C4B">
        <w:rPr>
          <w:rFonts w:eastAsia="Times New Roman"/>
          <w:u w:val="single"/>
        </w:rPr>
        <w:t xml:space="preserve"> (</w:t>
      </w:r>
      <w:r w:rsidRPr="00BF0C4B">
        <w:rPr>
          <w:sz w:val="12"/>
        </w:rPr>
        <w:t>even limited ones), but also comes dangerously close to ‘resistance as acquiescence’ insofar as the settler colonial studies scholar may malign the structures set in play by settler colonialism, but only from a safe distance unsullied by the messiness of ambivalences and contradictions of settler and Native subjectivities and relations. Opposition is thus left as our only option, but, as we know from critical anti-colonial and postcolonial scholarship, opposition in itself is not decolonisation.</w:t>
      </w:r>
    </w:p>
    <w:p w14:paraId="2A9C2657" w14:textId="77777777" w:rsidR="00C42954" w:rsidRDefault="00C42954" w:rsidP="00C42954"/>
    <w:p w14:paraId="4377A694" w14:textId="77777777" w:rsidR="00C42954" w:rsidRDefault="00C42954" w:rsidP="00C42954">
      <w:pPr>
        <w:pStyle w:val="Heading3"/>
      </w:pPr>
      <w:r>
        <w:t>1NC---AT: Settler Colonialism---Progress Possible</w:t>
      </w:r>
    </w:p>
    <w:p w14:paraId="603E66D6" w14:textId="77777777" w:rsidR="00C42954" w:rsidRDefault="00C42954" w:rsidP="00C42954">
      <w:pPr>
        <w:pStyle w:val="Heading4"/>
      </w:pPr>
      <w:r>
        <w:t xml:space="preserve">Decolonization is </w:t>
      </w:r>
      <w:r w:rsidRPr="00C83792">
        <w:rPr>
          <w:u w:val="single"/>
        </w:rPr>
        <w:t>multifaceted</w:t>
      </w:r>
      <w:r>
        <w:t xml:space="preserve"> – the LandBack movement and countless Native-led victories demonstrate that </w:t>
      </w:r>
      <w:r w:rsidRPr="00C83792">
        <w:rPr>
          <w:u w:val="single"/>
        </w:rPr>
        <w:t>incremental</w:t>
      </w:r>
      <w:r>
        <w:t xml:space="preserve">, </w:t>
      </w:r>
      <w:r w:rsidRPr="00C83792">
        <w:t>legal</w:t>
      </w:r>
      <w:r w:rsidRPr="00C83792">
        <w:rPr>
          <w:u w:val="single"/>
        </w:rPr>
        <w:t xml:space="preserve"> </w:t>
      </w:r>
      <w:r>
        <w:t xml:space="preserve">victories can </w:t>
      </w:r>
      <w:r w:rsidRPr="00C83792">
        <w:rPr>
          <w:u w:val="single"/>
        </w:rPr>
        <w:t>reverse</w:t>
      </w:r>
      <w:r>
        <w:t xml:space="preserve"> dispossession and elimination. </w:t>
      </w:r>
    </w:p>
    <w:p w14:paraId="54FC0F3C" w14:textId="77777777" w:rsidR="00C42954" w:rsidRPr="00364915" w:rsidRDefault="00C42954" w:rsidP="00C42954">
      <w:pPr>
        <w:rPr>
          <w:rStyle w:val="Style13ptBold"/>
        </w:rPr>
      </w:pPr>
      <w:r>
        <w:rPr>
          <w:rStyle w:val="Style13ptBold"/>
        </w:rPr>
        <w:t xml:space="preserve">Bender 22 </w:t>
      </w:r>
      <w:r w:rsidRPr="00364915">
        <w:t>[Albert Bender is a Cherokee Indian. He is a freelance reporter and political columnist for News From Indian Country, and other Native and non-Native publications. He is also a historian and attorney specializing in Native American law. 1-19-2022, "LandBack is leading to real victories", Communist Party USA, https://www.cpusa.org/article/landback-is-leading-to-real-victories/, JKS]</w:t>
      </w:r>
    </w:p>
    <w:p w14:paraId="64E1556C" w14:textId="77777777" w:rsidR="00C42954" w:rsidRPr="002A7799" w:rsidRDefault="00C42954" w:rsidP="00C42954">
      <w:pPr>
        <w:rPr>
          <w:sz w:val="16"/>
        </w:rPr>
      </w:pPr>
      <w:r w:rsidRPr="002A7799">
        <w:rPr>
          <w:sz w:val="16"/>
        </w:rPr>
        <w:t>Over the years there has been an ever-growing Native American movement to reclaim land stolen over the centuries. This struggle has been ongoing for decades but has picked up speed with successes over the past few years.</w:t>
      </w:r>
    </w:p>
    <w:p w14:paraId="33970E44" w14:textId="77777777" w:rsidR="00C42954" w:rsidRPr="002A7799" w:rsidRDefault="00C42954" w:rsidP="00C42954">
      <w:pPr>
        <w:rPr>
          <w:sz w:val="16"/>
        </w:rPr>
      </w:pPr>
      <w:r w:rsidRPr="002A7799">
        <w:rPr>
          <w:sz w:val="16"/>
        </w:rPr>
        <w:t>Some of the recent history of this movement is in order. The LandBack movement was officially begun in 2018 by Aaron Tailfeathers, a member of the Kainai Tribe of the Blackfeet Confederacy of Canada. LandBack rapidly became a hashtag on clothes, beadwork, and other art.</w:t>
      </w:r>
    </w:p>
    <w:p w14:paraId="450B0E1C" w14:textId="77777777" w:rsidR="00C42954" w:rsidRPr="002A7799" w:rsidRDefault="00C42954" w:rsidP="00C42954">
      <w:pPr>
        <w:rPr>
          <w:sz w:val="16"/>
        </w:rPr>
      </w:pPr>
      <w:r w:rsidRPr="002A7799">
        <w:rPr>
          <w:sz w:val="16"/>
        </w:rPr>
        <w:t>In 2020 in response to protests at Mount Rushmore the Indigenous organization NDN Collective drafted the LandBack Manifesto entitled: “The Reclamation of Everything Stolen from the Original Peoples.” The LandBack campaign was officially launched on Indigenous Peoples’ Day in 2020. The Manifesto covers land, language, ceremony, food, education, health, governance, medicine, and kinship.</w:t>
      </w:r>
    </w:p>
    <w:p w14:paraId="542925FB" w14:textId="77777777" w:rsidR="00C42954" w:rsidRPr="002A7799" w:rsidRDefault="00C42954" w:rsidP="00C42954">
      <w:pPr>
        <w:rPr>
          <w:sz w:val="16"/>
        </w:rPr>
      </w:pPr>
      <w:r w:rsidRPr="002A7799">
        <w:rPr>
          <w:sz w:val="16"/>
        </w:rPr>
        <w:t xml:space="preserve">But the basic LandBack issue is simple: </w:t>
      </w:r>
      <w:r w:rsidRPr="002A7799">
        <w:rPr>
          <w:rStyle w:val="StyleUnderline"/>
        </w:rPr>
        <w:t>“Give us the land back.”</w:t>
      </w:r>
      <w:r w:rsidRPr="002A7799">
        <w:rPr>
          <w:sz w:val="16"/>
        </w:rPr>
        <w:t xml:space="preserve"> For many and perhaps most of the Indigenous, getting the land back is first one of economics, as the stronger an Indigenous nation is economically, the stronger it is in all other aspects of its existence: working at well-paying jobs, maintaining language and tradition, being able to hunt, engaging in farming, accessing clean water, building schools and adequate, sustainable housing, strengthening sovereignty, and expanding jurisdiction. All the above are also morale and spiritual builders. So far, campaigns have been directed at public lands, including national parks and, where feasible, private lands. These objectives have not sought the vacating of anyone’s home.</w:t>
      </w:r>
    </w:p>
    <w:p w14:paraId="49A2F7E8" w14:textId="77777777" w:rsidR="00C42954" w:rsidRPr="002A7799" w:rsidRDefault="00C42954" w:rsidP="00C42954">
      <w:pPr>
        <w:rPr>
          <w:sz w:val="16"/>
        </w:rPr>
      </w:pPr>
      <w:r w:rsidRPr="002A7799">
        <w:rPr>
          <w:sz w:val="16"/>
        </w:rPr>
        <w:t xml:space="preserve">But again, first it is about getting Indigenous lands back into Indigenous hands while working on all the other issues. There are so many facets to this struggle. </w:t>
      </w:r>
      <w:r w:rsidRPr="002A7799">
        <w:rPr>
          <w:rStyle w:val="StyleUnderline"/>
        </w:rPr>
        <w:t>This fight is not new but one that has been dreamed about and pursued in various ways for centuries,</w:t>
      </w:r>
      <w:r w:rsidRPr="002A7799">
        <w:rPr>
          <w:sz w:val="16"/>
        </w:rPr>
        <w:t xml:space="preserve"> indeed since colonial times. The difference now is that </w:t>
      </w:r>
      <w:r w:rsidRPr="002A7799">
        <w:rPr>
          <w:rStyle w:val="StyleUnderline"/>
        </w:rPr>
        <w:t>more attention is coming from non-Native society. Indigenous activists are seizing the time to increase and strengthen demands.</w:t>
      </w:r>
      <w:r w:rsidRPr="002A7799">
        <w:rPr>
          <w:sz w:val="16"/>
        </w:rPr>
        <w:t xml:space="preserve"> Also, LandBack campaigns are taking place not just in the U.S. but in Canada and in the Mapuche struggle in Chile.</w:t>
      </w:r>
    </w:p>
    <w:p w14:paraId="0C0D6470" w14:textId="77777777" w:rsidR="00C42954" w:rsidRPr="00364915" w:rsidRDefault="00C42954" w:rsidP="00C42954">
      <w:pPr>
        <w:rPr>
          <w:rStyle w:val="StyleUnderline"/>
        </w:rPr>
      </w:pPr>
      <w:r w:rsidRPr="00364915">
        <w:rPr>
          <w:rStyle w:val="StyleUnderline"/>
        </w:rPr>
        <w:t xml:space="preserve">The </w:t>
      </w:r>
      <w:r w:rsidRPr="00C013F2">
        <w:rPr>
          <w:rStyle w:val="StyleUnderline"/>
        </w:rPr>
        <w:t xml:space="preserve">objective is </w:t>
      </w:r>
      <w:r w:rsidRPr="00C013F2">
        <w:rPr>
          <w:rStyle w:val="Emphasis"/>
        </w:rPr>
        <w:t>decolonization</w:t>
      </w:r>
      <w:r w:rsidRPr="00364915">
        <w:rPr>
          <w:rStyle w:val="Emphasis"/>
        </w:rPr>
        <w:t xml:space="preserve"> </w:t>
      </w:r>
      <w:r w:rsidRPr="00364915">
        <w:rPr>
          <w:rStyle w:val="StyleUnderline"/>
        </w:rPr>
        <w:t>of the land</w:t>
      </w:r>
    </w:p>
    <w:p w14:paraId="78D2D867" w14:textId="77777777" w:rsidR="00C42954" w:rsidRPr="002A7799" w:rsidRDefault="00C42954" w:rsidP="00C42954">
      <w:pPr>
        <w:rPr>
          <w:sz w:val="16"/>
        </w:rPr>
      </w:pPr>
      <w:r w:rsidRPr="00C013F2">
        <w:rPr>
          <w:rStyle w:val="StyleUnderline"/>
        </w:rPr>
        <w:t>There are specific</w:t>
      </w:r>
      <w:r w:rsidRPr="00C013F2">
        <w:rPr>
          <w:rStyle w:val="StyleUnderline"/>
          <w:highlight w:val="green"/>
        </w:rPr>
        <w:t xml:space="preserve">, </w:t>
      </w:r>
      <w:r w:rsidRPr="00F604E3">
        <w:rPr>
          <w:rStyle w:val="Emphasis"/>
          <w:highlight w:val="green"/>
        </w:rPr>
        <w:t>striking examples of lands heading in the direction of decolonization</w:t>
      </w:r>
      <w:r w:rsidRPr="00F604E3">
        <w:rPr>
          <w:rStyle w:val="StyleUnderline"/>
          <w:sz w:val="24"/>
          <w:szCs w:val="24"/>
          <w:highlight w:val="green"/>
        </w:rPr>
        <w:t xml:space="preserve"> </w:t>
      </w:r>
      <w:r w:rsidRPr="00C013F2">
        <w:rPr>
          <w:rStyle w:val="StyleUnderline"/>
        </w:rPr>
        <w:t xml:space="preserve">and </w:t>
      </w:r>
      <w:r w:rsidRPr="00C013F2">
        <w:rPr>
          <w:rStyle w:val="StyleUnderline"/>
          <w:highlight w:val="green"/>
        </w:rPr>
        <w:t>being placed under Tribal jurisdiction</w:t>
      </w:r>
      <w:r w:rsidRPr="00C013F2">
        <w:rPr>
          <w:sz w:val="16"/>
        </w:rPr>
        <w:t>. Each tribal landback issue is unique. But each Indigenous nation’s fight</w:t>
      </w:r>
      <w:r w:rsidRPr="002A7799">
        <w:rPr>
          <w:sz w:val="16"/>
        </w:rPr>
        <w:t xml:space="preserve"> is part and parcel of a broader struggle by Native people across North America and beyond. The </w:t>
      </w:r>
      <w:r w:rsidRPr="002A7799">
        <w:rPr>
          <w:rStyle w:val="StyleUnderline"/>
        </w:rPr>
        <w:t xml:space="preserve">following examples </w:t>
      </w:r>
      <w:r w:rsidRPr="00C013F2">
        <w:rPr>
          <w:rStyle w:val="StyleUnderline"/>
          <w:highlight w:val="green"/>
        </w:rPr>
        <w:t>illustrate the complexity, diversity, and similarity of these struggles</w:t>
      </w:r>
      <w:r w:rsidRPr="002A7799">
        <w:rPr>
          <w:sz w:val="16"/>
        </w:rPr>
        <w:t>. Again, these quests are directed mainly at federally held land.</w:t>
      </w:r>
    </w:p>
    <w:p w14:paraId="4BC4DEB4" w14:textId="77777777" w:rsidR="00C42954" w:rsidRPr="002A7799" w:rsidRDefault="00C42954" w:rsidP="00C42954">
      <w:pPr>
        <w:rPr>
          <w:sz w:val="16"/>
        </w:rPr>
      </w:pPr>
      <w:r w:rsidRPr="002A7799">
        <w:rPr>
          <w:rStyle w:val="StyleUnderline"/>
        </w:rPr>
        <w:t xml:space="preserve">In 2015 the </w:t>
      </w:r>
      <w:r w:rsidRPr="00C013F2">
        <w:rPr>
          <w:rStyle w:val="StyleUnderline"/>
          <w:highlight w:val="green"/>
        </w:rPr>
        <w:t>Mashpee Wampanoag reclaimed 300 acres of ancestral land</w:t>
      </w:r>
      <w:r w:rsidRPr="002A7799">
        <w:rPr>
          <w:sz w:val="16"/>
        </w:rPr>
        <w:t xml:space="preserve"> after decades of efforts. The </w:t>
      </w:r>
      <w:r w:rsidRPr="002A7799">
        <w:rPr>
          <w:rStyle w:val="StyleUnderline"/>
        </w:rPr>
        <w:t>acreage was placed in federal trust status</w:t>
      </w:r>
      <w:r w:rsidRPr="002A7799">
        <w:rPr>
          <w:sz w:val="16"/>
        </w:rPr>
        <w:t xml:space="preserve">, which meant that the land could not be taken away without federal approval. This </w:t>
      </w:r>
      <w:r w:rsidRPr="00C013F2">
        <w:rPr>
          <w:rStyle w:val="StyleUnderline"/>
          <w:highlight w:val="green"/>
        </w:rPr>
        <w:t>gave the tribe sovereignty</w:t>
      </w:r>
      <w:r w:rsidRPr="002A7799">
        <w:rPr>
          <w:rStyle w:val="StyleUnderline"/>
        </w:rPr>
        <w:t xml:space="preserve"> over the land, </w:t>
      </w:r>
      <w:r w:rsidRPr="00C013F2">
        <w:rPr>
          <w:rStyle w:val="StyleUnderline"/>
          <w:highlight w:val="green"/>
        </w:rPr>
        <w:t>enabling</w:t>
      </w:r>
      <w:r w:rsidRPr="002A7799">
        <w:rPr>
          <w:rStyle w:val="StyleUnderline"/>
        </w:rPr>
        <w:t xml:space="preserve"> it to build </w:t>
      </w:r>
      <w:r w:rsidRPr="00C013F2">
        <w:rPr>
          <w:rStyle w:val="StyleUnderline"/>
          <w:highlight w:val="green"/>
        </w:rPr>
        <w:t>housing and a school</w:t>
      </w:r>
      <w:r w:rsidRPr="002A7799">
        <w:rPr>
          <w:rStyle w:val="StyleUnderline"/>
        </w:rPr>
        <w:t xml:space="preserve"> and have a tribal police force on the land</w:t>
      </w:r>
      <w:r w:rsidRPr="002A7799">
        <w:rPr>
          <w:sz w:val="16"/>
        </w:rPr>
        <w:t>. Subsequently, in a shocking about-face, the federal government under Trump reversed this decision and the land’s ownership was in legal limbo. But, on December 22, 2021, the Biden Interior Department under Deb Haaland reversed the Trumpite decision and reinstated the Mashpee Wampanoag Reservation. A great victory for Native America!</w:t>
      </w:r>
    </w:p>
    <w:p w14:paraId="5AA07FD2" w14:textId="77777777" w:rsidR="00C42954" w:rsidRPr="002A7799" w:rsidRDefault="00C42954" w:rsidP="00C42954">
      <w:pPr>
        <w:rPr>
          <w:sz w:val="16"/>
        </w:rPr>
      </w:pPr>
      <w:r w:rsidRPr="002A7799">
        <w:rPr>
          <w:rStyle w:val="StyleUnderline"/>
        </w:rPr>
        <w:t xml:space="preserve">In 2019 the </w:t>
      </w:r>
      <w:r w:rsidRPr="00C013F2">
        <w:rPr>
          <w:rStyle w:val="StyleUnderline"/>
          <w:highlight w:val="green"/>
        </w:rPr>
        <w:t>United Methodist Church returned ancestral land</w:t>
      </w:r>
      <w:r w:rsidRPr="002A7799">
        <w:rPr>
          <w:rStyle w:val="StyleUnderline"/>
        </w:rPr>
        <w:t xml:space="preserve"> in</w:t>
      </w:r>
      <w:r w:rsidRPr="002A7799">
        <w:rPr>
          <w:sz w:val="16"/>
        </w:rPr>
        <w:t xml:space="preserve"> Upper Sandusky, </w:t>
      </w:r>
      <w:r w:rsidRPr="002A7799">
        <w:rPr>
          <w:rStyle w:val="StyleUnderline"/>
        </w:rPr>
        <w:t xml:space="preserve">Ohio, </w:t>
      </w:r>
      <w:r w:rsidRPr="00C013F2">
        <w:rPr>
          <w:rStyle w:val="StyleUnderline"/>
          <w:highlight w:val="green"/>
        </w:rPr>
        <w:t>to the</w:t>
      </w:r>
      <w:r w:rsidRPr="002A7799">
        <w:rPr>
          <w:rStyle w:val="StyleUnderline"/>
        </w:rPr>
        <w:t xml:space="preserve"> </w:t>
      </w:r>
      <w:r w:rsidRPr="00C013F2">
        <w:rPr>
          <w:rStyle w:val="StyleUnderline"/>
          <w:highlight w:val="green"/>
        </w:rPr>
        <w:t>Wyandotte</w:t>
      </w:r>
      <w:r w:rsidRPr="002A7799">
        <w:rPr>
          <w:rStyle w:val="StyleUnderline"/>
        </w:rPr>
        <w:t xml:space="preserve"> Nation of Oklahoma</w:t>
      </w:r>
      <w:r w:rsidRPr="002A7799">
        <w:rPr>
          <w:sz w:val="16"/>
        </w:rPr>
        <w:t>. The Wyandotte Indian Mission had been established there in the early 1800s by an African American Methodist missionary, John Stewart. In 1819 the federal government had promised by treaty the Wyandotte Nation 148,000 acres in Kansas. But when the Wyandotte arrived in Kansas, there was no land available.</w:t>
      </w:r>
    </w:p>
    <w:p w14:paraId="5A5492B9" w14:textId="77777777" w:rsidR="00C42954" w:rsidRPr="002A7799" w:rsidRDefault="00C42954" w:rsidP="00C42954">
      <w:pPr>
        <w:rPr>
          <w:rStyle w:val="StyleUnderline"/>
        </w:rPr>
      </w:pPr>
      <w:r w:rsidRPr="002A7799">
        <w:rPr>
          <w:rStyle w:val="StyleUnderline"/>
        </w:rPr>
        <w:t xml:space="preserve">In 2020 </w:t>
      </w:r>
      <w:r w:rsidRPr="00C013F2">
        <w:rPr>
          <w:rStyle w:val="StyleUnderline"/>
          <w:highlight w:val="green"/>
        </w:rPr>
        <w:t>the Haudenosaunee</w:t>
      </w:r>
      <w:r w:rsidRPr="002A7799">
        <w:rPr>
          <w:rStyle w:val="StyleUnderline"/>
        </w:rPr>
        <w:t xml:space="preserve"> (Iroquois) of the Six Nations </w:t>
      </w:r>
      <w:r w:rsidRPr="00C013F2">
        <w:rPr>
          <w:rStyle w:val="StyleUnderline"/>
          <w:highlight w:val="green"/>
        </w:rPr>
        <w:t>set up a roadblock</w:t>
      </w:r>
      <w:r w:rsidRPr="002A7799">
        <w:rPr>
          <w:rStyle w:val="StyleUnderline"/>
        </w:rPr>
        <w:t xml:space="preserve"> on 1492 Land Back Lane </w:t>
      </w:r>
      <w:r w:rsidRPr="00C013F2">
        <w:rPr>
          <w:rStyle w:val="StyleUnderline"/>
          <w:highlight w:val="green"/>
        </w:rPr>
        <w:t>to shut down a housing development on their unceded land</w:t>
      </w:r>
      <w:r w:rsidRPr="002A7799">
        <w:rPr>
          <w:rStyle w:val="StyleUnderline"/>
        </w:rPr>
        <w:t xml:space="preserve"> in Ontario.</w:t>
      </w:r>
    </w:p>
    <w:p w14:paraId="798DB193" w14:textId="77777777" w:rsidR="00C42954" w:rsidRPr="002A7799" w:rsidRDefault="00C42954" w:rsidP="00C42954">
      <w:pPr>
        <w:rPr>
          <w:sz w:val="16"/>
        </w:rPr>
      </w:pPr>
      <w:r w:rsidRPr="002A7799">
        <w:rPr>
          <w:rStyle w:val="StyleUnderline"/>
        </w:rPr>
        <w:t>In July 2020 the Esselen Tribe purchased a 12,000-acre ranch near Big Sur, California, as part of a multi-million dollar deal. This reclamation of traditional lands protects old-growth forest, wildlife, and the Little Sur River</w:t>
      </w:r>
      <w:r w:rsidRPr="002A7799">
        <w:rPr>
          <w:sz w:val="16"/>
        </w:rPr>
        <w:t>, which brings up another point — the LandBack movement protects the environment and nature.</w:t>
      </w:r>
    </w:p>
    <w:p w14:paraId="4BE24398" w14:textId="77777777" w:rsidR="00C42954" w:rsidRPr="002A7799" w:rsidRDefault="00C42954" w:rsidP="00C42954">
      <w:pPr>
        <w:rPr>
          <w:sz w:val="16"/>
        </w:rPr>
      </w:pPr>
      <w:r w:rsidRPr="002A7799">
        <w:rPr>
          <w:sz w:val="16"/>
        </w:rPr>
        <w:t xml:space="preserve">The </w:t>
      </w:r>
      <w:r w:rsidRPr="002A7799">
        <w:rPr>
          <w:rStyle w:val="StyleUnderline"/>
        </w:rPr>
        <w:t>Prairie Band Potawatomi Nation is laying claim to land in Illinois</w:t>
      </w:r>
      <w:r w:rsidRPr="002A7799">
        <w:rPr>
          <w:sz w:val="16"/>
        </w:rPr>
        <w:t>. Keep in mind that Chicago sits on Potawatomi land.</w:t>
      </w:r>
    </w:p>
    <w:p w14:paraId="42480D56" w14:textId="77777777" w:rsidR="00C42954" w:rsidRPr="002A7799" w:rsidRDefault="00C42954" w:rsidP="00C42954">
      <w:pPr>
        <w:rPr>
          <w:rStyle w:val="StyleUnderline"/>
        </w:rPr>
      </w:pPr>
      <w:r w:rsidRPr="002A7799">
        <w:rPr>
          <w:rStyle w:val="StyleUnderline"/>
        </w:rPr>
        <w:t>There is a demand by the Lakota people for the closure of Mount Rushmore and for the return of all public lands in the Black Hills to the “original stewards.”</w:t>
      </w:r>
    </w:p>
    <w:p w14:paraId="61348464" w14:textId="77777777" w:rsidR="00C42954" w:rsidRPr="002A7799" w:rsidRDefault="00C42954" w:rsidP="00C42954">
      <w:pPr>
        <w:rPr>
          <w:rStyle w:val="StyleUnderline"/>
        </w:rPr>
      </w:pPr>
      <w:r w:rsidRPr="002A7799">
        <w:rPr>
          <w:rStyle w:val="StyleUnderline"/>
        </w:rPr>
        <w:t xml:space="preserve">Other notable examples of land reclamation include the 2020 </w:t>
      </w:r>
      <w:r w:rsidRPr="00C013F2">
        <w:rPr>
          <w:rStyle w:val="StyleUnderline"/>
          <w:highlight w:val="green"/>
        </w:rPr>
        <w:t>transfer of</w:t>
      </w:r>
      <w:r w:rsidRPr="002A7799">
        <w:rPr>
          <w:rStyle w:val="StyleUnderline"/>
        </w:rPr>
        <w:t xml:space="preserve"> 11,760 </w:t>
      </w:r>
      <w:r w:rsidRPr="00C013F2">
        <w:rPr>
          <w:rStyle w:val="StyleUnderline"/>
          <w:highlight w:val="green"/>
        </w:rPr>
        <w:t>acres of forest service land</w:t>
      </w:r>
      <w:r w:rsidRPr="002A7799">
        <w:rPr>
          <w:rStyle w:val="StyleUnderline"/>
        </w:rPr>
        <w:t xml:space="preserve"> in the Chippewa National Forest to </w:t>
      </w:r>
      <w:r w:rsidRPr="00C013F2">
        <w:rPr>
          <w:rStyle w:val="StyleUnderline"/>
          <w:highlight w:val="green"/>
        </w:rPr>
        <w:t>the Leech Lake Band of Ojibwe</w:t>
      </w:r>
      <w:r w:rsidRPr="002A7799">
        <w:rPr>
          <w:rStyle w:val="StyleUnderline"/>
        </w:rPr>
        <w:t xml:space="preserve"> to be held in trust under the Leech Lake Reservation Restoration Act.</w:t>
      </w:r>
    </w:p>
    <w:p w14:paraId="36C7DC9A" w14:textId="77777777" w:rsidR="00C42954" w:rsidRPr="002A7799" w:rsidRDefault="00C42954" w:rsidP="00C42954">
      <w:pPr>
        <w:rPr>
          <w:sz w:val="16"/>
        </w:rPr>
      </w:pPr>
      <w:r w:rsidRPr="002A7799">
        <w:rPr>
          <w:sz w:val="16"/>
        </w:rPr>
        <w:t>In March, the Passmoquody Tribe with a grant from conservation organizations raised $335,000 to purchase ancestral Pine Island in Maine.</w:t>
      </w:r>
    </w:p>
    <w:p w14:paraId="2C66C57B" w14:textId="77777777" w:rsidR="00C42954" w:rsidRPr="002A7799" w:rsidRDefault="00C42954" w:rsidP="00C42954">
      <w:pPr>
        <w:rPr>
          <w:rStyle w:val="StyleUnderline"/>
        </w:rPr>
      </w:pPr>
      <w:r w:rsidRPr="002A7799">
        <w:rPr>
          <w:sz w:val="16"/>
        </w:rPr>
        <w:t xml:space="preserve">Also, </w:t>
      </w:r>
      <w:r w:rsidRPr="002A7799">
        <w:rPr>
          <w:rStyle w:val="StyleUnderline"/>
        </w:rPr>
        <w:t xml:space="preserve">the </w:t>
      </w:r>
      <w:r w:rsidRPr="00C013F2">
        <w:rPr>
          <w:rStyle w:val="StyleUnderline"/>
          <w:highlight w:val="green"/>
        </w:rPr>
        <w:t xml:space="preserve">dismantling of dams on the Klamath River </w:t>
      </w:r>
      <w:r w:rsidRPr="00F604E3">
        <w:rPr>
          <w:rStyle w:val="Emphasis"/>
          <w:highlight w:val="green"/>
        </w:rPr>
        <w:t>was seen as a LandBack victory</w:t>
      </w:r>
      <w:r w:rsidRPr="00F604E3">
        <w:rPr>
          <w:rStyle w:val="Emphasis"/>
        </w:rPr>
        <w:t xml:space="preserve"> </w:t>
      </w:r>
      <w:r w:rsidRPr="002A7799">
        <w:rPr>
          <w:rStyle w:val="StyleUnderline"/>
        </w:rPr>
        <w:t>for the Yurok and Karuk Tribes.</w:t>
      </w:r>
    </w:p>
    <w:p w14:paraId="7DB2C8BC" w14:textId="77777777" w:rsidR="00C42954" w:rsidRPr="002A7799" w:rsidRDefault="00C42954" w:rsidP="00C42954">
      <w:pPr>
        <w:rPr>
          <w:sz w:val="16"/>
        </w:rPr>
      </w:pPr>
      <w:r w:rsidRPr="002A7799">
        <w:rPr>
          <w:rStyle w:val="StyleUnderline"/>
        </w:rPr>
        <w:t xml:space="preserve">In 2004 the </w:t>
      </w:r>
      <w:r w:rsidRPr="00C013F2">
        <w:rPr>
          <w:rStyle w:val="StyleUnderline"/>
          <w:highlight w:val="green"/>
        </w:rPr>
        <w:t>Wiyot Tribe</w:t>
      </w:r>
      <w:r w:rsidRPr="002A7799">
        <w:rPr>
          <w:rStyle w:val="StyleUnderline"/>
        </w:rPr>
        <w:t xml:space="preserve"> accomplished the return of an ancestral island that had been lost as a result of a massacre in 1860. The </w:t>
      </w:r>
      <w:r w:rsidRPr="00C013F2">
        <w:rPr>
          <w:rStyle w:val="StyleUnderline"/>
          <w:highlight w:val="green"/>
        </w:rPr>
        <w:t xml:space="preserve">Eureka City Council transferred </w:t>
      </w:r>
      <w:r w:rsidRPr="00C013F2">
        <w:rPr>
          <w:rStyle w:val="StyleUnderline"/>
        </w:rPr>
        <w:t xml:space="preserve">the </w:t>
      </w:r>
      <w:r w:rsidRPr="00C013F2">
        <w:rPr>
          <w:rStyle w:val="StyleUnderline"/>
          <w:highlight w:val="green"/>
        </w:rPr>
        <w:t>land back to the Tribe</w:t>
      </w:r>
      <w:r w:rsidRPr="002A7799">
        <w:rPr>
          <w:sz w:val="16"/>
        </w:rPr>
        <w:t>. This was a century-plus long battle. The Wiyot had lived for thousands of years on Dulawat Island in Humboldt Bay on California’s northern coast. In 2006 the City Council transferred another 60 acres to the Tribe to add to land already purchased by the Wiyot.</w:t>
      </w:r>
    </w:p>
    <w:p w14:paraId="4ECBD852" w14:textId="77777777" w:rsidR="00C42954" w:rsidRPr="002A7799" w:rsidRDefault="00C42954" w:rsidP="00C42954">
      <w:pPr>
        <w:rPr>
          <w:sz w:val="16"/>
        </w:rPr>
      </w:pPr>
      <w:r w:rsidRPr="002A7799">
        <w:rPr>
          <w:sz w:val="16"/>
        </w:rPr>
        <w:t>This brings up the point that many tribes are using gaming money to purchase land illegally taken. This is a gross insult, as the tribes should not have to purchase back land that has been stolen. The federal government should provide funding for restoring stolen land.</w:t>
      </w:r>
    </w:p>
    <w:p w14:paraId="7D369DB9" w14:textId="77777777" w:rsidR="00C42954" w:rsidRPr="002A7799" w:rsidRDefault="00C42954" w:rsidP="00C42954">
      <w:pPr>
        <w:rPr>
          <w:sz w:val="16"/>
        </w:rPr>
      </w:pPr>
      <w:r w:rsidRPr="002A7799">
        <w:rPr>
          <w:rStyle w:val="StyleUnderline"/>
        </w:rPr>
        <w:t xml:space="preserve">The </w:t>
      </w:r>
      <w:r w:rsidRPr="00C013F2">
        <w:rPr>
          <w:rStyle w:val="StyleUnderline"/>
          <w:highlight w:val="green"/>
        </w:rPr>
        <w:t xml:space="preserve">LandBack movement can realize victory in a variety of arenas </w:t>
      </w:r>
      <w:r w:rsidRPr="00C013F2">
        <w:rPr>
          <w:rStyle w:val="Emphasis"/>
          <w:highlight w:val="green"/>
        </w:rPr>
        <w:t>including the court system</w:t>
      </w:r>
      <w:r w:rsidRPr="002A7799">
        <w:rPr>
          <w:rStyle w:val="StyleUnderline"/>
        </w:rPr>
        <w:t xml:space="preserve">. A prime example is </w:t>
      </w:r>
      <w:r w:rsidRPr="00C013F2">
        <w:rPr>
          <w:rStyle w:val="StyleUnderline"/>
          <w:highlight w:val="green"/>
        </w:rPr>
        <w:t>the momentous McGirt decision</w:t>
      </w:r>
      <w:r w:rsidRPr="002A7799">
        <w:rPr>
          <w:rStyle w:val="StyleUnderline"/>
        </w:rPr>
        <w:t xml:space="preserve"> that </w:t>
      </w:r>
      <w:r w:rsidRPr="00C013F2">
        <w:rPr>
          <w:rStyle w:val="StyleUnderline"/>
          <w:highlight w:val="green"/>
        </w:rPr>
        <w:t>reestablished the reservations of the Five Tribes in Eastern Oklahoma</w:t>
      </w:r>
      <w:r w:rsidRPr="002A7799">
        <w:rPr>
          <w:rStyle w:val="StyleUnderline"/>
        </w:rPr>
        <w:t xml:space="preserve"> encompassing 19 million acres</w:t>
      </w:r>
      <w:r w:rsidRPr="002A7799">
        <w:rPr>
          <w:sz w:val="16"/>
        </w:rPr>
        <w:t>.</w:t>
      </w:r>
    </w:p>
    <w:p w14:paraId="334DBD8A" w14:textId="77777777" w:rsidR="00C42954" w:rsidRPr="002A7799" w:rsidRDefault="00C42954" w:rsidP="00C42954">
      <w:pPr>
        <w:rPr>
          <w:rStyle w:val="StyleUnderline"/>
        </w:rPr>
      </w:pPr>
      <w:r w:rsidRPr="002A7799">
        <w:rPr>
          <w:rStyle w:val="StyleUnderline"/>
        </w:rPr>
        <w:t xml:space="preserve">There are also </w:t>
      </w:r>
      <w:r w:rsidRPr="00C013F2">
        <w:rPr>
          <w:rStyle w:val="StyleUnderline"/>
          <w:highlight w:val="green"/>
        </w:rPr>
        <w:t>numerous Land Back bills pending in the legislative process</w:t>
      </w:r>
      <w:r w:rsidRPr="002A7799">
        <w:rPr>
          <w:rStyle w:val="StyleUnderline"/>
        </w:rPr>
        <w:t xml:space="preserve"> including the Eastern Band of Cherokee Historic lands Reacquisition Act, the Pala Band of Mission Indians Land Transfer Act of 2021, the Old Pascua Community Land Acquisition Act, the Catawba Indian Nation Lands Act, and many others.</w:t>
      </w:r>
    </w:p>
    <w:p w14:paraId="486D305F" w14:textId="77777777" w:rsidR="00C42954" w:rsidRPr="002A7799" w:rsidRDefault="00C42954" w:rsidP="00C42954">
      <w:pPr>
        <w:rPr>
          <w:rStyle w:val="Emphasis"/>
        </w:rPr>
      </w:pPr>
      <w:r w:rsidRPr="002A7799">
        <w:rPr>
          <w:sz w:val="16"/>
        </w:rPr>
        <w:t xml:space="preserve">As the political landscape changes, the </w:t>
      </w:r>
      <w:r w:rsidRPr="00C013F2">
        <w:rPr>
          <w:rStyle w:val="Emphasis"/>
          <w:highlight w:val="green"/>
        </w:rPr>
        <w:t xml:space="preserve">LandBack </w:t>
      </w:r>
      <w:r w:rsidRPr="00C013F2">
        <w:rPr>
          <w:rStyle w:val="Emphasis"/>
        </w:rPr>
        <w:t>movement</w:t>
      </w:r>
      <w:r w:rsidRPr="00C013F2">
        <w:rPr>
          <w:rStyle w:val="Emphasis"/>
          <w:highlight w:val="green"/>
        </w:rPr>
        <w:t xml:space="preserve"> gathers momentum as never before.</w:t>
      </w:r>
    </w:p>
    <w:p w14:paraId="1FE5932A" w14:textId="77777777" w:rsidR="00C42954" w:rsidRPr="00375886" w:rsidRDefault="00C42954" w:rsidP="00C42954"/>
    <w:p w14:paraId="454B8641" w14:textId="77777777" w:rsidR="00C42954" w:rsidRDefault="00C42954" w:rsidP="00C42954">
      <w:pPr>
        <w:pStyle w:val="Heading3"/>
      </w:pPr>
      <w:r>
        <w:t>1NC---AT: King</w:t>
      </w:r>
    </w:p>
    <w:p w14:paraId="7D6A36D6" w14:textId="77777777" w:rsidR="00C42954" w:rsidRDefault="00C42954" w:rsidP="00C42954">
      <w:pPr>
        <w:pStyle w:val="Heading4"/>
      </w:pPr>
      <w:r>
        <w:t xml:space="preserve">King’s lens of analysis </w:t>
      </w:r>
      <w:r>
        <w:rPr>
          <w:u w:val="single"/>
        </w:rPr>
        <w:t>reproduces</w:t>
      </w:r>
      <w:r>
        <w:t xml:space="preserve"> colonialist erasure.</w:t>
      </w:r>
    </w:p>
    <w:p w14:paraId="6EC6BE07" w14:textId="77777777" w:rsidR="00C42954" w:rsidRDefault="00C42954" w:rsidP="00C42954">
      <w:r w:rsidRPr="003C039C">
        <w:rPr>
          <w:rStyle w:val="Style13ptBold"/>
        </w:rPr>
        <w:t>Barthé, 20</w:t>
      </w:r>
      <w:r>
        <w:t>—Adjunct, Department of Humanities, Berkeley College (Darryl, “Book review: The black shoals: offshore formations of black and native studies by Tiffany Lethabo King,” Ethnic and Racial Studies, Volume 43, Issue 13, dml)</w:t>
      </w:r>
    </w:p>
    <w:p w14:paraId="59751059" w14:textId="77777777" w:rsidR="00C42954" w:rsidRPr="00C13128" w:rsidRDefault="00C42954" w:rsidP="00C42954">
      <w:pPr>
        <w:rPr>
          <w:rStyle w:val="StyleUnderline"/>
        </w:rPr>
      </w:pPr>
      <w:r w:rsidRPr="00C13128">
        <w:rPr>
          <w:rStyle w:val="StyleUnderline"/>
        </w:rPr>
        <w:t xml:space="preserve">Though it is clear that </w:t>
      </w:r>
      <w:r w:rsidRPr="005F4EDD">
        <w:rPr>
          <w:rStyle w:val="StyleUnderline"/>
          <w:highlight w:val="green"/>
        </w:rPr>
        <w:t>King’s</w:t>
      </w:r>
      <w:r w:rsidRPr="00C13128">
        <w:rPr>
          <w:rStyle w:val="StyleUnderline"/>
        </w:rPr>
        <w:t xml:space="preserve"> intention is to promote discourses of abolition and decolonization, her </w:t>
      </w:r>
      <w:r w:rsidRPr="005F4EDD">
        <w:rPr>
          <w:rStyle w:val="Emphasis"/>
          <w:highlight w:val="green"/>
        </w:rPr>
        <w:t>oversight</w:t>
      </w:r>
      <w:r w:rsidRPr="005F4EDD">
        <w:rPr>
          <w:rStyle w:val="StyleUnderline"/>
          <w:highlight w:val="green"/>
        </w:rPr>
        <w:t xml:space="preserve"> with</w:t>
      </w:r>
      <w:r w:rsidRPr="00C13128">
        <w:rPr>
          <w:rStyle w:val="StyleUnderline"/>
        </w:rPr>
        <w:t xml:space="preserve"> </w:t>
      </w:r>
      <w:r w:rsidRPr="005F4EDD">
        <w:rPr>
          <w:rStyle w:val="StyleUnderline"/>
          <w:highlight w:val="green"/>
        </w:rPr>
        <w:t xml:space="preserve">regards to </w:t>
      </w:r>
      <w:r w:rsidRPr="005F4EDD">
        <w:rPr>
          <w:rStyle w:val="Emphasis"/>
          <w:highlight w:val="green"/>
        </w:rPr>
        <w:t>black indigeneity</w:t>
      </w:r>
      <w:r w:rsidRPr="00C13128">
        <w:rPr>
          <w:sz w:val="16"/>
        </w:rPr>
        <w:t xml:space="preserve"> unintentionally, and ironically, </w:t>
      </w:r>
      <w:r w:rsidRPr="005F4EDD">
        <w:rPr>
          <w:rStyle w:val="Emphasis"/>
          <w:highlight w:val="green"/>
        </w:rPr>
        <w:t>contributes</w:t>
      </w:r>
      <w:r w:rsidRPr="005F4EDD">
        <w:rPr>
          <w:rStyle w:val="StyleUnderline"/>
          <w:highlight w:val="green"/>
        </w:rPr>
        <w:t xml:space="preserve"> to ongoing, colonial, processes of </w:t>
      </w:r>
      <w:r w:rsidRPr="005F4EDD">
        <w:rPr>
          <w:rStyle w:val="Emphasis"/>
          <w:highlight w:val="green"/>
        </w:rPr>
        <w:t>indigenous erasure</w:t>
      </w:r>
      <w:r w:rsidRPr="00C13128">
        <w:rPr>
          <w:rStyle w:val="StyleUnderline"/>
        </w:rPr>
        <w:t>. “</w:t>
      </w:r>
      <w:r w:rsidRPr="005F4EDD">
        <w:rPr>
          <w:rStyle w:val="StyleUnderline"/>
          <w:highlight w:val="green"/>
        </w:rPr>
        <w:t xml:space="preserve">Blackness” and “indigenous” are </w:t>
      </w:r>
      <w:r w:rsidRPr="005F4EDD">
        <w:rPr>
          <w:rStyle w:val="Emphasis"/>
          <w:highlight w:val="green"/>
        </w:rPr>
        <w:t>not</w:t>
      </w:r>
      <w:r w:rsidRPr="00C13128">
        <w:rPr>
          <w:sz w:val="16"/>
        </w:rPr>
        <w:t xml:space="preserve"> necessarily </w:t>
      </w:r>
      <w:r w:rsidRPr="005F4EDD">
        <w:rPr>
          <w:rStyle w:val="Emphasis"/>
          <w:highlight w:val="green"/>
        </w:rPr>
        <w:t>mutually exclusive</w:t>
      </w:r>
      <w:r w:rsidRPr="00C13128">
        <w:rPr>
          <w:rStyle w:val="StyleUnderline"/>
        </w:rPr>
        <w:t xml:space="preserve"> categories</w:t>
      </w:r>
      <w:r w:rsidRPr="00C13128">
        <w:rPr>
          <w:sz w:val="16"/>
        </w:rPr>
        <w:t xml:space="preserve"> in the same way that “African” and “Amerindian” are. Crispus Attucks, the famed black patriot killed at the Boston Massacre, was the son of a Wampanoag woman; Jimi Hendrix, the legendary black guitarist, was the grandson of a Cherokee woman. </w:t>
      </w:r>
      <w:r w:rsidRPr="00C13128">
        <w:rPr>
          <w:rStyle w:val="StyleUnderline"/>
        </w:rPr>
        <w:t xml:space="preserve">This history of Afro-indigenous engagement reflects an Afro-Native solidarity that clearly </w:t>
      </w:r>
      <w:r w:rsidRPr="00C13128">
        <w:rPr>
          <w:rStyle w:val="Emphasis"/>
        </w:rPr>
        <w:t>transcends</w:t>
      </w:r>
      <w:r w:rsidRPr="00C13128">
        <w:rPr>
          <w:rStyle w:val="StyleUnderline"/>
        </w:rPr>
        <w:t xml:space="preserve"> “coalition”, and yet struggles for </w:t>
      </w:r>
      <w:r w:rsidRPr="00C13128">
        <w:rPr>
          <w:rStyle w:val="Emphasis"/>
        </w:rPr>
        <w:t>recognition</w:t>
      </w:r>
      <w:r w:rsidRPr="00C13128">
        <w:rPr>
          <w:rStyle w:val="StyleUnderline"/>
        </w:rPr>
        <w:t>.</w:t>
      </w:r>
    </w:p>
    <w:p w14:paraId="7B00FF45" w14:textId="77777777" w:rsidR="00C42954" w:rsidRPr="00C13128" w:rsidRDefault="00C42954" w:rsidP="00C42954">
      <w:pPr>
        <w:rPr>
          <w:sz w:val="16"/>
        </w:rPr>
      </w:pPr>
      <w:r w:rsidRPr="00C13128">
        <w:rPr>
          <w:rStyle w:val="StyleUnderline"/>
        </w:rPr>
        <w:t xml:space="preserve">There is </w:t>
      </w:r>
      <w:r w:rsidRPr="00C13128">
        <w:rPr>
          <w:rStyle w:val="Emphasis"/>
        </w:rPr>
        <w:t>no shortage</w:t>
      </w:r>
      <w:r w:rsidRPr="00C13128">
        <w:rPr>
          <w:rStyle w:val="StyleUnderline"/>
        </w:rPr>
        <w:t xml:space="preserve"> of literature on Afro-indigenous people</w:t>
      </w:r>
      <w:r w:rsidRPr="00C13128">
        <w:rPr>
          <w:sz w:val="16"/>
        </w:rPr>
        <w:t xml:space="preserve">, or “black Indians”. James Brooks’ Confounding the Color Line: The Indian-Black Experience in North America, published in 2002, should have been a part of King’s historiography, along with Gabrielle Tayac’s 2009 work, IndiVisible: African-Native American Lives in the Americas and Brian Klopotek’s Recognition Odysseys: Indigeneity, Race, and Federal Tribal Recognition Policy in Three Louisiana Indian Communities, published in 2011. </w:t>
      </w:r>
      <w:r w:rsidRPr="00C13128">
        <w:rPr>
          <w:rStyle w:val="StyleUnderline"/>
        </w:rPr>
        <w:t xml:space="preserve">The </w:t>
      </w:r>
      <w:r w:rsidRPr="005F4EDD">
        <w:rPr>
          <w:rStyle w:val="Emphasis"/>
          <w:highlight w:val="green"/>
        </w:rPr>
        <w:t>omission</w:t>
      </w:r>
      <w:r w:rsidRPr="005F4EDD">
        <w:rPr>
          <w:rStyle w:val="StyleUnderline"/>
          <w:highlight w:val="green"/>
        </w:rPr>
        <w:t xml:space="preserve"> of this critical discourse</w:t>
      </w:r>
      <w:r w:rsidRPr="00C13128">
        <w:rPr>
          <w:rStyle w:val="StyleUnderline"/>
        </w:rPr>
        <w:t xml:space="preserve"> in King’s work </w:t>
      </w:r>
      <w:r w:rsidRPr="005F4EDD">
        <w:rPr>
          <w:rStyle w:val="StyleUnderline"/>
          <w:highlight w:val="green"/>
        </w:rPr>
        <w:t>is</w:t>
      </w:r>
      <w:r w:rsidRPr="00C13128">
        <w:rPr>
          <w:rStyle w:val="StyleUnderline"/>
        </w:rPr>
        <w:t xml:space="preserve"> both </w:t>
      </w:r>
      <w:r w:rsidRPr="005F4EDD">
        <w:rPr>
          <w:rStyle w:val="Emphasis"/>
          <w:highlight w:val="green"/>
        </w:rPr>
        <w:t>noticeable</w:t>
      </w:r>
      <w:r w:rsidRPr="005F4EDD">
        <w:rPr>
          <w:rStyle w:val="StyleUnderline"/>
          <w:highlight w:val="green"/>
        </w:rPr>
        <w:t xml:space="preserve"> and </w:t>
      </w:r>
      <w:r w:rsidRPr="005F4EDD">
        <w:rPr>
          <w:rStyle w:val="Emphasis"/>
          <w:highlight w:val="green"/>
        </w:rPr>
        <w:t>problematic</w:t>
      </w:r>
      <w:r w:rsidRPr="00C13128">
        <w:rPr>
          <w:sz w:val="16"/>
        </w:rPr>
        <w:t>.</w:t>
      </w:r>
    </w:p>
    <w:p w14:paraId="704DEB35" w14:textId="77777777" w:rsidR="00C42954" w:rsidRPr="00C13128" w:rsidRDefault="00C42954" w:rsidP="00C42954">
      <w:pPr>
        <w:rPr>
          <w:sz w:val="16"/>
        </w:rPr>
      </w:pPr>
      <w:r w:rsidRPr="00C13128">
        <w:rPr>
          <w:sz w:val="16"/>
        </w:rPr>
        <w:t xml:space="preserve">Despite its flaws, The Black Shoals represents a significant contribution to the field. King’s work needed to be written, and deserves to be read. Still, </w:t>
      </w:r>
      <w:r w:rsidRPr="00C13128">
        <w:rPr>
          <w:rStyle w:val="StyleUnderline"/>
        </w:rPr>
        <w:t xml:space="preserve">one is </w:t>
      </w:r>
      <w:r w:rsidRPr="00C13128">
        <w:rPr>
          <w:rStyle w:val="Emphasis"/>
        </w:rPr>
        <w:t>left to wonder</w:t>
      </w:r>
      <w:r w:rsidRPr="00C13128">
        <w:rPr>
          <w:rStyle w:val="StyleUnderline"/>
        </w:rPr>
        <w:t xml:space="preserve"> how King’s observations and insights might have </w:t>
      </w:r>
      <w:r w:rsidRPr="00C13128">
        <w:rPr>
          <w:rStyle w:val="Emphasis"/>
        </w:rPr>
        <w:t>differed</w:t>
      </w:r>
      <w:r w:rsidRPr="00C13128">
        <w:rPr>
          <w:rStyle w:val="StyleUnderline"/>
        </w:rPr>
        <w:t xml:space="preserve"> had she conducted her work embedded in </w:t>
      </w:r>
      <w:r w:rsidRPr="00C13128">
        <w:rPr>
          <w:rStyle w:val="Emphasis"/>
        </w:rPr>
        <w:t>communities of Afro-indigenous people</w:t>
      </w:r>
      <w:r w:rsidRPr="00C13128">
        <w:rPr>
          <w:sz w:val="16"/>
        </w:rPr>
        <w:t xml:space="preserve"> in Louisiana, Florida, or Oklahoma rather than Ontario.</w:t>
      </w:r>
    </w:p>
    <w:p w14:paraId="784534E1" w14:textId="77777777" w:rsidR="00C42954" w:rsidRPr="00E511F8" w:rsidRDefault="00C42954" w:rsidP="00C42954">
      <w:pPr>
        <w:rPr>
          <w:rFonts w:asciiTheme="minorHAnsi" w:hAnsiTheme="minorHAnsi" w:cstheme="minorHAnsi"/>
        </w:rPr>
      </w:pPr>
    </w:p>
    <w:p w14:paraId="120A99D9" w14:textId="77777777" w:rsidR="00C42954" w:rsidRDefault="00C42954" w:rsidP="00C42954">
      <w:pPr>
        <w:pStyle w:val="Heading3"/>
      </w:pPr>
      <w:r>
        <w:t>1NC---AT: Unions Bad---Settler Colonialism</w:t>
      </w:r>
    </w:p>
    <w:p w14:paraId="3BBCC1EB" w14:textId="77777777" w:rsidR="00C42954" w:rsidRDefault="00C42954" w:rsidP="00C42954">
      <w:pPr>
        <w:pStyle w:val="Heading4"/>
      </w:pPr>
      <w:r>
        <w:t>Tons of examples prove unions can fight indigenous dispossession and work for Native sovereignty. And that doesn’t necessitate federal government involvement, so their state bad offense doesn’t apply!</w:t>
      </w:r>
    </w:p>
    <w:p w14:paraId="53683507" w14:textId="77777777" w:rsidR="00C42954" w:rsidRDefault="00C42954" w:rsidP="00C42954">
      <w:r w:rsidRPr="00F64FF4">
        <w:rPr>
          <w:rStyle w:val="Style13ptBold"/>
        </w:rPr>
        <w:t>HLR 21</w:t>
      </w:r>
      <w:r>
        <w:t xml:space="preserve"> [Harvard Law Review, “Tribal Power, Worker Power: Organizing Unions in the Context of Native Sovereignty,” </w:t>
      </w:r>
      <w:r w:rsidRPr="00AD0E9C">
        <w:t>134 Harv. L. Rev. 1162</w:t>
      </w:r>
      <w:r>
        <w:t xml:space="preserve"> Vol 134, no. 3 (2021) NL]</w:t>
      </w:r>
    </w:p>
    <w:p w14:paraId="5FC73385" w14:textId="77777777" w:rsidR="00C42954" w:rsidRPr="00835A8D" w:rsidRDefault="00C42954" w:rsidP="00C42954">
      <w:pPr>
        <w:rPr>
          <w:rStyle w:val="Emphasis"/>
        </w:rPr>
      </w:pPr>
      <w:r w:rsidRPr="00AD0E9C">
        <w:t>Disputes over th</w:t>
      </w:r>
      <w:r w:rsidRPr="00AC54A4">
        <w:t>e applicability of the NLRA to tribal enterprises engender what Jonathan Guss has called a “negative approach to sovereignty.”</w:t>
      </w:r>
      <w:r w:rsidRPr="001E3508">
        <w:t>136</w:t>
      </w:r>
      <w:r w:rsidRPr="00AC54A4">
        <w:t> When unions invoke the NLRA, Native nations often respond by asserting their right to be free from the Act’s regulation — and from unions generally.</w:t>
      </w:r>
      <w:r w:rsidRPr="001E3508">
        <w:t>137</w:t>
      </w:r>
      <w:r w:rsidRPr="00AC54A4">
        <w:t> This struggle orients both labor organizing and assertions of tribal sovereignty around jurisdictional disputes and away from the ultimate value at the heart of both: building power.</w:t>
      </w:r>
      <w:r w:rsidRPr="001E3508">
        <w:t>138</w:t>
      </w:r>
      <w:r w:rsidRPr="00AD0E9C">
        <w:t> </w:t>
      </w:r>
      <w:r w:rsidRPr="00943198">
        <w:rPr>
          <w:rStyle w:val="StyleUnderline"/>
          <w:highlight w:val="green"/>
        </w:rPr>
        <w:t xml:space="preserve">Tribal enterprises </w:t>
      </w:r>
      <w:r w:rsidRPr="00943198">
        <w:rPr>
          <w:rStyle w:val="Emphasis"/>
          <w:highlight w:val="green"/>
        </w:rPr>
        <w:t>and</w:t>
      </w:r>
      <w:r w:rsidRPr="00943198">
        <w:rPr>
          <w:rStyle w:val="StyleUnderline"/>
          <w:highlight w:val="green"/>
        </w:rPr>
        <w:t xml:space="preserve"> unions are </w:t>
      </w:r>
      <w:r w:rsidRPr="00943198">
        <w:rPr>
          <w:rStyle w:val="Emphasis"/>
          <w:highlight w:val="green"/>
        </w:rPr>
        <w:t>mechanisms for redistributing wealth and power</w:t>
      </w:r>
      <w:r w:rsidRPr="00AC54A4">
        <w:rPr>
          <w:rStyle w:val="StyleUnderline"/>
        </w:rPr>
        <w:t xml:space="preserve"> to groups </w:t>
      </w:r>
      <w:r w:rsidRPr="00AC54A4">
        <w:rPr>
          <w:rStyle w:val="Emphasis"/>
        </w:rPr>
        <w:t>that have historically been denied both</w:t>
      </w:r>
      <w:r w:rsidRPr="00AD0E9C">
        <w:t>.</w:t>
      </w:r>
      <w:r w:rsidRPr="001E3508">
        <w:t>139</w:t>
      </w:r>
      <w:r w:rsidRPr="00AD0E9C">
        <w:t xml:space="preserve"> These goals can be superficially in conflict when tribal enterprises employ large numbers of non-Natives. But </w:t>
      </w:r>
      <w:r w:rsidRPr="00943198">
        <w:rPr>
          <w:rStyle w:val="StyleUnderline"/>
          <w:highlight w:val="green"/>
        </w:rPr>
        <w:t xml:space="preserve">this </w:t>
      </w:r>
      <w:r w:rsidRPr="00943198">
        <w:rPr>
          <w:rStyle w:val="Emphasis"/>
          <w:highlight w:val="green"/>
        </w:rPr>
        <w:t>overlapping ethos</w:t>
      </w:r>
      <w:r w:rsidRPr="00943198">
        <w:rPr>
          <w:rStyle w:val="StyleUnderline"/>
          <w:highlight w:val="green"/>
        </w:rPr>
        <w:t xml:space="preserve"> presents an </w:t>
      </w:r>
      <w:r w:rsidRPr="00943198">
        <w:rPr>
          <w:rStyle w:val="Emphasis"/>
          <w:highlight w:val="green"/>
        </w:rPr>
        <w:t>opportunity</w:t>
      </w:r>
      <w:r w:rsidRPr="00943198">
        <w:rPr>
          <w:rStyle w:val="StyleUnderline"/>
          <w:highlight w:val="green"/>
        </w:rPr>
        <w:t xml:space="preserve"> for unions and Native nations </w:t>
      </w:r>
      <w:r w:rsidRPr="00943198">
        <w:rPr>
          <w:rStyle w:val="Emphasis"/>
          <w:highlight w:val="green"/>
        </w:rPr>
        <w:t>to work together</w:t>
      </w:r>
      <w:r w:rsidRPr="00835A8D">
        <w:rPr>
          <w:rStyle w:val="Emphasis"/>
        </w:rPr>
        <w:t xml:space="preserve"> to create a world that is better for both.</w:t>
      </w:r>
    </w:p>
    <w:p w14:paraId="78105752" w14:textId="77777777" w:rsidR="00C42954" w:rsidRPr="00AD0E9C" w:rsidRDefault="00C42954" w:rsidP="00C42954">
      <w:r w:rsidRPr="00AD0E9C">
        <w:t>A. Tribal Law as Alternative to Federal Law</w:t>
      </w:r>
    </w:p>
    <w:p w14:paraId="25F2D51C" w14:textId="77777777" w:rsidR="00C42954" w:rsidRPr="00AD0E9C" w:rsidRDefault="00C42954" w:rsidP="00C42954">
      <w:pPr>
        <w:rPr>
          <w:rStyle w:val="StyleUnderline"/>
        </w:rPr>
      </w:pPr>
      <w:r w:rsidRPr="00AD0E9C">
        <w:t>Unions’ fight to apply the NLRA to tribal enterprises rests on a false premise: that without federal law, tribal employees will lack any legal protections.</w:t>
      </w:r>
      <w:r w:rsidRPr="001E3508">
        <w:t>140</w:t>
      </w:r>
      <w:r w:rsidRPr="00AD0E9C">
        <w:t xml:space="preserve"> Like other sovereigns exempted from the NLRA, </w:t>
      </w:r>
      <w:r w:rsidRPr="00AD0E9C">
        <w:rPr>
          <w:rStyle w:val="StyleUnderline"/>
        </w:rPr>
        <w:t>Native nations have the authority to promulgate labor regulations and an economic and sovereign interest in doing so</w:t>
      </w:r>
      <w:r w:rsidRPr="00AD0E9C">
        <w:t>.</w:t>
      </w:r>
      <w:r w:rsidRPr="001E3508">
        <w:t>141</w:t>
      </w:r>
      <w:r w:rsidRPr="00AD0E9C">
        <w:t xml:space="preserve"> Many tribal governments have developed comprehensive labor codes. The following examples provide some insight into how </w:t>
      </w:r>
      <w:r w:rsidRPr="00AD0E9C">
        <w:rPr>
          <w:rStyle w:val="StyleUnderline"/>
        </w:rPr>
        <w:t xml:space="preserve">unions and Native nations can </w:t>
      </w:r>
      <w:r w:rsidRPr="00943198">
        <w:rPr>
          <w:rStyle w:val="Emphasis"/>
          <w:highlight w:val="green"/>
        </w:rPr>
        <w:t>coexist</w:t>
      </w:r>
      <w:r w:rsidRPr="00943198">
        <w:rPr>
          <w:rStyle w:val="StyleUnderline"/>
          <w:highlight w:val="green"/>
        </w:rPr>
        <w:t xml:space="preserve"> and </w:t>
      </w:r>
      <w:r w:rsidRPr="00943198">
        <w:rPr>
          <w:rStyle w:val="Emphasis"/>
          <w:highlight w:val="green"/>
        </w:rPr>
        <w:t>exhibit mutual respect</w:t>
      </w:r>
      <w:r w:rsidRPr="00AD0E9C">
        <w:t xml:space="preserve"> </w:t>
      </w:r>
      <w:r w:rsidRPr="00AD0E9C">
        <w:rPr>
          <w:rStyle w:val="StyleUnderline"/>
        </w:rPr>
        <w:t>— even</w:t>
      </w:r>
      <w:r w:rsidRPr="00AD0E9C">
        <w:t xml:space="preserve">, in some cases, </w:t>
      </w:r>
      <w:r w:rsidRPr="00943198">
        <w:rPr>
          <w:rStyle w:val="StyleUnderline"/>
          <w:highlight w:val="green"/>
        </w:rPr>
        <w:t>allowing</w:t>
      </w:r>
      <w:r w:rsidRPr="00AD0E9C">
        <w:rPr>
          <w:rStyle w:val="StyleUnderline"/>
        </w:rPr>
        <w:t xml:space="preserve"> workers </w:t>
      </w:r>
      <w:r w:rsidRPr="00943198">
        <w:rPr>
          <w:rStyle w:val="Emphasis"/>
          <w:highlight w:val="green"/>
        </w:rPr>
        <w:t>greater protection</w:t>
      </w:r>
      <w:r w:rsidRPr="00943198">
        <w:rPr>
          <w:rStyle w:val="StyleUnderline"/>
          <w:highlight w:val="green"/>
        </w:rPr>
        <w:t xml:space="preserve"> than</w:t>
      </w:r>
      <w:r w:rsidRPr="00AD0E9C">
        <w:rPr>
          <w:rStyle w:val="StyleUnderline"/>
        </w:rPr>
        <w:t xml:space="preserve"> is currently </w:t>
      </w:r>
      <w:r w:rsidRPr="00943198">
        <w:rPr>
          <w:rStyle w:val="StyleUnderline"/>
          <w:highlight w:val="green"/>
        </w:rPr>
        <w:t>available under federal law.</w:t>
      </w:r>
    </w:p>
    <w:p w14:paraId="6FE6516F" w14:textId="77777777" w:rsidR="00C42954" w:rsidRPr="00AD0E9C" w:rsidRDefault="00C42954" w:rsidP="00C42954">
      <w:r w:rsidRPr="00AD0E9C">
        <w:rPr>
          <w:rStyle w:val="StyleUnderline"/>
        </w:rPr>
        <w:t xml:space="preserve">The </w:t>
      </w:r>
      <w:r w:rsidRPr="00943198">
        <w:rPr>
          <w:rStyle w:val="StyleUnderline"/>
          <w:highlight w:val="green"/>
        </w:rPr>
        <w:t>Navajo</w:t>
      </w:r>
      <w:r w:rsidRPr="00AD0E9C">
        <w:rPr>
          <w:rStyle w:val="StyleUnderline"/>
        </w:rPr>
        <w:t xml:space="preserve"> Nation </w:t>
      </w:r>
      <w:r w:rsidRPr="00943198">
        <w:rPr>
          <w:rStyle w:val="Emphasis"/>
          <w:highlight w:val="green"/>
        </w:rPr>
        <w:t>provides a leading example</w:t>
      </w:r>
      <w:r w:rsidRPr="00AD0E9C">
        <w:rPr>
          <w:rStyle w:val="StyleUnderline"/>
        </w:rPr>
        <w:t xml:space="preserve"> of effective tribal-labor relations. In the 1990s, the Navajo Council </w:t>
      </w:r>
      <w:r w:rsidRPr="00943198">
        <w:rPr>
          <w:rStyle w:val="StyleUnderline"/>
          <w:highlight w:val="green"/>
        </w:rPr>
        <w:t>promulgated a labor code that established collective bargaining rights</w:t>
      </w:r>
      <w:r w:rsidRPr="00AD0E9C">
        <w:rPr>
          <w:rStyle w:val="StyleUnderline"/>
        </w:rPr>
        <w:t xml:space="preserve"> for employees of the Navajo government and tribally owned corporations.</w:t>
      </w:r>
      <w:r w:rsidRPr="001E3508">
        <w:t>142</w:t>
      </w:r>
      <w:r w:rsidRPr="00AD0E9C">
        <w:t> </w:t>
      </w:r>
      <w:r w:rsidRPr="00AD0E9C">
        <w:rPr>
          <w:rStyle w:val="StyleUnderline"/>
        </w:rPr>
        <w:t>The Laborers’ International Union of North America (</w:t>
      </w:r>
      <w:r w:rsidRPr="00943198">
        <w:rPr>
          <w:rStyle w:val="StyleUnderline"/>
          <w:highlight w:val="green"/>
        </w:rPr>
        <w:t>LiUNA</w:t>
      </w:r>
      <w:r w:rsidRPr="00AD0E9C">
        <w:rPr>
          <w:rStyle w:val="StyleUnderline"/>
        </w:rPr>
        <w:t xml:space="preserve">) subsequently </w:t>
      </w:r>
      <w:r w:rsidRPr="00943198">
        <w:rPr>
          <w:rStyle w:val="StyleUnderline"/>
          <w:highlight w:val="green"/>
        </w:rPr>
        <w:t>campaigned to unionize the</w:t>
      </w:r>
      <w:r w:rsidRPr="00AD0E9C">
        <w:rPr>
          <w:rStyle w:val="StyleUnderline"/>
        </w:rPr>
        <w:t xml:space="preserve"> Navajo Area Indian Health Service (</w:t>
      </w:r>
      <w:r w:rsidRPr="00943198">
        <w:rPr>
          <w:rStyle w:val="StyleUnderline"/>
          <w:highlight w:val="green"/>
        </w:rPr>
        <w:t>IHS</w:t>
      </w:r>
      <w:r w:rsidRPr="00AD0E9C">
        <w:rPr>
          <w:rStyle w:val="StyleUnderline"/>
        </w:rPr>
        <w:t>).</w:t>
      </w:r>
      <w:r w:rsidRPr="001E3508">
        <w:t>143</w:t>
      </w:r>
      <w:r w:rsidRPr="00AD0E9C">
        <w:t> The IHS — unlike many tribal enterprises — employs a majority Native workforce.</w:t>
      </w:r>
      <w:r w:rsidRPr="001E3508">
        <w:t>144</w:t>
      </w:r>
      <w:r w:rsidRPr="00AD0E9C">
        <w:t> </w:t>
      </w:r>
      <w:r w:rsidRPr="00943198">
        <w:rPr>
          <w:rStyle w:val="StyleUnderline"/>
          <w:highlight w:val="green"/>
        </w:rPr>
        <w:t>The union</w:t>
      </w:r>
      <w:r w:rsidRPr="00AD0E9C">
        <w:rPr>
          <w:rStyle w:val="StyleUnderline"/>
        </w:rPr>
        <w:t xml:space="preserve"> therefore </w:t>
      </w:r>
      <w:r w:rsidRPr="00943198">
        <w:rPr>
          <w:rStyle w:val="StyleUnderline"/>
          <w:highlight w:val="green"/>
        </w:rPr>
        <w:t>served as a tool for</w:t>
      </w:r>
      <w:r w:rsidRPr="00AD0E9C">
        <w:rPr>
          <w:rStyle w:val="StyleUnderline"/>
        </w:rPr>
        <w:t xml:space="preserve"> both </w:t>
      </w:r>
      <w:r w:rsidRPr="00943198">
        <w:rPr>
          <w:rStyle w:val="Emphasis"/>
          <w:highlight w:val="green"/>
        </w:rPr>
        <w:t>improving workplace conditions</w:t>
      </w:r>
      <w:r w:rsidRPr="00943198">
        <w:rPr>
          <w:rStyle w:val="StyleUnderline"/>
          <w:highlight w:val="green"/>
        </w:rPr>
        <w:t xml:space="preserve"> and </w:t>
      </w:r>
      <w:r w:rsidRPr="00943198">
        <w:rPr>
          <w:rStyle w:val="Emphasis"/>
          <w:highlight w:val="green"/>
        </w:rPr>
        <w:t>amplifying</w:t>
      </w:r>
      <w:r w:rsidRPr="00AD0E9C">
        <w:rPr>
          <w:rStyle w:val="Emphasis"/>
        </w:rPr>
        <w:t xml:space="preserve"> the </w:t>
      </w:r>
      <w:r w:rsidRPr="00943198">
        <w:rPr>
          <w:rStyle w:val="Emphasis"/>
          <w:highlight w:val="green"/>
        </w:rPr>
        <w:t>political will of tribal citizens</w:t>
      </w:r>
      <w:r w:rsidRPr="00AD0E9C">
        <w:t>.</w:t>
      </w:r>
      <w:r w:rsidRPr="001E3508">
        <w:t>145</w:t>
      </w:r>
      <w:r w:rsidRPr="00AD0E9C">
        <w:t xml:space="preserve"> Union organizers found that Navajo law presented some advantages over federal law: </w:t>
      </w:r>
      <w:r w:rsidRPr="00AD0E9C">
        <w:rPr>
          <w:rStyle w:val="StyleUnderline"/>
        </w:rPr>
        <w:t xml:space="preserve">Unlike federal law, the Navajo code mandates employer neutrality, thus </w:t>
      </w:r>
      <w:r w:rsidRPr="00AD0E9C">
        <w:rPr>
          <w:rStyle w:val="Emphasis"/>
        </w:rPr>
        <w:t>prohibiting employers from engaging in anti-union campaigns</w:t>
      </w:r>
      <w:r w:rsidRPr="00AD0E9C">
        <w:t>.</w:t>
      </w:r>
      <w:r w:rsidRPr="001E3508">
        <w:t>146</w:t>
      </w:r>
      <w:r w:rsidRPr="00AD0E9C">
        <w:t> </w:t>
      </w:r>
      <w:r w:rsidRPr="00AD0E9C">
        <w:rPr>
          <w:rStyle w:val="StyleUnderline"/>
        </w:rPr>
        <w:t xml:space="preserve">Navajo law also provides for card-check recognition, whereby a union is </w:t>
      </w:r>
      <w:r w:rsidRPr="00AD0E9C">
        <w:rPr>
          <w:rStyle w:val="Emphasis"/>
        </w:rPr>
        <w:t>automatically recognized</w:t>
      </w:r>
      <w:r w:rsidRPr="00AD0E9C">
        <w:rPr>
          <w:rStyle w:val="StyleUnderline"/>
        </w:rPr>
        <w:t xml:space="preserve"> if more than fifty-five percent of workers express support by signing union cards</w:t>
      </w:r>
      <w:r w:rsidRPr="00AD0E9C">
        <w:t>.</w:t>
      </w:r>
      <w:r w:rsidRPr="001E3508">
        <w:t>147</w:t>
      </w:r>
      <w:r w:rsidRPr="00AD0E9C">
        <w:t> </w:t>
      </w:r>
      <w:r w:rsidRPr="00AD0E9C">
        <w:rPr>
          <w:rStyle w:val="StyleUnderline"/>
        </w:rPr>
        <w:t xml:space="preserve">Ultimately, the IHS campaign </w:t>
      </w:r>
      <w:r w:rsidRPr="00943198">
        <w:rPr>
          <w:rStyle w:val="StyleUnderline"/>
          <w:highlight w:val="green"/>
        </w:rPr>
        <w:t xml:space="preserve">yielded a collective bargaining agreement </w:t>
      </w:r>
      <w:r w:rsidRPr="00943198">
        <w:rPr>
          <w:rStyle w:val="Emphasis"/>
          <w:highlight w:val="green"/>
        </w:rPr>
        <w:t>without</w:t>
      </w:r>
      <w:r w:rsidRPr="00AD0E9C">
        <w:rPr>
          <w:rStyle w:val="Emphasis"/>
        </w:rPr>
        <w:t xml:space="preserve"> Board or </w:t>
      </w:r>
      <w:r w:rsidRPr="00943198">
        <w:rPr>
          <w:rStyle w:val="Emphasis"/>
          <w:highlight w:val="green"/>
        </w:rPr>
        <w:t>court involvement</w:t>
      </w:r>
      <w:r w:rsidRPr="00AD0E9C">
        <w:t>.</w:t>
      </w:r>
      <w:r w:rsidRPr="001E3508">
        <w:t>148</w:t>
      </w:r>
    </w:p>
    <w:p w14:paraId="71CF0D5A" w14:textId="77777777" w:rsidR="00C42954" w:rsidRPr="00AD0E9C" w:rsidRDefault="00C42954" w:rsidP="00C42954">
      <w:r w:rsidRPr="00AD0E9C">
        <w:rPr>
          <w:rStyle w:val="StyleUnderline"/>
        </w:rPr>
        <w:t xml:space="preserve">The </w:t>
      </w:r>
      <w:r w:rsidRPr="00943198">
        <w:rPr>
          <w:rStyle w:val="StyleUnderline"/>
          <w:highlight w:val="green"/>
        </w:rPr>
        <w:t>Mashantucket</w:t>
      </w:r>
      <w:r w:rsidRPr="00AD0E9C">
        <w:rPr>
          <w:rStyle w:val="StyleUnderline"/>
        </w:rPr>
        <w:t xml:space="preserve"> Pequot Tribal Nation</w:t>
      </w:r>
      <w:r w:rsidRPr="00AD0E9C">
        <w:t xml:space="preserve"> provides a contrasting example.</w:t>
      </w:r>
      <w:r w:rsidRPr="001E3508">
        <w:t>149</w:t>
      </w:r>
      <w:r w:rsidRPr="00AD0E9C">
        <w:t> In 2007, the United Auto Workers (UAW) won an NLRB-administered election among majority non-Native dealers at Foxwoods Casino.</w:t>
      </w:r>
      <w:r w:rsidRPr="001E3508">
        <w:t>150</w:t>
      </w:r>
      <w:r w:rsidRPr="00AD0E9C">
        <w:t> Earlier that year, in response to both the UAW campaign and the San Manuel decisions, the Tribe, which owns Foxwoods, had promulgated a labor code that was largely hostile to unions.</w:t>
      </w:r>
      <w:r w:rsidRPr="001E3508">
        <w:t>151</w:t>
      </w:r>
      <w:r w:rsidRPr="00AD0E9C">
        <w:t> Following the election, the Tribe unsuccessfully challenged the NLRB’s jurisdiction;</w:t>
      </w:r>
      <w:r w:rsidRPr="001E3508">
        <w:t>152</w:t>
      </w:r>
      <w:r w:rsidRPr="00AD0E9C">
        <w:t xml:space="preserve"> in parallel, </w:t>
      </w:r>
      <w:r w:rsidRPr="00AD0E9C">
        <w:rPr>
          <w:rStyle w:val="StyleUnderline"/>
        </w:rPr>
        <w:t xml:space="preserve">the Tribe and union </w:t>
      </w:r>
      <w:r w:rsidRPr="00AD0E9C">
        <w:rPr>
          <w:rStyle w:val="Emphasis"/>
        </w:rPr>
        <w:t>negotiated</w:t>
      </w:r>
      <w:r w:rsidRPr="00AD0E9C">
        <w:t xml:space="preserve">. </w:t>
      </w:r>
      <w:r w:rsidRPr="00AD0E9C">
        <w:rPr>
          <w:rStyle w:val="StyleUnderline"/>
        </w:rPr>
        <w:t xml:space="preserve">Following this negotiation, the Tribe’s </w:t>
      </w:r>
      <w:r w:rsidRPr="00943198">
        <w:rPr>
          <w:rStyle w:val="StyleUnderline"/>
          <w:highlight w:val="green"/>
        </w:rPr>
        <w:t>labor ordinance</w:t>
      </w:r>
      <w:r w:rsidRPr="00AD0E9C">
        <w:rPr>
          <w:rStyle w:val="StyleUnderline"/>
        </w:rPr>
        <w:t xml:space="preserve"> was </w:t>
      </w:r>
      <w:r w:rsidRPr="00943198">
        <w:rPr>
          <w:rStyle w:val="StyleUnderline"/>
          <w:highlight w:val="green"/>
        </w:rPr>
        <w:t>amended</w:t>
      </w:r>
      <w:r w:rsidRPr="00AD0E9C">
        <w:rPr>
          <w:rStyle w:val="StyleUnderline"/>
        </w:rPr>
        <w:t xml:space="preserve"> both </w:t>
      </w:r>
      <w:r w:rsidRPr="00943198">
        <w:rPr>
          <w:rStyle w:val="StyleUnderline"/>
          <w:highlight w:val="green"/>
        </w:rPr>
        <w:t xml:space="preserve">to allow union </w:t>
      </w:r>
      <w:r w:rsidRPr="00AD0E9C">
        <w:rPr>
          <w:rStyle w:val="StyleUnderline"/>
        </w:rPr>
        <w:t xml:space="preserve">security </w:t>
      </w:r>
      <w:r w:rsidRPr="00943198">
        <w:rPr>
          <w:rStyle w:val="StyleUnderline"/>
          <w:highlight w:val="green"/>
        </w:rPr>
        <w:t>agreements</w:t>
      </w:r>
      <w:r w:rsidRPr="00AD0E9C">
        <w:rPr>
          <w:rStyle w:val="StyleUnderline"/>
        </w:rPr>
        <w:t xml:space="preserve"> for contracts negotiated under tribal law and to establish a neutral third-party dispute resolution procedure</w:t>
      </w:r>
      <w:r w:rsidRPr="00AD0E9C">
        <w:t>.</w:t>
      </w:r>
      <w:r w:rsidRPr="001E3508">
        <w:t>153</w:t>
      </w:r>
      <w:r w:rsidRPr="00AD0E9C">
        <w:t> The ordinance retained its no-strike provision.</w:t>
      </w:r>
      <w:r w:rsidRPr="001E3508">
        <w:t>154</w:t>
      </w:r>
      <w:r w:rsidRPr="00AD0E9C">
        <w:t> </w:t>
      </w:r>
      <w:r w:rsidRPr="00943198">
        <w:rPr>
          <w:rStyle w:val="StyleUnderline"/>
          <w:highlight w:val="green"/>
        </w:rPr>
        <w:t>The result was</w:t>
      </w:r>
      <w:r w:rsidRPr="00AD0E9C">
        <w:rPr>
          <w:rStyle w:val="StyleUnderline"/>
        </w:rPr>
        <w:t xml:space="preserve"> a legal framework resembling many public-sector </w:t>
      </w:r>
      <w:r w:rsidRPr="00943198">
        <w:rPr>
          <w:rStyle w:val="StyleUnderline"/>
          <w:highlight w:val="green"/>
        </w:rPr>
        <w:t xml:space="preserve">collective bargaining laws, </w:t>
      </w:r>
      <w:r w:rsidRPr="00943198">
        <w:rPr>
          <w:rStyle w:val="Emphasis"/>
          <w:highlight w:val="green"/>
        </w:rPr>
        <w:t>without injuring</w:t>
      </w:r>
      <w:r w:rsidRPr="00AD0E9C">
        <w:rPr>
          <w:rStyle w:val="Emphasis"/>
        </w:rPr>
        <w:t xml:space="preserve"> Mashantucket Pequot </w:t>
      </w:r>
      <w:r w:rsidRPr="00943198">
        <w:rPr>
          <w:rStyle w:val="Emphasis"/>
          <w:highlight w:val="green"/>
        </w:rPr>
        <w:t>sovereignty</w:t>
      </w:r>
      <w:r w:rsidRPr="00AD0E9C">
        <w:rPr>
          <w:rStyle w:val="Emphasis"/>
        </w:rPr>
        <w:t>.</w:t>
      </w:r>
      <w:r w:rsidRPr="001E3508">
        <w:t>155</w:t>
      </w:r>
      <w:r w:rsidRPr="00AD0E9C">
        <w:t> </w:t>
      </w:r>
      <w:r w:rsidRPr="00AD0E9C">
        <w:rPr>
          <w:rStyle w:val="StyleUnderline"/>
        </w:rPr>
        <w:t xml:space="preserve">At least </w:t>
      </w:r>
      <w:r w:rsidRPr="00AD0E9C">
        <w:rPr>
          <w:rStyle w:val="Emphasis"/>
        </w:rPr>
        <w:t>three</w:t>
      </w:r>
      <w:r w:rsidRPr="00AD0E9C">
        <w:rPr>
          <w:rStyle w:val="StyleUnderline"/>
        </w:rPr>
        <w:t xml:space="preserve"> unions have since organized under Mashantucket Pequot law.</w:t>
      </w:r>
      <w:r w:rsidRPr="001E3508">
        <w:t>156</w:t>
      </w:r>
    </w:p>
    <w:p w14:paraId="2F40239E" w14:textId="77777777" w:rsidR="00C42954" w:rsidRPr="00AD0E9C" w:rsidRDefault="00C42954" w:rsidP="00C42954">
      <w:pPr>
        <w:rPr>
          <w:rStyle w:val="Emphasis"/>
        </w:rPr>
      </w:pPr>
      <w:r w:rsidRPr="00AD0E9C">
        <w:t xml:space="preserve">California’s IGRA compacting process has created a third example of how Native nations may regulate tribal labor relations. </w:t>
      </w:r>
      <w:r w:rsidRPr="00AD0E9C">
        <w:rPr>
          <w:rStyle w:val="StyleUnderline"/>
        </w:rPr>
        <w:t xml:space="preserve">Many </w:t>
      </w:r>
      <w:r w:rsidRPr="00943198">
        <w:rPr>
          <w:rStyle w:val="StyleUnderline"/>
          <w:highlight w:val="green"/>
        </w:rPr>
        <w:t>Native nations in California</w:t>
      </w:r>
      <w:r w:rsidRPr="00AD0E9C">
        <w:rPr>
          <w:rStyle w:val="StyleUnderline"/>
        </w:rPr>
        <w:t xml:space="preserve"> have </w:t>
      </w:r>
      <w:r w:rsidRPr="00943198">
        <w:rPr>
          <w:rStyle w:val="StyleUnderline"/>
          <w:highlight w:val="green"/>
        </w:rPr>
        <w:t>adopted</w:t>
      </w:r>
      <w:r w:rsidRPr="00AD0E9C">
        <w:rPr>
          <w:rStyle w:val="StyleUnderline"/>
        </w:rPr>
        <w:t xml:space="preserve"> tribal labor relations ordinances (</w:t>
      </w:r>
      <w:r w:rsidRPr="00943198">
        <w:rPr>
          <w:rStyle w:val="StyleUnderline"/>
          <w:highlight w:val="green"/>
        </w:rPr>
        <w:t>TLROs</w:t>
      </w:r>
      <w:r w:rsidRPr="00AD0E9C">
        <w:rPr>
          <w:rStyle w:val="StyleUnderline"/>
        </w:rPr>
        <w:t>) as a condition of their gaming compacts negotiated with the state.</w:t>
      </w:r>
      <w:r w:rsidRPr="001E3508">
        <w:t>157</w:t>
      </w:r>
      <w:r w:rsidRPr="00AD0E9C">
        <w:t> TLROs promulgated in response to compacting provide an interesting model of what Professor David Kamper calls “interdependent self-determination,”</w:t>
      </w:r>
      <w:r w:rsidRPr="001E3508">
        <w:t>158</w:t>
      </w:r>
      <w:r w:rsidRPr="00AD0E9C">
        <w:t xml:space="preserve"> as compacting </w:t>
      </w:r>
      <w:r w:rsidRPr="00943198">
        <w:rPr>
          <w:rStyle w:val="StyleUnderline"/>
          <w:highlight w:val="green"/>
        </w:rPr>
        <w:t xml:space="preserve">requires unions and Native governments </w:t>
      </w:r>
      <w:r w:rsidRPr="00AD0E9C">
        <w:rPr>
          <w:rStyle w:val="StyleUnderline"/>
        </w:rPr>
        <w:t xml:space="preserve">to </w:t>
      </w:r>
      <w:r w:rsidRPr="00AD0E9C">
        <w:rPr>
          <w:rStyle w:val="Emphasis"/>
        </w:rPr>
        <w:t>work together</w:t>
      </w:r>
      <w:r w:rsidRPr="00AD0E9C">
        <w:rPr>
          <w:rStyle w:val="StyleUnderline"/>
        </w:rPr>
        <w:t xml:space="preserve"> </w:t>
      </w:r>
      <w:r w:rsidRPr="00943198">
        <w:rPr>
          <w:rStyle w:val="StyleUnderline"/>
          <w:highlight w:val="green"/>
        </w:rPr>
        <w:t xml:space="preserve">to </w:t>
      </w:r>
      <w:r w:rsidRPr="00943198">
        <w:rPr>
          <w:rStyle w:val="Emphasis"/>
          <w:highlight w:val="green"/>
        </w:rPr>
        <w:t xml:space="preserve">build a labor-relations </w:t>
      </w:r>
      <w:r w:rsidRPr="00AD0E9C">
        <w:rPr>
          <w:rStyle w:val="Emphasis"/>
        </w:rPr>
        <w:t>framework</w:t>
      </w:r>
      <w:r w:rsidRPr="00AD0E9C">
        <w:rPr>
          <w:rStyle w:val="StyleUnderline"/>
        </w:rPr>
        <w:t xml:space="preserve"> that is </w:t>
      </w:r>
      <w:r w:rsidRPr="00943198">
        <w:rPr>
          <w:rStyle w:val="Emphasis"/>
          <w:highlight w:val="green"/>
        </w:rPr>
        <w:t xml:space="preserve">rooted in Native </w:t>
      </w:r>
      <w:r w:rsidRPr="00AD0E9C">
        <w:rPr>
          <w:rStyle w:val="Emphasis"/>
        </w:rPr>
        <w:t xml:space="preserve">sovereign </w:t>
      </w:r>
      <w:r w:rsidRPr="00943198">
        <w:rPr>
          <w:rStyle w:val="Emphasis"/>
          <w:highlight w:val="green"/>
        </w:rPr>
        <w:t>power</w:t>
      </w:r>
      <w:r w:rsidRPr="00AD0E9C">
        <w:t xml:space="preserve">. In some cases, the resulting ordinances </w:t>
      </w:r>
      <w:r w:rsidRPr="00AD0E9C">
        <w:rPr>
          <w:rStyle w:val="StyleUnderline"/>
        </w:rPr>
        <w:t xml:space="preserve">are </w:t>
      </w:r>
      <w:r w:rsidRPr="00AD0E9C">
        <w:rPr>
          <w:rStyle w:val="Emphasis"/>
        </w:rPr>
        <w:t>more friendly</w:t>
      </w:r>
      <w:r w:rsidRPr="00AD0E9C">
        <w:rPr>
          <w:rStyle w:val="StyleUnderline"/>
        </w:rPr>
        <w:t xml:space="preserve"> to labor than many state labor laws</w:t>
      </w:r>
      <w:r w:rsidRPr="00AD0E9C">
        <w:t>. Although the model California TLRO prohibits most strikes, it allows them when collective bargaining has reached an impasse.</w:t>
      </w:r>
      <w:r w:rsidRPr="001E3508">
        <w:t>159</w:t>
      </w:r>
      <w:r w:rsidRPr="00AD0E9C">
        <w:t> In these cases, the TLRO also permits secondary boycotting — thus offering protection beyond that offered by the NLRA.</w:t>
      </w:r>
      <w:r w:rsidRPr="001E3508">
        <w:t>160</w:t>
      </w:r>
      <w:r w:rsidRPr="00AD0E9C">
        <w:t> The San Manuel ordinance authorizes unions to negotiate subjects beyond the “terms and conditions of employment,”</w:t>
      </w:r>
      <w:r w:rsidRPr="001E3508">
        <w:t>161</w:t>
      </w:r>
      <w:r w:rsidRPr="00AD0E9C">
        <w:t xml:space="preserve"> and </w:t>
      </w:r>
      <w:r w:rsidRPr="00943198">
        <w:rPr>
          <w:rStyle w:val="StyleUnderline"/>
          <w:highlight w:val="green"/>
        </w:rPr>
        <w:t>the</w:t>
      </w:r>
      <w:r w:rsidRPr="00AD0E9C">
        <w:rPr>
          <w:rStyle w:val="StyleUnderline"/>
        </w:rPr>
        <w:t xml:space="preserve"> Tribe’s gaming </w:t>
      </w:r>
      <w:r w:rsidRPr="00943198">
        <w:rPr>
          <w:rStyle w:val="StyleUnderline"/>
          <w:highlight w:val="green"/>
        </w:rPr>
        <w:t xml:space="preserve">compact </w:t>
      </w:r>
      <w:r w:rsidRPr="00943198">
        <w:rPr>
          <w:rStyle w:val="Emphasis"/>
          <w:highlight w:val="green"/>
        </w:rPr>
        <w:t>prohibited discrimination on the basis of sexual orientation before federal law did</w:t>
      </w:r>
      <w:r w:rsidRPr="00AD0E9C">
        <w:t>.</w:t>
      </w:r>
      <w:r w:rsidRPr="001E3508">
        <w:t>162</w:t>
      </w:r>
      <w:r w:rsidRPr="00AD0E9C">
        <w:t> California’s TLROs have been criticized by champions of sovereignty.</w:t>
      </w:r>
      <w:r w:rsidRPr="001E3508">
        <w:t>163</w:t>
      </w:r>
      <w:r w:rsidRPr="00AD0E9C">
        <w:t xml:space="preserve"> But </w:t>
      </w:r>
      <w:r w:rsidRPr="00AD0E9C">
        <w:rPr>
          <w:rStyle w:val="StyleUnderline"/>
        </w:rPr>
        <w:t xml:space="preserve">the underlying principle of encouraging the promulgation of tribal labor law through the compacting process presents a </w:t>
      </w:r>
      <w:r w:rsidRPr="00AD0E9C">
        <w:rPr>
          <w:rStyle w:val="Emphasis"/>
        </w:rPr>
        <w:t>promising model of interdependent self-determination.</w:t>
      </w:r>
    </w:p>
    <w:p w14:paraId="4AA329DB" w14:textId="77777777" w:rsidR="00C42954" w:rsidRPr="00AD0E9C" w:rsidRDefault="00C42954" w:rsidP="00C42954">
      <w:pPr>
        <w:rPr>
          <w:rStyle w:val="Emphasis"/>
        </w:rPr>
      </w:pPr>
      <w:r w:rsidRPr="00AD0E9C">
        <w:t xml:space="preserve">As the California and Mashantucket Pequot examples illustrate, many tribal labor codes are promulgated in response to ongoing union organizing. As a result, </w:t>
      </w:r>
      <w:r w:rsidRPr="00943198">
        <w:rPr>
          <w:rStyle w:val="StyleUnderline"/>
          <w:highlight w:val="green"/>
        </w:rPr>
        <w:t>these codes</w:t>
      </w:r>
      <w:r w:rsidRPr="00AD0E9C">
        <w:rPr>
          <w:rStyle w:val="StyleUnderline"/>
        </w:rPr>
        <w:t xml:space="preserve">, </w:t>
      </w:r>
      <w:r w:rsidRPr="00AD0E9C">
        <w:rPr>
          <w:rStyle w:val="Emphasis"/>
        </w:rPr>
        <w:t>unlike state and federal laws</w:t>
      </w:r>
      <w:r w:rsidRPr="00AD0E9C">
        <w:rPr>
          <w:rStyle w:val="StyleUnderline"/>
        </w:rPr>
        <w:t xml:space="preserve">, </w:t>
      </w:r>
      <w:r w:rsidRPr="00943198">
        <w:rPr>
          <w:rStyle w:val="StyleUnderline"/>
          <w:highlight w:val="green"/>
        </w:rPr>
        <w:t xml:space="preserve">arise out of </w:t>
      </w:r>
      <w:r w:rsidRPr="00AD0E9C">
        <w:rPr>
          <w:rStyle w:val="StyleUnderline"/>
        </w:rPr>
        <w:t xml:space="preserve">both </w:t>
      </w:r>
      <w:r w:rsidRPr="00AD0E9C">
        <w:rPr>
          <w:rStyle w:val="Emphasis"/>
        </w:rPr>
        <w:t>explicit</w:t>
      </w:r>
      <w:r w:rsidRPr="00AD0E9C">
        <w:rPr>
          <w:rStyle w:val="StyleUnderline"/>
        </w:rPr>
        <w:t xml:space="preserve"> and </w:t>
      </w:r>
      <w:r w:rsidRPr="00AD0E9C">
        <w:rPr>
          <w:rStyle w:val="Emphasis"/>
        </w:rPr>
        <w:t>implicit</w:t>
      </w:r>
      <w:r w:rsidRPr="00AD0E9C">
        <w:rPr>
          <w:rStyle w:val="StyleUnderline"/>
        </w:rPr>
        <w:t xml:space="preserve"> </w:t>
      </w:r>
      <w:r w:rsidRPr="00943198">
        <w:rPr>
          <w:rStyle w:val="StyleUnderline"/>
          <w:highlight w:val="green"/>
        </w:rPr>
        <w:t xml:space="preserve">negotiations over </w:t>
      </w:r>
      <w:r w:rsidRPr="00943198">
        <w:rPr>
          <w:rStyle w:val="Emphasis"/>
          <w:highlight w:val="green"/>
        </w:rPr>
        <w:t>jurisdiction, sovereignty, and worker power</w:t>
      </w:r>
      <w:r w:rsidRPr="00AD0E9C">
        <w:t xml:space="preserve">. </w:t>
      </w:r>
      <w:r w:rsidRPr="00AD0E9C">
        <w:rPr>
          <w:rStyle w:val="StyleUnderline"/>
        </w:rPr>
        <w:t xml:space="preserve">This context </w:t>
      </w:r>
      <w:r w:rsidRPr="00943198">
        <w:rPr>
          <w:rStyle w:val="StyleUnderline"/>
          <w:highlight w:val="green"/>
        </w:rPr>
        <w:t xml:space="preserve">provides an </w:t>
      </w:r>
      <w:r w:rsidRPr="00943198">
        <w:rPr>
          <w:rStyle w:val="Emphasis"/>
          <w:highlight w:val="green"/>
        </w:rPr>
        <w:t>opportunity for worker advocates and tribal governments to engage in collaborative lawmaking</w:t>
      </w:r>
      <w:r w:rsidRPr="00AD0E9C">
        <w:rPr>
          <w:rStyle w:val="StyleUnderline"/>
        </w:rPr>
        <w:t xml:space="preserve">, moving away from the “negative” approach identified by Guss and </w:t>
      </w:r>
      <w:r w:rsidRPr="00AD0E9C">
        <w:rPr>
          <w:rStyle w:val="Emphasis"/>
        </w:rPr>
        <w:t>toward a positive, interdependent approach</w:t>
      </w:r>
      <w:r w:rsidRPr="00AD0E9C">
        <w:rPr>
          <w:rStyle w:val="StyleUnderline"/>
        </w:rPr>
        <w:t xml:space="preserve"> to power-building </w:t>
      </w:r>
      <w:r w:rsidRPr="00943198">
        <w:rPr>
          <w:rStyle w:val="StyleUnderline"/>
          <w:highlight w:val="green"/>
        </w:rPr>
        <w:t>that</w:t>
      </w:r>
      <w:r w:rsidRPr="00AD0E9C">
        <w:rPr>
          <w:rStyle w:val="StyleUnderline"/>
        </w:rPr>
        <w:t xml:space="preserve"> </w:t>
      </w:r>
      <w:r w:rsidRPr="00AD0E9C">
        <w:rPr>
          <w:rStyle w:val="Emphasis"/>
        </w:rPr>
        <w:t xml:space="preserve">better </w:t>
      </w:r>
      <w:r w:rsidRPr="00943198">
        <w:rPr>
          <w:rStyle w:val="Emphasis"/>
          <w:highlight w:val="green"/>
        </w:rPr>
        <w:t>serves</w:t>
      </w:r>
      <w:r w:rsidRPr="00AD0E9C">
        <w:rPr>
          <w:rStyle w:val="Emphasis"/>
        </w:rPr>
        <w:t xml:space="preserve"> both </w:t>
      </w:r>
      <w:r w:rsidRPr="00943198">
        <w:rPr>
          <w:rStyle w:val="Emphasis"/>
          <w:highlight w:val="green"/>
        </w:rPr>
        <w:t>workers and sovereignty</w:t>
      </w:r>
      <w:r w:rsidRPr="00AD0E9C">
        <w:t>.</w:t>
      </w:r>
      <w:r w:rsidRPr="001E3508">
        <w:t>164</w:t>
      </w:r>
      <w:r w:rsidRPr="00AD0E9C">
        <w:t> Against the backdrop of a legal landscape that is hostile to tribal jurisdiction over labor relations, unions may voluntarily recognize a tribal government’s authority to gain bargaining power in tribal enterprises.</w:t>
      </w:r>
      <w:r w:rsidRPr="001E3508">
        <w:t>165</w:t>
      </w:r>
      <w:r w:rsidRPr="00AD0E9C">
        <w:t xml:space="preserve"> On the other hand, if, as this Note argues, tribal enterprises are not employers under the NLRA, </w:t>
      </w:r>
      <w:r w:rsidRPr="00AD0E9C">
        <w:rPr>
          <w:rStyle w:val="StyleUnderline"/>
        </w:rPr>
        <w:t xml:space="preserve">the </w:t>
      </w:r>
      <w:r w:rsidRPr="00AD0E9C">
        <w:rPr>
          <w:rStyle w:val="Emphasis"/>
        </w:rPr>
        <w:t>absence</w:t>
      </w:r>
      <w:r w:rsidRPr="00AD0E9C">
        <w:rPr>
          <w:rStyle w:val="StyleUnderline"/>
        </w:rPr>
        <w:t xml:space="preserve"> of federal law </w:t>
      </w:r>
      <w:r w:rsidRPr="00943198">
        <w:rPr>
          <w:rStyle w:val="StyleUnderline"/>
          <w:highlight w:val="green"/>
        </w:rPr>
        <w:t>allows Native nations to build systems that</w:t>
      </w:r>
      <w:r w:rsidRPr="00AD0E9C">
        <w:rPr>
          <w:rStyle w:val="StyleUnderline"/>
        </w:rPr>
        <w:t xml:space="preserve"> </w:t>
      </w:r>
      <w:r w:rsidRPr="00AD0E9C">
        <w:rPr>
          <w:rStyle w:val="Emphasis"/>
        </w:rPr>
        <w:t xml:space="preserve">better </w:t>
      </w:r>
      <w:r w:rsidRPr="00943198">
        <w:rPr>
          <w:rStyle w:val="Emphasis"/>
          <w:highlight w:val="green"/>
        </w:rPr>
        <w:t>support workers.</w:t>
      </w:r>
    </w:p>
    <w:p w14:paraId="70899F02" w14:textId="77777777" w:rsidR="00C42954" w:rsidRPr="00AD0E9C" w:rsidRDefault="00C42954" w:rsidP="00C42954">
      <w:r w:rsidRPr="00AD0E9C">
        <w:t>Scholars have argued that the NLRA is inadequate to protect efforts to build worker power.</w:t>
      </w:r>
      <w:r w:rsidRPr="001E3508">
        <w:t>166</w:t>
      </w:r>
      <w:r w:rsidRPr="00AD0E9C">
        <w:t> Professors Sharon Block and Benjamin Sachs have called for a “clean slate” for labor law.</w:t>
      </w:r>
      <w:r w:rsidRPr="001E3508">
        <w:t>167</w:t>
      </w:r>
      <w:r w:rsidRPr="00AD0E9C">
        <w:t> Tribal labor regulation presents just such a clean slate. Several of the Clean Slate proposals have already been implemented in tribal labor codes, including improved organizer access to workers,</w:t>
      </w:r>
      <w:r w:rsidRPr="001E3508">
        <w:t>168</w:t>
      </w:r>
      <w:r w:rsidRPr="00AD0E9C">
        <w:t> card-check recognition,</w:t>
      </w:r>
      <w:r w:rsidRPr="001E3508">
        <w:t>169</w:t>
      </w:r>
      <w:r w:rsidRPr="00AD0E9C">
        <w:t> and an expanded range of bargaining subjects.</w:t>
      </w:r>
      <w:r w:rsidRPr="001E3508">
        <w:t>170</w:t>
      </w:r>
      <w:r w:rsidRPr="00AD0E9C">
        <w:t> The resolution of labor disputes under tribal jurisdiction also benefits from small dockets and culturally specific alternative dispute resolution mechanisms.</w:t>
      </w:r>
      <w:r w:rsidRPr="001E3508">
        <w:t>171</w:t>
      </w:r>
    </w:p>
    <w:p w14:paraId="6AA5F181" w14:textId="77777777" w:rsidR="00C42954" w:rsidRPr="00AD0E9C" w:rsidRDefault="00C42954" w:rsidP="00C42954">
      <w:r w:rsidRPr="00AD0E9C">
        <w:rPr>
          <w:rStyle w:val="StyleUnderline"/>
        </w:rPr>
        <w:t xml:space="preserve">Federal labor law’s inadequacy as a tool for building worker power therefore </w:t>
      </w:r>
      <w:r w:rsidRPr="00AD0E9C">
        <w:rPr>
          <w:rStyle w:val="Emphasis"/>
        </w:rPr>
        <w:t>grants Native governments their own positive leverage</w:t>
      </w:r>
      <w:r w:rsidRPr="00AD0E9C">
        <w:t xml:space="preserve"> — not the implicit threat that accompanies the lack of NLRB jurisdiction, but the promise of a better alternative. It is this promise of a better alternative that Professor Scott Lyons had in mind when, shortly after San Manuel, he called on Native nations to “head [the Board] off at the pass and develop even stronger labor laws and worker protections — that is, stronger unions — than what the Americans currently enjoy. Make Indian enterprises the envy of workers everywhere.”</w:t>
      </w:r>
      <w:r w:rsidRPr="001E3508">
        <w:t>172</w:t>
      </w:r>
    </w:p>
    <w:p w14:paraId="7B2EE3B6" w14:textId="77777777" w:rsidR="00C42954" w:rsidRPr="00AD0E9C" w:rsidRDefault="00C42954" w:rsidP="00C42954">
      <w:r w:rsidRPr="00AD0E9C">
        <w:t>B. Reinforcing Sovereignty as an Act of Solidarity</w:t>
      </w:r>
    </w:p>
    <w:p w14:paraId="50E2B500" w14:textId="77777777" w:rsidR="00C42954" w:rsidRPr="00AD0E9C" w:rsidRDefault="00C42954" w:rsidP="00C42954">
      <w:r w:rsidRPr="00AD0E9C">
        <w:t xml:space="preserve">Realizing Professor Lyons’s vision requires cooperation from both Native nations and labor activists. Outside of the United States, some </w:t>
      </w:r>
      <w:r w:rsidRPr="00943198">
        <w:rPr>
          <w:rStyle w:val="StyleUnderline"/>
          <w:highlight w:val="green"/>
        </w:rPr>
        <w:t>unions and indigenous</w:t>
      </w:r>
      <w:r w:rsidRPr="00AD0E9C">
        <w:rPr>
          <w:rStyle w:val="StyleUnderline"/>
        </w:rPr>
        <w:t xml:space="preserve"> groups have </w:t>
      </w:r>
      <w:r w:rsidRPr="00943198">
        <w:rPr>
          <w:rStyle w:val="StyleUnderline"/>
          <w:highlight w:val="green"/>
        </w:rPr>
        <w:t xml:space="preserve">come together as </w:t>
      </w:r>
      <w:r w:rsidRPr="00943198">
        <w:rPr>
          <w:rStyle w:val="Emphasis"/>
          <w:highlight w:val="green"/>
        </w:rPr>
        <w:t>allies</w:t>
      </w:r>
      <w:r w:rsidRPr="00943198">
        <w:rPr>
          <w:rStyle w:val="StyleUnderline"/>
          <w:highlight w:val="green"/>
        </w:rPr>
        <w:t xml:space="preserve"> in </w:t>
      </w:r>
      <w:r w:rsidRPr="00943198">
        <w:rPr>
          <w:rStyle w:val="Emphasis"/>
          <w:highlight w:val="green"/>
        </w:rPr>
        <w:t>combating</w:t>
      </w:r>
      <w:r w:rsidRPr="00AD0E9C">
        <w:rPr>
          <w:rStyle w:val="StyleUnderline"/>
        </w:rPr>
        <w:t xml:space="preserve"> the harms of </w:t>
      </w:r>
      <w:r w:rsidRPr="00943198">
        <w:rPr>
          <w:rStyle w:val="Emphasis"/>
          <w:highlight w:val="green"/>
        </w:rPr>
        <w:t>capitalism</w:t>
      </w:r>
      <w:r w:rsidRPr="00943198">
        <w:rPr>
          <w:rStyle w:val="StyleUnderline"/>
          <w:highlight w:val="green"/>
        </w:rPr>
        <w:t xml:space="preserve"> and </w:t>
      </w:r>
      <w:r w:rsidRPr="00943198">
        <w:rPr>
          <w:rStyle w:val="Emphasis"/>
          <w:highlight w:val="green"/>
        </w:rPr>
        <w:t>settler colonialism</w:t>
      </w:r>
      <w:r w:rsidRPr="00943198">
        <w:rPr>
          <w:rStyle w:val="StyleUnderline"/>
          <w:highlight w:val="green"/>
        </w:rPr>
        <w:t xml:space="preserve">, recognizing the </w:t>
      </w:r>
      <w:r w:rsidRPr="00943198">
        <w:rPr>
          <w:rStyle w:val="Emphasis"/>
          <w:highlight w:val="green"/>
        </w:rPr>
        <w:t>shared mission</w:t>
      </w:r>
      <w:r w:rsidRPr="00943198">
        <w:rPr>
          <w:rStyle w:val="StyleUnderline"/>
          <w:highlight w:val="green"/>
        </w:rPr>
        <w:t xml:space="preserve"> of unions and indigenous communities </w:t>
      </w:r>
      <w:r w:rsidRPr="00943198">
        <w:rPr>
          <w:rStyle w:val="Emphasis"/>
          <w:highlight w:val="green"/>
        </w:rPr>
        <w:t>as power-building institutions</w:t>
      </w:r>
      <w:r w:rsidRPr="00AD0E9C">
        <w:t>.</w:t>
      </w:r>
      <w:r w:rsidRPr="001E3508">
        <w:t>173</w:t>
      </w:r>
      <w:r w:rsidRPr="00AD0E9C">
        <w:t> </w:t>
      </w:r>
      <w:r w:rsidRPr="00943198">
        <w:rPr>
          <w:rStyle w:val="StyleUnderline"/>
          <w:highlight w:val="green"/>
        </w:rPr>
        <w:t xml:space="preserve">Solidarity is </w:t>
      </w:r>
      <w:r w:rsidRPr="00943198">
        <w:rPr>
          <w:rStyle w:val="Emphasis"/>
          <w:highlight w:val="green"/>
        </w:rPr>
        <w:t>the core</w:t>
      </w:r>
      <w:r w:rsidRPr="00AD0E9C">
        <w:rPr>
          <w:rStyle w:val="Emphasis"/>
        </w:rPr>
        <w:t xml:space="preserve"> value</w:t>
      </w:r>
      <w:r w:rsidRPr="00AD0E9C">
        <w:rPr>
          <w:rStyle w:val="StyleUnderline"/>
        </w:rPr>
        <w:t xml:space="preserve"> </w:t>
      </w:r>
      <w:r w:rsidRPr="00AD0E9C">
        <w:t>of the labor movement; a motivating sentiment of organized labor is the conviction that “[a]n injury to one is an injury to all.”</w:t>
      </w:r>
      <w:r w:rsidRPr="001E3508">
        <w:t>174</w:t>
      </w:r>
    </w:p>
    <w:p w14:paraId="2446B2D1" w14:textId="77777777" w:rsidR="00C42954" w:rsidRPr="00AD0E9C" w:rsidRDefault="00C42954" w:rsidP="00C42954">
      <w:r w:rsidRPr="00AD0E9C">
        <w:t>This value is not always reflected in American unions’ relationships to Native nations. Using language that echoes countless employer reactions to union campaigns,</w:t>
      </w:r>
      <w:r w:rsidRPr="001E3508">
        <w:t>175</w:t>
      </w:r>
      <w:r w:rsidRPr="00AD0E9C">
        <w:t> the AFL-CIO has stated that it supports “the principle of sovereignty” for Native nations while advocating for the United States government to assert control over tribal-labor relations.</w:t>
      </w:r>
      <w:r w:rsidRPr="001E3508">
        <w:t>176</w:t>
      </w:r>
      <w:r w:rsidRPr="00AD0E9C">
        <w:t> Twenty-first-century American unions have positioned themselves as tools for combating racist power structures.</w:t>
      </w:r>
      <w:r w:rsidRPr="001E3508">
        <w:t>177</w:t>
      </w:r>
      <w:r w:rsidRPr="00AD0E9C">
        <w:t> Yet even as Native income per capita is less than half of the national average,</w:t>
      </w:r>
      <w:r w:rsidRPr="001E3508">
        <w:t>178</w:t>
      </w:r>
      <w:r w:rsidRPr="00AD0E9C">
        <w:t> unions have exploited fears of “rich Indians” to garner support from non-Native workers.</w:t>
      </w:r>
      <w:r w:rsidRPr="001E3508">
        <w:t>179</w:t>
      </w:r>
      <w:r w:rsidRPr="00AD0E9C">
        <w:t> And unions, through litigation, have encouraged and benefited from courts’ racist preconceptions of “Indianness” in setting the boundaries of acceptable exercises of sovereign power.</w:t>
      </w:r>
      <w:r w:rsidRPr="001E3508">
        <w:t>180</w:t>
      </w:r>
    </w:p>
    <w:p w14:paraId="4746D265" w14:textId="77777777" w:rsidR="00C42954" w:rsidRPr="00AD0E9C" w:rsidRDefault="00C42954" w:rsidP="00C42954">
      <w:r w:rsidRPr="00AD0E9C">
        <w:t xml:space="preserve">It does not serve the mission of the labor movement to benefit from these wrongs. </w:t>
      </w:r>
      <w:r w:rsidRPr="00AD0E9C">
        <w:rPr>
          <w:rStyle w:val="StyleUnderline"/>
        </w:rPr>
        <w:t xml:space="preserve">As union leaders and labor activists fight for a world in which power is redistributed away from the hands of the few, </w:t>
      </w:r>
      <w:r w:rsidRPr="00943198">
        <w:rPr>
          <w:rStyle w:val="StyleUnderline"/>
          <w:highlight w:val="green"/>
        </w:rPr>
        <w:t xml:space="preserve">solidarity </w:t>
      </w:r>
      <w:r w:rsidRPr="00943198">
        <w:rPr>
          <w:rStyle w:val="Emphasis"/>
          <w:highlight w:val="green"/>
        </w:rPr>
        <w:t>requires</w:t>
      </w:r>
      <w:r w:rsidRPr="00AD0E9C">
        <w:rPr>
          <w:rStyle w:val="StyleUnderline"/>
        </w:rPr>
        <w:t xml:space="preserve"> that those </w:t>
      </w:r>
      <w:r w:rsidRPr="00943198">
        <w:rPr>
          <w:rStyle w:val="StyleUnderline"/>
          <w:highlight w:val="green"/>
        </w:rPr>
        <w:t>efforts</w:t>
      </w:r>
      <w:r w:rsidRPr="00AD0E9C">
        <w:rPr>
          <w:rStyle w:val="StyleUnderline"/>
        </w:rPr>
        <w:t xml:space="preserve"> be </w:t>
      </w:r>
      <w:r w:rsidRPr="00943198">
        <w:rPr>
          <w:rStyle w:val="StyleUnderline"/>
          <w:highlight w:val="green"/>
        </w:rPr>
        <w:t xml:space="preserve">situated within </w:t>
      </w:r>
      <w:r w:rsidRPr="00943198">
        <w:rPr>
          <w:rStyle w:val="Emphasis"/>
          <w:highlight w:val="green"/>
        </w:rPr>
        <w:t>the broader context of genocide</w:t>
      </w:r>
      <w:r w:rsidRPr="00AD0E9C">
        <w:rPr>
          <w:rStyle w:val="Emphasis"/>
        </w:rPr>
        <w:t xml:space="preserve">, systematic </w:t>
      </w:r>
      <w:r w:rsidRPr="00943198">
        <w:rPr>
          <w:rStyle w:val="Emphasis"/>
          <w:highlight w:val="green"/>
        </w:rPr>
        <w:t>dispossession, and</w:t>
      </w:r>
      <w:r w:rsidRPr="00AD0E9C">
        <w:rPr>
          <w:rStyle w:val="Emphasis"/>
        </w:rPr>
        <w:t xml:space="preserve"> the </w:t>
      </w:r>
      <w:r w:rsidRPr="00943198">
        <w:rPr>
          <w:rStyle w:val="Emphasis"/>
          <w:highlight w:val="green"/>
        </w:rPr>
        <w:t>destruction of Native sovereignty</w:t>
      </w:r>
      <w:r w:rsidRPr="00AD0E9C">
        <w:t>. When unions approach organizing in the tribal context as a fight over NLRB jurisdiction, they seek to build worker power at the expense of Native self-determination. But power-building is not a zero-sum game. By centering tribal organizing on disputes over Board jurisdiction rather than turning to tribal labor law as a first choice, unions miss the opportunity to engage collaboratively with Native nations to build institutions that better serve both.</w:t>
      </w:r>
    </w:p>
    <w:p w14:paraId="030237B3" w14:textId="77777777" w:rsidR="00C42954" w:rsidRPr="00AD0E9C" w:rsidRDefault="00C42954" w:rsidP="00C42954">
      <w:r w:rsidRPr="00AD0E9C">
        <w:t>Conclusion</w:t>
      </w:r>
    </w:p>
    <w:p w14:paraId="071F7AB0" w14:textId="77777777" w:rsidR="00C42954" w:rsidRPr="00AD0E9C" w:rsidRDefault="00C42954" w:rsidP="00C42954">
      <w:r w:rsidRPr="00AD0E9C">
        <w:t>Union organizing under tribal law is not without complications. First, courts have held that the NLRA has a broad preemptive effect, granting the Board exclusive jurisdiction over matters “arguably” within the protections of the Act.</w:t>
      </w:r>
      <w:r w:rsidRPr="001E3508">
        <w:t>181</w:t>
      </w:r>
      <w:r w:rsidRPr="00AD0E9C">
        <w:t> It is unclear how this doctrine relates to the promulgation of tribal labor ordinances, especially if tribal enterprises are not considered sovereign entities in the eyes of federal law. This question is only lightly addressed in the literature and in the federal courts</w:t>
      </w:r>
      <w:r w:rsidRPr="001E3508">
        <w:t>182</w:t>
      </w:r>
      <w:r w:rsidRPr="00AD0E9C">
        <w:t> and is the subject of future research.</w:t>
      </w:r>
    </w:p>
    <w:p w14:paraId="5DB26F4E" w14:textId="77777777" w:rsidR="00C42954" w:rsidRPr="00AD0E9C" w:rsidRDefault="00C42954" w:rsidP="00C42954">
      <w:r w:rsidRPr="00AD0E9C">
        <w:t>Second, the prospect of relying on tribal adjudication has caused some labor leaders concern. While the interrelationship of tribal enterprises and tribal government is precisely what makes NLRB jurisdiction inappropriate, it also raises the specter of partiality and muddied motivations in administrative and judicial proceedings.</w:t>
      </w:r>
      <w:r w:rsidRPr="001E3508">
        <w:t>183</w:t>
      </w:r>
      <w:r w:rsidRPr="00AD0E9C">
        <w:t> </w:t>
      </w:r>
      <w:r w:rsidRPr="00943198">
        <w:rPr>
          <w:rStyle w:val="StyleUnderline"/>
          <w:highlight w:val="green"/>
        </w:rPr>
        <w:t xml:space="preserve">Native nations are </w:t>
      </w:r>
      <w:r w:rsidRPr="00943198">
        <w:rPr>
          <w:rStyle w:val="Emphasis"/>
          <w:highlight w:val="green"/>
        </w:rPr>
        <w:t>diverse</w:t>
      </w:r>
      <w:r w:rsidRPr="00AD0E9C">
        <w:rPr>
          <w:rStyle w:val="StyleUnderline"/>
        </w:rPr>
        <w:t xml:space="preserve"> and </w:t>
      </w:r>
      <w:r w:rsidRPr="00943198">
        <w:rPr>
          <w:rStyle w:val="StyleUnderline"/>
          <w:highlight w:val="green"/>
        </w:rPr>
        <w:t xml:space="preserve">do not reflect </w:t>
      </w:r>
      <w:r w:rsidRPr="00943198">
        <w:rPr>
          <w:rStyle w:val="Emphasis"/>
          <w:highlight w:val="green"/>
        </w:rPr>
        <w:t>any one mode of governance</w:t>
      </w:r>
      <w:r w:rsidRPr="00AD0E9C">
        <w:t>.</w:t>
      </w:r>
      <w:r w:rsidRPr="001E3508">
        <w:t>184</w:t>
      </w:r>
      <w:r w:rsidRPr="00AD0E9C">
        <w:t> But tribal adjudicators are no less likely to be impartial than are state adjudicators considering disputes involving state employees. Professor Wenona Singel has even suggested that “[t]ribal councils are more likely [than federal tribunals] to be sympathetic to labor interests,” as tribal adjudicators are more likely to come from working class backgrounds.</w:t>
      </w:r>
      <w:r w:rsidRPr="001E3508">
        <w:t>185</w:t>
      </w:r>
      <w:r w:rsidRPr="00AD0E9C">
        <w:t xml:space="preserve"> Finally, </w:t>
      </w:r>
      <w:r w:rsidRPr="00943198">
        <w:rPr>
          <w:rStyle w:val="StyleUnderline"/>
          <w:highlight w:val="green"/>
        </w:rPr>
        <w:t xml:space="preserve">unions and tribal governments may </w:t>
      </w:r>
      <w:r w:rsidRPr="00943198">
        <w:rPr>
          <w:rStyle w:val="Emphasis"/>
          <w:highlight w:val="green"/>
        </w:rPr>
        <w:t>contract</w:t>
      </w:r>
      <w:r w:rsidRPr="00AD0E9C">
        <w:t xml:space="preserve"> around this concern </w:t>
      </w:r>
      <w:r w:rsidRPr="00943198">
        <w:rPr>
          <w:rStyle w:val="Emphasis"/>
          <w:highlight w:val="green"/>
        </w:rPr>
        <w:t>through bargaining</w:t>
      </w:r>
      <w:r w:rsidRPr="00AD0E9C">
        <w:rPr>
          <w:rStyle w:val="StyleUnderline"/>
        </w:rPr>
        <w:t xml:space="preserve">: the UAW 2121 contract, for instance, provides </w:t>
      </w:r>
      <w:r w:rsidRPr="00943198">
        <w:rPr>
          <w:rStyle w:val="StyleUnderline"/>
          <w:highlight w:val="green"/>
        </w:rPr>
        <w:t>for</w:t>
      </w:r>
      <w:r w:rsidRPr="00AD0E9C">
        <w:rPr>
          <w:rStyle w:val="StyleUnderline"/>
        </w:rPr>
        <w:t xml:space="preserve"> the </w:t>
      </w:r>
      <w:r w:rsidRPr="00943198">
        <w:rPr>
          <w:rStyle w:val="Emphasis"/>
          <w:highlight w:val="green"/>
        </w:rPr>
        <w:t>resolution of labor disputes</w:t>
      </w:r>
      <w:r w:rsidRPr="00AD0E9C">
        <w:rPr>
          <w:rStyle w:val="StyleUnderline"/>
        </w:rPr>
        <w:t xml:space="preserve"> through a neutral panel of arbitrators </w:t>
      </w:r>
      <w:r w:rsidRPr="00AD0E9C">
        <w:rPr>
          <w:rStyle w:val="Emphasis"/>
        </w:rPr>
        <w:t>who defer to the Mashantucket Pequot Tribal Council</w:t>
      </w:r>
      <w:r w:rsidRPr="00AD0E9C">
        <w:rPr>
          <w:rStyle w:val="StyleUnderline"/>
        </w:rPr>
        <w:t xml:space="preserve"> only on matters of interpreting Mashantucket Pequot law</w:t>
      </w:r>
      <w:r w:rsidRPr="00AD0E9C">
        <w:t>.</w:t>
      </w:r>
      <w:r w:rsidRPr="001E3508">
        <w:t>186</w:t>
      </w:r>
    </w:p>
    <w:p w14:paraId="2164EB1B" w14:textId="77777777" w:rsidR="00C42954" w:rsidRPr="00AD0E9C" w:rsidRDefault="00C42954" w:rsidP="00C42954">
      <w:r w:rsidRPr="00AD0E9C">
        <w:t>Even worker advocates who are critical of the NLRA may feel anxious about departing into the unknown of tribal labor law; the NLRA is flawed, but it is at least a devil that unions know. Native nations are diverse and will continue to take myriad approaches to promulgating labor laws; some approaches will undoubtedly be restrictive.</w:t>
      </w:r>
      <w:r w:rsidRPr="001E3508">
        <w:t>187</w:t>
      </w:r>
      <w:r w:rsidRPr="00AD0E9C">
        <w:t> This is the inevitable result whenever subnational entities are permitted to function as “laboratories of democracy”</w:t>
      </w:r>
      <w:r w:rsidRPr="001E3508">
        <w:t>188</w:t>
      </w:r>
      <w:r w:rsidRPr="00AD0E9C">
        <w:t> and is equally true when states and cities legislate — yet this variability has not stopped worker advocates from calling for the regulation of labor through those more localized political entities.</w:t>
      </w:r>
      <w:r w:rsidRPr="001E3508">
        <w:t>189</w:t>
      </w:r>
      <w:r w:rsidRPr="00AD0E9C">
        <w:t> If this approach is acceptable when it comes to states and cities, it is acceptable when it comes to tribes.</w:t>
      </w:r>
    </w:p>
    <w:p w14:paraId="379C24F4" w14:textId="77777777" w:rsidR="00C42954" w:rsidRPr="00AD0E9C" w:rsidRDefault="00C42954" w:rsidP="00C42954">
      <w:r w:rsidRPr="00AD0E9C">
        <w:t>* * * * *</w:t>
      </w:r>
    </w:p>
    <w:p w14:paraId="7C427CAE" w14:textId="77777777" w:rsidR="00C42954" w:rsidRPr="000D1F3A" w:rsidRDefault="00C42954" w:rsidP="00C42954">
      <w:pPr>
        <w:rPr>
          <w:b/>
          <w:u w:val="single"/>
        </w:rPr>
      </w:pPr>
      <w:r w:rsidRPr="00AD0E9C">
        <w:t xml:space="preserve">As a matter of federal Indian law, NLRB jurisdiction over tribal enterprises sits on unstable foundations. As a matter of labor policy, approaching tribal union organizing through an NLRA-centric lens undermines both Native sovereignty and the values of the labor movement itself. </w:t>
      </w:r>
      <w:r w:rsidRPr="00AD0E9C">
        <w:rPr>
          <w:rStyle w:val="StyleUnderline"/>
        </w:rPr>
        <w:t>Labor organizers and activists should</w:t>
      </w:r>
      <w:r w:rsidRPr="00AD0E9C">
        <w:t xml:space="preserve"> reject this framework, and instead </w:t>
      </w:r>
      <w:r w:rsidRPr="00943198">
        <w:rPr>
          <w:rStyle w:val="StyleUnderline"/>
          <w:highlight w:val="green"/>
        </w:rPr>
        <w:t xml:space="preserve">seek to </w:t>
      </w:r>
      <w:r w:rsidRPr="00943198">
        <w:rPr>
          <w:rStyle w:val="Emphasis"/>
          <w:highlight w:val="green"/>
        </w:rPr>
        <w:t>build worker power</w:t>
      </w:r>
      <w:r w:rsidRPr="00943198">
        <w:rPr>
          <w:rStyle w:val="StyleUnderline"/>
          <w:highlight w:val="green"/>
        </w:rPr>
        <w:t xml:space="preserve"> while </w:t>
      </w:r>
      <w:r w:rsidRPr="00943198">
        <w:rPr>
          <w:rStyle w:val="Emphasis"/>
          <w:highlight w:val="green"/>
        </w:rPr>
        <w:t>respecting Native sovereignty</w:t>
      </w:r>
      <w:r w:rsidRPr="00943198">
        <w:rPr>
          <w:rStyle w:val="StyleUnderline"/>
          <w:highlight w:val="green"/>
        </w:rPr>
        <w:t xml:space="preserve"> by </w:t>
      </w:r>
      <w:r w:rsidRPr="00943198">
        <w:rPr>
          <w:rStyle w:val="Emphasis"/>
          <w:highlight w:val="green"/>
        </w:rPr>
        <w:t>organizing</w:t>
      </w:r>
      <w:r w:rsidRPr="00943198">
        <w:rPr>
          <w:rStyle w:val="StyleUnderline"/>
          <w:highlight w:val="green"/>
        </w:rPr>
        <w:t xml:space="preserve"> and </w:t>
      </w:r>
      <w:r w:rsidRPr="00943198">
        <w:rPr>
          <w:rStyle w:val="Emphasis"/>
          <w:highlight w:val="green"/>
        </w:rPr>
        <w:t>bargaining</w:t>
      </w:r>
      <w:r w:rsidRPr="00943198">
        <w:rPr>
          <w:rStyle w:val="StyleUnderline"/>
          <w:highlight w:val="green"/>
        </w:rPr>
        <w:t xml:space="preserve"> within</w:t>
      </w:r>
      <w:r w:rsidRPr="00AD0E9C">
        <w:rPr>
          <w:rStyle w:val="StyleUnderline"/>
        </w:rPr>
        <w:t xml:space="preserve"> the parameters of </w:t>
      </w:r>
      <w:r w:rsidRPr="00943198">
        <w:rPr>
          <w:rStyle w:val="StyleUnderline"/>
          <w:highlight w:val="green"/>
        </w:rPr>
        <w:t>tribal law.</w:t>
      </w:r>
    </w:p>
    <w:p w14:paraId="0ED97290" w14:textId="77777777" w:rsidR="00C42954" w:rsidRDefault="00C42954" w:rsidP="00C42954">
      <w:pPr>
        <w:pStyle w:val="Heading3"/>
      </w:pPr>
      <w:r>
        <w:t>1NC---AT: Method---Refusal</w:t>
      </w:r>
    </w:p>
    <w:p w14:paraId="470CBBAE" w14:textId="77777777" w:rsidR="00C42954" w:rsidRDefault="00C42954" w:rsidP="00C42954"/>
    <w:p w14:paraId="4E88D2FC" w14:textId="77777777" w:rsidR="00C42954" w:rsidRDefault="00C42954" w:rsidP="00C42954">
      <w:pPr>
        <w:pStyle w:val="Heading4"/>
      </w:pPr>
      <w:r w:rsidRPr="001D675C">
        <w:rPr>
          <w:u w:val="single"/>
        </w:rPr>
        <w:t>R</w:t>
      </w:r>
      <w:r>
        <w:rPr>
          <w:u w:val="single"/>
        </w:rPr>
        <w:t>efusal’s</w:t>
      </w:r>
      <w:r>
        <w:t xml:space="preserve"> </w:t>
      </w:r>
      <w:r w:rsidRPr="004250BA">
        <w:rPr>
          <w:u w:val="single"/>
        </w:rPr>
        <w:t>counter-productive</w:t>
      </w:r>
      <w:r>
        <w:t xml:space="preserve"> – uniquely </w:t>
      </w:r>
      <w:r w:rsidRPr="004250BA">
        <w:rPr>
          <w:u w:val="single"/>
        </w:rPr>
        <w:t>reinforces</w:t>
      </w:r>
      <w:r>
        <w:t xml:space="preserve"> violent forms of governance that the </w:t>
      </w:r>
      <w:r w:rsidRPr="004250BA">
        <w:rPr>
          <w:u w:val="single"/>
        </w:rPr>
        <w:t>perm’s political engagement’s key</w:t>
      </w:r>
      <w:r>
        <w:t xml:space="preserve"> to challenge – locking in </w:t>
      </w:r>
      <w:r w:rsidRPr="00472947">
        <w:rPr>
          <w:u w:val="single"/>
        </w:rPr>
        <w:t>indigenous elimination</w:t>
      </w:r>
      <w:r>
        <w:t xml:space="preserve"> and </w:t>
      </w:r>
      <w:r>
        <w:rPr>
          <w:u w:val="single"/>
        </w:rPr>
        <w:t>settler</w:t>
      </w:r>
      <w:r w:rsidRPr="00472947">
        <w:rPr>
          <w:u w:val="single"/>
        </w:rPr>
        <w:t xml:space="preserve"> hegemon</w:t>
      </w:r>
      <w:r>
        <w:rPr>
          <w:u w:val="single"/>
        </w:rPr>
        <w:t>ies</w:t>
      </w:r>
    </w:p>
    <w:p w14:paraId="7212E00A" w14:textId="77777777" w:rsidR="00C42954" w:rsidRDefault="00C42954" w:rsidP="00C42954">
      <w:pPr>
        <w:pStyle w:val="CiteSpacing"/>
      </w:pPr>
      <w:r w:rsidRPr="00220B26">
        <w:rPr>
          <w:rStyle w:val="Style13ptBold"/>
        </w:rPr>
        <w:t>Chandler and Reid 18</w:t>
      </w:r>
      <w:r>
        <w:t xml:space="preserve"> (David Chandler, Department of Politics and International Relations, University of Westminster, and Julian Reid, Faculty of Social Science, University of Lapland, “‘Being in Being’: Contesting the Ontopolitics of Indigeneity,” The European Legacy, 23(3), 2018, https://www.tandfonline.com/doi/pdf/10.1080/10848770.2017.1420284)</w:t>
      </w:r>
    </w:p>
    <w:p w14:paraId="5929DF4F" w14:textId="77777777" w:rsidR="00C42954" w:rsidRDefault="00C42954" w:rsidP="00C42954">
      <w:r w:rsidRPr="00F6599F">
        <w:rPr>
          <w:sz w:val="10"/>
        </w:rPr>
        <w:t xml:space="preserve">Introduction </w:t>
      </w:r>
      <w:r w:rsidRPr="004678C5">
        <w:rPr>
          <w:rStyle w:val="StyleUnderline"/>
        </w:rPr>
        <w:t>Throughout the history of colonialism, competing representations of the indigenous have</w:t>
      </w:r>
      <w:r>
        <w:rPr>
          <w:rStyle w:val="StyleUnderline"/>
        </w:rPr>
        <w:t xml:space="preserve"> </w:t>
      </w:r>
      <w:r w:rsidRPr="004678C5">
        <w:rPr>
          <w:rStyle w:val="StyleUnderline"/>
        </w:rPr>
        <w:t>been deployed by the colonial powers to their own advantages and ends</w:t>
      </w:r>
      <w:r w:rsidRPr="00F6599F">
        <w:rPr>
          <w:sz w:val="10"/>
        </w:rPr>
        <w:t xml:space="preserve">.1 </w:t>
      </w:r>
      <w:r w:rsidRPr="002C4468">
        <w:rPr>
          <w:rStyle w:val="StyleUnderline"/>
        </w:rPr>
        <w:t xml:space="preserve">Whereas historically the indigenous were represented as </w:t>
      </w:r>
      <w:r w:rsidRPr="000B707D">
        <w:rPr>
          <w:rStyle w:val="StyleUnderline"/>
        </w:rPr>
        <w:t>belonging to a past temporality in ways that</w:t>
      </w:r>
      <w:r>
        <w:rPr>
          <w:rStyle w:val="StyleUnderline"/>
        </w:rPr>
        <w:t xml:space="preserve"> </w:t>
      </w:r>
      <w:r w:rsidRPr="000B707D">
        <w:rPr>
          <w:rStyle w:val="StyleUnderline"/>
        </w:rPr>
        <w:t>legitimized colonial rule, today their representation as primitive and of the past are less prevalent</w:t>
      </w:r>
      <w:r w:rsidRPr="00F6599F">
        <w:rPr>
          <w:sz w:val="10"/>
        </w:rPr>
        <w:t xml:space="preserve">. </w:t>
      </w:r>
      <w:r w:rsidRPr="000B707D">
        <w:rPr>
          <w:rStyle w:val="StyleUnderline"/>
        </w:rPr>
        <w:t xml:space="preserve">Anthropologists are thus more likely today to </w:t>
      </w:r>
      <w:r w:rsidRPr="000B707D">
        <w:rPr>
          <w:rStyle w:val="Emphasis"/>
        </w:rPr>
        <w:t>berate the failure</w:t>
      </w:r>
      <w:r w:rsidRPr="000B707D">
        <w:rPr>
          <w:rStyle w:val="StyleUnderline"/>
        </w:rPr>
        <w:t xml:space="preserve"> of their discipline </w:t>
      </w:r>
      <w:r w:rsidRPr="000B707D">
        <w:rPr>
          <w:rStyle w:val="Emphasis"/>
        </w:rPr>
        <w:t>to</w:t>
      </w:r>
      <w:r>
        <w:rPr>
          <w:rStyle w:val="Emphasis"/>
        </w:rPr>
        <w:t xml:space="preserve"> </w:t>
      </w:r>
      <w:r w:rsidRPr="000B707D">
        <w:rPr>
          <w:rStyle w:val="Emphasis"/>
        </w:rPr>
        <w:t>challenge</w:t>
      </w:r>
      <w:r w:rsidRPr="000B707D">
        <w:rPr>
          <w:rStyle w:val="StyleUnderline"/>
        </w:rPr>
        <w:t xml:space="preserve"> the </w:t>
      </w:r>
      <w:r w:rsidRPr="000B707D">
        <w:rPr>
          <w:rStyle w:val="Emphasis"/>
        </w:rPr>
        <w:t>teleological narratives</w:t>
      </w:r>
      <w:r w:rsidRPr="000B707D">
        <w:rPr>
          <w:rStyle w:val="StyleUnderline"/>
        </w:rPr>
        <w:t xml:space="preserve"> underpinning the West’s historical sense of superiority</w:t>
      </w:r>
      <w:r w:rsidRPr="00F6599F">
        <w:rPr>
          <w:sz w:val="10"/>
        </w:rPr>
        <w:t xml:space="preserve">. The concurrent assumption that indigenous peoples should open themselves to the world is also increasingly challenged by the converse idea that the West has much to learn from them.2 Accordingly, it is the West that must open itself to the indigenous in ways that not only recognize their rights to life but also recognize the superior value of their ways of life. Indeed, not just in anthropology, but </w:t>
      </w:r>
      <w:r w:rsidRPr="000B707D">
        <w:rPr>
          <w:rStyle w:val="StyleUnderline"/>
        </w:rPr>
        <w:t>in political theory</w:t>
      </w:r>
      <w:r w:rsidRPr="00F6599F">
        <w:rPr>
          <w:sz w:val="10"/>
        </w:rPr>
        <w:t xml:space="preserve"> as well, </w:t>
      </w:r>
      <w:r w:rsidRPr="000B707D">
        <w:rPr>
          <w:rStyle w:val="StyleUnderline"/>
        </w:rPr>
        <w:t xml:space="preserve">the historical experiences and abiding conditions of indigenous peoples have become pivotal to </w:t>
      </w:r>
      <w:r w:rsidRPr="00CE6C4C">
        <w:rPr>
          <w:rStyle w:val="StyleUnderline"/>
          <w:highlight w:val="cyan"/>
        </w:rPr>
        <w:t>theorizations</w:t>
      </w:r>
      <w:r>
        <w:rPr>
          <w:rStyle w:val="StyleUnderline"/>
          <w:highlight w:val="cyan"/>
        </w:rPr>
        <w:t xml:space="preserve"> </w:t>
      </w:r>
      <w:r w:rsidRPr="00CE6C4C">
        <w:rPr>
          <w:rStyle w:val="StyleUnderline"/>
          <w:highlight w:val="cyan"/>
        </w:rPr>
        <w:t xml:space="preserve">of </w:t>
      </w:r>
      <w:r w:rsidRPr="00CE6C4C">
        <w:rPr>
          <w:rStyle w:val="Emphasis"/>
          <w:highlight w:val="cyan"/>
        </w:rPr>
        <w:t>political subjectivity</w:t>
      </w:r>
      <w:r w:rsidRPr="002C4468">
        <w:rPr>
          <w:rStyle w:val="StyleUnderline"/>
        </w:rPr>
        <w:t xml:space="preserve"> that avow the superiority of indigenous ways of being</w:t>
      </w:r>
      <w:r w:rsidRPr="00F6599F">
        <w:rPr>
          <w:sz w:val="10"/>
        </w:rPr>
        <w:t xml:space="preserve">.3 </w:t>
      </w:r>
      <w:r w:rsidRPr="00CE6C4C">
        <w:rPr>
          <w:rStyle w:val="StyleUnderline"/>
        </w:rPr>
        <w:t>Much of this</w:t>
      </w:r>
      <w:r>
        <w:rPr>
          <w:rStyle w:val="StyleUnderline"/>
        </w:rPr>
        <w:t xml:space="preserve"> </w:t>
      </w:r>
      <w:r w:rsidRPr="00CE6C4C">
        <w:rPr>
          <w:rStyle w:val="StyleUnderline"/>
        </w:rPr>
        <w:t>theoretical work is aimed explicitly at “</w:t>
      </w:r>
      <w:r w:rsidRPr="00CE6C4C">
        <w:rPr>
          <w:rStyle w:val="Emphasis"/>
          <w:highlight w:val="cyan"/>
        </w:rPr>
        <w:t>decolonizing statist thinking</w:t>
      </w:r>
      <w:r w:rsidRPr="00F6599F">
        <w:rPr>
          <w:sz w:val="10"/>
        </w:rPr>
        <w:t xml:space="preserve">.”4 This article examines this shift. How is the decolonization of western thought proceeding? What attributes of indigeneity do western theorists most admire? </w:t>
      </w:r>
      <w:r w:rsidRPr="00F86568">
        <w:rPr>
          <w:rStyle w:val="Emphasis"/>
        </w:rPr>
        <w:t>Is this decolonization actually occurring</w:t>
      </w:r>
      <w:r>
        <w:rPr>
          <w:rStyle w:val="Emphasis"/>
        </w:rPr>
        <w:t xml:space="preserve"> </w:t>
      </w:r>
      <w:r w:rsidRPr="00F86568">
        <w:rPr>
          <w:rStyle w:val="Emphasis"/>
        </w:rPr>
        <w:t>and how is it reflected in the policies of western states, institutions and social practices?</w:t>
      </w:r>
      <w:r w:rsidRPr="00F6599F">
        <w:rPr>
          <w:sz w:val="10"/>
        </w:rPr>
        <w:t xml:space="preserve"> Modernist understandings of the world are in crisis today as reflected by the transformation in western approaches to indigeneity and in particular to “indigenous knowledge.” This crisis is being played out in the domain of ontopolitics—the debate over the politics of being. We claim that the </w:t>
      </w:r>
      <w:r w:rsidRPr="00712E20">
        <w:rPr>
          <w:rStyle w:val="StyleUnderline"/>
        </w:rPr>
        <w:t>current governing practices seek to celebrate indigenous ways</w:t>
      </w:r>
      <w:r>
        <w:rPr>
          <w:rStyle w:val="StyleUnderline"/>
        </w:rPr>
        <w:t xml:space="preserve"> </w:t>
      </w:r>
      <w:r w:rsidRPr="00712E20">
        <w:rPr>
          <w:rStyle w:val="StyleUnderline"/>
        </w:rPr>
        <w:t>of being not simply to promote the rights and well-being of indigenous peoples but to find</w:t>
      </w:r>
      <w:r>
        <w:rPr>
          <w:rStyle w:val="StyleUnderline"/>
        </w:rPr>
        <w:t xml:space="preserve"> </w:t>
      </w:r>
      <w:r w:rsidRPr="00712E20">
        <w:rPr>
          <w:rStyle w:val="StyleUnderline"/>
        </w:rPr>
        <w:t>new ways of governing the populations of the western world broadly conceived</w:t>
      </w:r>
      <w:r w:rsidRPr="00F6599F">
        <w:rPr>
          <w:sz w:val="10"/>
        </w:rPr>
        <w:t xml:space="preserve">. We hold that </w:t>
      </w:r>
      <w:r w:rsidRPr="00712E20">
        <w:rPr>
          <w:rStyle w:val="StyleUnderline"/>
        </w:rPr>
        <w:t xml:space="preserve">the challenge of </w:t>
      </w:r>
      <w:r w:rsidRPr="00F86568">
        <w:rPr>
          <w:rStyle w:val="Emphasis"/>
          <w:highlight w:val="cyan"/>
        </w:rPr>
        <w:t>ontopolitical arguments</w:t>
      </w:r>
      <w:r w:rsidRPr="00712E20">
        <w:rPr>
          <w:rStyle w:val="StyleUnderline"/>
        </w:rPr>
        <w:t xml:space="preserve"> for the superiority of indigenous ways of</w:t>
      </w:r>
      <w:r>
        <w:rPr>
          <w:rStyle w:val="StyleUnderline"/>
        </w:rPr>
        <w:t xml:space="preserve"> </w:t>
      </w:r>
      <w:r w:rsidRPr="00712E20">
        <w:rPr>
          <w:rStyle w:val="StyleUnderline"/>
        </w:rPr>
        <w:t xml:space="preserve">being should </w:t>
      </w:r>
      <w:r w:rsidRPr="00F86568">
        <w:rPr>
          <w:rStyle w:val="Emphasis"/>
          <w:highlight w:val="cyan"/>
        </w:rPr>
        <w:t>not</w:t>
      </w:r>
      <w:r w:rsidRPr="00712E20">
        <w:rPr>
          <w:rStyle w:val="StyleUnderline"/>
        </w:rPr>
        <w:t xml:space="preserve"> be seen as </w:t>
      </w:r>
      <w:r w:rsidRPr="00F86568">
        <w:rPr>
          <w:rStyle w:val="Emphasis"/>
        </w:rPr>
        <w:t xml:space="preserve">radical or </w:t>
      </w:r>
      <w:r w:rsidRPr="00897A4D">
        <w:rPr>
          <w:rStyle w:val="Emphasis"/>
          <w:highlight w:val="cyan"/>
        </w:rPr>
        <w:t>emancipatory resistances</w:t>
      </w:r>
      <w:r w:rsidRPr="00897A4D">
        <w:rPr>
          <w:rStyle w:val="StyleUnderline"/>
          <w:highlight w:val="cyan"/>
        </w:rPr>
        <w:t xml:space="preserve"> to</w:t>
      </w:r>
      <w:r w:rsidRPr="00712E20">
        <w:rPr>
          <w:rStyle w:val="StyleUnderline"/>
        </w:rPr>
        <w:t xml:space="preserve"> </w:t>
      </w:r>
      <w:r w:rsidRPr="00897A4D">
        <w:rPr>
          <w:rStyle w:val="Emphasis"/>
        </w:rPr>
        <w:t>modernist</w:t>
      </w:r>
      <w:r w:rsidRPr="00712E20">
        <w:rPr>
          <w:rStyle w:val="StyleUnderline"/>
        </w:rPr>
        <w:t xml:space="preserve"> or </w:t>
      </w:r>
      <w:r w:rsidRPr="00897A4D">
        <w:rPr>
          <w:rStyle w:val="Emphasis"/>
          <w:highlight w:val="cyan"/>
        </w:rPr>
        <w:t>colonial</w:t>
      </w:r>
      <w:r>
        <w:rPr>
          <w:rStyle w:val="Emphasis"/>
        </w:rPr>
        <w:t xml:space="preserve"> </w:t>
      </w:r>
      <w:r w:rsidRPr="00897A4D">
        <w:rPr>
          <w:rStyle w:val="Emphasis"/>
        </w:rPr>
        <w:t xml:space="preserve">epistemological and </w:t>
      </w:r>
      <w:r w:rsidRPr="007D4773">
        <w:rPr>
          <w:rStyle w:val="Emphasis"/>
          <w:highlight w:val="cyan"/>
        </w:rPr>
        <w:t>ontological legacies</w:t>
      </w:r>
      <w:r w:rsidRPr="007D4773">
        <w:rPr>
          <w:rStyle w:val="StyleUnderline"/>
          <w:highlight w:val="cyan"/>
        </w:rPr>
        <w:t xml:space="preserve"> </w:t>
      </w:r>
      <w:r w:rsidRPr="00897A4D">
        <w:rPr>
          <w:rStyle w:val="StyleUnderline"/>
          <w:highlight w:val="cyan"/>
        </w:rPr>
        <w:t>but rather</w:t>
      </w:r>
      <w:r w:rsidRPr="00712E20">
        <w:rPr>
          <w:rStyle w:val="StyleUnderline"/>
        </w:rPr>
        <w:t xml:space="preserve"> as </w:t>
      </w:r>
      <w:r w:rsidRPr="00897A4D">
        <w:rPr>
          <w:rStyle w:val="StyleUnderline"/>
          <w:highlight w:val="cyan"/>
        </w:rPr>
        <w:t xml:space="preserve">a </w:t>
      </w:r>
      <w:r w:rsidRPr="00897A4D">
        <w:rPr>
          <w:rStyle w:val="Emphasis"/>
          <w:highlight w:val="cyan"/>
        </w:rPr>
        <w:t>new form of neoliberal governmentality</w:t>
      </w:r>
      <w:r w:rsidRPr="00712E20">
        <w:rPr>
          <w:rStyle w:val="StyleUnderline"/>
        </w:rPr>
        <w:t xml:space="preserve">, cynically </w:t>
      </w:r>
      <w:r w:rsidRPr="00897A4D">
        <w:rPr>
          <w:rStyle w:val="StyleUnderline"/>
          <w:highlight w:val="cyan"/>
        </w:rPr>
        <w:t>manipulating critical</w:t>
      </w:r>
      <w:r w:rsidRPr="00712E20">
        <w:rPr>
          <w:rStyle w:val="StyleUnderline"/>
        </w:rPr>
        <w:t xml:space="preserve">, postcolonial and ecological </w:t>
      </w:r>
      <w:r w:rsidRPr="00897A4D">
        <w:rPr>
          <w:rStyle w:val="StyleUnderline"/>
          <w:highlight w:val="cyan"/>
        </w:rPr>
        <w:t>sensibilities for its own</w:t>
      </w:r>
      <w:r>
        <w:rPr>
          <w:rStyle w:val="StyleUnderline"/>
          <w:highlight w:val="cyan"/>
        </w:rPr>
        <w:t xml:space="preserve"> </w:t>
      </w:r>
      <w:r w:rsidRPr="00897A4D">
        <w:rPr>
          <w:rStyle w:val="StyleUnderline"/>
          <w:highlight w:val="cyan"/>
        </w:rPr>
        <w:t>ends</w:t>
      </w:r>
      <w:r w:rsidRPr="00712E20">
        <w:rPr>
          <w:rStyle w:val="StyleUnderline"/>
        </w:rPr>
        <w:t xml:space="preserve">. </w:t>
      </w:r>
      <w:r w:rsidRPr="00897A4D">
        <w:rPr>
          <w:rStyle w:val="Emphasis"/>
          <w:highlight w:val="cyan"/>
        </w:rPr>
        <w:t>Rather than “provincializing”</w:t>
      </w:r>
      <w:r w:rsidRPr="00897A4D">
        <w:rPr>
          <w:rStyle w:val="Emphasis"/>
        </w:rPr>
        <w:t xml:space="preserve"> dominant western </w:t>
      </w:r>
      <w:r w:rsidRPr="00897A4D">
        <w:rPr>
          <w:rStyle w:val="Emphasis"/>
          <w:highlight w:val="cyan"/>
        </w:rPr>
        <w:t>hegemonic practices</w:t>
      </w:r>
      <w:r w:rsidRPr="00B44AD6">
        <w:rPr>
          <w:rStyle w:val="Emphasis"/>
        </w:rPr>
        <w:t xml:space="preserve">, discourses of indigeneity are </w:t>
      </w:r>
      <w:r w:rsidRPr="00897A4D">
        <w:rPr>
          <w:rStyle w:val="Emphasis"/>
          <w:highlight w:val="cyan"/>
        </w:rPr>
        <w:t>functioning to extend them</w:t>
      </w:r>
      <w:r w:rsidRPr="00712E20">
        <w:rPr>
          <w:rStyle w:val="StyleUnderline"/>
        </w:rPr>
        <w:t>, instituting new forms of governing through</w:t>
      </w:r>
      <w:r>
        <w:rPr>
          <w:rStyle w:val="StyleUnderline"/>
        </w:rPr>
        <w:t xml:space="preserve"> </w:t>
      </w:r>
      <w:r w:rsidRPr="00712E20">
        <w:rPr>
          <w:rStyle w:val="StyleUnderline"/>
        </w:rPr>
        <w:t>calls for adaptation and resilience</w:t>
      </w:r>
      <w:r w:rsidRPr="00F6599F">
        <w:rPr>
          <w:sz w:val="10"/>
        </w:rPr>
        <w:t xml:space="preserve">. </w:t>
      </w:r>
      <w:r w:rsidRPr="00712E20">
        <w:rPr>
          <w:rStyle w:val="StyleUnderline"/>
        </w:rPr>
        <w:t>The basic issue</w:t>
      </w:r>
      <w:r w:rsidRPr="00F6599F">
        <w:rPr>
          <w:sz w:val="10"/>
        </w:rPr>
        <w:t xml:space="preserve">, we argue, </w:t>
      </w:r>
      <w:r w:rsidRPr="00712E20">
        <w:rPr>
          <w:rStyle w:val="StyleUnderline"/>
        </w:rPr>
        <w:t xml:space="preserve">is </w:t>
      </w:r>
      <w:r w:rsidRPr="00712E20">
        <w:rPr>
          <w:rStyle w:val="Emphasis"/>
        </w:rPr>
        <w:t>not</w:t>
      </w:r>
      <w:r w:rsidRPr="00712E20">
        <w:rPr>
          <w:rStyle w:val="StyleUnderline"/>
        </w:rPr>
        <w:t xml:space="preserve"> that of </w:t>
      </w:r>
      <w:r w:rsidRPr="00712E20">
        <w:rPr>
          <w:rStyle w:val="Emphasis"/>
        </w:rPr>
        <w:t>resisting</w:t>
      </w:r>
      <w:r w:rsidRPr="00712E20">
        <w:rPr>
          <w:rStyle w:val="StyleUnderline"/>
        </w:rPr>
        <w:t xml:space="preserve"> western</w:t>
      </w:r>
      <w:r>
        <w:rPr>
          <w:rStyle w:val="StyleUnderline"/>
        </w:rPr>
        <w:t xml:space="preserve"> </w:t>
      </w:r>
      <w:r w:rsidRPr="00712E20">
        <w:rPr>
          <w:rStyle w:val="StyleUnderline"/>
        </w:rPr>
        <w:t xml:space="preserve">or modernist </w:t>
      </w:r>
      <w:r w:rsidRPr="00712E20">
        <w:rPr>
          <w:rStyle w:val="Emphasis"/>
        </w:rPr>
        <w:t>attempts to colonize or assimilate</w:t>
      </w:r>
      <w:r w:rsidRPr="00712E20">
        <w:rPr>
          <w:rStyle w:val="StyleUnderline"/>
        </w:rPr>
        <w:t xml:space="preserve"> communities seen negatively as indigenous</w:t>
      </w:r>
      <w:r>
        <w:rPr>
          <w:rStyle w:val="StyleUnderline"/>
        </w:rPr>
        <w:t xml:space="preserve"> </w:t>
      </w:r>
      <w:r w:rsidRPr="00712E20">
        <w:rPr>
          <w:rStyle w:val="StyleUnderline"/>
        </w:rPr>
        <w:t xml:space="preserve">or nonmodern, </w:t>
      </w:r>
      <w:r w:rsidRPr="00712E20">
        <w:rPr>
          <w:rStyle w:val="Emphasis"/>
        </w:rPr>
        <w:t>but the opposite</w:t>
      </w:r>
      <w:r w:rsidRPr="00712E20">
        <w:rPr>
          <w:rStyle w:val="StyleUnderline"/>
        </w:rPr>
        <w:t xml:space="preserve">: that of </w:t>
      </w:r>
      <w:r w:rsidRPr="00F00047">
        <w:rPr>
          <w:rStyle w:val="Emphasis"/>
        </w:rPr>
        <w:t>preventing the indigenization of contemporary</w:t>
      </w:r>
      <w:r>
        <w:rPr>
          <w:rStyle w:val="Emphasis"/>
        </w:rPr>
        <w:t xml:space="preserve"> </w:t>
      </w:r>
      <w:r w:rsidRPr="00F00047">
        <w:rPr>
          <w:rStyle w:val="Emphasis"/>
        </w:rPr>
        <w:t>neoliberal governmentalities</w:t>
      </w:r>
      <w:r w:rsidRPr="00F6599F">
        <w:rPr>
          <w:sz w:val="10"/>
        </w:rPr>
        <w:t xml:space="preserve">. Ontopolitics of Indigeneity We are not alone in seeing the transformation of approaches to indigeneity as a symptom of the crisis of the modernist episteme. We are happy to think with and through the work of Mario Blaser, among others, who has highlighted the connections between the ontopolitics of indigeneity and the reworking of discourses of western hegemony. Blaser argues that the modernist framing of knowledge hinged upon the interrelated and co-constitutive framing of three core elements.5 Firstly, the strict divide between nature and culture: the modern idea that there is only one universal reality, accessible through science, whereas diverse perspectives and views of this reality were articulated through studies of culture. Secondly, the understanding of cultural difference in hierarchical and temporal terms, whereby modern culture (based on the nature/culture divide) is understood to have developed from the western Enlightenment and to have spread through colonial and imperial expansion to the rest of the globe. And thirdly, the linear conception of time according to which the development and territorial expansion of modernity is seen as part of the process of historical progress, leaving “nonmodern” cultures as peoples without histories or historical subjectivity. As Blaser notes, the coherence and hegemonic acceptance of these three elements has now started to unravel. This unraveling is expressed across the social sciences and humanities as the “ontological turn,” which challenges the foundational and universal claims of the nature/culture divide.6 He points out that work in Science and Technology Studies (STS) has been key to problematizing the claims of the separation between nature and culture, which reflects the broader loss of faith in the powers of science and technology to sustain modernist notions of progress. Blaser also notes the contribution of indigenous political movements in Latin America, especially in Bolivia and Ecuador, which have contested the liberal politics of multiculturalism and raised previously excluded questions about the nature and spaces of politics, challenging the modernist ontology that restricts rights and protections only to human subjects. This disruption of the division of authority between science and politics draws on Bruno Latour’s view of the gradual collapse of the Modern Constitution in matters of ecological, scientific, moral and environmental concerns and which is clearly not merely a product of the “Indigenous struggle” itself.7 It is necessary to clarify from the outset that, although it is possible to relate the political challenge of indigeneity to indigenous political movements, this challenge is far broader in content and stakes. As Blaser argues, the field of ontological politics is one fought out over “practices, performances and enactments and not with specific groups.” For our purposes we conceive indigeneity as a surface on which ontopolitics appears rather than as the driver or dynamic behind this critical challenge. The ontopolitical clash between a modernist ontology and alternative ways of “worlding” is not literally a clash between different groups or collectivities, as Blaser clarifies: In short, </w:t>
      </w:r>
      <w:r w:rsidRPr="00F00047">
        <w:rPr>
          <w:rStyle w:val="StyleUnderline"/>
        </w:rPr>
        <w:t>the attribution of modernness would go hand in hand with specific practices and</w:t>
      </w:r>
      <w:r>
        <w:rPr>
          <w:rStyle w:val="StyleUnderline"/>
        </w:rPr>
        <w:t xml:space="preserve"> </w:t>
      </w:r>
      <w:r w:rsidRPr="00F00047">
        <w:rPr>
          <w:rStyle w:val="StyleUnderline"/>
        </w:rPr>
        <w:t>not with a specific group</w:t>
      </w:r>
      <w:r w:rsidRPr="00F6599F">
        <w:rPr>
          <w:sz w:val="10"/>
        </w:rPr>
        <w:t xml:space="preserve">. </w:t>
      </w:r>
      <w:r w:rsidRPr="00F00047">
        <w:rPr>
          <w:rStyle w:val="StyleUnderline"/>
        </w:rPr>
        <w:t>For instance</w:t>
      </w:r>
      <w:r w:rsidRPr="00F6599F">
        <w:rPr>
          <w:sz w:val="10"/>
        </w:rPr>
        <w:t xml:space="preserve">, I would feel </w:t>
      </w:r>
      <w:r w:rsidRPr="00F00047">
        <w:rPr>
          <w:rStyle w:val="StyleUnderline"/>
        </w:rPr>
        <w:t>unwarranted to call modern the practices</w:t>
      </w:r>
      <w:r>
        <w:rPr>
          <w:rStyle w:val="StyleUnderline"/>
        </w:rPr>
        <w:t xml:space="preserve"> </w:t>
      </w:r>
      <w:r w:rsidRPr="00F00047">
        <w:rPr>
          <w:rStyle w:val="StyleUnderline"/>
        </w:rPr>
        <w:t>of middle-class white women involved in Wicca</w:t>
      </w:r>
      <w:r w:rsidRPr="00F6599F">
        <w:rPr>
          <w:sz w:val="10"/>
        </w:rPr>
        <w:t xml:space="preserve">. </w:t>
      </w:r>
      <w:r w:rsidRPr="00F00047">
        <w:rPr>
          <w:rStyle w:val="StyleUnderline"/>
        </w:rPr>
        <w:t>Likewise, neither indigenous identity automatically translates into an other-than-modern ontology, nor does indigenous involvement</w:t>
      </w:r>
      <w:r>
        <w:rPr>
          <w:rStyle w:val="StyleUnderline"/>
        </w:rPr>
        <w:t xml:space="preserve"> </w:t>
      </w:r>
      <w:r w:rsidRPr="00F00047">
        <w:rPr>
          <w:rStyle w:val="StyleUnderline"/>
        </w:rPr>
        <w:t>make a conflict an ontological one</w:t>
      </w:r>
      <w:r w:rsidRPr="00F6599F">
        <w:rPr>
          <w:sz w:val="10"/>
        </w:rPr>
        <w:t xml:space="preserve">.8 Indigenous approaches and indigenous “knowledge” should not be seen as representative of a political, social or cultural group but rather as an alternative to modernist ways of being, knowing and governing. The rise of indigeneity and the transformation in approaches to indigeneity therefore says more about the crisis of modernist ways of being in the world than about the struggles and demands of indigenous groups per se and is often in direct conflict with them.9 What is important is that </w:t>
      </w:r>
      <w:r w:rsidRPr="00601A78">
        <w:rPr>
          <w:rStyle w:val="StyleUnderline"/>
        </w:rPr>
        <w:t>the ontological turn in the social sciences</w:t>
      </w:r>
      <w:r w:rsidRPr="00F6599F">
        <w:rPr>
          <w:sz w:val="10"/>
        </w:rPr>
        <w:t>—a metonym for the end of the culture/nature divide—</w:t>
      </w:r>
      <w:r w:rsidRPr="00601A78">
        <w:rPr>
          <w:rStyle w:val="StyleUnderline"/>
        </w:rPr>
        <w:t xml:space="preserve">has gained new traction for </w:t>
      </w:r>
      <w:r w:rsidRPr="00601A78">
        <w:rPr>
          <w:rStyle w:val="StyleUnderline"/>
          <w:highlight w:val="cyan"/>
        </w:rPr>
        <w:t xml:space="preserve">celebrations </w:t>
      </w:r>
      <w:r w:rsidRPr="00920B03">
        <w:rPr>
          <w:rStyle w:val="StyleUnderline"/>
          <w:highlight w:val="cyan"/>
        </w:rPr>
        <w:t xml:space="preserve">of </w:t>
      </w:r>
      <w:r w:rsidRPr="00920B03">
        <w:rPr>
          <w:rStyle w:val="Emphasis"/>
          <w:highlight w:val="cyan"/>
        </w:rPr>
        <w:t>indigenous</w:t>
      </w:r>
      <w:r>
        <w:rPr>
          <w:rStyle w:val="StyleUnderline"/>
        </w:rPr>
        <w:t xml:space="preserve"> </w:t>
      </w:r>
      <w:r w:rsidRPr="00601A78">
        <w:rPr>
          <w:rStyle w:val="StyleUnderline"/>
        </w:rPr>
        <w:t xml:space="preserve">forms of </w:t>
      </w:r>
      <w:r w:rsidRPr="00601A78">
        <w:rPr>
          <w:rStyle w:val="Emphasis"/>
        </w:rPr>
        <w:t>knowledge</w:t>
      </w:r>
      <w:r w:rsidRPr="00601A78">
        <w:rPr>
          <w:rStyle w:val="StyleUnderline"/>
        </w:rPr>
        <w:t xml:space="preserve">, </w:t>
      </w:r>
      <w:r w:rsidRPr="00601A78">
        <w:rPr>
          <w:rStyle w:val="Emphasis"/>
        </w:rPr>
        <w:t>ways of being</w:t>
      </w:r>
      <w:r w:rsidRPr="00601A78">
        <w:rPr>
          <w:rStyle w:val="StyleUnderline"/>
        </w:rPr>
        <w:t xml:space="preserve"> and </w:t>
      </w:r>
      <w:r w:rsidRPr="00601A78">
        <w:rPr>
          <w:rStyle w:val="Emphasis"/>
        </w:rPr>
        <w:t>world-views</w:t>
      </w:r>
      <w:r w:rsidRPr="00601A78">
        <w:rPr>
          <w:rStyle w:val="StyleUnderline"/>
        </w:rPr>
        <w:t xml:space="preserve"> that provide support for </w:t>
      </w:r>
      <w:r w:rsidRPr="00920B03">
        <w:rPr>
          <w:rStyle w:val="Emphasis"/>
        </w:rPr>
        <w:t>alternative</w:t>
      </w:r>
      <w:r>
        <w:rPr>
          <w:rStyle w:val="Emphasis"/>
        </w:rPr>
        <w:t xml:space="preserve"> </w:t>
      </w:r>
      <w:r w:rsidRPr="00920B03">
        <w:rPr>
          <w:rStyle w:val="Emphasis"/>
        </w:rPr>
        <w:t>practices</w:t>
      </w:r>
      <w:r w:rsidRPr="00601A78">
        <w:rPr>
          <w:rStyle w:val="StyleUnderline"/>
        </w:rPr>
        <w:t xml:space="preserve"> and ways of acting in the world. These </w:t>
      </w:r>
      <w:r w:rsidRPr="00920B03">
        <w:rPr>
          <w:rStyle w:val="Emphasis"/>
          <w:highlight w:val="cyan"/>
        </w:rPr>
        <w:t>alternative</w:t>
      </w:r>
      <w:r w:rsidRPr="00920B03">
        <w:rPr>
          <w:rStyle w:val="Emphasis"/>
        </w:rPr>
        <w:t xml:space="preserve"> approache</w:t>
      </w:r>
      <w:r w:rsidRPr="00920B03">
        <w:rPr>
          <w:rStyle w:val="Emphasis"/>
          <w:highlight w:val="cyan"/>
        </w:rPr>
        <w:t>s</w:t>
      </w:r>
      <w:r w:rsidRPr="00601A78">
        <w:rPr>
          <w:rStyle w:val="StyleUnderline"/>
        </w:rPr>
        <w:t xml:space="preserve"> </w:t>
      </w:r>
      <w:r w:rsidRPr="00920B03">
        <w:rPr>
          <w:rStyle w:val="StyleUnderline"/>
          <w:highlight w:val="cyan"/>
        </w:rPr>
        <w:t xml:space="preserve">have been </w:t>
      </w:r>
      <w:r w:rsidRPr="00920B03">
        <w:rPr>
          <w:rStyle w:val="Emphasis"/>
          <w:highlight w:val="cyan"/>
        </w:rPr>
        <w:t>eagerly</w:t>
      </w:r>
      <w:r>
        <w:rPr>
          <w:rStyle w:val="Emphasis"/>
          <w:highlight w:val="cyan"/>
        </w:rPr>
        <w:t xml:space="preserve"> </w:t>
      </w:r>
      <w:r w:rsidRPr="00920B03">
        <w:rPr>
          <w:rStyle w:val="Emphasis"/>
          <w:highlight w:val="cyan"/>
        </w:rPr>
        <w:t>taken up by governing institutions seeking new ways of</w:t>
      </w:r>
      <w:r w:rsidRPr="00920B03">
        <w:rPr>
          <w:rStyle w:val="Emphasis"/>
        </w:rPr>
        <w:t xml:space="preserve"> reviving and </w:t>
      </w:r>
      <w:r w:rsidRPr="00920B03">
        <w:rPr>
          <w:rStyle w:val="Emphasis"/>
          <w:highlight w:val="cyan"/>
        </w:rPr>
        <w:t>maintaining neoliberal</w:t>
      </w:r>
      <w:r>
        <w:rPr>
          <w:rStyle w:val="Emphasis"/>
          <w:highlight w:val="cyan"/>
        </w:rPr>
        <w:t xml:space="preserve"> </w:t>
      </w:r>
      <w:r w:rsidRPr="00920B03">
        <w:rPr>
          <w:rStyle w:val="Emphasis"/>
          <w:highlight w:val="cyan"/>
        </w:rPr>
        <w:t>frameworks of rule</w:t>
      </w:r>
      <w:r w:rsidRPr="00B44AD6">
        <w:rPr>
          <w:rStyle w:val="Emphasis"/>
        </w:rPr>
        <w:t>, from the international level through state bodies to local authorities</w:t>
      </w:r>
      <w:r w:rsidRPr="00F6599F">
        <w:rPr>
          <w:sz w:val="10"/>
        </w:rPr>
        <w:t xml:space="preserve">. </w:t>
      </w:r>
      <w:r w:rsidRPr="00EA79DC">
        <w:rPr>
          <w:rStyle w:val="StyleUnderline"/>
        </w:rPr>
        <w:t>T</w:t>
      </w:r>
      <w:r w:rsidRPr="00B44AD6">
        <w:rPr>
          <w:rStyle w:val="StyleUnderline"/>
        </w:rPr>
        <w:t xml:space="preserve">he convergence of critical approaches in STS, postcolonial theory, queer theory and poststructuralist feminism with new and emerging governing agendas </w:t>
      </w:r>
      <w:r w:rsidRPr="00EA79DC">
        <w:rPr>
          <w:rStyle w:val="StyleUnderline"/>
          <w:highlight w:val="cyan"/>
        </w:rPr>
        <w:t xml:space="preserve">has </w:t>
      </w:r>
      <w:r w:rsidRPr="00EA79DC">
        <w:rPr>
          <w:rStyle w:val="Emphasis"/>
          <w:highlight w:val="cyan"/>
        </w:rPr>
        <w:t>given indigeneity a</w:t>
      </w:r>
      <w:r>
        <w:rPr>
          <w:rStyle w:val="Emphasis"/>
          <w:highlight w:val="cyan"/>
        </w:rPr>
        <w:t xml:space="preserve"> </w:t>
      </w:r>
      <w:r w:rsidRPr="00EA79DC">
        <w:rPr>
          <w:rStyle w:val="Emphasis"/>
          <w:highlight w:val="cyan"/>
        </w:rPr>
        <w:t>political purchase</w:t>
      </w:r>
      <w:r w:rsidRPr="00EA79DC">
        <w:rPr>
          <w:rStyle w:val="StyleUnderline"/>
        </w:rPr>
        <w:t xml:space="preserve"> that would </w:t>
      </w:r>
      <w:r w:rsidRPr="00EA79DC">
        <w:rPr>
          <w:rStyle w:val="StyleUnderline"/>
          <w:highlight w:val="cyan"/>
        </w:rPr>
        <w:t>otherwise</w:t>
      </w:r>
      <w:r w:rsidRPr="00EA79DC">
        <w:rPr>
          <w:rStyle w:val="StyleUnderline"/>
        </w:rPr>
        <w:t xml:space="preserve"> seem entirely </w:t>
      </w:r>
      <w:r w:rsidRPr="00EA79DC">
        <w:rPr>
          <w:rStyle w:val="StyleUnderline"/>
          <w:highlight w:val="cyan"/>
        </w:rPr>
        <w:t>unrelated</w:t>
      </w:r>
      <w:r w:rsidRPr="00EA79DC">
        <w:rPr>
          <w:rStyle w:val="StyleUnderline"/>
        </w:rPr>
        <w:t xml:space="preserve"> to historical or contemporary political trends</w:t>
      </w:r>
      <w:r w:rsidRPr="00F6599F">
        <w:rPr>
          <w:sz w:val="10"/>
        </w:rPr>
        <w:t xml:space="preserve">. In the rest of this essay we develop a careful analysis of how </w:t>
      </w:r>
      <w:r w:rsidRPr="00EA79DC">
        <w:rPr>
          <w:rStyle w:val="StyleUnderline"/>
        </w:rPr>
        <w:t>indigeneity</w:t>
      </w:r>
      <w:r>
        <w:rPr>
          <w:rStyle w:val="StyleUnderline"/>
        </w:rPr>
        <w:t xml:space="preserve"> </w:t>
      </w:r>
      <w:r w:rsidRPr="00EA79DC">
        <w:rPr>
          <w:rStyle w:val="StyleUnderline"/>
        </w:rPr>
        <w:t>functions discursively, both in political theory and policy, to produce new forms of thinking</w:t>
      </w:r>
      <w:r>
        <w:rPr>
          <w:rStyle w:val="StyleUnderline"/>
        </w:rPr>
        <w:t xml:space="preserve"> </w:t>
      </w:r>
      <w:r w:rsidRPr="00EA79DC">
        <w:rPr>
          <w:rStyle w:val="StyleUnderline"/>
        </w:rPr>
        <w:t xml:space="preserve">concerning subjectivity. These </w:t>
      </w:r>
      <w:r w:rsidRPr="00EA79DC">
        <w:rPr>
          <w:rStyle w:val="Emphasis"/>
          <w:highlight w:val="cyan"/>
        </w:rPr>
        <w:t>new forms of subjectivity</w:t>
      </w:r>
      <w:r w:rsidRPr="00EA79DC">
        <w:rPr>
          <w:rStyle w:val="StyleUnderline"/>
        </w:rPr>
        <w:t xml:space="preserve">, we argue, </w:t>
      </w:r>
      <w:r w:rsidRPr="00EA79DC">
        <w:rPr>
          <w:rStyle w:val="Emphasis"/>
          <w:highlight w:val="cyan"/>
        </w:rPr>
        <w:t>contrary to the claims</w:t>
      </w:r>
      <w:r>
        <w:rPr>
          <w:rStyle w:val="Emphasis"/>
          <w:highlight w:val="cyan"/>
        </w:rPr>
        <w:t xml:space="preserve"> </w:t>
      </w:r>
      <w:r w:rsidRPr="00EA79DC">
        <w:rPr>
          <w:rStyle w:val="Emphasis"/>
          <w:highlight w:val="cyan"/>
        </w:rPr>
        <w:t>of their manufacturers, are disabling of people’s capacities for political action</w:t>
      </w:r>
      <w:r w:rsidRPr="00F6599F">
        <w:rPr>
          <w:sz w:val="10"/>
        </w:rPr>
        <w:t xml:space="preserve">. In the following section we trace the rise of the notion of dispossession as a mode of being in the world that, while supposedly definitive of indigenous subjectivity, can and ought to be universalized as a “property” of subjects of the wider western world and beyond. Further sections relate the focus upon indigeneity to the ontological turn and the crisis of modernist approaches in the humanities and social sciences, particularly in anthropology and geography. We highlight how these forms of indigenous subjectification operate in relation to the capacities and performativities of resilience, the aim of which is to help western societies cope with the environmental crises of the Anthropocene. While </w:t>
      </w:r>
      <w:r w:rsidRPr="00F6599F">
        <w:rPr>
          <w:rStyle w:val="StyleUnderline"/>
        </w:rPr>
        <w:t xml:space="preserve">the </w:t>
      </w:r>
      <w:r w:rsidRPr="00F6599F">
        <w:rPr>
          <w:rStyle w:val="Emphasis"/>
        </w:rPr>
        <w:t>modern subject</w:t>
      </w:r>
      <w:r w:rsidRPr="00F6599F">
        <w:rPr>
          <w:sz w:val="10"/>
        </w:rPr>
        <w:t xml:space="preserve"> i</w:t>
      </w:r>
      <w:r w:rsidRPr="00F6599F">
        <w:rPr>
          <w:rStyle w:val="StyleUnderline"/>
        </w:rPr>
        <w:t>s</w:t>
      </w:r>
      <w:r w:rsidRPr="00F6599F">
        <w:rPr>
          <w:sz w:val="10"/>
        </w:rPr>
        <w:t xml:space="preserve"> encouraged to “become indigenous,” </w:t>
      </w:r>
      <w:r w:rsidRPr="00F6599F">
        <w:rPr>
          <w:rStyle w:val="StyleUnderline"/>
        </w:rPr>
        <w:t xml:space="preserve">the attention to indigeneity, we argue, </w:t>
      </w:r>
      <w:r w:rsidRPr="00F6599F">
        <w:rPr>
          <w:rStyle w:val="Emphasis"/>
        </w:rPr>
        <w:t>does not extend to the suffering and struggles of indigenous peoples</w:t>
      </w:r>
      <w:r w:rsidRPr="00F6599F">
        <w:rPr>
          <w:rStyle w:val="StyleUnderline"/>
        </w:rPr>
        <w:t xml:space="preserve"> who are held to have failed to become more-than-human exemplars of resilience</w:t>
      </w:r>
      <w:r w:rsidRPr="00F6599F">
        <w:rPr>
          <w:sz w:val="10"/>
        </w:rPr>
        <w:t xml:space="preserve">. Dispossession and Indigenous Agency </w:t>
      </w:r>
      <w:r w:rsidRPr="00F6599F">
        <w:rPr>
          <w:rStyle w:val="StyleUnderline"/>
        </w:rPr>
        <w:t>The appropriation and occupation of indigenous lands, the dispossession of indigenous peoples</w:t>
      </w:r>
      <w:r w:rsidRPr="00F6599F">
        <w:rPr>
          <w:sz w:val="10"/>
        </w:rPr>
        <w:t xml:space="preserve">, including notably, but not exclusively, the Palestinians, </w:t>
      </w:r>
      <w:r w:rsidRPr="00F6599F">
        <w:rPr>
          <w:rStyle w:val="StyleUnderline"/>
        </w:rPr>
        <w:t xml:space="preserve">has led not simply to arguments for the return of those lands to their original owners but also to the </w:t>
      </w:r>
      <w:r w:rsidRPr="00F6599F">
        <w:rPr>
          <w:rStyle w:val="Emphasis"/>
        </w:rPr>
        <w:t>articulation of the experience and condition of dispossession itself as a basis on which to theorize political subjectivity</w:t>
      </w:r>
      <w:r w:rsidRPr="00F6599F">
        <w:rPr>
          <w:sz w:val="10"/>
        </w:rPr>
        <w:t xml:space="preserve">. </w:t>
      </w:r>
      <w:r w:rsidRPr="00F6599F">
        <w:rPr>
          <w:rStyle w:val="StyleUnderline"/>
        </w:rPr>
        <w:t xml:space="preserve">In terms of the </w:t>
      </w:r>
      <w:r w:rsidRPr="00F6599F">
        <w:rPr>
          <w:rStyle w:val="Emphasis"/>
        </w:rPr>
        <w:t>will to combat liberalism and liberal theories and practices of subjectivity</w:t>
      </w:r>
      <w:r w:rsidRPr="00F6599F">
        <w:rPr>
          <w:sz w:val="10"/>
        </w:rPr>
        <w:t xml:space="preserve"> this focus on the problem of dispossession is understandable. As is well documented, liberal arguments dating back to the seventeenth century concerning the nature and right to property, especially the conditions for the exercise of the right to claim ownership of land, were fundamental to the colonial project and “gigantic process of expropriation” to which indigenous peoples were subjected.10 </w:t>
      </w:r>
      <w:r w:rsidRPr="00F6599F">
        <w:rPr>
          <w:rStyle w:val="StyleUnderline"/>
        </w:rPr>
        <w:t>Colonizers, in other words, would not have been able to justify their projects without the underlying theories of property that served to legitimate the acts of dispossession of indigenous peoples</w:t>
      </w:r>
      <w:r w:rsidRPr="00F6599F">
        <w:rPr>
          <w:sz w:val="10"/>
        </w:rPr>
        <w:t xml:space="preserve">. Of all the theories of property it was John Locke’s theory that has proved the most influential in legitimating the colonial dispossession of indigenous peoples. Locke’s central claim was that only those who till the soil of the land on which they live, and improve, cultivate and develop it, can claim the right to own it. The distinction between those who cultivate the land and those who merely live off it thus provided the rationale for dispossessing indigenous peoples of the right to their land.11 This distinction concerns not simply the relationship of a people to a particular land but its relationship to nature as such. Is the people in question one that has transcended nature and through its development of the soil become its master? Or is it a people that lives simply in subordination to nature, as other animals do, living off the land without improving it? These are the questions that underlie </w:t>
      </w:r>
      <w:r w:rsidRPr="00446D36">
        <w:rPr>
          <w:rStyle w:val="StyleUnderline"/>
        </w:rPr>
        <w:t>the Lockean theory</w:t>
      </w:r>
      <w:r>
        <w:rPr>
          <w:rStyle w:val="StyleUnderline"/>
        </w:rPr>
        <w:t xml:space="preserve"> </w:t>
      </w:r>
      <w:r w:rsidRPr="00446D36">
        <w:rPr>
          <w:rStyle w:val="StyleUnderline"/>
        </w:rPr>
        <w:t>of property that provided the basis not just for the dispossession of indigenous peoples of</w:t>
      </w:r>
      <w:r>
        <w:rPr>
          <w:rStyle w:val="StyleUnderline"/>
        </w:rPr>
        <w:t xml:space="preserve"> </w:t>
      </w:r>
      <w:r w:rsidRPr="00446D36">
        <w:rPr>
          <w:rStyle w:val="StyleUnderline"/>
        </w:rPr>
        <w:t>the lands on which they lived, thus denying their right to those lands, but also the racist</w:t>
      </w:r>
      <w:r>
        <w:rPr>
          <w:rStyle w:val="StyleUnderline"/>
        </w:rPr>
        <w:t xml:space="preserve"> </w:t>
      </w:r>
      <w:r w:rsidRPr="00446D36">
        <w:rPr>
          <w:rStyle w:val="StyleUnderline"/>
        </w:rPr>
        <w:t>reasoning that in turn legitimated the long history of violence against them</w:t>
      </w:r>
      <w:r w:rsidRPr="00F6599F">
        <w:rPr>
          <w:sz w:val="10"/>
        </w:rPr>
        <w:t xml:space="preserve">. </w:t>
      </w:r>
      <w:r w:rsidRPr="00446D36">
        <w:rPr>
          <w:rStyle w:val="StyleUnderline"/>
        </w:rPr>
        <w:t>No wonder</w:t>
      </w:r>
      <w:r>
        <w:rPr>
          <w:rStyle w:val="StyleUnderline"/>
        </w:rPr>
        <w:t xml:space="preserve"> </w:t>
      </w:r>
      <w:r w:rsidRPr="00446D36">
        <w:rPr>
          <w:rStyle w:val="StyleUnderline"/>
        </w:rPr>
        <w:t>then that the supposedly postliberal theories of political subjectivity today involve serious</w:t>
      </w:r>
      <w:r>
        <w:rPr>
          <w:rStyle w:val="StyleUnderline"/>
        </w:rPr>
        <w:t xml:space="preserve"> </w:t>
      </w:r>
      <w:r w:rsidRPr="00446D36">
        <w:rPr>
          <w:rStyle w:val="StyleUnderline"/>
        </w:rPr>
        <w:t>reflection on the nature of dispossession itself</w:t>
      </w:r>
      <w:r w:rsidRPr="00F6599F">
        <w:rPr>
          <w:sz w:val="10"/>
        </w:rPr>
        <w:t xml:space="preserve">. This postliberal approach is explicitly and forcefully critiqued in Judith Butler and Athena Athanasiou’s 2013 Dispossession: The Performative in the Political. They conceive dispossession both as an act, “as one way that subjects are radically de-instituted,” and as an attribute of the subject that offers a counter-movement to the forces of dispossession. Butler and Athanasiou contest the histories and continuing realities of dispossession by addressing the deeper terrains of its subject-formations. </w:t>
      </w:r>
      <w:r w:rsidRPr="00F74AE9">
        <w:rPr>
          <w:rStyle w:val="StyleUnderline"/>
        </w:rPr>
        <w:t>The problem they identify lies both in the right to</w:t>
      </w:r>
      <w:r>
        <w:rPr>
          <w:rStyle w:val="StyleUnderline"/>
        </w:rPr>
        <w:t xml:space="preserve"> </w:t>
      </w:r>
      <w:r w:rsidRPr="00F74AE9">
        <w:rPr>
          <w:rStyle w:val="StyleUnderline"/>
        </w:rPr>
        <w:t>dispossess and in its assumption at the heart of the liberal subject</w:t>
      </w:r>
      <w:r w:rsidRPr="00F6599F">
        <w:rPr>
          <w:sz w:val="10"/>
        </w:rPr>
        <w:t xml:space="preserve">. This assumption, which is crucial to the distinction between colonizing and colonized subjects, was the notion that the colonizers had transcended nature. Butler and Athanasiou seek to avoid any avowal of a subject that “possesses itself and its object world, and whose relations with others are defined by possession and its instrumentalities” in the struggle against regimes that dispossess indigenous peoples. “Prizing the forms of responsibility and resistance that emerge from a ‘dispossessed’ subject,” they underline their awareness that “dispossession constitutes a form of suffering for those displaced and colonized.” Their gesture of solidarity with the peoples who have been historically dispossessed is accompanied by a normative gesture that signals the need for constraint on the part of the indigenous lest they seek recourse to the forms of possessive individualism that the authors otherwise identify with colonizers: “How to become dispossessed of the sovereign self and enter into forms of collectivity that oppose forms of dispossession that systematically jettison populations from modes of collective belonging and justice” is thus the question they raise.12 Likewise, it is the question of how to oppose forms of dispossession in ways that function doubly to produce dispossessed forms of subjectivity.13 </w:t>
      </w:r>
      <w:r w:rsidRPr="00F74AE9">
        <w:rPr>
          <w:rStyle w:val="StyleUnderline"/>
        </w:rPr>
        <w:t xml:space="preserve">Too many social and </w:t>
      </w:r>
      <w:r w:rsidRPr="00546EBC">
        <w:rPr>
          <w:rStyle w:val="Emphasis"/>
          <w:highlight w:val="cyan"/>
        </w:rPr>
        <w:t>political</w:t>
      </w:r>
      <w:r>
        <w:rPr>
          <w:rStyle w:val="Emphasis"/>
          <w:highlight w:val="cyan"/>
        </w:rPr>
        <w:t xml:space="preserve"> </w:t>
      </w:r>
      <w:r w:rsidRPr="00546EBC">
        <w:rPr>
          <w:rStyle w:val="Emphasis"/>
          <w:highlight w:val="cyan"/>
        </w:rPr>
        <w:t>struggles</w:t>
      </w:r>
      <w:r w:rsidRPr="00F74AE9">
        <w:rPr>
          <w:rStyle w:val="StyleUnderline"/>
        </w:rPr>
        <w:t xml:space="preserve"> against dispossession </w:t>
      </w:r>
      <w:r w:rsidRPr="00C741EA">
        <w:rPr>
          <w:rStyle w:val="StyleUnderline"/>
          <w:highlight w:val="cyan"/>
        </w:rPr>
        <w:t xml:space="preserve">are </w:t>
      </w:r>
      <w:r w:rsidRPr="00546EBC">
        <w:rPr>
          <w:rStyle w:val="Emphasis"/>
          <w:highlight w:val="cyan"/>
        </w:rPr>
        <w:t>thought to recuperate the</w:t>
      </w:r>
      <w:r w:rsidRPr="00546EBC">
        <w:rPr>
          <w:rStyle w:val="Emphasis"/>
        </w:rPr>
        <w:t xml:space="preserve"> same </w:t>
      </w:r>
      <w:r w:rsidRPr="00546EBC">
        <w:rPr>
          <w:rStyle w:val="Emphasis"/>
          <w:highlight w:val="cyan"/>
        </w:rPr>
        <w:t>logic of possession</w:t>
      </w:r>
      <w:r w:rsidRPr="00F74AE9">
        <w:rPr>
          <w:rStyle w:val="StyleUnderline"/>
        </w:rPr>
        <w:t xml:space="preserve"> that</w:t>
      </w:r>
      <w:r>
        <w:rPr>
          <w:rStyle w:val="StyleUnderline"/>
        </w:rPr>
        <w:t xml:space="preserve"> </w:t>
      </w:r>
      <w:r w:rsidRPr="00F74AE9">
        <w:rPr>
          <w:rStyle w:val="StyleUnderline"/>
        </w:rPr>
        <w:t>accounted for the original dispossession from which the struggles in question emerged</w:t>
      </w:r>
      <w:r w:rsidRPr="00F6599F">
        <w:rPr>
          <w:sz w:val="10"/>
        </w:rPr>
        <w:t xml:space="preserve">. As Libby Porter argues, “the social field of rights-based struggle becomes stuck in a mode that seeks parity only within the frame of liberal ‘possessive individualism’. </w:t>
      </w:r>
      <w:r w:rsidRPr="00C741EA">
        <w:rPr>
          <w:rStyle w:val="StyleUnderline"/>
        </w:rPr>
        <w:t>Rights under this</w:t>
      </w:r>
      <w:r>
        <w:rPr>
          <w:rStyle w:val="StyleUnderline"/>
        </w:rPr>
        <w:t xml:space="preserve"> </w:t>
      </w:r>
      <w:r w:rsidRPr="00C741EA">
        <w:rPr>
          <w:rStyle w:val="StyleUnderline"/>
        </w:rPr>
        <w:t>conception are a bundle of things that can be possessed, held, alienated and exchanged, and</w:t>
      </w:r>
      <w:r>
        <w:rPr>
          <w:rStyle w:val="StyleUnderline"/>
        </w:rPr>
        <w:t xml:space="preserve"> </w:t>
      </w:r>
      <w:r w:rsidRPr="00C741EA">
        <w:rPr>
          <w:rStyle w:val="StyleUnderline"/>
        </w:rPr>
        <w:t>express the positionality of a possessing unitary subject</w:t>
      </w:r>
      <w:r w:rsidRPr="00F6599F">
        <w:rPr>
          <w:sz w:val="10"/>
        </w:rPr>
        <w:t xml:space="preserve">.”14 </w:t>
      </w:r>
      <w:r w:rsidRPr="00C741EA">
        <w:rPr>
          <w:rStyle w:val="StyleUnderline"/>
        </w:rPr>
        <w:t>The project of liberalism—not</w:t>
      </w:r>
      <w:r>
        <w:rPr>
          <w:rStyle w:val="StyleUnderline"/>
        </w:rPr>
        <w:t xml:space="preserve"> </w:t>
      </w:r>
      <w:r w:rsidRPr="00C741EA">
        <w:rPr>
          <w:rStyle w:val="StyleUnderline"/>
        </w:rPr>
        <w:t>just dispossessing peoples of their lands for liberal development, but reconstituting those</w:t>
      </w:r>
      <w:r>
        <w:rPr>
          <w:rStyle w:val="StyleUnderline"/>
        </w:rPr>
        <w:t xml:space="preserve"> </w:t>
      </w:r>
      <w:r w:rsidRPr="00C741EA">
        <w:rPr>
          <w:rStyle w:val="StyleUnderline"/>
        </w:rPr>
        <w:t>peoples as liberal—requires that they too partake in the logic of possession, becoming themselves possessive subjects, claiming rights to property and procedures consistent with their</w:t>
      </w:r>
      <w:r>
        <w:rPr>
          <w:rStyle w:val="StyleUnderline"/>
        </w:rPr>
        <w:t xml:space="preserve"> </w:t>
      </w:r>
      <w:r w:rsidRPr="00C741EA">
        <w:rPr>
          <w:rStyle w:val="StyleUnderline"/>
        </w:rPr>
        <w:t>liberalization. This invitation, to become possessive, to partake in the logic of possession,</w:t>
      </w:r>
      <w:r>
        <w:rPr>
          <w:rStyle w:val="StyleUnderline"/>
        </w:rPr>
        <w:t xml:space="preserve"> </w:t>
      </w:r>
      <w:r w:rsidRPr="00980391">
        <w:rPr>
          <w:rStyle w:val="StyleUnderline"/>
          <w:highlight w:val="cyan"/>
        </w:rPr>
        <w:t>and</w:t>
      </w:r>
      <w:r w:rsidRPr="00C741EA">
        <w:rPr>
          <w:rStyle w:val="StyleUnderline"/>
        </w:rPr>
        <w:t xml:space="preserve"> to emerge as fully-fledged </w:t>
      </w:r>
      <w:r w:rsidRPr="00546EBC">
        <w:rPr>
          <w:rStyle w:val="Emphasis"/>
          <w:highlight w:val="cyan"/>
        </w:rPr>
        <w:t>liberal subjects</w:t>
      </w:r>
      <w:r w:rsidRPr="00C741EA">
        <w:rPr>
          <w:rStyle w:val="StyleUnderline"/>
        </w:rPr>
        <w:t xml:space="preserve">, is one that has </w:t>
      </w:r>
      <w:r w:rsidRPr="00980391">
        <w:rPr>
          <w:rStyle w:val="StyleUnderline"/>
          <w:highlight w:val="cyan"/>
        </w:rPr>
        <w:t xml:space="preserve">to be </w:t>
      </w:r>
      <w:r w:rsidRPr="00546EBC">
        <w:rPr>
          <w:rStyle w:val="Emphasis"/>
          <w:highlight w:val="cyan"/>
        </w:rPr>
        <w:t>refused</w:t>
      </w:r>
      <w:r w:rsidRPr="00F6599F">
        <w:rPr>
          <w:sz w:val="10"/>
        </w:rPr>
        <w:t xml:space="preserve">. </w:t>
      </w:r>
      <w:r w:rsidRPr="00FA689B">
        <w:rPr>
          <w:rStyle w:val="StyleUnderline"/>
        </w:rPr>
        <w:t>This invitation</w:t>
      </w:r>
      <w:r w:rsidRPr="00F6599F">
        <w:rPr>
          <w:sz w:val="10"/>
        </w:rPr>
        <w:t xml:space="preserve">, however, </w:t>
      </w:r>
      <w:r w:rsidRPr="00FA689B">
        <w:rPr>
          <w:rStyle w:val="StyleUnderline"/>
        </w:rPr>
        <w:t>as we have known at least since Frantz Fanon’s The Wretched</w:t>
      </w:r>
      <w:r>
        <w:rPr>
          <w:rStyle w:val="StyleUnderline"/>
        </w:rPr>
        <w:t xml:space="preserve"> </w:t>
      </w:r>
      <w:r w:rsidRPr="00FA689B">
        <w:rPr>
          <w:rStyle w:val="StyleUnderline"/>
        </w:rPr>
        <w:t>of the Earth</w:t>
      </w:r>
      <w:r w:rsidRPr="00F6599F">
        <w:rPr>
          <w:sz w:val="10"/>
        </w:rPr>
        <w:t xml:space="preserve"> (1961), </w:t>
      </w:r>
      <w:r w:rsidRPr="00FA689B">
        <w:rPr>
          <w:rStyle w:val="StyleUnderline"/>
        </w:rPr>
        <w:t>is not what it seems to be</w:t>
      </w:r>
      <w:r w:rsidRPr="00F6599F">
        <w:rPr>
          <w:sz w:val="10"/>
        </w:rPr>
        <w:t xml:space="preserve">. </w:t>
      </w:r>
      <w:r w:rsidRPr="00FA689B">
        <w:rPr>
          <w:rStyle w:val="StyleUnderline"/>
        </w:rPr>
        <w:t>One cannot transition from colonized subject to liberal subject without conceding to one’s subjugation to the colonial schema itself</w:t>
      </w:r>
      <w:r w:rsidRPr="00F6599F">
        <w:rPr>
          <w:sz w:val="10"/>
        </w:rPr>
        <w:t xml:space="preserve">. The sustainability of colonial power depends on the capacity to transform the colonized population into subjects of imperial rule.15 Thus the liberation from colonial subjugation requires the colonial subject to wage war on that schema itself.16 </w:t>
      </w:r>
      <w:r w:rsidRPr="00980391">
        <w:rPr>
          <w:rStyle w:val="StyleUnderline"/>
        </w:rPr>
        <w:t>Embracing the logic of</w:t>
      </w:r>
      <w:r>
        <w:rPr>
          <w:rStyle w:val="StyleUnderline"/>
        </w:rPr>
        <w:t xml:space="preserve"> </w:t>
      </w:r>
      <w:r w:rsidRPr="00980391">
        <w:rPr>
          <w:rStyle w:val="StyleUnderline"/>
        </w:rPr>
        <w:t>possession cannot work, therefore, as a mode of resistance to liberal colonialism</w:t>
      </w:r>
      <w:r w:rsidRPr="00F6599F">
        <w:rPr>
          <w:sz w:val="10"/>
        </w:rPr>
        <w:t xml:space="preserve">. It does not work to produce justice even in the most naive sense. In situations where people have been dispossessed of the lands on which they lived, or as is often the case nowadays, have been displaced from one place to another, the ability to come into possession of another plot of land or place simply cannot compensate for their loss: “There is no genuine space in compensation payment calculus to attend to the loss and grief of a neighbourhood abandoned, the bulldozing of a home, the erasing of memories or the shattering of lives,” as Porter argues.17 </w:t>
      </w:r>
      <w:r w:rsidRPr="00FA689B">
        <w:rPr>
          <w:rStyle w:val="StyleUnderline"/>
        </w:rPr>
        <w:t>Of course</w:t>
      </w:r>
      <w:r w:rsidRPr="00F6599F">
        <w:rPr>
          <w:sz w:val="10"/>
        </w:rPr>
        <w:t xml:space="preserve">, as Porter admits, </w:t>
      </w:r>
      <w:r w:rsidRPr="00FA689B">
        <w:rPr>
          <w:rStyle w:val="StyleUnderline"/>
        </w:rPr>
        <w:t>this critique does not quite apply in the context of indigenous claims</w:t>
      </w:r>
      <w:r w:rsidRPr="00F6599F">
        <w:rPr>
          <w:sz w:val="10"/>
        </w:rPr>
        <w:t xml:space="preserve">. </w:t>
      </w:r>
      <w:r w:rsidRPr="00FA689B">
        <w:rPr>
          <w:rStyle w:val="StyleUnderline"/>
        </w:rPr>
        <w:t>It is</w:t>
      </w:r>
      <w:r w:rsidRPr="00F6599F">
        <w:rPr>
          <w:sz w:val="10"/>
        </w:rPr>
        <w:t>, as she argues, “</w:t>
      </w:r>
      <w:r w:rsidRPr="00FA689B">
        <w:rPr>
          <w:rStyle w:val="StyleUnderline"/>
        </w:rPr>
        <w:t>a different manifestation of a possessory calculus at work</w:t>
      </w:r>
      <w:r>
        <w:rPr>
          <w:rStyle w:val="StyleUnderline"/>
        </w:rPr>
        <w:t xml:space="preserve"> </w:t>
      </w:r>
      <w:r w:rsidRPr="00FA689B">
        <w:rPr>
          <w:rStyle w:val="StyleUnderline"/>
        </w:rPr>
        <w:t>in the recognition politics around indigenous land rights, for clearly indigenous claims are</w:t>
      </w:r>
      <w:r>
        <w:rPr>
          <w:rStyle w:val="StyleUnderline"/>
        </w:rPr>
        <w:t xml:space="preserve"> </w:t>
      </w:r>
      <w:r w:rsidRPr="00FA689B">
        <w:rPr>
          <w:rStyle w:val="StyleUnderline"/>
        </w:rPr>
        <w:t>intrinsically linked to particular spaces. The whole notion of indigenous property is that</w:t>
      </w:r>
      <w:r>
        <w:rPr>
          <w:rStyle w:val="StyleUnderline"/>
        </w:rPr>
        <w:t xml:space="preserve"> </w:t>
      </w:r>
      <w:r w:rsidRPr="00FA689B">
        <w:rPr>
          <w:rStyle w:val="StyleUnderline"/>
        </w:rPr>
        <w:t>it is inalienable, and cannot be traded for another locale on the planet</w:t>
      </w:r>
      <w:r w:rsidRPr="00F6599F">
        <w:rPr>
          <w:sz w:val="10"/>
        </w:rPr>
        <w:t xml:space="preserve">.”18 </w:t>
      </w:r>
      <w:r w:rsidRPr="00FA689B">
        <w:rPr>
          <w:rStyle w:val="StyleUnderline"/>
        </w:rPr>
        <w:t>The struggles of</w:t>
      </w:r>
      <w:r>
        <w:rPr>
          <w:rStyle w:val="StyleUnderline"/>
        </w:rPr>
        <w:t xml:space="preserve"> </w:t>
      </w:r>
      <w:r w:rsidRPr="00FA689B">
        <w:rPr>
          <w:rStyle w:val="StyleUnderline"/>
        </w:rPr>
        <w:t>indigenous peoples, in Australia for example, to re-possess their lands, by claiming indigenous title rights, is real and ongoing, and meeting with some success</w:t>
      </w:r>
      <w:r w:rsidRPr="00F6599F">
        <w:rPr>
          <w:sz w:val="10"/>
        </w:rPr>
        <w:t xml:space="preserve">. The royalties paid to title-owning indigenous people by mining companies has led to a growing Aboriginal middle-class. </w:t>
      </w:r>
      <w:r w:rsidRPr="00FA689B">
        <w:rPr>
          <w:rStyle w:val="StyleUnderline"/>
        </w:rPr>
        <w:t>It is true that success here is measured merely in terms of the socioeconomic betterment of Aboriginals under market conditions, by their ability, in other words, to exploit</w:t>
      </w:r>
      <w:r>
        <w:rPr>
          <w:rStyle w:val="StyleUnderline"/>
        </w:rPr>
        <w:t xml:space="preserve"> </w:t>
      </w:r>
      <w:r w:rsidRPr="00FA689B">
        <w:rPr>
          <w:rStyle w:val="StyleUnderline"/>
        </w:rPr>
        <w:t>their possessions through trade with other market actors, particularly resource-seeking</w:t>
      </w:r>
      <w:r>
        <w:rPr>
          <w:rStyle w:val="StyleUnderline"/>
        </w:rPr>
        <w:t xml:space="preserve"> </w:t>
      </w:r>
      <w:r w:rsidRPr="00FA689B">
        <w:rPr>
          <w:rStyle w:val="StyleUnderline"/>
        </w:rPr>
        <w:t>extractive industries. This poses a serious problem for anyone concerned with the deeper</w:t>
      </w:r>
      <w:r>
        <w:rPr>
          <w:rStyle w:val="StyleUnderline"/>
        </w:rPr>
        <w:t xml:space="preserve"> </w:t>
      </w:r>
      <w:r w:rsidRPr="00FA689B">
        <w:rPr>
          <w:rStyle w:val="StyleUnderline"/>
        </w:rPr>
        <w:t>political problem of the entrenchment of liberalism and the underlying colonization of the</w:t>
      </w:r>
      <w:r>
        <w:rPr>
          <w:rStyle w:val="StyleUnderline"/>
        </w:rPr>
        <w:t xml:space="preserve"> </w:t>
      </w:r>
      <w:r w:rsidRPr="00FA689B">
        <w:rPr>
          <w:rStyle w:val="StyleUnderline"/>
        </w:rPr>
        <w:t>indigenous implied by such socioeconomic success. It is for this very reason that opposition</w:t>
      </w:r>
      <w:r>
        <w:rPr>
          <w:rStyle w:val="StyleUnderline"/>
        </w:rPr>
        <w:t xml:space="preserve"> </w:t>
      </w:r>
      <w:r w:rsidRPr="00FA689B">
        <w:rPr>
          <w:rStyle w:val="StyleUnderline"/>
        </w:rPr>
        <w:t>to dispossession requires a wholly different mode of engagement, something other than a</w:t>
      </w:r>
      <w:r>
        <w:rPr>
          <w:rStyle w:val="StyleUnderline"/>
        </w:rPr>
        <w:t xml:space="preserve"> </w:t>
      </w:r>
      <w:r w:rsidRPr="00FA689B">
        <w:rPr>
          <w:rStyle w:val="StyleUnderline"/>
        </w:rPr>
        <w:t>mere assertion of the struggle for possession</w:t>
      </w:r>
      <w:r w:rsidRPr="00F6599F">
        <w:rPr>
          <w:sz w:val="10"/>
        </w:rPr>
        <w:t xml:space="preserve">. Butler and Athanasiou define this alternative form of politics as “performative.” </w:t>
      </w:r>
      <w:r w:rsidRPr="008A0A31">
        <w:rPr>
          <w:rStyle w:val="Emphasis"/>
        </w:rPr>
        <w:t>Performativity</w:t>
      </w:r>
      <w:r w:rsidRPr="008A0A31">
        <w:rPr>
          <w:rStyle w:val="StyleUnderline"/>
        </w:rPr>
        <w:t xml:space="preserve"> describes the ways by which dispossessed subjects produce themselves as</w:t>
      </w:r>
      <w:r>
        <w:rPr>
          <w:rStyle w:val="StyleUnderline"/>
        </w:rPr>
        <w:t xml:space="preserve"> </w:t>
      </w:r>
      <w:r w:rsidRPr="008A0A31">
        <w:rPr>
          <w:rStyle w:val="StyleUnderline"/>
        </w:rPr>
        <w:t>political subjects under the conditions of their dispossession without asserting themselves</w:t>
      </w:r>
      <w:r>
        <w:rPr>
          <w:rStyle w:val="StyleUnderline"/>
        </w:rPr>
        <w:t xml:space="preserve"> </w:t>
      </w:r>
      <w:r w:rsidRPr="008A0A31">
        <w:rPr>
          <w:rStyle w:val="StyleUnderline"/>
        </w:rPr>
        <w:t>as self-possessed and possessive subjects. It is a politics that applies and can be found, they</w:t>
      </w:r>
      <w:r>
        <w:rPr>
          <w:rStyle w:val="StyleUnderline"/>
        </w:rPr>
        <w:t xml:space="preserve"> </w:t>
      </w:r>
      <w:r w:rsidRPr="008A0A31">
        <w:rPr>
          <w:rStyle w:val="StyleUnderline"/>
        </w:rPr>
        <w:t>argue, among a remarkably wide variety of subject positions: indigenous peoples dispossessed of their land, refugees and the stateless, the sans papiers, migrant labourers, as well</w:t>
      </w:r>
      <w:r>
        <w:rPr>
          <w:rStyle w:val="StyleUnderline"/>
        </w:rPr>
        <w:t xml:space="preserve"> </w:t>
      </w:r>
      <w:r w:rsidRPr="008A0A31">
        <w:rPr>
          <w:rStyle w:val="StyleUnderline"/>
        </w:rPr>
        <w:t>as sexual minorities that are “dispossessed by regimes of gender and sexual normativity</w:t>
      </w:r>
      <w:r w:rsidRPr="00F6599F">
        <w:rPr>
          <w:sz w:val="10"/>
        </w:rPr>
        <w:t xml:space="preserve">.” Regardless of the normative constraint against becoming possessive, these are groups the precarious conditions of which actually preclude the assertion of “the logic of possession.” </w:t>
      </w:r>
      <w:r w:rsidRPr="008A0A31">
        <w:rPr>
          <w:rStyle w:val="StyleUnderline"/>
        </w:rPr>
        <w:t xml:space="preserve">The performative emerges, </w:t>
      </w:r>
      <w:r w:rsidRPr="00F0423D">
        <w:rPr>
          <w:rStyle w:val="StyleUnderline"/>
          <w:highlight w:val="cyan"/>
        </w:rPr>
        <w:t>they argue</w:t>
      </w:r>
      <w:r w:rsidRPr="008A0A31">
        <w:rPr>
          <w:rStyle w:val="StyleUnderline"/>
        </w:rPr>
        <w:t xml:space="preserve">, “precisely as </w:t>
      </w:r>
      <w:r w:rsidRPr="00F0423D">
        <w:rPr>
          <w:rStyle w:val="StyleUnderline"/>
          <w:highlight w:val="cyan"/>
        </w:rPr>
        <w:t xml:space="preserve">the </w:t>
      </w:r>
      <w:r w:rsidRPr="00F0423D">
        <w:rPr>
          <w:rStyle w:val="Emphasis"/>
          <w:highlight w:val="cyan"/>
        </w:rPr>
        <w:t>specific power of the precarious</w:t>
      </w:r>
      <w:r w:rsidRPr="008A0A31">
        <w:rPr>
          <w:rStyle w:val="StyleUnderline"/>
        </w:rPr>
        <w:t>—</w:t>
      </w:r>
      <w:r>
        <w:rPr>
          <w:rStyle w:val="StyleUnderline"/>
        </w:rPr>
        <w:t xml:space="preserve"> </w:t>
      </w:r>
      <w:r w:rsidRPr="00F0423D">
        <w:rPr>
          <w:rStyle w:val="Emphasis"/>
          <w:highlight w:val="cyan"/>
        </w:rPr>
        <w:t>unauthorized</w:t>
      </w:r>
      <w:r w:rsidRPr="008A0A31">
        <w:rPr>
          <w:rStyle w:val="StyleUnderline"/>
        </w:rPr>
        <w:t xml:space="preserve"> by existing legal regimes, </w:t>
      </w:r>
      <w:r w:rsidRPr="004A4BBD">
        <w:rPr>
          <w:rStyle w:val="Emphasis"/>
        </w:rPr>
        <w:t xml:space="preserve">abandoned </w:t>
      </w:r>
      <w:r w:rsidRPr="00F0423D">
        <w:rPr>
          <w:rStyle w:val="Emphasis"/>
          <w:highlight w:val="cyan"/>
        </w:rPr>
        <w:t>by the law</w:t>
      </w:r>
      <w:r w:rsidRPr="008A0A31">
        <w:rPr>
          <w:rStyle w:val="StyleUnderline"/>
        </w:rPr>
        <w:t xml:space="preserve"> itself—</w:t>
      </w:r>
      <w:r w:rsidRPr="00F0423D">
        <w:rPr>
          <w:rStyle w:val="StyleUnderline"/>
          <w:highlight w:val="cyan"/>
        </w:rPr>
        <w:t xml:space="preserve">to </w:t>
      </w:r>
      <w:r w:rsidRPr="00F0423D">
        <w:rPr>
          <w:rStyle w:val="Emphasis"/>
          <w:highlight w:val="cyan"/>
        </w:rPr>
        <w:t>demand the end</w:t>
      </w:r>
      <w:r>
        <w:rPr>
          <w:rStyle w:val="Emphasis"/>
          <w:highlight w:val="cyan"/>
        </w:rPr>
        <w:t xml:space="preserve"> </w:t>
      </w:r>
      <w:r w:rsidRPr="00F0423D">
        <w:rPr>
          <w:rStyle w:val="Emphasis"/>
          <w:highlight w:val="cyan"/>
        </w:rPr>
        <w:t>to their precarity</w:t>
      </w:r>
      <w:r w:rsidRPr="00F6599F">
        <w:rPr>
          <w:sz w:val="10"/>
        </w:rPr>
        <w:t xml:space="preserve">.”19 Butler and Athanasiou discuss concrete instances of performativity—the singing of the national anthem of the United States in Spanish by illegal immigrants in the streets of Los Angeles in 2006; the street demonstrations and self-immolations in Morocco and Tunisia in 2010 and 2011 respectively, which contributed to the Arab Spring; hunger strikes; the marches of women across the deserts of Northern Mexico in protest of the rapes occurring there; the performance art of Regina Jose Galindo. </w:t>
      </w:r>
      <w:r w:rsidRPr="00F0423D">
        <w:rPr>
          <w:rStyle w:val="Emphasis"/>
          <w:highlight w:val="cyan"/>
        </w:rPr>
        <w:t>All</w:t>
      </w:r>
      <w:r w:rsidRPr="004A4BBD">
        <w:rPr>
          <w:rStyle w:val="StyleUnderline"/>
        </w:rPr>
        <w:t xml:space="preserve"> of these are </w:t>
      </w:r>
      <w:r w:rsidRPr="00F0423D">
        <w:rPr>
          <w:rStyle w:val="Emphasis"/>
          <w:highlight w:val="cyan"/>
        </w:rPr>
        <w:t>instances of peoples dispossessing themselves in order to dispossess coercive powers</w:t>
      </w:r>
      <w:r w:rsidRPr="00F6599F">
        <w:rPr>
          <w:sz w:val="10"/>
        </w:rPr>
        <w:t xml:space="preserve">.20 Other instances discussed by scholars of performativity include naked blogging, such as the naked pictures posted by the Egyptian Aliaa Magda Elmahdy, which are said to have contributed not just to the Egyptian revolution of 2011, but to a reconfiguration of the body politic and a re-imagining of the theater of the political.21 The use of public nudity by the Femen movement and its mobilization against Islamic oppression, including the “international topless jihad day,” is also discussed in this framework.22 We may also refer to the poignant acts of self-dispossession on the Mediterranean shores, of people giving their homes to refugees who have been dispossessed of their own homes by ongoing wars whether in Syria, Africa or elsewhere. </w:t>
      </w:r>
      <w:r w:rsidRPr="004A4BBD">
        <w:rPr>
          <w:rStyle w:val="StyleUnderline"/>
        </w:rPr>
        <w:t>What all such instances have in common</w:t>
      </w:r>
      <w:r w:rsidRPr="00F6599F">
        <w:rPr>
          <w:sz w:val="10"/>
        </w:rPr>
        <w:t xml:space="preserve">, Butler and Athanasiou argue, </w:t>
      </w:r>
      <w:r w:rsidRPr="004A4BBD">
        <w:rPr>
          <w:rStyle w:val="StyleUnderline"/>
        </w:rPr>
        <w:t>is that “rather</w:t>
      </w:r>
      <w:r>
        <w:rPr>
          <w:rStyle w:val="StyleUnderline"/>
        </w:rPr>
        <w:t xml:space="preserve"> </w:t>
      </w:r>
      <w:r w:rsidRPr="004A4BBD">
        <w:rPr>
          <w:rStyle w:val="StyleUnderline"/>
        </w:rPr>
        <w:t>than implying a transcendent euphoria of effective will or redemption,” their performance</w:t>
      </w:r>
      <w:r>
        <w:rPr>
          <w:rStyle w:val="StyleUnderline"/>
        </w:rPr>
        <w:t xml:space="preserve"> </w:t>
      </w:r>
      <w:r w:rsidRPr="004A4BBD">
        <w:rPr>
          <w:rStyle w:val="StyleUnderline"/>
        </w:rPr>
        <w:t>“pertains to the ordinary and extraordinary forces of endurance and survival</w:t>
      </w:r>
      <w:r w:rsidRPr="00F6599F">
        <w:rPr>
          <w:sz w:val="10"/>
        </w:rPr>
        <w:t xml:space="preserve">.” It is not a politics aimed at constituting a subject that is possessive but one that (re-)produces the subject’s dispossession while seeking to displace the regimes of dispossession through “a labor of sensing, imagining, envisaging, and forging an alternative to the present.”23 It is an alternative grounded, avowedly, in the condition and subject of dispossession. </w:t>
      </w:r>
      <w:r w:rsidRPr="008D64A5">
        <w:rPr>
          <w:rStyle w:val="StyleUnderline"/>
        </w:rPr>
        <w:t>Yet how,</w:t>
      </w:r>
      <w:r>
        <w:rPr>
          <w:rStyle w:val="StyleUnderline"/>
        </w:rPr>
        <w:t xml:space="preserve"> </w:t>
      </w:r>
      <w:r w:rsidRPr="008D64A5">
        <w:rPr>
          <w:rStyle w:val="StyleUnderline"/>
        </w:rPr>
        <w:t>indeed, to dispossess the dispossessed of any desire to become the possessors is the deeply</w:t>
      </w:r>
      <w:r>
        <w:rPr>
          <w:rStyle w:val="StyleUnderline"/>
        </w:rPr>
        <w:t xml:space="preserve"> </w:t>
      </w:r>
      <w:r w:rsidRPr="008D64A5">
        <w:rPr>
          <w:rStyle w:val="StyleUnderline"/>
        </w:rPr>
        <w:t>paradoxical task</w:t>
      </w:r>
      <w:r w:rsidRPr="00F6599F">
        <w:rPr>
          <w:sz w:val="10"/>
        </w:rPr>
        <w:t xml:space="preserve"> Butler and Athanasiou set themselves. </w:t>
      </w:r>
      <w:r w:rsidRPr="008D64A5">
        <w:rPr>
          <w:rStyle w:val="StyleUnderline"/>
        </w:rPr>
        <w:t>In this sense, whatever the authors</w:t>
      </w:r>
      <w:r>
        <w:rPr>
          <w:rStyle w:val="StyleUnderline"/>
        </w:rPr>
        <w:t xml:space="preserve"> </w:t>
      </w:r>
      <w:r w:rsidRPr="008D64A5">
        <w:rPr>
          <w:rStyle w:val="StyleUnderline"/>
        </w:rPr>
        <w:t>might discursively claim, their work is also an argument for dispossession in the negative</w:t>
      </w:r>
      <w:r>
        <w:rPr>
          <w:rStyle w:val="StyleUnderline"/>
        </w:rPr>
        <w:t xml:space="preserve"> </w:t>
      </w:r>
      <w:r w:rsidRPr="008D64A5">
        <w:rPr>
          <w:rStyle w:val="StyleUnderline"/>
        </w:rPr>
        <w:t>sense they claim to oppose. It presupposes a politics that can only function through modes</w:t>
      </w:r>
      <w:r>
        <w:rPr>
          <w:rStyle w:val="StyleUnderline"/>
        </w:rPr>
        <w:t xml:space="preserve"> </w:t>
      </w:r>
      <w:r w:rsidRPr="008D64A5">
        <w:rPr>
          <w:rStyle w:val="StyleUnderline"/>
        </w:rPr>
        <w:t>of dispossession performed upon people and not simply in opposition to it. It is a politics</w:t>
      </w:r>
      <w:r>
        <w:rPr>
          <w:rStyle w:val="StyleUnderline"/>
        </w:rPr>
        <w:t xml:space="preserve"> </w:t>
      </w:r>
      <w:r w:rsidRPr="008D64A5">
        <w:rPr>
          <w:rStyle w:val="StyleUnderline"/>
        </w:rPr>
        <w:t>that constructs a particular kind of body—obdurate, persistent, insistent on its continuous</w:t>
      </w:r>
      <w:r>
        <w:rPr>
          <w:rStyle w:val="StyleUnderline"/>
        </w:rPr>
        <w:t xml:space="preserve"> </w:t>
      </w:r>
      <w:r w:rsidRPr="008D64A5">
        <w:rPr>
          <w:rStyle w:val="StyleUnderline"/>
        </w:rPr>
        <w:t xml:space="preserve">and collective thereness, organized without hierarchy, </w:t>
      </w:r>
      <w:r w:rsidRPr="00546EBC">
        <w:rPr>
          <w:rStyle w:val="Emphasis"/>
          <w:highlight w:val="cyan"/>
        </w:rPr>
        <w:t>enacting its message performatively</w:t>
      </w:r>
      <w:r>
        <w:rPr>
          <w:rStyle w:val="Emphasis"/>
          <w:highlight w:val="cyan"/>
        </w:rPr>
        <w:t xml:space="preserve"> </w:t>
      </w:r>
      <w:r w:rsidRPr="00546EBC">
        <w:rPr>
          <w:rStyle w:val="Emphasis"/>
          <w:highlight w:val="cyan"/>
        </w:rPr>
        <w:t>through the occupation of</w:t>
      </w:r>
      <w:r w:rsidRPr="0031110A">
        <w:rPr>
          <w:rStyle w:val="Emphasis"/>
        </w:rPr>
        <w:t xml:space="preserve"> a public </w:t>
      </w:r>
      <w:r w:rsidRPr="00546EBC">
        <w:rPr>
          <w:rStyle w:val="Emphasis"/>
          <w:highlight w:val="cyan"/>
        </w:rPr>
        <w:t>space</w:t>
      </w:r>
      <w:r w:rsidRPr="008D64A5">
        <w:rPr>
          <w:rStyle w:val="StyleUnderline"/>
        </w:rPr>
        <w:t xml:space="preserve"> and its self-display, individually as well as collectively. </w:t>
      </w:r>
      <w:r w:rsidRPr="00C57F38">
        <w:rPr>
          <w:rStyle w:val="StyleUnderline"/>
          <w:highlight w:val="cyan"/>
        </w:rPr>
        <w:t xml:space="preserve">It is </w:t>
      </w:r>
      <w:r w:rsidRPr="00C57F38">
        <w:rPr>
          <w:rStyle w:val="Emphasis"/>
          <w:highlight w:val="cyan"/>
        </w:rPr>
        <w:t xml:space="preserve">not a </w:t>
      </w:r>
      <w:r w:rsidRPr="00CE5F62">
        <w:rPr>
          <w:rStyle w:val="Emphasis"/>
          <w:highlight w:val="cyan"/>
        </w:rPr>
        <w:t>body that can</w:t>
      </w:r>
      <w:r w:rsidRPr="0031110A">
        <w:rPr>
          <w:rStyle w:val="Emphasis"/>
        </w:rPr>
        <w:t xml:space="preserve"> ever </w:t>
      </w:r>
      <w:r w:rsidRPr="00CE5F62">
        <w:rPr>
          <w:rStyle w:val="Emphasis"/>
          <w:highlight w:val="cyan"/>
        </w:rPr>
        <w:t>or will ever master the space it occupies</w:t>
      </w:r>
      <w:r w:rsidRPr="00F6599F">
        <w:rPr>
          <w:sz w:val="10"/>
        </w:rPr>
        <w:t xml:space="preserve">. </w:t>
      </w:r>
      <w:r w:rsidRPr="00CE5F62">
        <w:rPr>
          <w:rStyle w:val="StyleUnderline"/>
          <w:highlight w:val="cyan"/>
        </w:rPr>
        <w:t xml:space="preserve">The </w:t>
      </w:r>
      <w:r w:rsidRPr="00CE5F62">
        <w:rPr>
          <w:rStyle w:val="Emphasis"/>
          <w:highlight w:val="cyan"/>
        </w:rPr>
        <w:t>argument</w:t>
      </w:r>
      <w:r w:rsidRPr="007470A6">
        <w:rPr>
          <w:rStyle w:val="StyleUnderline"/>
        </w:rPr>
        <w:t xml:space="preserve">, of course, </w:t>
      </w:r>
      <w:r w:rsidRPr="00CE5F62">
        <w:rPr>
          <w:rStyle w:val="StyleUnderline"/>
          <w:highlight w:val="cyan"/>
        </w:rPr>
        <w:t>is</w:t>
      </w:r>
      <w:r w:rsidRPr="007470A6">
        <w:rPr>
          <w:rStyle w:val="StyleUnderline"/>
        </w:rPr>
        <w:t xml:space="preserve"> that </w:t>
      </w:r>
      <w:r w:rsidRPr="00CE5F62">
        <w:rPr>
          <w:rStyle w:val="Emphasis"/>
          <w:highlight w:val="cyan"/>
        </w:rPr>
        <w:t>this</w:t>
      </w:r>
      <w:r w:rsidRPr="00F0423D">
        <w:rPr>
          <w:rStyle w:val="Emphasis"/>
        </w:rPr>
        <w:t xml:space="preserve"> way of performing political subjectivity </w:t>
      </w:r>
      <w:r w:rsidRPr="00CE5F62">
        <w:rPr>
          <w:rStyle w:val="Emphasis"/>
          <w:highlight w:val="cyan"/>
        </w:rPr>
        <w:t>is necessary</w:t>
      </w:r>
      <w:r>
        <w:rPr>
          <w:rStyle w:val="Emphasis"/>
        </w:rPr>
        <w:t xml:space="preserve"> </w:t>
      </w:r>
      <w:r w:rsidRPr="0031110A">
        <w:rPr>
          <w:rStyle w:val="Emphasis"/>
        </w:rPr>
        <w:t xml:space="preserve">as a turn away from and </w:t>
      </w:r>
      <w:r w:rsidRPr="00CE5F62">
        <w:rPr>
          <w:rStyle w:val="Emphasis"/>
          <w:highlight w:val="cyan"/>
        </w:rPr>
        <w:t>against</w:t>
      </w:r>
      <w:r w:rsidRPr="0031110A">
        <w:rPr>
          <w:rStyle w:val="Emphasis"/>
        </w:rPr>
        <w:t xml:space="preserve"> the </w:t>
      </w:r>
      <w:r w:rsidRPr="00CE5F62">
        <w:rPr>
          <w:rStyle w:val="Emphasis"/>
          <w:highlight w:val="cyan"/>
        </w:rPr>
        <w:t>liberal</w:t>
      </w:r>
      <w:r w:rsidRPr="0031110A">
        <w:rPr>
          <w:rStyle w:val="Emphasis"/>
        </w:rPr>
        <w:t xml:space="preserve"> tradition of thinking and practicing political</w:t>
      </w:r>
      <w:r>
        <w:rPr>
          <w:rStyle w:val="Emphasis"/>
        </w:rPr>
        <w:t xml:space="preserve"> </w:t>
      </w:r>
      <w:r w:rsidRPr="00CE5F62">
        <w:rPr>
          <w:rStyle w:val="Emphasis"/>
          <w:highlight w:val="cyan"/>
        </w:rPr>
        <w:t>subjectivity</w:t>
      </w:r>
      <w:r w:rsidRPr="007470A6">
        <w:rPr>
          <w:rStyle w:val="StyleUnderline"/>
        </w:rPr>
        <w:t>, based as it supposedly has been on the assumption of a body that masters,</w:t>
      </w:r>
      <w:r>
        <w:rPr>
          <w:rStyle w:val="StyleUnderline"/>
        </w:rPr>
        <w:t xml:space="preserve"> </w:t>
      </w:r>
      <w:r w:rsidRPr="007470A6">
        <w:rPr>
          <w:rStyle w:val="StyleUnderline"/>
        </w:rPr>
        <w:t>possesses, and improves the spaces it occupies. Instead we have to grasp the body as a thing</w:t>
      </w:r>
      <w:r>
        <w:rPr>
          <w:rStyle w:val="StyleUnderline"/>
        </w:rPr>
        <w:t xml:space="preserve"> </w:t>
      </w:r>
      <w:r w:rsidRPr="007470A6">
        <w:rPr>
          <w:rStyle w:val="StyleUnderline"/>
        </w:rPr>
        <w:t>that performs a poiesis in space, that is, a double movement involving both desubjugation</w:t>
      </w:r>
      <w:r>
        <w:rPr>
          <w:rStyle w:val="StyleUnderline"/>
        </w:rPr>
        <w:t xml:space="preserve"> </w:t>
      </w:r>
      <w:r w:rsidRPr="007470A6">
        <w:rPr>
          <w:rStyle w:val="StyleUnderline"/>
        </w:rPr>
        <w:t>and self-making</w:t>
      </w:r>
      <w:r w:rsidRPr="00F6599F">
        <w:rPr>
          <w:sz w:val="10"/>
        </w:rPr>
        <w:t xml:space="preserve">. This understanding of the body, of “the subject” as such, derives from Butler’s interpretation of Michel Foucault’s theory of the subject formation. Poiesis, she argues, is central to the mode of existence of the subject, which must risk itself in making itself in order to desubjugate itself from particular regimes of truth. </w:t>
      </w:r>
      <w:r w:rsidRPr="007470A6">
        <w:rPr>
          <w:rStyle w:val="StyleUnderline"/>
        </w:rPr>
        <w:t>This is not a theory</w:t>
      </w:r>
      <w:r>
        <w:rPr>
          <w:rStyle w:val="StyleUnderline"/>
        </w:rPr>
        <w:t xml:space="preserve"> </w:t>
      </w:r>
      <w:r w:rsidRPr="007470A6">
        <w:rPr>
          <w:rStyle w:val="StyleUnderline"/>
        </w:rPr>
        <w:t>of the subject as transcendent or masterful or in possession of itself or others, but rather</w:t>
      </w:r>
      <w:r>
        <w:rPr>
          <w:rStyle w:val="StyleUnderline"/>
        </w:rPr>
        <w:t xml:space="preserve"> </w:t>
      </w:r>
      <w:r w:rsidRPr="007470A6">
        <w:rPr>
          <w:rStyle w:val="StyleUnderline"/>
        </w:rPr>
        <w:t>of a self or subject outside of subjugating modes of subjectivation. The subject is always,</w:t>
      </w:r>
      <w:r>
        <w:rPr>
          <w:rStyle w:val="StyleUnderline"/>
        </w:rPr>
        <w:t xml:space="preserve"> </w:t>
      </w:r>
      <w:r w:rsidRPr="007470A6">
        <w:rPr>
          <w:rStyle w:val="StyleUnderline"/>
        </w:rPr>
        <w:t>regardless of its capacities to make itself, orchestrated by power</w:t>
      </w:r>
      <w:r w:rsidRPr="00F6599F">
        <w:rPr>
          <w:sz w:val="10"/>
        </w:rPr>
        <w:t xml:space="preserve">.24 In the work of Butler and of others we can see that the indigenous subject is undergoing a transformation. </w:t>
      </w:r>
      <w:r w:rsidRPr="00F0423D">
        <w:rPr>
          <w:rStyle w:val="Emphasis"/>
          <w:highlight w:val="cyan"/>
        </w:rPr>
        <w:t>No longer</w:t>
      </w:r>
      <w:r w:rsidRPr="007470A6">
        <w:rPr>
          <w:rStyle w:val="StyleUnderline"/>
        </w:rPr>
        <w:t xml:space="preserve"> seen as a subject that </w:t>
      </w:r>
      <w:r w:rsidRPr="00F0423D">
        <w:rPr>
          <w:rStyle w:val="Emphasis"/>
          <w:highlight w:val="cyan"/>
        </w:rPr>
        <w:t>calls for political solidarity</w:t>
      </w:r>
      <w:r w:rsidRPr="0031110A">
        <w:rPr>
          <w:rStyle w:val="Emphasis"/>
        </w:rPr>
        <w:t xml:space="preserve"> in a struggle</w:t>
      </w:r>
      <w:r>
        <w:rPr>
          <w:rStyle w:val="Emphasis"/>
        </w:rPr>
        <w:t xml:space="preserve"> </w:t>
      </w:r>
      <w:r w:rsidRPr="0031110A">
        <w:rPr>
          <w:rStyle w:val="Emphasis"/>
        </w:rPr>
        <w:t>against colonial or neoliberal domination in order to repossess the lands of which it has</w:t>
      </w:r>
      <w:r>
        <w:rPr>
          <w:rStyle w:val="Emphasis"/>
        </w:rPr>
        <w:t xml:space="preserve"> </w:t>
      </w:r>
      <w:r w:rsidRPr="0031110A">
        <w:rPr>
          <w:rStyle w:val="Emphasis"/>
        </w:rPr>
        <w:t>been robbed</w:t>
      </w:r>
      <w:r w:rsidRPr="007470A6">
        <w:rPr>
          <w:rStyle w:val="StyleUnderline"/>
        </w:rPr>
        <w:t>, the transformed indigenous subject performs a new understanding of politics</w:t>
      </w:r>
      <w:r>
        <w:rPr>
          <w:rStyle w:val="StyleUnderline"/>
        </w:rPr>
        <w:t xml:space="preserve"> </w:t>
      </w:r>
      <w:r w:rsidRPr="007470A6">
        <w:rPr>
          <w:rStyle w:val="StyleUnderline"/>
        </w:rPr>
        <w:t>and ontology: by being dispossessed this subject challenges hegemonic ways of asserting</w:t>
      </w:r>
      <w:r>
        <w:rPr>
          <w:rStyle w:val="StyleUnderline"/>
        </w:rPr>
        <w:t xml:space="preserve"> </w:t>
      </w:r>
      <w:r w:rsidRPr="007470A6">
        <w:rPr>
          <w:rStyle w:val="StyleUnderline"/>
        </w:rPr>
        <w:t xml:space="preserve">possession. Here, </w:t>
      </w:r>
      <w:r w:rsidRPr="00F0423D">
        <w:rPr>
          <w:rStyle w:val="Emphasis"/>
          <w:highlight w:val="cyan"/>
        </w:rPr>
        <w:t>it is not resistance but defeat</w:t>
      </w:r>
      <w:r w:rsidRPr="007470A6">
        <w:rPr>
          <w:rStyle w:val="Emphasis"/>
        </w:rPr>
        <w:t xml:space="preserve"> itself </w:t>
      </w:r>
      <w:r w:rsidRPr="00F0423D">
        <w:rPr>
          <w:rStyle w:val="Emphasis"/>
          <w:highlight w:val="cyan"/>
        </w:rPr>
        <w:t>that is celebrated</w:t>
      </w:r>
      <w:r w:rsidRPr="00F6599F">
        <w:rPr>
          <w:sz w:val="10"/>
        </w:rPr>
        <w:t xml:space="preserve">.25 </w:t>
      </w:r>
      <w:r w:rsidRPr="007470A6">
        <w:rPr>
          <w:rStyle w:val="StyleUnderline"/>
        </w:rPr>
        <w:t>Thus the indigenous</w:t>
      </w:r>
      <w:r>
        <w:rPr>
          <w:rStyle w:val="StyleUnderline"/>
        </w:rPr>
        <w:t xml:space="preserve"> </w:t>
      </w:r>
      <w:r w:rsidRPr="007470A6">
        <w:rPr>
          <w:rStyle w:val="StyleUnderline"/>
        </w:rPr>
        <w:t>subject is no longer conceptualized in terms of what it might become but in terms of what</w:t>
      </w:r>
      <w:r>
        <w:rPr>
          <w:rStyle w:val="StyleUnderline"/>
        </w:rPr>
        <w:t xml:space="preserve"> </w:t>
      </w:r>
      <w:r w:rsidRPr="007470A6">
        <w:rPr>
          <w:rStyle w:val="StyleUnderline"/>
        </w:rPr>
        <w:t>it has been turned into by the very regimes that have exploited it</w:t>
      </w:r>
      <w:r w:rsidRPr="00F6599F">
        <w:rPr>
          <w:sz w:val="10"/>
        </w:rPr>
        <w:t xml:space="preserve">. Being in Being </w:t>
      </w:r>
      <w:r w:rsidRPr="00653A19">
        <w:rPr>
          <w:rStyle w:val="StyleUnderline"/>
        </w:rPr>
        <w:t>This shift in approach to indigenous forms of knowing and being reflects the ontological</w:t>
      </w:r>
      <w:r>
        <w:rPr>
          <w:rStyle w:val="StyleUnderline"/>
        </w:rPr>
        <w:t xml:space="preserve"> </w:t>
      </w:r>
      <w:r w:rsidRPr="00653A19">
        <w:rPr>
          <w:rStyle w:val="StyleUnderline"/>
        </w:rPr>
        <w:t>turn</w:t>
      </w:r>
      <w:r w:rsidRPr="00F6599F">
        <w:rPr>
          <w:sz w:val="10"/>
        </w:rPr>
        <w:t xml:space="preserve"> in anthropology. Rather than seeing indigenous ways of understanding the world as inferior or different from our modern understandings, this turn suggests their importance as constituting different worlds and performatively “worlding” the world in a different way. </w:t>
      </w:r>
      <w:r w:rsidRPr="00C37EE4">
        <w:rPr>
          <w:rStyle w:val="StyleUnderline"/>
        </w:rPr>
        <w:t xml:space="preserve">The radical </w:t>
      </w:r>
      <w:r w:rsidRPr="00C37EE4">
        <w:rPr>
          <w:rStyle w:val="Emphasis"/>
        </w:rPr>
        <w:t>promise</w:t>
      </w:r>
      <w:r w:rsidRPr="00C37EE4">
        <w:rPr>
          <w:rStyle w:val="StyleUnderline"/>
        </w:rPr>
        <w:t xml:space="preserve"> is that </w:t>
      </w:r>
      <w:r w:rsidRPr="00C37EE4">
        <w:rPr>
          <w:rStyle w:val="Emphasis"/>
        </w:rPr>
        <w:t>a different world already exists in potentia</w:t>
      </w:r>
      <w:r w:rsidRPr="00C37EE4">
        <w:rPr>
          <w:rStyle w:val="StyleUnderline"/>
        </w:rPr>
        <w:t xml:space="preserve"> and that </w:t>
      </w:r>
      <w:r w:rsidRPr="00C37EE4">
        <w:rPr>
          <w:rStyle w:val="Emphasis"/>
        </w:rPr>
        <w:t>moderns</w:t>
      </w:r>
      <w:r>
        <w:rPr>
          <w:rStyle w:val="Emphasis"/>
        </w:rPr>
        <w:t xml:space="preserve"> </w:t>
      </w:r>
      <w:r w:rsidRPr="00C37EE4">
        <w:rPr>
          <w:rStyle w:val="Emphasis"/>
        </w:rPr>
        <w:t>can choose to make it by learning to world in the ways indigenous peoples already do</w:t>
      </w:r>
      <w:r w:rsidRPr="00F6599F">
        <w:rPr>
          <w:sz w:val="10"/>
        </w:rPr>
        <w:t xml:space="preserve">. </w:t>
      </w:r>
      <w:r w:rsidRPr="00C37EE4">
        <w:rPr>
          <w:rStyle w:val="Emphasis"/>
        </w:rPr>
        <w:t>In</w:t>
      </w:r>
      <w:r>
        <w:rPr>
          <w:rStyle w:val="Emphasis"/>
        </w:rPr>
        <w:t xml:space="preserve"> </w:t>
      </w:r>
      <w:r w:rsidRPr="00C37EE4">
        <w:rPr>
          <w:rStyle w:val="Emphasis"/>
        </w:rPr>
        <w:t>place of the politics of critique we have an ontopolitics of alternative ways of being in the</w:t>
      </w:r>
      <w:r>
        <w:rPr>
          <w:rStyle w:val="Emphasis"/>
        </w:rPr>
        <w:t xml:space="preserve"> </w:t>
      </w:r>
      <w:r w:rsidRPr="00C37EE4">
        <w:rPr>
          <w:rStyle w:val="Emphasis"/>
        </w:rPr>
        <w:t>world</w:t>
      </w:r>
      <w:r w:rsidRPr="00F6599F">
        <w:rPr>
          <w:sz w:val="10"/>
        </w:rPr>
        <w:t xml:space="preserve">. </w:t>
      </w:r>
      <w:r w:rsidRPr="00C37EE4">
        <w:rPr>
          <w:rStyle w:val="StyleUnderline"/>
        </w:rPr>
        <w:t>Access to this alternative world is a question of ontology—of being differently—</w:t>
      </w:r>
      <w:r>
        <w:rPr>
          <w:rStyle w:val="StyleUnderline"/>
        </w:rPr>
        <w:t xml:space="preserve"> </w:t>
      </w:r>
      <w:r w:rsidRPr="00C37EE4">
        <w:rPr>
          <w:rStyle w:val="StyleUnderline"/>
        </w:rPr>
        <w:t xml:space="preserve">being in being </w:t>
      </w:r>
      <w:r w:rsidRPr="00C37EE4">
        <w:rPr>
          <w:rStyle w:val="Emphasis"/>
        </w:rPr>
        <w:t>rather than thinking, acting and world-making as if we were transcendent</w:t>
      </w:r>
      <w:r>
        <w:rPr>
          <w:rStyle w:val="Emphasis"/>
        </w:rPr>
        <w:t xml:space="preserve"> </w:t>
      </w:r>
      <w:r w:rsidRPr="00C37EE4">
        <w:rPr>
          <w:rStyle w:val="Emphasis"/>
        </w:rPr>
        <w:t>or possessive subjects</w:t>
      </w:r>
      <w:r w:rsidRPr="00F6599F">
        <w:rPr>
          <w:sz w:val="10"/>
        </w:rPr>
        <w:t xml:space="preserve">. It is the ontopolitics of being that makes the difference here. This is where the ontological turn in anthropology plays a crucial role, one which is closely aligned to that of STS, or to actor-network theory approaches, which similarly seek to undermine the modernist episteme founded upon the culture/nature divide.26 The much-cited debate in the 2010 issue of Critique of Anthropology on whether “Ontology is Just Another Word for Culture” highlights what is at stake.27 The point of contestation for the anthropologists who argue that the ontological turn is distinct from the study of culture is their concern that focusing on cultural understanding never took alterity seriously enough. In other words, the study of different cultures affirmed the modernist world-view rather than challenging it; its basic assumption was that western knowledge needed to expand to understand why other cultures thought in the way they did rather than questioning its hegemonic concept of the universal nature of knowledge.28 This assumption was based on the view that the world was single and uniform and that culture depended on the plural ways of representing the world.29 The nature/culture divide was thus affirmed rather than challenged through the study of culture or the focus on epistemological differences. Blaser argues that the side-effect of the culturalist approach was that by minimizing differences the modern ontology was naturalized in the process of ‘Sameing’ rather than Othering, which is why the turn to ontology “radicalizes” postcolonial theory by taking difference more seriously.30 Martin Holbraad, in turn, argues that the ontological approach does not start from the question of why others “get stuff wrong” but rather challenges the analytical concepts anthropologists actually use.31 Thus the ontological turn is an ethical challenge to take alterity seriously by taking what interlocutors say literally rather than metaphorically. However, for Blaser (drawing on the work of Bruno Latour, John Law, Donna Haraway, Annemarie Mol and others) this is where the ontological turn reaches its limit: it assumes that realities are “out there” rather than being continually and multiply enacted or performed.32 On this point Mol’s work is particularly useful: “understanding ontology as performance or enactment brings to the fore the notion of ontological multiplicity,” where different stories and practices are neither describing something existing ultimately ‘out there’ nor are they mistaken or metaphorical, but actually enact or ‘world’.33 This defines ontological work that tends to see multiple ontologies as a literal metaontology (such as Philippe Descola’s project of mapping ontologies, or Bruno Latour’s An Inquiry into Modes of Existence).34 The focus on enactment, performance and practice is crucial to understanding the centrality of indigeneity and indigenous knowledge in the contemporary critical and policy discourse. Rather than taking as given the multiple ontologies of anthropology and thus reducing ontology to culture, ontologies should be practiced or enacted rather than merely mapped, studied or collected.35 It is these enactments that bring new worlds into being. But the question is what worlds should and should not be brought into being. All these worlds potentially exist equally at the ontological level: the distinction is an ethico-political one. Whereas postcolonial and decolonial thought seeks to bring other human, nonmodern worlds, into a relationship of equality and mutual respect, the debate around indigeneity and indigenous knowledge cannot be fully grasped in these traditional political terms. The political ethics of the ontological turn goes beyond the anthropocentric contestations of the last century by emphasizing the urgency of listening to nonhuman actors and agents. It is thus in the new context of global warming, extreme weather events, environmental disasters and the Anthropocene that indigeneity and alternative ways of being are integrated into governance. The point we wish to emphasize is that in extending its scope to include the nonhuman, the focus on indigeneity is not merely a reflection of the crisis of modern ontology but is a necessary result of the particular form of that crisis today. In making this claim we do not mean that indigenous peoples are seen or treated as if they were nonhuman or not fully human, but quite the opposite: we seek to promote and extend indigenous ways of being. </w:t>
      </w:r>
      <w:r w:rsidRPr="00853E09">
        <w:rPr>
          <w:rStyle w:val="StyleUnderline"/>
        </w:rPr>
        <w:t>However, the reason why indigenous ways of being are feted is for the specific attributes of</w:t>
      </w:r>
      <w:r>
        <w:rPr>
          <w:rStyle w:val="StyleUnderline"/>
        </w:rPr>
        <w:t xml:space="preserve"> </w:t>
      </w:r>
      <w:r w:rsidRPr="00853E09">
        <w:rPr>
          <w:rStyle w:val="StyleUnderline"/>
        </w:rPr>
        <w:t>coping with natural or environmental problems, which are seen to evade the grasp of modern science and technology</w:t>
      </w:r>
      <w:r w:rsidRPr="00F6599F">
        <w:rPr>
          <w:sz w:val="10"/>
        </w:rPr>
        <w:t xml:space="preserve">. When nature was seen as a passive object open to modernist understanding and appropriation, indigenous ways of being were said to lack history and agency. Today, the tables have turned. As Latour notes, it seems that nature has more power and agency than humans and better ways of knowing and calculating.36 The collapse of the nature/culture divide and the focus on the interactive and contingent power and agency of natural forces, previously ignored and thought to be passive, innate and lacking in agency, has transformed the understanding of indigeneity. The indigenous are the anthropocenealogists of nonmodern ontology: they can teach us how to see the nonhuman differently. Indigenous Knowledge Indigenous ways of being and knowing are not re-evaluated today because of a newfound concern with indigenous peoples or out of solidarity with their struggles. Indigenous knowledge is not valued or constructed for its own sake; the point is to preserve this knowledge as a different ontology in a world of multiple ontologies. It is used metonymically for ways of developing new empirical and pragmatic approaches for dealing with environmental crises under the constraints of neoliberal ideology. The byword for the interest in indigeneity and indigenous knowledge is resilience: the need to accept and cope with environmental disasters and the consequences of global warming.37 </w:t>
      </w:r>
      <w:r w:rsidRPr="00B71912">
        <w:rPr>
          <w:rStyle w:val="StyleUnderline"/>
        </w:rPr>
        <w:t>In the face of recurring economic recessions</w:t>
      </w:r>
      <w:r>
        <w:rPr>
          <w:rStyle w:val="StyleUnderline"/>
        </w:rPr>
        <w:t xml:space="preserve"> </w:t>
      </w:r>
      <w:r w:rsidRPr="00B71912">
        <w:rPr>
          <w:rStyle w:val="StyleUnderline"/>
        </w:rPr>
        <w:t>and lack of mobilizing political ideologies, governing elites seek to draw on critical and</w:t>
      </w:r>
      <w:r>
        <w:rPr>
          <w:rStyle w:val="StyleUnderline"/>
        </w:rPr>
        <w:t xml:space="preserve"> </w:t>
      </w:r>
      <w:r w:rsidRPr="00B71912">
        <w:rPr>
          <w:rStyle w:val="StyleUnderline"/>
        </w:rPr>
        <w:t>postcolonial thought to sell the end of the liberal imaginaries of progress and development</w:t>
      </w:r>
      <w:r>
        <w:rPr>
          <w:rStyle w:val="StyleUnderline"/>
        </w:rPr>
        <w:t xml:space="preserve"> </w:t>
      </w:r>
      <w:r w:rsidRPr="00B71912">
        <w:rPr>
          <w:rStyle w:val="StyleUnderline"/>
        </w:rPr>
        <w:t>as an emancipatory vision of learning to adapt to natural contingencies</w:t>
      </w:r>
      <w:r w:rsidRPr="00F6599F">
        <w:rPr>
          <w:sz w:val="10"/>
        </w:rPr>
        <w:t xml:space="preserve">. Indigenous knowledge is a practical, performative, nonmodern ontology. What is at stake is the capacity of indigenous ways of knowing to take alterity—the nonhuman—seriously rather than the anthropologists’ capacity to take indigeneity seriously. If the latter were the case, the focus would not be on the problems of the modern episteme but on the problems facing real indigenous groups in their struggles over rights, representation and resources.38 There are two key aspects in promoting indigenous knowledge. Firstly, the pragmatic ways of coping with ongoing crises, that is, discovering coping strategies and learning to live in permanent crises. Laura Rival, for example, has studied how the manioc cultivators of Guyana “have learnt to live with” severe drought and flooding as normal conditions of life.39 It is these kind of coping strategies that have brought indigenous knowledge to the forefront of international policy gatherings, as exemplified in the work of the Intergovernmental Panel on Climate Change (IPCC). Indigenous knowledge was acknowledged in the Fourth Assessment Report as “an invaluable basis for developing adaptation and natural resource management strategies in response to environmental and other forms of change.”40 This recognition was reaffirmed at IPCC’s 32d Session,41 and traditional knowledge was included as a guiding principle for the Cancun Adaptation Framework adopted at the 2010 United Nations Framework Convention on Climate Change Conference in Cancun (UNFCCC).42 The outline of the IPCC’s Working Group II contribution to the Fifth Assessment Report included local and traditional knowledge as a distinct topic within Chapter 12 on human security.43 As a joint UNESCO and UN report states: Indigenous [peoples] are not only potential victims of global climate change. Attentiveness to environmental variability, shifts and trends is an integral part of their ways of life. Communitybased and local knowledge may offer valuable insights into environmental change due to climate change, and complement broader-scale scientific research with local precision and nuance. Indigenous societies have elaborated coping strategies to deal with unstable environments, and in some cases, are already actively adapting to early climate change impacts. While the transformations due to climate change are expected to be unprecedented, indigenous knowledge and coping strategies provide a crucial foundation for community-based adaptation measures.44 Secondly, the actual ways of knowing—the preventive or anticipatory knowledge of nonhuman forces, which is occluded by modernist ontology. In the Anthropocene, the main concern is not to bring in excluded human voices and political alternatives but rather to quell political debate and human demands by listening to the alleged needs of “nature” and the “environment.” The entry of “things” or the “nonhuman” into political discourse cannot come about without the claims to knowledge of their interlocutors. While things cannot speak for themselves, indigenous forms of performativity enable hearing their voices, and act as intermediaries. Thus indigenous ways of being can extend the ontopolitical ethics to include the realm of the more-than-human. Whereas anthropology, even after the ontological turn, can only focus on human understandings and make things speak through humans,45 indigenous knowledge, so it is claimed, provides the one route through the subject/object quagmire. Laura Rival provides two examples of how indigenous ways of knowing enact a nonmodern epistemology and ontology through taking alterity seriously. On the epistemological level, rather than focusing on representational knowledge, indigenous knowledge works relationally: it sees things in relation to each other rather than focusing on causal chains. It can thus build on the knowledge of nonhuman actants in the environment such as plants and animals: to anticipate subtle changes in the weather by observing the flowering and fruiting of certain plant species, the feeding and nesting behavior of certain bird species, or changes in the behavior of amphibious animals—in particular alligators. … There is little doubt that the Makushi use a complex system of ecological indicators to predict changes in weather patterns.46 On the ontological level, Rival draws attention to alterity, which appears to lie beyond the reach of radical anthropologists who cannot abandon their modernist assumptions. The concern with seeing from the point of view of nonhuman actants and agents presupposes a close communal relationship with the more-than-human being. As an example, Rival describes a project to reintroduce Coho salmon to a polluted watershed on the Amazon, which failed when undertaken by Western experts with modern science and technology but was a success when guided by indigenous knowledge: “This was accomplished through observing the river, to know it and experience it as a salmon would,” by not seeing the river as a straight line but as a series of vortexes and branching fractals.47 This attention to alterity stands in direct opposition to theories of subjectification as an autonomous actor or subject of rights; here there is the imaginary of acting in the world without modernist culture/nature or subject/object divides. As the Aboriginal activist Mary Graham writes: “Western logic rests on the division between the self and the not-self, the external and the internal… [whereas] Aboriginal logic maintains that there is no division between the observing mind and anything else: there is no ‘external world’ to inhabit.”48 Julie K. Gibson Graham and Gerda Roelvink invoke the ontopolitical ethics of indigeneity as an example of embodied nonmodern knowledge and the construction of more-than-human communities. In their 2010 article in the radical journal Antipode, they cite the Aboriginal anthropologist Deborah Bird Rose: Rather than humans deciding autonomously to act in the world, humans are called into action by the world. The result is that country, or nature, far from being an object to be acted upon, is a self-organising system that brings people and other living things into being, into action, into sentience itself.49 Drawing upon indigenous, feminist and STS approaches, they argue that rather than the modernist perception of human subjects acting upon the world, we need to let the world affect us by developing the indigenous capacities of “learning to be affected.” Allowing the land to speak to us would enable the development of more-than-human communities that are necessary for life in the Anthropocene.50 Becoming Indigenous The dominant current discourse of neoliberal governance centers on resilience, of “learning how to learn in living environments.” As Rival argues, this is a demand to “become indigenous.” She coins the term “indigenous intelligence” to denote the capacity to learn how to dwell in the world in such a way that one is intertwined and concerned with its care, such that one’s very care for the world functions as self-care. It is a form of intelligence that she documents not only in indigenous peoples, such as the Makushi in the borderlands of northern Brazil and southern Guyana, but also among the young environmental activists she met in Brazil who are learning how to dwell, to be in being, and are thus “becoming indigenous.” “Living well” for these activists “means thinking and acting in a world where built environments are not severed from wilderness, as all spaces need to be meshed within a web of relationships that unfolds into seamless socio-ecological spaces of dwelling.” For them “there is absolutely no difference between ‘caring for the earth,’ ‘caring for people,’ and ‘caring for the self.’ It’s all part of the same ethics, all part of the same challenge.” Indigenous intelligence, the attribute that underwrites indigenous subjectivity, thus exists from the savannahs of the Guiana shield to the coasts of California. Resilience, according to Rival, results from the capacity, the indigenous intelligence, of dwelling in the world: [It] comes from understanding human physical presence on earth in terms of relative intensity. At one end of the continuum, we find the houses and buildings where people live, work, and make intensive use of resources; at the other, the spaces where people refrain from going or intervening, and where nature is left alone to organize things. All aspects of human life are linked. First, food, water, and shelter, including the flows of energy and waste that make a home a home; then, transport, education, and models of decision making, or the web of relations that link homes together over time and space; finally, spirit or soul, or what links home dwellers to other sentient beings. This is how people and nature are linked up, in a total socio-ecological fact.51 The ascription of resilience to indigenous peoples has often been emphasized in recent years. The indigenous are seen and celebrated as paragons of a way of living in relation with nature—and as a model to peoples worldwide. Thus, according to Marjo Lindroth and Heidi Sinevaara-Niskanen, “The victims of the colonial past” are now perceived as “the agents of today’s world.”52 Lindroth and Sinevaara-Niskanen offer a rare critique of this representation as a manifestation of how biopower preserves colonial power rather than “decolonize[ing] statist thought”—which anthropologists, such as Rival, claim should have happened. Yet the ascription of resilience to the indigenous is not argued only by radical anthropologists: it is a mantra so often repeated by states and other powerful actors worldwide that it has become a governing cliché. It is, however, a powerful and dangerous cliché, for it presents the indigenous as an exemplary neoliberal subject who is defined, as we have argued elsewhere, by the capacity to adapt to the dangers of the world in living a life reduced to the celebration of mere survival.53 This cliché is powerful and dangerous insofar as it functions to discipline the indigenous themselves into performing their own resilience. But what happens to indigenous peoples, individually and collectively, when for whatever reason, they don’t show resilience? Are they somehow to be deemed less indigenous? Or are they examples of failed indigeneity? Are they less intelligent than other indigenous peoples? In April 2016, while writing this article, the Guardian reported that the Attawapiskat people, an indigenous community numbering around 2,000 members, living in the Canadian province of Ontario, had declared a state of emergency after 11 of its members attempted suicide. Reports indicated that 28 people had attempted suicide during the previous month, and that more than 100 had done so since the previous September (“State of Emergency Declared over Suicide Epidemic in Canadian First Nation Community,” Guardian, April 10, 2016). The regional First Nations government responded by sending a crisis response unit including mental health nurses and social workers. On April 12, the Canadian parliament held an emergency debate on the crisis. Charlie Angus, the MP responsible for representing the Attawapiskat, was reported to have compared the crisis to that sparked by the photograph of Alan Kurdi, the three-year-old Syrian refugee, whose corpse was washed ashore on his way to Europe (Jorge Barrera, “During Suicide Debate Justice Minister Says It’s Time for First Nations to Shed Indian Act ‘Shackles,’” APTN National News, April 13, 2016). Angus described how the spate of suicides of the Attawapiskat had similarly “shocked the world” causing people worldwide to question how Canada could have neglected so many of its own population (“Canadian Parliament to Hold Emergency Debate on First Nation Suicide Crisis,” Guardian, April 12, 2016.) Jody Wilson-Raybould, the Justice Minister in Justin Trudeau’s government, and herself of indigenous origin, as reported by Barrera, declared that Canada’s indigenous peoples were now at a crucial juncture, “as they seek to deconstruct their colonial legacy and rebuild their communities,” arguing that “only the colonized can decolonize themselves and change is not easy.” In March the larger Pimicikamak community of Manitoba, of around 6,000 members, was also declared to be in a state of emergency following a series of 6 suicides over three months, and 140 attempts in two weeks: “It’s sad that we had to do that,” said the chief of the Pimicikamak, but “we needed to tell the world that as Aboriginal people we don’t have a lot of those things that are available to others.” (Ashifa Kassam, “First Nations Suicide Emergency: A Symptom of Canada’s Systemic Neglect,” Guardian, April 13, 2016). That cry for help had not been met with the same response. There was no global news reportage of the declaration, no articles in the Guardian, and no world news television reports. The Canadian parliament held no emergency debate on Pimicikamak. The reasons for this disparity in response are as always impossible to be sure about. On the face of things it would seem an odd disparity. Six members of Pimicikamak had died as the result of their suicide attempts, while only one member of Attawapiskat had died. Why, then, did the Attawapiskat crisis draw such attention while that in Pimicikamak was ignored? Perhaps it was the density of attempts at suicide in Attawapiskat: 99 of those 100 enumerated attempts at suicide did not “succeed.” And yet those “failures” achieved a performative value that succeeded in eliciting a significant response from the world media, as well as from the Canadian government. In other words, </w:t>
      </w:r>
      <w:r w:rsidRPr="001420CD">
        <w:rPr>
          <w:rStyle w:val="StyleUnderline"/>
        </w:rPr>
        <w:t>we need to recognize suicide as another example of</w:t>
      </w:r>
      <w:r w:rsidRPr="00F6599F">
        <w:rPr>
          <w:sz w:val="10"/>
        </w:rPr>
        <w:t xml:space="preserve"> what Butler and Athanasiou describe as </w:t>
      </w:r>
      <w:r w:rsidRPr="001420CD">
        <w:rPr>
          <w:rStyle w:val="StyleUnderline"/>
        </w:rPr>
        <w:t>performative power: the possession of the dispossessed, that power that belongs</w:t>
      </w:r>
      <w:r>
        <w:rPr>
          <w:rStyle w:val="StyleUnderline"/>
        </w:rPr>
        <w:t xml:space="preserve"> </w:t>
      </w:r>
      <w:r w:rsidRPr="001420CD">
        <w:rPr>
          <w:rStyle w:val="StyleUnderline"/>
        </w:rPr>
        <w:t>to the precarious—unauthorized by existing legal regimes, abandoned by the law itself—to</w:t>
      </w:r>
      <w:r>
        <w:rPr>
          <w:rStyle w:val="StyleUnderline"/>
        </w:rPr>
        <w:t xml:space="preserve"> </w:t>
      </w:r>
      <w:r w:rsidRPr="001420CD">
        <w:rPr>
          <w:rStyle w:val="StyleUnderline"/>
        </w:rPr>
        <w:t>demand the end to their precarity</w:t>
      </w:r>
      <w:r w:rsidRPr="00F6599F">
        <w:rPr>
          <w:sz w:val="10"/>
        </w:rPr>
        <w:t xml:space="preserve">.54 “I will never apologise for declaring a state of emergency for our people,” said the chief of the Pimicikamak; “We want the mental health services, the therapists, the child psychologists, the psychiatrists, we don’t have these in the community” (Kassam, “First Nations Suicide Emergency”). </w:t>
      </w:r>
      <w:r w:rsidRPr="00C76173">
        <w:rPr>
          <w:rStyle w:val="StyleUnderline"/>
        </w:rPr>
        <w:t xml:space="preserve">There is a certain irony in </w:t>
      </w:r>
      <w:r w:rsidRPr="0040707D">
        <w:rPr>
          <w:rStyle w:val="Emphasis"/>
          <w:highlight w:val="cyan"/>
        </w:rPr>
        <w:t>indigenous peoples’ demanding an end to</w:t>
      </w:r>
      <w:r w:rsidRPr="00C76173">
        <w:rPr>
          <w:rStyle w:val="Emphasis"/>
        </w:rPr>
        <w:t xml:space="preserve"> their </w:t>
      </w:r>
      <w:r w:rsidRPr="0040707D">
        <w:rPr>
          <w:rStyle w:val="Emphasis"/>
          <w:highlight w:val="cyan"/>
        </w:rPr>
        <w:t>colonization</w:t>
      </w:r>
      <w:r w:rsidRPr="00C76173">
        <w:rPr>
          <w:rStyle w:val="Emphasis"/>
        </w:rPr>
        <w:t xml:space="preserve"> by the state</w:t>
      </w:r>
      <w:r w:rsidRPr="00C76173">
        <w:rPr>
          <w:rStyle w:val="StyleUnderline"/>
        </w:rPr>
        <w:t xml:space="preserve"> and </w:t>
      </w:r>
      <w:r w:rsidRPr="0040707D">
        <w:rPr>
          <w:rStyle w:val="Emphasis"/>
          <w:highlight w:val="cyan"/>
        </w:rPr>
        <w:t>at the same time demanding</w:t>
      </w:r>
      <w:r w:rsidRPr="00C76173">
        <w:rPr>
          <w:rStyle w:val="Emphasis"/>
        </w:rPr>
        <w:t xml:space="preserve"> mental health </w:t>
      </w:r>
      <w:r w:rsidRPr="0040707D">
        <w:rPr>
          <w:rStyle w:val="Emphasis"/>
          <w:highlight w:val="cyan"/>
        </w:rPr>
        <w:t>services</w:t>
      </w:r>
      <w:r w:rsidRPr="00C76173">
        <w:rPr>
          <w:rStyle w:val="Emphasis"/>
        </w:rPr>
        <w:t>, therapists, child psychologists, and psychiatrists</w:t>
      </w:r>
      <w:r w:rsidRPr="00C76173">
        <w:rPr>
          <w:rStyle w:val="StyleUnderline"/>
        </w:rPr>
        <w:t xml:space="preserve">. </w:t>
      </w:r>
      <w:r w:rsidRPr="00C76173">
        <w:rPr>
          <w:rStyle w:val="Emphasis"/>
        </w:rPr>
        <w:t>Desirous of</w:t>
      </w:r>
      <w:r w:rsidRPr="00C76173">
        <w:rPr>
          <w:rStyle w:val="StyleUnderline"/>
        </w:rPr>
        <w:t xml:space="preserve"> independence and </w:t>
      </w:r>
      <w:r w:rsidRPr="00C76173">
        <w:rPr>
          <w:rStyle w:val="Emphasis"/>
        </w:rPr>
        <w:t xml:space="preserve">freedom from the state, they continue to </w:t>
      </w:r>
      <w:r w:rsidRPr="00630F62">
        <w:rPr>
          <w:rStyle w:val="Emphasis"/>
        </w:rPr>
        <w:t>express their dependence on the very same institutions</w:t>
      </w:r>
      <w:r w:rsidRPr="00C76173">
        <w:rPr>
          <w:rStyle w:val="Emphasis"/>
        </w:rPr>
        <w:t xml:space="preserve"> that account for the conditions of their servitude</w:t>
      </w:r>
      <w:r w:rsidRPr="00C76173">
        <w:rPr>
          <w:rStyle w:val="StyleUnderline"/>
        </w:rPr>
        <w:t xml:space="preserve">. The </w:t>
      </w:r>
      <w:r w:rsidRPr="0040707D">
        <w:rPr>
          <w:rStyle w:val="Emphasis"/>
          <w:highlight w:val="cyan"/>
        </w:rPr>
        <w:t>dependence is real</w:t>
      </w:r>
      <w:r w:rsidRPr="00630F62">
        <w:rPr>
          <w:rStyle w:val="Emphasis"/>
        </w:rPr>
        <w:t xml:space="preserve">; it is </w:t>
      </w:r>
      <w:r w:rsidRPr="0040707D">
        <w:rPr>
          <w:rStyle w:val="Emphasis"/>
          <w:highlight w:val="cyan"/>
        </w:rPr>
        <w:t>not</w:t>
      </w:r>
      <w:r w:rsidRPr="00630F62">
        <w:rPr>
          <w:rStyle w:val="Emphasis"/>
        </w:rPr>
        <w:t xml:space="preserve"> a fiction or</w:t>
      </w:r>
      <w:r w:rsidRPr="00C76173">
        <w:rPr>
          <w:rStyle w:val="Emphasis"/>
        </w:rPr>
        <w:t xml:space="preserve"> simply </w:t>
      </w:r>
      <w:r w:rsidRPr="0040707D">
        <w:rPr>
          <w:rStyle w:val="Emphasis"/>
          <w:highlight w:val="cyan"/>
        </w:rPr>
        <w:t>a discourse</w:t>
      </w:r>
      <w:r w:rsidRPr="00C76173">
        <w:rPr>
          <w:sz w:val="10"/>
        </w:rPr>
        <w:t xml:space="preserve">. Indigenous men in Canada are far more likely to die by suicide than non-indigenous men; and indigenous women even far more likely than non-indigenous women. Young indigenous people, in particular, die by suicide five to six times more often than non-indigenous youth. And </w:t>
      </w:r>
      <w:r w:rsidRPr="00C76173">
        <w:rPr>
          <w:rStyle w:val="StyleUnderline"/>
        </w:rPr>
        <w:t xml:space="preserve">there is the widespread social suicide caused by diabetes, smoking, drinking, and obesity—problems the inability to solve of which the indigenous themselves deplore. This is a people that is </w:t>
      </w:r>
      <w:r w:rsidRPr="00C76173">
        <w:rPr>
          <w:rStyle w:val="Emphasis"/>
        </w:rPr>
        <w:t xml:space="preserve">the polar opposite of the image of the resilient subject with which neoliberal regimes like to portray indigenous peoples: dependent, </w:t>
      </w:r>
      <w:r w:rsidRPr="00201C5E">
        <w:rPr>
          <w:rStyle w:val="Emphasis"/>
          <w:highlight w:val="cyan"/>
        </w:rPr>
        <w:t>incapable of surviving without state intervention</w:t>
      </w:r>
      <w:r w:rsidRPr="00C76173">
        <w:rPr>
          <w:rStyle w:val="StyleUnderline"/>
        </w:rPr>
        <w:t>, and lost in the contradictions of its own discourses of self</w:t>
      </w:r>
      <w:r w:rsidRPr="00C76173">
        <w:rPr>
          <w:sz w:val="10"/>
        </w:rPr>
        <w:t>. In her 2014 article, “In Attawapiskat,” published in the Walrus (October 15, 2014), Louise Bernice Halfe, the celebrated indigenous poet, described life in the very place where the suicide crisis is unfolding today. She describes the poverty</w:t>
      </w:r>
      <w:r w:rsidRPr="002138AE">
        <w:rPr>
          <w:sz w:val="10"/>
        </w:rPr>
        <w:t xml:space="preserve"> and the desperation of the place and its people. She describes the ways in which the Canadian government, in alliance with the extractive industries, and the churches, “terrorized the people into submission, into accepting poverty.” How they “robbed a people, by diminishing the lives that had previously sustained them” and how that people now “sit precariously, alternating between self-preservation and self-destruction, clinging to what can still be lost—still be taken”; these people “don’t complain loudly” but “live in the country of the heart,” the heart being “the only place to which they can escape.” On Attawapiskat “we struggle, but we manage, and even maintain a culture of ceremony and celebration. Life goes on. Black humour prevails as we poke fun at ourselves, and at the powers that be. Still… the spark of resilience endures and our people survive.” Conclusion </w:t>
      </w:r>
      <w:r w:rsidRPr="004F7452">
        <w:rPr>
          <w:rStyle w:val="StyleUnderline"/>
        </w:rPr>
        <w:t xml:space="preserve">We have argued that </w:t>
      </w:r>
      <w:r w:rsidRPr="00C93718">
        <w:rPr>
          <w:rStyle w:val="Emphasis"/>
        </w:rPr>
        <w:t xml:space="preserve">the figure of the indigenous, </w:t>
      </w:r>
      <w:r w:rsidRPr="00D93B21">
        <w:rPr>
          <w:rStyle w:val="Emphasis"/>
          <w:highlight w:val="cyan"/>
        </w:rPr>
        <w:t xml:space="preserve">far from producing </w:t>
      </w:r>
      <w:r w:rsidRPr="00C244BF">
        <w:rPr>
          <w:rStyle w:val="Emphasis"/>
          <w:highlight w:val="cyan"/>
        </w:rPr>
        <w:t>a decolonization of</w:t>
      </w:r>
      <w:r>
        <w:rPr>
          <w:rStyle w:val="Emphasis"/>
          <w:highlight w:val="cyan"/>
        </w:rPr>
        <w:t xml:space="preserve"> </w:t>
      </w:r>
      <w:r w:rsidRPr="00C244BF">
        <w:rPr>
          <w:rStyle w:val="Emphasis"/>
          <w:highlight w:val="cyan"/>
        </w:rPr>
        <w:t xml:space="preserve">state </w:t>
      </w:r>
      <w:r w:rsidRPr="00D93B21">
        <w:rPr>
          <w:rStyle w:val="Emphasis"/>
          <w:highlight w:val="cyan"/>
        </w:rPr>
        <w:t>thinking</w:t>
      </w:r>
      <w:r w:rsidRPr="00F64D96">
        <w:rPr>
          <w:rStyle w:val="Emphasis"/>
        </w:rPr>
        <w:t xml:space="preserve">, is being deployed to </w:t>
      </w:r>
      <w:r w:rsidRPr="00D93B21">
        <w:rPr>
          <w:rStyle w:val="Emphasis"/>
          <w:highlight w:val="cyan"/>
        </w:rPr>
        <w:t xml:space="preserve">valorize </w:t>
      </w:r>
      <w:r w:rsidRPr="00C244BF">
        <w:rPr>
          <w:rStyle w:val="Emphasis"/>
          <w:highlight w:val="cyan"/>
        </w:rPr>
        <w:t>disempowering conceptions of subjectivity</w:t>
      </w:r>
      <w:r w:rsidRPr="00F6599F">
        <w:rPr>
          <w:sz w:val="10"/>
        </w:rPr>
        <w:t xml:space="preserve">. Dispossessed, and disallowed the possibility to assert its counter-power to repossess, discourses on indigeneity produce the image of a subject that perseveres through adapting itself to the natural exigencies of its existence. This is a subject whose life lacks the force “to act in the sense of making anything like a definitive event occur in the world,”55 but that nevertheless persists through its embodied and performative capacities for resilience: enduring and coping under extreme duress. </w:t>
      </w:r>
      <w:r w:rsidRPr="00E65ED3">
        <w:rPr>
          <w:rStyle w:val="StyleUnderline"/>
        </w:rPr>
        <w:t>Under traditional colonial and modernist discourses, this view of indigenous peoples as resilient, this timeless or circular situation of</w:t>
      </w:r>
      <w:r>
        <w:rPr>
          <w:rStyle w:val="StyleUnderline"/>
        </w:rPr>
        <w:t xml:space="preserve"> </w:t>
      </w:r>
      <w:r w:rsidRPr="00E65ED3">
        <w:rPr>
          <w:rStyle w:val="StyleUnderline"/>
        </w:rPr>
        <w:t>stasis, would have been starkly counterposed to western or Eurocentric notions of progress</w:t>
      </w:r>
      <w:r>
        <w:rPr>
          <w:rStyle w:val="StyleUnderline"/>
        </w:rPr>
        <w:t xml:space="preserve"> </w:t>
      </w:r>
      <w:r w:rsidRPr="00E65ED3">
        <w:rPr>
          <w:rStyle w:val="StyleUnderline"/>
        </w:rPr>
        <w:t>or development</w:t>
      </w:r>
      <w:r w:rsidRPr="00F6599F">
        <w:rPr>
          <w:sz w:val="10"/>
        </w:rPr>
        <w:t xml:space="preserve">.56 </w:t>
      </w:r>
      <w:r w:rsidRPr="00E65ED3">
        <w:rPr>
          <w:rStyle w:val="StyleUnderline"/>
        </w:rPr>
        <w:t>As such, it would have been an invitation to intervene, to colonize, develop</w:t>
      </w:r>
      <w:r>
        <w:rPr>
          <w:rStyle w:val="StyleUnderline"/>
        </w:rPr>
        <w:t xml:space="preserve"> </w:t>
      </w:r>
      <w:r w:rsidRPr="00E65ED3">
        <w:rPr>
          <w:rStyle w:val="StyleUnderline"/>
        </w:rPr>
        <w:t>or civilize. Today, in contrast, the ability to merely survive is seen as a lesson in resilience</w:t>
      </w:r>
      <w:r>
        <w:rPr>
          <w:rStyle w:val="StyleUnderline"/>
        </w:rPr>
        <w:t xml:space="preserve"> </w:t>
      </w:r>
      <w:r w:rsidRPr="00E65ED3">
        <w:rPr>
          <w:rStyle w:val="StyleUnderline"/>
        </w:rPr>
        <w:t>and ecological sustainability that western subjects need to take on board in their attempts</w:t>
      </w:r>
      <w:r>
        <w:rPr>
          <w:rStyle w:val="StyleUnderline"/>
        </w:rPr>
        <w:t xml:space="preserve"> </w:t>
      </w:r>
      <w:r w:rsidRPr="00E65ED3">
        <w:rPr>
          <w:rStyle w:val="StyleUnderline"/>
        </w:rPr>
        <w:t>to survive in the new conditions of the Anthropocene</w:t>
      </w:r>
      <w:r w:rsidRPr="00F6599F">
        <w:rPr>
          <w:sz w:val="10"/>
        </w:rPr>
        <w:t xml:space="preserve">. Our aim in writing this article was to explore what it would mean to </w:t>
      </w:r>
      <w:r w:rsidRPr="00C244BF">
        <w:rPr>
          <w:rStyle w:val="StyleUnderline"/>
        </w:rPr>
        <w:t>resist the call</w:t>
      </w:r>
      <w:r>
        <w:rPr>
          <w:rStyle w:val="StyleUnderline"/>
        </w:rPr>
        <w:t xml:space="preserve"> </w:t>
      </w:r>
      <w:r w:rsidRPr="00C244BF">
        <w:rPr>
          <w:rStyle w:val="StyleUnderline"/>
        </w:rPr>
        <w:t>to “become indigenous” and suborn ourselves to the “more-than-human” communities</w:t>
      </w:r>
      <w:r>
        <w:rPr>
          <w:rStyle w:val="StyleUnderline"/>
        </w:rPr>
        <w:t xml:space="preserve"> </w:t>
      </w:r>
      <w:r w:rsidRPr="00C244BF">
        <w:rPr>
          <w:rStyle w:val="StyleUnderline"/>
        </w:rPr>
        <w:t>espoused by radical academics and activists</w:t>
      </w:r>
      <w:r w:rsidRPr="00F6599F">
        <w:rPr>
          <w:sz w:val="10"/>
        </w:rPr>
        <w:t xml:space="preserve">, drawing on feminist, poststructuralist and STS approaches, and promoted by leading international institutions that appear to want us to resign to a world of perpetual crisis. </w:t>
      </w:r>
      <w:r w:rsidRPr="001420CD">
        <w:rPr>
          <w:rStyle w:val="StyleUnderline"/>
        </w:rPr>
        <w:t>The proponents of the ontopolitics</w:t>
      </w:r>
      <w:r w:rsidRPr="00F6599F">
        <w:rPr>
          <w:sz w:val="10"/>
        </w:rPr>
        <w:t xml:space="preserve"> of “being in being” </w:t>
      </w:r>
      <w:r w:rsidRPr="001420CD">
        <w:rPr>
          <w:rStyle w:val="StyleUnderline"/>
        </w:rPr>
        <w:t>reify the contingent crises of neoliberalism as natural or inevitable. Thus the</w:t>
      </w:r>
      <w:r>
        <w:rPr>
          <w:rStyle w:val="StyleUnderline"/>
        </w:rPr>
        <w:t xml:space="preserve"> </w:t>
      </w:r>
      <w:r w:rsidRPr="001420CD">
        <w:rPr>
          <w:rStyle w:val="StyleUnderline"/>
        </w:rPr>
        <w:t>ontopolitical ethics of the Anthropocene parasitically feed off the crisis of the human and</w:t>
      </w:r>
      <w:r>
        <w:rPr>
          <w:rStyle w:val="StyleUnderline"/>
        </w:rPr>
        <w:t xml:space="preserve"> </w:t>
      </w:r>
      <w:r w:rsidRPr="001420CD">
        <w:rPr>
          <w:rStyle w:val="StyleUnderline"/>
        </w:rPr>
        <w:t>social sciences, built on the fragile grounds of the long dead modernist subject of Lockean</w:t>
      </w:r>
      <w:r>
        <w:rPr>
          <w:rStyle w:val="StyleUnderline"/>
        </w:rPr>
        <w:t xml:space="preserve"> </w:t>
      </w:r>
      <w:r w:rsidRPr="001420CD">
        <w:rPr>
          <w:rStyle w:val="StyleUnderline"/>
        </w:rPr>
        <w:t>possessive individualism</w:t>
      </w:r>
      <w:r w:rsidRPr="00F6599F">
        <w:rPr>
          <w:sz w:val="10"/>
        </w:rPr>
        <w:t>. The upshot of this shift is that we should either construct a new vision of the human subject—one that is capable of resisting and creating a world fit for humanity—or consign ourselves to new forms of neoliberal dependency, based on the myth of indigenous resilience.</w:t>
      </w:r>
    </w:p>
    <w:p w14:paraId="3668C752" w14:textId="77777777" w:rsidR="00C42954" w:rsidRDefault="00C42954" w:rsidP="00C42954"/>
    <w:p w14:paraId="6CB364A9" w14:textId="77777777" w:rsidR="00C42954" w:rsidRPr="004A1B94" w:rsidRDefault="00C42954" w:rsidP="00C42954">
      <w:pPr>
        <w:pStyle w:val="Heading4"/>
      </w:pPr>
      <w:r>
        <w:t>Exorcism</w:t>
      </w:r>
      <w:r w:rsidRPr="004A1B94">
        <w:t xml:space="preserve"> as praxis backfires – obscures </w:t>
      </w:r>
      <w:r w:rsidRPr="004A1B94">
        <w:rPr>
          <w:u w:val="single"/>
        </w:rPr>
        <w:t>contingent understandings</w:t>
      </w:r>
      <w:r w:rsidRPr="004A1B94">
        <w:t xml:space="preserve"> necessary for successful </w:t>
      </w:r>
      <w:r>
        <w:t>resistance</w:t>
      </w:r>
      <w:r w:rsidRPr="004A1B94">
        <w:t xml:space="preserve"> </w:t>
      </w:r>
      <w:r w:rsidRPr="008407AA">
        <w:rPr>
          <w:b w:val="0"/>
          <w:bCs/>
        </w:rPr>
        <w:t>– AND produces the attachments, linear understandings of erasure of the legacy of Indigenous extermination that the 1NC was attempting to criticize.</w:t>
      </w:r>
    </w:p>
    <w:p w14:paraId="3929995C" w14:textId="77777777" w:rsidR="00C42954" w:rsidRPr="004A1B94" w:rsidRDefault="00C42954" w:rsidP="00C42954">
      <w:pPr>
        <w:pStyle w:val="CiteSpacing"/>
      </w:pPr>
      <w:r w:rsidRPr="004A1B94">
        <w:rPr>
          <w:rStyle w:val="Style13ptBold"/>
          <w:sz w:val="28"/>
        </w:rPr>
        <w:t>Cameron 8</w:t>
      </w:r>
      <w:r w:rsidRPr="004A1B94">
        <w:t xml:space="preserve"> (Emilie Cameron, Ph.D. candidate, Department of Geography, Queen’s University, Canada, “Indigenous spectrality and the politics of postcolonial ghost stories," cultural geographies, 15(3), 2008, p.383-390, JSTOR)</w:t>
      </w:r>
    </w:p>
    <w:p w14:paraId="0BED42E7" w14:textId="77777777" w:rsidR="00C42954" w:rsidRPr="004A1B94" w:rsidRDefault="00C42954" w:rsidP="00C42954">
      <w:r w:rsidRPr="004A1B94">
        <w:rPr>
          <w:sz w:val="10"/>
        </w:rPr>
        <w:t xml:space="preserve">This essay considers the politics of describing Indigenous peoples as ghosdy or haunting presences. Focusing on the history of haunting tropes in Canadian cultural production and the recent re-emergence of the spectral Indigenous figure in, among other places, a wilderness park in southwestern British Columbia, I argue that </w:t>
      </w:r>
      <w:r w:rsidRPr="004A1B94">
        <w:rPr>
          <w:rStyle w:val="StyleUnderline"/>
        </w:rPr>
        <w:t xml:space="preserve">the </w:t>
      </w:r>
      <w:r w:rsidRPr="004A1B94">
        <w:rPr>
          <w:rStyle w:val="Emphasis"/>
          <w:highlight w:val="green"/>
        </w:rPr>
        <w:t>mobilization of haunting tropes</w:t>
      </w:r>
      <w:r w:rsidRPr="004A1B94">
        <w:rPr>
          <w:rStyle w:val="StyleUnderline"/>
        </w:rPr>
        <w:t xml:space="preserve"> to make sense of contemporary setder-Indigenous relations </w:t>
      </w:r>
      <w:r w:rsidRPr="004A1B94">
        <w:rPr>
          <w:rStyle w:val="Emphasis"/>
          <w:highlight w:val="green"/>
        </w:rPr>
        <w:t>reinscribes colonial power relations</w:t>
      </w:r>
      <w:r w:rsidRPr="004A1B94">
        <w:rPr>
          <w:rStyle w:val="StyleUnderline"/>
        </w:rPr>
        <w:t xml:space="preserve"> and fails to account for the specific experiences and claims of Indigenous peoples</w:t>
      </w:r>
      <w:r w:rsidRPr="004A1B94">
        <w:rPr>
          <w:sz w:val="10"/>
        </w:rPr>
        <w:t xml:space="preserve">. At a time when cultural geographers are contemplating the possibilities of a 'spectral turn', this essay asks what politics are involved in deploying a spectro-geographical approach to studies of the colonial and postcolonial. Keywords: haunting • Nlaka'pamux • postcolonialism • spectrality • Stein Valley The named marginal is as much a concealment as a disclosure of the margin.1 (Gayatri Chakravorty Spivak) In argues Avery that Gordon's the appearance exploration of of ghosts haunting represents, and its above role in all, the a claim sociological upon us, imagination, an insistence she argues that the appearance of ghosts represents, above all, a claim upon us, an insistence that we acknowledge the role we play in present injustices. Ghosts notify us of our involvement and they 'inaugurate the necessity of doing something about [that involvement]'.2 Ghosts, it seems, have a politics, and it should therefore come as no surprise, in an era of decolonizing and anti-colonial scholarship, that </w:t>
      </w:r>
      <w:r w:rsidRPr="004A1B94">
        <w:rPr>
          <w:rStyle w:val="StyleUnderline"/>
        </w:rPr>
        <w:t>ghosts have increasingly occupied the imagination of those who aim to trouble, uncover, and interrogate the play of the colonial past in this ongoing colonial present</w:t>
      </w:r>
      <w:r w:rsidRPr="004A1B94">
        <w:rPr>
          <w:sz w:val="10"/>
        </w:rPr>
        <w:t xml:space="preserve">.3 In recent writings </w:t>
      </w:r>
      <w:r w:rsidRPr="004A1B94">
        <w:rPr>
          <w:rStyle w:val="StyleUnderline"/>
        </w:rPr>
        <w:t>ghosts allude to the presence of that which has been excluded, marginalized, and expelled</w:t>
      </w:r>
      <w:r w:rsidRPr="004A1B94">
        <w:rPr>
          <w:sz w:val="10"/>
        </w:rPr>
        <w:t xml:space="preserve">;4 </w:t>
      </w:r>
      <w:r w:rsidRPr="004A1B94">
        <w:rPr>
          <w:rStyle w:val="StyleUnderline"/>
        </w:rPr>
        <w:t>although themselves immaterial and spectral, they gesture towards the materiality of colonized and abject bodies</w:t>
      </w:r>
      <w:r w:rsidRPr="004A1B94">
        <w:rPr>
          <w:sz w:val="10"/>
        </w:rPr>
        <w:t xml:space="preserve">.5 Ghosts unsetde the assumed stability and integrity of western temporalities and spatialities6 and </w:t>
      </w:r>
      <w:r w:rsidRPr="004A1B94">
        <w:rPr>
          <w:rStyle w:val="StyleUnderline"/>
        </w:rPr>
        <w:t>seem to embody the mismatch between the ideal and the real, the present and the absent</w:t>
      </w:r>
      <w:r w:rsidRPr="004A1B94">
        <w:rPr>
          <w:sz w:val="10"/>
        </w:rPr>
        <w:t xml:space="preserve">. Ghosts, Derrida reminds us, trouble any efforts to finish and close; it is only by living with, talking with, and accommodating our ghosts that we might learn to live'7 in these 'post'colonial times. In recent years, full articles and books have been devoted to the ghosdy, the spectral, and the uncanny,8 and these works have made important contributions to an emerging 'spectrogeographical' interest in the discipline.9 </w:t>
      </w:r>
      <w:r w:rsidRPr="004A1B94">
        <w:rPr>
          <w:rStyle w:val="StyleUnderline"/>
        </w:rPr>
        <w:t>But alongside this more focused interest in spectrality there has also been an increase in passing, metaphorical references to 'haunting' in recent scholarship. It seems that everything, these days, is ‘haunted’, whether it be memories, places, ideologies, or ontologies</w:t>
      </w:r>
      <w:r w:rsidRPr="004A1B94">
        <w:rPr>
          <w:sz w:val="10"/>
        </w:rPr>
        <w:t xml:space="preserve">.10 Haunting is a compelling metaphor for those engaged in studies of the emergent and immaterial, for those interested in identifying unnamed influences in contemporary thought, for studies into the textures of place and memory, and for general references to a present constituted by the non-linear enfolding of multiple, conflicting pasts. Scholars working within and across psychoanalytical, postcolonial, feminist, and posthumanist frameworks have all drawn upon haunting metaphors in recent years, and many geographers have begun to incorporate adjectives like 'spectral', 'haunting', and 'ghostly' into their writing. Haunting, it seems, has acquired a kind of tropic status in the discipline, particularly among geographers concerned with the colonial and postcolonial. The very slipperiness and indeterminacy of haunting makes it amenable to a great variety of invocations and seems to capture something of the unfinished, contested nature of colonial and postcolonial geographies, but in this essay I ask what risks are involved in deploying a 'spectrogeographical' lens in studies of the colonial and postcolonial, and particularly in figuring Indigenous bodies, voices, and histories in ghostly terms. </w:t>
      </w:r>
      <w:r w:rsidRPr="004A1B94">
        <w:rPr>
          <w:rStyle w:val="StyleUnderline"/>
          <w:highlight w:val="green"/>
        </w:rPr>
        <w:t>If</w:t>
      </w:r>
      <w:r w:rsidRPr="004A1B94">
        <w:rPr>
          <w:sz w:val="10"/>
        </w:rPr>
        <w:t xml:space="preserve">, as Haraway notes, </w:t>
      </w:r>
      <w:r w:rsidRPr="004A1B94">
        <w:rPr>
          <w:rStyle w:val="StyleUnderline"/>
          <w:highlight w:val="green"/>
        </w:rPr>
        <w:t>we inevitably read the world through tropes, we can still choose 'less-deadly version[s]</w:t>
      </w:r>
      <w:r w:rsidRPr="004A1B94">
        <w:rPr>
          <w:rStyle w:val="StyleUnderline"/>
        </w:rPr>
        <w:t xml:space="preserve"> for moral discourse'</w:t>
      </w:r>
      <w:r w:rsidRPr="004A1B94">
        <w:rPr>
          <w:sz w:val="10"/>
        </w:rPr>
        <w:t xml:space="preserve">,11 </w:t>
      </w:r>
      <w:r w:rsidRPr="004A1B94">
        <w:rPr>
          <w:rStyle w:val="StyleUnderline"/>
        </w:rPr>
        <w:t>and at a time when spectral metaphors are proliferating, it seems crucial to interrogate the 'deadliness' of this particular line of thought</w:t>
      </w:r>
      <w:r w:rsidRPr="004A1B94">
        <w:rPr>
          <w:sz w:val="10"/>
        </w:rPr>
        <w:t xml:space="preserve">. I would like to make a contribution along these lines by drawing attention to the longer history of haunting tropes in Canada and their re-emergence in the past decade or so in, among other places, a wilderness park in southwestern British Columbia. My intent is to draw points of connection between past and present hauntologies and interrogate the positionality of those who figure Indigenous peoples in ghostly terms. I will argue that </w:t>
      </w:r>
      <w:r w:rsidRPr="004A1B94">
        <w:rPr>
          <w:rStyle w:val="StyleUnderline"/>
        </w:rPr>
        <w:t>allegorical representations of Indigenous peoples as ghosts haunting the</w:t>
      </w:r>
      <w:r w:rsidRPr="004A1B94">
        <w:rPr>
          <w:sz w:val="10"/>
        </w:rPr>
        <w:t xml:space="preserve"> Canadian </w:t>
      </w:r>
      <w:r w:rsidRPr="004A1B94">
        <w:rPr>
          <w:rStyle w:val="StyleUnderline"/>
        </w:rPr>
        <w:t>state reinscribe colonial relations even as they are characterized as 'post' colonial expressions of recognition and redress, raising questions about the politics of postcolonial ghost stories</w:t>
      </w:r>
      <w:r w:rsidRPr="004A1B94">
        <w:rPr>
          <w:sz w:val="10"/>
        </w:rPr>
        <w:t xml:space="preserve">. In a recent review of the proliferation of haunting metaphors in Canadian cultural production, Goldman and Saul cite Canadian settler-author Catherine Parr Traill's declaration that 'ghosts or spirits... appear totally banished from Canada. This is too matter-of-fact a country for such supernaturais to visit'.12 Traill made this claim in 1833, but it was echoed by poet and critic Earle Birney in 1947 when he stated that 'it's only by our lack of ghosts we're haunted'.13 Birney was referring to certain Canadians' preoccupation with their apparent 'lack' of history in comparison to their American neighbours, a matter of particular nationalist concern that has defined Canadian cultural production for decades. Such claims to 'ghostlessness', however, are more the exception than the rule. Northey14 argues that, in fact, </w:t>
      </w:r>
      <w:r w:rsidRPr="004A1B94">
        <w:rPr>
          <w:rStyle w:val="StyleUnderline"/>
          <w:highlight w:val="green"/>
        </w:rPr>
        <w:t>ghosts have been at the center of nation-building projects</w:t>
      </w:r>
      <w:r w:rsidRPr="004A1B94">
        <w:rPr>
          <w:sz w:val="10"/>
        </w:rPr>
        <w:t xml:space="preserve"> in Canada </w:t>
      </w:r>
      <w:r w:rsidRPr="004A1B94">
        <w:rPr>
          <w:rStyle w:val="StyleUnderline"/>
          <w:highlight w:val="green"/>
        </w:rPr>
        <w:t>for a long while</w:t>
      </w:r>
      <w:r w:rsidRPr="004A1B94">
        <w:rPr>
          <w:sz w:val="10"/>
        </w:rPr>
        <w:t xml:space="preserve">, beginning in the nineteenth century. In particular, and of relevance to this essay, Bentley15 argues that </w:t>
      </w:r>
      <w:r w:rsidRPr="004A1B94">
        <w:rPr>
          <w:rStyle w:val="StyleUnderline"/>
        </w:rPr>
        <w:t>ghosts have been instrumental figures in efforts to connect Aboriginality with settler history, creating an aesthetic link between the 'Indian past' and the settler present</w:t>
      </w:r>
      <w:r w:rsidRPr="004A1B94">
        <w:rPr>
          <w:sz w:val="10"/>
        </w:rPr>
        <w:t xml:space="preserve">. </w:t>
      </w:r>
      <w:r w:rsidRPr="004A1B94">
        <w:rPr>
          <w:rStyle w:val="StyleUnderline"/>
        </w:rPr>
        <w:t>The Aboriginal ghost has been used to evoke a generalized sense of history</w:t>
      </w:r>
      <w:r w:rsidRPr="004A1B94">
        <w:rPr>
          <w:sz w:val="10"/>
        </w:rPr>
        <w:t xml:space="preserve"> in the Canadian landscape, </w:t>
      </w:r>
      <w:r w:rsidRPr="004A1B94">
        <w:rPr>
          <w:rStyle w:val="StyleUnderline"/>
          <w:highlight w:val="green"/>
        </w:rPr>
        <w:t>but</w:t>
      </w:r>
      <w:r w:rsidRPr="004A1B94">
        <w:rPr>
          <w:rStyle w:val="StyleUnderline"/>
        </w:rPr>
        <w:t xml:space="preserve"> always </w:t>
      </w:r>
      <w:r w:rsidRPr="004A1B94">
        <w:rPr>
          <w:rStyle w:val="StyleUnderline"/>
          <w:highlight w:val="green"/>
        </w:rPr>
        <w:t xml:space="preserve">with a sense of </w:t>
      </w:r>
      <w:r w:rsidRPr="004A1B94">
        <w:rPr>
          <w:rStyle w:val="Emphasis"/>
          <w:highlight w:val="green"/>
        </w:rPr>
        <w:t>linearity</w:t>
      </w:r>
      <w:r w:rsidRPr="004A1B94">
        <w:rPr>
          <w:rStyle w:val="StyleUnderline"/>
        </w:rPr>
        <w:t xml:space="preserve"> and succession</w:t>
      </w:r>
      <w:r w:rsidRPr="004A1B94">
        <w:rPr>
          <w:sz w:val="10"/>
        </w:rPr>
        <w:t xml:space="preserve">. </w:t>
      </w:r>
      <w:r w:rsidRPr="004A1B94">
        <w:rPr>
          <w:rStyle w:val="Emphasis"/>
          <w:highlight w:val="green"/>
        </w:rPr>
        <w:t>It is assumed</w:t>
      </w:r>
      <w:r w:rsidRPr="004A1B94">
        <w:rPr>
          <w:rStyle w:val="StyleUnderline"/>
          <w:highlight w:val="green"/>
        </w:rPr>
        <w:t xml:space="preserve"> that</w:t>
      </w:r>
      <w:r w:rsidRPr="004A1B94">
        <w:rPr>
          <w:rStyle w:val="StyleUnderline"/>
        </w:rPr>
        <w:t xml:space="preserve"> Aboriginal </w:t>
      </w:r>
      <w:r w:rsidRPr="004A1B94">
        <w:rPr>
          <w:rStyle w:val="Emphasis"/>
          <w:highlight w:val="green"/>
        </w:rPr>
        <w:t>ghosts are all that remains</w:t>
      </w:r>
      <w:r w:rsidRPr="004A1B94">
        <w:rPr>
          <w:rStyle w:val="StyleUnderline"/>
        </w:rPr>
        <w:t xml:space="preserve"> of the 'disappearing Indian', and that settler-Canadians have inherited this rich land from those who have now 'passed'</w:t>
      </w:r>
      <w:r w:rsidRPr="004A1B94">
        <w:rPr>
          <w:sz w:val="10"/>
        </w:rPr>
        <w:t xml:space="preserve"> The 'spectral native' was </w:t>
      </w:r>
      <w:r w:rsidRPr="004A1B94">
        <w:rPr>
          <w:rStyle w:val="StyleUnderline"/>
        </w:rPr>
        <w:t>a particularly common figure among the Confederation poets</w:t>
      </w:r>
      <w:r w:rsidRPr="004A1B94">
        <w:rPr>
          <w:sz w:val="10"/>
        </w:rPr>
        <w:t xml:space="preserve">, a group of writers working at the turn of the twentieth century who aimed to cultivate a uniquely Canadian literary voice and articulate the grounds for a budding Canadian nationalism.16 One of their more celebrated members, Duncan Campbell Scott, also spent his career in the federal Department of Indian Affairs, holding the post of Deputy Superintendent from 1923-1932, the era during which some of the most restrictive and assimilative policies relating to Aboriginal peoples were crafted and implemented. While traveling into Northern Ontario to arrange for the surrender of Cree and Ojibway lands in 1905, Scott wrote a poem entitled 'Indian Place Names' that begins: The race has waned and left but tales of ghosts, That hover in the world like fading smoke About the lodges: gone are the dusty folk That once were cunning with the thong and snare And mighty with the paddle and the bow; They lured the silver salmon from his lair, They drove the buffalo in trampling hosts, And gambled in the teepees until dawn. But now their vaunted prowess is all gone, Gone like a moose-track in April snow. But all the land is murmurous with the call Of their wild names that haunt the lovely glens Where lonely water falls, or where the street Sounds all day with the tramp of myriad feet.17 Scott wrote a number of mournful Indian poems like this one, lamenting the loss of the very cultures he was instrumental in attacking. Although critics like Stan Dragland18 have argued that Scott's poetry gave expression to his inner torment over the assimilation of Indigenous peoples into Canadian society, Groening19 insists that Scott's poems supported and articulated his assimilationist agenda. Ghostly, fading Indians, regrettable or not, were an essential component of Scott's vision as Deputy Superintendent of Indian Affairs. Scott was unequivocal that Indians should 'progress into civilization and finally disappear as a separate and distinct people, not by race extinction but by gradual assimilation with their fellow citizens',20 and the motif of fading, spectral Indians in Scott's poetry worked to naturalize the policies he enacted as Deputy Superintendent. The portrayal of Indigenous peoples as fading ghosts extended far beyond Scott's poetry, but the political implications of Scott's use of this trope are particularly stark given the context within which 'Indian Place Names' was written. Scott was engaged in negotiations with real, live 'Indians' when he wrote this poem, and </w:t>
      </w:r>
      <w:r w:rsidRPr="004A1B94">
        <w:rPr>
          <w:rStyle w:val="StyleUnderline"/>
        </w:rPr>
        <w:t>it is this mismatch between the poem's aestheticized 'ghosting' of Indigenous peoples and their embodied, material existence around the treaty table that is of note</w:t>
      </w:r>
      <w:r w:rsidRPr="004A1B94">
        <w:rPr>
          <w:sz w:val="10"/>
        </w:rPr>
        <w:t xml:space="preserve">. This mismatch becomes all the more resonant from a contemporary vantage point: the Cree and Ojibway clearly did not 'wane', after all. </w:t>
      </w:r>
      <w:r w:rsidRPr="004A1B94">
        <w:rPr>
          <w:rStyle w:val="StyleUnderline"/>
        </w:rPr>
        <w:t>They were real then and they are real today, in spite of</w:t>
      </w:r>
      <w:r w:rsidRPr="004A1B94">
        <w:rPr>
          <w:sz w:val="10"/>
        </w:rPr>
        <w:t xml:space="preserve"> Scott's </w:t>
      </w:r>
      <w:r w:rsidRPr="004A1B94">
        <w:rPr>
          <w:rStyle w:val="StyleUnderline"/>
        </w:rPr>
        <w:t>efforts, both poetic and bureaucratic</w:t>
      </w:r>
      <w:r w:rsidRPr="004A1B94">
        <w:rPr>
          <w:sz w:val="10"/>
        </w:rPr>
        <w:t xml:space="preserve">. Scott is clearly a unique case; his occupation as both a poet and a high-ranking bureaucrat demand that the interdigitation of his governmental and literary texts be interrogated. But the prevalence of ghostly Indigenous figures in Canadian cultural production beyond Scott, and this prevalence in and of itself is worthy of note. Cariou argues that spectral Native figures are 'part of the iconic vocabulary of Euro-American Gothic romances',21 citing the employment of such figures in prairie literatures from the 1930s to the present day. Margaret Atwood22 has pointed to the importance of Aboriginal ghosts in constructions of the Canadian North as malevolent and mysterious, and Goldman and Saul identify an interest in haunting among contemporary writers such as Ann-Marie MacDonald, Jane Urquhart, Timothy Findley, and Michael Ondaatje,23 some of whom have made explicit links between Canadian history, Indigenous ghosts, and the politics of land and inheritance. Gelder and Jacobs' important study of Indigenous ghosts as uncanny manifestations of setder unease, along with more recent work by Australian scholars, suggest that the ghost is a compelling figure in setder colonies more generally.24 Indeed, Bergland's comprehensive study of the 'Indian ghost' in American literature traces the figuration of Indigenous peoples as 'demons, apparitions, shapes, specters, phantoms, or ghosts'25 over the past three hundred years, noting the connection between Indigenous spectrality and colonial figurations of land and power. It seems that </w:t>
      </w:r>
      <w:r w:rsidRPr="004A1B94">
        <w:rPr>
          <w:rStyle w:val="StyleUnderline"/>
        </w:rPr>
        <w:t>recent turns to the 'spectral' as a metaphor for coming to terms with colonialism are by no means original</w:t>
      </w:r>
      <w:r w:rsidRPr="004A1B94">
        <w:rPr>
          <w:sz w:val="10"/>
        </w:rPr>
        <w:t xml:space="preserve">. The fact that setder colonies like Canada, Australia, and the United States are not 'post' colonial in the sense of being 'beyond' or 'after' colonialism may explain the ongoing importance of the Indigenous ghost in the setder imagination, but whatever continuities may exist between past and present settler hauntologies, it is important to note that </w:t>
      </w:r>
      <w:r w:rsidRPr="004A1B94">
        <w:rPr>
          <w:rStyle w:val="StyleUnderline"/>
        </w:rPr>
        <w:t>recent invocations of the Indigenous ghost are frequently understood to be 'post' colonial and even decolonizing gestures</w:t>
      </w:r>
      <w:r w:rsidRPr="004A1B94">
        <w:rPr>
          <w:sz w:val="10"/>
        </w:rPr>
        <w:t xml:space="preserve">. The final report of the Royal Commission on Aboriginal Peoples, for example, a commission meant to address some of the foundations of contemporary conflicts between Aboriginal peoples and the Canadian state, frames Canadian history as 'haunted' by colonial injustices: Studying the past tells us who we are and where we came from. It often reveals a cache of secrets that some people are striving to keep hidden and others are striving to tell. In this case, it helps explain how the tensions between Aboriginal and non-Aboriginal people came to be, and why they are so hard to resolve.... In our report, we examine that history in some detail, for its ghosts haunt us still. The ghosts take the form of dishonoured treaties, theft of Aboriginal lands, suppression of Aboriginal cultures, abduction of Aboriginal children, impoverishment and disempowerment of Aboriginal peoples.26 The report goes on to outline the ways in which these ghosts might be laid to rest and an era of 'peace and harmony' might be initiated. According to a recent University of Toronto Quarterly special issue devoted to 'haunting' in Canadian cultural production,27 spectral accounts of Indigenous-setder relations have proliferated in the decade since the Royal Commission. One of the places such stories have emerged is in a wilderness park in southwestern British Columbia. These stories raise important questions about the use of spectral tropes for making sense of contemporary setder colonies like Canada. The Stein Valley Nlaka'pamux Heritage Park is a provincial park protecting the 'last unlogged, intact watershed'28 in southwestern BC. The park stretches from the Coast mountain range inland to the deep cuts of the Fraser Canyon. It is rugged, mountainous country, largely unknown to most nonAboriginal British Columbians until the mid 1980s when environmental activists realized that the valley was slated for logging. The valley has always been important to the Nlaka'pamux, whose traditional territory encompasses the watershed. It has been used as a source of food, a travel route between inland and coastal territories, contains numerous rock paintings, and is a site for vision quests and other activities. According to an activist who was central in the campaign to protect the Stein, however, such uses were downplayed by logging companies intent on extracting timber from the valley.29 In the rush to protect the Stein, a coalition of First Nations, environmental activists, and scholars therefore self-consciously worked to 'fill' the valley with signs of Aboriginality, emphasizing its spiritual significance and insisting on the integrity of the Valley as a whole, charged space.30 T-shirts, posters, and flyers were emblazoned with rock art images and a coffee table book was assembled to showcase the Valley and raise funds for its protection.31 Wilderness concerts were staged to draw attention to the plight of the valley32 and the 'Stein Rediscovery' Program was launched, a program aimed at reacquainting Lytton, Lillooet, and Mt. Currie Band youth with their traditional culture through extended journeys into the Stein. Ultimately these multiple conservation efforts were successful. By 1995, a park co-managed by the provincial government and the Lytton First Nation was declared. The park was named 'Stein Valley Nlaka'pamux Heritage Park: A Living Museum of Cultural and Natural History', one of the first parks in Canada to highlight its Indigenous heritage. As Braun33 has argued with regards to Clayoquot Sound, however, a particular kind of Indigeneity was emphasized in the creation of the park. Notions of a pure, static, 'ancient' Indigeneity aligned with a pure and untamed nature predominated. This was a Stein of 'living, loving arms', with 'laughter on the breeze',34 a charismatic space that was characterized by David Suzuki as palliative for a society 'desperately in need of environmental and spiritual restoration'.35 Descriptions of the Stein as a benevolent and healing spiritual place predominated in articles, flyers, reports, and images produced to protect the valley from logging.36 Notably, the 'spirits' of the Stein were construed as universally welcoming and protective: In truth, ancestors still sing in the Stein, using words which have remained unchanged throughout centuries. In truth, there is laughter on the breeze, and each tree, each stone, is alive. That the ancestors have always protected the Stein, and always will, is true; and the Stein, in turn, protects all.37 Efforts on the part of the Lytton, Mt. Currie, and Lillooet Bands to protect the Stein were embedded in a broader political movement to regain control over their traditional territories, a movement that began to gain some momentum in the mid-1990s. After over a century of demands on the part of the province's First Nations for official treaties and land claim settlements, the British Columbia treaty process finally resulted in a settlement in 1998, when the Nisga'a Nation successfully regained title over a portion of their traditional territory in northern British Columbia.38 'Suddenly', or so it seemed to a number of nonAboriginal British Columbians, the entire province was up for grabs,39 and a great deal of anxiety and uncertainty over land tenure began to emerge.40 It was in this context that the spirits of the Stein began to figure in different terms than the coffee table books celebrated, and the notion of the Stein as 'haunted' by Aboriginal ghosts began to appear. ' Everyone knows that the Stein is haunted',41 notes one former resident of Vancouver, but the valley's hauntings remain an unsubstantiated 'urban legend'. Interviews conducted with nonAboriginal informants who have hiked in the Stein Valley since the late 1990s nevertheless reveal a number of haunting stories ranging from a vague sense of unease in the Valley to accounts of ghostly apparitions. Importantly, all those I have interviewed42 characterize these spectral experiences as frightening, unsettling, and scary, and describe an impression of being unwelcome trespassers in what is ostensibly a public park. One hiker notes that ťthe site gave us a sense that we were trespassing somehow, and that there was still a presence there'.43 Another suggests: ťI think it was just feeling like we were intruding on somebody, and they were threatening in some way'.44 Much like the postcolonial ghost stories Gelder and Jacobs' discuss in Uncanny Australia , these are stories about being unwelcome, illegitimate, and vulnerable to malevolent Indigenous ghosts. Although the Stein was set up as a 'living museum' to showcase the Valley's cultural history, Gelder and Jacobs argue that such museological containment has become increasingly untenable in decolonizing settler nations like Canada and Australia. Museologicallyframed 'exhibits' like Asking Rock, described below, take on a whole new resonance for a settler society experiencing ťgrowing anxiety. . . regarding the legitimacy of their claims to belonging on what they call "their" land':45 There are many rock paintings sites in the Stein Valley. A good example is the one known as 'Asking Rock' situated near Stryen Creek. At this site Nlaka'pamux people stop, recite a prayer, and ask permission to travel through the valley in safety. Some people leave offerings of burnt sage and tobacco to accompany their prayers.46 Although this park brochure implies that only Nlaka'pamux need ask for permission to travel through the valley, non-Aboriginal British Columbians have become increasingly aware of their failure to ask for permission to traverse and settle the province's lands, and I would argue that sites like Asking Rock are no longer read as 'neutral', museological exhibits. Indeed, the presence and claims of Aboriginal peoples in the Stein Valley, presences that were purposely highlighted throughout the 1980s to ensure the Valley's conservation as a 'wilderness' space, seem to undercut the legitimacy of non-Aboriginal wilderness enthusiasts traversing the Stein in the more politicized climate of contemporary treaty-making. Following Gelder and Jacobs,47 </w:t>
      </w:r>
      <w:r w:rsidRPr="004A1B94">
        <w:rPr>
          <w:rStyle w:val="StyleUnderline"/>
        </w:rPr>
        <w:t>one might interpret contemporary hauntings</w:t>
      </w:r>
      <w:r w:rsidRPr="004A1B94">
        <w:rPr>
          <w:sz w:val="10"/>
        </w:rPr>
        <w:t xml:space="preserve"> in the Stein </w:t>
      </w:r>
      <w:r w:rsidRPr="004A1B94">
        <w:rPr>
          <w:rStyle w:val="StyleUnderline"/>
        </w:rPr>
        <w:t xml:space="preserve">as manifestations of a certain uncanny, unsettled sense of place for those non-Aboriginal </w:t>
      </w:r>
      <w:r w:rsidRPr="004A1B94">
        <w:rPr>
          <w:sz w:val="10"/>
        </w:rPr>
        <w:t xml:space="preserve">British Columbians </w:t>
      </w:r>
      <w:r w:rsidRPr="004A1B94">
        <w:rPr>
          <w:rStyle w:val="StyleUnderline"/>
        </w:rPr>
        <w:t>who are struggling to come to terms with their</w:t>
      </w:r>
      <w:r w:rsidRPr="004A1B94">
        <w:rPr>
          <w:sz w:val="10"/>
        </w:rPr>
        <w:t xml:space="preserve"> (</w:t>
      </w:r>
      <w:r w:rsidRPr="004A1B94">
        <w:rPr>
          <w:rStyle w:val="StyleUnderline"/>
        </w:rPr>
        <w:t>illegitimate presence</w:t>
      </w:r>
      <w:r w:rsidRPr="004A1B94">
        <w:rPr>
          <w:sz w:val="10"/>
        </w:rPr>
        <w:t xml:space="preserve"> in the province. </w:t>
      </w:r>
      <w:r w:rsidRPr="004A1B94">
        <w:rPr>
          <w:rStyle w:val="StyleUnderline"/>
        </w:rPr>
        <w:t>Aboriginal ghosts represent the 'return of the repressed'</w:t>
      </w:r>
      <w:r w:rsidRPr="004A1B94">
        <w:rPr>
          <w:sz w:val="10"/>
        </w:rPr>
        <w:t xml:space="preserve">48 </w:t>
      </w:r>
      <w:r w:rsidRPr="004A1B94">
        <w:rPr>
          <w:rStyle w:val="StyleUnderline"/>
        </w:rPr>
        <w:t>for settler-colonists, an uncanny reminder of the illegimitacy and injustice at the heart of land resettlement in the province. But whether or not one finds a psychoanalytic reading</w:t>
      </w:r>
      <w:r w:rsidRPr="004A1B94">
        <w:rPr>
          <w:sz w:val="10"/>
        </w:rPr>
        <w:t xml:space="preserve"> of the Stein Valley ghost stories </w:t>
      </w:r>
      <w:r w:rsidRPr="004A1B94">
        <w:rPr>
          <w:rStyle w:val="StyleUnderline"/>
        </w:rPr>
        <w:t>compelling</w:t>
      </w:r>
      <w:r w:rsidRPr="004A1B94">
        <w:rPr>
          <w:sz w:val="10"/>
        </w:rPr>
        <w:t xml:space="preserve">, it seems to me that </w:t>
      </w:r>
      <w:r w:rsidRPr="004A1B94">
        <w:rPr>
          <w:rStyle w:val="StyleUnderline"/>
        </w:rPr>
        <w:t xml:space="preserve">one might more productively query the ways in which these stories manage to </w:t>
      </w:r>
      <w:r w:rsidRPr="004A1B94">
        <w:rPr>
          <w:rStyle w:val="Emphasis"/>
          <w:highlight w:val="green"/>
        </w:rPr>
        <w:t>'write out' the bodies and voices of living, politically active Indigenous peoples</w:t>
      </w:r>
      <w:r w:rsidRPr="004A1B94">
        <w:rPr>
          <w:sz w:val="10"/>
        </w:rPr>
        <w:t xml:space="preserve">. </w:t>
      </w:r>
      <w:r w:rsidRPr="004A1B94">
        <w:rPr>
          <w:rStyle w:val="Emphasis"/>
          <w:highlight w:val="green"/>
        </w:rPr>
        <w:t>In spite of</w:t>
      </w:r>
      <w:r w:rsidRPr="004A1B94">
        <w:rPr>
          <w:rStyle w:val="StyleUnderline"/>
        </w:rPr>
        <w:t xml:space="preserve"> the implicit </w:t>
      </w:r>
      <w:r w:rsidRPr="004A1B94">
        <w:rPr>
          <w:rStyle w:val="Emphasis"/>
          <w:highlight w:val="green"/>
        </w:rPr>
        <w:t>recognition of</w:t>
      </w:r>
      <w:r w:rsidRPr="004A1B94">
        <w:rPr>
          <w:rStyle w:val="StyleUnderline"/>
        </w:rPr>
        <w:t xml:space="preserve"> Aboriginal </w:t>
      </w:r>
      <w:r w:rsidRPr="004A1B94">
        <w:rPr>
          <w:rStyle w:val="Emphasis"/>
          <w:highlight w:val="green"/>
        </w:rPr>
        <w:t>'presence'</w:t>
      </w:r>
      <w:r w:rsidRPr="004A1B94">
        <w:rPr>
          <w:sz w:val="10"/>
        </w:rPr>
        <w:t xml:space="preserve"> in these stories, postcolonial hauntings in the Stein do not seem to account for living Indigenous peoples any more than Scott's poems did a century ago. Not only do these ghost stories jar against Nlaka'pamux accounts of the spirits of the Stein as universally protective and welcoming, </w:t>
      </w:r>
      <w:r w:rsidRPr="004A1B94">
        <w:rPr>
          <w:rStyle w:val="StyleUnderline"/>
        </w:rPr>
        <w:t>they also continue a longstanding practice of relegating Aboriginality to the immaterial and spectral past</w:t>
      </w:r>
      <w:r w:rsidRPr="004A1B94">
        <w:rPr>
          <w:sz w:val="10"/>
        </w:rPr>
        <w:t xml:space="preserve">. Hikers do not recount stories of live, angry Nlaka'pamux asking them to leave, but rather tell stories of disembodied 'spirits' emerging from an evocative landscape. </w:t>
      </w:r>
      <w:r w:rsidRPr="004A1B94">
        <w:rPr>
          <w:rStyle w:val="StyleUnderline"/>
        </w:rPr>
        <w:t>These ghosts do not speak or act; they haunt by virtue of their very existence</w:t>
      </w:r>
      <w:r w:rsidRPr="004A1B94">
        <w:rPr>
          <w:sz w:val="10"/>
        </w:rPr>
        <w:t xml:space="preserve">. </w:t>
      </w:r>
      <w:r w:rsidRPr="004A1B94">
        <w:rPr>
          <w:rStyle w:val="StyleUnderline"/>
        </w:rPr>
        <w:t>As the peoples of the Mt. Currie and Lytton Bands declared</w:t>
      </w:r>
      <w:r w:rsidRPr="004A1B94">
        <w:rPr>
          <w:sz w:val="10"/>
        </w:rPr>
        <w:t xml:space="preserve"> during the 'Save the Stein' campaign, they are far too accustomed to a spectral condition: </w:t>
      </w:r>
      <w:r w:rsidRPr="004A1B94">
        <w:rPr>
          <w:rStyle w:val="StyleUnderline"/>
        </w:rPr>
        <w:t xml:space="preserve">As we live through our daily lives as Indians, eventually we become accustomed to the fact that non-native </w:t>
      </w:r>
      <w:r w:rsidRPr="004A1B94">
        <w:rPr>
          <w:rStyle w:val="StyleUnderline"/>
          <w:highlight w:val="green"/>
        </w:rPr>
        <w:t>people</w:t>
      </w:r>
      <w:r w:rsidRPr="004A1B94">
        <w:rPr>
          <w:rStyle w:val="StyleUnderline"/>
        </w:rPr>
        <w:t xml:space="preserve"> can see right through us</w:t>
      </w:r>
      <w:r w:rsidRPr="004A1B94">
        <w:rPr>
          <w:sz w:val="10"/>
        </w:rPr>
        <w:t xml:space="preserve">. We don't mean that these people understand us fully or somehow sense the innermost workings of the Indian heart, because it seems to us that most non-native people don't take the time to come to this kind of knowledge. </w:t>
      </w:r>
      <w:r w:rsidRPr="004A1B94">
        <w:rPr>
          <w:rStyle w:val="StyleUnderline"/>
        </w:rPr>
        <w:t>We mean simply that the majority of the non-natives view us as invisible peoples who really should not exist outside museums</w:t>
      </w:r>
      <w:r w:rsidRPr="004A1B94">
        <w:rPr>
          <w:sz w:val="10"/>
        </w:rPr>
        <w:t xml:space="preserve">.49 </w:t>
      </w:r>
      <w:r w:rsidRPr="004A1B94">
        <w:rPr>
          <w:rStyle w:val="StyleUnderline"/>
        </w:rPr>
        <w:t xml:space="preserve">These comments </w:t>
      </w:r>
      <w:r w:rsidRPr="004A1B94">
        <w:rPr>
          <w:rStyle w:val="StyleUnderline"/>
          <w:highlight w:val="green"/>
        </w:rPr>
        <w:t xml:space="preserve">highlight the specific, </w:t>
      </w:r>
      <w:r w:rsidRPr="004A1B94">
        <w:rPr>
          <w:rStyle w:val="Emphasis"/>
          <w:highlight w:val="green"/>
        </w:rPr>
        <w:t>lived experience of ghostliness</w:t>
      </w:r>
      <w:r w:rsidRPr="004A1B94">
        <w:rPr>
          <w:rStyle w:val="StyleUnderline"/>
        </w:rPr>
        <w:t xml:space="preserve"> and </w:t>
      </w:r>
      <w:r w:rsidRPr="004A1B94">
        <w:rPr>
          <w:rStyle w:val="Emphasis"/>
          <w:highlight w:val="green"/>
        </w:rPr>
        <w:t>not a generalized, metaphoric condition of Indigenous spectrality</w:t>
      </w:r>
      <w:r w:rsidRPr="004A1B94">
        <w:rPr>
          <w:sz w:val="10"/>
        </w:rPr>
        <w:t xml:space="preserve">. Spivak has </w:t>
      </w:r>
      <w:r w:rsidRPr="004A1B94">
        <w:rPr>
          <w:rStyle w:val="StyleUnderline"/>
        </w:rPr>
        <w:t>highlighted the importance of drawing a distinction between the singular and the general in accounts of the colonial and postcolonial</w:t>
      </w:r>
      <w:r w:rsidRPr="004A1B94">
        <w:rPr>
          <w:sz w:val="10"/>
        </w:rPr>
        <w:t xml:space="preserve">.50 She emphasizes the importance of understanding the lingular' not so much as an instance of the general, but rather as that which marks, in Baucom's words, a 'cryptic, secretive space..., discloses the presence of that withheld space, but "guards" its secret'.51 In other words, as Baucom has argued in reference to the generalized sense of haunting evoked by stories of the drowning of 132 slaves on the Atlantic crossing of the Zong in 1781, postcolonial scholars must pay attention to the ways in which </w:t>
      </w:r>
      <w:r w:rsidRPr="004A1B94">
        <w:rPr>
          <w:rStyle w:val="StyleUnderline"/>
        </w:rPr>
        <w:t xml:space="preserve">singular, specific historical experiences and events are </w:t>
      </w:r>
      <w:r w:rsidRPr="004A1B94">
        <w:rPr>
          <w:rStyle w:val="Emphasis"/>
          <w:highlight w:val="green"/>
        </w:rPr>
        <w:t>translated into generalized allegories</w:t>
      </w:r>
      <w:r w:rsidRPr="004A1B94">
        <w:rPr>
          <w:rStyle w:val="StyleUnderline"/>
        </w:rPr>
        <w:t xml:space="preserve"> of a reprehensible colonial past</w:t>
      </w:r>
      <w:r w:rsidRPr="004A1B94">
        <w:rPr>
          <w:sz w:val="10"/>
        </w:rPr>
        <w:t xml:space="preserve">. He insists that </w:t>
      </w:r>
      <w:r w:rsidRPr="004A1B94">
        <w:rPr>
          <w:rStyle w:val="Emphasis"/>
          <w:highlight w:val="green"/>
        </w:rPr>
        <w:t>the specificity</w:t>
      </w:r>
      <w:r w:rsidRPr="004A1B94">
        <w:rPr>
          <w:rStyle w:val="Emphasis"/>
        </w:rPr>
        <w:t xml:space="preserve"> of these histories </w:t>
      </w:r>
      <w:r w:rsidRPr="004A1B94">
        <w:rPr>
          <w:rStyle w:val="Emphasis"/>
          <w:highlight w:val="green"/>
        </w:rPr>
        <w:t>must be stripped away</w:t>
      </w:r>
      <w:r w:rsidRPr="004A1B94">
        <w:rPr>
          <w:rStyle w:val="StyleUnderline"/>
        </w:rPr>
        <w:t xml:space="preserve"> in order </w:t>
      </w:r>
      <w:r w:rsidRPr="004A1B94">
        <w:rPr>
          <w:rStyle w:val="StyleUnderline"/>
          <w:highlight w:val="green"/>
        </w:rPr>
        <w:t>for them to circulate</w:t>
      </w:r>
      <w:r w:rsidRPr="004A1B94">
        <w:rPr>
          <w:rStyle w:val="StyleUnderline"/>
        </w:rPr>
        <w:t xml:space="preserve"> as evocative signs of 'that kind' of history, and that the Value' of a specific history is only legible in this generalized state</w:t>
      </w:r>
      <w:r w:rsidRPr="004A1B94">
        <w:rPr>
          <w:sz w:val="10"/>
        </w:rPr>
        <w:t xml:space="preserve">. </w:t>
      </w:r>
      <w:r w:rsidRPr="004A1B94">
        <w:rPr>
          <w:rStyle w:val="Emphasis"/>
          <w:highlight w:val="green"/>
        </w:rPr>
        <w:t>There is</w:t>
      </w:r>
      <w:r w:rsidRPr="004A1B94">
        <w:rPr>
          <w:rStyle w:val="Emphasis"/>
        </w:rPr>
        <w:t xml:space="preserve"> a certain </w:t>
      </w:r>
      <w:r w:rsidRPr="004A1B94">
        <w:rPr>
          <w:rStyle w:val="Emphasis"/>
          <w:highlight w:val="green"/>
        </w:rPr>
        <w:t>violence</w:t>
      </w:r>
      <w:r w:rsidRPr="004A1B94">
        <w:rPr>
          <w:rStyle w:val="Emphasis"/>
        </w:rPr>
        <w:t xml:space="preserve">, then, </w:t>
      </w:r>
      <w:r w:rsidRPr="004A1B94">
        <w:rPr>
          <w:rStyle w:val="Emphasis"/>
          <w:highlight w:val="green"/>
        </w:rPr>
        <w:t>in the evocation</w:t>
      </w:r>
      <w:r w:rsidRPr="004A1B94">
        <w:rPr>
          <w:rStyle w:val="StyleUnderline"/>
        </w:rPr>
        <w:t xml:space="preserve"> of a general sense of haunted (un)settlement</w:t>
      </w:r>
      <w:r w:rsidRPr="004A1B94">
        <w:rPr>
          <w:sz w:val="10"/>
        </w:rPr>
        <w:t xml:space="preserve"> in places like the Stein Valley. It is a </w:t>
      </w:r>
      <w:r w:rsidRPr="004A1B94">
        <w:rPr>
          <w:rStyle w:val="StyleUnderline"/>
        </w:rPr>
        <w:t>haunting</w:t>
      </w:r>
      <w:r w:rsidRPr="004A1B94">
        <w:rPr>
          <w:sz w:val="10"/>
        </w:rPr>
        <w:t xml:space="preserve"> that </w:t>
      </w:r>
      <w:r w:rsidRPr="004A1B94">
        <w:rPr>
          <w:rStyle w:val="StyleUnderline"/>
        </w:rPr>
        <w:t>speaks not to the particular ways</w:t>
      </w:r>
      <w:r w:rsidRPr="004A1B94">
        <w:rPr>
          <w:sz w:val="10"/>
        </w:rPr>
        <w:t xml:space="preserve"> in which Nlaka'pamux have </w:t>
      </w:r>
      <w:r w:rsidRPr="004A1B94">
        <w:rPr>
          <w:rStyle w:val="StyleUnderline"/>
        </w:rPr>
        <w:t>experienced and objected to colonial policies and practices</w:t>
      </w:r>
      <w:r w:rsidRPr="004A1B94">
        <w:rPr>
          <w:sz w:val="10"/>
        </w:rPr>
        <w:t xml:space="preserve"> (experiences and concerns that they specifically articulated, for example, to Gilbert Malcolm Sproat, Joint Indian Reserve Commissioner, as Sproat traveled through their territory in the summer of 1878, tasked with allotting small reserve lands for the use of the Nlaka'pamux and thus clearing the way for nonAboriginal settlement),52 </w:t>
      </w:r>
      <w:r w:rsidRPr="004A1B94">
        <w:rPr>
          <w:rStyle w:val="StyleUnderline"/>
        </w:rPr>
        <w:t>but rather to a generalized sense of the contemporary resonance of ‘that kind' of history</w:t>
      </w:r>
      <w:r w:rsidRPr="004A1B94">
        <w:rPr>
          <w:sz w:val="10"/>
        </w:rPr>
        <w:t xml:space="preserve">. </w:t>
      </w:r>
      <w:r w:rsidRPr="004A1B94">
        <w:rPr>
          <w:rStyle w:val="StyleUnderline"/>
        </w:rPr>
        <w:t xml:space="preserve">This generalized and allegorical understanding of the colonial past </w:t>
      </w:r>
      <w:r w:rsidRPr="004A1B94">
        <w:rPr>
          <w:rStyle w:val="Emphasis"/>
          <w:highlight w:val="green"/>
        </w:rPr>
        <w:t>inevitably leads</w:t>
      </w:r>
      <w:r w:rsidRPr="004A1B94">
        <w:rPr>
          <w:sz w:val="10"/>
        </w:rPr>
        <w:t xml:space="preserve">, Baucom argues, </w:t>
      </w:r>
      <w:r w:rsidRPr="004A1B94">
        <w:rPr>
          <w:rStyle w:val="Emphasis"/>
          <w:highlight w:val="green"/>
        </w:rPr>
        <w:t>to an equally generalized 'fantasy'</w:t>
      </w:r>
      <w:r w:rsidRPr="004A1B94">
        <w:rPr>
          <w:sz w:val="10"/>
        </w:rPr>
        <w:t xml:space="preserve">53 </w:t>
      </w:r>
      <w:r w:rsidRPr="004A1B94">
        <w:rPr>
          <w:rStyle w:val="Emphasis"/>
          <w:highlight w:val="green"/>
        </w:rPr>
        <w:t>of postcolonial justice</w:t>
      </w:r>
      <w:r w:rsidRPr="004A1B94">
        <w:rPr>
          <w:rStyle w:val="StyleUnderline"/>
        </w:rPr>
        <w:t xml:space="preserve">, to the notion of reconciliation with ghosts </w:t>
      </w:r>
      <w:r w:rsidRPr="004A1B94">
        <w:rPr>
          <w:rStyle w:val="Emphasis"/>
          <w:highlight w:val="green"/>
        </w:rPr>
        <w:t>rather than a reckoning with the specific and ongoing violences of colonialism</w:t>
      </w:r>
      <w:r w:rsidRPr="004A1B94">
        <w:rPr>
          <w:sz w:val="10"/>
        </w:rPr>
        <w:t xml:space="preserve">. </w:t>
      </w:r>
      <w:r w:rsidRPr="004A1B94">
        <w:rPr>
          <w:rStyle w:val="StyleUnderline"/>
        </w:rPr>
        <w:t>‘In poll after poll</w:t>
      </w:r>
      <w:r w:rsidRPr="004A1B94">
        <w:rPr>
          <w:sz w:val="10"/>
        </w:rPr>
        <w:t xml:space="preserve">, Canadians have </w:t>
      </w:r>
      <w:r w:rsidRPr="004A1B94">
        <w:rPr>
          <w:rStyle w:val="StyleUnderline"/>
        </w:rPr>
        <w:t>said that they want to see justice done for Aboriginal people, but they have not known how'</w:t>
      </w:r>
      <w:r w:rsidRPr="004A1B94">
        <w:rPr>
          <w:sz w:val="10"/>
        </w:rPr>
        <w:t xml:space="preserve">,54 reports the Rojal Commission on Aboriginal Peoples , </w:t>
      </w:r>
      <w:r w:rsidRPr="004A1B94">
        <w:rPr>
          <w:rStyle w:val="StyleUnderline"/>
        </w:rPr>
        <w:t>in spite of the fact that Aboriginal peoples have consistently and forcefully articulated their specific demands for justice</w:t>
      </w:r>
      <w:r w:rsidRPr="004A1B94">
        <w:rPr>
          <w:sz w:val="10"/>
        </w:rPr>
        <w:t xml:space="preserve">. </w:t>
      </w:r>
      <w:r w:rsidRPr="004A1B94">
        <w:rPr>
          <w:rStyle w:val="StyleUnderline"/>
        </w:rPr>
        <w:t>What does it mean, then, to be 'haunted' in a decolonizing settler colony</w:t>
      </w:r>
      <w:r w:rsidRPr="004A1B94">
        <w:rPr>
          <w:sz w:val="10"/>
        </w:rPr>
        <w:t xml:space="preserve"> like British Columbia? Who is haunted in these stories, and who or what is doing the haunting? </w:t>
      </w:r>
      <w:r w:rsidRPr="004A1B94">
        <w:rPr>
          <w:rStyle w:val="StyleUnderline"/>
        </w:rPr>
        <w:t>What kind of future might these hauntings demand? Do they signal</w:t>
      </w:r>
      <w:r w:rsidRPr="004A1B94">
        <w:rPr>
          <w:sz w:val="10"/>
        </w:rPr>
        <w:t xml:space="preserve">, as Derrida intended, </w:t>
      </w:r>
      <w:r w:rsidRPr="004A1B94">
        <w:rPr>
          <w:rStyle w:val="StyleUnderline"/>
        </w:rPr>
        <w:t>a recognition of the always unfinished and unfinishable in our relation to the present and past and, by extension, a sense of generosity and hospitality towards ghosts? Or do they</w:t>
      </w:r>
      <w:r w:rsidRPr="004A1B94">
        <w:rPr>
          <w:sz w:val="10"/>
        </w:rPr>
        <w:t xml:space="preserve">, as Sarah Ahmed55 has argued in relation to white guilt in postcolonial Australia, </w:t>
      </w:r>
      <w:r w:rsidRPr="004A1B94">
        <w:rPr>
          <w:rStyle w:val="StyleUnderline"/>
        </w:rPr>
        <w:t>constitute yet another self-referential engagement with the colonial past, in which the experiences and desires of the settler occlude consideration of other desires and possibilities?</w:t>
      </w:r>
      <w:r w:rsidRPr="004A1B94">
        <w:rPr>
          <w:sz w:val="10"/>
        </w:rPr>
        <w:t xml:space="preserve"> This is the reason for my wariness in the face of haunting tropes, for I fear that </w:t>
      </w:r>
      <w:r w:rsidRPr="004A1B94">
        <w:rPr>
          <w:rStyle w:val="StyleUnderline"/>
        </w:rPr>
        <w:t xml:space="preserve">postcolonial ghost stories risk </w:t>
      </w:r>
      <w:r w:rsidRPr="004A1B94">
        <w:rPr>
          <w:rStyle w:val="Emphasis"/>
          <w:highlight w:val="green"/>
        </w:rPr>
        <w:t>perpetuating</w:t>
      </w:r>
      <w:r w:rsidRPr="004A1B94">
        <w:rPr>
          <w:rStyle w:val="Emphasis"/>
        </w:rPr>
        <w:t xml:space="preserve"> a kind of </w:t>
      </w:r>
      <w:r w:rsidRPr="004A1B94">
        <w:rPr>
          <w:rStyle w:val="Emphasis"/>
          <w:highlight w:val="green"/>
        </w:rPr>
        <w:t>endless 'dancing around a wound'</w:t>
      </w:r>
      <w:r w:rsidRPr="004A1B94">
        <w:rPr>
          <w:sz w:val="10"/>
        </w:rPr>
        <w:t xml:space="preserve">56 that Daniel David Moses identifies </w:t>
      </w:r>
      <w:r w:rsidRPr="004A1B94">
        <w:rPr>
          <w:rStyle w:val="StyleUnderline"/>
        </w:rPr>
        <w:t xml:space="preserve">among </w:t>
      </w:r>
      <w:r w:rsidRPr="004A1B94">
        <w:rPr>
          <w:rStyle w:val="StyleUnderline"/>
          <w:highlight w:val="green"/>
        </w:rPr>
        <w:t>liberal</w:t>
      </w:r>
      <w:r w:rsidRPr="004A1B94">
        <w:rPr>
          <w:rStyle w:val="StyleUnderline"/>
        </w:rPr>
        <w:t>, left-leaning Canadian</w:t>
      </w:r>
      <w:r w:rsidRPr="004A1B94">
        <w:rPr>
          <w:rStyle w:val="StyleUnderline"/>
          <w:highlight w:val="green"/>
        </w:rPr>
        <w:t xml:space="preserve">s, </w:t>
      </w:r>
      <w:r w:rsidRPr="004A1B94">
        <w:rPr>
          <w:rStyle w:val="Emphasis"/>
          <w:highlight w:val="green"/>
        </w:rPr>
        <w:t>anxiously replaying their complicity</w:t>
      </w:r>
      <w:r w:rsidRPr="004A1B94">
        <w:rPr>
          <w:rStyle w:val="StyleUnderline"/>
        </w:rPr>
        <w:t xml:space="preserve"> in an ugly colonial past </w:t>
      </w:r>
      <w:r w:rsidRPr="004A1B94">
        <w:rPr>
          <w:rStyle w:val="Emphasis"/>
          <w:highlight w:val="green"/>
        </w:rPr>
        <w:t>while neglecting to mobilize effectively for change in the present</w:t>
      </w:r>
      <w:r w:rsidRPr="004A1B94">
        <w:rPr>
          <w:sz w:val="10"/>
        </w:rPr>
        <w:t xml:space="preserve">. </w:t>
      </w:r>
      <w:r w:rsidRPr="004A1B94">
        <w:rPr>
          <w:rStyle w:val="StyleUnderline"/>
        </w:rPr>
        <w:t>The ghosts</w:t>
      </w:r>
      <w:r w:rsidRPr="004A1B94">
        <w:rPr>
          <w:sz w:val="10"/>
        </w:rPr>
        <w:t xml:space="preserve"> of the Stein do not seem to me to represent the Nlaka'pamux with very much dignity or agency, and surely any postcolonial trope we might mobilize ought at the very least to figure Indigenous peoples with dignity. In Haraway's terms, it seems to me that </w:t>
      </w:r>
      <w:r w:rsidRPr="004A1B94">
        <w:rPr>
          <w:rStyle w:val="StyleUnderline"/>
        </w:rPr>
        <w:t xml:space="preserve">'haunting' has the potential to function as </w:t>
      </w:r>
      <w:r w:rsidRPr="004A1B94">
        <w:rPr>
          <w:rStyle w:val="Emphasis"/>
          <w:highlight w:val="green"/>
        </w:rPr>
        <w:t>a particularly 'deadly' trope</w:t>
      </w:r>
      <w:r w:rsidRPr="004A1B94">
        <w:rPr>
          <w:rStyle w:val="StyleUnderline"/>
        </w:rPr>
        <w:t xml:space="preserve">, one </w:t>
      </w:r>
      <w:r w:rsidRPr="004A1B94">
        <w:rPr>
          <w:rStyle w:val="StyleUnderline"/>
          <w:highlight w:val="green"/>
        </w:rPr>
        <w:t xml:space="preserve">that </w:t>
      </w:r>
      <w:r w:rsidRPr="004A1B94">
        <w:rPr>
          <w:rStyle w:val="Emphasis"/>
          <w:highlight w:val="green"/>
        </w:rPr>
        <w:t>requires the death and immateriality of Indigenous peoples to make an</w:t>
      </w:r>
      <w:r w:rsidRPr="004A1B94">
        <w:rPr>
          <w:rStyle w:val="Emphasis"/>
        </w:rPr>
        <w:t xml:space="preserve"> e/ </w:t>
      </w:r>
      <w:r w:rsidRPr="004A1B94">
        <w:rPr>
          <w:rStyle w:val="Emphasis"/>
          <w:highlight w:val="green"/>
        </w:rPr>
        <w:t>affective claim on non-Indigenous</w:t>
      </w:r>
      <w:r w:rsidRPr="004A1B94">
        <w:rPr>
          <w:sz w:val="10"/>
        </w:rPr>
        <w:t xml:space="preserve"> British Columbians. </w:t>
      </w:r>
      <w:r w:rsidRPr="004A1B94">
        <w:rPr>
          <w:rStyle w:val="StyleUnderline"/>
        </w:rPr>
        <w:t>It is a trope within which today's living descendents of the generalized 'spirits' haunting</w:t>
      </w:r>
      <w:r w:rsidRPr="004A1B94">
        <w:rPr>
          <w:sz w:val="10"/>
        </w:rPr>
        <w:t xml:space="preserve"> the Stein, people like Chiefs Leonard Andrew and Ruby Dunstan, </w:t>
      </w:r>
      <w:r w:rsidRPr="004A1B94">
        <w:rPr>
          <w:rStyle w:val="StyleUnderline"/>
        </w:rPr>
        <w:t>seem to have no place</w:t>
      </w:r>
      <w:r w:rsidRPr="004A1B94">
        <w:rPr>
          <w:sz w:val="10"/>
        </w:rPr>
        <w:t xml:space="preserve">: As the direct descendents of those aboriginal peoples who have inhabited, shared, sustained, and been sustained by the Stein Valley for tens of thousands of years down to the present, our authority in this watershed is inescapable... Under the cooperative authority of our two bands we will maintain the Stein Valley as a wilderness in perpetuity for the enjoyment and enlightenment of all peoples.57 And so, </w:t>
      </w:r>
      <w:r w:rsidRPr="004A1B94">
        <w:rPr>
          <w:rStyle w:val="StyleUnderline"/>
        </w:rPr>
        <w:t>at a time when (primarily non-Aboriginal) geographers, among others, seem to have taken an interest in ghostly matters, it seems critical to acknowledge that ghostliness is a politicized state of being</w:t>
      </w:r>
      <w:r w:rsidRPr="004A1B94">
        <w:rPr>
          <w:sz w:val="10"/>
        </w:rPr>
        <w:t xml:space="preserve">. </w:t>
      </w:r>
      <w:r w:rsidRPr="004A1B94">
        <w:rPr>
          <w:rStyle w:val="StyleUnderline"/>
        </w:rPr>
        <w:t>Many scholars have interpreted these politics as a function of visibility that is, they suggest that the uncovering and exposure of the ghosts of the past is an emancipatory act</w:t>
      </w:r>
      <w:r w:rsidRPr="004A1B94">
        <w:rPr>
          <w:sz w:val="10"/>
        </w:rPr>
        <w:t xml:space="preserve">. In many cases this may be true, but I would suggest that </w:t>
      </w:r>
      <w:r w:rsidRPr="004A1B94">
        <w:rPr>
          <w:rStyle w:val="StyleUnderline"/>
        </w:rPr>
        <w:t>there is also a politics of vision involved in these hauntologies. Those who see and imagine ghosts are as deserving of interrogation as the ghosts themselves, and the ghosts</w:t>
      </w:r>
      <w:r w:rsidRPr="004A1B94">
        <w:rPr>
          <w:sz w:val="10"/>
        </w:rPr>
        <w:t xml:space="preserve"> of the Stein </w:t>
      </w:r>
      <w:r w:rsidRPr="004A1B94">
        <w:rPr>
          <w:rStyle w:val="StyleUnderline"/>
        </w:rPr>
        <w:t>are profoundly self-referential</w:t>
      </w:r>
      <w:r w:rsidRPr="004A1B94">
        <w:rPr>
          <w:sz w:val="10"/>
        </w:rPr>
        <w:t xml:space="preserve">. And so while the spectral does seem to offer a means of conceptualizing that which we cannot easily see, even of giving some voice to colonial traumas, </w:t>
      </w:r>
      <w:r w:rsidRPr="004A1B94">
        <w:rPr>
          <w:rStyle w:val="StyleUnderline"/>
        </w:rPr>
        <w:t>confining the Indigenous to the ghosdy also has the potential to re-inscribe the interests of the powerful upon the meanings and memories of place</w:t>
      </w:r>
      <w:r w:rsidRPr="004A1B94">
        <w:rPr>
          <w:sz w:val="10"/>
        </w:rPr>
        <w:t>.</w:t>
      </w:r>
    </w:p>
    <w:p w14:paraId="282C61A6" w14:textId="77777777" w:rsidR="00C42954" w:rsidRPr="004A1B94" w:rsidRDefault="00C42954" w:rsidP="00C42954"/>
    <w:p w14:paraId="49AAECF4" w14:textId="77777777" w:rsidR="00C42954" w:rsidRPr="009400E8" w:rsidRDefault="00C42954" w:rsidP="00C42954"/>
    <w:p w14:paraId="3D5129B4" w14:textId="77777777" w:rsidR="00C42954" w:rsidRPr="0099055A" w:rsidRDefault="00C42954" w:rsidP="00C42954"/>
    <w:p w14:paraId="6DB9A8CB" w14:textId="77777777" w:rsidR="00C42954" w:rsidRDefault="00C42954" w:rsidP="00C42954">
      <w:pPr>
        <w:pStyle w:val="Heading3"/>
      </w:pPr>
      <w:r>
        <w:t>1NC---AT: Settler Psyche</w:t>
      </w:r>
    </w:p>
    <w:p w14:paraId="068D5BC0" w14:textId="77777777" w:rsidR="00C42954" w:rsidRDefault="00C42954" w:rsidP="00C42954">
      <w:pPr>
        <w:pStyle w:val="Heading4"/>
      </w:pPr>
      <w:r w:rsidRPr="00DD28F7">
        <w:rPr>
          <w:u w:val="single"/>
        </w:rPr>
        <w:t>Framing</w:t>
      </w:r>
      <w:r>
        <w:t xml:space="preserve"> elimination as the “goal” of settlement is BOTH </w:t>
      </w:r>
      <w:r w:rsidRPr="00E23D6D">
        <w:rPr>
          <w:u w:val="single"/>
        </w:rPr>
        <w:t>descriptively false</w:t>
      </w:r>
      <w:r>
        <w:t xml:space="preserve"> – as institutions and historical patterns do NOT literally have a </w:t>
      </w:r>
      <w:r w:rsidRPr="00E23D6D">
        <w:rPr>
          <w:u w:val="single"/>
        </w:rPr>
        <w:t>singular psyche</w:t>
      </w:r>
      <w:r>
        <w:t xml:space="preserve"> – AND independently magnifies our “bad faith” criticism of structuralism</w:t>
      </w:r>
    </w:p>
    <w:p w14:paraId="78058CB8" w14:textId="77777777" w:rsidR="00C42954" w:rsidRDefault="00C42954" w:rsidP="00C42954">
      <w:r w:rsidRPr="000B6982">
        <w:rPr>
          <w:rStyle w:val="Style13ptBold"/>
        </w:rPr>
        <w:t>Rowse 14</w:t>
      </w:r>
      <w:r>
        <w:t>—Professorial Fellow at the University of Western Sydney (Tim, “Indigenous Heterogeneity,” Australian Historical Studies, 45:3, 297-310, dml)</w:t>
      </w:r>
    </w:p>
    <w:p w14:paraId="07F462FD" w14:textId="77777777" w:rsidR="00C42954" w:rsidRPr="00186530" w:rsidRDefault="00C42954" w:rsidP="00C42954">
      <w:pPr>
        <w:rPr>
          <w:sz w:val="16"/>
        </w:rPr>
      </w:pPr>
      <w:r w:rsidRPr="00186530">
        <w:rPr>
          <w:rStyle w:val="StyleUnderline"/>
        </w:rPr>
        <w:t>Those who cite</w:t>
      </w:r>
      <w:r w:rsidRPr="00186530">
        <w:rPr>
          <w:sz w:val="16"/>
        </w:rPr>
        <w:t xml:space="preserve"> these </w:t>
      </w:r>
      <w:r w:rsidRPr="00186530">
        <w:rPr>
          <w:rStyle w:val="StyleUnderline"/>
        </w:rPr>
        <w:t xml:space="preserve">formulations of the </w:t>
      </w:r>
      <w:r w:rsidRPr="000B6982">
        <w:rPr>
          <w:rStyle w:val="Emphasis"/>
        </w:rPr>
        <w:t>logic</w:t>
      </w:r>
      <w:r w:rsidRPr="00186530">
        <w:rPr>
          <w:rStyle w:val="StyleUnderline"/>
        </w:rPr>
        <w:t xml:space="preserve"> of settler colonial society may offer </w:t>
      </w:r>
      <w:r w:rsidRPr="000B6982">
        <w:rPr>
          <w:rStyle w:val="Emphasis"/>
        </w:rPr>
        <w:t>compelling illustrations</w:t>
      </w:r>
      <w:r w:rsidRPr="00186530">
        <w:rPr>
          <w:rStyle w:val="StyleUnderline"/>
        </w:rPr>
        <w:t xml:space="preserve"> of ‘erasure’ or ‘elimination’</w:t>
      </w:r>
      <w:r w:rsidRPr="00186530">
        <w:rPr>
          <w:sz w:val="16"/>
        </w:rPr>
        <w:t xml:space="preserve">: frontier violence, the removal of Indigenous children and (as some see it) the Northern Territory Emergency Intervention. However, </w:t>
      </w:r>
      <w:r w:rsidRPr="00550D2D">
        <w:rPr>
          <w:rStyle w:val="StyleUnderline"/>
        </w:rPr>
        <w:t xml:space="preserve">if the ‘erasure’ thesis is to be </w:t>
      </w:r>
      <w:r w:rsidRPr="00550D2D">
        <w:rPr>
          <w:rStyle w:val="Emphasis"/>
        </w:rPr>
        <w:t>paradigmatic</w:t>
      </w:r>
      <w:r w:rsidRPr="00186530">
        <w:rPr>
          <w:rStyle w:val="StyleUnderline"/>
        </w:rPr>
        <w:t xml:space="preserve">, then </w:t>
      </w:r>
      <w:r w:rsidRPr="000B6982">
        <w:rPr>
          <w:rStyle w:val="Emphasis"/>
        </w:rPr>
        <w:t>many other</w:t>
      </w:r>
      <w:r w:rsidRPr="00186530">
        <w:rPr>
          <w:rStyle w:val="StyleUnderline"/>
        </w:rPr>
        <w:t xml:space="preserve"> illustrations must be possible</w:t>
      </w:r>
      <w:r w:rsidRPr="00186530">
        <w:rPr>
          <w:sz w:val="16"/>
        </w:rPr>
        <w:t xml:space="preserve">. </w:t>
      </w:r>
      <w:r w:rsidRPr="00186530">
        <w:rPr>
          <w:rStyle w:val="StyleUnderline"/>
        </w:rPr>
        <w:t xml:space="preserve">The intention of those offering the settler colonial paradigm is to outline the </w:t>
      </w:r>
      <w:r w:rsidRPr="000B6982">
        <w:rPr>
          <w:rStyle w:val="Emphasis"/>
        </w:rPr>
        <w:t>persistent determinant logic</w:t>
      </w:r>
      <w:r w:rsidRPr="00186530">
        <w:rPr>
          <w:rStyle w:val="StyleUnderline"/>
        </w:rPr>
        <w:t xml:space="preserve"> of a</w:t>
      </w:r>
      <w:r w:rsidRPr="00186530">
        <w:rPr>
          <w:sz w:val="16"/>
        </w:rPr>
        <w:t xml:space="preserve"> pervasive settler colonial </w:t>
      </w:r>
      <w:r w:rsidRPr="00186530">
        <w:rPr>
          <w:rStyle w:val="StyleUnderline"/>
        </w:rPr>
        <w:t>structure</w:t>
      </w:r>
      <w:r w:rsidRPr="00186530">
        <w:rPr>
          <w:sz w:val="16"/>
        </w:rPr>
        <w:t xml:space="preserve">, </w:t>
      </w:r>
      <w:r w:rsidRPr="00186530">
        <w:rPr>
          <w:rStyle w:val="StyleUnderline"/>
        </w:rPr>
        <w:t xml:space="preserve">making it </w:t>
      </w:r>
      <w:r w:rsidRPr="000B6982">
        <w:rPr>
          <w:rStyle w:val="Emphasis"/>
        </w:rPr>
        <w:t>reasonable</w:t>
      </w:r>
      <w:r w:rsidRPr="00186530">
        <w:rPr>
          <w:rStyle w:val="StyleUnderline"/>
        </w:rPr>
        <w:t xml:space="preserve"> to ask of any </w:t>
      </w:r>
      <w:r w:rsidRPr="000B6982">
        <w:rPr>
          <w:rStyle w:val="Emphasis"/>
        </w:rPr>
        <w:t>instance</w:t>
      </w:r>
      <w:r w:rsidRPr="00186530">
        <w:rPr>
          <w:sz w:val="16"/>
        </w:rPr>
        <w:t xml:space="preserve"> of settler colonial authority: </w:t>
      </w:r>
      <w:r w:rsidRPr="00186530">
        <w:rPr>
          <w:rStyle w:val="StyleUnderline"/>
        </w:rPr>
        <w:t xml:space="preserve">how does it </w:t>
      </w:r>
      <w:r w:rsidRPr="000B6982">
        <w:rPr>
          <w:rStyle w:val="Emphasis"/>
        </w:rPr>
        <w:t>manifest</w:t>
      </w:r>
      <w:r w:rsidRPr="00186530">
        <w:rPr>
          <w:rStyle w:val="StyleUnderline"/>
        </w:rPr>
        <w:t xml:space="preserve"> the structure of ‘elimination’</w:t>
      </w:r>
      <w:r w:rsidRPr="00186530">
        <w:rPr>
          <w:sz w:val="16"/>
        </w:rPr>
        <w:t xml:space="preserve"> (or ‘erasure’ or ‘transfer’)? </w:t>
      </w:r>
    </w:p>
    <w:p w14:paraId="45862601" w14:textId="77777777" w:rsidR="00C42954" w:rsidRPr="00186530" w:rsidRDefault="00C42954" w:rsidP="00C42954">
      <w:pPr>
        <w:rPr>
          <w:sz w:val="16"/>
        </w:rPr>
      </w:pPr>
      <w:r w:rsidRPr="00186530">
        <w:rPr>
          <w:sz w:val="16"/>
        </w:rPr>
        <w:t xml:space="preserve">The possible answers to that question are more numerous and diverse to the extent that we accept a feature of Wolfe’s account of the logic of elimination in the settler state and society: </w:t>
      </w:r>
      <w:r w:rsidRPr="00186530">
        <w:rPr>
          <w:rStyle w:val="StyleUnderline"/>
        </w:rPr>
        <w:t>the concept of ‘</w:t>
      </w:r>
      <w:r w:rsidRPr="000B6982">
        <w:rPr>
          <w:rStyle w:val="Emphasis"/>
        </w:rPr>
        <w:t>repressive authenticity</w:t>
      </w:r>
      <w:r w:rsidRPr="00186530">
        <w:rPr>
          <w:rStyle w:val="StyleUnderline"/>
        </w:rPr>
        <w:t>’</w:t>
      </w:r>
      <w:r w:rsidRPr="00186530">
        <w:rPr>
          <w:sz w:val="16"/>
        </w:rPr>
        <w:t xml:space="preserve">. 11 The phrase </w:t>
      </w:r>
      <w:r w:rsidRPr="00186530">
        <w:rPr>
          <w:rStyle w:val="StyleUnderline"/>
        </w:rPr>
        <w:t xml:space="preserve">refers to one of the ways that ‘elimination’ is </w:t>
      </w:r>
      <w:r w:rsidRPr="000B6982">
        <w:rPr>
          <w:rStyle w:val="Emphasis"/>
        </w:rPr>
        <w:t>effective</w:t>
      </w:r>
      <w:r w:rsidRPr="00186530">
        <w:rPr>
          <w:sz w:val="16"/>
        </w:rPr>
        <w:t xml:space="preserve">. In performing ‘repressive authenticity’ </w:t>
      </w:r>
      <w:r w:rsidRPr="00186530">
        <w:rPr>
          <w:rStyle w:val="StyleUnderline"/>
        </w:rPr>
        <w:t>the settler society recognises Indigenous people as</w:t>
      </w:r>
      <w:r w:rsidRPr="00186530">
        <w:rPr>
          <w:sz w:val="16"/>
        </w:rPr>
        <w:t xml:space="preserve"> bearers of a precontact culture that remains </w:t>
      </w:r>
      <w:r w:rsidRPr="000B6982">
        <w:rPr>
          <w:rStyle w:val="Emphasis"/>
        </w:rPr>
        <w:t>always different</w:t>
      </w:r>
      <w:r w:rsidRPr="00186530">
        <w:rPr>
          <w:rStyle w:val="StyleUnderline"/>
        </w:rPr>
        <w:t xml:space="preserve"> from the</w:t>
      </w:r>
      <w:r w:rsidRPr="00186530">
        <w:rPr>
          <w:sz w:val="16"/>
        </w:rPr>
        <w:t xml:space="preserve"> culture of the </w:t>
      </w:r>
      <w:r w:rsidRPr="00186530">
        <w:rPr>
          <w:rStyle w:val="StyleUnderline"/>
        </w:rPr>
        <w:t>settler</w:t>
      </w:r>
      <w:r w:rsidRPr="00186530">
        <w:rPr>
          <w:sz w:val="16"/>
        </w:rPr>
        <w:t xml:space="preserve"> society. Benefits—both material and symbolic—may accrue to the Indigenous people who claim such recognition, but to gain these benefits Indigenous Australians have to perform according to certain settler colonial notions of their authenticity as Indigenous people. In a 1994 paper, Wolfe called these prescriptive notions ‘state-conceded Aboriginalities’. 12 </w:t>
      </w:r>
    </w:p>
    <w:p w14:paraId="466CC0A4" w14:textId="77777777" w:rsidR="00C42954" w:rsidRPr="00186530" w:rsidRDefault="00C42954" w:rsidP="00C42954">
      <w:pPr>
        <w:rPr>
          <w:sz w:val="16"/>
        </w:rPr>
      </w:pPr>
      <w:r w:rsidRPr="00186530">
        <w:rPr>
          <w:sz w:val="16"/>
        </w:rPr>
        <w:t xml:space="preserve">The jurisprudence of native title could be cited as an example of ‘repressive authenticity’ or of a ‘state-conceded Aboriginality’. As critics of native title determinations—not least Noel Pearson—have pointed out, judges have spelled out what the customs of the claimants were and then translated those customs into incidents of title that are specific to each adjudicated case. The resulting ‘bundles of rights’ have been criticised for not entitling Indigenous owners to do some of the things that—as modern Indigenous people—they would now like to do with their land.13 ‘Repressive authenticity’ prescribes Aborigines’ pre modernity. Thus </w:t>
      </w:r>
      <w:r w:rsidRPr="00186530">
        <w:rPr>
          <w:rStyle w:val="StyleUnderline"/>
        </w:rPr>
        <w:t>fortified with the concepts</w:t>
      </w:r>
      <w:r w:rsidRPr="00186530">
        <w:rPr>
          <w:sz w:val="16"/>
        </w:rPr>
        <w:t xml:space="preserve"> of ‘repressive authenticity’ and ‘state-conceded Aboriginalities’, </w:t>
      </w:r>
      <w:r w:rsidRPr="00EA0299">
        <w:rPr>
          <w:rStyle w:val="StyleUnderline"/>
          <w:highlight w:val="green"/>
        </w:rPr>
        <w:t xml:space="preserve">the historian can find </w:t>
      </w:r>
      <w:r w:rsidRPr="00550D2D">
        <w:rPr>
          <w:rStyle w:val="StyleUnderline"/>
        </w:rPr>
        <w:t>the settler colonial structure</w:t>
      </w:r>
      <w:r w:rsidRPr="00186530">
        <w:rPr>
          <w:rStyle w:val="StyleUnderline"/>
        </w:rPr>
        <w:t xml:space="preserve"> of </w:t>
      </w:r>
      <w:r w:rsidRPr="00EA0299">
        <w:rPr>
          <w:rStyle w:val="StyleUnderline"/>
          <w:highlight w:val="green"/>
        </w:rPr>
        <w:t>elimination</w:t>
      </w:r>
      <w:r w:rsidRPr="00186530">
        <w:rPr>
          <w:rStyle w:val="StyleUnderline"/>
        </w:rPr>
        <w:t xml:space="preserve"> to be </w:t>
      </w:r>
      <w:r w:rsidRPr="00EA0299">
        <w:rPr>
          <w:rStyle w:val="Emphasis"/>
          <w:highlight w:val="green"/>
        </w:rPr>
        <w:t>pervasive</w:t>
      </w:r>
      <w:r w:rsidRPr="00186530">
        <w:rPr>
          <w:rStyle w:val="StyleUnderline"/>
        </w:rPr>
        <w:t>, right up to our</w:t>
      </w:r>
      <w:r w:rsidRPr="00186530">
        <w:rPr>
          <w:sz w:val="16"/>
        </w:rPr>
        <w:t xml:space="preserve"> apparently more progressive </w:t>
      </w:r>
      <w:r w:rsidRPr="000B6982">
        <w:rPr>
          <w:rStyle w:val="Emphasis"/>
        </w:rPr>
        <w:t>present</w:t>
      </w:r>
      <w:r w:rsidRPr="00186530">
        <w:rPr>
          <w:sz w:val="16"/>
        </w:rPr>
        <w:t xml:space="preserve"> times. For example, Wolfe invites us to see Australian land rights legislation as a ‘culturalist’ continuation of the ‘logic of elimination that the initial invasions had expressed’. 14 </w:t>
      </w:r>
    </w:p>
    <w:p w14:paraId="552729F8" w14:textId="77777777" w:rsidR="00C42954" w:rsidRPr="00186530" w:rsidRDefault="00C42954" w:rsidP="00C42954">
      <w:pPr>
        <w:rPr>
          <w:sz w:val="16"/>
        </w:rPr>
      </w:pPr>
      <w:r w:rsidRPr="00EA0299">
        <w:rPr>
          <w:rStyle w:val="StyleUnderline"/>
          <w:highlight w:val="green"/>
        </w:rPr>
        <w:t>This</w:t>
      </w:r>
      <w:r w:rsidRPr="00186530">
        <w:rPr>
          <w:sz w:val="16"/>
        </w:rPr>
        <w:t xml:space="preserve"> settler colonial </w:t>
      </w:r>
      <w:r w:rsidRPr="00EA0299">
        <w:rPr>
          <w:rStyle w:val="StyleUnderline"/>
          <w:highlight w:val="green"/>
        </w:rPr>
        <w:t>paradigm</w:t>
      </w:r>
      <w:r w:rsidRPr="00186530">
        <w:rPr>
          <w:sz w:val="16"/>
        </w:rPr>
        <w:t xml:space="preserve"> thus </w:t>
      </w:r>
      <w:r w:rsidRPr="00EA0299">
        <w:rPr>
          <w:rStyle w:val="StyleUnderline"/>
          <w:highlight w:val="green"/>
        </w:rPr>
        <w:t>has the appealing quality of being</w:t>
      </w:r>
      <w:r w:rsidRPr="00186530">
        <w:rPr>
          <w:rStyle w:val="StyleUnderline"/>
        </w:rPr>
        <w:t xml:space="preserve"> </w:t>
      </w:r>
      <w:r w:rsidRPr="000B6982">
        <w:rPr>
          <w:rStyle w:val="Emphasis"/>
        </w:rPr>
        <w:t xml:space="preserve">empirically </w:t>
      </w:r>
      <w:r w:rsidRPr="00EA0299">
        <w:rPr>
          <w:rStyle w:val="Emphasis"/>
          <w:highlight w:val="green"/>
        </w:rPr>
        <w:t>exhaustive</w:t>
      </w:r>
      <w:r w:rsidRPr="00186530">
        <w:rPr>
          <w:sz w:val="16"/>
        </w:rPr>
        <w:t xml:space="preserve">: whether through the removal of children or the erection of a monument to the Stolen Generations, through the denial of native title or the recognition of native title, through the remembrance of violence or the forgetting of violence, the structure of erasure/elimination/repressive authentication does its work. The discursive power of the settler colonial state and society is inexorably effective. </w:t>
      </w:r>
      <w:r w:rsidRPr="00EA0299">
        <w:rPr>
          <w:rStyle w:val="Emphasis"/>
          <w:highlight w:val="green"/>
        </w:rPr>
        <w:t>All</w:t>
      </w:r>
      <w:r w:rsidRPr="00EA0299">
        <w:rPr>
          <w:rStyle w:val="StyleUnderline"/>
          <w:highlight w:val="green"/>
        </w:rPr>
        <w:t xml:space="preserve"> representations</w:t>
      </w:r>
      <w:r w:rsidRPr="00186530">
        <w:rPr>
          <w:sz w:val="16"/>
        </w:rPr>
        <w:t xml:space="preserve"> of Indigenous Australians and all selfrepresentations by them </w:t>
      </w:r>
      <w:r w:rsidRPr="00EA0299">
        <w:rPr>
          <w:rStyle w:val="StyleUnderline"/>
          <w:highlight w:val="green"/>
        </w:rPr>
        <w:t>are subject to</w:t>
      </w:r>
      <w:r w:rsidRPr="00186530">
        <w:rPr>
          <w:rStyle w:val="StyleUnderline"/>
        </w:rPr>
        <w:t xml:space="preserve"> the </w:t>
      </w:r>
      <w:r w:rsidRPr="00EA0299">
        <w:rPr>
          <w:rStyle w:val="Emphasis"/>
          <w:highlight w:val="green"/>
        </w:rPr>
        <w:t>suspicion</w:t>
      </w:r>
      <w:r w:rsidRPr="00186530">
        <w:rPr>
          <w:rStyle w:val="StyleUnderline"/>
        </w:rPr>
        <w:t xml:space="preserve"> that they </w:t>
      </w:r>
      <w:r w:rsidRPr="00550D2D">
        <w:rPr>
          <w:rStyle w:val="StyleUnderline"/>
        </w:rPr>
        <w:t xml:space="preserve">are best understood </w:t>
      </w:r>
      <w:r w:rsidRPr="00EA0299">
        <w:rPr>
          <w:rStyle w:val="StyleUnderline"/>
          <w:highlight w:val="green"/>
        </w:rPr>
        <w:t>as</w:t>
      </w:r>
      <w:r w:rsidRPr="00550D2D">
        <w:rPr>
          <w:rStyle w:val="StyleUnderline"/>
        </w:rPr>
        <w:t xml:space="preserve"> the </w:t>
      </w:r>
      <w:r w:rsidRPr="00EA0299">
        <w:rPr>
          <w:rStyle w:val="Emphasis"/>
          <w:highlight w:val="green"/>
        </w:rPr>
        <w:t>tactical moves</w:t>
      </w:r>
      <w:r w:rsidRPr="00186530">
        <w:rPr>
          <w:rStyle w:val="StyleUnderline"/>
        </w:rPr>
        <w:t xml:space="preserve"> of a </w:t>
      </w:r>
      <w:r w:rsidRPr="000B6982">
        <w:rPr>
          <w:rStyle w:val="Emphasis"/>
        </w:rPr>
        <w:t>deeply cunning settler colonial governmentality</w:t>
      </w:r>
      <w:r w:rsidRPr="00186530">
        <w:rPr>
          <w:sz w:val="16"/>
        </w:rPr>
        <w:t xml:space="preserve">. </w:t>
      </w:r>
    </w:p>
    <w:p w14:paraId="5A81F97E" w14:textId="77777777" w:rsidR="00C42954" w:rsidRPr="00186530" w:rsidRDefault="00C42954" w:rsidP="00C42954">
      <w:pPr>
        <w:rPr>
          <w:sz w:val="16"/>
        </w:rPr>
      </w:pPr>
      <w:r w:rsidRPr="00186530">
        <w:rPr>
          <w:rStyle w:val="StyleUnderline"/>
        </w:rPr>
        <w:t>I have</w:t>
      </w:r>
      <w:r w:rsidRPr="00186530">
        <w:rPr>
          <w:sz w:val="16"/>
        </w:rPr>
        <w:t xml:space="preserve"> three </w:t>
      </w:r>
      <w:r w:rsidRPr="000B6982">
        <w:rPr>
          <w:rStyle w:val="Emphasis"/>
        </w:rPr>
        <w:t>concerns</w:t>
      </w:r>
      <w:r w:rsidRPr="00186530">
        <w:rPr>
          <w:sz w:val="16"/>
        </w:rPr>
        <w:t xml:space="preserve"> about this influential paradigm. First, </w:t>
      </w:r>
      <w:r w:rsidRPr="00EA0299">
        <w:rPr>
          <w:rStyle w:val="StyleUnderline"/>
          <w:highlight w:val="green"/>
        </w:rPr>
        <w:t xml:space="preserve">can it </w:t>
      </w:r>
      <w:r w:rsidRPr="00EA0299">
        <w:rPr>
          <w:rStyle w:val="Emphasis"/>
          <w:highlight w:val="green"/>
        </w:rPr>
        <w:t>account for itself</w:t>
      </w:r>
      <w:r w:rsidRPr="00186530">
        <w:rPr>
          <w:rStyle w:val="StyleUnderline"/>
        </w:rPr>
        <w:t>?</w:t>
      </w:r>
      <w:r w:rsidRPr="00186530">
        <w:rPr>
          <w:sz w:val="16"/>
        </w:rPr>
        <w:t xml:space="preserve"> </w:t>
      </w:r>
      <w:r w:rsidRPr="00186530">
        <w:rPr>
          <w:rStyle w:val="StyleUnderline"/>
        </w:rPr>
        <w:t>If the</w:t>
      </w:r>
      <w:r w:rsidRPr="00186530">
        <w:rPr>
          <w:sz w:val="16"/>
        </w:rPr>
        <w:t xml:space="preserve"> settler colonial </w:t>
      </w:r>
      <w:r w:rsidRPr="00186530">
        <w:rPr>
          <w:rStyle w:val="StyleUnderline"/>
        </w:rPr>
        <w:t xml:space="preserve">narrative is </w:t>
      </w:r>
      <w:r w:rsidRPr="000B6982">
        <w:rPr>
          <w:rStyle w:val="Emphasis"/>
        </w:rPr>
        <w:t>so pervasive</w:t>
      </w:r>
      <w:r w:rsidRPr="00186530">
        <w:rPr>
          <w:rStyle w:val="StyleUnderline"/>
        </w:rPr>
        <w:t xml:space="preserve">, </w:t>
      </w:r>
      <w:r w:rsidRPr="00EA0299">
        <w:rPr>
          <w:rStyle w:val="StyleUnderline"/>
          <w:highlight w:val="green"/>
        </w:rPr>
        <w:t>how can we be</w:t>
      </w:r>
      <w:r w:rsidRPr="00186530">
        <w:rPr>
          <w:rStyle w:val="StyleUnderline"/>
        </w:rPr>
        <w:t xml:space="preserve"> sure that our self-consciously critical historiography is </w:t>
      </w:r>
      <w:r w:rsidRPr="00EA0299">
        <w:rPr>
          <w:rStyle w:val="Emphasis"/>
          <w:highlight w:val="green"/>
        </w:rPr>
        <w:t>not just another one</w:t>
      </w:r>
      <w:r w:rsidRPr="00EA0299">
        <w:rPr>
          <w:rStyle w:val="StyleUnderline"/>
          <w:highlight w:val="green"/>
        </w:rPr>
        <w:t xml:space="preserve"> of its tactics</w:t>
      </w:r>
      <w:r w:rsidRPr="00186530">
        <w:rPr>
          <w:rStyle w:val="StyleUnderline"/>
        </w:rPr>
        <w:t>? If that</w:t>
      </w:r>
      <w:r w:rsidRPr="00186530">
        <w:rPr>
          <w:sz w:val="16"/>
        </w:rPr>
        <w:t xml:space="preserve"> question </w:t>
      </w:r>
      <w:r w:rsidRPr="00186530">
        <w:rPr>
          <w:rStyle w:val="StyleUnderline"/>
        </w:rPr>
        <w:t xml:space="preserve">seems merely a </w:t>
      </w:r>
      <w:r w:rsidRPr="000B6982">
        <w:rPr>
          <w:rStyle w:val="Emphasis"/>
        </w:rPr>
        <w:t>clever debating point</w:t>
      </w:r>
      <w:r w:rsidRPr="00186530">
        <w:rPr>
          <w:rStyle w:val="StyleUnderline"/>
        </w:rPr>
        <w:t>, consider</w:t>
      </w:r>
      <w:r w:rsidRPr="00186530">
        <w:rPr>
          <w:sz w:val="16"/>
        </w:rPr>
        <w:t xml:space="preserve"> my second point: </w:t>
      </w:r>
      <w:r w:rsidRPr="00186530">
        <w:rPr>
          <w:rStyle w:val="StyleUnderline"/>
        </w:rPr>
        <w:t xml:space="preserve">those writing within this paradigm have </w:t>
      </w:r>
      <w:r w:rsidRPr="000B6982">
        <w:rPr>
          <w:rStyle w:val="Emphasis"/>
        </w:rPr>
        <w:t>trouble</w:t>
      </w:r>
      <w:r w:rsidRPr="00186530">
        <w:rPr>
          <w:rStyle w:val="StyleUnderline"/>
        </w:rPr>
        <w:t xml:space="preserve"> dealing with </w:t>
      </w:r>
      <w:r w:rsidRPr="000B6982">
        <w:rPr>
          <w:rStyle w:val="Emphasis"/>
        </w:rPr>
        <w:t>Indigenous agency</w:t>
      </w:r>
      <w:r w:rsidRPr="00186530">
        <w:rPr>
          <w:sz w:val="16"/>
        </w:rPr>
        <w:t xml:space="preserve">. </w:t>
      </w:r>
      <w:r w:rsidRPr="00186530">
        <w:rPr>
          <w:rStyle w:val="StyleUnderline"/>
        </w:rPr>
        <w:t>The ‘elimination thesis’</w:t>
      </w:r>
      <w:r w:rsidRPr="00186530">
        <w:rPr>
          <w:sz w:val="16"/>
        </w:rPr>
        <w:t xml:space="preserve"> logically requires its adherents to postulate Indigenous difference and Indigenous agency. Rarely do they forget to note and honour Indigenous agency, crediting it with indomitable persistence against the shapeshifting settler colonial hegemony. However, the paradigm </w:t>
      </w:r>
      <w:r w:rsidRPr="00186530">
        <w:rPr>
          <w:rStyle w:val="StyleUnderline"/>
        </w:rPr>
        <w:t xml:space="preserve">encourages </w:t>
      </w:r>
      <w:r w:rsidRPr="000B6982">
        <w:rPr>
          <w:rStyle w:val="Emphasis"/>
        </w:rPr>
        <w:t>hesitation</w:t>
      </w:r>
      <w:r w:rsidRPr="00186530">
        <w:rPr>
          <w:rStyle w:val="StyleUnderline"/>
        </w:rPr>
        <w:t xml:space="preserve"> about characterising Indigenous difference, for to formulate Indigeneity</w:t>
      </w:r>
      <w:r w:rsidRPr="00186530">
        <w:rPr>
          <w:sz w:val="16"/>
        </w:rPr>
        <w:t>— that is, to describe the contingent content of its difference—</w:t>
      </w:r>
      <w:r w:rsidRPr="00186530">
        <w:rPr>
          <w:rStyle w:val="StyleUnderline"/>
        </w:rPr>
        <w:t xml:space="preserve">risks falling into the </w:t>
      </w:r>
      <w:r w:rsidRPr="000B6982">
        <w:rPr>
          <w:rStyle w:val="Emphasis"/>
        </w:rPr>
        <w:t>trap</w:t>
      </w:r>
      <w:r w:rsidRPr="00186530">
        <w:rPr>
          <w:sz w:val="16"/>
        </w:rPr>
        <w:t xml:space="preserve"> set by the paradigm’s own critical hermeneutics: any construction of agency </w:t>
      </w:r>
      <w:r w:rsidRPr="00186530">
        <w:rPr>
          <w:rStyle w:val="StyleUnderline"/>
        </w:rPr>
        <w:t>as ‘Indigenous’ might be just another version of</w:t>
      </w:r>
      <w:r w:rsidRPr="00186530">
        <w:rPr>
          <w:sz w:val="16"/>
        </w:rPr>
        <w:t xml:space="preserve"> that </w:t>
      </w:r>
      <w:r w:rsidRPr="00186530">
        <w:rPr>
          <w:rStyle w:val="StyleUnderline"/>
        </w:rPr>
        <w:t>‘</w:t>
      </w:r>
      <w:r w:rsidRPr="000B6982">
        <w:rPr>
          <w:rStyle w:val="Emphasis"/>
        </w:rPr>
        <w:t>authenticity</w:t>
      </w:r>
      <w:r w:rsidRPr="00186530">
        <w:rPr>
          <w:rStyle w:val="StyleUnderline"/>
        </w:rPr>
        <w:t>’</w:t>
      </w:r>
      <w:r w:rsidRPr="00186530">
        <w:rPr>
          <w:sz w:val="16"/>
        </w:rPr>
        <w:t xml:space="preserve"> </w:t>
      </w:r>
      <w:r w:rsidRPr="000B6982">
        <w:rPr>
          <w:rStyle w:val="StyleUnderline"/>
        </w:rPr>
        <w:t>that is</w:t>
      </w:r>
      <w:r w:rsidRPr="00186530">
        <w:rPr>
          <w:sz w:val="16"/>
        </w:rPr>
        <w:t xml:space="preserve"> said to be </w:t>
      </w:r>
      <w:r w:rsidRPr="000B6982">
        <w:rPr>
          <w:rStyle w:val="Emphasis"/>
        </w:rPr>
        <w:t>repressive</w:t>
      </w:r>
      <w:r w:rsidRPr="00186530">
        <w:rPr>
          <w:sz w:val="16"/>
        </w:rPr>
        <w:t xml:space="preserve">. </w:t>
      </w:r>
      <w:r w:rsidRPr="00EA0299">
        <w:rPr>
          <w:rStyle w:val="Emphasis"/>
          <w:highlight w:val="green"/>
        </w:rPr>
        <w:t>Every instance</w:t>
      </w:r>
      <w:r w:rsidRPr="00EA0299">
        <w:rPr>
          <w:rStyle w:val="StyleUnderline"/>
          <w:highlight w:val="green"/>
        </w:rPr>
        <w:t xml:space="preserve"> of Indigenous agency is under </w:t>
      </w:r>
      <w:r w:rsidRPr="00EA0299">
        <w:rPr>
          <w:rStyle w:val="Emphasis"/>
          <w:highlight w:val="green"/>
        </w:rPr>
        <w:t>suspicion</w:t>
      </w:r>
      <w:r w:rsidRPr="00EA0299">
        <w:rPr>
          <w:rStyle w:val="StyleUnderline"/>
          <w:highlight w:val="green"/>
        </w:rPr>
        <w:t xml:space="preserve"> of being ‘</w:t>
      </w:r>
      <w:r w:rsidRPr="00EA0299">
        <w:rPr>
          <w:rStyle w:val="Emphasis"/>
          <w:highlight w:val="green"/>
        </w:rPr>
        <w:t>state-conceded</w:t>
      </w:r>
      <w:r w:rsidRPr="000F1F80">
        <w:rPr>
          <w:rStyle w:val="StyleUnderline"/>
        </w:rPr>
        <w:t>’</w:t>
      </w:r>
      <w:r w:rsidRPr="00186530">
        <w:rPr>
          <w:sz w:val="16"/>
        </w:rPr>
        <w:t xml:space="preserve">. For practitioners of the eliminationist paradigm, the inscription of ‘Indigenous agency’ is something to be left to others; for the practitioners of the eliminationist paradigm any such characterisation is always already known to be yet another manifestation of elimination’s inexorable logic. Honouring Indigeneity as ineradicable ‘difference’ tends to be a gesture made at the end of a description of the settler colonial edifice. </w:t>
      </w:r>
      <w:r w:rsidRPr="00186530">
        <w:rPr>
          <w:rStyle w:val="StyleUnderline"/>
        </w:rPr>
        <w:t xml:space="preserve">The </w:t>
      </w:r>
      <w:r w:rsidRPr="000B6982">
        <w:rPr>
          <w:rStyle w:val="Emphasis"/>
        </w:rPr>
        <w:t>tendency</w:t>
      </w:r>
      <w:r w:rsidRPr="00186530">
        <w:rPr>
          <w:sz w:val="16"/>
        </w:rPr>
        <w:t xml:space="preserve"> of this paradigm </w:t>
      </w:r>
      <w:r w:rsidRPr="00186530">
        <w:rPr>
          <w:rStyle w:val="StyleUnderline"/>
        </w:rPr>
        <w:t>is to render Indigenous agency either as ‘</w:t>
      </w:r>
      <w:r w:rsidRPr="000B6982">
        <w:rPr>
          <w:rStyle w:val="Emphasis"/>
        </w:rPr>
        <w:t>state-conceded</w:t>
      </w:r>
      <w:r w:rsidRPr="00186530">
        <w:rPr>
          <w:rStyle w:val="StyleUnderline"/>
        </w:rPr>
        <w:t xml:space="preserve">’ or as an </w:t>
      </w:r>
      <w:r w:rsidRPr="000B6982">
        <w:rPr>
          <w:rStyle w:val="Emphasis"/>
        </w:rPr>
        <w:t>empty</w:t>
      </w:r>
      <w:r w:rsidRPr="00186530">
        <w:rPr>
          <w:rStyle w:val="StyleUnderline"/>
        </w:rPr>
        <w:t xml:space="preserve">, </w:t>
      </w:r>
      <w:r w:rsidRPr="000B6982">
        <w:rPr>
          <w:rStyle w:val="Emphasis"/>
        </w:rPr>
        <w:t>counterfactual narrative space</w:t>
      </w:r>
      <w:r w:rsidRPr="00186530">
        <w:rPr>
          <w:rStyle w:val="StyleUnderline"/>
        </w:rPr>
        <w:t xml:space="preserve">, mentioned out of </w:t>
      </w:r>
      <w:r w:rsidRPr="000B6982">
        <w:rPr>
          <w:rStyle w:val="Emphasis"/>
        </w:rPr>
        <w:t>political piety</w:t>
      </w:r>
      <w:r w:rsidRPr="00186530">
        <w:rPr>
          <w:sz w:val="16"/>
        </w:rPr>
        <w:t xml:space="preserve">. The resistant Indigenous subject is </w:t>
      </w:r>
      <w:r w:rsidRPr="000B6982">
        <w:rPr>
          <w:rStyle w:val="Emphasis"/>
        </w:rPr>
        <w:t>beyond empirical specification</w:t>
      </w:r>
      <w:r w:rsidRPr="00186530">
        <w:rPr>
          <w:sz w:val="16"/>
        </w:rPr>
        <w:t>, an unrepresented and unrepresentable thing that is always already external to the exhaustive discursive work of the settler colonial imagination.</w:t>
      </w:r>
    </w:p>
    <w:p w14:paraId="474D2DEA" w14:textId="77777777" w:rsidR="00C42954" w:rsidRPr="00186530" w:rsidRDefault="00C42954" w:rsidP="00C42954">
      <w:pPr>
        <w:rPr>
          <w:sz w:val="16"/>
        </w:rPr>
      </w:pPr>
      <w:r w:rsidRPr="00186530">
        <w:rPr>
          <w:sz w:val="16"/>
        </w:rPr>
        <w:t>Sovereignty’s moral complexity</w:t>
      </w:r>
    </w:p>
    <w:p w14:paraId="76E74D5C" w14:textId="77777777" w:rsidR="00C42954" w:rsidRPr="00186530" w:rsidRDefault="00C42954" w:rsidP="00C42954">
      <w:pPr>
        <w:rPr>
          <w:sz w:val="16"/>
        </w:rPr>
      </w:pPr>
      <w:r w:rsidRPr="00186530">
        <w:rPr>
          <w:sz w:val="16"/>
        </w:rPr>
        <w:t xml:space="preserve">My third point has to do with the evocation of settler colonial collective agency as tactical, shape-shifting, never absent, but variously manifest. </w:t>
      </w:r>
      <w:r w:rsidRPr="00186530">
        <w:rPr>
          <w:rStyle w:val="StyleUnderline"/>
        </w:rPr>
        <w:t xml:space="preserve">There </w:t>
      </w:r>
      <w:r w:rsidRPr="000B6982">
        <w:rPr>
          <w:rStyle w:val="StyleUnderline"/>
        </w:rPr>
        <w:t>seem to be</w:t>
      </w:r>
      <w:r w:rsidRPr="00186530">
        <w:rPr>
          <w:sz w:val="16"/>
        </w:rPr>
        <w:t xml:space="preserve"> two </w:t>
      </w:r>
      <w:r w:rsidRPr="000B6982">
        <w:rPr>
          <w:rStyle w:val="Emphasis"/>
        </w:rPr>
        <w:t>quite different</w:t>
      </w:r>
      <w:r w:rsidRPr="00186530">
        <w:rPr>
          <w:rStyle w:val="StyleUnderline"/>
        </w:rPr>
        <w:t xml:space="preserve"> versions of</w:t>
      </w:r>
      <w:r w:rsidRPr="00186530">
        <w:rPr>
          <w:sz w:val="16"/>
        </w:rPr>
        <w:t xml:space="preserve"> this </w:t>
      </w:r>
      <w:r w:rsidRPr="00186530">
        <w:rPr>
          <w:rStyle w:val="StyleUnderline"/>
        </w:rPr>
        <w:t>settler colonial agency</w:t>
      </w:r>
      <w:r w:rsidRPr="00186530">
        <w:rPr>
          <w:sz w:val="16"/>
        </w:rPr>
        <w:t xml:space="preserve">. On the one hand, </w:t>
      </w:r>
      <w:r w:rsidRPr="00EA0299">
        <w:rPr>
          <w:rStyle w:val="StyleUnderline"/>
          <w:highlight w:val="green"/>
        </w:rPr>
        <w:t xml:space="preserve">one evokes its </w:t>
      </w:r>
      <w:r w:rsidRPr="00EA0299">
        <w:rPr>
          <w:rStyle w:val="Emphasis"/>
          <w:highlight w:val="green"/>
        </w:rPr>
        <w:t>adaptive fluidity</w:t>
      </w:r>
      <w:r w:rsidRPr="00186530">
        <w:rPr>
          <w:rStyle w:val="StyleUnderline"/>
        </w:rPr>
        <w:t xml:space="preserve">, </w:t>
      </w:r>
      <w:r w:rsidRPr="00EA0299">
        <w:rPr>
          <w:rStyle w:val="StyleUnderline"/>
          <w:highlight w:val="green"/>
        </w:rPr>
        <w:t>as the structure</w:t>
      </w:r>
      <w:r w:rsidRPr="00186530">
        <w:rPr>
          <w:sz w:val="16"/>
        </w:rPr>
        <w:t xml:space="preserve"> of settler colonial society </w:t>
      </w:r>
      <w:r w:rsidRPr="00186530">
        <w:rPr>
          <w:rStyle w:val="StyleUnderline"/>
        </w:rPr>
        <w:t xml:space="preserve">somehow </w:t>
      </w:r>
      <w:r w:rsidRPr="000B6982">
        <w:rPr>
          <w:rStyle w:val="Emphasis"/>
        </w:rPr>
        <w:t>finds</w:t>
      </w:r>
      <w:r w:rsidRPr="00186530">
        <w:rPr>
          <w:rStyle w:val="StyleUnderline"/>
        </w:rPr>
        <w:t xml:space="preserve"> and </w:t>
      </w:r>
      <w:r w:rsidRPr="000B6982">
        <w:rPr>
          <w:rStyle w:val="Emphasis"/>
        </w:rPr>
        <w:t>invents</w:t>
      </w:r>
      <w:r w:rsidRPr="00186530">
        <w:rPr>
          <w:rStyle w:val="StyleUnderline"/>
        </w:rPr>
        <w:t xml:space="preserve"> the agents that perform the myriad tasks</w:t>
      </w:r>
      <w:r w:rsidRPr="00186530">
        <w:rPr>
          <w:sz w:val="16"/>
        </w:rPr>
        <w:t xml:space="preserve"> of elimination, erasure and repressive recognition; </w:t>
      </w:r>
      <w:r w:rsidRPr="00186530">
        <w:rPr>
          <w:rStyle w:val="StyleUnderline"/>
        </w:rPr>
        <w:t xml:space="preserve">the settler colonial structure </w:t>
      </w:r>
      <w:r w:rsidRPr="00EA0299">
        <w:rPr>
          <w:rStyle w:val="StyleUnderline"/>
          <w:highlight w:val="green"/>
        </w:rPr>
        <w:t xml:space="preserve">is always </w:t>
      </w:r>
      <w:r w:rsidRPr="00550D2D">
        <w:rPr>
          <w:rStyle w:val="Emphasis"/>
        </w:rPr>
        <w:t xml:space="preserve">tactically </w:t>
      </w:r>
      <w:r w:rsidRPr="00EA0299">
        <w:rPr>
          <w:rStyle w:val="Emphasis"/>
          <w:highlight w:val="green"/>
        </w:rPr>
        <w:t>resourceful</w:t>
      </w:r>
      <w:r w:rsidRPr="00186530">
        <w:rPr>
          <w:sz w:val="16"/>
        </w:rPr>
        <w:t xml:space="preserve"> in the agencies of its deployment. </w:t>
      </w:r>
      <w:r w:rsidRPr="00EA0299">
        <w:rPr>
          <w:rStyle w:val="StyleUnderline"/>
          <w:highlight w:val="green"/>
        </w:rPr>
        <w:t xml:space="preserve">On the other hand, settler colonial agency is evoked as a </w:t>
      </w:r>
      <w:r w:rsidRPr="00EA0299">
        <w:rPr>
          <w:rStyle w:val="Emphasis"/>
          <w:highlight w:val="green"/>
        </w:rPr>
        <w:t>collective</w:t>
      </w:r>
      <w:r w:rsidRPr="00186530">
        <w:rPr>
          <w:sz w:val="16"/>
        </w:rPr>
        <w:t xml:space="preserve"> agent, an enduring national </w:t>
      </w:r>
      <w:r w:rsidRPr="00EA0299">
        <w:rPr>
          <w:rStyle w:val="Emphasis"/>
          <w:highlight w:val="green"/>
        </w:rPr>
        <w:t>psyche</w:t>
      </w:r>
      <w:r w:rsidRPr="00EA0299">
        <w:rPr>
          <w:rStyle w:val="StyleUnderline"/>
          <w:highlight w:val="green"/>
        </w:rPr>
        <w:t xml:space="preserve"> that is </w:t>
      </w:r>
      <w:r w:rsidRPr="00EA0299">
        <w:rPr>
          <w:rStyle w:val="Emphasis"/>
          <w:highlight w:val="green"/>
        </w:rPr>
        <w:t>anxious</w:t>
      </w:r>
      <w:r w:rsidRPr="00186530">
        <w:rPr>
          <w:rStyle w:val="StyleUnderline"/>
        </w:rPr>
        <w:t xml:space="preserve">, </w:t>
      </w:r>
      <w:r w:rsidRPr="000B6982">
        <w:rPr>
          <w:rStyle w:val="Emphasis"/>
        </w:rPr>
        <w:t>divided</w:t>
      </w:r>
      <w:r w:rsidRPr="00186530">
        <w:rPr>
          <w:rStyle w:val="StyleUnderline"/>
        </w:rPr>
        <w:t xml:space="preserve">, </w:t>
      </w:r>
      <w:r w:rsidRPr="000B6982">
        <w:rPr>
          <w:rStyle w:val="Emphasis"/>
        </w:rPr>
        <w:t>ambivalent</w:t>
      </w:r>
      <w:r w:rsidRPr="00186530">
        <w:rPr>
          <w:rStyle w:val="StyleUnderline"/>
        </w:rPr>
        <w:t xml:space="preserve">, </w:t>
      </w:r>
      <w:r w:rsidRPr="00BA0F69">
        <w:rPr>
          <w:rStyle w:val="Emphasis"/>
        </w:rPr>
        <w:t>troubled</w:t>
      </w:r>
      <w:r w:rsidRPr="00BA0F69">
        <w:rPr>
          <w:rStyle w:val="StyleUnderline"/>
        </w:rPr>
        <w:t xml:space="preserve"> by unresolvable tensions</w:t>
      </w:r>
      <w:r w:rsidRPr="00186530">
        <w:rPr>
          <w:rStyle w:val="StyleUnderline"/>
        </w:rPr>
        <w:t xml:space="preserve"> within its project</w:t>
      </w:r>
      <w:r w:rsidRPr="00186530">
        <w:rPr>
          <w:sz w:val="16"/>
        </w:rPr>
        <w:t xml:space="preserve">. </w:t>
      </w:r>
      <w:r w:rsidRPr="00EA0299">
        <w:rPr>
          <w:rStyle w:val="StyleUnderline"/>
          <w:highlight w:val="green"/>
        </w:rPr>
        <w:t xml:space="preserve">The attribution of </w:t>
      </w:r>
      <w:r w:rsidRPr="00EA0299">
        <w:rPr>
          <w:rStyle w:val="Emphasis"/>
          <w:highlight w:val="green"/>
        </w:rPr>
        <w:t>affect</w:t>
      </w:r>
      <w:r w:rsidRPr="00186530">
        <w:rPr>
          <w:rStyle w:val="StyleUnderline"/>
        </w:rPr>
        <w:t xml:space="preserve"> to the settler colonial mentality</w:t>
      </w:r>
      <w:r w:rsidRPr="00186530">
        <w:rPr>
          <w:sz w:val="16"/>
        </w:rPr>
        <w:t xml:space="preserve"> or archive </w:t>
      </w:r>
      <w:r w:rsidRPr="00EA0299">
        <w:rPr>
          <w:rStyle w:val="StyleUnderline"/>
          <w:highlight w:val="green"/>
        </w:rPr>
        <w:t xml:space="preserve">preserves the idea of a </w:t>
      </w:r>
      <w:r w:rsidRPr="00EA0299">
        <w:rPr>
          <w:rStyle w:val="Emphasis"/>
          <w:highlight w:val="green"/>
        </w:rPr>
        <w:t>singular collective settler agency</w:t>
      </w:r>
      <w:r w:rsidRPr="00EA0299">
        <w:rPr>
          <w:rStyle w:val="StyleUnderline"/>
          <w:highlight w:val="green"/>
        </w:rPr>
        <w:t xml:space="preserve">, </w:t>
      </w:r>
      <w:r w:rsidRPr="00EA0299">
        <w:rPr>
          <w:rStyle w:val="Emphasis"/>
          <w:sz w:val="30"/>
          <w:szCs w:val="30"/>
          <w:highlight w:val="green"/>
        </w:rPr>
        <w:t>as if settler colonies were persons</w:t>
      </w:r>
      <w:r w:rsidRPr="00186530">
        <w:rPr>
          <w:sz w:val="16"/>
        </w:rPr>
        <w:t xml:space="preserve">. </w:t>
      </w:r>
    </w:p>
    <w:p w14:paraId="228FBD15" w14:textId="77777777" w:rsidR="00C42954" w:rsidRPr="00186530" w:rsidRDefault="00C42954" w:rsidP="00C42954">
      <w:pPr>
        <w:rPr>
          <w:sz w:val="16"/>
        </w:rPr>
      </w:pPr>
      <w:r w:rsidRPr="00186530">
        <w:rPr>
          <w:rStyle w:val="StyleUnderline"/>
        </w:rPr>
        <w:t xml:space="preserve">It would be easy to </w:t>
      </w:r>
      <w:r w:rsidRPr="000B6982">
        <w:rPr>
          <w:rStyle w:val="Emphasis"/>
        </w:rPr>
        <w:t>exaggerate</w:t>
      </w:r>
      <w:r w:rsidRPr="00186530">
        <w:rPr>
          <w:rStyle w:val="StyleUnderline"/>
        </w:rPr>
        <w:t xml:space="preserve"> the idea that settler colonial ambivalence can be narrated as ‘</w:t>
      </w:r>
      <w:r w:rsidRPr="000B6982">
        <w:rPr>
          <w:rStyle w:val="Emphasis"/>
        </w:rPr>
        <w:t>anxiety</w:t>
      </w:r>
      <w:r w:rsidRPr="00186530">
        <w:rPr>
          <w:rStyle w:val="StyleUnderline"/>
        </w:rPr>
        <w:t>’</w:t>
      </w:r>
      <w:r w:rsidRPr="00186530">
        <w:rPr>
          <w:sz w:val="16"/>
        </w:rPr>
        <w:t xml:space="preserve">. While I have no doubt that there have been anxious agents, </w:t>
      </w:r>
      <w:r w:rsidRPr="00EA0299">
        <w:rPr>
          <w:rStyle w:val="StyleUnderline"/>
          <w:highlight w:val="green"/>
        </w:rPr>
        <w:t>the characterisation of</w:t>
      </w:r>
      <w:r w:rsidRPr="00186530">
        <w:rPr>
          <w:rStyle w:val="StyleUnderline"/>
        </w:rPr>
        <w:t xml:space="preserve"> </w:t>
      </w:r>
      <w:r w:rsidRPr="000B6982">
        <w:rPr>
          <w:rStyle w:val="Emphasis"/>
        </w:rPr>
        <w:t>particular</w:t>
      </w:r>
      <w:r w:rsidRPr="00186530">
        <w:rPr>
          <w:rStyle w:val="StyleUnderline"/>
        </w:rPr>
        <w:t xml:space="preserve"> settler colonial agents as ‘</w:t>
      </w:r>
      <w:r w:rsidRPr="00EA0299">
        <w:rPr>
          <w:rStyle w:val="Emphasis"/>
          <w:highlight w:val="green"/>
        </w:rPr>
        <w:t>anxious</w:t>
      </w:r>
      <w:r w:rsidRPr="00EA0299">
        <w:rPr>
          <w:rStyle w:val="StyleUnderline"/>
          <w:highlight w:val="green"/>
        </w:rPr>
        <w:t xml:space="preserve">’ is </w:t>
      </w:r>
      <w:r w:rsidRPr="00EA0299">
        <w:rPr>
          <w:rStyle w:val="Emphasis"/>
          <w:highlight w:val="green"/>
        </w:rPr>
        <w:t>not easy to support empirically</w:t>
      </w:r>
      <w:r w:rsidRPr="00186530">
        <w:rPr>
          <w:sz w:val="16"/>
        </w:rPr>
        <w:t xml:space="preserve">, and as a reader I have often had the feeling that the writer depicting ‘anxiety’ is ‘presentist’: ‘From the standpoint of my values, what you did and said back then should have made you anxious’. </w:t>
      </w:r>
    </w:p>
    <w:p w14:paraId="7F558F70" w14:textId="77777777" w:rsidR="00C42954" w:rsidRPr="000F1F80" w:rsidRDefault="00C42954" w:rsidP="00C42954">
      <w:pPr>
        <w:rPr>
          <w:sz w:val="16"/>
        </w:rPr>
      </w:pPr>
      <w:r w:rsidRPr="00186530">
        <w:rPr>
          <w:rStyle w:val="StyleUnderline"/>
        </w:rPr>
        <w:t xml:space="preserve">A </w:t>
      </w:r>
      <w:r w:rsidRPr="000B6982">
        <w:rPr>
          <w:rStyle w:val="Emphasis"/>
        </w:rPr>
        <w:t>more impersonal</w:t>
      </w:r>
      <w:r w:rsidRPr="00186530">
        <w:rPr>
          <w:rStyle w:val="StyleUnderline"/>
        </w:rPr>
        <w:t xml:space="preserve"> analysis enables us to </w:t>
      </w:r>
      <w:r w:rsidRPr="00EA0299">
        <w:rPr>
          <w:rStyle w:val="StyleUnderline"/>
          <w:highlight w:val="green"/>
        </w:rPr>
        <w:t xml:space="preserve">move from </w:t>
      </w:r>
      <w:r w:rsidRPr="00EA0299">
        <w:rPr>
          <w:rStyle w:val="Emphasis"/>
          <w:highlight w:val="green"/>
        </w:rPr>
        <w:t>anxious agents</w:t>
      </w:r>
      <w:r w:rsidRPr="00EA0299">
        <w:rPr>
          <w:rStyle w:val="StyleUnderline"/>
          <w:highlight w:val="green"/>
        </w:rPr>
        <w:t xml:space="preserve"> to </w:t>
      </w:r>
      <w:r w:rsidRPr="00EA0299">
        <w:rPr>
          <w:rStyle w:val="Emphasis"/>
          <w:highlight w:val="green"/>
        </w:rPr>
        <w:t>contending structures</w:t>
      </w:r>
      <w:r w:rsidRPr="00186530">
        <w:rPr>
          <w:sz w:val="16"/>
        </w:rPr>
        <w:t xml:space="preserve">. </w:t>
      </w:r>
      <w:r w:rsidRPr="00186530">
        <w:rPr>
          <w:rStyle w:val="StyleUnderline"/>
        </w:rPr>
        <w:t xml:space="preserve">It is </w:t>
      </w:r>
      <w:r w:rsidRPr="000B6982">
        <w:rPr>
          <w:rStyle w:val="Emphasis"/>
        </w:rPr>
        <w:t>more productive</w:t>
      </w:r>
      <w:r w:rsidRPr="00186530">
        <w:rPr>
          <w:sz w:val="16"/>
        </w:rPr>
        <w:t xml:space="preserve">, I suggest, </w:t>
      </w:r>
      <w:r w:rsidRPr="00186530">
        <w:rPr>
          <w:rStyle w:val="StyleUnderline"/>
        </w:rPr>
        <w:t xml:space="preserve">to account </w:t>
      </w:r>
      <w:r w:rsidRPr="000B6982">
        <w:rPr>
          <w:rStyle w:val="Emphasis"/>
        </w:rPr>
        <w:t>more impersonally</w:t>
      </w:r>
      <w:r w:rsidRPr="00186530">
        <w:rPr>
          <w:rStyle w:val="StyleUnderline"/>
        </w:rPr>
        <w:t xml:space="preserve"> for ‘settler colonial society’, to evoke it in terms of </w:t>
      </w:r>
      <w:r w:rsidRPr="000B6982">
        <w:rPr>
          <w:rStyle w:val="Emphasis"/>
        </w:rPr>
        <w:t>structures</w:t>
      </w:r>
      <w:r w:rsidRPr="00186530">
        <w:rPr>
          <w:rStyle w:val="StyleUnderline"/>
        </w:rPr>
        <w:t xml:space="preserve"> and </w:t>
      </w:r>
      <w:r w:rsidRPr="000B6982">
        <w:rPr>
          <w:rStyle w:val="Emphasis"/>
        </w:rPr>
        <w:t>tendencies</w:t>
      </w:r>
      <w:r w:rsidRPr="00186530">
        <w:rPr>
          <w:rStyle w:val="StyleUnderline"/>
        </w:rPr>
        <w:t xml:space="preserve"> to which agents get recruited</w:t>
      </w:r>
      <w:r w:rsidRPr="00186530">
        <w:rPr>
          <w:sz w:val="16"/>
        </w:rPr>
        <w:t xml:space="preserve">; I am sympathetic to Wolfe’s structuralism. However, I am not persuaded by his </w:t>
      </w:r>
      <w:r w:rsidRPr="00EA0299">
        <w:rPr>
          <w:rStyle w:val="StyleUnderline"/>
          <w:highlight w:val="green"/>
        </w:rPr>
        <w:t>presentation of</w:t>
      </w:r>
      <w:r w:rsidRPr="00186530">
        <w:rPr>
          <w:rStyle w:val="StyleUnderline"/>
        </w:rPr>
        <w:t xml:space="preserve"> a </w:t>
      </w:r>
      <w:r w:rsidRPr="000B6982">
        <w:rPr>
          <w:rStyle w:val="Emphasis"/>
        </w:rPr>
        <w:t xml:space="preserve">singular structure’s </w:t>
      </w:r>
      <w:r w:rsidRPr="00EA0299">
        <w:rPr>
          <w:rStyle w:val="Emphasis"/>
          <w:highlight w:val="green"/>
        </w:rPr>
        <w:t>relentless consistency</w:t>
      </w:r>
      <w:r w:rsidRPr="00186530">
        <w:rPr>
          <w:rStyle w:val="StyleUnderline"/>
        </w:rPr>
        <w:t xml:space="preserve">, its </w:t>
      </w:r>
      <w:r w:rsidRPr="00EA0299">
        <w:rPr>
          <w:rStyle w:val="Emphasis"/>
          <w:highlight w:val="green"/>
        </w:rPr>
        <w:t>inexorable logic</w:t>
      </w:r>
      <w:r w:rsidRPr="00EA0299">
        <w:rPr>
          <w:sz w:val="16"/>
          <w:highlight w:val="green"/>
        </w:rPr>
        <w:t xml:space="preserve"> (</w:t>
      </w:r>
      <w:r w:rsidRPr="00EA0299">
        <w:rPr>
          <w:rStyle w:val="StyleUnderline"/>
          <w:highlight w:val="green"/>
        </w:rPr>
        <w:t>of ‘</w:t>
      </w:r>
      <w:r w:rsidRPr="00EA0299">
        <w:rPr>
          <w:rStyle w:val="Emphasis"/>
          <w:highlight w:val="green"/>
        </w:rPr>
        <w:t>elimination</w:t>
      </w:r>
      <w:r w:rsidRPr="00EA0299">
        <w:rPr>
          <w:rStyle w:val="StyleUnderline"/>
          <w:highlight w:val="green"/>
        </w:rPr>
        <w:t>’</w:t>
      </w:r>
      <w:r w:rsidRPr="00186530">
        <w:rPr>
          <w:rStyle w:val="StyleUnderline"/>
        </w:rPr>
        <w:t xml:space="preserve"> or of </w:t>
      </w:r>
      <w:r w:rsidRPr="000B6982">
        <w:rPr>
          <w:rStyle w:val="Emphasis"/>
        </w:rPr>
        <w:t>anything else</w:t>
      </w:r>
      <w:r w:rsidRPr="00186530">
        <w:rPr>
          <w:sz w:val="16"/>
        </w:rPr>
        <w:t xml:space="preserve">). Wolfe’s emplotment of settler colonialism </w:t>
      </w:r>
      <w:r w:rsidRPr="00EA0299">
        <w:rPr>
          <w:rStyle w:val="Emphasis"/>
          <w:highlight w:val="green"/>
        </w:rPr>
        <w:t>interpellates</w:t>
      </w:r>
      <w:r w:rsidRPr="00186530">
        <w:rPr>
          <w:rStyle w:val="StyleUnderline"/>
        </w:rPr>
        <w:t xml:space="preserve"> the</w:t>
      </w:r>
      <w:r w:rsidRPr="00186530">
        <w:rPr>
          <w:sz w:val="16"/>
        </w:rPr>
        <w:t xml:space="preserve"> historian/</w:t>
      </w:r>
      <w:r w:rsidRPr="00186530">
        <w:rPr>
          <w:rStyle w:val="StyleUnderline"/>
        </w:rPr>
        <w:t xml:space="preserve">reader in </w:t>
      </w:r>
      <w:r w:rsidRPr="00EA0299">
        <w:rPr>
          <w:rStyle w:val="StyleUnderline"/>
          <w:highlight w:val="green"/>
        </w:rPr>
        <w:t xml:space="preserve">a compact of </w:t>
      </w:r>
      <w:r w:rsidRPr="00EA0299">
        <w:rPr>
          <w:rStyle w:val="Emphasis"/>
          <w:highlight w:val="green"/>
        </w:rPr>
        <w:t>epistemological</w:t>
      </w:r>
      <w:r w:rsidRPr="00186530">
        <w:rPr>
          <w:rStyle w:val="StyleUnderline"/>
        </w:rPr>
        <w:t xml:space="preserve"> and </w:t>
      </w:r>
      <w:r w:rsidRPr="000B6982">
        <w:rPr>
          <w:rStyle w:val="Emphasis"/>
        </w:rPr>
        <w:t xml:space="preserve">political </w:t>
      </w:r>
      <w:r w:rsidRPr="00EA0299">
        <w:rPr>
          <w:rStyle w:val="Emphasis"/>
          <w:highlight w:val="green"/>
        </w:rPr>
        <w:t>certainty</w:t>
      </w:r>
      <w:r w:rsidRPr="00186530">
        <w:rPr>
          <w:rStyle w:val="StyleUnderline"/>
        </w:rPr>
        <w:t xml:space="preserve">: we </w:t>
      </w:r>
      <w:r w:rsidRPr="000B6982">
        <w:rPr>
          <w:rStyle w:val="Emphasis"/>
        </w:rPr>
        <w:t>know</w:t>
      </w:r>
      <w:r w:rsidRPr="00186530">
        <w:rPr>
          <w:rStyle w:val="StyleUnderline"/>
        </w:rPr>
        <w:t xml:space="preserve"> what’s going to happen because it </w:t>
      </w:r>
      <w:r w:rsidRPr="000B6982">
        <w:rPr>
          <w:rStyle w:val="Emphasis"/>
        </w:rPr>
        <w:t>always does</w:t>
      </w:r>
      <w:r w:rsidRPr="00186530">
        <w:rPr>
          <w:sz w:val="16"/>
        </w:rPr>
        <w:t>. My contrary preference is to see history as less predictable, messier, more surprising and occasionally more hopeful. The recent contention of ‘Indigeneities’ has invigorated my uncertainties.</w:t>
      </w:r>
    </w:p>
    <w:p w14:paraId="106CC077" w14:textId="77777777" w:rsidR="00C42954" w:rsidRPr="00D128D3" w:rsidRDefault="00C42954" w:rsidP="00C42954">
      <w:pPr>
        <w:pStyle w:val="Heading3"/>
      </w:pPr>
      <w:r>
        <w:t>1NC---Táíwò</w:t>
      </w:r>
    </w:p>
    <w:p w14:paraId="3720439D" w14:textId="77777777" w:rsidR="00C42954" w:rsidRPr="009B4E84" w:rsidRDefault="00C42954" w:rsidP="00C42954">
      <w:pPr>
        <w:pStyle w:val="Heading4"/>
        <w:rPr>
          <w:rFonts w:cs="Calibri"/>
        </w:rPr>
      </w:pPr>
      <w:r w:rsidRPr="009B4E84">
        <w:rPr>
          <w:rFonts w:cs="Calibri"/>
        </w:rPr>
        <w:t xml:space="preserve">We should resist </w:t>
      </w:r>
      <w:r w:rsidRPr="009B4E84">
        <w:rPr>
          <w:rFonts w:cs="Calibri"/>
          <w:u w:val="single"/>
        </w:rPr>
        <w:t>all-or-nothing</w:t>
      </w:r>
      <w:r w:rsidRPr="009B4E84">
        <w:rPr>
          <w:rFonts w:cs="Calibri"/>
        </w:rPr>
        <w:t xml:space="preserve"> frameworks in the struggle against empire. The </w:t>
      </w:r>
      <w:r w:rsidRPr="009B4E84">
        <w:rPr>
          <w:rFonts w:cs="Calibri"/>
          <w:u w:val="single"/>
        </w:rPr>
        <w:t>scale and process of change</w:t>
      </w:r>
      <w:r w:rsidRPr="009B4E84">
        <w:rPr>
          <w:rFonts w:cs="Calibri"/>
        </w:rPr>
        <w:t xml:space="preserve"> historically involve intermediate wins and contradictions. </w:t>
      </w:r>
    </w:p>
    <w:p w14:paraId="6BCEA238" w14:textId="77777777" w:rsidR="00C42954" w:rsidRPr="009B4E84" w:rsidRDefault="00C42954" w:rsidP="00C42954">
      <w:pPr>
        <w:rPr>
          <w:b/>
          <w:bCs/>
          <w:sz w:val="26"/>
        </w:rPr>
      </w:pPr>
      <w:r w:rsidRPr="009B4E84">
        <w:rPr>
          <w:rStyle w:val="Style13ptBold"/>
        </w:rPr>
        <w:t xml:space="preserve">Táíwò 22 </w:t>
      </w:r>
      <w:r>
        <w:t>[</w:t>
      </w:r>
      <w:r w:rsidRPr="009B4E84">
        <w:t>Olúfẹ́mi O. Táíwò, assistant professor of philosophy at Georgetown University. Chapter 6: The Arc of the Moral Universe in Reconsidering Reparations. Oxford University Press 2022. JKS</w:t>
      </w:r>
      <w:r>
        <w:t>]</w:t>
      </w:r>
    </w:p>
    <w:p w14:paraId="7132236B" w14:textId="77777777" w:rsidR="00C42954" w:rsidRPr="009B4E84" w:rsidRDefault="00C42954" w:rsidP="00C42954">
      <w:pPr>
        <w:rPr>
          <w:rStyle w:val="Emphasis"/>
        </w:rPr>
      </w:pPr>
      <w:r w:rsidRPr="009B4E84">
        <w:rPr>
          <w:rStyle w:val="Emphasis"/>
        </w:rPr>
        <w:t>Acting Like an Ancestor</w:t>
      </w:r>
    </w:p>
    <w:p w14:paraId="2B85C16C" w14:textId="77777777" w:rsidR="00C42954" w:rsidRPr="009B4E84" w:rsidRDefault="00C42954" w:rsidP="00C42954">
      <w:pPr>
        <w:rPr>
          <w:sz w:val="10"/>
        </w:rPr>
      </w:pPr>
      <w:r w:rsidRPr="009B4E84">
        <w:rPr>
          <w:sz w:val="10"/>
        </w:rPr>
        <w:t xml:space="preserve">The ambitions of the worldmaking project recommended by the constructive view may make reparations appear beyond daunting. </w:t>
      </w:r>
      <w:r w:rsidRPr="009B4E84">
        <w:rPr>
          <w:rStyle w:val="StyleUnderline"/>
        </w:rPr>
        <w:t xml:space="preserve">How can we possibly succeed at a task as immense </w:t>
      </w:r>
      <w:r w:rsidRPr="009B4E84">
        <w:rPr>
          <w:sz w:val="10"/>
        </w:rPr>
        <w:t>and contested</w:t>
      </w:r>
      <w:r w:rsidRPr="009B4E84">
        <w:rPr>
          <w:rStyle w:val="StyleUnderline"/>
        </w:rPr>
        <w:t xml:space="preserve"> as building the just world? </w:t>
      </w:r>
      <w:r w:rsidRPr="009B4E84">
        <w:rPr>
          <w:rStyle w:val="Emphasis"/>
          <w:highlight w:val="green"/>
        </w:rPr>
        <w:t>The unjust world order</w:t>
      </w:r>
      <w:r w:rsidRPr="009B4E84">
        <w:rPr>
          <w:rStyle w:val="Emphasis"/>
        </w:rPr>
        <w:t xml:space="preserve"> we have </w:t>
      </w:r>
      <w:r w:rsidRPr="009B4E84">
        <w:rPr>
          <w:rStyle w:val="Emphasis"/>
          <w:highlight w:val="green"/>
        </w:rPr>
        <w:t>is the outcome of five centuries</w:t>
      </w:r>
      <w:r w:rsidRPr="009B4E84">
        <w:rPr>
          <w:rStyle w:val="Emphasis"/>
        </w:rPr>
        <w:t xml:space="preserve"> of human action</w:t>
      </w:r>
      <w:r w:rsidRPr="009B4E84">
        <w:rPr>
          <w:rStyle w:val="StyleUnderline"/>
        </w:rPr>
        <w:t>—</w:t>
      </w:r>
      <w:r w:rsidRPr="009B4E84">
        <w:rPr>
          <w:rStyle w:val="StyleUnderline"/>
          <w:highlight w:val="green"/>
        </w:rPr>
        <w:t xml:space="preserve">it would be </w:t>
      </w:r>
      <w:r w:rsidRPr="009B4E84">
        <w:rPr>
          <w:rStyle w:val="StyleUnderline"/>
        </w:rPr>
        <w:t xml:space="preserve">an </w:t>
      </w:r>
      <w:r w:rsidRPr="009B4E84">
        <w:rPr>
          <w:rStyle w:val="StyleUnderline"/>
          <w:highlight w:val="green"/>
        </w:rPr>
        <w:t>incredible</w:t>
      </w:r>
      <w:r w:rsidRPr="009B4E84">
        <w:rPr>
          <w:rStyle w:val="StyleUnderline"/>
        </w:rPr>
        <w:t xml:space="preserve"> achievement</w:t>
      </w:r>
      <w:r w:rsidRPr="009B4E84">
        <w:rPr>
          <w:rStyle w:val="StyleUnderline"/>
          <w:highlight w:val="green"/>
        </w:rPr>
        <w:t xml:space="preserve"> to undo this evil in half that time</w:t>
      </w:r>
      <w:r w:rsidRPr="009B4E84">
        <w:rPr>
          <w:rStyle w:val="StyleUnderline"/>
        </w:rPr>
        <w:t>.</w:t>
      </w:r>
      <w:r w:rsidRPr="009B4E84">
        <w:rPr>
          <w:sz w:val="10"/>
        </w:rPr>
        <w:t xml:space="preserve"> And </w:t>
      </w:r>
      <w:r w:rsidRPr="009B4E84">
        <w:rPr>
          <w:rStyle w:val="StyleUnderline"/>
        </w:rPr>
        <w:t xml:space="preserve">even that monumentally fast achievement </w:t>
      </w:r>
      <w:r w:rsidRPr="009B4E84">
        <w:rPr>
          <w:rStyle w:val="StyleUnderline"/>
          <w:highlight w:val="green"/>
        </w:rPr>
        <w:t>would still involve centuries of struggle</w:t>
      </w:r>
      <w:r w:rsidRPr="009B4E84">
        <w:rPr>
          <w:rStyle w:val="StyleUnderline"/>
        </w:rPr>
        <w:t>, meaning generations and generations of people who have to act in their lifetimes in pursuit of a good that may only materialize in someone else’s.</w:t>
      </w:r>
    </w:p>
    <w:p w14:paraId="455A2852" w14:textId="77777777" w:rsidR="00C42954" w:rsidRPr="009B4E84" w:rsidRDefault="00C42954" w:rsidP="00C42954">
      <w:pPr>
        <w:rPr>
          <w:sz w:val="16"/>
          <w:szCs w:val="18"/>
        </w:rPr>
      </w:pPr>
      <w:r w:rsidRPr="009B4E84">
        <w:rPr>
          <w:sz w:val="16"/>
          <w:szCs w:val="18"/>
        </w:rPr>
        <w:t>Of course, it would be an immense and worthy achievement if those of us alive today managed to do the whole thing: end oppression, build a new social system, and set up safeguards that prevent the system from backsliding into injustice. If we can do it, we should.</w:t>
      </w:r>
    </w:p>
    <w:p w14:paraId="1869D1E3" w14:textId="77777777" w:rsidR="00C42954" w:rsidRDefault="00C42954" w:rsidP="00C42954">
      <w:pPr>
        <w:rPr>
          <w:rStyle w:val="Emphasis"/>
          <w:highlight w:val="green"/>
        </w:rPr>
      </w:pPr>
      <w:r w:rsidRPr="009B4E84">
        <w:rPr>
          <w:rStyle w:val="Emphasis"/>
          <w:szCs w:val="28"/>
        </w:rPr>
        <w:t xml:space="preserve">But </w:t>
      </w:r>
      <w:r w:rsidRPr="009B4E84">
        <w:rPr>
          <w:rStyle w:val="Emphasis"/>
          <w:szCs w:val="28"/>
          <w:highlight w:val="green"/>
        </w:rPr>
        <w:t>we should resist all-or-nothing thinking</w:t>
      </w:r>
      <w:r w:rsidRPr="009B4E84">
        <w:rPr>
          <w:rStyle w:val="Emphasis"/>
          <w:szCs w:val="28"/>
        </w:rPr>
        <w:t xml:space="preserve"> about the struggle for justice.</w:t>
      </w:r>
      <w:r w:rsidRPr="009B4E84">
        <w:rPr>
          <w:sz w:val="13"/>
          <w:szCs w:val="28"/>
        </w:rPr>
        <w:t xml:space="preserve"> </w:t>
      </w:r>
      <w:r w:rsidRPr="009B4E84">
        <w:rPr>
          <w:rStyle w:val="Emphasis"/>
          <w:szCs w:val="28"/>
          <w:highlight w:val="green"/>
        </w:rPr>
        <w:t>No previous generation</w:t>
      </w:r>
      <w:r w:rsidRPr="009B4E84">
        <w:rPr>
          <w:rStyle w:val="Emphasis"/>
          <w:szCs w:val="28"/>
        </w:rPr>
        <w:t xml:space="preserve"> has </w:t>
      </w:r>
      <w:r w:rsidRPr="009B4E84">
        <w:rPr>
          <w:rStyle w:val="Emphasis"/>
          <w:szCs w:val="28"/>
          <w:highlight w:val="green"/>
        </w:rPr>
        <w:t>won the struggle for justice out-right, in one stroke—if they had, we wouldn’t be in this position</w:t>
      </w:r>
      <w:r w:rsidRPr="009B4E84">
        <w:rPr>
          <w:rStyle w:val="Emphasis"/>
          <w:highlight w:val="green"/>
        </w:rPr>
        <w:t xml:space="preserve">. </w:t>
      </w:r>
      <w:r w:rsidRPr="009B4E84">
        <w:rPr>
          <w:rStyle w:val="StyleUnderline"/>
          <w:highlight w:val="green"/>
        </w:rPr>
        <w:t>The fighters of the Haitian Revolution did not end</w:t>
      </w:r>
      <w:r w:rsidRPr="009B4E84">
        <w:rPr>
          <w:rStyle w:val="StyleUnderline"/>
        </w:rPr>
        <w:t xml:space="preserve"> the system of racialized chattel slavery or </w:t>
      </w:r>
      <w:r w:rsidRPr="009B4E84">
        <w:rPr>
          <w:rStyle w:val="StyleUnderline"/>
          <w:highlight w:val="green"/>
        </w:rPr>
        <w:t>the global racial empire</w:t>
      </w:r>
      <w:r w:rsidRPr="009B4E84">
        <w:rPr>
          <w:sz w:val="12"/>
        </w:rPr>
        <w:t xml:space="preserve"> it was predicated upon: </w:t>
      </w:r>
      <w:r w:rsidRPr="009B4E84">
        <w:rPr>
          <w:rStyle w:val="StyleUnderline"/>
          <w:highlight w:val="green"/>
        </w:rPr>
        <w:t>they eradicated its worst form from one island</w:t>
      </w:r>
      <w:r w:rsidRPr="009B4E84">
        <w:rPr>
          <w:sz w:val="12"/>
          <w:highlight w:val="green"/>
        </w:rPr>
        <w:t>,</w:t>
      </w:r>
      <w:r w:rsidRPr="009B4E84">
        <w:rPr>
          <w:sz w:val="12"/>
        </w:rPr>
        <w:t xml:space="preserve"> the one they lived on. </w:t>
      </w:r>
      <w:r w:rsidRPr="009B4E84">
        <w:rPr>
          <w:rStyle w:val="StyleUnderline"/>
        </w:rPr>
        <w:t>The same is true of their abolitionist comrades-in-arms up north in the U</w:t>
      </w:r>
      <w:r w:rsidRPr="009B4E84">
        <w:rPr>
          <w:sz w:val="12"/>
        </w:rPr>
        <w:t xml:space="preserve">nited </w:t>
      </w:r>
      <w:r w:rsidRPr="009B4E84">
        <w:rPr>
          <w:rStyle w:val="StyleUnderline"/>
        </w:rPr>
        <w:t>S</w:t>
      </w:r>
      <w:r w:rsidRPr="009B4E84">
        <w:rPr>
          <w:sz w:val="12"/>
        </w:rPr>
        <w:t xml:space="preserve">tates, </w:t>
      </w:r>
      <w:r w:rsidRPr="009B4E84">
        <w:rPr>
          <w:rStyle w:val="StyleUnderline"/>
        </w:rPr>
        <w:t>who helped create the political conditions that eradicated racial slavery there.</w:t>
      </w:r>
      <w:r w:rsidRPr="009B4E84">
        <w:rPr>
          <w:sz w:val="12"/>
        </w:rPr>
        <w:t xml:space="preserve"> </w:t>
      </w:r>
      <w:r w:rsidRPr="009B4E84">
        <w:rPr>
          <w:rStyle w:val="Emphasis"/>
          <w:highlight w:val="green"/>
        </w:rPr>
        <w:t>The work of replacing</w:t>
      </w:r>
      <w:r w:rsidRPr="009B4E84">
        <w:rPr>
          <w:rStyle w:val="Emphasis"/>
        </w:rPr>
        <w:t xml:space="preserve"> global racial </w:t>
      </w:r>
      <w:r w:rsidRPr="009B4E84">
        <w:rPr>
          <w:rStyle w:val="Emphasis"/>
          <w:highlight w:val="green"/>
        </w:rPr>
        <w:t>empire with a just world order was not completed,</w:t>
      </w:r>
    </w:p>
    <w:p w14:paraId="23E66107" w14:textId="77777777" w:rsidR="00C42954" w:rsidRDefault="00C42954" w:rsidP="00C42954">
      <w:pPr>
        <w:rPr>
          <w:rStyle w:val="Emphasis"/>
          <w:highlight w:val="green"/>
        </w:rPr>
      </w:pPr>
    </w:p>
    <w:p w14:paraId="1EFA0FC2" w14:textId="35A605F1" w:rsidR="00C42954" w:rsidRPr="00C42954" w:rsidRDefault="00C42954" w:rsidP="00C42954">
      <w:pPr>
        <w:rPr>
          <w:rStyle w:val="Style13ptBold"/>
          <w:highlight w:val="green"/>
        </w:rPr>
      </w:pPr>
      <w:r>
        <w:rPr>
          <w:rStyle w:val="Style13ptBold"/>
          <w:highlight w:val="green"/>
        </w:rPr>
        <w:t>&lt;&lt;&lt;CUT&gt;&gt;&gt;</w:t>
      </w:r>
    </w:p>
    <w:p w14:paraId="4D6F1587" w14:textId="77777777" w:rsidR="00C42954" w:rsidRDefault="00C42954" w:rsidP="00C42954">
      <w:pPr>
        <w:rPr>
          <w:rStyle w:val="Emphasis"/>
          <w:highlight w:val="green"/>
        </w:rPr>
      </w:pPr>
    </w:p>
    <w:p w14:paraId="2EC9B4B2" w14:textId="7A3B3BB9" w:rsidR="00C42954" w:rsidRPr="009B4E84" w:rsidRDefault="00C42954" w:rsidP="00C42954">
      <w:pPr>
        <w:rPr>
          <w:rStyle w:val="Emphasis"/>
        </w:rPr>
      </w:pPr>
      <w:r w:rsidRPr="009B4E84">
        <w:rPr>
          <w:rStyle w:val="Emphasis"/>
          <w:highlight w:val="green"/>
        </w:rPr>
        <w:t xml:space="preserve"> but it was advanced.</w:t>
      </w:r>
    </w:p>
    <w:p w14:paraId="0B25E184" w14:textId="77777777" w:rsidR="00C42954" w:rsidRPr="009B4E84" w:rsidRDefault="00C42954" w:rsidP="00C42954">
      <w:pPr>
        <w:rPr>
          <w:sz w:val="14"/>
        </w:rPr>
      </w:pPr>
      <w:r w:rsidRPr="009B4E84">
        <w:rPr>
          <w:sz w:val="14"/>
        </w:rPr>
        <w:t xml:space="preserve">Similarly, </w:t>
      </w:r>
      <w:r w:rsidRPr="009B4E84">
        <w:rPr>
          <w:rStyle w:val="StyleUnderline"/>
          <w:highlight w:val="green"/>
        </w:rPr>
        <w:t>neither the French</w:t>
      </w:r>
      <w:r w:rsidRPr="009B4E84">
        <w:rPr>
          <w:sz w:val="14"/>
        </w:rPr>
        <w:t xml:space="preserve"> Revolution of 1789 </w:t>
      </w:r>
      <w:r w:rsidRPr="009B4E84">
        <w:rPr>
          <w:rStyle w:val="StyleUnderline"/>
          <w:highlight w:val="green"/>
        </w:rPr>
        <w:t>nor the Russian Revolution</w:t>
      </w:r>
      <w:r w:rsidRPr="009B4E84">
        <w:rPr>
          <w:sz w:val="14"/>
        </w:rPr>
        <w:t xml:space="preserve"> of 1917 </w:t>
      </w:r>
      <w:r w:rsidRPr="009B4E84">
        <w:rPr>
          <w:rStyle w:val="StyleUnderline"/>
          <w:highlight w:val="green"/>
        </w:rPr>
        <w:t>ushered in global</w:t>
      </w:r>
      <w:r w:rsidRPr="009B4E84">
        <w:rPr>
          <w:rStyle w:val="StyleUnderline"/>
        </w:rPr>
        <w:t xml:space="preserve"> political </w:t>
      </w:r>
      <w:r w:rsidRPr="009B4E84">
        <w:rPr>
          <w:rStyle w:val="StyleUnderline"/>
          <w:highlight w:val="green"/>
        </w:rPr>
        <w:t>systems based on equality</w:t>
      </w:r>
      <w:r w:rsidRPr="009B4E84">
        <w:rPr>
          <w:sz w:val="14"/>
        </w:rPr>
        <w:t xml:space="preserve"> and fraternity: </w:t>
      </w:r>
      <w:r w:rsidRPr="009B4E84">
        <w:rPr>
          <w:rStyle w:val="StyleUnderline"/>
          <w:highlight w:val="green"/>
        </w:rPr>
        <w:t>they did help uproot specific local systems of injustice and provided lessons and inspiration to future</w:t>
      </w:r>
      <w:r w:rsidRPr="009B4E84">
        <w:rPr>
          <w:rStyle w:val="StyleUnderline"/>
        </w:rPr>
        <w:t xml:space="preserve"> generations of </w:t>
      </w:r>
      <w:r w:rsidRPr="009B4E84">
        <w:rPr>
          <w:rStyle w:val="StyleUnderline"/>
          <w:highlight w:val="green"/>
        </w:rPr>
        <w:t>freedom fighters.</w:t>
      </w:r>
      <w:r w:rsidRPr="009B4E84">
        <w:rPr>
          <w:sz w:val="14"/>
        </w:rPr>
        <w:t xml:space="preserve"> </w:t>
      </w:r>
      <w:r w:rsidRPr="009B4E84">
        <w:rPr>
          <w:rStyle w:val="StyleUnderline"/>
        </w:rPr>
        <w:t>Those who participated in the twentieth century anti-colonial struggles did not bring to being the new world their struggle anticipated, or end global stratifications in wealth or political rights, but they did win national independence for much of Asia and Africa and thereby end formal colonial rule and domination in much of the world</w:t>
      </w:r>
      <w:r w:rsidRPr="009B4E84">
        <w:rPr>
          <w:sz w:val="14"/>
        </w:rPr>
        <w:t>. The work of replacing global racial empire with a just world order was not completed, but it was advanced.</w:t>
      </w:r>
    </w:p>
    <w:p w14:paraId="4749380E" w14:textId="77777777" w:rsidR="00C42954" w:rsidRPr="009B4E84" w:rsidRDefault="00C42954" w:rsidP="00C42954">
      <w:pPr>
        <w:rPr>
          <w:rStyle w:val="StyleUnderline"/>
        </w:rPr>
      </w:pPr>
      <w:r w:rsidRPr="009B4E84">
        <w:rPr>
          <w:rStyle w:val="Emphasis"/>
          <w:szCs w:val="28"/>
          <w:highlight w:val="green"/>
        </w:rPr>
        <w:t xml:space="preserve">It often takes everything a generation has just to win the struggle immediately in front of them. </w:t>
      </w:r>
      <w:r w:rsidRPr="009B4E84">
        <w:rPr>
          <w:rStyle w:val="StyleUnderline"/>
          <w:highlight w:val="green"/>
        </w:rPr>
        <w:t>But if they pass on the right things</w:t>
      </w:r>
      <w:r w:rsidRPr="009B4E84">
        <w:rPr>
          <w:sz w:val="14"/>
        </w:rPr>
        <w:t>—and if we in the generations that follow pick up what they left for us—</w:t>
      </w:r>
      <w:r w:rsidRPr="009B4E84">
        <w:rPr>
          <w:rStyle w:val="StyleUnderline"/>
          <w:highlight w:val="green"/>
        </w:rPr>
        <w:t>that can be enough.</w:t>
      </w:r>
    </w:p>
    <w:p w14:paraId="5EF84647" w14:textId="77777777" w:rsidR="00C42954" w:rsidRPr="009B4E84" w:rsidRDefault="00C42954" w:rsidP="00C42954">
      <w:pPr>
        <w:rPr>
          <w:sz w:val="16"/>
          <w:szCs w:val="18"/>
        </w:rPr>
      </w:pPr>
      <w:r w:rsidRPr="009B4E84">
        <w:rPr>
          <w:sz w:val="16"/>
          <w:szCs w:val="18"/>
        </w:rPr>
        <w:t>Projects as lofty as bending the arc of the moral universe, becoming more “human” human beings, and ending deeply entrenched structures of racial injustice share something important in common with projects as mundane as making soy sauce. They both make use of this basic, often unnoticed yet miraculous capacity that we have: to join our actions up across time and space—even with those we have never met and may never know of.</w:t>
      </w:r>
    </w:p>
    <w:p w14:paraId="75ACFFC9" w14:textId="77777777" w:rsidR="00C42954" w:rsidRPr="009B4E84" w:rsidRDefault="00C42954" w:rsidP="00C42954">
      <w:pPr>
        <w:rPr>
          <w:rStyle w:val="StyleUnderline"/>
        </w:rPr>
      </w:pPr>
      <w:r w:rsidRPr="009B4E84">
        <w:rPr>
          <w:rStyle w:val="StyleUnderline"/>
        </w:rPr>
        <w:t>Much of everyday life is the realization or continuation of multigenerational projects</w:t>
      </w:r>
      <w:r w:rsidRPr="009B4E84">
        <w:rPr>
          <w:sz w:val="12"/>
        </w:rPr>
        <w:t xml:space="preserve">. The soy sauce Yamamoto makes owes its flavor to the kioke Ueshiba made to cook it in: the kioke owes the labor that constructed it to the skills imparted to Ueshiba and his team by their ancestors, and it owes the parts that make it up to the literal trees that they planted. Similarly, </w:t>
      </w:r>
      <w:r w:rsidRPr="009B4E84">
        <w:rPr>
          <w:rStyle w:val="StyleUnderline"/>
        </w:rPr>
        <w:t>this very book I’m writing about reparations owes its existence to the courage of Black American students, teachers, and activists who fought to end racial apartheid in US education in the 1950s and 60s, and Africans who fought to end it on the African continent; both of whom owe their ability to win those struggles to the ancestors preceded them.</w:t>
      </w:r>
    </w:p>
    <w:p w14:paraId="08DDB4BD" w14:textId="77777777" w:rsidR="00C42954" w:rsidRDefault="00C42954" w:rsidP="00C42954"/>
    <w:p w14:paraId="2A221274" w14:textId="4EC9FD7C" w:rsidR="00C42954" w:rsidRDefault="00C42954" w:rsidP="00C42954">
      <w:pPr>
        <w:pStyle w:val="Heading1"/>
      </w:pPr>
      <w:r>
        <w:t>2NC---Texas R1 vs. Kansas BB</w:t>
      </w:r>
    </w:p>
    <w:p w14:paraId="6267D8E8" w14:textId="77777777" w:rsidR="00C42954" w:rsidRDefault="00C42954" w:rsidP="00C42954"/>
    <w:p w14:paraId="23930C45" w14:textId="5B4A84E3" w:rsidR="00C42954" w:rsidRDefault="00C42954" w:rsidP="00C42954">
      <w:pPr>
        <w:pStyle w:val="Heading2"/>
      </w:pPr>
      <w:r>
        <w:t>T</w:t>
      </w:r>
    </w:p>
    <w:p w14:paraId="4678EA4C" w14:textId="77777777" w:rsidR="00C42954" w:rsidRDefault="00C42954" w:rsidP="00C42954"/>
    <w:p w14:paraId="23E4F30C" w14:textId="0C0185EE" w:rsidR="00C42954" w:rsidRDefault="00C42954" w:rsidP="00C42954">
      <w:pPr>
        <w:pStyle w:val="Heading3"/>
      </w:pPr>
      <w:r>
        <w:t>2NC---AT: State Bad</w:t>
      </w:r>
    </w:p>
    <w:p w14:paraId="0758AB07" w14:textId="77777777" w:rsidR="00C42954" w:rsidRDefault="00C42954" w:rsidP="00C42954">
      <w:pPr>
        <w:pStyle w:val="Heading4"/>
      </w:pPr>
      <w:r>
        <w:t>D</w:t>
      </w:r>
      <w:r w:rsidRPr="00542918">
        <w:t>emands</w:t>
      </w:r>
      <w:r>
        <w:t xml:space="preserve"> on the state directly </w:t>
      </w:r>
      <w:r w:rsidRPr="00DC6A16">
        <w:rPr>
          <w:u w:val="single"/>
        </w:rPr>
        <w:t>undermine</w:t>
      </w:r>
      <w:r>
        <w:t xml:space="preserve"> its legitimacy.</w:t>
      </w:r>
    </w:p>
    <w:p w14:paraId="6FA5EE9A" w14:textId="77777777" w:rsidR="00C42954" w:rsidRPr="00DC2638" w:rsidRDefault="00C42954" w:rsidP="00C42954">
      <w:r w:rsidRPr="00DC2638">
        <w:rPr>
          <w:rStyle w:val="Style13ptBold"/>
        </w:rPr>
        <w:t>Newman ’11</w:t>
      </w:r>
      <w:r>
        <w:t xml:space="preserve"> [Saul; 2011; PhD Professor of Political Theory at Goldsmith University, London; “The Politics of Postanarcism,” Pg. 114]</w:t>
      </w:r>
    </w:p>
    <w:p w14:paraId="4BBF7997" w14:textId="77777777" w:rsidR="00C42954" w:rsidRDefault="00C42954" w:rsidP="00C42954">
      <w:pPr>
        <w:rPr>
          <w:sz w:val="16"/>
        </w:rPr>
      </w:pPr>
      <w:r w:rsidRPr="003C35F2">
        <w:rPr>
          <w:u w:val="single"/>
        </w:rPr>
        <w:t xml:space="preserve">Despite the </w:t>
      </w:r>
      <w:r w:rsidRPr="003C35F2">
        <w:rPr>
          <w:sz w:val="16"/>
        </w:rPr>
        <w:t xml:space="preserve">obvious </w:t>
      </w:r>
      <w:r w:rsidRPr="003C35F2">
        <w:rPr>
          <w:u w:val="single"/>
        </w:rPr>
        <w:t>pitfalls of the Leninist vanguard strategy</w:t>
      </w:r>
      <w:r w:rsidRPr="003C35F2">
        <w:rPr>
          <w:sz w:val="16"/>
        </w:rPr>
        <w:t xml:space="preserve">, </w:t>
      </w:r>
      <w:r w:rsidRPr="003C35F2">
        <w:rPr>
          <w:u w:val="single"/>
        </w:rPr>
        <w:t>we should</w:t>
      </w:r>
      <w:r w:rsidRPr="003C35F2">
        <w:rPr>
          <w:sz w:val="16"/>
        </w:rPr>
        <w:t xml:space="preserve"> nevertheless </w:t>
      </w:r>
      <w:r w:rsidRPr="003C35F2">
        <w:rPr>
          <w:u w:val="single"/>
        </w:rPr>
        <w:t>take Zizek's challenge</w:t>
      </w:r>
      <w:r w:rsidRPr="003C35F2">
        <w:rPr>
          <w:sz w:val="16"/>
        </w:rPr>
        <w:t xml:space="preserve"> to Critchley </w:t>
      </w:r>
      <w:r w:rsidRPr="003C35F2">
        <w:rPr>
          <w:u w:val="single"/>
        </w:rPr>
        <w:t>seriously</w:t>
      </w:r>
      <w:r w:rsidRPr="003C35F2">
        <w:rPr>
          <w:sz w:val="16"/>
        </w:rPr>
        <w:t xml:space="preserve">: that, in other </w:t>
      </w:r>
      <w:r w:rsidRPr="003D7137">
        <w:rPr>
          <w:sz w:val="16"/>
        </w:rPr>
        <w:t xml:space="preserve">words, </w:t>
      </w:r>
      <w:r w:rsidRPr="003D7137">
        <w:rPr>
          <w:u w:val="single"/>
        </w:rPr>
        <w:t>the problem with the strategy</w:t>
      </w:r>
      <w:r w:rsidRPr="003C35F2">
        <w:rPr>
          <w:u w:val="single"/>
        </w:rPr>
        <w:t xml:space="preserve"> of </w:t>
      </w:r>
      <w:r w:rsidRPr="00B64CEC">
        <w:rPr>
          <w:highlight w:val="green"/>
          <w:u w:val="single"/>
        </w:rPr>
        <w:t>working outside the state is</w:t>
      </w:r>
      <w:r w:rsidRPr="003C35F2">
        <w:rPr>
          <w:u w:val="single"/>
        </w:rPr>
        <w:t xml:space="preserve"> that </w:t>
      </w:r>
      <w:r w:rsidRPr="00B64CEC">
        <w:rPr>
          <w:highlight w:val="green"/>
          <w:u w:val="single"/>
        </w:rPr>
        <w:t>it</w:t>
      </w:r>
      <w:r w:rsidRPr="003C35F2">
        <w:rPr>
          <w:u w:val="single"/>
        </w:rPr>
        <w:t xml:space="preserve"> </w:t>
      </w:r>
      <w:r w:rsidRPr="00DC2638">
        <w:rPr>
          <w:rStyle w:val="Emphasis"/>
        </w:rPr>
        <w:t xml:space="preserve">may essentially </w:t>
      </w:r>
      <w:r w:rsidRPr="00B64CEC">
        <w:rPr>
          <w:rStyle w:val="Emphasis"/>
          <w:highlight w:val="green"/>
        </w:rPr>
        <w:t>leave the state intact</w:t>
      </w:r>
      <w:r w:rsidRPr="003C35F2">
        <w:rPr>
          <w:sz w:val="16"/>
        </w:rPr>
        <w:t xml:space="preserve">, </w:t>
      </w:r>
      <w:r w:rsidRPr="003C35F2">
        <w:rPr>
          <w:u w:val="single"/>
        </w:rPr>
        <w:t xml:space="preserve">and </w:t>
      </w:r>
      <w:r w:rsidRPr="003D7137">
        <w:rPr>
          <w:u w:val="single"/>
        </w:rPr>
        <w:t xml:space="preserve">entail an irresponsible and even </w:t>
      </w:r>
      <w:r w:rsidRPr="003D7137">
        <w:rPr>
          <w:rStyle w:val="Emphasis"/>
        </w:rPr>
        <w:t>self-indulgent politics of demand</w:t>
      </w:r>
      <w:r w:rsidRPr="003D7137">
        <w:rPr>
          <w:sz w:val="16"/>
        </w:rPr>
        <w:t xml:space="preserve"> that hides a secret reliance on the state to take care of the everyday running of society. Is there some truth to this claim? There are two aspects that I would</w:t>
      </w:r>
      <w:r w:rsidRPr="003C35F2">
        <w:rPr>
          <w:sz w:val="16"/>
        </w:rPr>
        <w:t xml:space="preserve"> like to address here. </w:t>
      </w:r>
      <w:r w:rsidRPr="003C35F2">
        <w:rPr>
          <w:u w:val="single"/>
        </w:rPr>
        <w:t>First, the notion of demand:</w:t>
      </w:r>
      <w:r w:rsidRPr="003C35F2">
        <w:rPr>
          <w:sz w:val="16"/>
        </w:rPr>
        <w:t xml:space="preserve"> </w:t>
      </w:r>
      <w:r w:rsidRPr="00B64CEC">
        <w:rPr>
          <w:highlight w:val="green"/>
          <w:u w:val="single"/>
        </w:rPr>
        <w:t>making</w:t>
      </w:r>
      <w:r w:rsidRPr="003C35F2">
        <w:rPr>
          <w:u w:val="single"/>
        </w:rPr>
        <w:t xml:space="preserve"> certain </w:t>
      </w:r>
      <w:r w:rsidRPr="00B64CEC">
        <w:rPr>
          <w:highlight w:val="green"/>
          <w:u w:val="single"/>
        </w:rPr>
        <w:t>demands on the state</w:t>
      </w:r>
      <w:r w:rsidRPr="003C35F2">
        <w:rPr>
          <w:sz w:val="16"/>
        </w:rPr>
        <w:t xml:space="preserve"> - say for higher wages, equal rights for excluded groups, </w:t>
      </w:r>
      <w:r w:rsidRPr="00B64CEC">
        <w:rPr>
          <w:highlight w:val="green"/>
          <w:u w:val="single"/>
        </w:rPr>
        <w:t>to not go to war or</w:t>
      </w:r>
      <w:r w:rsidRPr="003C35F2">
        <w:rPr>
          <w:u w:val="single"/>
        </w:rPr>
        <w:t xml:space="preserve"> an </w:t>
      </w:r>
      <w:r w:rsidRPr="00B64CEC">
        <w:rPr>
          <w:rStyle w:val="Emphasis"/>
          <w:highlight w:val="green"/>
        </w:rPr>
        <w:t>end</w:t>
      </w:r>
      <w:r w:rsidRPr="003C35F2">
        <w:rPr>
          <w:rStyle w:val="Emphasis"/>
        </w:rPr>
        <w:t xml:space="preserve"> to draconian </w:t>
      </w:r>
      <w:r w:rsidRPr="00B64CEC">
        <w:rPr>
          <w:rStyle w:val="Emphasis"/>
          <w:highlight w:val="green"/>
        </w:rPr>
        <w:t>policing</w:t>
      </w:r>
      <w:r w:rsidRPr="003C35F2">
        <w:rPr>
          <w:u w:val="single"/>
        </w:rPr>
        <w:t xml:space="preserve"> </w:t>
      </w:r>
      <w:r w:rsidRPr="003C35F2">
        <w:rPr>
          <w:sz w:val="16"/>
        </w:rPr>
        <w:t xml:space="preserve">- </w:t>
      </w:r>
      <w:r w:rsidRPr="003C35F2">
        <w:rPr>
          <w:u w:val="single"/>
        </w:rPr>
        <w:t xml:space="preserve">is one of the </w:t>
      </w:r>
      <w:r w:rsidRPr="003D7137">
        <w:rPr>
          <w:rStyle w:val="Emphasis"/>
        </w:rPr>
        <w:t>basic</w:t>
      </w:r>
      <w:r w:rsidRPr="00DC2638">
        <w:rPr>
          <w:rStyle w:val="Emphasis"/>
        </w:rPr>
        <w:t xml:space="preserve"> strategies</w:t>
      </w:r>
      <w:r w:rsidRPr="003C35F2">
        <w:rPr>
          <w:u w:val="single"/>
        </w:rPr>
        <w:t xml:space="preserve"> of social movements and radical groups.</w:t>
      </w:r>
      <w:r w:rsidRPr="003C35F2">
        <w:rPr>
          <w:sz w:val="16"/>
        </w:rPr>
        <w:t xml:space="preserve"> </w:t>
      </w:r>
      <w:r w:rsidRPr="003D7137">
        <w:rPr>
          <w:u w:val="single"/>
        </w:rPr>
        <w:t xml:space="preserve">Making such demands </w:t>
      </w:r>
      <w:r w:rsidRPr="00B64CEC">
        <w:rPr>
          <w:rStyle w:val="Emphasis"/>
          <w:highlight w:val="green"/>
        </w:rPr>
        <w:t>does not</w:t>
      </w:r>
      <w:r w:rsidRPr="003C35F2">
        <w:rPr>
          <w:rStyle w:val="Emphasis"/>
        </w:rPr>
        <w:t xml:space="preserve"> necessarily </w:t>
      </w:r>
      <w:r w:rsidRPr="00B64CEC">
        <w:rPr>
          <w:rStyle w:val="Emphasis"/>
          <w:highlight w:val="green"/>
        </w:rPr>
        <w:t>mean</w:t>
      </w:r>
      <w:r w:rsidRPr="003C35F2">
        <w:rPr>
          <w:rStyle w:val="Emphasis"/>
        </w:rPr>
        <w:t xml:space="preserve"> working within the state</w:t>
      </w:r>
      <w:r w:rsidRPr="00DC2638">
        <w:rPr>
          <w:rStyle w:val="Emphasis"/>
        </w:rPr>
        <w:t xml:space="preserve"> or re</w:t>
      </w:r>
      <w:r w:rsidRPr="00B64CEC">
        <w:rPr>
          <w:rStyle w:val="Emphasis"/>
          <w:highlight w:val="green"/>
        </w:rPr>
        <w:t>affirming its legitimacy</w:t>
      </w:r>
      <w:r w:rsidRPr="00DC2638">
        <w:rPr>
          <w:rStyle w:val="Emphasis"/>
        </w:rPr>
        <w:t>.</w:t>
      </w:r>
      <w:r w:rsidRPr="003C35F2">
        <w:rPr>
          <w:sz w:val="16"/>
        </w:rPr>
        <w:t xml:space="preserve"> </w:t>
      </w:r>
      <w:r w:rsidRPr="003C35F2">
        <w:rPr>
          <w:u w:val="single"/>
        </w:rPr>
        <w:t xml:space="preserve">On the </w:t>
      </w:r>
      <w:r w:rsidRPr="003C35F2">
        <w:rPr>
          <w:rStyle w:val="Emphasis"/>
        </w:rPr>
        <w:t>contrary</w:t>
      </w:r>
      <w:r w:rsidRPr="003C35F2">
        <w:rPr>
          <w:sz w:val="16"/>
        </w:rPr>
        <w:t xml:space="preserve">, </w:t>
      </w:r>
      <w:r w:rsidRPr="00B64CEC">
        <w:rPr>
          <w:highlight w:val="green"/>
          <w:u w:val="single"/>
        </w:rPr>
        <w:t>demands</w:t>
      </w:r>
      <w:r w:rsidRPr="003D7137">
        <w:rPr>
          <w:u w:val="single"/>
        </w:rPr>
        <w:t xml:space="preserve"> are made from a position </w:t>
      </w:r>
      <w:r w:rsidRPr="003D7137">
        <w:rPr>
          <w:rStyle w:val="Emphasis"/>
        </w:rPr>
        <w:t>outside the established political order</w:t>
      </w:r>
      <w:r w:rsidRPr="003D7137">
        <w:rPr>
          <w:b/>
          <w:sz w:val="16"/>
        </w:rPr>
        <w:t>,</w:t>
      </w:r>
      <w:r w:rsidRPr="003C35F2">
        <w:rPr>
          <w:sz w:val="16"/>
        </w:rPr>
        <w:t xml:space="preserve"> </w:t>
      </w:r>
      <w:r w:rsidRPr="003C35F2">
        <w:rPr>
          <w:u w:val="single"/>
        </w:rPr>
        <w:t xml:space="preserve">and they often </w:t>
      </w:r>
      <w:r w:rsidRPr="00DC2638">
        <w:rPr>
          <w:rStyle w:val="Emphasis"/>
        </w:rPr>
        <w:t>exceed the question of the implementation</w:t>
      </w:r>
      <w:r w:rsidRPr="003C35F2">
        <w:rPr>
          <w:sz w:val="16"/>
        </w:rPr>
        <w:t xml:space="preserve"> of this or that specific measure. </w:t>
      </w:r>
      <w:r w:rsidRPr="003D7137">
        <w:rPr>
          <w:u w:val="single"/>
        </w:rPr>
        <w:t xml:space="preserve">They </w:t>
      </w:r>
      <w:r w:rsidRPr="00B64CEC">
        <w:rPr>
          <w:highlight w:val="green"/>
          <w:u w:val="single"/>
        </w:rPr>
        <w:t xml:space="preserve">implicitly </w:t>
      </w:r>
      <w:r w:rsidRPr="00B64CEC">
        <w:rPr>
          <w:rStyle w:val="Emphasis"/>
          <w:highlight w:val="green"/>
        </w:rPr>
        <w:t>call into question the legitimacy</w:t>
      </w:r>
      <w:r w:rsidRPr="003C35F2">
        <w:rPr>
          <w:u w:val="single"/>
        </w:rPr>
        <w:t xml:space="preserve"> and even the sovereignty of the state</w:t>
      </w:r>
      <w:r w:rsidRPr="003C35F2">
        <w:rPr>
          <w:sz w:val="16"/>
        </w:rPr>
        <w:t xml:space="preserve"> </w:t>
      </w:r>
      <w:r w:rsidRPr="003C35F2">
        <w:rPr>
          <w:u w:val="single"/>
        </w:rPr>
        <w:t>by highlighting fundamental inconsistencies between</w:t>
      </w:r>
      <w:r w:rsidRPr="003C35F2">
        <w:rPr>
          <w:sz w:val="16"/>
        </w:rPr>
        <w:t xml:space="preserve">, for instance, </w:t>
      </w:r>
      <w:r w:rsidRPr="003C35F2">
        <w:rPr>
          <w:u w:val="single"/>
        </w:rPr>
        <w:t>a formal constitutional order that guarantees certain rights and equalities, and state practices that</w:t>
      </w:r>
      <w:r w:rsidRPr="003C35F2">
        <w:rPr>
          <w:sz w:val="16"/>
        </w:rPr>
        <w:t xml:space="preserve"> in reality violate and </w:t>
      </w:r>
      <w:r w:rsidRPr="003C35F2">
        <w:rPr>
          <w:u w:val="single"/>
        </w:rPr>
        <w:t>deny them</w:t>
      </w:r>
      <w:r w:rsidRPr="003C35F2">
        <w:rPr>
          <w:sz w:val="16"/>
        </w:rPr>
        <w:t xml:space="preserve">. Jacques </w:t>
      </w:r>
      <w:r w:rsidRPr="003C35F2">
        <w:rPr>
          <w:u w:val="single"/>
        </w:rPr>
        <w:t>Ranciere gives a succinct example</w:t>
      </w:r>
      <w:r w:rsidRPr="003C35F2">
        <w:rPr>
          <w:sz w:val="16"/>
        </w:rPr>
        <w:t xml:space="preserve"> of this when he discusses </w:t>
      </w:r>
      <w:r w:rsidRPr="003C35F2">
        <w:rPr>
          <w:u w:val="single"/>
        </w:rPr>
        <w:t>Olympe de Gouges, who, at the time of the French Revolution, demanded that women be given the right to go to the Assembly</w:t>
      </w:r>
      <w:r w:rsidRPr="003C35F2">
        <w:rPr>
          <w:sz w:val="16"/>
        </w:rPr>
        <w:t xml:space="preserve">. In doing so, </w:t>
      </w:r>
      <w:r w:rsidRPr="003C35F2">
        <w:rPr>
          <w:u w:val="single"/>
        </w:rPr>
        <w:t>she demonstrated the inconsistency between the promise of equalit</w:t>
      </w:r>
      <w:r w:rsidRPr="003C35F2">
        <w:rPr>
          <w:sz w:val="16"/>
        </w:rPr>
        <w:t xml:space="preserve">y - invoked in a general sense and yet denied in the particular by the Declaration of the Rights of Man and the Citizen - </w:t>
      </w:r>
      <w:r w:rsidRPr="003C35F2">
        <w:rPr>
          <w:u w:val="single"/>
        </w:rPr>
        <w:t xml:space="preserve">and the political order which was formally based on this: </w:t>
      </w:r>
      <w:r w:rsidRPr="003C35F2">
        <w:rPr>
          <w:sz w:val="16"/>
        </w:rPr>
        <w:t xml:space="preserve">Women could make a twofold demonstration. They could demonstrate that they were deprived of the rights that they had, thanks to the Declaration of Rights. And they could demonstrate, through their public action, that they had the rights that the constitution denied to them, that they could enact those rights. So they could act as subjects of the Rights of Man in the precise sense that 1 have mentioned. </w:t>
      </w:r>
      <w:r w:rsidRPr="003C35F2">
        <w:rPr>
          <w:u w:val="single"/>
        </w:rPr>
        <w:t>They acted as subjects that did not have the rights that they had and had the rights that they had not</w:t>
      </w:r>
      <w:r w:rsidRPr="003C35F2">
        <w:rPr>
          <w:sz w:val="16"/>
        </w:rPr>
        <w:t>.21</w:t>
      </w:r>
    </w:p>
    <w:p w14:paraId="740F3B09" w14:textId="77777777" w:rsidR="00C42954" w:rsidRDefault="00C42954" w:rsidP="00C42954"/>
    <w:p w14:paraId="01219894" w14:textId="3728CBD2" w:rsidR="00C42954" w:rsidRPr="00C42954" w:rsidRDefault="00C42954" w:rsidP="00C42954">
      <w:pPr>
        <w:pStyle w:val="Heading3"/>
      </w:pPr>
      <w:r>
        <w:t>2NC---TVA</w:t>
      </w:r>
    </w:p>
    <w:p w14:paraId="44B1A469" w14:textId="77777777" w:rsidR="00C42954" w:rsidRDefault="00C42954" w:rsidP="00C42954">
      <w:pPr>
        <w:pStyle w:val="Heading4"/>
      </w:pPr>
      <w:r>
        <w:t xml:space="preserve">The TVA creates debates that center how we ought to </w:t>
      </w:r>
      <w:r w:rsidRPr="00B9687F">
        <w:rPr>
          <w:u w:val="single"/>
        </w:rPr>
        <w:t>punish employers</w:t>
      </w:r>
      <w:r>
        <w:t xml:space="preserve"> for </w:t>
      </w:r>
      <w:r w:rsidRPr="00B9687F">
        <w:rPr>
          <w:u w:val="single"/>
        </w:rPr>
        <w:t>wage theft</w:t>
      </w:r>
      <w:r>
        <w:t xml:space="preserve">, </w:t>
      </w:r>
      <w:r w:rsidRPr="00B9687F">
        <w:rPr>
          <w:u w:val="single"/>
        </w:rPr>
        <w:t>workplace fatalities</w:t>
      </w:r>
      <w:r>
        <w:t xml:space="preserve">, and </w:t>
      </w:r>
      <w:r w:rsidRPr="00B9687F">
        <w:rPr>
          <w:u w:val="single"/>
        </w:rPr>
        <w:t>exploitation</w:t>
      </w:r>
      <w:r>
        <w:t xml:space="preserve">. That’s sufficient to </w:t>
      </w:r>
      <w:r w:rsidRPr="00B9687F">
        <w:rPr>
          <w:u w:val="single"/>
        </w:rPr>
        <w:t>produce discussions</w:t>
      </w:r>
      <w:r>
        <w:t xml:space="preserve"> about the role that </w:t>
      </w:r>
      <w:r w:rsidRPr="00B9687F">
        <w:rPr>
          <w:u w:val="single"/>
        </w:rPr>
        <w:t>revolutionary action</w:t>
      </w:r>
      <w:r>
        <w:t xml:space="preserve"> through </w:t>
      </w:r>
      <w:r w:rsidRPr="00B9687F">
        <w:rPr>
          <w:u w:val="single"/>
        </w:rPr>
        <w:t>1AC scholarship</w:t>
      </w:r>
      <w:r>
        <w:t xml:space="preserve"> can play in </w:t>
      </w:r>
      <w:r w:rsidRPr="00B9687F">
        <w:rPr>
          <w:u w:val="single"/>
        </w:rPr>
        <w:t>achieving those goals</w:t>
      </w:r>
      <w:r>
        <w:t xml:space="preserve">. </w:t>
      </w:r>
    </w:p>
    <w:p w14:paraId="6DFD3B84" w14:textId="77777777" w:rsidR="00C42954" w:rsidRPr="002A2760" w:rsidRDefault="00C42954" w:rsidP="00C42954">
      <w:r w:rsidRPr="002A2760">
        <w:t>**NOTE: mention of sexual harassment and assault</w:t>
      </w:r>
    </w:p>
    <w:p w14:paraId="26E11BF5" w14:textId="77777777" w:rsidR="00C42954" w:rsidRPr="002A2760" w:rsidRDefault="00C42954" w:rsidP="00C42954">
      <w:r w:rsidRPr="002A2760">
        <w:rPr>
          <w:rStyle w:val="Style13ptBold"/>
        </w:rPr>
        <w:t>Gerstein 21</w:t>
      </w:r>
      <w:r w:rsidRPr="002A2760">
        <w:t xml:space="preserve"> [Terri Gerstein, Director of Labor Initiative at NYU Robert F. Wagner Graduate School of Public Service</w:t>
      </w:r>
      <w:r>
        <w:t xml:space="preserve">, </w:t>
      </w:r>
      <w:r w:rsidRPr="002A2760">
        <w:t>previously founded and led the State and Local Enforcement Project at the Harvard Center for Labor and a Just Economy</w:t>
      </w:r>
      <w:r>
        <w:t>. b</w:t>
      </w:r>
      <w:r w:rsidRPr="002A2760">
        <w:t>efore that</w:t>
      </w:r>
      <w:r>
        <w:t xml:space="preserve"> </w:t>
      </w:r>
      <w:r w:rsidRPr="002A2760">
        <w:t>the Labor Bureau Chief in the New York State Attorney General’s Office and a deputy commissioner in the New York State Department of Labor, “How district attorneys and state attorneys general are fighting workplace abuses,” 5-17-2021, https://www.epi.org/publication/fighting-workplace-abuses-criminal-prosecutions-of-wage-theft-and-other-employer-crimes-against-workers/]</w:t>
      </w:r>
    </w:p>
    <w:p w14:paraId="24FA5A26" w14:textId="77777777" w:rsidR="00C42954" w:rsidRPr="002A2760" w:rsidRDefault="00C42954" w:rsidP="00C42954">
      <w:pPr>
        <w:rPr>
          <w:sz w:val="16"/>
        </w:rPr>
      </w:pPr>
      <w:r w:rsidRPr="002A2760">
        <w:rPr>
          <w:sz w:val="16"/>
        </w:rPr>
        <w:t>Introduction: Prosecutors are increasingly pursuing employer crimes against workers</w:t>
      </w:r>
    </w:p>
    <w:p w14:paraId="33613CF8" w14:textId="77777777" w:rsidR="00C42954" w:rsidRPr="002A2760" w:rsidRDefault="00C42954" w:rsidP="00C42954">
      <w:pPr>
        <w:rPr>
          <w:sz w:val="16"/>
        </w:rPr>
      </w:pPr>
      <w:r w:rsidRPr="004015B3">
        <w:rPr>
          <w:rStyle w:val="Emphasis"/>
        </w:rPr>
        <w:t>Increasingly</w:t>
      </w:r>
      <w:r w:rsidRPr="002A2760">
        <w:rPr>
          <w:sz w:val="16"/>
        </w:rPr>
        <w:t xml:space="preserve">, district attorneys (DAs), state attorneys general (AGs), and other </w:t>
      </w:r>
      <w:r w:rsidRPr="002A2760">
        <w:rPr>
          <w:rStyle w:val="StyleUnderline"/>
        </w:rPr>
        <w:t xml:space="preserve">criminal </w:t>
      </w:r>
      <w:r w:rsidRPr="002A2760">
        <w:rPr>
          <w:rStyle w:val="StyleUnderline"/>
          <w:highlight w:val="green"/>
        </w:rPr>
        <w:t>prosecutors</w:t>
      </w:r>
      <w:r w:rsidRPr="002A2760">
        <w:rPr>
          <w:sz w:val="16"/>
        </w:rPr>
        <w:t xml:space="preserve">1 </w:t>
      </w:r>
      <w:r w:rsidRPr="00B9687F">
        <w:rPr>
          <w:rStyle w:val="StyleUnderline"/>
        </w:rPr>
        <w:t xml:space="preserve">are </w:t>
      </w:r>
      <w:r w:rsidRPr="002A2760">
        <w:rPr>
          <w:rStyle w:val="Emphasis"/>
          <w:highlight w:val="green"/>
        </w:rPr>
        <w:t>bringing charges</w:t>
      </w:r>
      <w:r w:rsidRPr="002A2760">
        <w:rPr>
          <w:rStyle w:val="StyleUnderline"/>
          <w:highlight w:val="green"/>
        </w:rPr>
        <w:t xml:space="preserve"> against </w:t>
      </w:r>
      <w:r w:rsidRPr="002A2760">
        <w:rPr>
          <w:rStyle w:val="Emphasis"/>
          <w:highlight w:val="green"/>
        </w:rPr>
        <w:t>employers</w:t>
      </w:r>
      <w:r w:rsidRPr="002A2760">
        <w:rPr>
          <w:rStyle w:val="StyleUnderline"/>
          <w:highlight w:val="green"/>
        </w:rPr>
        <w:t xml:space="preserve"> for</w:t>
      </w:r>
      <w:r w:rsidRPr="004015B3">
        <w:rPr>
          <w:rStyle w:val="StyleUnderline"/>
        </w:rPr>
        <w:t xml:space="preserve"> wage theft</w:t>
      </w:r>
      <w:r w:rsidRPr="004015B3">
        <w:rPr>
          <w:sz w:val="16"/>
        </w:rPr>
        <w:t xml:space="preserve">,2 </w:t>
      </w:r>
      <w:r w:rsidRPr="004015B3">
        <w:rPr>
          <w:rStyle w:val="StyleUnderline"/>
        </w:rPr>
        <w:t>misclassification and payroll fraud</w:t>
      </w:r>
      <w:r w:rsidRPr="004015B3">
        <w:rPr>
          <w:sz w:val="16"/>
        </w:rPr>
        <w:t xml:space="preserve">,3 </w:t>
      </w:r>
      <w:r w:rsidRPr="004015B3">
        <w:rPr>
          <w:rStyle w:val="StyleUnderline"/>
        </w:rPr>
        <w:t xml:space="preserve">workplace safety hazards, sexual assault, and human trafficking, among other </w:t>
      </w:r>
      <w:r w:rsidRPr="002A2760">
        <w:rPr>
          <w:rStyle w:val="Emphasis"/>
          <w:highlight w:val="green"/>
        </w:rPr>
        <w:t>crimes against workers</w:t>
      </w:r>
      <w:r w:rsidRPr="002A2760">
        <w:rPr>
          <w:sz w:val="16"/>
        </w:rPr>
        <w:t xml:space="preserve">. </w:t>
      </w:r>
      <w:r w:rsidRPr="002A2760">
        <w:rPr>
          <w:rStyle w:val="StyleUnderline"/>
        </w:rPr>
        <w:t xml:space="preserve">This development </w:t>
      </w:r>
      <w:r w:rsidRPr="00B9687F">
        <w:rPr>
          <w:rStyle w:val="StyleUnderline"/>
        </w:rPr>
        <w:t xml:space="preserve">represents a </w:t>
      </w:r>
      <w:r w:rsidRPr="00B9687F">
        <w:rPr>
          <w:rStyle w:val="Emphasis"/>
        </w:rPr>
        <w:t>shift</w:t>
      </w:r>
      <w:r w:rsidRPr="002A2760">
        <w:rPr>
          <w:sz w:val="16"/>
        </w:rPr>
        <w:t xml:space="preserve">, because historically, crimes against workers have not generally been prosecuted. </w:t>
      </w:r>
      <w:r w:rsidRPr="002A2760">
        <w:rPr>
          <w:rStyle w:val="StyleUnderline"/>
        </w:rPr>
        <w:t>More often, the criminal justice system has intervened to protect employers; for example, a worker stealing from an employer would likely face charges, while an employer committing wage theft likely would not</w:t>
      </w:r>
      <w:r w:rsidRPr="002A2760">
        <w:rPr>
          <w:sz w:val="16"/>
        </w:rPr>
        <w:t xml:space="preserve">. Yet state and local </w:t>
      </w:r>
      <w:r w:rsidRPr="00B9687F">
        <w:rPr>
          <w:rStyle w:val="Emphasis"/>
        </w:rPr>
        <w:t>prosecutors</w:t>
      </w:r>
      <w:r w:rsidRPr="00B9687F">
        <w:rPr>
          <w:rStyle w:val="StyleUnderline"/>
        </w:rPr>
        <w:t xml:space="preserve"> have </w:t>
      </w:r>
      <w:r w:rsidRPr="00B9687F">
        <w:rPr>
          <w:rStyle w:val="Emphasis"/>
        </w:rPr>
        <w:t>unique tools</w:t>
      </w:r>
      <w:r w:rsidRPr="00B9687F">
        <w:rPr>
          <w:rStyle w:val="StyleUnderline"/>
        </w:rPr>
        <w:t xml:space="preserve"> and an </w:t>
      </w:r>
      <w:r w:rsidRPr="00B9687F">
        <w:rPr>
          <w:rStyle w:val="Emphasis"/>
        </w:rPr>
        <w:t>important role</w:t>
      </w:r>
      <w:r w:rsidRPr="002A2760">
        <w:rPr>
          <w:rStyle w:val="StyleUnderline"/>
        </w:rPr>
        <w:t xml:space="preserve"> to play in protecting workers</w:t>
      </w:r>
      <w:r w:rsidRPr="002A2760">
        <w:rPr>
          <w:sz w:val="16"/>
        </w:rPr>
        <w:t xml:space="preserve">. </w:t>
      </w:r>
      <w:r w:rsidRPr="002A2760">
        <w:rPr>
          <w:rStyle w:val="StyleUnderline"/>
        </w:rPr>
        <w:t xml:space="preserve">Many are taking on this function as an </w:t>
      </w:r>
      <w:r w:rsidRPr="002A2760">
        <w:rPr>
          <w:rStyle w:val="Emphasis"/>
        </w:rPr>
        <w:t>enforcement priority</w:t>
      </w:r>
      <w:r w:rsidRPr="002A2760">
        <w:rPr>
          <w:rStyle w:val="StyleUnderline"/>
        </w:rPr>
        <w:t xml:space="preserve">, and </w:t>
      </w:r>
      <w:r w:rsidRPr="004015B3">
        <w:rPr>
          <w:rStyle w:val="Emphasis"/>
        </w:rPr>
        <w:t>more</w:t>
      </w:r>
      <w:r w:rsidRPr="004015B3">
        <w:rPr>
          <w:rStyle w:val="StyleUnderline"/>
        </w:rPr>
        <w:t xml:space="preserve"> should </w:t>
      </w:r>
      <w:r w:rsidRPr="004015B3">
        <w:rPr>
          <w:rStyle w:val="Emphasis"/>
        </w:rPr>
        <w:t>get involved</w:t>
      </w:r>
      <w:r w:rsidRPr="004015B3">
        <w:rPr>
          <w:rStyle w:val="StyleUnderline"/>
        </w:rPr>
        <w:t xml:space="preserve"> in t</w:t>
      </w:r>
      <w:r w:rsidRPr="002A2760">
        <w:rPr>
          <w:rStyle w:val="StyleUnderline"/>
        </w:rPr>
        <w:t>his area</w:t>
      </w:r>
      <w:r w:rsidRPr="002A2760">
        <w:rPr>
          <w:sz w:val="16"/>
        </w:rPr>
        <w:t>.</w:t>
      </w:r>
    </w:p>
    <w:p w14:paraId="346CD5C7" w14:textId="77777777" w:rsidR="00C42954" w:rsidRPr="002A2760" w:rsidRDefault="00C42954" w:rsidP="00C42954">
      <w:pPr>
        <w:rPr>
          <w:sz w:val="16"/>
        </w:rPr>
      </w:pPr>
      <w:r w:rsidRPr="002A2760">
        <w:rPr>
          <w:sz w:val="16"/>
        </w:rPr>
        <w:t>This is a joint project with the Labor and Worklife Program at the Harvard Law School.</w:t>
      </w:r>
    </w:p>
    <w:p w14:paraId="4E520B68" w14:textId="77777777" w:rsidR="00C42954" w:rsidRPr="002A2760" w:rsidRDefault="00C42954" w:rsidP="00C42954">
      <w:pPr>
        <w:rPr>
          <w:sz w:val="16"/>
        </w:rPr>
      </w:pPr>
      <w:r w:rsidRPr="002A2760">
        <w:rPr>
          <w:rStyle w:val="StyleUnderline"/>
        </w:rPr>
        <w:t xml:space="preserve">The involvement of prosecutors is </w:t>
      </w:r>
      <w:r w:rsidRPr="002A2760">
        <w:rPr>
          <w:rStyle w:val="Emphasis"/>
        </w:rPr>
        <w:t>timely</w:t>
      </w:r>
      <w:r w:rsidRPr="002A2760">
        <w:rPr>
          <w:rStyle w:val="StyleUnderline"/>
        </w:rPr>
        <w:t xml:space="preserve"> and </w:t>
      </w:r>
      <w:r w:rsidRPr="002A2760">
        <w:rPr>
          <w:rStyle w:val="StyleUnderline"/>
          <w:highlight w:val="green"/>
        </w:rPr>
        <w:t>has</w:t>
      </w:r>
      <w:r w:rsidRPr="002A2760">
        <w:rPr>
          <w:rStyle w:val="StyleUnderline"/>
        </w:rPr>
        <w:t xml:space="preserve"> the potential for </w:t>
      </w:r>
      <w:r w:rsidRPr="002A2760">
        <w:rPr>
          <w:rStyle w:val="Emphasis"/>
          <w:highlight w:val="green"/>
        </w:rPr>
        <w:t>significant impact</w:t>
      </w:r>
      <w:r w:rsidRPr="002A2760">
        <w:rPr>
          <w:sz w:val="16"/>
        </w:rPr>
        <w:t>. As explained in this report, violations of workplace laws are widespread; state and federal labor agencies face serious limitations from a lack of resources, limited authority, and more; and private lawyers are often blocked from bringing cases because workers have been forced to sign arbitration provisions waiving their right to sue in court.</w:t>
      </w:r>
    </w:p>
    <w:p w14:paraId="3C8C8600" w14:textId="77777777" w:rsidR="00C42954" w:rsidRPr="002A2760" w:rsidRDefault="00C42954" w:rsidP="00C42954">
      <w:pPr>
        <w:rPr>
          <w:sz w:val="16"/>
        </w:rPr>
      </w:pPr>
      <w:r w:rsidRPr="002A2760">
        <w:rPr>
          <w:sz w:val="16"/>
        </w:rPr>
        <w:t>To familiarize prosecutors and worker advocates with this important work, this report provides:</w:t>
      </w:r>
    </w:p>
    <w:p w14:paraId="75FD7315" w14:textId="77777777" w:rsidR="00C42954" w:rsidRPr="002A2760" w:rsidRDefault="00C42954" w:rsidP="00C42954">
      <w:pPr>
        <w:rPr>
          <w:sz w:val="16"/>
        </w:rPr>
      </w:pPr>
      <w:r w:rsidRPr="002A2760">
        <w:rPr>
          <w:sz w:val="16"/>
        </w:rPr>
        <w:t>• background on the increased involvement of criminal prosecutors in workers’ rights enforcement, the context in which such activity occurs, and a discussion of the rationale for such prosecutions</w:t>
      </w:r>
    </w:p>
    <w:p w14:paraId="1734D89A" w14:textId="77777777" w:rsidR="00C42954" w:rsidRPr="002A2760" w:rsidRDefault="00C42954" w:rsidP="00C42954">
      <w:pPr>
        <w:rPr>
          <w:sz w:val="16"/>
        </w:rPr>
      </w:pPr>
      <w:r w:rsidRPr="002A2760">
        <w:rPr>
          <w:sz w:val="16"/>
        </w:rPr>
        <w:t>• descriptions and examples of the types of cases that have been brought</w:t>
      </w:r>
    </w:p>
    <w:p w14:paraId="61665C0B" w14:textId="77777777" w:rsidR="00C42954" w:rsidRPr="002A2760" w:rsidRDefault="00C42954" w:rsidP="00C42954">
      <w:pPr>
        <w:rPr>
          <w:sz w:val="16"/>
        </w:rPr>
      </w:pPr>
      <w:r w:rsidRPr="002A2760">
        <w:rPr>
          <w:sz w:val="16"/>
        </w:rPr>
        <w:t>• discussions of several considerations related to such cases, including applicable statutes, sources of case referrals, criminal justice concerns, and funding sources</w:t>
      </w:r>
    </w:p>
    <w:p w14:paraId="2EE5F281" w14:textId="77777777" w:rsidR="00C42954" w:rsidRPr="002A2760" w:rsidRDefault="00C42954" w:rsidP="00C42954">
      <w:pPr>
        <w:rPr>
          <w:sz w:val="16"/>
        </w:rPr>
      </w:pPr>
      <w:r w:rsidRPr="002A2760">
        <w:rPr>
          <w:sz w:val="16"/>
        </w:rPr>
        <w:t>• appendices that include sample pleadings from recent cases, compilations of case reports, more detailed information about two state funding mechanisms, and tips for prosecutors and worker advocates on getting started in this work</w:t>
      </w:r>
    </w:p>
    <w:p w14:paraId="469516E7" w14:textId="77777777" w:rsidR="00C42954" w:rsidRPr="002A2760" w:rsidRDefault="00C42954" w:rsidP="00C42954">
      <w:pPr>
        <w:rPr>
          <w:sz w:val="16"/>
        </w:rPr>
      </w:pPr>
      <w:r w:rsidRPr="002A2760">
        <w:rPr>
          <w:sz w:val="16"/>
        </w:rPr>
        <w:t xml:space="preserve">Background: </w:t>
      </w:r>
      <w:r w:rsidRPr="002A2760">
        <w:rPr>
          <w:rStyle w:val="StyleUnderline"/>
        </w:rPr>
        <w:t xml:space="preserve">The growing involvement of prosecutors in addressing employer misconduct emerges in the context of </w:t>
      </w:r>
      <w:r w:rsidRPr="002A2760">
        <w:rPr>
          <w:rStyle w:val="Emphasis"/>
        </w:rPr>
        <w:t>widespread violations</w:t>
      </w:r>
      <w:r w:rsidRPr="002A2760">
        <w:rPr>
          <w:rStyle w:val="StyleUnderline"/>
        </w:rPr>
        <w:t xml:space="preserve"> of workers’ rights</w:t>
      </w:r>
      <w:r w:rsidRPr="002A2760">
        <w:rPr>
          <w:sz w:val="16"/>
        </w:rPr>
        <w:t xml:space="preserve"> and fits squarely within a prosecutor’s function</w:t>
      </w:r>
    </w:p>
    <w:p w14:paraId="609C862A" w14:textId="77777777" w:rsidR="00C42954" w:rsidRPr="002A2760" w:rsidRDefault="00C42954" w:rsidP="00C42954">
      <w:pPr>
        <w:rPr>
          <w:sz w:val="16"/>
        </w:rPr>
      </w:pPr>
      <w:r w:rsidRPr="002A2760">
        <w:rPr>
          <w:rStyle w:val="StyleUnderline"/>
        </w:rPr>
        <w:t>Increased involvement of prosecutors in workers’ rights violations has taken form in several ways</w:t>
      </w:r>
      <w:r w:rsidRPr="002A2760">
        <w:rPr>
          <w:sz w:val="16"/>
        </w:rPr>
        <w:t xml:space="preserve">. </w:t>
      </w:r>
      <w:r w:rsidRPr="002A2760">
        <w:rPr>
          <w:rStyle w:val="StyleUnderline"/>
        </w:rPr>
        <w:t>Offices have brought various types of cases</w:t>
      </w:r>
      <w:r w:rsidRPr="002A2760">
        <w:rPr>
          <w:sz w:val="16"/>
        </w:rPr>
        <w:t xml:space="preserve">. Some offices have created dedicated units or subunits to do this work, while others have handled individual cases as they have arisen. </w:t>
      </w:r>
      <w:r w:rsidRPr="002A2760">
        <w:rPr>
          <w:rStyle w:val="StyleUnderline"/>
        </w:rPr>
        <w:t>Increased prosecutor activity has emerged within a landscape in which violations of workers’ rights are widespread and avenues for redress are inadequate</w:t>
      </w:r>
      <w:r w:rsidRPr="002A2760">
        <w:rPr>
          <w:sz w:val="16"/>
        </w:rPr>
        <w:t xml:space="preserve">. In this context, </w:t>
      </w:r>
      <w:r w:rsidRPr="002A2760">
        <w:rPr>
          <w:rStyle w:val="StyleUnderline"/>
        </w:rPr>
        <w:t>there are numerous reasons for prosecutors to actively pursue employer crimes against workers</w:t>
      </w:r>
      <w:r w:rsidRPr="002A2760">
        <w:rPr>
          <w:sz w:val="16"/>
        </w:rPr>
        <w:t>.</w:t>
      </w:r>
    </w:p>
    <w:p w14:paraId="6FD3E8D3" w14:textId="77777777" w:rsidR="00C42954" w:rsidRPr="002A2760" w:rsidRDefault="00C42954" w:rsidP="00C42954">
      <w:pPr>
        <w:rPr>
          <w:sz w:val="16"/>
        </w:rPr>
      </w:pPr>
      <w:r w:rsidRPr="002A2760">
        <w:rPr>
          <w:sz w:val="16"/>
        </w:rPr>
        <w:t>Criminal prosecutors across the country are addressing a wide range of employer crimes against workers</w:t>
      </w:r>
    </w:p>
    <w:p w14:paraId="2F97D240" w14:textId="77777777" w:rsidR="00C42954" w:rsidRPr="002A2760" w:rsidRDefault="00C42954" w:rsidP="00C42954">
      <w:pPr>
        <w:rPr>
          <w:sz w:val="16"/>
        </w:rPr>
      </w:pPr>
      <w:r w:rsidRPr="002A2760">
        <w:rPr>
          <w:rStyle w:val="StyleUnderline"/>
        </w:rPr>
        <w:t xml:space="preserve">A set of federal and state </w:t>
      </w:r>
      <w:r w:rsidRPr="002A2760">
        <w:rPr>
          <w:rStyle w:val="StyleUnderline"/>
          <w:highlight w:val="green"/>
        </w:rPr>
        <w:t>laws extend</w:t>
      </w:r>
      <w:r w:rsidRPr="002A2760">
        <w:rPr>
          <w:rStyle w:val="StyleUnderline"/>
        </w:rPr>
        <w:t xml:space="preserve"> to most employees in the United States a bundle of </w:t>
      </w:r>
      <w:r w:rsidRPr="002A2760">
        <w:rPr>
          <w:rStyle w:val="StyleUnderline"/>
          <w:highlight w:val="green"/>
        </w:rPr>
        <w:t xml:space="preserve">protections covering </w:t>
      </w:r>
      <w:r w:rsidRPr="002A2760">
        <w:rPr>
          <w:rStyle w:val="Emphasis"/>
          <w:highlight w:val="green"/>
        </w:rPr>
        <w:t>wages</w:t>
      </w:r>
      <w:r w:rsidRPr="002A2760">
        <w:rPr>
          <w:rStyle w:val="StyleUnderline"/>
        </w:rPr>
        <w:t xml:space="preserve"> paid and hours worked</w:t>
      </w:r>
      <w:r w:rsidRPr="002A2760">
        <w:rPr>
          <w:sz w:val="16"/>
        </w:rPr>
        <w:t xml:space="preserve"> (wage and hour laws), </w:t>
      </w:r>
      <w:r w:rsidRPr="002A2760">
        <w:rPr>
          <w:rStyle w:val="Emphasis"/>
          <w:highlight w:val="green"/>
        </w:rPr>
        <w:t>safety hazards</w:t>
      </w:r>
      <w:r w:rsidRPr="002A2760">
        <w:rPr>
          <w:rStyle w:val="StyleUnderline"/>
        </w:rPr>
        <w:t xml:space="preserve"> in the workplace</w:t>
      </w:r>
      <w:r w:rsidRPr="002A2760">
        <w:rPr>
          <w:sz w:val="16"/>
        </w:rPr>
        <w:t xml:space="preserve"> (safety and h</w:t>
      </w:r>
      <w:r w:rsidRPr="004015B3">
        <w:rPr>
          <w:sz w:val="16"/>
        </w:rPr>
        <w:t>eal</w:t>
      </w:r>
      <w:r w:rsidRPr="002A2760">
        <w:rPr>
          <w:sz w:val="16"/>
        </w:rPr>
        <w:t xml:space="preserve">th laws), </w:t>
      </w:r>
      <w:r w:rsidRPr="002A2760">
        <w:rPr>
          <w:rStyle w:val="Emphasis"/>
          <w:highlight w:val="green"/>
        </w:rPr>
        <w:t>economic security</w:t>
      </w:r>
      <w:r w:rsidRPr="002A2760">
        <w:rPr>
          <w:rStyle w:val="StyleUnderline"/>
        </w:rPr>
        <w:t xml:space="preserve"> in the event of injury or unemployment </w:t>
      </w:r>
      <w:r w:rsidRPr="002A2760">
        <w:rPr>
          <w:sz w:val="16"/>
        </w:rPr>
        <w:t xml:space="preserve">(workers’ compensation and unemployment insurance laws), </w:t>
      </w:r>
      <w:r w:rsidRPr="002A2760">
        <w:rPr>
          <w:rStyle w:val="Emphasis"/>
          <w:highlight w:val="green"/>
        </w:rPr>
        <w:t>discrimination</w:t>
      </w:r>
      <w:r w:rsidRPr="002A2760">
        <w:rPr>
          <w:rStyle w:val="StyleUnderline"/>
          <w:highlight w:val="green"/>
        </w:rPr>
        <w:t xml:space="preserve"> and </w:t>
      </w:r>
      <w:r w:rsidRPr="002A2760">
        <w:rPr>
          <w:rStyle w:val="Emphasis"/>
          <w:highlight w:val="green"/>
        </w:rPr>
        <w:t>harassment</w:t>
      </w:r>
      <w:r w:rsidRPr="002A2760">
        <w:rPr>
          <w:sz w:val="16"/>
        </w:rPr>
        <w:t xml:space="preserve"> (equal opportunity laws), and other workplace conditions. In recent years, </w:t>
      </w:r>
      <w:r w:rsidRPr="002A2760">
        <w:rPr>
          <w:rStyle w:val="StyleUnderline"/>
        </w:rPr>
        <w:t>a powerful new enforcer has entered the picture</w:t>
      </w:r>
      <w:r w:rsidRPr="002A2760">
        <w:rPr>
          <w:sz w:val="16"/>
        </w:rPr>
        <w:t xml:space="preserve"> in numerous </w:t>
      </w:r>
      <w:r w:rsidRPr="004015B3">
        <w:rPr>
          <w:sz w:val="16"/>
        </w:rPr>
        <w:t xml:space="preserve">jurisdictions: </w:t>
      </w:r>
      <w:r w:rsidRPr="004015B3">
        <w:rPr>
          <w:rStyle w:val="StyleUnderline"/>
        </w:rPr>
        <w:t xml:space="preserve">District attorneys and other prosecutors have brought cases involving </w:t>
      </w:r>
      <w:r w:rsidRPr="004015B3">
        <w:rPr>
          <w:rStyle w:val="Emphasis"/>
        </w:rPr>
        <w:t>employer-committed crimes</w:t>
      </w:r>
      <w:r w:rsidRPr="004015B3">
        <w:rPr>
          <w:rStyle w:val="StyleUnderline"/>
        </w:rPr>
        <w:t xml:space="preserve"> against workers</w:t>
      </w:r>
      <w:r w:rsidRPr="004015B3">
        <w:rPr>
          <w:sz w:val="16"/>
        </w:rPr>
        <w:t>4—crimes including wage theft; labor trafficking; creating conditions causing predictable, preventable workplace fatalities and serious injuries; payroll fraud, including failure to pay unemploy</w:t>
      </w:r>
      <w:r w:rsidRPr="002A2760">
        <w:rPr>
          <w:sz w:val="16"/>
        </w:rPr>
        <w:t>ment insurance (UI) taxes and/or to procure workers’ compensation insurance, and/or misclassification of workers; prevailing wage violations;5 retaliation and witness intimidation; and workplace sexual assault (CPR n.d.; HPM Digital Team 2018; Graves 2020; Kashinsky 2019; Wash. AG 2018; Reyes 2021; Vosseller 2019; Mass. AG 2019; Byars 2017).</w:t>
      </w:r>
    </w:p>
    <w:p w14:paraId="6E69B4CB" w14:textId="77777777" w:rsidR="00C42954" w:rsidRPr="002A2760" w:rsidRDefault="00C42954" w:rsidP="00C42954">
      <w:pPr>
        <w:rPr>
          <w:sz w:val="16"/>
        </w:rPr>
      </w:pPr>
      <w:r w:rsidRPr="002A2760">
        <w:rPr>
          <w:rStyle w:val="StyleUnderline"/>
        </w:rPr>
        <w:t>These cases have been brought in a range of jurisdictions</w:t>
      </w:r>
      <w:r w:rsidRPr="002A2760">
        <w:rPr>
          <w:sz w:val="16"/>
        </w:rPr>
        <w:t>, including in California, Colorado, Maine, Massachusetts, Michigan, Minnesota, Montana, New Jersey, New York, Ohio, Pennsylvania, Rhode Island, Texas, Virginia, and Washington (Intarasuwan 2018; Pace 2019a, 2019b; Byars 2017; Kashinsky 2019; Byrne 2019; Mass AG 2019; AP 2019; Graves 2020; Christian 2019; N.J. AG 2019; Byfield 2019; Warsmith 2019; Pa. AG 2019; R.I. AG 2019; R.I. AG 2020; HPM Digital Team 2018; Haynes 2019; Wash. AG 2018).</w:t>
      </w:r>
    </w:p>
    <w:p w14:paraId="6849BDE3" w14:textId="77777777" w:rsidR="00C42954" w:rsidRPr="002A2760" w:rsidRDefault="00C42954" w:rsidP="00C42954">
      <w:pPr>
        <w:rPr>
          <w:sz w:val="16"/>
        </w:rPr>
      </w:pPr>
      <w:r w:rsidRPr="002A2760">
        <w:rPr>
          <w:rStyle w:val="StyleUnderline"/>
        </w:rPr>
        <w:t>Several district attorneys have created dedicated units or subunits specifically for this function</w:t>
      </w:r>
      <w:r w:rsidRPr="002A2760">
        <w:rPr>
          <w:sz w:val="16"/>
        </w:rPr>
        <w:t>, including San Diego DA Summer Stephan in 2021; Queens (N.Y.) DA Melinda Katz and San Francisco DA Chesa Boudin in 2020; Philadelphia DA Larry Krasner in 2019; and more. (Christian 2020; S.D. DA 2021; S.F. DA 2020; Reyes 2019).</w:t>
      </w:r>
    </w:p>
    <w:p w14:paraId="7006AE44" w14:textId="77777777" w:rsidR="00C42954" w:rsidRPr="002A2760" w:rsidRDefault="00C42954" w:rsidP="00C42954">
      <w:pPr>
        <w:rPr>
          <w:sz w:val="16"/>
        </w:rPr>
      </w:pPr>
      <w:r w:rsidRPr="002A2760">
        <w:rPr>
          <w:sz w:val="16"/>
        </w:rPr>
        <w:t>In Nassau County (N.Y.), the Labor Unit is located within the Rackets and Enterprise Crime Bureau (Nassau DA n.d.) and in Brooklyn (N.Y.) the Labor Fraud Unit is located within the Frauds Bureau. (Brooklyn DA n.d.). In the New York State AG’s office, the Labor Bureau has a dedicated criminal section (N.Y. AG n.d. ). Staff in these units include lawyers with labor law and/or criminal prosecution experience; some also have access to investigators and forensic auditors.</w:t>
      </w:r>
    </w:p>
    <w:p w14:paraId="4B5849C2" w14:textId="77777777" w:rsidR="00C42954" w:rsidRPr="002A2760" w:rsidRDefault="00C42954" w:rsidP="00C42954">
      <w:pPr>
        <w:rPr>
          <w:sz w:val="16"/>
        </w:rPr>
      </w:pPr>
      <w:r w:rsidRPr="002A2760">
        <w:rPr>
          <w:rStyle w:val="StyleUnderline"/>
        </w:rPr>
        <w:t xml:space="preserve">By creating a dedicated unit, </w:t>
      </w:r>
      <w:r w:rsidRPr="002A2760">
        <w:rPr>
          <w:rStyle w:val="StyleUnderline"/>
          <w:highlight w:val="green"/>
        </w:rPr>
        <w:t>DAs</w:t>
      </w:r>
      <w:r w:rsidRPr="002A2760">
        <w:rPr>
          <w:rStyle w:val="StyleUnderline"/>
        </w:rPr>
        <w:t xml:space="preserve"> and AGs enable assigned lawyers to develop expertise in the subject matter and handling of these cases</w:t>
      </w:r>
      <w:r w:rsidRPr="002A2760">
        <w:rPr>
          <w:sz w:val="16"/>
        </w:rPr>
        <w:t xml:space="preserve">, which require a different approach than many other criminal cases. These </w:t>
      </w:r>
      <w:r w:rsidRPr="002A2760">
        <w:rPr>
          <w:rStyle w:val="StyleUnderline"/>
        </w:rPr>
        <w:t xml:space="preserve">cases often entail </w:t>
      </w:r>
      <w:r w:rsidRPr="002A2760">
        <w:rPr>
          <w:rStyle w:val="Emphasis"/>
          <w:highlight w:val="green"/>
        </w:rPr>
        <w:t>build</w:t>
      </w:r>
      <w:r w:rsidRPr="002A2760">
        <w:rPr>
          <w:rStyle w:val="Emphasis"/>
        </w:rPr>
        <w:t xml:space="preserve">ing </w:t>
      </w:r>
      <w:r w:rsidRPr="002A2760">
        <w:rPr>
          <w:rStyle w:val="Emphasis"/>
          <w:highlight w:val="green"/>
        </w:rPr>
        <w:t>relationships</w:t>
      </w:r>
      <w:r w:rsidRPr="002A2760">
        <w:rPr>
          <w:rStyle w:val="StyleUnderline"/>
          <w:highlight w:val="green"/>
        </w:rPr>
        <w:t xml:space="preserve"> with </w:t>
      </w:r>
      <w:r w:rsidRPr="002A2760">
        <w:rPr>
          <w:rStyle w:val="Emphasis"/>
          <w:highlight w:val="green"/>
        </w:rPr>
        <w:t>worker organizations</w:t>
      </w:r>
      <w:r w:rsidRPr="002A2760">
        <w:rPr>
          <w:rStyle w:val="StyleUnderline"/>
        </w:rPr>
        <w:t xml:space="preserve">, conducting extensive interviews with </w:t>
      </w:r>
      <w:r w:rsidRPr="002A2760">
        <w:rPr>
          <w:rStyle w:val="StyleUnderline"/>
          <w:highlight w:val="green"/>
        </w:rPr>
        <w:t>workers</w:t>
      </w:r>
      <w:r w:rsidRPr="002A2760">
        <w:rPr>
          <w:rStyle w:val="StyleUnderline"/>
        </w:rPr>
        <w:t xml:space="preserve"> who may be </w:t>
      </w:r>
      <w:r w:rsidRPr="002A2760">
        <w:rPr>
          <w:rStyle w:val="StyleUnderline"/>
          <w:highlight w:val="green"/>
        </w:rPr>
        <w:t>reluctant witnesses for</w:t>
      </w:r>
      <w:r w:rsidRPr="002A2760">
        <w:rPr>
          <w:rStyle w:val="StyleUnderline"/>
        </w:rPr>
        <w:t xml:space="preserve"> a variety of reasons</w:t>
      </w:r>
      <w:r w:rsidRPr="002A2760">
        <w:rPr>
          <w:sz w:val="16"/>
        </w:rPr>
        <w:t xml:space="preserve"> (</w:t>
      </w:r>
      <w:r w:rsidRPr="002A2760">
        <w:rPr>
          <w:rStyle w:val="StyleUnderline"/>
        </w:rPr>
        <w:t xml:space="preserve">including </w:t>
      </w:r>
      <w:r w:rsidRPr="002A2760">
        <w:rPr>
          <w:rStyle w:val="Emphasis"/>
          <w:highlight w:val="green"/>
        </w:rPr>
        <w:t>fear of retaliation</w:t>
      </w:r>
      <w:r w:rsidRPr="002A2760">
        <w:rPr>
          <w:rStyle w:val="StyleUnderline"/>
          <w:highlight w:val="green"/>
        </w:rPr>
        <w:t xml:space="preserve"> </w:t>
      </w:r>
      <w:r w:rsidRPr="004015B3">
        <w:rPr>
          <w:rStyle w:val="StyleUnderline"/>
        </w:rPr>
        <w:t xml:space="preserve">or potential </w:t>
      </w:r>
      <w:r w:rsidRPr="004015B3">
        <w:rPr>
          <w:rStyle w:val="Emphasis"/>
        </w:rPr>
        <w:t>immigration consequences</w:t>
      </w:r>
      <w:r w:rsidRPr="004015B3">
        <w:rPr>
          <w:rStyle w:val="StyleUnderline"/>
        </w:rPr>
        <w:t xml:space="preserve"> for</w:t>
      </w:r>
      <w:r w:rsidRPr="002A2760">
        <w:rPr>
          <w:rStyle w:val="StyleUnderline"/>
        </w:rPr>
        <w:t xml:space="preserve"> themselves or family members</w:t>
      </w:r>
      <w:r w:rsidRPr="002A2760">
        <w:rPr>
          <w:sz w:val="16"/>
        </w:rPr>
        <w:t xml:space="preserve">), and thoroughly reviewing and auditing payroll and other employer records. Creation of a dedicated unit also allows for lawyers to build relationships with other government agencies (for example, state and local labor departments) and stakeholders (such as unions and other worker organizations) that are potential sources of cases. Finally, </w:t>
      </w:r>
      <w:r w:rsidRPr="002A2760">
        <w:rPr>
          <w:rStyle w:val="StyleUnderline"/>
        </w:rPr>
        <w:t>lawyers in a dedicated unit are able to develop legal expertise in the overlap between labor and criminal law, as well as knowledge regarding common violations and problematic industries</w:t>
      </w:r>
      <w:r w:rsidRPr="002A2760">
        <w:rPr>
          <w:sz w:val="16"/>
        </w:rPr>
        <w:t xml:space="preserve">. A dedicated unit also institutionalizes the work within an office, thus promoting the likely longevity of a DA’s office involvement in such prosecutions (Gerstein 2020). </w:t>
      </w:r>
      <w:r w:rsidRPr="002A2760">
        <w:rPr>
          <w:rStyle w:val="StyleUnderline"/>
        </w:rPr>
        <w:t>Professor</w:t>
      </w:r>
      <w:r w:rsidRPr="002A2760">
        <w:rPr>
          <w:sz w:val="16"/>
        </w:rPr>
        <w:t xml:space="preserve"> Cesar Rosado </w:t>
      </w:r>
      <w:r w:rsidRPr="002A2760">
        <w:rPr>
          <w:rStyle w:val="StyleUnderline"/>
        </w:rPr>
        <w:t>Marzán</w:t>
      </w:r>
      <w:r w:rsidRPr="002A2760">
        <w:rPr>
          <w:sz w:val="16"/>
        </w:rPr>
        <w:t xml:space="preserve"> examined the topic and </w:t>
      </w:r>
      <w:r w:rsidRPr="002A2760">
        <w:rPr>
          <w:rStyle w:val="StyleUnderline"/>
        </w:rPr>
        <w:t>specifically recommended specialized prosecutors for this work, given “the vulnerable nature of the workers who seek their aid” and potential immigration and other consequences</w:t>
      </w:r>
      <w:r w:rsidRPr="002A2760">
        <w:rPr>
          <w:sz w:val="16"/>
        </w:rPr>
        <w:t xml:space="preserve"> that could result from nonspecialized prosecutors handling such cases (Rosado Marzán 2020).</w:t>
      </w:r>
    </w:p>
    <w:p w14:paraId="1512766A" w14:textId="77777777" w:rsidR="00C42954" w:rsidRPr="002A2760" w:rsidRDefault="00C42954" w:rsidP="00C42954">
      <w:pPr>
        <w:rPr>
          <w:sz w:val="16"/>
        </w:rPr>
      </w:pPr>
      <w:r w:rsidRPr="002A2760">
        <w:rPr>
          <w:sz w:val="16"/>
        </w:rPr>
        <w:t>Even without a dedicated unit, prosecutions of employer crimes can be added to existing divisions or bureaus, such as those handling economic or financial crimes. In Boulder, Colorado, for example, wage theft cases are handled within the Community Protection Division, which handles the office’s economic crimes cases. Indeed, offices without a dedicated unit have played a leadership role on this topic within their states. Within the last few years, Boulder County DA Michael Dougherty, along with the Colorado District Attorneys’ Council, co-hosted a training on prosecution of wage theft and human trafficking;6 he also played an instrumental role in promoting stronger anti-wage theft legislation in his state (Boyd 2019).</w:t>
      </w:r>
    </w:p>
    <w:p w14:paraId="0055794F" w14:textId="77777777" w:rsidR="00C42954" w:rsidRPr="002A2760" w:rsidRDefault="00C42954" w:rsidP="00C42954">
      <w:pPr>
        <w:rPr>
          <w:sz w:val="16"/>
        </w:rPr>
      </w:pPr>
      <w:r w:rsidRPr="002A2760">
        <w:rPr>
          <w:sz w:val="16"/>
        </w:rPr>
        <w:t xml:space="preserve">Similarly, Orange County (New YOrk) DA David Hoovler announced a new focus on labor crimes by his office, and held a training for fellow prosecutors on the topic (Yakin 2019; Mid Hudson News 2020). The Alameda (California) District Attorney’s Office started a labor trafficking task force in 2015 (H.E.A.T. Watch n.d.). </w:t>
      </w:r>
      <w:r w:rsidRPr="002A2760">
        <w:rPr>
          <w:rStyle w:val="StyleUnderline"/>
        </w:rPr>
        <w:t>The Westchester</w:t>
      </w:r>
      <w:r w:rsidRPr="002A2760">
        <w:rPr>
          <w:sz w:val="16"/>
        </w:rPr>
        <w:t xml:space="preserve"> (New York) </w:t>
      </w:r>
      <w:r w:rsidRPr="002A2760">
        <w:rPr>
          <w:rStyle w:val="StyleUnderline"/>
        </w:rPr>
        <w:t>district attorney’s office has a multilingual hotline for the public to report a number of crimes typically affecting immigrants, including wage theft</w:t>
      </w:r>
      <w:r w:rsidRPr="002A2760">
        <w:rPr>
          <w:sz w:val="16"/>
        </w:rPr>
        <w:t xml:space="preserve"> (Westchester DA 2021). The Manhattan District Attorney’s Office in 2017 used criminal forfeiture funds obtained through settlements with international banks to make grants to several organizations serving underserved communities, including over $1.5 million to the New York Committee for Occupational Safety and Health to provide outreach and training regarding wage theft, health and safety, and more (NY Cty. DA 2017).</w:t>
      </w:r>
    </w:p>
    <w:p w14:paraId="6A1B7309" w14:textId="77777777" w:rsidR="00C42954" w:rsidRPr="002A2760" w:rsidRDefault="00C42954" w:rsidP="00C42954">
      <w:pPr>
        <w:rPr>
          <w:sz w:val="16"/>
        </w:rPr>
      </w:pPr>
      <w:r w:rsidRPr="002A2760">
        <w:rPr>
          <w:rStyle w:val="StyleUnderline"/>
        </w:rPr>
        <w:t>In several jurisdictions, state attorneys general have used their criminal prosecution authority to pursue employers for wage theft and other crimes against workers</w:t>
      </w:r>
      <w:r w:rsidRPr="002A2760">
        <w:rPr>
          <w:sz w:val="16"/>
        </w:rPr>
        <w:t xml:space="preserve"> (Gerstein 2020). In Rhode Island, for example, where the attorney general is the sole criminal prosecutor for the state, AG Peter Neronha proposed stronger anti-wage-theft and misclassification legislation during the 2021 legislative session; his office brought three wage theft criminal prosecutions in 2020, apparently the first ever brought within the state (R.I. AG 2021).</w:t>
      </w:r>
    </w:p>
    <w:p w14:paraId="3A1907F9" w14:textId="77777777" w:rsidR="00C42954" w:rsidRPr="002A2760" w:rsidRDefault="00C42954" w:rsidP="00C42954">
      <w:pPr>
        <w:rPr>
          <w:sz w:val="16"/>
        </w:rPr>
      </w:pPr>
      <w:r w:rsidRPr="002A2760">
        <w:rPr>
          <w:sz w:val="16"/>
        </w:rPr>
        <w:t xml:space="preserve">The </w:t>
      </w:r>
      <w:r w:rsidRPr="002A2760">
        <w:rPr>
          <w:rStyle w:val="StyleUnderline"/>
        </w:rPr>
        <w:t xml:space="preserve">increased involvement occurs in the context of </w:t>
      </w:r>
      <w:r w:rsidRPr="002A2760">
        <w:rPr>
          <w:rStyle w:val="Emphasis"/>
        </w:rPr>
        <w:t>high rates of violations</w:t>
      </w:r>
      <w:r w:rsidRPr="002A2760">
        <w:rPr>
          <w:rStyle w:val="StyleUnderline"/>
        </w:rPr>
        <w:t xml:space="preserve"> of workplace laws and </w:t>
      </w:r>
      <w:r w:rsidRPr="002A2760">
        <w:rPr>
          <w:rStyle w:val="Emphasis"/>
        </w:rPr>
        <w:t>inadequate enforcement resources</w:t>
      </w:r>
    </w:p>
    <w:p w14:paraId="6D53AC4D" w14:textId="77777777" w:rsidR="00C42954" w:rsidRPr="002A2760" w:rsidRDefault="00C42954" w:rsidP="00C42954">
      <w:pPr>
        <w:rPr>
          <w:sz w:val="16"/>
        </w:rPr>
      </w:pPr>
      <w:r w:rsidRPr="002A2760">
        <w:rPr>
          <w:sz w:val="16"/>
        </w:rPr>
        <w:t xml:space="preserve">Although </w:t>
      </w:r>
      <w:r w:rsidRPr="002A2760">
        <w:rPr>
          <w:rStyle w:val="StyleUnderline"/>
          <w:highlight w:val="green"/>
        </w:rPr>
        <w:t>violations</w:t>
      </w:r>
      <w:r w:rsidRPr="002A2760">
        <w:rPr>
          <w:rStyle w:val="StyleUnderline"/>
        </w:rPr>
        <w:t xml:space="preserve"> of workplace law </w:t>
      </w:r>
      <w:r w:rsidRPr="002A2760">
        <w:rPr>
          <w:rStyle w:val="StyleUnderline"/>
          <w:highlight w:val="green"/>
        </w:rPr>
        <w:t xml:space="preserve">are </w:t>
      </w:r>
      <w:r w:rsidRPr="002A2760">
        <w:rPr>
          <w:rStyle w:val="Emphasis"/>
          <w:highlight w:val="green"/>
        </w:rPr>
        <w:t>widespread</w:t>
      </w:r>
      <w:r w:rsidRPr="002A2760">
        <w:rPr>
          <w:sz w:val="16"/>
        </w:rPr>
        <w:t xml:space="preserve">, resources to address such violations are grossly insufficient. Familiarity with this landscape—extensive, largely civil workplace violations with inadequate deterrence—helps one understand the scope of the enforcement chasm. The statistics below demonstrate the </w:t>
      </w:r>
      <w:r w:rsidRPr="002A2760">
        <w:rPr>
          <w:rStyle w:val="StyleUnderline"/>
          <w:highlight w:val="green"/>
        </w:rPr>
        <w:t xml:space="preserve">overall </w:t>
      </w:r>
      <w:r w:rsidRPr="002A2760">
        <w:rPr>
          <w:rStyle w:val="Emphasis"/>
          <w:highlight w:val="green"/>
        </w:rPr>
        <w:t>context</w:t>
      </w:r>
      <w:r w:rsidRPr="002A2760">
        <w:rPr>
          <w:rStyle w:val="StyleUnderline"/>
        </w:rPr>
        <w:t xml:space="preserve"> in which employer crimes occur</w:t>
      </w:r>
      <w:r w:rsidRPr="002A2760">
        <w:rPr>
          <w:sz w:val="16"/>
        </w:rPr>
        <w:t xml:space="preserve">. Simply put, </w:t>
      </w:r>
      <w:r w:rsidRPr="002A2760">
        <w:rPr>
          <w:rStyle w:val="Emphasis"/>
        </w:rPr>
        <w:t>routine</w:t>
      </w:r>
      <w:r w:rsidRPr="002A2760">
        <w:rPr>
          <w:rStyle w:val="StyleUnderline"/>
        </w:rPr>
        <w:t xml:space="preserve"> and </w:t>
      </w:r>
      <w:r w:rsidRPr="002A2760">
        <w:rPr>
          <w:rStyle w:val="Emphasis"/>
        </w:rPr>
        <w:t>widespread</w:t>
      </w:r>
      <w:r w:rsidRPr="002A2760">
        <w:rPr>
          <w:rStyle w:val="StyleUnderline"/>
        </w:rPr>
        <w:t xml:space="preserve"> violations, </w:t>
      </w:r>
      <w:r w:rsidRPr="002A2760">
        <w:rPr>
          <w:rStyle w:val="StyleUnderline"/>
          <w:highlight w:val="green"/>
        </w:rPr>
        <w:t>inadequate</w:t>
      </w:r>
      <w:r w:rsidRPr="002A2760">
        <w:rPr>
          <w:rStyle w:val="StyleUnderline"/>
        </w:rPr>
        <w:t xml:space="preserve"> enforcement </w:t>
      </w:r>
      <w:r w:rsidRPr="00B821DF">
        <w:rPr>
          <w:rStyle w:val="StyleUnderline"/>
          <w:highlight w:val="green"/>
        </w:rPr>
        <w:t xml:space="preserve">resources, </w:t>
      </w:r>
      <w:r w:rsidRPr="00B821DF">
        <w:rPr>
          <w:rStyle w:val="Emphasis"/>
          <w:highlight w:val="green"/>
        </w:rPr>
        <w:t>low union density</w:t>
      </w:r>
      <w:r w:rsidRPr="00B821DF">
        <w:rPr>
          <w:rStyle w:val="StyleUnderline"/>
          <w:highlight w:val="green"/>
        </w:rPr>
        <w:t>, and other</w:t>
      </w:r>
      <w:r w:rsidRPr="002A2760">
        <w:rPr>
          <w:rStyle w:val="StyleUnderline"/>
        </w:rPr>
        <w:t xml:space="preserve"> </w:t>
      </w:r>
      <w:r w:rsidRPr="00B9687F">
        <w:rPr>
          <w:rStyle w:val="StyleUnderline"/>
          <w:highlight w:val="green"/>
        </w:rPr>
        <w:t>factors</w:t>
      </w:r>
      <w:r w:rsidRPr="002A2760">
        <w:rPr>
          <w:rStyle w:val="StyleUnderline"/>
        </w:rPr>
        <w:t xml:space="preserve"> allow too many </w:t>
      </w:r>
      <w:r w:rsidRPr="002A2760">
        <w:rPr>
          <w:rStyle w:val="Emphasis"/>
        </w:rPr>
        <w:t>exploitative employers</w:t>
      </w:r>
      <w:r w:rsidRPr="002A2760">
        <w:rPr>
          <w:rStyle w:val="StyleUnderline"/>
        </w:rPr>
        <w:t xml:space="preserve"> to operate with </w:t>
      </w:r>
      <w:r w:rsidRPr="002A2760">
        <w:rPr>
          <w:rStyle w:val="Emphasis"/>
        </w:rPr>
        <w:t>impunity</w:t>
      </w:r>
      <w:r w:rsidRPr="002A2760">
        <w:rPr>
          <w:sz w:val="16"/>
        </w:rPr>
        <w:t>. The statistics below do not suggest that all cases should be handled criminally, of course; criminal prosecutions should be reserved for the most serious violations and, of course, brought in situations in which intent and acts can be proven beyond a reasonable doubt.</w:t>
      </w:r>
    </w:p>
    <w:p w14:paraId="3E0605CD" w14:textId="77777777" w:rsidR="00C42954" w:rsidRPr="002A2760" w:rsidRDefault="00C42954" w:rsidP="00C42954">
      <w:pPr>
        <w:rPr>
          <w:sz w:val="16"/>
        </w:rPr>
      </w:pPr>
      <w:r w:rsidRPr="002A2760">
        <w:t xml:space="preserve">• </w:t>
      </w:r>
      <w:r w:rsidRPr="004015B3">
        <w:rPr>
          <w:rStyle w:val="StyleUnderline"/>
        </w:rPr>
        <w:t>Wage theft</w:t>
      </w:r>
      <w:r w:rsidRPr="004015B3">
        <w:rPr>
          <w:sz w:val="16"/>
        </w:rPr>
        <w:t xml:space="preserve">. </w:t>
      </w:r>
      <w:r w:rsidRPr="004015B3">
        <w:rPr>
          <w:rStyle w:val="StyleUnderline"/>
        </w:rPr>
        <w:t>A 2017 study</w:t>
      </w:r>
      <w:r w:rsidRPr="004015B3">
        <w:rPr>
          <w:sz w:val="16"/>
        </w:rPr>
        <w:t xml:space="preserve"> on minimum wage violations in the 10 most populous state </w:t>
      </w:r>
      <w:r w:rsidRPr="004015B3">
        <w:rPr>
          <w:rStyle w:val="StyleUnderline"/>
        </w:rPr>
        <w:t>found that each year, 2.4 million workers, or 17% of the low-wage workforce</w:t>
      </w:r>
      <w:r w:rsidRPr="004015B3">
        <w:rPr>
          <w:sz w:val="16"/>
        </w:rPr>
        <w:t xml:space="preserve"> in these states, </w:t>
      </w:r>
      <w:r w:rsidRPr="004015B3">
        <w:rPr>
          <w:rStyle w:val="StyleUnderline"/>
        </w:rPr>
        <w:t>reported being paid less than the applicable minimum wage</w:t>
      </w:r>
      <w:r w:rsidRPr="004015B3">
        <w:rPr>
          <w:sz w:val="16"/>
        </w:rPr>
        <w:t>, losing an average of $3,300 per year (nearly a quarter of their earned wages) (Cooper and Kroeger 2017</w:t>
      </w:r>
      <w:r w:rsidRPr="002A2760">
        <w:rPr>
          <w:sz w:val="16"/>
        </w:rPr>
        <w:t xml:space="preserve">). State-specific studies of wage theft in Colorado, Iowa, New Mexico, New York, and Ohio have found similarly high rates of violations while examining a broader range of workplace infractions (Gordon et al. 2012; Schrank and Garrick 2013; Shields 2019; Sen 2016; Stiffler 2019). According to a 2020 Washington Center for Equitable Growth study, Black, Latinx, noncitizen, and women workers experience higher rates of wage theft (Fine et al. </w:t>
      </w:r>
      <w:r w:rsidRPr="004015B3">
        <w:rPr>
          <w:sz w:val="16"/>
        </w:rPr>
        <w:t>2020</w:t>
      </w:r>
      <w:r w:rsidRPr="002A2760">
        <w:rPr>
          <w:sz w:val="16"/>
        </w:rPr>
        <w:t>).</w:t>
      </w:r>
    </w:p>
    <w:p w14:paraId="08195ED2" w14:textId="77777777" w:rsidR="00C42954" w:rsidRPr="004015B3" w:rsidRDefault="00C42954" w:rsidP="00C42954">
      <w:pPr>
        <w:rPr>
          <w:sz w:val="16"/>
        </w:rPr>
      </w:pPr>
      <w:r w:rsidRPr="002A2760">
        <w:t xml:space="preserve">• </w:t>
      </w:r>
      <w:r w:rsidRPr="002A2760">
        <w:rPr>
          <w:rStyle w:val="StyleUnderline"/>
          <w:highlight w:val="green"/>
        </w:rPr>
        <w:t>Workplace</w:t>
      </w:r>
      <w:r w:rsidRPr="004015B3">
        <w:rPr>
          <w:rStyle w:val="StyleUnderline"/>
        </w:rPr>
        <w:t xml:space="preserve"> safety</w:t>
      </w:r>
      <w:r w:rsidRPr="002A2760">
        <w:rPr>
          <w:rStyle w:val="StyleUnderline"/>
        </w:rPr>
        <w:t xml:space="preserve"> and health</w:t>
      </w:r>
      <w:r w:rsidRPr="002A2760">
        <w:rPr>
          <w:sz w:val="16"/>
        </w:rPr>
        <w:t xml:space="preserve">. The Occupational Safety and Health Act (OSH Act) was enacted in 1970 to ensure that workplaces are free of hazards that kill or injure workers. Even before the COVID-19 pandemic, </w:t>
      </w:r>
      <w:r w:rsidRPr="002A2760">
        <w:rPr>
          <w:rStyle w:val="StyleUnderline"/>
        </w:rPr>
        <w:t xml:space="preserve">workplace </w:t>
      </w:r>
      <w:r w:rsidRPr="002A2760">
        <w:rPr>
          <w:rStyle w:val="StyleUnderline"/>
          <w:highlight w:val="green"/>
        </w:rPr>
        <w:t>fatalities</w:t>
      </w:r>
      <w:r w:rsidRPr="002A2760">
        <w:rPr>
          <w:rStyle w:val="StyleUnderline"/>
        </w:rPr>
        <w:t xml:space="preserve">, many of them preventable, </w:t>
      </w:r>
      <w:r w:rsidRPr="00B9687F">
        <w:rPr>
          <w:rStyle w:val="StyleUnderline"/>
        </w:rPr>
        <w:t xml:space="preserve">were </w:t>
      </w:r>
      <w:r w:rsidRPr="002A2760">
        <w:rPr>
          <w:rStyle w:val="Emphasis"/>
          <w:highlight w:val="green"/>
        </w:rPr>
        <w:t>common</w:t>
      </w:r>
      <w:r w:rsidRPr="002A2760">
        <w:rPr>
          <w:sz w:val="16"/>
        </w:rPr>
        <w:t xml:space="preserve">. </w:t>
      </w:r>
      <w:r w:rsidRPr="002A2760">
        <w:rPr>
          <w:rStyle w:val="StyleUnderline"/>
        </w:rPr>
        <w:t>In 2019, 5,333 workers were killed on the job</w:t>
      </w:r>
      <w:r w:rsidRPr="002A2760">
        <w:rPr>
          <w:sz w:val="16"/>
        </w:rPr>
        <w:t xml:space="preserve">, and hundreds of thousands experienced nonfatal injuries and illness (BLS-IFF 2019a and 2019b). A 2017 study by the National Employment Law Project reviewing U.S. Occupational Safety and Health Administration (OSHA) severe injury data from 29 states reported that 27 workers per day suffer amputation or hospitalization (Berkowitz 2017). As with the other workplace harms discussed in this </w:t>
      </w:r>
      <w:r w:rsidRPr="004015B3">
        <w:rPr>
          <w:sz w:val="16"/>
        </w:rPr>
        <w:t xml:space="preserve">report, </w:t>
      </w:r>
      <w:r w:rsidRPr="004015B3">
        <w:rPr>
          <w:rStyle w:val="StyleUnderline"/>
        </w:rPr>
        <w:t xml:space="preserve">there are </w:t>
      </w:r>
      <w:r w:rsidRPr="004015B3">
        <w:rPr>
          <w:rStyle w:val="Emphasis"/>
        </w:rPr>
        <w:t>racial disparities</w:t>
      </w:r>
      <w:r w:rsidRPr="004015B3">
        <w:rPr>
          <w:rStyle w:val="StyleUnderline"/>
        </w:rPr>
        <w:t>: the overall fatality rate of Black and Latino workers is higher than that of white workers</w:t>
      </w:r>
      <w:r w:rsidRPr="004015B3">
        <w:rPr>
          <w:sz w:val="16"/>
        </w:rPr>
        <w:t xml:space="preserve"> (AFL-CIO 2020). Occupational safety and health risks and violations are even more stark in light of widespread workplace outbreaks during COVID-19.</w:t>
      </w:r>
    </w:p>
    <w:p w14:paraId="50574D7E" w14:textId="77777777" w:rsidR="00C42954" w:rsidRPr="004015B3" w:rsidRDefault="00C42954" w:rsidP="00C42954">
      <w:pPr>
        <w:rPr>
          <w:sz w:val="16"/>
        </w:rPr>
      </w:pPr>
      <w:r w:rsidRPr="004015B3">
        <w:t xml:space="preserve">• </w:t>
      </w:r>
      <w:r w:rsidRPr="004015B3">
        <w:rPr>
          <w:sz w:val="16"/>
        </w:rPr>
        <w:t>Misclassification and payroll fraud. A 2019 study of Washington state found that the proportion of employers that misclassify their workers as independent contractors (not including those who paid “off the books”) averaged 16% from 2013 to 2017 (Xu and Erlich 2019). An earlier analysis of state-level research found that between 10% and 20% of employers have misclassified at least one worker as an independent contractor, noting that employers who misclassify their workers avoid paying payroll taxes and workers’ compensation insurance, and often fail to comply with minimum wage and overtime pay requirements in the Fair Labor Standards Act (FLSA) (Carré 2015). Misclassification is costly for workers, who lose significant money each year because of it (Shierholz 2020). Misclassification also costs the public. The Washington state study conservatively estimated that from 2013 to 2017, the state annually lost over $30 million in unemployment insurance taxes and more than $53 million in unpaid workers’ compensation premiums; losses are even greater when federal taxes are considered (Xu and Erlich 2019).Misclassification is a particularly acute problem in certain industries. A recent study found that in an average month of 2017, between 12.4% and 20.5% of the construction industry workforce nationwide was either misclassified as independent contractors or working “off the books,” and a report issued by the District of Columbia Attorney General’s Office found that construction contractors save between 17% and 40% by misclassifying workers (Ormiston, Belman, and Erlich 2020; D.C. AG 2019). Another study found extensive wage theft and misclassification in the construction industry in several midwestern states (Goodell and Manzo 2021).</w:t>
      </w:r>
    </w:p>
    <w:p w14:paraId="4044C53F" w14:textId="77777777" w:rsidR="00C42954" w:rsidRPr="002A2760" w:rsidRDefault="00C42954" w:rsidP="00C42954">
      <w:pPr>
        <w:rPr>
          <w:sz w:val="16"/>
        </w:rPr>
      </w:pPr>
      <w:r w:rsidRPr="004015B3">
        <w:t xml:space="preserve">• </w:t>
      </w:r>
      <w:r w:rsidRPr="004015B3">
        <w:rPr>
          <w:rStyle w:val="StyleUnderline"/>
        </w:rPr>
        <w:t>Workplace harassment, including</w:t>
      </w:r>
      <w:r w:rsidRPr="002A2760">
        <w:rPr>
          <w:rStyle w:val="StyleUnderline"/>
        </w:rPr>
        <w:t xml:space="preserve"> sexual harassment</w:t>
      </w:r>
      <w:r w:rsidRPr="002A2760">
        <w:rPr>
          <w:sz w:val="16"/>
        </w:rPr>
        <w:t xml:space="preserve">. Data suggest that workplace harassment is extensive, despite federal, state, and often local equal employment opportunity (EEO) laws prohibiting employment discrimination (including harassment) on the basis of race, color, religion, sex, national origin, disability, age, and more. A 2016 report by the U.S. Equal Employment Opportunity Commission (EEOC)—the agency that enforces these laws at the federal level—noted that one-third of the approximately 90,000 charges the agency received in the prior year included allegations of workplace harassment. </w:t>
      </w:r>
      <w:r w:rsidRPr="002A2760">
        <w:rPr>
          <w:rStyle w:val="StyleUnderline"/>
        </w:rPr>
        <w:t xml:space="preserve">The report also suggested that harassment </w:t>
      </w:r>
      <w:r w:rsidRPr="002A2760">
        <w:rPr>
          <w:rStyle w:val="StyleUnderline"/>
          <w:highlight w:val="green"/>
        </w:rPr>
        <w:t>statistics</w:t>
      </w:r>
      <w:r w:rsidRPr="002A2760">
        <w:rPr>
          <w:rStyle w:val="StyleUnderline"/>
        </w:rPr>
        <w:t xml:space="preserve"> of worker complaints </w:t>
      </w:r>
      <w:r w:rsidRPr="004015B3">
        <w:rPr>
          <w:rStyle w:val="StyleUnderline"/>
        </w:rPr>
        <w:t xml:space="preserve">likely </w:t>
      </w:r>
      <w:r w:rsidRPr="004015B3">
        <w:rPr>
          <w:rStyle w:val="Emphasis"/>
        </w:rPr>
        <w:t xml:space="preserve">seriously </w:t>
      </w:r>
      <w:r w:rsidRPr="002A2760">
        <w:rPr>
          <w:rStyle w:val="Emphasis"/>
          <w:highlight w:val="green"/>
        </w:rPr>
        <w:t>understate</w:t>
      </w:r>
      <w:r w:rsidRPr="002A2760">
        <w:rPr>
          <w:rStyle w:val="StyleUnderline"/>
        </w:rPr>
        <w:t xml:space="preserve"> the extent of the problem, because “the least common response to harassment is to take some formal action</w:t>
      </w:r>
      <w:r w:rsidRPr="002A2760">
        <w:rPr>
          <w:sz w:val="16"/>
        </w:rPr>
        <w:t>—either to report the harassment internally or file a formal legal complaint” (Feldblum and Lipnic 2016). A number of surveys and reports, usually based in specific industries, have found extensive incidence of sexual harassment (ROC United and Forward Together 2014; Covert 2020; NASEM 2020; Chatterjee 2018). However, the U.S. Government Accountability Office in 2020 noted the scarcity of data on this issue and recommended further surveys (U.S. GAO 2020).</w:t>
      </w:r>
    </w:p>
    <w:p w14:paraId="294FE000" w14:textId="77777777" w:rsidR="00C42954" w:rsidRPr="002A2760" w:rsidRDefault="00C42954" w:rsidP="00C42954">
      <w:pPr>
        <w:rPr>
          <w:sz w:val="16"/>
        </w:rPr>
      </w:pPr>
      <w:r w:rsidRPr="002A2760">
        <w:rPr>
          <w:sz w:val="16"/>
          <w:szCs w:val="16"/>
        </w:rPr>
        <w:t xml:space="preserve">• </w:t>
      </w:r>
      <w:r w:rsidRPr="002A2760">
        <w:rPr>
          <w:sz w:val="16"/>
        </w:rPr>
        <w:t>Labor trafficking. Labor trafficking occurs when a person is compelled or coerced to provide labor or services, and often afflicts people who are vulnerable because of life circumstances and economic hardship (U.S. DOJ n.d.). The National Human Trafficking Hotline identified nearly 5,000 labor trafficking cases in 2019 based on its complaint line alone (NHTH 2019). Despite its frequency and severity, labor trafficking often goes undetected and is rarely prosecuted (Smith 2021).</w:t>
      </w:r>
    </w:p>
    <w:p w14:paraId="785118DE" w14:textId="77777777" w:rsidR="00C42954" w:rsidRPr="002A2760" w:rsidRDefault="00C42954" w:rsidP="00C42954">
      <w:pPr>
        <w:rPr>
          <w:sz w:val="16"/>
        </w:rPr>
      </w:pPr>
      <w:r w:rsidRPr="002A2760">
        <w:t xml:space="preserve">• </w:t>
      </w:r>
      <w:r w:rsidRPr="004015B3">
        <w:rPr>
          <w:rStyle w:val="StyleUnderline"/>
        </w:rPr>
        <w:t>Employer retaliation against workers for exercising their rights</w:t>
      </w:r>
      <w:r w:rsidRPr="004015B3">
        <w:rPr>
          <w:sz w:val="16"/>
        </w:rPr>
        <w:t xml:space="preserve">. </w:t>
      </w:r>
      <w:r w:rsidRPr="004015B3">
        <w:rPr>
          <w:rStyle w:val="StyleUnderline"/>
        </w:rPr>
        <w:t xml:space="preserve">Although retaliation is illegal, </w:t>
      </w:r>
      <w:r w:rsidRPr="002A2760">
        <w:rPr>
          <w:rStyle w:val="StyleUnderline"/>
          <w:highlight w:val="green"/>
        </w:rPr>
        <w:t>employers</w:t>
      </w:r>
      <w:r w:rsidRPr="004015B3">
        <w:rPr>
          <w:rStyle w:val="StyleUnderline"/>
        </w:rPr>
        <w:t xml:space="preserve"> commonly </w:t>
      </w:r>
      <w:r w:rsidRPr="002A2760">
        <w:rPr>
          <w:rStyle w:val="StyleUnderline"/>
          <w:highlight w:val="green"/>
        </w:rPr>
        <w:t>retaliate</w:t>
      </w:r>
      <w:r w:rsidRPr="002A2760">
        <w:rPr>
          <w:rStyle w:val="StyleUnderline"/>
        </w:rPr>
        <w:t xml:space="preserve"> against workers </w:t>
      </w:r>
      <w:r w:rsidRPr="002A2760">
        <w:rPr>
          <w:rStyle w:val="StyleUnderline"/>
          <w:highlight w:val="green"/>
        </w:rPr>
        <w:t>for</w:t>
      </w:r>
      <w:r w:rsidRPr="002A2760">
        <w:rPr>
          <w:rStyle w:val="StyleUnderline"/>
        </w:rPr>
        <w:t xml:space="preserve"> exercising their workplace rights</w:t>
      </w:r>
      <w:r w:rsidRPr="002A2760">
        <w:rPr>
          <w:sz w:val="16"/>
        </w:rPr>
        <w:t xml:space="preserve">. </w:t>
      </w:r>
      <w:r w:rsidRPr="002A2760">
        <w:rPr>
          <w:rStyle w:val="StyleUnderline"/>
        </w:rPr>
        <w:t xml:space="preserve">Illegal retaliation has been identified in a wide range of circumstances, including when workers report or file lawsuits </w:t>
      </w:r>
      <w:r w:rsidRPr="002A2760">
        <w:rPr>
          <w:rStyle w:val="Emphasis"/>
          <w:highlight w:val="green"/>
        </w:rPr>
        <w:t>challenging labor violations</w:t>
      </w:r>
      <w:r w:rsidRPr="002A2760">
        <w:rPr>
          <w:rStyle w:val="StyleUnderline"/>
        </w:rPr>
        <w:t xml:space="preserve">, and when workers join together to </w:t>
      </w:r>
      <w:r w:rsidRPr="002A2760">
        <w:rPr>
          <w:rStyle w:val="Emphasis"/>
        </w:rPr>
        <w:t xml:space="preserve">organize a </w:t>
      </w:r>
      <w:r w:rsidRPr="004015B3">
        <w:rPr>
          <w:rStyle w:val="Emphasis"/>
        </w:rPr>
        <w:t>union</w:t>
      </w:r>
      <w:r w:rsidRPr="004015B3">
        <w:rPr>
          <w:rStyle w:val="StyleUnderline"/>
        </w:rPr>
        <w:t xml:space="preserve"> or engage in </w:t>
      </w:r>
      <w:r w:rsidRPr="004015B3">
        <w:rPr>
          <w:rStyle w:val="Emphasis"/>
        </w:rPr>
        <w:t>collective action</w:t>
      </w:r>
      <w:r w:rsidRPr="004015B3">
        <w:rPr>
          <w:sz w:val="16"/>
        </w:rPr>
        <w:t xml:space="preserve"> (</w:t>
      </w:r>
      <w:r w:rsidRPr="004015B3">
        <w:rPr>
          <w:rStyle w:val="StyleUnderline"/>
        </w:rPr>
        <w:t>a right guaranteed under the</w:t>
      </w:r>
      <w:r w:rsidRPr="004015B3">
        <w:rPr>
          <w:sz w:val="16"/>
        </w:rPr>
        <w:t xml:space="preserve"> National Labor Relations Act or </w:t>
      </w:r>
      <w:r w:rsidRPr="004015B3">
        <w:rPr>
          <w:rStyle w:val="StyleUnderline"/>
        </w:rPr>
        <w:t>NLRA</w:t>
      </w:r>
      <w:r w:rsidRPr="004015B3">
        <w:rPr>
          <w:sz w:val="16"/>
        </w:rPr>
        <w:t xml:space="preserve">). One study revealed that employers were charged with illegally firing workers or other retaliatory conduct (discipline, threats) in one-fifth to nearly one-third of union elections (McNicholas et al. 2019). A seminal 2009 study of working conditions in three major cities found that of workers who had complained to their employers about violations or tried to form a union in the prior year, 43% experienced retaliation (Bernhardt, Milkman, and Theodore 2009). </w:t>
      </w:r>
      <w:r w:rsidRPr="004015B3">
        <w:rPr>
          <w:rStyle w:val="StyleUnderline"/>
        </w:rPr>
        <w:t xml:space="preserve">In workplaces or communities with </w:t>
      </w:r>
      <w:r w:rsidRPr="004015B3">
        <w:rPr>
          <w:rStyle w:val="Emphasis"/>
        </w:rPr>
        <w:t>undocumented</w:t>
      </w:r>
      <w:r w:rsidRPr="002A2760">
        <w:rPr>
          <w:rStyle w:val="Emphasis"/>
        </w:rPr>
        <w:t xml:space="preserve"> workers</w:t>
      </w:r>
      <w:r w:rsidRPr="002A2760">
        <w:rPr>
          <w:rStyle w:val="StyleUnderline"/>
        </w:rPr>
        <w:t xml:space="preserve">, a </w:t>
      </w:r>
      <w:r w:rsidRPr="002A2760">
        <w:rPr>
          <w:rStyle w:val="Emphasis"/>
        </w:rPr>
        <w:t>common</w:t>
      </w:r>
      <w:r w:rsidRPr="002A2760">
        <w:rPr>
          <w:rStyle w:val="StyleUnderline"/>
        </w:rPr>
        <w:t xml:space="preserve"> form of retaliation for asserting workplace rights </w:t>
      </w:r>
      <w:r w:rsidRPr="002A2760">
        <w:rPr>
          <w:rStyle w:val="StyleUnderline"/>
          <w:highlight w:val="green"/>
        </w:rPr>
        <w:t xml:space="preserve">involves </w:t>
      </w:r>
      <w:r w:rsidRPr="002A2760">
        <w:rPr>
          <w:rStyle w:val="Emphasis"/>
          <w:highlight w:val="green"/>
        </w:rPr>
        <w:t>threats</w:t>
      </w:r>
      <w:r w:rsidRPr="004015B3">
        <w:rPr>
          <w:rStyle w:val="StyleUnderline"/>
        </w:rPr>
        <w:t xml:space="preserve"> or </w:t>
      </w:r>
      <w:r w:rsidRPr="004015B3">
        <w:rPr>
          <w:rStyle w:val="Emphasis"/>
        </w:rPr>
        <w:t>acts</w:t>
      </w:r>
      <w:r w:rsidRPr="004015B3">
        <w:rPr>
          <w:rStyle w:val="StyleUnderline"/>
        </w:rPr>
        <w:t xml:space="preserve"> </w:t>
      </w:r>
      <w:r w:rsidRPr="002A2760">
        <w:rPr>
          <w:rStyle w:val="StyleUnderline"/>
          <w:highlight w:val="green"/>
        </w:rPr>
        <w:t>related to</w:t>
      </w:r>
      <w:r w:rsidRPr="002A2760">
        <w:rPr>
          <w:rStyle w:val="StyleUnderline"/>
        </w:rPr>
        <w:t xml:space="preserve"> </w:t>
      </w:r>
      <w:r w:rsidRPr="00B9687F">
        <w:rPr>
          <w:rStyle w:val="Emphasis"/>
          <w:highlight w:val="green"/>
        </w:rPr>
        <w:t>immigration</w:t>
      </w:r>
      <w:r w:rsidRPr="002A2760">
        <w:rPr>
          <w:rStyle w:val="Emphasis"/>
        </w:rPr>
        <w:t xml:space="preserve"> </w:t>
      </w:r>
      <w:r w:rsidRPr="002A2760">
        <w:rPr>
          <w:rStyle w:val="Emphasis"/>
          <w:highlight w:val="green"/>
        </w:rPr>
        <w:t>status</w:t>
      </w:r>
      <w:r w:rsidRPr="002A2760">
        <w:rPr>
          <w:sz w:val="16"/>
        </w:rPr>
        <w:t>. In many cases, laws are insufficient to adequately address or deter forms of employer retaliation (Huizar 2019; Rhinehart and McNicholas 2021).</w:t>
      </w:r>
    </w:p>
    <w:p w14:paraId="5A33F7AE" w14:textId="77777777" w:rsidR="00C42954" w:rsidRPr="002A2760" w:rsidRDefault="00C42954" w:rsidP="00C42954">
      <w:pPr>
        <w:rPr>
          <w:sz w:val="16"/>
        </w:rPr>
      </w:pPr>
      <w:r w:rsidRPr="002A2760">
        <w:rPr>
          <w:sz w:val="16"/>
        </w:rPr>
        <w:t>Several factors play a role in enabling these widespread violations:</w:t>
      </w:r>
    </w:p>
    <w:p w14:paraId="16B1B1F1" w14:textId="77777777" w:rsidR="00C42954" w:rsidRPr="002A2760" w:rsidRDefault="00C42954" w:rsidP="00C42954">
      <w:pPr>
        <w:rPr>
          <w:sz w:val="16"/>
        </w:rPr>
      </w:pPr>
      <w:r w:rsidRPr="002A2760">
        <w:rPr>
          <w:sz w:val="16"/>
        </w:rPr>
        <w:t>• Federal and state enforcement resources are inadequate. The shortcomings in enforcement occur at all levels, starting at the top. Federal resources for the enforcement of worker protections have declined while the U.S. workforce has grown. The U.S. Department of Labor’s Wage and Hour Division (WHD) enforces federal wage and hour laws. In 1978, WHD had one investigator for approximately every 69,000 workers; by 2018, that figure was one investigator per 175,000 workers. In many states, the federal WHD may be the primary or only government agency enforcing wage and hour laws (Costa, Martin, and Rutledge 2020). Similarly, in 1978, OSHA—the federal agency charged with protecting and enforcing workers’ rights to a safe workplace—had one compliance officer for approximately every 60,000 workers; by 2018 that number had almost tripled to nearly 180,000 (Hamaji et al. 2019).7 Meanwhile, at the state level, in 2018, seven states had no investigators at all whose responsibilities included enforcement of minimum wage and overtime laws, while most states had fewer than 10 on staff (Levine 2018). In addition to the low frequency with which penalties are imposed on violators as a result of inadequate resources, the amounts employers must pay are frequently modest, often limited to paying back what they should have paid in the first place. In addition, back wages and penalties are also often difficult to collect, even by civil labor enforcement agencies (Cho, Koonse, and Mischel 2013).</w:t>
      </w:r>
    </w:p>
    <w:p w14:paraId="3A043B53" w14:textId="77777777" w:rsidR="00C42954" w:rsidRPr="002A2760" w:rsidRDefault="00C42954" w:rsidP="00C42954">
      <w:pPr>
        <w:rPr>
          <w:sz w:val="16"/>
        </w:rPr>
      </w:pPr>
      <w:r w:rsidRPr="002A2760">
        <w:rPr>
          <w:sz w:val="16"/>
        </w:rPr>
        <w:t>• Low union density leaves workers unprotected. Unions have traditionally helped ensure compliance with workplace laws, by serving as an on-site monitor in unionized workplaces, and by creating pressure on nonunionized workplaces to improve conditions (in order to compete for employees). However, as a result of several factors, including unfavorable federal labor laws and common employer retaliation for organizing, union density (meaning union membership as a share of employment) has diminished greatly over the past several decades (Rhinehart, Windham, and Mishel 2020). The national union membership rate of private-sector workers was only 6.3% in 2020 (BLS-CPS 2021).</w:t>
      </w:r>
    </w:p>
    <w:p w14:paraId="4F64B1A6" w14:textId="77777777" w:rsidR="00C42954" w:rsidRPr="002A2760" w:rsidRDefault="00C42954" w:rsidP="00C42954">
      <w:pPr>
        <w:rPr>
          <w:sz w:val="16"/>
        </w:rPr>
      </w:pPr>
      <w:r w:rsidRPr="002A2760">
        <w:rPr>
          <w:sz w:val="16"/>
        </w:rPr>
        <w:t>• Forced arbitration blocks an increasing number of workers from suing in court, and hides misconduct from public view. Historically, attorneys in the private bar and public interest organizations have played a significant role in addressing wage theft, discrimination, and other workplace violations. As experts have noted, often underfunded public enforcement agencies are unable to address all violations of workers’ rights in the workplace. That is why the ability of workers to take their employers to court—and join together in doing so—to fight wage theft, discrimination, harassment, and other violations has been crucial to enforcing workplace protections (Hamaji et al 2019). However, private attorneys are increasingly unable to address workplace protections. As of 2017, more than half (56.2%) of all private-sector nonunion employees were required by their employer, as a condition of employment, to sign a forced arbitration agreement (Colvin 2018). Under these agreements, workers waive their right to take their employer to court and consent instead to resolving disputes in private arbitration—a secretive process heavily tilted toward the employer. These agreements often include class- and collective-action waivers, under which employees give up their right to sue on a collective basis. In 2017, 41.1% of private-sector nonunion employees covered by mandatory arbitration procedures were also subject to class action waivers (Colvin 2018). The share of private-sector nonunion workers blocked from going to court by forced arbitration clauses with class- and collective-action waivers is projected to exceed 80% by 2024. (Hamaji et al. 2019). Workers win less often in forced arbitration than in court, and when they do win in arbitration, they win less money than in court (Stone and Colvin 2015). Importantly, when workers are required to give up their right to bring a class action, it becomes extremely difficult for them to find a private attorney to bring their case, since bringing a solo arbitration case eliminates the economies of scale that make wage theft and discrimination cases economically feasible for private lawyers. Most often, when there are forced arbitration and class waiver provisions, workers never bring cases at all: one scholar estimated that hundreds of thousands of claims are not even brought each year because workers are subject to forced arbitration and never file cases; she referred to the “black hole” of forced arbitration (Estlund 2018). The secrecy of arbitration proceedings also allows violations to persist unabated, by preventing wrongdoing from coming to light as would occur in a court case.</w:t>
      </w:r>
    </w:p>
    <w:p w14:paraId="6500069E" w14:textId="77777777" w:rsidR="00C42954" w:rsidRPr="002A2760" w:rsidRDefault="00C42954" w:rsidP="00C42954">
      <w:pPr>
        <w:rPr>
          <w:sz w:val="16"/>
        </w:rPr>
      </w:pPr>
      <w:r w:rsidRPr="002A2760">
        <w:rPr>
          <w:sz w:val="16"/>
        </w:rPr>
        <w:t>• The growth of the “fissured workplace” leads to increased violations and creates challenges for effective enforcement. The “fissured workplace” refers to companies that subcontract, use temporary agencies, use a franchise model, or otherwise use business models in which they avoid bearing the legal responsibilities of an employer (Weil 2014). According to Weil, growth of fissured workplaces over the past several decades contributes to workplace law violations. Lower-level contractors are often less capitalized and may exist within the underground economy. Also, mid-level firms, such as temp agencies, must make a profit themselves, leaving smaller margins and pressure to cut corners to make a profit by paying less money to workers at the bottom level. In addition, effective enforcement of minimum wage requirements, overtime pay obligations, and other workplace standards is often more difficult in a fissured workplace, because it can be difficult for enforcers to impose liability on higher-level “up-chain” entities that drive working conditions and have the ability to bring about lasting compliance.8</w:t>
      </w:r>
    </w:p>
    <w:p w14:paraId="4D0AC905" w14:textId="77777777" w:rsidR="00C42954" w:rsidRPr="002A2760" w:rsidRDefault="00C42954" w:rsidP="00C42954">
      <w:pPr>
        <w:rPr>
          <w:rStyle w:val="StyleUnderline"/>
        </w:rPr>
      </w:pPr>
      <w:r w:rsidRPr="002A2760">
        <w:rPr>
          <w:rStyle w:val="StyleUnderline"/>
        </w:rPr>
        <w:t xml:space="preserve">The </w:t>
      </w:r>
      <w:r w:rsidRPr="002A2760">
        <w:rPr>
          <w:rStyle w:val="Emphasis"/>
        </w:rPr>
        <w:t>rationale</w:t>
      </w:r>
      <w:r w:rsidRPr="002A2760">
        <w:rPr>
          <w:rStyle w:val="StyleUnderline"/>
        </w:rPr>
        <w:t xml:space="preserve"> for prosecution of wage theft and other employer crimes against workers is </w:t>
      </w:r>
      <w:r w:rsidRPr="002A2760">
        <w:rPr>
          <w:rStyle w:val="Emphasis"/>
        </w:rPr>
        <w:t>sound</w:t>
      </w:r>
    </w:p>
    <w:p w14:paraId="31CE94B1" w14:textId="77777777" w:rsidR="00C42954" w:rsidRPr="002A2760" w:rsidRDefault="00C42954" w:rsidP="00C42954">
      <w:pPr>
        <w:rPr>
          <w:sz w:val="16"/>
        </w:rPr>
      </w:pPr>
      <w:r w:rsidRPr="002A2760">
        <w:rPr>
          <w:sz w:val="16"/>
        </w:rPr>
        <w:t>Several reasons have been offered to support the position that violations of workers’ rights are an appropriate subject for criminal prosecution.</w:t>
      </w:r>
    </w:p>
    <w:p w14:paraId="5D2B15E7" w14:textId="77777777" w:rsidR="00C42954" w:rsidRPr="002A2760" w:rsidRDefault="00C42954" w:rsidP="00C42954">
      <w:pPr>
        <w:rPr>
          <w:rStyle w:val="StyleUnderline"/>
        </w:rPr>
      </w:pPr>
      <w:r w:rsidRPr="004015B3">
        <w:rPr>
          <w:rStyle w:val="StyleUnderline"/>
        </w:rPr>
        <w:t>Employer crimes</w:t>
      </w:r>
      <w:r w:rsidRPr="002A2760">
        <w:rPr>
          <w:rStyle w:val="StyleUnderline"/>
        </w:rPr>
        <w:t xml:space="preserve"> against workers </w:t>
      </w:r>
      <w:r w:rsidRPr="002A2760">
        <w:rPr>
          <w:rStyle w:val="StyleUnderline"/>
          <w:highlight w:val="green"/>
        </w:rPr>
        <w:t xml:space="preserve">cause </w:t>
      </w:r>
      <w:r w:rsidRPr="002A2760">
        <w:rPr>
          <w:rStyle w:val="Emphasis"/>
          <w:highlight w:val="green"/>
        </w:rPr>
        <w:t>significant harm</w:t>
      </w:r>
    </w:p>
    <w:p w14:paraId="58F42352" w14:textId="77777777" w:rsidR="00C42954" w:rsidRPr="002A2760" w:rsidRDefault="00C42954" w:rsidP="00C42954">
      <w:pPr>
        <w:rPr>
          <w:sz w:val="16"/>
        </w:rPr>
      </w:pPr>
      <w:r w:rsidRPr="002A2760">
        <w:rPr>
          <w:sz w:val="16"/>
        </w:rPr>
        <w:t xml:space="preserve">Although </w:t>
      </w:r>
      <w:r w:rsidRPr="002A2760">
        <w:rPr>
          <w:rStyle w:val="StyleUnderline"/>
        </w:rPr>
        <w:t>wage theft and other crimes against workers</w:t>
      </w:r>
      <w:r w:rsidRPr="002A2760">
        <w:rPr>
          <w:sz w:val="16"/>
        </w:rPr>
        <w:t xml:space="preserve"> are—like most white collar and property crimes—typically nonviolent, they nonetheless </w:t>
      </w:r>
      <w:r w:rsidRPr="002A2760">
        <w:rPr>
          <w:rStyle w:val="StyleUnderline"/>
        </w:rPr>
        <w:t xml:space="preserve">cause significant harm </w:t>
      </w:r>
      <w:r w:rsidRPr="00B821DF">
        <w:rPr>
          <w:rStyle w:val="StyleUnderline"/>
          <w:highlight w:val="green"/>
        </w:rPr>
        <w:t xml:space="preserve">to </w:t>
      </w:r>
      <w:r w:rsidRPr="00B821DF">
        <w:rPr>
          <w:rStyle w:val="Emphasis"/>
          <w:highlight w:val="green"/>
        </w:rPr>
        <w:t>workers</w:t>
      </w:r>
      <w:r w:rsidRPr="002A2760">
        <w:rPr>
          <w:rStyle w:val="StyleUnderline"/>
        </w:rPr>
        <w:t xml:space="preserve">, to honest employers, and to neighborhoods </w:t>
      </w:r>
      <w:r w:rsidRPr="002A2760">
        <w:rPr>
          <w:rStyle w:val="StyleUnderline"/>
          <w:highlight w:val="green"/>
        </w:rPr>
        <w:t xml:space="preserve">and </w:t>
      </w:r>
      <w:r w:rsidRPr="002A2760">
        <w:rPr>
          <w:rStyle w:val="Emphasis"/>
          <w:highlight w:val="green"/>
        </w:rPr>
        <w:t>communities</w:t>
      </w:r>
      <w:r w:rsidRPr="002A2760">
        <w:rPr>
          <w:sz w:val="16"/>
        </w:rPr>
        <w:t xml:space="preserve">. The amount of money denied to workers because of wage theft dwarfs the amount stolen through many other forms of theft: One study found that in 2012, the total value of property taken in robberies reported to police across the United States was $341 million, compared with $933 million in wages recovered for known victims of wage theft. (Meixell and Eisenbrey 2014). Note that the wage theft figure includes actually recovered back wages, which is </w:t>
      </w:r>
      <w:r w:rsidRPr="002A2760">
        <w:rPr>
          <w:rStyle w:val="StyleUnderline"/>
        </w:rPr>
        <w:t xml:space="preserve">likely a </w:t>
      </w:r>
      <w:r w:rsidRPr="002A2760">
        <w:rPr>
          <w:rStyle w:val="Emphasis"/>
        </w:rPr>
        <w:t>significant undercount</w:t>
      </w:r>
      <w:r w:rsidRPr="002A2760">
        <w:rPr>
          <w:rStyle w:val="StyleUnderline"/>
        </w:rPr>
        <w:t>, given underreporting of wage theft for various reasons</w:t>
      </w:r>
      <w:r w:rsidRPr="002A2760">
        <w:rPr>
          <w:sz w:val="16"/>
        </w:rPr>
        <w:t>.</w:t>
      </w:r>
    </w:p>
    <w:p w14:paraId="28FBE9EA" w14:textId="77777777" w:rsidR="00C42954" w:rsidRPr="002A2760" w:rsidRDefault="00C42954" w:rsidP="00C42954">
      <w:pPr>
        <w:rPr>
          <w:sz w:val="16"/>
        </w:rPr>
      </w:pPr>
      <w:r w:rsidRPr="002A2760">
        <w:rPr>
          <w:sz w:val="16"/>
        </w:rPr>
        <w:t xml:space="preserve">• </w:t>
      </w:r>
      <w:r w:rsidRPr="002A2760">
        <w:rPr>
          <w:rStyle w:val="StyleUnderline"/>
        </w:rPr>
        <w:t xml:space="preserve">Persistent wage theft impacts </w:t>
      </w:r>
      <w:r w:rsidRPr="002A2760">
        <w:rPr>
          <w:rStyle w:val="Emphasis"/>
        </w:rPr>
        <w:t>workers</w:t>
      </w:r>
      <w:r w:rsidRPr="002A2760">
        <w:rPr>
          <w:rStyle w:val="StyleUnderline"/>
        </w:rPr>
        <w:t xml:space="preserve">, their </w:t>
      </w:r>
      <w:r w:rsidRPr="002A2760">
        <w:rPr>
          <w:rStyle w:val="Emphasis"/>
        </w:rPr>
        <w:t>families</w:t>
      </w:r>
      <w:r w:rsidRPr="002A2760">
        <w:rPr>
          <w:rStyle w:val="StyleUnderline"/>
        </w:rPr>
        <w:t xml:space="preserve">, and </w:t>
      </w:r>
      <w:r w:rsidRPr="002A2760">
        <w:rPr>
          <w:rStyle w:val="Emphasis"/>
        </w:rPr>
        <w:t>neighborhood</w:t>
      </w:r>
      <w:r w:rsidRPr="002A2760">
        <w:rPr>
          <w:rStyle w:val="StyleUnderline"/>
        </w:rPr>
        <w:t xml:space="preserve"> businesses</w:t>
      </w:r>
      <w:r w:rsidRPr="002A2760">
        <w:rPr>
          <w:sz w:val="16"/>
        </w:rPr>
        <w:t xml:space="preserve"> (since underpaid workers have less money to spend), </w:t>
      </w:r>
      <w:r w:rsidRPr="004015B3">
        <w:rPr>
          <w:sz w:val="16"/>
        </w:rPr>
        <w:t xml:space="preserve">and it can affect the economic stability of neighborhoods and communities. As the cases in Section 3 demonstrate, </w:t>
      </w:r>
      <w:r w:rsidRPr="004015B3">
        <w:rPr>
          <w:rStyle w:val="StyleUnderline"/>
        </w:rPr>
        <w:t>employers’ crimes in wage theft or workplace safety cases often impact numerous victims</w:t>
      </w:r>
      <w:r w:rsidRPr="004015B3">
        <w:rPr>
          <w:sz w:val="16"/>
        </w:rPr>
        <w:t xml:space="preserve">. </w:t>
      </w:r>
      <w:r w:rsidRPr="004015B3">
        <w:rPr>
          <w:rStyle w:val="StyleUnderline"/>
        </w:rPr>
        <w:t xml:space="preserve">Moreover, given the </w:t>
      </w:r>
      <w:r w:rsidRPr="004015B3">
        <w:rPr>
          <w:rStyle w:val="Emphasis"/>
        </w:rPr>
        <w:t>social determinants of health</w:t>
      </w:r>
      <w:r w:rsidRPr="004015B3">
        <w:rPr>
          <w:rStyle w:val="StyleUnderline"/>
        </w:rPr>
        <w:t>, some public health experts have noted t</w:t>
      </w:r>
      <w:r w:rsidRPr="002A2760">
        <w:rPr>
          <w:rStyle w:val="StyleUnderline"/>
        </w:rPr>
        <w:t xml:space="preserve">hat </w:t>
      </w:r>
      <w:r w:rsidRPr="002A2760">
        <w:rPr>
          <w:rStyle w:val="Emphasis"/>
          <w:highlight w:val="green"/>
        </w:rPr>
        <w:t>wage theft</w:t>
      </w:r>
      <w:r w:rsidRPr="002A2760">
        <w:rPr>
          <w:rStyle w:val="StyleUnderline"/>
        </w:rPr>
        <w:t xml:space="preserve"> </w:t>
      </w:r>
      <w:r w:rsidRPr="004015B3">
        <w:rPr>
          <w:rStyle w:val="StyleUnderline"/>
        </w:rPr>
        <w:t xml:space="preserve">may </w:t>
      </w:r>
      <w:r w:rsidRPr="004015B3">
        <w:rPr>
          <w:rStyle w:val="Emphasis"/>
        </w:rPr>
        <w:t>exacerbate</w:t>
      </w:r>
      <w:r w:rsidRPr="004015B3">
        <w:rPr>
          <w:rStyle w:val="StyleUnderline"/>
        </w:rPr>
        <w:t xml:space="preserve"> adverse </w:t>
      </w:r>
      <w:r w:rsidRPr="004015B3">
        <w:rPr>
          <w:rStyle w:val="Emphasis"/>
        </w:rPr>
        <w:t>health impacts</w:t>
      </w:r>
      <w:r w:rsidRPr="004015B3">
        <w:rPr>
          <w:rStyle w:val="StyleUnderline"/>
        </w:rPr>
        <w:t xml:space="preserve"> of low wages and low-income status by generating </w:t>
      </w:r>
      <w:r w:rsidRPr="004015B3">
        <w:rPr>
          <w:rStyle w:val="Emphasis"/>
        </w:rPr>
        <w:t>income insecurity</w:t>
      </w:r>
      <w:r w:rsidRPr="004015B3">
        <w:rPr>
          <w:sz w:val="16"/>
        </w:rPr>
        <w:t xml:space="preserve">. </w:t>
      </w:r>
      <w:r w:rsidRPr="004015B3">
        <w:rPr>
          <w:rStyle w:val="StyleUnderline"/>
        </w:rPr>
        <w:t>Individu</w:t>
      </w:r>
      <w:r w:rsidRPr="002A2760">
        <w:rPr>
          <w:rStyle w:val="StyleUnderline"/>
        </w:rPr>
        <w:t xml:space="preserve">als not paid for hours worked, or paid less than what they earned, may </w:t>
      </w:r>
      <w:r w:rsidRPr="002A2760">
        <w:rPr>
          <w:rStyle w:val="StyleUnderline"/>
          <w:highlight w:val="green"/>
        </w:rPr>
        <w:t>not reliably</w:t>
      </w:r>
      <w:r w:rsidRPr="002A2760">
        <w:rPr>
          <w:rStyle w:val="StyleUnderline"/>
        </w:rPr>
        <w:t xml:space="preserve"> be able to </w:t>
      </w:r>
      <w:r w:rsidRPr="002A2760">
        <w:rPr>
          <w:rStyle w:val="StyleUnderline"/>
          <w:highlight w:val="green"/>
        </w:rPr>
        <w:t xml:space="preserve">pay </w:t>
      </w:r>
      <w:r w:rsidRPr="002A2760">
        <w:rPr>
          <w:rStyle w:val="Emphasis"/>
          <w:highlight w:val="green"/>
        </w:rPr>
        <w:t>rent</w:t>
      </w:r>
      <w:r w:rsidRPr="002A2760">
        <w:rPr>
          <w:rStyle w:val="StyleUnderline"/>
          <w:highlight w:val="green"/>
        </w:rPr>
        <w:t xml:space="preserve"> or </w:t>
      </w:r>
      <w:r w:rsidRPr="002A2760">
        <w:rPr>
          <w:rStyle w:val="Emphasis"/>
          <w:highlight w:val="green"/>
        </w:rPr>
        <w:t>heating</w:t>
      </w:r>
      <w:r w:rsidRPr="002A2760">
        <w:rPr>
          <w:rStyle w:val="StyleUnderline"/>
        </w:rPr>
        <w:t xml:space="preserve">, buy </w:t>
      </w:r>
      <w:r w:rsidRPr="00B821DF">
        <w:rPr>
          <w:rStyle w:val="Emphasis"/>
          <w:highlight w:val="green"/>
        </w:rPr>
        <w:t>groceries</w:t>
      </w:r>
      <w:r w:rsidRPr="00B821DF">
        <w:rPr>
          <w:rStyle w:val="StyleUnderline"/>
          <w:highlight w:val="green"/>
        </w:rPr>
        <w:t>, or</w:t>
      </w:r>
      <w:r w:rsidRPr="002A2760">
        <w:rPr>
          <w:rStyle w:val="StyleUnderline"/>
        </w:rPr>
        <w:t xml:space="preserve"> access </w:t>
      </w:r>
      <w:r w:rsidRPr="002A2760">
        <w:rPr>
          <w:rStyle w:val="Emphasis"/>
          <w:highlight w:val="green"/>
        </w:rPr>
        <w:t>transit</w:t>
      </w:r>
      <w:r w:rsidRPr="002A2760">
        <w:rPr>
          <w:sz w:val="16"/>
        </w:rPr>
        <w:t xml:space="preserve">. </w:t>
      </w:r>
      <w:r w:rsidRPr="002A2760">
        <w:rPr>
          <w:rStyle w:val="StyleUnderline"/>
        </w:rPr>
        <w:t xml:space="preserve">This in turn may </w:t>
      </w:r>
      <w:r w:rsidRPr="002A2760">
        <w:rPr>
          <w:rStyle w:val="StyleUnderline"/>
          <w:highlight w:val="green"/>
        </w:rPr>
        <w:t xml:space="preserve">result in </w:t>
      </w:r>
      <w:r w:rsidRPr="002A2760">
        <w:rPr>
          <w:rStyle w:val="Emphasis"/>
          <w:highlight w:val="green"/>
        </w:rPr>
        <w:t>increased</w:t>
      </w:r>
      <w:r w:rsidRPr="002A2760">
        <w:rPr>
          <w:rStyle w:val="Emphasis"/>
        </w:rPr>
        <w:t xml:space="preserve"> crowding</w:t>
      </w:r>
      <w:r w:rsidRPr="002A2760">
        <w:rPr>
          <w:rStyle w:val="StyleUnderline"/>
        </w:rPr>
        <w:t xml:space="preserve"> or </w:t>
      </w:r>
      <w:r w:rsidRPr="002A2760">
        <w:rPr>
          <w:rStyle w:val="Emphasis"/>
          <w:highlight w:val="green"/>
        </w:rPr>
        <w:t>homelessness</w:t>
      </w:r>
      <w:r w:rsidRPr="002A2760">
        <w:rPr>
          <w:rStyle w:val="StyleUnderline"/>
          <w:highlight w:val="green"/>
        </w:rPr>
        <w:t xml:space="preserve">, </w:t>
      </w:r>
      <w:r w:rsidRPr="00B821DF">
        <w:rPr>
          <w:rStyle w:val="Emphasis"/>
          <w:highlight w:val="green"/>
        </w:rPr>
        <w:t>hunger</w:t>
      </w:r>
      <w:r w:rsidRPr="004015B3">
        <w:rPr>
          <w:rStyle w:val="StyleUnderline"/>
        </w:rPr>
        <w:t xml:space="preserve">, decreased </w:t>
      </w:r>
      <w:r w:rsidRPr="004015B3">
        <w:rPr>
          <w:rStyle w:val="Emphasis"/>
        </w:rPr>
        <w:t>mobility</w:t>
      </w:r>
      <w:r w:rsidRPr="004015B3">
        <w:rPr>
          <w:rStyle w:val="StyleUnderline"/>
        </w:rPr>
        <w:t>, and</w:t>
      </w:r>
      <w:r w:rsidRPr="002A2760">
        <w:rPr>
          <w:rStyle w:val="StyleUnderline"/>
        </w:rPr>
        <w:t xml:space="preserve"> </w:t>
      </w:r>
      <w:r w:rsidRPr="004015B3">
        <w:rPr>
          <w:rStyle w:val="StyleUnderline"/>
          <w:highlight w:val="green"/>
        </w:rPr>
        <w:t xml:space="preserve">decreased ability </w:t>
      </w:r>
      <w:r w:rsidRPr="002A2760">
        <w:rPr>
          <w:rStyle w:val="StyleUnderline"/>
          <w:highlight w:val="green"/>
        </w:rPr>
        <w:t xml:space="preserve">to pay for </w:t>
      </w:r>
      <w:r w:rsidRPr="002A2760">
        <w:rPr>
          <w:rStyle w:val="Emphasis"/>
          <w:highlight w:val="green"/>
        </w:rPr>
        <w:t>child</w:t>
      </w:r>
      <w:r w:rsidRPr="002A2760">
        <w:rPr>
          <w:rStyle w:val="Emphasis"/>
        </w:rPr>
        <w:t xml:space="preserve"> care</w:t>
      </w:r>
      <w:r w:rsidRPr="002A2760">
        <w:rPr>
          <w:rStyle w:val="StyleUnderline"/>
        </w:rPr>
        <w:t xml:space="preserve"> </w:t>
      </w:r>
      <w:r w:rsidRPr="002A2760">
        <w:rPr>
          <w:rStyle w:val="StyleUnderline"/>
          <w:highlight w:val="green"/>
        </w:rPr>
        <w:t xml:space="preserve">or </w:t>
      </w:r>
      <w:r w:rsidRPr="002A2760">
        <w:rPr>
          <w:rStyle w:val="Emphasis"/>
          <w:highlight w:val="green"/>
        </w:rPr>
        <w:t>medical care</w:t>
      </w:r>
      <w:r w:rsidRPr="002A2760">
        <w:rPr>
          <w:rStyle w:val="StyleUnderline"/>
        </w:rPr>
        <w:t>—all having an adverse impact on health</w:t>
      </w:r>
      <w:r w:rsidRPr="002A2760">
        <w:rPr>
          <w:sz w:val="16"/>
        </w:rPr>
        <w:t>. Wage theft may also increase the number of hours or jobs worked, which may in turn decrease time spent with family, leisure time for physical activity, and sleep or rest (Minkler et al. 2014).</w:t>
      </w:r>
    </w:p>
    <w:p w14:paraId="634989C7" w14:textId="77777777" w:rsidR="00C42954" w:rsidRPr="002A2760" w:rsidRDefault="00C42954" w:rsidP="00C42954">
      <w:pPr>
        <w:rPr>
          <w:sz w:val="16"/>
        </w:rPr>
      </w:pPr>
      <w:r w:rsidRPr="002A2760">
        <w:rPr>
          <w:sz w:val="16"/>
        </w:rPr>
        <w:t xml:space="preserve">• </w:t>
      </w:r>
      <w:r w:rsidRPr="002A2760">
        <w:rPr>
          <w:rStyle w:val="StyleUnderline"/>
        </w:rPr>
        <w:t xml:space="preserve">Workers who are </w:t>
      </w:r>
      <w:r w:rsidRPr="002A2760">
        <w:rPr>
          <w:rStyle w:val="StyleUnderline"/>
          <w:highlight w:val="red"/>
        </w:rPr>
        <w:t>sexually harassed or assaulted</w:t>
      </w:r>
      <w:r w:rsidRPr="002A2760">
        <w:rPr>
          <w:rStyle w:val="StyleUnderline"/>
        </w:rPr>
        <w:t xml:space="preserve"> in the workplace experience serious effects, including </w:t>
      </w:r>
      <w:r w:rsidRPr="002A2760">
        <w:rPr>
          <w:rStyle w:val="Emphasis"/>
        </w:rPr>
        <w:t>harm</w:t>
      </w:r>
      <w:r w:rsidRPr="002A2760">
        <w:rPr>
          <w:rStyle w:val="StyleUnderline"/>
        </w:rPr>
        <w:t xml:space="preserve"> to </w:t>
      </w:r>
      <w:r w:rsidRPr="002A2760">
        <w:rPr>
          <w:rStyle w:val="Emphasis"/>
        </w:rPr>
        <w:t>mental and physical health</w:t>
      </w:r>
      <w:r w:rsidRPr="002A2760">
        <w:rPr>
          <w:sz w:val="16"/>
        </w:rPr>
        <w:t xml:space="preserve">, </w:t>
      </w:r>
      <w:r w:rsidRPr="002A2760">
        <w:rPr>
          <w:rStyle w:val="StyleUnderline"/>
        </w:rPr>
        <w:t>reduced opportunities for on-the-job learning and advancement, forced job change, unemployment, and abandonment of careers</w:t>
      </w:r>
      <w:r w:rsidRPr="002A2760">
        <w:rPr>
          <w:sz w:val="16"/>
        </w:rPr>
        <w:t>. Sexual harassment and assault in the workplace also harm employers, causing absences, turnover, reduced productivity, and litigation (Shaw, Hegewisch, and Hess 2018).</w:t>
      </w:r>
    </w:p>
    <w:p w14:paraId="173773FB" w14:textId="77777777" w:rsidR="00C42954" w:rsidRPr="002A2760" w:rsidRDefault="00C42954" w:rsidP="00C42954">
      <w:pPr>
        <w:rPr>
          <w:sz w:val="16"/>
        </w:rPr>
      </w:pPr>
      <w:r w:rsidRPr="002A2760">
        <w:rPr>
          <w:sz w:val="16"/>
        </w:rPr>
        <w:t>• Other crimes, like human trafficking and workplace fatalities, have clear and devastating lifelong impacts on victims and their families.</w:t>
      </w:r>
    </w:p>
    <w:p w14:paraId="4569321C" w14:textId="77777777" w:rsidR="00C42954" w:rsidRPr="002A2760" w:rsidRDefault="00C42954" w:rsidP="00C42954">
      <w:pPr>
        <w:rPr>
          <w:sz w:val="16"/>
        </w:rPr>
      </w:pPr>
      <w:r w:rsidRPr="002A2760">
        <w:rPr>
          <w:sz w:val="16"/>
        </w:rPr>
        <w:t>• Wage theft, payroll fraud, and related crimes also harm lawful businesses that comply with the law, since they must operate at a disadvantage relative to competitors that save money through breaking the law. When a business offers lower prices because it underpays employees, or when a company wins a contract because it cheats on unemployment insurance and other taxes, these acts create unfair competition for law-abiding employers (D.C. AG 2019). Widespread unaddressed violations by employers and corporations also undermine respect for the rule of law.</w:t>
      </w:r>
    </w:p>
    <w:p w14:paraId="6FB43269" w14:textId="77777777" w:rsidR="00C42954" w:rsidRPr="004015B3" w:rsidRDefault="00C42954" w:rsidP="00C42954">
      <w:pPr>
        <w:rPr>
          <w:sz w:val="16"/>
        </w:rPr>
      </w:pPr>
      <w:r w:rsidRPr="002A2760">
        <w:rPr>
          <w:sz w:val="16"/>
        </w:rPr>
        <w:t xml:space="preserve">• </w:t>
      </w:r>
      <w:r w:rsidRPr="002A2760">
        <w:rPr>
          <w:rStyle w:val="StyleUnderline"/>
        </w:rPr>
        <w:t xml:space="preserve">Employer crimes </w:t>
      </w:r>
      <w:r w:rsidRPr="002A2760">
        <w:rPr>
          <w:rStyle w:val="StyleUnderline"/>
          <w:highlight w:val="green"/>
        </w:rPr>
        <w:t>harm</w:t>
      </w:r>
      <w:r w:rsidRPr="002A2760">
        <w:rPr>
          <w:rStyle w:val="StyleUnderline"/>
        </w:rPr>
        <w:t xml:space="preserve"> the </w:t>
      </w:r>
      <w:r w:rsidRPr="004015B3">
        <w:rPr>
          <w:rStyle w:val="StyleUnderline"/>
        </w:rPr>
        <w:t>general public</w:t>
      </w:r>
      <w:r w:rsidRPr="004015B3">
        <w:rPr>
          <w:sz w:val="16"/>
        </w:rPr>
        <w:t xml:space="preserve">. </w:t>
      </w:r>
      <w:r w:rsidRPr="004015B3">
        <w:rPr>
          <w:rStyle w:val="StyleUnderline"/>
        </w:rPr>
        <w:t xml:space="preserve">Employers who </w:t>
      </w:r>
      <w:r w:rsidRPr="004015B3">
        <w:rPr>
          <w:rStyle w:val="Emphasis"/>
        </w:rPr>
        <w:t>evade</w:t>
      </w:r>
      <w:r w:rsidRPr="004015B3">
        <w:rPr>
          <w:rStyle w:val="StyleUnderline"/>
        </w:rPr>
        <w:t xml:space="preserve"> unemployment insurance taxes </w:t>
      </w:r>
      <w:r w:rsidRPr="004015B3">
        <w:rPr>
          <w:rStyle w:val="Emphasis"/>
        </w:rPr>
        <w:t>deprive</w:t>
      </w:r>
      <w:r w:rsidRPr="004015B3">
        <w:rPr>
          <w:rStyle w:val="StyleUnderline"/>
        </w:rPr>
        <w:t xml:space="preserve"> the system of </w:t>
      </w:r>
      <w:r w:rsidRPr="004015B3">
        <w:rPr>
          <w:rStyle w:val="Emphasis"/>
        </w:rPr>
        <w:t>resources</w:t>
      </w:r>
      <w:r w:rsidRPr="004015B3">
        <w:rPr>
          <w:rStyle w:val="StyleUnderline"/>
        </w:rPr>
        <w:t xml:space="preserve"> needed to provide this </w:t>
      </w:r>
      <w:r w:rsidRPr="004015B3">
        <w:rPr>
          <w:rStyle w:val="Emphasis"/>
        </w:rPr>
        <w:t>critical safety net</w:t>
      </w:r>
      <w:r w:rsidRPr="004015B3">
        <w:rPr>
          <w:sz w:val="16"/>
        </w:rPr>
        <w:t xml:space="preserve">; </w:t>
      </w:r>
      <w:r w:rsidRPr="004015B3">
        <w:rPr>
          <w:rStyle w:val="StyleUnderline"/>
        </w:rPr>
        <w:t xml:space="preserve">those who lie in relation to their workers’ compensation insurance </w:t>
      </w:r>
      <w:r w:rsidRPr="004015B3">
        <w:rPr>
          <w:rStyle w:val="Emphasis"/>
        </w:rPr>
        <w:t>burden</w:t>
      </w:r>
      <w:r w:rsidRPr="004015B3">
        <w:rPr>
          <w:rStyle w:val="StyleUnderline"/>
        </w:rPr>
        <w:t xml:space="preserve"> public </w:t>
      </w:r>
      <w:r w:rsidRPr="004015B3">
        <w:rPr>
          <w:rStyle w:val="Emphasis"/>
        </w:rPr>
        <w:t>health care resources</w:t>
      </w:r>
      <w:r w:rsidRPr="004015B3">
        <w:rPr>
          <w:rStyle w:val="StyleUnderline"/>
        </w:rPr>
        <w:t xml:space="preserve"> and increase insurance costs for all employers</w:t>
      </w:r>
      <w:r w:rsidRPr="004015B3">
        <w:rPr>
          <w:sz w:val="16"/>
        </w:rPr>
        <w:t>. In addition, given that very low wages in certain sectors require full-time workers to rely on government assistance to survive (Cooper 2016), persistent underpayment of workers’ wages likely exacerbates reliance on public benefit programs.</w:t>
      </w:r>
    </w:p>
    <w:p w14:paraId="6EFEE8F8" w14:textId="77777777" w:rsidR="00C42954" w:rsidRPr="004015B3" w:rsidRDefault="00C42954" w:rsidP="00C42954">
      <w:pPr>
        <w:rPr>
          <w:rStyle w:val="StyleUnderline"/>
        </w:rPr>
      </w:pPr>
      <w:r w:rsidRPr="004015B3">
        <w:rPr>
          <w:rStyle w:val="StyleUnderline"/>
        </w:rPr>
        <w:t xml:space="preserve">The crimes are </w:t>
      </w:r>
      <w:r w:rsidRPr="004015B3">
        <w:rPr>
          <w:rStyle w:val="Emphasis"/>
        </w:rPr>
        <w:t>intentional</w:t>
      </w:r>
    </w:p>
    <w:p w14:paraId="443C51A1" w14:textId="77777777" w:rsidR="00C42954" w:rsidRPr="002A2760" w:rsidRDefault="00C42954" w:rsidP="00C42954">
      <w:pPr>
        <w:rPr>
          <w:sz w:val="16"/>
        </w:rPr>
      </w:pPr>
      <w:r w:rsidRPr="004015B3">
        <w:rPr>
          <w:sz w:val="16"/>
        </w:rPr>
        <w:t xml:space="preserve">As many of the case examples provided in Section 3 demonstrate, </w:t>
      </w:r>
      <w:r w:rsidRPr="004015B3">
        <w:rPr>
          <w:rStyle w:val="StyleUnderline"/>
        </w:rPr>
        <w:t>crimes against workers generally result from conscious decision-making</w:t>
      </w:r>
      <w:r w:rsidRPr="004015B3">
        <w:rPr>
          <w:sz w:val="16"/>
        </w:rPr>
        <w:t xml:space="preserve">. Creating false payroll records; underreporting workers on unemployment insurance or workers’ compensation documents; </w:t>
      </w:r>
      <w:r w:rsidRPr="004015B3">
        <w:rPr>
          <w:rStyle w:val="StyleUnderline"/>
        </w:rPr>
        <w:t>shaving employee work hours</w:t>
      </w:r>
      <w:r w:rsidRPr="004015B3">
        <w:rPr>
          <w:sz w:val="16"/>
        </w:rPr>
        <w:t xml:space="preserve"> or stealing tips; </w:t>
      </w:r>
      <w:r w:rsidRPr="004015B3">
        <w:rPr>
          <w:rStyle w:val="Emphasis"/>
        </w:rPr>
        <w:t>retaliating</w:t>
      </w:r>
      <w:r w:rsidRPr="002A2760">
        <w:rPr>
          <w:rStyle w:val="StyleUnderline"/>
        </w:rPr>
        <w:t xml:space="preserve"> against employees who speak up when their rights are violated</w:t>
      </w:r>
      <w:r w:rsidRPr="002A2760">
        <w:rPr>
          <w:sz w:val="16"/>
        </w:rPr>
        <w:t xml:space="preserve">; paying no wages for an entire month or longer; </w:t>
      </w:r>
      <w:r w:rsidRPr="002A2760">
        <w:rPr>
          <w:rStyle w:val="StyleUnderline"/>
          <w:highlight w:val="green"/>
        </w:rPr>
        <w:t>assaulting</w:t>
      </w:r>
      <w:r w:rsidRPr="002A2760">
        <w:rPr>
          <w:sz w:val="16"/>
        </w:rPr>
        <w:t xml:space="preserve"> minors or </w:t>
      </w:r>
      <w:r w:rsidRPr="002A2760">
        <w:rPr>
          <w:rStyle w:val="Emphasis"/>
          <w:highlight w:val="green"/>
        </w:rPr>
        <w:t>undocumented</w:t>
      </w:r>
      <w:r w:rsidRPr="002A2760">
        <w:rPr>
          <w:rStyle w:val="StyleUnderline"/>
          <w:highlight w:val="green"/>
        </w:rPr>
        <w:t xml:space="preserve"> women workers</w:t>
      </w:r>
      <w:r w:rsidRPr="002A2760">
        <w:rPr>
          <w:sz w:val="16"/>
        </w:rPr>
        <w:t xml:space="preserve">; </w:t>
      </w:r>
      <w:r w:rsidRPr="002A2760">
        <w:rPr>
          <w:rStyle w:val="StyleUnderline"/>
        </w:rPr>
        <w:t xml:space="preserve">and </w:t>
      </w:r>
      <w:r w:rsidRPr="00B821DF">
        <w:rPr>
          <w:rStyle w:val="StyleUnderline"/>
          <w:highlight w:val="green"/>
        </w:rPr>
        <w:t xml:space="preserve">eschewing </w:t>
      </w:r>
      <w:r w:rsidRPr="00B821DF">
        <w:rPr>
          <w:rStyle w:val="Emphasis"/>
          <w:highlight w:val="green"/>
        </w:rPr>
        <w:t>critical</w:t>
      </w:r>
      <w:r w:rsidRPr="002A2760">
        <w:rPr>
          <w:rStyle w:val="StyleUnderline"/>
        </w:rPr>
        <w:t xml:space="preserve"> and </w:t>
      </w:r>
      <w:r w:rsidRPr="002A2760">
        <w:rPr>
          <w:rStyle w:val="Emphasis"/>
        </w:rPr>
        <w:t>obvious</w:t>
      </w:r>
      <w:r w:rsidRPr="002A2760">
        <w:rPr>
          <w:rStyle w:val="StyleUnderline"/>
        </w:rPr>
        <w:t xml:space="preserve"> workplace </w:t>
      </w:r>
      <w:r w:rsidRPr="002A2760">
        <w:rPr>
          <w:rStyle w:val="Emphasis"/>
        </w:rPr>
        <w:t xml:space="preserve">safety </w:t>
      </w:r>
      <w:r w:rsidRPr="002A2760">
        <w:rPr>
          <w:rStyle w:val="Emphasis"/>
          <w:highlight w:val="green"/>
        </w:rPr>
        <w:t>requirements</w:t>
      </w:r>
      <w:r w:rsidRPr="002A2760">
        <w:rPr>
          <w:rStyle w:val="StyleUnderline"/>
          <w:highlight w:val="green"/>
        </w:rPr>
        <w:t xml:space="preserve"> are</w:t>
      </w:r>
      <w:r w:rsidRPr="00722749">
        <w:rPr>
          <w:rStyle w:val="StyleUnderline"/>
        </w:rPr>
        <w:t xml:space="preserve"> </w:t>
      </w:r>
      <w:r w:rsidRPr="00722749">
        <w:rPr>
          <w:rStyle w:val="Emphasis"/>
        </w:rPr>
        <w:t>not in</w:t>
      </w:r>
      <w:r w:rsidRPr="002A2760">
        <w:rPr>
          <w:rStyle w:val="Emphasis"/>
          <w:highlight w:val="green"/>
        </w:rPr>
        <w:t>advertent</w:t>
      </w:r>
      <w:r w:rsidRPr="002A2760">
        <w:rPr>
          <w:rStyle w:val="StyleUnderline"/>
        </w:rPr>
        <w:t xml:space="preserve"> mistakes</w:t>
      </w:r>
      <w:r w:rsidRPr="002A2760">
        <w:rPr>
          <w:sz w:val="16"/>
        </w:rPr>
        <w:t xml:space="preserve">. </w:t>
      </w:r>
      <w:r w:rsidRPr="00722749">
        <w:rPr>
          <w:rStyle w:val="StyleUnderline"/>
        </w:rPr>
        <w:t xml:space="preserve">Some employers are </w:t>
      </w:r>
      <w:r w:rsidRPr="00722749">
        <w:rPr>
          <w:rStyle w:val="Emphasis"/>
        </w:rPr>
        <w:t>repeat violators</w:t>
      </w:r>
      <w:r w:rsidRPr="00722749">
        <w:rPr>
          <w:sz w:val="16"/>
        </w:rPr>
        <w:t xml:space="preserve"> (N.Y. AG 2014a). In addition, </w:t>
      </w:r>
      <w:r w:rsidRPr="00722749">
        <w:rPr>
          <w:rStyle w:val="StyleUnderline"/>
        </w:rPr>
        <w:t xml:space="preserve">employer </w:t>
      </w:r>
      <w:r w:rsidRPr="00722749">
        <w:rPr>
          <w:rStyle w:val="StyleUnderline"/>
          <w:highlight w:val="green"/>
        </w:rPr>
        <w:t>crimes</w:t>
      </w:r>
      <w:r w:rsidRPr="00722749">
        <w:rPr>
          <w:rStyle w:val="StyleUnderline"/>
        </w:rPr>
        <w:t xml:space="preserve"> often occur </w:t>
      </w:r>
      <w:r w:rsidRPr="00722749">
        <w:rPr>
          <w:rStyle w:val="StyleUnderline"/>
          <w:highlight w:val="green"/>
        </w:rPr>
        <w:t xml:space="preserve">in </w:t>
      </w:r>
      <w:r w:rsidRPr="00722749">
        <w:rPr>
          <w:rStyle w:val="Emphasis"/>
          <w:highlight w:val="green"/>
        </w:rPr>
        <w:t>clusters</w:t>
      </w:r>
      <w:r w:rsidRPr="00722749">
        <w:rPr>
          <w:sz w:val="16"/>
        </w:rPr>
        <w:t xml:space="preserve">: </w:t>
      </w:r>
      <w:r w:rsidRPr="00722749">
        <w:rPr>
          <w:rStyle w:val="StyleUnderline"/>
        </w:rPr>
        <w:t>The same employer who fails to pay workers is also evading</w:t>
      </w:r>
      <w:r w:rsidRPr="00722749">
        <w:rPr>
          <w:sz w:val="16"/>
        </w:rPr>
        <w:t xml:space="preserve"> UI and </w:t>
      </w:r>
      <w:r w:rsidRPr="00722749">
        <w:rPr>
          <w:rStyle w:val="StyleUnderline"/>
        </w:rPr>
        <w:t>other taxes and violating workers’ compensation laws</w:t>
      </w:r>
      <w:r w:rsidRPr="00722749">
        <w:rPr>
          <w:sz w:val="16"/>
        </w:rPr>
        <w:t xml:space="preserve"> (Piore and Schrank 2018, 37–39). The Colorado legislature, in a recent statute targeting labor trafficking and wage theft, noted, “Persons who commit the crime of human trafficking often commit other crimes such as wage theft, tax evasion, and workers’ compensation fraud, which drains local and state resources, as well as denies the state its right to revenue.”9 Further, certain </w:t>
      </w:r>
      <w:r w:rsidRPr="00722749">
        <w:rPr>
          <w:rStyle w:val="Emphasis"/>
        </w:rPr>
        <w:t>predatory</w:t>
      </w:r>
      <w:r w:rsidRPr="00722749">
        <w:rPr>
          <w:rStyle w:val="StyleUnderline"/>
        </w:rPr>
        <w:t xml:space="preserve"> employers specifically </w:t>
      </w:r>
      <w:r w:rsidRPr="002A2760">
        <w:rPr>
          <w:rStyle w:val="Emphasis"/>
          <w:highlight w:val="green"/>
        </w:rPr>
        <w:t>take advantage</w:t>
      </w:r>
      <w:r w:rsidRPr="002A2760">
        <w:rPr>
          <w:rStyle w:val="StyleUnderline"/>
          <w:highlight w:val="green"/>
        </w:rPr>
        <w:t xml:space="preserve"> of</w:t>
      </w:r>
      <w:r w:rsidRPr="002A2760">
        <w:rPr>
          <w:rStyle w:val="StyleUnderline"/>
        </w:rPr>
        <w:t xml:space="preserve"> </w:t>
      </w:r>
      <w:r w:rsidRPr="002A2760">
        <w:rPr>
          <w:rStyle w:val="Emphasis"/>
        </w:rPr>
        <w:t>young</w:t>
      </w:r>
      <w:r w:rsidRPr="002A2760">
        <w:rPr>
          <w:rStyle w:val="StyleUnderline"/>
        </w:rPr>
        <w:t xml:space="preserve"> people, </w:t>
      </w:r>
      <w:r w:rsidRPr="002A2760">
        <w:rPr>
          <w:rStyle w:val="Emphasis"/>
          <w:highlight w:val="green"/>
        </w:rPr>
        <w:t>immigrants</w:t>
      </w:r>
      <w:r w:rsidRPr="002A2760">
        <w:rPr>
          <w:rStyle w:val="StyleUnderline"/>
          <w:highlight w:val="green"/>
        </w:rPr>
        <w:t>, or</w:t>
      </w:r>
      <w:r w:rsidRPr="00722749">
        <w:rPr>
          <w:rStyle w:val="StyleUnderline"/>
        </w:rPr>
        <w:t xml:space="preserve"> other </w:t>
      </w:r>
      <w:r w:rsidRPr="00722749">
        <w:rPr>
          <w:rStyle w:val="Emphasis"/>
        </w:rPr>
        <w:t>particularly</w:t>
      </w:r>
      <w:r w:rsidRPr="002A2760">
        <w:rPr>
          <w:rStyle w:val="Emphasis"/>
        </w:rPr>
        <w:t xml:space="preserve"> </w:t>
      </w:r>
      <w:r w:rsidRPr="002A2760">
        <w:rPr>
          <w:rStyle w:val="Emphasis"/>
          <w:highlight w:val="green"/>
        </w:rPr>
        <w:t>vulnerable</w:t>
      </w:r>
      <w:r w:rsidRPr="002A2760">
        <w:rPr>
          <w:rStyle w:val="StyleUnderline"/>
        </w:rPr>
        <w:t xml:space="preserve"> worker populations</w:t>
      </w:r>
      <w:r w:rsidRPr="002A2760">
        <w:rPr>
          <w:sz w:val="16"/>
        </w:rPr>
        <w:t>.</w:t>
      </w:r>
    </w:p>
    <w:p w14:paraId="591457BE" w14:textId="77777777" w:rsidR="00C42954" w:rsidRPr="002A2760" w:rsidRDefault="00C42954" w:rsidP="00C42954">
      <w:pPr>
        <w:rPr>
          <w:rStyle w:val="StyleUnderline"/>
        </w:rPr>
      </w:pPr>
      <w:r w:rsidRPr="002A2760">
        <w:rPr>
          <w:rStyle w:val="StyleUnderline"/>
        </w:rPr>
        <w:t xml:space="preserve">Criminal prosecution of employer crimes against workers is likely to </w:t>
      </w:r>
      <w:r w:rsidRPr="002A2760">
        <w:rPr>
          <w:rStyle w:val="Emphasis"/>
        </w:rPr>
        <w:t>deter similar violations</w:t>
      </w:r>
      <w:r w:rsidRPr="002A2760">
        <w:rPr>
          <w:rStyle w:val="StyleUnderline"/>
        </w:rPr>
        <w:t xml:space="preserve"> by </w:t>
      </w:r>
      <w:r w:rsidRPr="002A2760">
        <w:rPr>
          <w:rStyle w:val="Emphasis"/>
        </w:rPr>
        <w:t>other employers</w:t>
      </w:r>
    </w:p>
    <w:p w14:paraId="7C76EE15" w14:textId="77777777" w:rsidR="00C42954" w:rsidRPr="002A2760" w:rsidRDefault="00C42954" w:rsidP="00C42954">
      <w:pPr>
        <w:rPr>
          <w:sz w:val="16"/>
        </w:rPr>
      </w:pPr>
      <w:bookmarkStart w:id="0" w:name="_Hlk207123356"/>
      <w:r w:rsidRPr="002A2760">
        <w:rPr>
          <w:rStyle w:val="StyleUnderline"/>
        </w:rPr>
        <w:t xml:space="preserve">Inefficacies in and </w:t>
      </w:r>
      <w:r w:rsidRPr="002A2760">
        <w:rPr>
          <w:rStyle w:val="Emphasis"/>
          <w:highlight w:val="green"/>
        </w:rPr>
        <w:t>weaknesses</w:t>
      </w:r>
      <w:r w:rsidRPr="002A2760">
        <w:rPr>
          <w:rStyle w:val="StyleUnderline"/>
          <w:highlight w:val="green"/>
        </w:rPr>
        <w:t xml:space="preserve"> of</w:t>
      </w:r>
      <w:r w:rsidRPr="002A2760">
        <w:rPr>
          <w:rStyle w:val="StyleUnderline"/>
        </w:rPr>
        <w:t xml:space="preserve"> our regulatory </w:t>
      </w:r>
      <w:r w:rsidRPr="002A2760">
        <w:rPr>
          <w:rStyle w:val="StyleUnderline"/>
          <w:highlight w:val="green"/>
        </w:rPr>
        <w:t>systems</w:t>
      </w:r>
      <w:r w:rsidRPr="002A2760">
        <w:rPr>
          <w:rStyle w:val="StyleUnderline"/>
        </w:rPr>
        <w:t xml:space="preserve"> have been cited as </w:t>
      </w:r>
      <w:r w:rsidRPr="002A2760">
        <w:rPr>
          <w:rStyle w:val="Emphasis"/>
          <w:highlight w:val="green"/>
        </w:rPr>
        <w:t>necessitating criminal prosecutions against companies</w:t>
      </w:r>
      <w:r w:rsidRPr="002A2760">
        <w:rPr>
          <w:rStyle w:val="StyleUnderline"/>
        </w:rPr>
        <w:t xml:space="preserve"> for workplace and other abuses</w:t>
      </w:r>
      <w:r w:rsidRPr="002A2760">
        <w:rPr>
          <w:sz w:val="16"/>
        </w:rPr>
        <w:t xml:space="preserve"> (Steinzor 2015, 15–39). As described in Section 2B, </w:t>
      </w:r>
      <w:r w:rsidRPr="002A2760">
        <w:rPr>
          <w:rStyle w:val="StyleUnderline"/>
        </w:rPr>
        <w:t>civil labor enforcement agency resources are inadequate, limiting their effectiveness</w:t>
      </w:r>
      <w:r w:rsidRPr="002A2760">
        <w:rPr>
          <w:sz w:val="16"/>
        </w:rPr>
        <w:t xml:space="preserve">. </w:t>
      </w:r>
      <w:r w:rsidRPr="002A2760">
        <w:rPr>
          <w:rStyle w:val="Emphasis"/>
        </w:rPr>
        <w:t>DA involvement</w:t>
      </w:r>
      <w:r w:rsidRPr="002A2760">
        <w:rPr>
          <w:rStyle w:val="StyleUnderline"/>
        </w:rPr>
        <w:t xml:space="preserve"> could have a </w:t>
      </w:r>
      <w:r w:rsidRPr="002A2760">
        <w:rPr>
          <w:rStyle w:val="Emphasis"/>
        </w:rPr>
        <w:t>particularly decisive effect</w:t>
      </w:r>
      <w:r w:rsidRPr="002A2760">
        <w:rPr>
          <w:rStyle w:val="StyleUnderline"/>
        </w:rPr>
        <w:t xml:space="preserve"> in jurisdictions where state labor department enforcement is minimal or nonexistent</w:t>
      </w:r>
      <w:r w:rsidRPr="002A2760">
        <w:rPr>
          <w:sz w:val="16"/>
        </w:rPr>
        <w:t xml:space="preserve">. Elsewhere, too, </w:t>
      </w:r>
      <w:r w:rsidRPr="002A2760">
        <w:rPr>
          <w:rStyle w:val="StyleUnderline"/>
        </w:rPr>
        <w:t xml:space="preserve">criminal prosecutions are likely to have a </w:t>
      </w:r>
      <w:r w:rsidRPr="002A2760">
        <w:rPr>
          <w:rStyle w:val="Emphasis"/>
        </w:rPr>
        <w:t>significant deterrent impact</w:t>
      </w:r>
      <w:r w:rsidRPr="002A2760">
        <w:rPr>
          <w:rStyle w:val="StyleUnderline"/>
        </w:rPr>
        <w:t xml:space="preserve"> on employer misconduct</w:t>
      </w:r>
      <w:r w:rsidRPr="002A2760">
        <w:rPr>
          <w:sz w:val="16"/>
        </w:rPr>
        <w:t>.</w:t>
      </w:r>
    </w:p>
    <w:p w14:paraId="7998A891" w14:textId="77777777" w:rsidR="00C42954" w:rsidRPr="002A2760" w:rsidRDefault="00C42954" w:rsidP="00C42954">
      <w:pPr>
        <w:rPr>
          <w:sz w:val="16"/>
        </w:rPr>
      </w:pPr>
      <w:r w:rsidRPr="002A2760">
        <w:rPr>
          <w:rStyle w:val="StyleUnderline"/>
        </w:rPr>
        <w:t xml:space="preserve">Prosecution of an employer can result in </w:t>
      </w:r>
      <w:r w:rsidRPr="002A2760">
        <w:rPr>
          <w:rStyle w:val="Emphasis"/>
        </w:rPr>
        <w:t>specific deterrence</w:t>
      </w:r>
      <w:r w:rsidRPr="002A2760">
        <w:rPr>
          <w:rStyle w:val="StyleUnderline"/>
        </w:rPr>
        <w:t xml:space="preserve">, meaning </w:t>
      </w:r>
      <w:r w:rsidRPr="002A2760">
        <w:rPr>
          <w:rStyle w:val="Emphasis"/>
        </w:rPr>
        <w:t>prevention of violations</w:t>
      </w:r>
      <w:r w:rsidRPr="002A2760">
        <w:rPr>
          <w:rStyle w:val="StyleUnderline"/>
        </w:rPr>
        <w:t xml:space="preserve"> by the prosecuted employer</w:t>
      </w:r>
      <w:r w:rsidRPr="002A2760">
        <w:rPr>
          <w:sz w:val="16"/>
        </w:rPr>
        <w:t xml:space="preserve"> through, for example, a plea agreement requiring ongoing compliance as a condition of probation or incorporating independent monitoring. While it requires further study (see Section 5 below), </w:t>
      </w:r>
      <w:r w:rsidRPr="002A2760">
        <w:rPr>
          <w:rStyle w:val="StyleUnderline"/>
        </w:rPr>
        <w:t xml:space="preserve">criminal prosecution of employers also appears likely to </w:t>
      </w:r>
      <w:r w:rsidRPr="002A2760">
        <w:rPr>
          <w:rStyle w:val="StyleUnderline"/>
          <w:highlight w:val="green"/>
        </w:rPr>
        <w:t>have</w:t>
      </w:r>
      <w:r w:rsidRPr="002A2760">
        <w:rPr>
          <w:rStyle w:val="StyleUnderline"/>
        </w:rPr>
        <w:t xml:space="preserve"> a </w:t>
      </w:r>
      <w:r w:rsidRPr="002A2760">
        <w:rPr>
          <w:rStyle w:val="Emphasis"/>
          <w:highlight w:val="green"/>
        </w:rPr>
        <w:t>meaningful general deterrent</w:t>
      </w:r>
      <w:r w:rsidRPr="002A2760">
        <w:rPr>
          <w:rStyle w:val="StyleUnderline"/>
        </w:rPr>
        <w:t xml:space="preserve"> impact </w:t>
      </w:r>
      <w:r w:rsidRPr="002A2760">
        <w:rPr>
          <w:rStyle w:val="StyleUnderline"/>
          <w:highlight w:val="green"/>
        </w:rPr>
        <w:t xml:space="preserve">on </w:t>
      </w:r>
      <w:r w:rsidRPr="002A2760">
        <w:rPr>
          <w:rStyle w:val="Emphasis"/>
          <w:highlight w:val="green"/>
        </w:rPr>
        <w:t>exploitative business models</w:t>
      </w:r>
      <w:r w:rsidRPr="002A2760">
        <w:rPr>
          <w:rStyle w:val="StyleUnderline"/>
        </w:rPr>
        <w:t xml:space="preserve"> that treat civil enforcement as unlikely to occur and civil penalties as a modest “cost of doing business.”</w:t>
      </w:r>
    </w:p>
    <w:p w14:paraId="7087B623" w14:textId="77777777" w:rsidR="00C42954" w:rsidRPr="002A2760" w:rsidRDefault="00C42954" w:rsidP="00C42954">
      <w:pPr>
        <w:rPr>
          <w:sz w:val="16"/>
        </w:rPr>
      </w:pPr>
      <w:r w:rsidRPr="002A2760">
        <w:rPr>
          <w:sz w:val="16"/>
        </w:rPr>
        <w:t xml:space="preserve">Noncompliance with wage and hour laws (for example) has been described as a “rational” profit-maximizing decision made by unethical employers in response to low enforcement rates and deficient penalties. Scholars who have analyzed employer costs and benefits of noncompliance find that “employers will not comply with the law if the expected penalties are small either because it is easy to escape detection or because assessed penalties are small” (Ashenfelter and Smith 1979). Currently, as described in Section 2B, the likelihood of detection is low. The cost of detection is generally modest: Civil enforcement frequently recovers only back wages owed to employees, essentially converting workers’ wages into an interest-free loan to the employer. In this context, </w:t>
      </w:r>
      <w:r w:rsidRPr="002A2760">
        <w:rPr>
          <w:rStyle w:val="Emphasis"/>
          <w:highlight w:val="green"/>
        </w:rPr>
        <w:t>criminal prosecution</w:t>
      </w:r>
      <w:r w:rsidRPr="002A2760">
        <w:rPr>
          <w:rStyle w:val="StyleUnderline"/>
        </w:rPr>
        <w:t xml:space="preserve"> could </w:t>
      </w:r>
      <w:r w:rsidRPr="002A2760">
        <w:rPr>
          <w:rStyle w:val="Emphasis"/>
          <w:highlight w:val="green"/>
        </w:rPr>
        <w:t>change</w:t>
      </w:r>
      <w:r w:rsidRPr="002A2760">
        <w:rPr>
          <w:rStyle w:val="StyleUnderline"/>
        </w:rPr>
        <w:t xml:space="preserve"> an </w:t>
      </w:r>
      <w:r w:rsidRPr="002A2760">
        <w:rPr>
          <w:rStyle w:val="StyleUnderline"/>
          <w:highlight w:val="green"/>
        </w:rPr>
        <w:t>employer’s equation</w:t>
      </w:r>
      <w:r w:rsidRPr="002A2760">
        <w:rPr>
          <w:rStyle w:val="StyleUnderline"/>
        </w:rPr>
        <w:t xml:space="preserve">, by </w:t>
      </w:r>
      <w:r w:rsidRPr="002A2760">
        <w:rPr>
          <w:rStyle w:val="Emphasis"/>
          <w:highlight w:val="green"/>
        </w:rPr>
        <w:t>increasing</w:t>
      </w:r>
      <w:r w:rsidRPr="002A2760">
        <w:rPr>
          <w:rStyle w:val="Emphasis"/>
        </w:rPr>
        <w:t xml:space="preserve"> the </w:t>
      </w:r>
      <w:r w:rsidRPr="002A2760">
        <w:rPr>
          <w:rStyle w:val="Emphasis"/>
          <w:highlight w:val="green"/>
        </w:rPr>
        <w:t>likelihood</w:t>
      </w:r>
      <w:r w:rsidRPr="002A2760">
        <w:rPr>
          <w:rStyle w:val="Emphasis"/>
        </w:rPr>
        <w:t xml:space="preserve"> of detection</w:t>
      </w:r>
      <w:r w:rsidRPr="002A2760">
        <w:rPr>
          <w:rStyle w:val="StyleUnderline"/>
        </w:rPr>
        <w:t xml:space="preserve"> through adding a </w:t>
      </w:r>
      <w:r w:rsidRPr="002A2760">
        <w:rPr>
          <w:rStyle w:val="Emphasis"/>
        </w:rPr>
        <w:t>visible and powerful new enforcer</w:t>
      </w:r>
      <w:r w:rsidRPr="002A2760">
        <w:rPr>
          <w:rStyle w:val="StyleUnderline"/>
        </w:rPr>
        <w:t xml:space="preserve"> to the picture, </w:t>
      </w:r>
      <w:r w:rsidRPr="002A2760">
        <w:rPr>
          <w:rStyle w:val="StyleUnderline"/>
          <w:highlight w:val="green"/>
        </w:rPr>
        <w:t>as well as</w:t>
      </w:r>
      <w:r w:rsidRPr="002A2760">
        <w:rPr>
          <w:rStyle w:val="StyleUnderline"/>
        </w:rPr>
        <w:t xml:space="preserve"> </w:t>
      </w:r>
      <w:r w:rsidRPr="002A2760">
        <w:rPr>
          <w:rStyle w:val="Emphasis"/>
        </w:rPr>
        <w:t xml:space="preserve">increasing the </w:t>
      </w:r>
      <w:r w:rsidRPr="002A2760">
        <w:rPr>
          <w:rStyle w:val="Emphasis"/>
          <w:highlight w:val="green"/>
        </w:rPr>
        <w:t>cost of detection</w:t>
      </w:r>
      <w:r w:rsidRPr="002A2760">
        <w:rPr>
          <w:sz w:val="16"/>
        </w:rPr>
        <w:t xml:space="preserve"> (</w:t>
      </w:r>
      <w:r w:rsidRPr="002A2760">
        <w:rPr>
          <w:rStyle w:val="StyleUnderline"/>
        </w:rPr>
        <w:t>in the form of individual financial, reputational, and other costs</w:t>
      </w:r>
      <w:r w:rsidRPr="002A2760">
        <w:rPr>
          <w:sz w:val="16"/>
        </w:rPr>
        <w:t>). Media coverage of criminal prosecutions should also increase the perceived likelihood and cost of detection. Such publicity serves an additional deterrent purpose: A recent study showed that press releases about OSHA enforcement of workplace safety violations deterred other workplace safety violations (Johnson 2020), a conclusion likely applicable to other aspects of workplace compliance as well.</w:t>
      </w:r>
    </w:p>
    <w:bookmarkEnd w:id="0"/>
    <w:p w14:paraId="21635979" w14:textId="77777777" w:rsidR="00C42954" w:rsidRPr="002A2760" w:rsidRDefault="00C42954" w:rsidP="00C42954">
      <w:pPr>
        <w:rPr>
          <w:sz w:val="16"/>
        </w:rPr>
      </w:pPr>
      <w:r w:rsidRPr="002A2760">
        <w:rPr>
          <w:sz w:val="16"/>
        </w:rPr>
        <w:t>Prosecutions related to workplace conduct already routinely occur, indicating that workplace matters are not currently treated as solely civil in nature</w:t>
      </w:r>
    </w:p>
    <w:p w14:paraId="7B6C3B10" w14:textId="77777777" w:rsidR="00C42954" w:rsidRPr="002A2760" w:rsidRDefault="00C42954" w:rsidP="00C42954">
      <w:pPr>
        <w:rPr>
          <w:sz w:val="16"/>
        </w:rPr>
      </w:pPr>
      <w:r w:rsidRPr="002A2760">
        <w:rPr>
          <w:sz w:val="16"/>
        </w:rPr>
        <w:t>Prosecutors routinely bring charges against employees who embezzle or otherwise steal from their employers. In addition, many prosecutors routinely pursue claimants who have fraudulently received workers’ compensation or unemployment insurance benefits.10 Given that the criminal justice system already addresses workplace matters when employers are harmed, it is appropriate to use the same jurisdiction and power when workers are harmed. Fairness in administration of justice would seem to require examination of employer misconduct, perhaps particularly urgently so during a time when workers deemed essential often experience serious workplace dangers and violations of law. (Rosenthal 2021). Moreover, fraud or wage theft by one employer will often cause a greater magnitude of harm than fraud perpetrated by an individual worker; for example, one employer that evades UI taxes year after year will generally cheat the UI program of significantly more money than one individual fraudulent UI claimant. In addition, criminal prosecution of a single employer who is a serial violator is likely to result in justice for many workers, past and future.</w:t>
      </w:r>
    </w:p>
    <w:p w14:paraId="0222D94A" w14:textId="77777777" w:rsidR="00C42954" w:rsidRPr="002A2760" w:rsidRDefault="00C42954" w:rsidP="00C42954">
      <w:pPr>
        <w:rPr>
          <w:sz w:val="16"/>
        </w:rPr>
      </w:pPr>
      <w:r w:rsidRPr="002A2760">
        <w:rPr>
          <w:sz w:val="16"/>
        </w:rPr>
        <w:t>More resources are needed to enforce workplace protections</w:t>
      </w:r>
    </w:p>
    <w:p w14:paraId="0DF6A4C2" w14:textId="77777777" w:rsidR="00C42954" w:rsidRPr="002A2760" w:rsidRDefault="00C42954" w:rsidP="00C42954">
      <w:pPr>
        <w:rPr>
          <w:sz w:val="16"/>
        </w:rPr>
      </w:pPr>
      <w:r w:rsidRPr="002A2760">
        <w:rPr>
          <w:sz w:val="16"/>
        </w:rPr>
        <w:t>It is insufficient to rely on civil enforcement agencies or workers themselves to enforce labor standards protections on their own. Public enforcement resources dedicated to civil enforcement agencies are too limited, and there are too many impediments to private enforcement, including forced arbitration and workers’ realistic fears of retaliation. Such challenges are more acute in cases involving particularly egregious employer conduct, where fraudulent behaviors may impede or prevent civil enforcement agencies from readily identifying violations. Dedicating criminal enforcement resources to enforcing workplace protections would fill a significant currently unmet need.</w:t>
      </w:r>
    </w:p>
    <w:p w14:paraId="4A1B54C9" w14:textId="77777777" w:rsidR="00C42954" w:rsidRPr="00722749" w:rsidRDefault="00C42954" w:rsidP="00C42954">
      <w:pPr>
        <w:rPr>
          <w:rStyle w:val="StyleUnderline"/>
        </w:rPr>
      </w:pPr>
      <w:r w:rsidRPr="00722749">
        <w:rPr>
          <w:rStyle w:val="Emphasis"/>
        </w:rPr>
        <w:t>Prosecution of employers</w:t>
      </w:r>
      <w:r w:rsidRPr="00722749">
        <w:rPr>
          <w:rStyle w:val="StyleUnderline"/>
        </w:rPr>
        <w:t xml:space="preserve"> for crimes against workers is </w:t>
      </w:r>
      <w:r w:rsidRPr="00722749">
        <w:rPr>
          <w:rStyle w:val="Emphasis"/>
        </w:rPr>
        <w:t>consistent</w:t>
      </w:r>
      <w:r w:rsidRPr="00722749">
        <w:rPr>
          <w:rStyle w:val="StyleUnderline"/>
        </w:rPr>
        <w:t xml:space="preserve"> with a </w:t>
      </w:r>
      <w:r w:rsidRPr="00722749">
        <w:rPr>
          <w:rStyle w:val="Emphasis"/>
        </w:rPr>
        <w:t>reform-oriented approach</w:t>
      </w:r>
      <w:r w:rsidRPr="00722749">
        <w:rPr>
          <w:rStyle w:val="StyleUnderline"/>
        </w:rPr>
        <w:t xml:space="preserve"> to criminal justice</w:t>
      </w:r>
    </w:p>
    <w:p w14:paraId="1590773E" w14:textId="77777777" w:rsidR="00C42954" w:rsidRPr="002A2760" w:rsidRDefault="00C42954" w:rsidP="00C42954">
      <w:pPr>
        <w:rPr>
          <w:sz w:val="16"/>
        </w:rPr>
      </w:pPr>
      <w:r w:rsidRPr="00722749">
        <w:rPr>
          <w:sz w:val="16"/>
        </w:rPr>
        <w:t xml:space="preserve">Along with a number of more traditional prosecutors, </w:t>
      </w:r>
      <w:r w:rsidRPr="00722749">
        <w:rPr>
          <w:rStyle w:val="StyleUnderline"/>
        </w:rPr>
        <w:t xml:space="preserve">several prosecutors associated with the “progressive prosecutor” movement have taken on this work, and they have articulated how they believe it </w:t>
      </w:r>
      <w:r w:rsidRPr="00722749">
        <w:rPr>
          <w:rStyle w:val="Emphasis"/>
        </w:rPr>
        <w:t>fits within</w:t>
      </w:r>
      <w:r w:rsidRPr="00722749">
        <w:rPr>
          <w:rStyle w:val="StyleUnderline"/>
        </w:rPr>
        <w:t xml:space="preserve"> a </w:t>
      </w:r>
      <w:r w:rsidRPr="00722749">
        <w:rPr>
          <w:rStyle w:val="Emphasis"/>
        </w:rPr>
        <w:t>criminal justice reform framework</w:t>
      </w:r>
      <w:r w:rsidRPr="00722749">
        <w:rPr>
          <w:sz w:val="16"/>
        </w:rPr>
        <w:t xml:space="preserve">.11 For example, Philadelphia District Attorney Larry Krasner and San Francisco District Attorney Chesa Boudin both appointed labor liaisons within their offices for this purpose, and Minnesota Attorney General Keith Ellison created a Wage Theft Unit. </w:t>
      </w:r>
      <w:r w:rsidRPr="00722749">
        <w:rPr>
          <w:rStyle w:val="StyleUnderline"/>
        </w:rPr>
        <w:t xml:space="preserve">These officials have cited the </w:t>
      </w:r>
      <w:r w:rsidRPr="00722749">
        <w:rPr>
          <w:rStyle w:val="Emphasis"/>
        </w:rPr>
        <w:t>power employers wield</w:t>
      </w:r>
      <w:r w:rsidRPr="00722749">
        <w:rPr>
          <w:rStyle w:val="StyleUnderline"/>
        </w:rPr>
        <w:t xml:space="preserve"> over workers, and the </w:t>
      </w:r>
      <w:r w:rsidRPr="00722749">
        <w:rPr>
          <w:rStyle w:val="Emphasis"/>
        </w:rPr>
        <w:t>vulnerability of workers</w:t>
      </w:r>
      <w:r w:rsidRPr="00722749">
        <w:rPr>
          <w:rStyle w:val="StyleUnderline"/>
        </w:rPr>
        <w:t>, as a basis for committing to these prosecutions</w:t>
      </w:r>
      <w:r w:rsidRPr="00722749">
        <w:rPr>
          <w:sz w:val="16"/>
        </w:rPr>
        <w:t xml:space="preserve"> (Reyes 2019; S.F. DA 2020; Minn</w:t>
      </w:r>
      <w:r w:rsidRPr="002A2760">
        <w:rPr>
          <w:sz w:val="16"/>
        </w:rPr>
        <w:t xml:space="preserve">. AG 2019). Attorney General Ellison and Boulder County District Attorney Michael Dougherty both </w:t>
      </w:r>
      <w:r w:rsidRPr="002A2760">
        <w:rPr>
          <w:rStyle w:val="StyleUnderline"/>
        </w:rPr>
        <w:t>noted the inequity of pursuing other kinds of theft but not wage theft</w:t>
      </w:r>
      <w:r w:rsidRPr="002A2760">
        <w:rPr>
          <w:sz w:val="16"/>
        </w:rPr>
        <w:t xml:space="preserve"> (Minn. AG 2019, Boyd 2019). Moreover, </w:t>
      </w:r>
      <w:r w:rsidRPr="002A2760">
        <w:rPr>
          <w:rStyle w:val="StyleUnderline"/>
        </w:rPr>
        <w:t xml:space="preserve">prosecuting extreme employer abuses </w:t>
      </w:r>
      <w:r w:rsidRPr="002A2760">
        <w:rPr>
          <w:rStyle w:val="Emphasis"/>
          <w:highlight w:val="green"/>
        </w:rPr>
        <w:t>aligns</w:t>
      </w:r>
      <w:r w:rsidRPr="002A2760">
        <w:rPr>
          <w:rStyle w:val="StyleUnderline"/>
          <w:highlight w:val="green"/>
        </w:rPr>
        <w:t xml:space="preserve"> with</w:t>
      </w:r>
      <w:r w:rsidRPr="002A2760">
        <w:rPr>
          <w:rStyle w:val="StyleUnderline"/>
        </w:rPr>
        <w:t xml:space="preserve"> the </w:t>
      </w:r>
      <w:r w:rsidRPr="002A2760">
        <w:rPr>
          <w:rStyle w:val="Emphasis"/>
          <w:highlight w:val="green"/>
        </w:rPr>
        <w:t>work of advocates</w:t>
      </w:r>
      <w:r w:rsidRPr="002A2760">
        <w:rPr>
          <w:rStyle w:val="StyleUnderline"/>
          <w:highlight w:val="green"/>
        </w:rPr>
        <w:t xml:space="preserve"> and </w:t>
      </w:r>
      <w:r w:rsidRPr="002A2760">
        <w:rPr>
          <w:rStyle w:val="Emphasis"/>
          <w:highlight w:val="green"/>
        </w:rPr>
        <w:t>worker organizations</w:t>
      </w:r>
      <w:r w:rsidRPr="002A2760">
        <w:rPr>
          <w:rStyle w:val="StyleUnderline"/>
        </w:rPr>
        <w:t xml:space="preserve"> on the ground</w:t>
      </w:r>
      <w:r w:rsidRPr="002A2760">
        <w:rPr>
          <w:sz w:val="16"/>
        </w:rPr>
        <w:t xml:space="preserve"> (CTUL 2019; Svoboda 2011; Colorado General Assembly 2019). </w:t>
      </w:r>
      <w:r w:rsidRPr="002A2760">
        <w:rPr>
          <w:rStyle w:val="StyleUnderline"/>
        </w:rPr>
        <w:t xml:space="preserve">Relationships between prosecutors and organizations that are accountable to workers can also </w:t>
      </w:r>
      <w:r w:rsidRPr="0024715F">
        <w:rPr>
          <w:rStyle w:val="StyleUnderline"/>
          <w:highlight w:val="yellow"/>
        </w:rPr>
        <w:t>help</w:t>
      </w:r>
      <w:r w:rsidRPr="002A2760">
        <w:rPr>
          <w:rStyle w:val="StyleUnderline"/>
        </w:rPr>
        <w:t xml:space="preserve"> the </w:t>
      </w:r>
      <w:r w:rsidRPr="0024715F">
        <w:rPr>
          <w:rStyle w:val="StyleUnderline"/>
          <w:highlight w:val="yellow"/>
        </w:rPr>
        <w:t>c</w:t>
      </w:r>
      <w:r w:rsidRPr="002A2760">
        <w:rPr>
          <w:rStyle w:val="StyleUnderline"/>
        </w:rPr>
        <w:t xml:space="preserve">riminal </w:t>
      </w:r>
      <w:r w:rsidRPr="0024715F">
        <w:rPr>
          <w:rStyle w:val="StyleUnderline"/>
          <w:highlight w:val="yellow"/>
        </w:rPr>
        <w:t>j</w:t>
      </w:r>
      <w:r w:rsidRPr="002A2760">
        <w:rPr>
          <w:rStyle w:val="StyleUnderline"/>
        </w:rPr>
        <w:t xml:space="preserve">ustice </w:t>
      </w:r>
      <w:r w:rsidRPr="0024715F">
        <w:rPr>
          <w:rStyle w:val="StyleUnderline"/>
          <w:highlight w:val="yellow"/>
        </w:rPr>
        <w:t>s</w:t>
      </w:r>
      <w:r w:rsidRPr="002A2760">
        <w:rPr>
          <w:rStyle w:val="StyleUnderline"/>
        </w:rPr>
        <w:t xml:space="preserve">ystem </w:t>
      </w:r>
      <w:r w:rsidRPr="0024715F">
        <w:rPr>
          <w:rStyle w:val="StyleUnderline"/>
          <w:highlight w:val="yellow"/>
        </w:rPr>
        <w:t>become</w:t>
      </w:r>
      <w:r w:rsidRPr="002A2760">
        <w:rPr>
          <w:rStyle w:val="StyleUnderline"/>
        </w:rPr>
        <w:t xml:space="preserve"> </w:t>
      </w:r>
      <w:r w:rsidRPr="002A2760">
        <w:rPr>
          <w:rStyle w:val="Emphasis"/>
        </w:rPr>
        <w:t xml:space="preserve">more </w:t>
      </w:r>
      <w:r w:rsidRPr="0024715F">
        <w:rPr>
          <w:rStyle w:val="Emphasis"/>
          <w:highlight w:val="yellow"/>
        </w:rPr>
        <w:t>accountable</w:t>
      </w:r>
      <w:r w:rsidRPr="00722749">
        <w:rPr>
          <w:rStyle w:val="StyleUnderline"/>
        </w:rPr>
        <w:t xml:space="preserve"> to marginalized communities more </w:t>
      </w:r>
      <w:r w:rsidRPr="00722749">
        <w:rPr>
          <w:rStyle w:val="Emphasis"/>
        </w:rPr>
        <w:t>broadly</w:t>
      </w:r>
      <w:r w:rsidRPr="00722749">
        <w:rPr>
          <w:sz w:val="16"/>
        </w:rPr>
        <w:t>. As Professor César Rosado Marzán has note</w:t>
      </w:r>
      <w:r w:rsidRPr="002A2760">
        <w:rPr>
          <w:sz w:val="16"/>
        </w:rPr>
        <w:t xml:space="preserve">d, “The </w:t>
      </w:r>
      <w:r w:rsidRPr="002A2760">
        <w:rPr>
          <w:rStyle w:val="Emphasis"/>
        </w:rPr>
        <w:t>value</w:t>
      </w:r>
      <w:r w:rsidRPr="002A2760">
        <w:rPr>
          <w:rStyle w:val="StyleUnderline"/>
        </w:rPr>
        <w:t xml:space="preserve"> of criminalization lies in its unambiguous moral condemnation of wage theft, in its capacity to shame employers who abuse their power, and in the real threat of imprisonment</w:t>
      </w:r>
      <w:r w:rsidRPr="002A2760">
        <w:rPr>
          <w:sz w:val="16"/>
        </w:rPr>
        <w:t xml:space="preserve">. </w:t>
      </w:r>
      <w:r w:rsidRPr="002A2760">
        <w:rPr>
          <w:rStyle w:val="StyleUnderline"/>
        </w:rPr>
        <w:t xml:space="preserve">Criminalization will </w:t>
      </w:r>
      <w:r w:rsidRPr="0024715F">
        <w:rPr>
          <w:rStyle w:val="Emphasis"/>
          <w:highlight w:val="yellow"/>
        </w:rPr>
        <w:t>help activists</w:t>
      </w:r>
      <w:r w:rsidRPr="002A2760">
        <w:rPr>
          <w:rStyle w:val="StyleUnderline"/>
        </w:rPr>
        <w:t xml:space="preserve"> to </w:t>
      </w:r>
      <w:r w:rsidRPr="0024715F">
        <w:rPr>
          <w:rStyle w:val="Emphasis"/>
          <w:highlight w:val="yellow"/>
        </w:rPr>
        <w:t>co-enforce</w:t>
      </w:r>
      <w:r w:rsidRPr="002A2760">
        <w:rPr>
          <w:rStyle w:val="StyleUnderline"/>
        </w:rPr>
        <w:t xml:space="preserve"> wage and hours </w:t>
      </w:r>
      <w:r w:rsidRPr="0024715F">
        <w:rPr>
          <w:rStyle w:val="StyleUnderline"/>
          <w:highlight w:val="yellow"/>
        </w:rPr>
        <w:t>laws</w:t>
      </w:r>
      <w:r w:rsidRPr="002A2760">
        <w:rPr>
          <w:rStyle w:val="StyleUnderline"/>
        </w:rPr>
        <w:t xml:space="preserve">, likely </w:t>
      </w:r>
      <w:r w:rsidRPr="002A2760">
        <w:rPr>
          <w:rStyle w:val="Emphasis"/>
        </w:rPr>
        <w:t>deter</w:t>
      </w:r>
      <w:r w:rsidRPr="002A2760">
        <w:rPr>
          <w:rStyle w:val="StyleUnderline"/>
        </w:rPr>
        <w:t xml:space="preserve"> wage theft, </w:t>
      </w:r>
      <w:r w:rsidRPr="0024715F">
        <w:rPr>
          <w:rStyle w:val="StyleUnderline"/>
          <w:highlight w:val="yellow"/>
        </w:rPr>
        <w:t>and</w:t>
      </w:r>
      <w:r w:rsidRPr="002A2760">
        <w:rPr>
          <w:rStyle w:val="StyleUnderline"/>
        </w:rPr>
        <w:t xml:space="preserve"> better </w:t>
      </w:r>
      <w:r w:rsidRPr="0024715F">
        <w:rPr>
          <w:rStyle w:val="Emphasis"/>
          <w:highlight w:val="yellow"/>
        </w:rPr>
        <w:t>resolve a dire problem</w:t>
      </w:r>
      <w:r w:rsidRPr="002A2760">
        <w:rPr>
          <w:rStyle w:val="StyleUnderline"/>
        </w:rPr>
        <w:t xml:space="preserve"> affecting some of the most powerless individuals in U.S. society</w:t>
      </w:r>
      <w:r w:rsidRPr="002A2760">
        <w:rPr>
          <w:sz w:val="16"/>
        </w:rPr>
        <w:t xml:space="preserve">” (Rosado Marzán 2020). </w:t>
      </w:r>
      <w:r w:rsidRPr="002A2760">
        <w:rPr>
          <w:rStyle w:val="StyleUnderline"/>
        </w:rPr>
        <w:t xml:space="preserve">Prosecution of wage theft </w:t>
      </w:r>
      <w:r w:rsidRPr="00722749">
        <w:rPr>
          <w:rStyle w:val="StyleUnderline"/>
        </w:rPr>
        <w:t>also</w:t>
      </w:r>
      <w:r w:rsidRPr="002A2760">
        <w:rPr>
          <w:rStyle w:val="StyleUnderline"/>
        </w:rPr>
        <w:t xml:space="preserve"> involves </w:t>
      </w:r>
      <w:r w:rsidRPr="0024715F">
        <w:rPr>
          <w:rStyle w:val="Emphasis"/>
          <w:highlight w:val="yellow"/>
        </w:rPr>
        <w:t>reorient</w:t>
      </w:r>
      <w:r w:rsidRPr="002A2760">
        <w:rPr>
          <w:rStyle w:val="Emphasis"/>
        </w:rPr>
        <w:t xml:space="preserve">ing enforcement </w:t>
      </w:r>
      <w:r w:rsidRPr="0024715F">
        <w:rPr>
          <w:rStyle w:val="Emphasis"/>
          <w:highlight w:val="yellow"/>
        </w:rPr>
        <w:t>resources</w:t>
      </w:r>
      <w:r w:rsidRPr="002A2760">
        <w:rPr>
          <w:rStyle w:val="StyleUnderline"/>
        </w:rPr>
        <w:t xml:space="preserve"> “</w:t>
      </w:r>
      <w:r w:rsidRPr="0024715F">
        <w:rPr>
          <w:rStyle w:val="StyleUnderline"/>
          <w:highlight w:val="yellow"/>
        </w:rPr>
        <w:t>toward</w:t>
      </w:r>
      <w:r w:rsidRPr="002A2760">
        <w:rPr>
          <w:rStyle w:val="StyleUnderline"/>
        </w:rPr>
        <w:t xml:space="preserve"> aggressive enforcement of the predations of </w:t>
      </w:r>
      <w:r w:rsidRPr="0024715F">
        <w:rPr>
          <w:rStyle w:val="Emphasis"/>
          <w:highlight w:val="yellow"/>
        </w:rPr>
        <w:t>powerful</w:t>
      </w:r>
      <w:r w:rsidRPr="002A2760">
        <w:rPr>
          <w:rStyle w:val="Emphasis"/>
        </w:rPr>
        <w:t xml:space="preserve"> economic </w:t>
      </w:r>
      <w:r w:rsidRPr="0024715F">
        <w:rPr>
          <w:rStyle w:val="Emphasis"/>
          <w:highlight w:val="yellow"/>
        </w:rPr>
        <w:t>entities</w:t>
      </w:r>
      <w:r w:rsidRPr="002A2760">
        <w:rPr>
          <w:rStyle w:val="StyleUnderline"/>
        </w:rPr>
        <w:t>”</w:t>
      </w:r>
      <w:r w:rsidRPr="002A2760">
        <w:rPr>
          <w:sz w:val="16"/>
        </w:rPr>
        <w:t xml:space="preserve"> (Bhargava and Hertel-Fernandez 2020).</w:t>
      </w:r>
    </w:p>
    <w:p w14:paraId="623B3F4B" w14:textId="77777777" w:rsidR="00C42954" w:rsidRPr="002A2760" w:rsidRDefault="00C42954" w:rsidP="00C42954">
      <w:pPr>
        <w:rPr>
          <w:rStyle w:val="Emphasis"/>
        </w:rPr>
      </w:pPr>
      <w:r w:rsidRPr="002A2760">
        <w:rPr>
          <w:rStyle w:val="StyleUnderline"/>
          <w:highlight w:val="green"/>
        </w:rPr>
        <w:t>Case</w:t>
      </w:r>
      <w:r w:rsidRPr="002A2760">
        <w:rPr>
          <w:rStyle w:val="StyleUnderline"/>
        </w:rPr>
        <w:t xml:space="preserve"> types and examples </w:t>
      </w:r>
      <w:r w:rsidRPr="002A2760">
        <w:rPr>
          <w:rStyle w:val="StyleUnderline"/>
          <w:highlight w:val="green"/>
        </w:rPr>
        <w:t>cover</w:t>
      </w:r>
      <w:r w:rsidRPr="002A2760">
        <w:rPr>
          <w:rStyle w:val="StyleUnderline"/>
        </w:rPr>
        <w:t xml:space="preserve"> a </w:t>
      </w:r>
      <w:r w:rsidRPr="002A2760">
        <w:rPr>
          <w:rStyle w:val="Emphasis"/>
          <w:highlight w:val="green"/>
        </w:rPr>
        <w:t>range of worker abuses</w:t>
      </w:r>
      <w:r w:rsidRPr="002A2760">
        <w:rPr>
          <w:rStyle w:val="StyleUnderline"/>
          <w:highlight w:val="green"/>
        </w:rPr>
        <w:t xml:space="preserve"> and </w:t>
      </w:r>
      <w:r w:rsidRPr="002A2760">
        <w:rPr>
          <w:rStyle w:val="Emphasis"/>
          <w:highlight w:val="green"/>
        </w:rPr>
        <w:t>span the country</w:t>
      </w:r>
    </w:p>
    <w:p w14:paraId="15F7FBD0" w14:textId="77777777" w:rsidR="00C42954" w:rsidRPr="002A2760" w:rsidRDefault="00C42954" w:rsidP="00C42954">
      <w:pPr>
        <w:rPr>
          <w:sz w:val="16"/>
        </w:rPr>
      </w:pPr>
      <w:r w:rsidRPr="002A2760">
        <w:rPr>
          <w:sz w:val="16"/>
        </w:rPr>
        <w:t>Prosecutors have brought charges to address numerous different types of employer crimes against workers. The following are descriptions and examples of some common types of cases, pulled primarily from publicly available news media articles and agency communications.12 Often, infractions occur in clusters: the same employer commits wage theft and evades UI taxes, commits workers’ compensation insurance fraud, has unsafe working conditions, and retaliates against workers who complain about any of these problems. The discussion below is organized by violation type in the interest of clarity, but many cases involve multiple violations. In addition to the discussion below, Appendix A contains links to a number of court-filed documents such as indictments, plea agreements, and more. Appendix B links to resources including a database and spreadsheet containing information and news reports of additional cases.</w:t>
      </w:r>
    </w:p>
    <w:p w14:paraId="65840CB0" w14:textId="77777777" w:rsidR="00C42954" w:rsidRPr="002A2760" w:rsidRDefault="00C42954" w:rsidP="00C42954">
      <w:pPr>
        <w:rPr>
          <w:rStyle w:val="StyleUnderline"/>
        </w:rPr>
      </w:pPr>
      <w:r w:rsidRPr="002A2760">
        <w:rPr>
          <w:rStyle w:val="StyleUnderline"/>
        </w:rPr>
        <w:t>Prosecutors have used various statutes and charges to pursue wage theft</w:t>
      </w:r>
    </w:p>
    <w:p w14:paraId="15E7A9A3" w14:textId="77777777" w:rsidR="00C42954" w:rsidRPr="002A2760" w:rsidRDefault="00C42954" w:rsidP="00C42954">
      <w:pPr>
        <w:rPr>
          <w:sz w:val="16"/>
        </w:rPr>
      </w:pPr>
      <w:r w:rsidRPr="002A2760">
        <w:rPr>
          <w:sz w:val="16"/>
        </w:rPr>
        <w:t>Wage theft takes many forms but essentially involves not paying workers what they are owed, whether it is for hours worked, or at levels required under the statutes that govern required minimum wages and overtime pay.13 Employers may avoid paying a worker for all hours worked, or avoid paying overtime, through a variety of methods: altering time cards, maintaining two sets of payroll records (one real and one false), or requiring people to work before clocking in or after clocking out. Some employers pay workers in cash, to avoid creating a record of underpayments (as well as to avoid paying unemployment insurance taxes and workers’ compensation premiums). In certain instances, including in the restaurant, construction, and home health care industries, prosecuted employers have failed to pay any wages at all for a period of time, including up to one or two months. There have been cases of employers taking permissible deductions from workers’ pay for health insurance, union dues, or other benefits—but then simply keeping the money for themselves. While the majority of wage underpayment situations that are reported are handled by the civil legal system, a growing number of prosecutors have brought criminal charges in appropriate situations.</w:t>
      </w:r>
    </w:p>
    <w:p w14:paraId="736382B1" w14:textId="77777777" w:rsidR="00C42954" w:rsidRPr="002A2760" w:rsidRDefault="00C42954" w:rsidP="00C42954">
      <w:pPr>
        <w:rPr>
          <w:sz w:val="16"/>
        </w:rPr>
      </w:pPr>
      <w:r w:rsidRPr="002A2760">
        <w:rPr>
          <w:sz w:val="16"/>
        </w:rPr>
        <w:t>DAs and AGs bring criminal prosecutions under state laws. The relevant state statutes, and therefore the charges brought in these cases, vary. Some state statutes explicitly address workplace conduct and may even use the term “wage theft.” Other prosecutors have brought these cases using theft of services, theft by swindle, larceny, scheme to defraud, or similar statutes. Prosecution of wage theft, prevailing wage and payroll fraud cases typically requires not only witness testimony, but also audits of employer documents—evidence similar to that needed to pursue other types of economic crimes.</w:t>
      </w:r>
    </w:p>
    <w:p w14:paraId="4B99AE25" w14:textId="77777777" w:rsidR="00C42954" w:rsidRPr="002A2760" w:rsidRDefault="00C42954" w:rsidP="00C42954">
      <w:pPr>
        <w:rPr>
          <w:rStyle w:val="StyleUnderline"/>
        </w:rPr>
      </w:pPr>
      <w:r w:rsidRPr="002A2760">
        <w:rPr>
          <w:rStyle w:val="StyleUnderline"/>
        </w:rPr>
        <w:t>Sample wage theft cases</w:t>
      </w:r>
    </w:p>
    <w:p w14:paraId="61BAA65E" w14:textId="77777777" w:rsidR="00C42954" w:rsidRPr="002A2760" w:rsidRDefault="00C42954" w:rsidP="00C42954">
      <w:pPr>
        <w:rPr>
          <w:sz w:val="16"/>
        </w:rPr>
      </w:pPr>
      <w:r w:rsidRPr="002A2760">
        <w:rPr>
          <w:sz w:val="16"/>
        </w:rPr>
        <w:t>• Nonpayment of overtime. In 2021, the Santa Clara County Office of the District Attorney brought charges against a flooring company owner who was accused of owing workers nearly $1 million of overtime wages, and also accused of workers’ compensation premium fraud (Green 2021).</w:t>
      </w:r>
    </w:p>
    <w:p w14:paraId="508D57B0" w14:textId="77777777" w:rsidR="00C42954" w:rsidRPr="002A2760" w:rsidRDefault="00C42954" w:rsidP="00C42954">
      <w:pPr>
        <w:rPr>
          <w:sz w:val="16"/>
        </w:rPr>
      </w:pPr>
      <w:r w:rsidRPr="002A2760">
        <w:rPr>
          <w:sz w:val="16"/>
        </w:rPr>
        <w:t>• Keeping payroll deductions intended for specific purposes. In 2021, the Worker Protection Unit of the Philadelphia Office of the District Attorney charged a plumbing company’s owner with multiple counts of theft for deducting union dues from workers’ pay and keeping the money instead of remitting the dues to the union as required (Phil. DA 2021). In a similar case, Michigan’s attorney general brought criminal charges against an employer who allegedly withheld more than $52,000 from workers’ paychecks for deferred retirement contributions but failed to deposit the funds into their accounts or pay the employer match (Mich. AG 2019).</w:t>
      </w:r>
    </w:p>
    <w:p w14:paraId="5969D839" w14:textId="77777777" w:rsidR="00C42954" w:rsidRPr="002A2760" w:rsidRDefault="00C42954" w:rsidP="00C42954">
      <w:pPr>
        <w:rPr>
          <w:sz w:val="16"/>
        </w:rPr>
      </w:pPr>
      <w:r w:rsidRPr="002A2760">
        <w:rPr>
          <w:sz w:val="16"/>
        </w:rPr>
        <w:t>• Failing to pay wages. In 2020, Colorado’s 5th Judicial District Attorney’s Office charged a contractor with tax evasion and theft from a person; the contractor ultimately pleaded guilty to one count of each. The investigation, which began in late 2019, was conducted by the DA’s office in collaboration with the Colorado Department of Revenue Criminal Tax Enforcement Division after past employees of the defendant complained about not having been paid (Colo. 5th DA 2020, Lotshaw 2021).</w:t>
      </w:r>
    </w:p>
    <w:p w14:paraId="4C98E204" w14:textId="77777777" w:rsidR="00C42954" w:rsidRPr="002A2760" w:rsidRDefault="00C42954" w:rsidP="00C42954">
      <w:pPr>
        <w:rPr>
          <w:sz w:val="16"/>
        </w:rPr>
      </w:pPr>
      <w:r w:rsidRPr="002A2760">
        <w:rPr>
          <w:sz w:val="16"/>
        </w:rPr>
        <w:t xml:space="preserve">• </w:t>
      </w:r>
      <w:r w:rsidRPr="002A2760">
        <w:rPr>
          <w:rStyle w:val="StyleUnderline"/>
        </w:rPr>
        <w:t>Writing bad checks to undocumented workers</w:t>
      </w:r>
      <w:r w:rsidRPr="002A2760">
        <w:rPr>
          <w:sz w:val="16"/>
        </w:rPr>
        <w:t xml:space="preserve">. In 2019, Colorado’s 20th Judicial District Attorney’s Office (in Boulder County) brought </w:t>
      </w:r>
      <w:r w:rsidRPr="002A2760">
        <w:rPr>
          <w:rStyle w:val="StyleUnderline"/>
        </w:rPr>
        <w:t>charges against an employer accused of giving undocumented workers bad checks for various projects and threatening to report them to immigration when they asked for payment</w:t>
      </w:r>
      <w:r w:rsidRPr="002A2760">
        <w:rPr>
          <w:sz w:val="16"/>
        </w:rPr>
        <w:t xml:space="preserve"> (Byars 2019a, 2019b). The employer was sentenced to four years of probation and ordered to pay restitution (Oravetz 2019).</w:t>
      </w:r>
    </w:p>
    <w:p w14:paraId="20238F18" w14:textId="77777777" w:rsidR="00C42954" w:rsidRPr="002A2760" w:rsidRDefault="00C42954" w:rsidP="00C42954">
      <w:pPr>
        <w:rPr>
          <w:sz w:val="16"/>
        </w:rPr>
      </w:pPr>
      <w:r w:rsidRPr="002A2760">
        <w:rPr>
          <w:sz w:val="16"/>
        </w:rPr>
        <w:t>• Failing to pay for work performed. In 2018, the Harris County (Texas) district attorney charged the owner of a high-value home with theft of service for failing to pay a painter for repair work completed after a hurricane (McPherson 2018).</w:t>
      </w:r>
    </w:p>
    <w:p w14:paraId="0F3544D1" w14:textId="77777777" w:rsidR="00C42954" w:rsidRPr="002A2760" w:rsidRDefault="00C42954" w:rsidP="00C42954">
      <w:pPr>
        <w:rPr>
          <w:sz w:val="16"/>
        </w:rPr>
      </w:pPr>
      <w:r w:rsidRPr="002A2760">
        <w:rPr>
          <w:sz w:val="16"/>
        </w:rPr>
        <w:t>• Wage theft of elder care employees. Numerous DAs in California have brought charges against elder care homes for wage theft, tax fraud, and other criminal violations (Gartrell 2016).</w:t>
      </w:r>
    </w:p>
    <w:p w14:paraId="099DC924" w14:textId="77777777" w:rsidR="00C42954" w:rsidRPr="002A2760" w:rsidRDefault="00C42954" w:rsidP="00C42954">
      <w:pPr>
        <w:rPr>
          <w:sz w:val="16"/>
        </w:rPr>
      </w:pPr>
      <w:r w:rsidRPr="002A2760">
        <w:rPr>
          <w:sz w:val="16"/>
        </w:rPr>
        <w:t xml:space="preserve">• </w:t>
      </w:r>
      <w:r w:rsidRPr="002A2760">
        <w:rPr>
          <w:rStyle w:val="StyleUnderline"/>
        </w:rPr>
        <w:t>Not paying wages to immigrant workers</w:t>
      </w:r>
      <w:r w:rsidRPr="002A2760">
        <w:rPr>
          <w:sz w:val="16"/>
        </w:rPr>
        <w:t xml:space="preserve">. In 2016, </w:t>
      </w:r>
      <w:r w:rsidRPr="002A2760">
        <w:rPr>
          <w:rStyle w:val="StyleUnderline"/>
        </w:rPr>
        <w:t>the San Diego district attorney</w:t>
      </w:r>
      <w:r w:rsidRPr="002A2760">
        <w:rPr>
          <w:sz w:val="16"/>
        </w:rPr>
        <w:t xml:space="preserve">, partnering with the California labor commissioner, </w:t>
      </w:r>
      <w:r w:rsidRPr="002A2760">
        <w:rPr>
          <w:rStyle w:val="StyleUnderline"/>
        </w:rPr>
        <w:t>secured a criminal jury trial conviction for felony grand wage theft by false pretenses</w:t>
      </w:r>
      <w:r w:rsidRPr="002A2760">
        <w:rPr>
          <w:sz w:val="16"/>
        </w:rPr>
        <w:t xml:space="preserve">. A </w:t>
      </w:r>
      <w:r w:rsidRPr="002A2760">
        <w:rPr>
          <w:rStyle w:val="StyleUnderline"/>
        </w:rPr>
        <w:t xml:space="preserve">San Diego restaurant owner was sentenced in 2016 to two years in jail </w:t>
      </w:r>
      <w:r w:rsidRPr="002A2760">
        <w:rPr>
          <w:sz w:val="16"/>
        </w:rPr>
        <w:t xml:space="preserve">for paying immigrant workers only in tips. The San Diego County Superior Court </w:t>
      </w:r>
      <w:r w:rsidRPr="002A2760">
        <w:rPr>
          <w:rStyle w:val="StyleUnderline"/>
        </w:rPr>
        <w:t>also ordered the employer to repay $20,000 in stolen wages and tips to six of the restaurant workers</w:t>
      </w:r>
      <w:r w:rsidRPr="002A2760">
        <w:rPr>
          <w:sz w:val="16"/>
        </w:rPr>
        <w:t xml:space="preserve"> (CSLEA 2016).</w:t>
      </w:r>
    </w:p>
    <w:p w14:paraId="053A1AEF" w14:textId="77777777" w:rsidR="00C42954" w:rsidRPr="002A2760" w:rsidRDefault="00C42954" w:rsidP="00C42954">
      <w:pPr>
        <w:rPr>
          <w:sz w:val="16"/>
        </w:rPr>
      </w:pPr>
      <w:r w:rsidRPr="002A2760">
        <w:rPr>
          <w:sz w:val="16"/>
        </w:rPr>
        <w:t>• Failing to pay overtime and other wages. The New York attorney general’s office has brought wage theft-related cases in several industries. For example, in 2015, the office charged a Papa John’s franchisee who was accused of continuing to underpay workers even after being investigated for wage theft by the U.S. Department of Labor. The charges included creating fictitious worker names to conceal overtime hours worked and filing fraudulent quarterly state tax returns. The employer pleaded guilty to failure to pay wages and falsifying business records (NY AG 2015a, 2015b). In 2012, the New York AG’s office announced a guilty plea by the owner of a home health agency in a case that involved failing to pay workers $300,000 in wages (NY AG 2012b).</w:t>
      </w:r>
    </w:p>
    <w:p w14:paraId="212806C9" w14:textId="77777777" w:rsidR="00C42954" w:rsidRPr="002A2760" w:rsidRDefault="00C42954" w:rsidP="00C42954">
      <w:pPr>
        <w:rPr>
          <w:sz w:val="16"/>
        </w:rPr>
      </w:pPr>
      <w:r w:rsidRPr="002A2760">
        <w:rPr>
          <w:sz w:val="16"/>
        </w:rPr>
        <w:t>Crimes related to prevailing wage laws involve cheating employees, government agencies, and the public</w:t>
      </w:r>
    </w:p>
    <w:p w14:paraId="17991D32" w14:textId="77777777" w:rsidR="00C42954" w:rsidRPr="002A2760" w:rsidRDefault="00C42954" w:rsidP="00C42954">
      <w:pPr>
        <w:rPr>
          <w:sz w:val="16"/>
        </w:rPr>
      </w:pPr>
      <w:r w:rsidRPr="002A2760">
        <w:rPr>
          <w:sz w:val="16"/>
        </w:rPr>
        <w:t>Prevailing wage laws require contractors on government-funded public works projects (typically government construction contracts) to pay their workers at least the locally prevailing wages and fringe benefits paid on similar projects in the area (Mahalia 2008). In addition to the federal prevailing wage law (the Davis-Bacon Act of 1931), many states have enacted state-level prevailing wage laws. Prevailing wages are set based on a worker’s location and occupation, and they are often considerably higher than the applicable minimum wage in a given jurisdiction. To allow government contracting agencies to ensure compliance, prevailing wage laws generally require public contractors to routinely submit “certified payroll records” of hours worked and wages and benefits paid on a given contract. When employers violate these laws, they are not only underpaying workers, but also cheating the government agency and taxpayers, since the agency awarded the contract based on the premise that workers would be paid prevailing wages. As a method of violating prevailing wage laws, employers may, for example, create and submit false certified payroll records that fraudulently demonstrate compliance by showing artificially inflated pay amounts, artificially deflated hours, or even listing as employees individuals who were not on the job at all.</w:t>
      </w:r>
    </w:p>
    <w:p w14:paraId="6801C846" w14:textId="77777777" w:rsidR="00C42954" w:rsidRPr="002A2760" w:rsidRDefault="00C42954" w:rsidP="00C42954">
      <w:pPr>
        <w:rPr>
          <w:sz w:val="16"/>
        </w:rPr>
      </w:pPr>
      <w:r w:rsidRPr="002A2760">
        <w:rPr>
          <w:rStyle w:val="StyleUnderline"/>
        </w:rPr>
        <w:t>Some prevailing wage laws directly include criminal sanctions for violations</w:t>
      </w:r>
      <w:r w:rsidRPr="002A2760">
        <w:rPr>
          <w:sz w:val="16"/>
        </w:rPr>
        <w:t>. Violations such as submitting false payroll records may also result in other charges, such as filing a false instrument or maintaining false business records.</w:t>
      </w:r>
    </w:p>
    <w:p w14:paraId="276D1FB7" w14:textId="77777777" w:rsidR="00C42954" w:rsidRPr="002A2760" w:rsidRDefault="00C42954" w:rsidP="00C42954">
      <w:pPr>
        <w:rPr>
          <w:sz w:val="16"/>
        </w:rPr>
      </w:pPr>
      <w:r w:rsidRPr="002A2760">
        <w:rPr>
          <w:sz w:val="16"/>
        </w:rPr>
        <w:t>Sample prevailing wage cases</w:t>
      </w:r>
    </w:p>
    <w:p w14:paraId="206673BE" w14:textId="77777777" w:rsidR="00C42954" w:rsidRPr="002A2760" w:rsidRDefault="00C42954" w:rsidP="00C42954">
      <w:pPr>
        <w:rPr>
          <w:sz w:val="16"/>
        </w:rPr>
      </w:pPr>
      <w:r w:rsidRPr="002A2760">
        <w:rPr>
          <w:sz w:val="16"/>
        </w:rPr>
        <w:t>• Cheating on fringe benefit requirements. In 2021, the Pennsylvania attorney general’s office charged a contractor with extensive and complex violations of prevailing wage laws in what the AG described as “the largest prevailing wage criminal case on record.” The contractor was charged with appropriating retirement benefits owed under the law, and falsely inflating the amount of money paid for health benefits in order to pay workers less. These charges came on the heels of another separate criminal prevailing wage case by the Pennsylvania AG’s office that resulted in a guilty plea. (Pa. AG 2021, Rushton 2021).</w:t>
      </w:r>
    </w:p>
    <w:p w14:paraId="157305B6" w14:textId="77777777" w:rsidR="00C42954" w:rsidRPr="002A2760" w:rsidRDefault="00C42954" w:rsidP="00C42954">
      <w:pPr>
        <w:rPr>
          <w:sz w:val="16"/>
        </w:rPr>
      </w:pPr>
      <w:r w:rsidRPr="002A2760">
        <w:rPr>
          <w:sz w:val="16"/>
        </w:rPr>
        <w:t>• Failing to pay required prevailing wages. In 2020, the Queens (New York) district attorney announced the guilty plea to a prevailing wage labor law violation by a contractor for the New York City School Construction Authority and the New York City Department of Education, who “pocketed more than $1.5 million that should have gone to employees.” (Queens DA 2020).</w:t>
      </w:r>
    </w:p>
    <w:p w14:paraId="78AEC7BE" w14:textId="77777777" w:rsidR="00C42954" w:rsidRPr="002A2760" w:rsidRDefault="00C42954" w:rsidP="00C42954">
      <w:pPr>
        <w:rPr>
          <w:sz w:val="16"/>
        </w:rPr>
      </w:pPr>
      <w:r w:rsidRPr="002A2760">
        <w:rPr>
          <w:sz w:val="16"/>
        </w:rPr>
        <w:t>• Falsifying records and underpaying workers. In 2019, New Jersey’s attorney general announced the guilty plea of a construction contractor for falsifying payroll records to conceal his underpayment, and in some cases nonpayment, of wages to workers, many of whom were immigrants (N.J. AG 2019).</w:t>
      </w:r>
    </w:p>
    <w:p w14:paraId="6431BFCE" w14:textId="77777777" w:rsidR="00C42954" w:rsidRPr="002A2760" w:rsidRDefault="00C42954" w:rsidP="00C42954">
      <w:pPr>
        <w:rPr>
          <w:sz w:val="16"/>
        </w:rPr>
      </w:pPr>
      <w:r w:rsidRPr="002A2760">
        <w:rPr>
          <w:sz w:val="16"/>
        </w:rPr>
        <w:t>• Underpayment, falsifying records, and demanding kickbacks of money back from workers. In 2013, New York’s attorney general charged a contractor for the Port Authority with prevailing wage violations. The contractor, who ultimately pleaded guilty to grand larceny and prevailing wage violations, created false business records demonstrating compliance with the law and issued checks to workers which would demonstrate compliance; he then made his workers cash the checks at his bank and kick back, or return, most of the cash to him. Under the plea agreement, the contractor was sentenced to five years of probation, was banned for five years from working on public projects in New York, and was ordered to pay $200,000 in restitution to workers (N.Y. AG 2013, 2014b).</w:t>
      </w:r>
    </w:p>
    <w:p w14:paraId="63981E5F" w14:textId="77777777" w:rsidR="00C42954" w:rsidRPr="002A2760" w:rsidRDefault="00C42954" w:rsidP="00C42954">
      <w:pPr>
        <w:rPr>
          <w:sz w:val="16"/>
        </w:rPr>
      </w:pPr>
      <w:r w:rsidRPr="002A2760">
        <w:rPr>
          <w:sz w:val="16"/>
        </w:rPr>
        <w:t>Payroll fraud cases include worker misclassification, workers’ compensation fraud, and nonpayment of unemployment insurance taxes</w:t>
      </w:r>
    </w:p>
    <w:p w14:paraId="5DD208DD" w14:textId="77777777" w:rsidR="00C42954" w:rsidRPr="002A2760" w:rsidRDefault="00C42954" w:rsidP="00C42954">
      <w:pPr>
        <w:rPr>
          <w:sz w:val="16"/>
        </w:rPr>
      </w:pPr>
      <w:r w:rsidRPr="002A2760">
        <w:rPr>
          <w:sz w:val="16"/>
        </w:rPr>
        <w:t>Numerous employers have been criminally prosecuted for payroll fraud, including crimes resulting from misclassifying workers as independent contractors, or from paying workers in unreported cash “off the books.” In such cases, employers often falsely underreport the number of workers on unemployment insurance (UI) tax returns filed with the state or on workers’ compensation insurance applications. These actions can lead to charges of filing a false document or maintaining false business records, or specific workers’ compensation- or insurance-related charges. Additional charges may stem from an employer’s failure to pay UI taxes or to procure required workers’ compensation insurance, acts which themselves have criminal consequences in some states. In addition, as noted above, often employers committing these offenses engage in wage theft as well.</w:t>
      </w:r>
    </w:p>
    <w:p w14:paraId="5DAAE4C5" w14:textId="77777777" w:rsidR="00C42954" w:rsidRPr="002A2760" w:rsidRDefault="00C42954" w:rsidP="00C42954">
      <w:pPr>
        <w:rPr>
          <w:sz w:val="16"/>
        </w:rPr>
      </w:pPr>
      <w:r w:rsidRPr="002A2760">
        <w:rPr>
          <w:sz w:val="16"/>
        </w:rPr>
        <w:t>Sample payroll fraud cases</w:t>
      </w:r>
    </w:p>
    <w:p w14:paraId="00173548" w14:textId="77777777" w:rsidR="00C42954" w:rsidRPr="002A2760" w:rsidRDefault="00C42954" w:rsidP="00C42954">
      <w:pPr>
        <w:rPr>
          <w:sz w:val="16"/>
        </w:rPr>
      </w:pPr>
      <w:r w:rsidRPr="002A2760">
        <w:rPr>
          <w:sz w:val="16"/>
        </w:rPr>
        <w:t>• Underreporting employees on workers’ compensation forms. In 2020, the Hennepin County Attorney (Minnesota) won convictions against the owners of a drywall company for insurance fraud and theft by swindle, based on allegations that the company underreported employees on workers’ compensation documents and wrongly treated workers as independent contractors. As part of a guilty plea, both owners of the Minnesota drywall company received five years of probation, 180 days of home monitoring, and 30 days of community service, along with a $30,000 fine and an order to pay $309,000 in restitution (Hennepin CA 2020a, 2020b).</w:t>
      </w:r>
    </w:p>
    <w:p w14:paraId="1563CB39" w14:textId="77777777" w:rsidR="00C42954" w:rsidRPr="002A2760" w:rsidRDefault="00C42954" w:rsidP="00C42954">
      <w:pPr>
        <w:rPr>
          <w:sz w:val="16"/>
        </w:rPr>
      </w:pPr>
      <w:r w:rsidRPr="002A2760">
        <w:rPr>
          <w:sz w:val="16"/>
        </w:rPr>
        <w:t>• Failure to pay wages, UI taxes, and workers’ compensation insurance. In 2020, the Suffolk County (New York) DA’s office announced that eight people and nine businesses had been charged in a labor-related crackdown in Suffolk County. The alleged crimes collectively involved the theft of more than $250,000 in employees’ wages and benefits, nonpayment of more than $58,000 to the New York State Department of Labor for unemployment insurance fund contributions, and failure to pay more than $133,000 to the state insurance fund for workers’ compensation insurance premiums (Suffolk Cty. DA 2020b).</w:t>
      </w:r>
    </w:p>
    <w:p w14:paraId="307808CD" w14:textId="77777777" w:rsidR="00C42954" w:rsidRPr="002A2760" w:rsidRDefault="00C42954" w:rsidP="00C42954">
      <w:pPr>
        <w:rPr>
          <w:sz w:val="16"/>
        </w:rPr>
      </w:pPr>
      <w:r w:rsidRPr="002A2760">
        <w:rPr>
          <w:sz w:val="16"/>
        </w:rPr>
        <w:t>• Wage theft and workers’ compensation insurance crimes, related in part to underreporting payroll. In 2020, the Rhode Island attorney general brought charges against the former owner of a cleaning company (a contractor for the Community College of Rhode Island) for wage theft, failure to maintain workers’ compensation insurance coverage, and workers’ compensation insurance premium fraud. Among other things, the defendant allegedly falsely reported only $10,000 of payroll, instead of almost $400,000, lowering business expenses and gaining a competitive advantage in bidding (R.I. AG 2020).</w:t>
      </w:r>
    </w:p>
    <w:p w14:paraId="07F65F5C" w14:textId="77777777" w:rsidR="00C42954" w:rsidRPr="002A2760" w:rsidRDefault="00C42954" w:rsidP="00C42954">
      <w:pPr>
        <w:rPr>
          <w:sz w:val="16"/>
        </w:rPr>
      </w:pPr>
      <w:r w:rsidRPr="002A2760">
        <w:rPr>
          <w:sz w:val="16"/>
        </w:rPr>
        <w:t>• Workers’ compensation insurance fraud. In 2019, the Stanislaus County (California) DA’s office announced that a former temp agency owner had been convicted of workers’ compensation insurance premium fraud and ordered to pay close to $1 million in restitution. An insurance audit revealed that the agency owner had underreported payroll and the number of employees to obtain a lower premium (CSLEA 2019).</w:t>
      </w:r>
    </w:p>
    <w:p w14:paraId="11B5073E" w14:textId="77777777" w:rsidR="00C42954" w:rsidRPr="002A2760" w:rsidRDefault="00C42954" w:rsidP="00C42954">
      <w:pPr>
        <w:rPr>
          <w:sz w:val="16"/>
        </w:rPr>
      </w:pPr>
      <w:r w:rsidRPr="002A2760">
        <w:rPr>
          <w:sz w:val="16"/>
        </w:rPr>
        <w:t>• Misclassifying workers to avoid paying overtime and UI taxes. In 2018, the New York state attorney general obtained guilty pleas (to grand larceny and falsifying business records) from three construction companies that had misclassified their workers as independent contractors to avoid paying overtime and unemployment insurance taxes (N.Y. AG 2018).</w:t>
      </w:r>
    </w:p>
    <w:p w14:paraId="68E39F8D" w14:textId="77777777" w:rsidR="00C42954" w:rsidRPr="002A2760" w:rsidRDefault="00C42954" w:rsidP="00C42954">
      <w:pPr>
        <w:rPr>
          <w:sz w:val="16"/>
        </w:rPr>
      </w:pPr>
      <w:r w:rsidRPr="002A2760">
        <w:rPr>
          <w:sz w:val="16"/>
        </w:rPr>
        <w:t>• Hiding the existence of workers to avoid workers’ compensation costs and payroll taxes. In 2017, the San Diego district attorney obtained a guilty plea from a married couple accused hiding the existence of at least 800 housekeeping and janitorial workers to avoid paying millions in workers’ compensation insurance rates and payroll taxes (Littlefield 2017).</w:t>
      </w:r>
    </w:p>
    <w:p w14:paraId="7F6CCFBE" w14:textId="77777777" w:rsidR="00C42954" w:rsidRPr="002A2760" w:rsidRDefault="00C42954" w:rsidP="00C42954">
      <w:pPr>
        <w:rPr>
          <w:sz w:val="16"/>
        </w:rPr>
      </w:pPr>
      <w:r w:rsidRPr="002A2760">
        <w:rPr>
          <w:sz w:val="16"/>
        </w:rPr>
        <w:t>Workplace safety and health cases target highly predictable, avoidable, and sometimes fatal workplace hazards</w:t>
      </w:r>
    </w:p>
    <w:p w14:paraId="0C6A9EF8" w14:textId="77777777" w:rsidR="00C42954" w:rsidRPr="002A2760" w:rsidRDefault="00C42954" w:rsidP="00C42954">
      <w:pPr>
        <w:rPr>
          <w:sz w:val="16"/>
        </w:rPr>
      </w:pPr>
      <w:r w:rsidRPr="002A2760">
        <w:rPr>
          <w:sz w:val="16"/>
        </w:rPr>
        <w:t xml:space="preserve">While most violations of workplace safety and health laws are addressed through civil enforcement by OSHA or an OSHA-approved state plan (U.S. DOL-OSHA n.d.a, n.d.b), </w:t>
      </w:r>
      <w:r w:rsidRPr="002A2760">
        <w:rPr>
          <w:rStyle w:val="StyleUnderline"/>
        </w:rPr>
        <w:t>prosecutors have brought various charges in several cases of highly predictable, easily avoidable workplace fatalities or serious injuries</w:t>
      </w:r>
      <w:r w:rsidRPr="002A2760">
        <w:rPr>
          <w:sz w:val="16"/>
        </w:rPr>
        <w:t xml:space="preserve">, such as unsecured roofers who fell to their deaths or workers killed when trenches that had not been shored up collapsed. </w:t>
      </w:r>
      <w:r w:rsidRPr="002A2760">
        <w:rPr>
          <w:rStyle w:val="StyleUnderline"/>
        </w:rPr>
        <w:t>State exercise of traditional police powers, such as criminal prosecutions of such cases, is generally not preempted by</w:t>
      </w:r>
      <w:r w:rsidRPr="002A2760">
        <w:rPr>
          <w:sz w:val="16"/>
        </w:rPr>
        <w:t xml:space="preserve"> the </w:t>
      </w:r>
      <w:r w:rsidRPr="002A2760">
        <w:rPr>
          <w:rStyle w:val="StyleUnderline"/>
        </w:rPr>
        <w:t>OSH</w:t>
      </w:r>
      <w:r w:rsidRPr="002A2760">
        <w:rPr>
          <w:sz w:val="16"/>
        </w:rPr>
        <w:t xml:space="preserve"> </w:t>
      </w:r>
      <w:r w:rsidRPr="002A2760">
        <w:rPr>
          <w:rStyle w:val="StyleUnderline"/>
        </w:rPr>
        <w:t>A</w:t>
      </w:r>
      <w:r w:rsidRPr="002A2760">
        <w:rPr>
          <w:sz w:val="16"/>
        </w:rPr>
        <w:t xml:space="preserve">ct (Flanagan, Gerstein, and Smith 2020). Charges have included workplace or involuntary manslaughter, criminally negligent homicide, reckless endangerment, and assault. </w:t>
      </w:r>
      <w:r w:rsidRPr="002A2760">
        <w:rPr>
          <w:rStyle w:val="StyleUnderline"/>
        </w:rPr>
        <w:t>There is long-standing precedent for prosecution</w:t>
      </w:r>
      <w:r w:rsidRPr="002A2760">
        <w:rPr>
          <w:sz w:val="16"/>
        </w:rPr>
        <w:t xml:space="preserve"> in this area; for example, in the 1980s, a program was established in Los Angeles involving collaboration between the district attorney and the state OSHA plan (McCluskey et al. 2016).</w:t>
      </w:r>
    </w:p>
    <w:p w14:paraId="716135C8" w14:textId="77777777" w:rsidR="00C42954" w:rsidRPr="002A2760" w:rsidRDefault="00C42954" w:rsidP="00C42954">
      <w:pPr>
        <w:rPr>
          <w:sz w:val="16"/>
        </w:rPr>
      </w:pPr>
      <w:r w:rsidRPr="002A2760">
        <w:rPr>
          <w:sz w:val="16"/>
        </w:rPr>
        <w:t>Sample workplace safety and health cases</w:t>
      </w:r>
    </w:p>
    <w:p w14:paraId="39592182" w14:textId="77777777" w:rsidR="00C42954" w:rsidRPr="002A2760" w:rsidRDefault="00C42954" w:rsidP="00C42954">
      <w:pPr>
        <w:rPr>
          <w:sz w:val="16"/>
        </w:rPr>
      </w:pPr>
      <w:r w:rsidRPr="002A2760">
        <w:rPr>
          <w:sz w:val="16"/>
        </w:rPr>
        <w:t>• Roofing fatalities. In 2019, the Office of the Maine Attorney General charged a contractor with workplace manslaughter when a roofing worker without required protection against falls fell to his death (Flaherty 2019). In a similar case that year, the prosecutor from Summit County, Ohio, obtained an involuntary manslaughter guilty plea from a contractor in a roofing fatality case (Warsmith 2019).</w:t>
      </w:r>
    </w:p>
    <w:p w14:paraId="2B6748C7" w14:textId="77777777" w:rsidR="00C42954" w:rsidRPr="002A2760" w:rsidRDefault="00C42954" w:rsidP="00C42954">
      <w:pPr>
        <w:rPr>
          <w:sz w:val="16"/>
        </w:rPr>
      </w:pPr>
      <w:r w:rsidRPr="002A2760">
        <w:rPr>
          <w:sz w:val="16"/>
        </w:rPr>
        <w:t>• Trench collapses. Several employers have been prosecuted following workplace fatalities resulting from trench collapses, including in Boston; Brooklyn, New York; Fairfax County, Virginia; Granby, Colorado; Manhattan, New York; and Seattle. In all cases, the employers were charged with manslaughter, except in the Seattle case; there the charge was criminal negligence (NBC10 Boston 2019; Brooklyn DA 2019; Haynes 2019; Pace 2019a, 2019b; Chen 2016; Green 2016)</w:t>
      </w:r>
    </w:p>
    <w:p w14:paraId="345FB7E3" w14:textId="77777777" w:rsidR="00C42954" w:rsidRPr="002A2760" w:rsidRDefault="00C42954" w:rsidP="00C42954">
      <w:pPr>
        <w:rPr>
          <w:sz w:val="16"/>
        </w:rPr>
      </w:pPr>
      <w:r w:rsidRPr="002A2760">
        <w:rPr>
          <w:sz w:val="16"/>
        </w:rPr>
        <w:t>• Forklift fatality. In 2018, the San Francisco district attorney brought involuntary manslaughter charges against the employer of a worker crushed to death by a forklift; the victim was assigned to use the forklift, despite not being certified to do so, and a ramp at the worksite lacked a required curb to prevent the forklift from falling (Sernoffsky 2018).</w:t>
      </w:r>
    </w:p>
    <w:p w14:paraId="571E3EC7" w14:textId="77777777" w:rsidR="00C42954" w:rsidRPr="002A2760" w:rsidRDefault="00C42954" w:rsidP="00C42954">
      <w:pPr>
        <w:rPr>
          <w:sz w:val="16"/>
        </w:rPr>
      </w:pPr>
      <w:r w:rsidRPr="002A2760">
        <w:rPr>
          <w:sz w:val="16"/>
        </w:rPr>
        <w:t>• Crane-related injuries. In 2018, the Manhattan district attorney brought assault charges against a contractor on a construction site where two workers were gravely injured by the fall of a mini crane (NY Cty. DA 2018).</w:t>
      </w:r>
    </w:p>
    <w:p w14:paraId="3E5B44CA" w14:textId="77777777" w:rsidR="00C42954" w:rsidRPr="002A2760" w:rsidRDefault="00C42954" w:rsidP="00C42954">
      <w:pPr>
        <w:rPr>
          <w:sz w:val="16"/>
        </w:rPr>
      </w:pPr>
      <w:r w:rsidRPr="002A2760">
        <w:rPr>
          <w:sz w:val="16"/>
        </w:rPr>
        <w:t>• Child labor. In the last decade, child labor charges were brought in two New York cases, both involving teenagers assigned to operate machinery prohibited at their age. A 14-year-old was killed on the job at a farm (Harris 2014; N.Y. AG 2019) and a 17-year-old’s arm was severed at a restaurant (N.Y. AG 2014c). Both employers pleaded guilty.</w:t>
      </w:r>
    </w:p>
    <w:p w14:paraId="4E6AD3D2" w14:textId="77777777" w:rsidR="00C42954" w:rsidRPr="002A2760" w:rsidRDefault="00C42954" w:rsidP="00C42954">
      <w:pPr>
        <w:rPr>
          <w:rStyle w:val="StyleUnderline"/>
        </w:rPr>
      </w:pPr>
      <w:r w:rsidRPr="002A2760">
        <w:rPr>
          <w:rStyle w:val="StyleUnderline"/>
        </w:rPr>
        <w:t>Labor trafficking cases involve extreme worker exploitation</w:t>
      </w:r>
    </w:p>
    <w:p w14:paraId="734D0257" w14:textId="77777777" w:rsidR="00C42954" w:rsidRPr="002A2760" w:rsidRDefault="00C42954" w:rsidP="00C42954">
      <w:pPr>
        <w:rPr>
          <w:sz w:val="16"/>
        </w:rPr>
      </w:pPr>
      <w:r w:rsidRPr="002A2760">
        <w:rPr>
          <w:rStyle w:val="StyleUnderline"/>
        </w:rPr>
        <w:t>Labor trafficking occurs when a person uses force, fraud, or coercion to obtain labor or services of another person</w:t>
      </w:r>
      <w:r w:rsidRPr="002A2760">
        <w:rPr>
          <w:sz w:val="16"/>
        </w:rPr>
        <w:t xml:space="preserve"> (U.S. Department of State 2021). State statutes defining labor trafficking vary in their precise language, and some encompass a wider range of conduct than federal trafficking statutes (NCSL 2018). Although labor trafficking has been less commonly prosecuted than sex trafficking (Smith 2021), state or local </w:t>
      </w:r>
      <w:r w:rsidRPr="002A2760">
        <w:rPr>
          <w:rStyle w:val="StyleUnderline"/>
        </w:rPr>
        <w:t>criminal prosecutors have brought labor trafficking charges in a few notable cases</w:t>
      </w:r>
      <w:r w:rsidRPr="002A2760">
        <w:rPr>
          <w:sz w:val="16"/>
        </w:rPr>
        <w:t xml:space="preserve">. In some instances, </w:t>
      </w:r>
      <w:r w:rsidRPr="002A2760">
        <w:rPr>
          <w:rStyle w:val="StyleUnderline"/>
        </w:rPr>
        <w:t>a focus on trafficking has served as a pathway for prosecutors’ offices to get involved in broader worker exploitation issues</w:t>
      </w:r>
      <w:r w:rsidRPr="002A2760">
        <w:rPr>
          <w:sz w:val="16"/>
        </w:rPr>
        <w:t>.14</w:t>
      </w:r>
    </w:p>
    <w:p w14:paraId="6C5FC8C0" w14:textId="77777777" w:rsidR="00C42954" w:rsidRPr="002A2760" w:rsidRDefault="00C42954" w:rsidP="00C42954">
      <w:pPr>
        <w:rPr>
          <w:sz w:val="16"/>
        </w:rPr>
      </w:pPr>
      <w:r w:rsidRPr="002A2760">
        <w:rPr>
          <w:sz w:val="16"/>
        </w:rPr>
        <w:t>Sample labor trafficking cases</w:t>
      </w:r>
    </w:p>
    <w:p w14:paraId="31A56569" w14:textId="77777777" w:rsidR="00C42954" w:rsidRPr="002A2760" w:rsidRDefault="00C42954" w:rsidP="00C42954">
      <w:pPr>
        <w:rPr>
          <w:sz w:val="16"/>
        </w:rPr>
      </w:pPr>
      <w:r w:rsidRPr="002A2760">
        <w:rPr>
          <w:sz w:val="16"/>
        </w:rPr>
        <w:t xml:space="preserve">• </w:t>
      </w:r>
      <w:r w:rsidRPr="002A2760">
        <w:rPr>
          <w:rStyle w:val="StyleUnderline"/>
        </w:rPr>
        <w:t>Paying grossly subminimum wages and threatening workers</w:t>
      </w:r>
      <w:r w:rsidRPr="002A2760">
        <w:rPr>
          <w:sz w:val="16"/>
        </w:rPr>
        <w:t xml:space="preserve">. In 2020, the Suffolk County (New York) district attorney arrested a gas station owner for several charges, including labor trafficking, scheme to defraud, grand larceny, and retaliation. The employer was accused of paying grossly subminimum wages and no overtime for workweeks of 70 to 100 hours; </w:t>
      </w:r>
      <w:r w:rsidRPr="002A2760">
        <w:rPr>
          <w:rStyle w:val="StyleUnderline"/>
        </w:rPr>
        <w:t>he was also alleged to have threatened to file false police reports or call immigration authorities regarding any employees who complained about working conditions or cooperated in state labor department investigations</w:t>
      </w:r>
      <w:r w:rsidRPr="002A2760">
        <w:rPr>
          <w:sz w:val="16"/>
        </w:rPr>
        <w:t>. The case was referred to the DA’s office by the New York State Department of Labor (Suffolk Cty. DA 2020a).</w:t>
      </w:r>
    </w:p>
    <w:p w14:paraId="31304A22" w14:textId="77777777" w:rsidR="00C42954" w:rsidRPr="002A2760" w:rsidRDefault="00C42954" w:rsidP="00C42954">
      <w:pPr>
        <w:rPr>
          <w:sz w:val="16"/>
        </w:rPr>
      </w:pPr>
      <w:r w:rsidRPr="002A2760">
        <w:rPr>
          <w:sz w:val="16"/>
        </w:rPr>
        <w:t xml:space="preserve">• </w:t>
      </w:r>
      <w:r w:rsidRPr="002A2760">
        <w:rPr>
          <w:rStyle w:val="StyleUnderline"/>
        </w:rPr>
        <w:t>Coercing, underpaying, and threatening undocumented workers in unsafe conditions</w:t>
      </w:r>
      <w:r w:rsidRPr="002A2760">
        <w:rPr>
          <w:sz w:val="16"/>
        </w:rPr>
        <w:t xml:space="preserve">. In 2019, </w:t>
      </w:r>
      <w:r w:rsidRPr="002A2760">
        <w:rPr>
          <w:rStyle w:val="StyleUnderline"/>
        </w:rPr>
        <w:t>a contractor in</w:t>
      </w:r>
      <w:r w:rsidRPr="002A2760">
        <w:rPr>
          <w:sz w:val="16"/>
        </w:rPr>
        <w:t xml:space="preserve"> the Twin Cities, </w:t>
      </w:r>
      <w:r w:rsidRPr="002A2760">
        <w:rPr>
          <w:rStyle w:val="StyleUnderline"/>
        </w:rPr>
        <w:t>Minnesota</w:t>
      </w:r>
      <w:r w:rsidRPr="002A2760">
        <w:rPr>
          <w:sz w:val="16"/>
        </w:rPr>
        <w:t xml:space="preserve">, region </w:t>
      </w:r>
      <w:r w:rsidRPr="002A2760">
        <w:rPr>
          <w:rStyle w:val="StyleUnderline"/>
        </w:rPr>
        <w:t>was sentenced to 270 days in jail and five years of probation for labor trafficking and insurance fraud</w:t>
      </w:r>
      <w:r w:rsidRPr="002A2760">
        <w:rPr>
          <w:sz w:val="16"/>
        </w:rPr>
        <w:t xml:space="preserve">, after pleading guilty on the eve of trial in a case brought by the Hennepin County Attorney. According to the criminal complaint, </w:t>
      </w:r>
      <w:r w:rsidRPr="002A2760">
        <w:rPr>
          <w:rStyle w:val="StyleUnderline"/>
        </w:rPr>
        <w:t>the contractor recruited workers for construction work, knowing that they were undocumented, and used that leverage to force them to work long hours at low pay and without adequate safety protection, allegedly also telling workers they would be fired and deported if they went to a doctor for injuries suffered on the job</w:t>
      </w:r>
      <w:r w:rsidRPr="002A2760">
        <w:rPr>
          <w:sz w:val="16"/>
        </w:rPr>
        <w:t xml:space="preserve"> (Hennepin CA 2019, 2020c). </w:t>
      </w:r>
      <w:r w:rsidRPr="002A2760">
        <w:rPr>
          <w:rStyle w:val="StyleUnderline"/>
        </w:rPr>
        <w:t>The investigation was conducted by a state law enforcement agency after reports were made</w:t>
      </w:r>
      <w:r w:rsidRPr="002A2760">
        <w:rPr>
          <w:sz w:val="16"/>
        </w:rPr>
        <w:t xml:space="preserve"> to the Hennepin County Attorney’s Office </w:t>
      </w:r>
      <w:r w:rsidRPr="002A2760">
        <w:rPr>
          <w:rStyle w:val="StyleUnderline"/>
        </w:rPr>
        <w:t>by a</w:t>
      </w:r>
      <w:r w:rsidRPr="002A2760">
        <w:rPr>
          <w:sz w:val="16"/>
        </w:rPr>
        <w:t xml:space="preserve"> trade </w:t>
      </w:r>
      <w:r w:rsidRPr="002A2760">
        <w:rPr>
          <w:rStyle w:val="StyleUnderline"/>
        </w:rPr>
        <w:t>union and a local workers’ rights organization</w:t>
      </w:r>
      <w:r w:rsidRPr="002A2760">
        <w:rPr>
          <w:sz w:val="16"/>
        </w:rPr>
        <w:t>, Centro de Trabajadores Unidos en la Lucha (CTUL) (Feshir 2019).</w:t>
      </w:r>
    </w:p>
    <w:p w14:paraId="2498BDCA" w14:textId="77777777" w:rsidR="00C42954" w:rsidRPr="002A2760" w:rsidRDefault="00C42954" w:rsidP="00C42954">
      <w:pPr>
        <w:rPr>
          <w:sz w:val="16"/>
        </w:rPr>
      </w:pPr>
      <w:r w:rsidRPr="002A2760">
        <w:rPr>
          <w:sz w:val="16"/>
        </w:rPr>
        <w:t xml:space="preserve">• </w:t>
      </w:r>
      <w:r w:rsidRPr="002A2760">
        <w:rPr>
          <w:rStyle w:val="StyleUnderline"/>
        </w:rPr>
        <w:t>Underpaying, keeping passport, and threatening immigrant cleaning worker with deportation</w:t>
      </w:r>
      <w:r w:rsidRPr="002A2760">
        <w:rPr>
          <w:sz w:val="16"/>
        </w:rPr>
        <w:t xml:space="preserve">. In 2018, the </w:t>
      </w:r>
      <w:r w:rsidRPr="002A2760">
        <w:rPr>
          <w:rStyle w:val="StyleUnderline"/>
        </w:rPr>
        <w:t>Massachusetts attorney general’s office charged an employer with labor trafficking</w:t>
      </w:r>
      <w:r w:rsidRPr="002A2760">
        <w:rPr>
          <w:sz w:val="16"/>
        </w:rPr>
        <w:t xml:space="preserve">, among other offenses, </w:t>
      </w:r>
      <w:r w:rsidRPr="002A2760">
        <w:rPr>
          <w:rStyle w:val="StyleUnderline"/>
        </w:rPr>
        <w:t>in a case in which the defendant was accused of recruiting a worker from abroad</w:t>
      </w:r>
      <w:r w:rsidRPr="002A2760">
        <w:rPr>
          <w:sz w:val="16"/>
        </w:rPr>
        <w:t xml:space="preserve"> and requiring her to perform cleaning work, </w:t>
      </w:r>
      <w:r w:rsidRPr="002A2760">
        <w:rPr>
          <w:rStyle w:val="StyleUnderline"/>
        </w:rPr>
        <w:t>for which she was paid subminimum wages</w:t>
      </w:r>
      <w:r w:rsidRPr="002A2760">
        <w:rPr>
          <w:sz w:val="16"/>
        </w:rPr>
        <w:t xml:space="preserve">; </w:t>
      </w:r>
      <w:r w:rsidRPr="002A2760">
        <w:rPr>
          <w:rStyle w:val="StyleUnderline"/>
        </w:rPr>
        <w:t>he allegedly retained the worker’s passport and threatened that if she tried to return to her home country of origin, she would be arrested by immigration authorities</w:t>
      </w:r>
      <w:r w:rsidRPr="002A2760">
        <w:rPr>
          <w:sz w:val="16"/>
        </w:rPr>
        <w:t xml:space="preserve"> (Mass. AG 2018).</w:t>
      </w:r>
    </w:p>
    <w:p w14:paraId="12B5B425" w14:textId="77777777" w:rsidR="00C42954" w:rsidRPr="002A2760" w:rsidRDefault="00C42954" w:rsidP="00C42954">
      <w:pPr>
        <w:rPr>
          <w:sz w:val="16"/>
        </w:rPr>
      </w:pPr>
      <w:r w:rsidRPr="002A2760">
        <w:rPr>
          <w:sz w:val="16"/>
        </w:rPr>
        <w:t>• Subjecting care workers to brutal conditions. In 2018, the California attorney general’s office brought human trafficking and other charges against four individuals who ran an adult residential and child care company. The complaint alleged that workers were forced to work around the clock, seven days a week, and sleep on floors and in garages, and that defendants also confiscated some workers’ passports and threatened to report workers to immigration authorities (Calif. AG 2018).</w:t>
      </w:r>
    </w:p>
    <w:p w14:paraId="5FCCA709" w14:textId="77777777" w:rsidR="00C42954" w:rsidRPr="002A2760" w:rsidRDefault="00C42954" w:rsidP="00C42954">
      <w:pPr>
        <w:rPr>
          <w:sz w:val="16"/>
        </w:rPr>
      </w:pPr>
      <w:r w:rsidRPr="002A2760">
        <w:rPr>
          <w:sz w:val="16"/>
        </w:rPr>
        <w:t xml:space="preserve">• </w:t>
      </w:r>
      <w:r w:rsidRPr="002A2760">
        <w:rPr>
          <w:rStyle w:val="StyleUnderline"/>
        </w:rPr>
        <w:t>Taking visas and passports from farmworkers and threatening harm</w:t>
      </w:r>
      <w:r w:rsidRPr="002A2760">
        <w:rPr>
          <w:sz w:val="16"/>
        </w:rPr>
        <w:t xml:space="preserve">. In 2018, a jury in Fresno County, California, </w:t>
      </w:r>
      <w:r w:rsidRPr="002A2760">
        <w:rPr>
          <w:rStyle w:val="StyleUnderline"/>
        </w:rPr>
        <w:t>found an individual guilty</w:t>
      </w:r>
      <w:r w:rsidRPr="002A2760">
        <w:rPr>
          <w:sz w:val="16"/>
        </w:rPr>
        <w:t xml:space="preserve"> of human trafficking and extortion in relation to farmworkers. The defendant was accused of taking victims’ visas and passports, and </w:t>
      </w:r>
      <w:r w:rsidRPr="002A2760">
        <w:rPr>
          <w:rStyle w:val="StyleUnderline"/>
        </w:rPr>
        <w:t>of threatening to harm them and report them to immigration if they stopped working for him</w:t>
      </w:r>
      <w:r w:rsidRPr="002A2760">
        <w:rPr>
          <w:sz w:val="16"/>
        </w:rPr>
        <w:t xml:space="preserve"> (Lopez 2018a, 2018b).</w:t>
      </w:r>
    </w:p>
    <w:p w14:paraId="4930FBEE" w14:textId="77777777" w:rsidR="00C42954" w:rsidRPr="002A2760" w:rsidRDefault="00C42954" w:rsidP="00C42954">
      <w:pPr>
        <w:rPr>
          <w:sz w:val="16"/>
        </w:rPr>
      </w:pPr>
      <w:r w:rsidRPr="002A2760">
        <w:rPr>
          <w:sz w:val="16"/>
        </w:rPr>
        <w:t>Sexual assault cases target extreme harms of harassment</w:t>
      </w:r>
    </w:p>
    <w:p w14:paraId="773DB65E" w14:textId="77777777" w:rsidR="00C42954" w:rsidRPr="002A2760" w:rsidRDefault="00C42954" w:rsidP="00C42954">
      <w:pPr>
        <w:rPr>
          <w:sz w:val="16"/>
        </w:rPr>
      </w:pPr>
      <w:r w:rsidRPr="002A2760">
        <w:rPr>
          <w:sz w:val="16"/>
        </w:rPr>
        <w:t>The #MeToo movement, which gained momentum in 2017, has led to an increase in awareness and exposure of workplace sexual harassment. In certain instances, this conduct has risen to a level resulting in assault and even rape charges.15</w:t>
      </w:r>
    </w:p>
    <w:p w14:paraId="158A3D58" w14:textId="77777777" w:rsidR="00C42954" w:rsidRPr="002A2760" w:rsidRDefault="00C42954" w:rsidP="00C42954">
      <w:pPr>
        <w:rPr>
          <w:sz w:val="16"/>
        </w:rPr>
      </w:pPr>
      <w:r w:rsidRPr="002A2760">
        <w:rPr>
          <w:sz w:val="16"/>
        </w:rPr>
        <w:t>Sample workplace sexual assault cases case summaries</w:t>
      </w:r>
    </w:p>
    <w:p w14:paraId="736022EC" w14:textId="77777777" w:rsidR="00C42954" w:rsidRPr="002A2760" w:rsidRDefault="00C42954" w:rsidP="00C42954">
      <w:pPr>
        <w:rPr>
          <w:sz w:val="16"/>
        </w:rPr>
      </w:pPr>
      <w:r w:rsidRPr="002A2760">
        <w:rPr>
          <w:sz w:val="16"/>
        </w:rPr>
        <w:t>• In a nationally high-profile case, the Manhattan DA office brought criminal charges against former Hollywood producer Harvey Weinstein, who in 2020 was found guilty of criminal sexual assault and rape, and sentenced to 23 years in prison (Ransom 2020a, 2020b).</w:t>
      </w:r>
    </w:p>
    <w:p w14:paraId="4A289C4A" w14:textId="77777777" w:rsidR="00C42954" w:rsidRPr="002A2760" w:rsidRDefault="00C42954" w:rsidP="00C42954">
      <w:pPr>
        <w:rPr>
          <w:sz w:val="16"/>
        </w:rPr>
      </w:pPr>
      <w:r w:rsidRPr="002A2760">
        <w:rPr>
          <w:sz w:val="16"/>
        </w:rPr>
        <w:t>• The owner of a Boulder, Colorado, ice cream company pleaded guilty to two counts of misdemeanor unlawful sexual conduct based on allegations that he sexually abused female employees, including two undocumented immigrants. In 2018, he was sentenced to six months in the Boulder County Jail followed by a year of work release, among other conditions of probation (Bear 2018).</w:t>
      </w:r>
    </w:p>
    <w:p w14:paraId="130093BC" w14:textId="77777777" w:rsidR="00C42954" w:rsidRPr="002A2760" w:rsidRDefault="00C42954" w:rsidP="00C42954">
      <w:pPr>
        <w:rPr>
          <w:sz w:val="16"/>
        </w:rPr>
      </w:pPr>
      <w:r w:rsidRPr="002A2760">
        <w:rPr>
          <w:sz w:val="16"/>
        </w:rPr>
        <w:t>• The owner of the country’s last Howard Johnson’s restaurant (located in Lake George, New York) was sentenced to six months in jail and six years’ probation after being charged in 2017 with sexual abuse, unlawful imprisonment, and endangering the welfare of a child based on allegations that he sexually harassed about 15 female employees, including minors (AP 2017, 2018).</w:t>
      </w:r>
    </w:p>
    <w:p w14:paraId="18304667" w14:textId="77777777" w:rsidR="00C42954" w:rsidRPr="002A2760" w:rsidRDefault="00C42954" w:rsidP="00C42954">
      <w:pPr>
        <w:rPr>
          <w:sz w:val="16"/>
        </w:rPr>
      </w:pPr>
      <w:r w:rsidRPr="002A2760">
        <w:rPr>
          <w:rStyle w:val="StyleUnderline"/>
        </w:rPr>
        <w:t>Retaliation</w:t>
      </w:r>
      <w:r w:rsidRPr="002A2760">
        <w:rPr>
          <w:sz w:val="16"/>
        </w:rPr>
        <w:t xml:space="preserve"> and witness intimidation </w:t>
      </w:r>
      <w:r w:rsidRPr="002A2760">
        <w:rPr>
          <w:rStyle w:val="StyleUnderline"/>
        </w:rPr>
        <w:t>cases target actions that hamper investigations</w:t>
      </w:r>
    </w:p>
    <w:p w14:paraId="0F098C40" w14:textId="77777777" w:rsidR="00C42954" w:rsidRPr="002A2760" w:rsidRDefault="00C42954" w:rsidP="00C42954">
      <w:pPr>
        <w:rPr>
          <w:sz w:val="16"/>
        </w:rPr>
      </w:pPr>
      <w:r w:rsidRPr="003F7254">
        <w:rPr>
          <w:sz w:val="16"/>
        </w:rPr>
        <w:t xml:space="preserve">Retaliation against workers who report violations can consist of termination, demotion, pay reduction, assignment to less desirable schedule or job assignment, threats of any kind (including calling immigration), or advising other employers not to hire a person. </w:t>
      </w:r>
      <w:r w:rsidRPr="003F7254">
        <w:rPr>
          <w:rStyle w:val="StyleUnderline"/>
        </w:rPr>
        <w:t xml:space="preserve">Retaliation is </w:t>
      </w:r>
      <w:r w:rsidRPr="003F7254">
        <w:rPr>
          <w:rStyle w:val="Emphasis"/>
        </w:rPr>
        <w:t>particularly harmful</w:t>
      </w:r>
      <w:r w:rsidRPr="003F7254">
        <w:rPr>
          <w:rStyle w:val="StyleUnderline"/>
        </w:rPr>
        <w:t xml:space="preserve"> because of its potential to </w:t>
      </w:r>
      <w:r w:rsidRPr="003F7254">
        <w:rPr>
          <w:rStyle w:val="Emphasis"/>
        </w:rPr>
        <w:t>deter</w:t>
      </w:r>
      <w:r w:rsidRPr="003F7254">
        <w:rPr>
          <w:rStyle w:val="StyleUnderline"/>
        </w:rPr>
        <w:t xml:space="preserve"> other workers from </w:t>
      </w:r>
      <w:r w:rsidRPr="003F7254">
        <w:rPr>
          <w:rStyle w:val="Emphasis"/>
        </w:rPr>
        <w:t>reporting</w:t>
      </w:r>
      <w:r w:rsidRPr="003F7254">
        <w:rPr>
          <w:rStyle w:val="StyleUnderline"/>
        </w:rPr>
        <w:t xml:space="preserve"> violations or cooperating with an investigation</w:t>
      </w:r>
      <w:r w:rsidRPr="003F7254">
        <w:rPr>
          <w:sz w:val="16"/>
        </w:rPr>
        <w:t>. In some cases pursued by prosecutors, employers pressured workers to withdraw complaints or provide inaccurate testimony in wage-related proceedings. Other cases involved retaliation or conduct similar to witness tampering.</w:t>
      </w:r>
    </w:p>
    <w:p w14:paraId="7C563AE1" w14:textId="77777777" w:rsidR="00C42954" w:rsidRPr="002A2760" w:rsidRDefault="00C42954" w:rsidP="00C42954">
      <w:pPr>
        <w:rPr>
          <w:sz w:val="16"/>
        </w:rPr>
      </w:pPr>
      <w:r w:rsidRPr="002A2760">
        <w:rPr>
          <w:sz w:val="16"/>
        </w:rPr>
        <w:t>Sample retaliation and witness intimidation cases</w:t>
      </w:r>
    </w:p>
    <w:p w14:paraId="131DBC75" w14:textId="77777777" w:rsidR="00C42954" w:rsidRPr="002A2760" w:rsidRDefault="00C42954" w:rsidP="00C42954">
      <w:pPr>
        <w:rPr>
          <w:sz w:val="16"/>
        </w:rPr>
      </w:pPr>
      <w:r w:rsidRPr="002A2760">
        <w:rPr>
          <w:sz w:val="16"/>
        </w:rPr>
        <w:t>• Retaliating against gas station workers who reported violations. In 2020, the Suffolk County (New York) District Attorney charged a gas station owner with, among other things, retaliation against workers who reported violations (Suffolk Cty. DA 2020a). (This case is also described in the labor trafficking case section above) (Suffolk Cty. DA 2020a).</w:t>
      </w:r>
    </w:p>
    <w:p w14:paraId="76D38B93" w14:textId="77777777" w:rsidR="00C42954" w:rsidRPr="002A2760" w:rsidRDefault="00C42954" w:rsidP="00C42954">
      <w:pPr>
        <w:rPr>
          <w:sz w:val="16"/>
        </w:rPr>
      </w:pPr>
      <w:r w:rsidRPr="002A2760">
        <w:rPr>
          <w:sz w:val="16"/>
        </w:rPr>
        <w:t>• Intimidating laundry temp workers serving as witnesses in a wage theft case. In 2019, the Massachusetts attorney general’s office announced guilty pleas of owners of a temp agency for, among other things, witness intimidation and retaliation against workers placed at an industrial laundry facility. Workers placed by the temp agency in the warehouse were paid subminimum wages and no overtime for workweeks of 60 to 70 hours. The temp company owners were accused of threatening to terminate witnesses cooperating with the AG’s investigation, directing employees not to cooperate with investigators, and reducing the hours of workers who spoke with investigators during an on-site inspection. The investigation began when a local branch of the United Food and Commercial Workers International Union contacted the AG’s office (Mass. AG 2019).</w:t>
      </w:r>
    </w:p>
    <w:p w14:paraId="2C9E73A6" w14:textId="77777777" w:rsidR="00C42954" w:rsidRPr="002A2760" w:rsidRDefault="00C42954" w:rsidP="00C42954">
      <w:pPr>
        <w:rPr>
          <w:sz w:val="16"/>
        </w:rPr>
      </w:pPr>
      <w:r w:rsidRPr="002A2760">
        <w:rPr>
          <w:sz w:val="16"/>
        </w:rPr>
        <w:t>• Dissuading witnesses of crimes related to a state construction subcontract. In 2014, the Orange County, California, district attorney’s office obtained a guilty plea from a construction subcontractor for taking workers’ wages on a public work project and dissuading witnesses from prosecuting a crime. Hired by the general contractor refurbishing a state hospital, the subcontractor required workers to turn over a portion of their paychecks to him. When workers contacted the DA’s office about their wages, leading to an investigation, the subcontractor invited workers to his house to receive their final paychecks, but instead attempted to dissuade them from acting as witnesses against him (Dobruck 2014).</w:t>
      </w:r>
    </w:p>
    <w:p w14:paraId="55C77AD9" w14:textId="77777777" w:rsidR="00C42954" w:rsidRPr="002A2760" w:rsidRDefault="00C42954" w:rsidP="00C42954">
      <w:pPr>
        <w:rPr>
          <w:sz w:val="16"/>
        </w:rPr>
      </w:pPr>
      <w:r w:rsidRPr="002A2760">
        <w:rPr>
          <w:sz w:val="16"/>
        </w:rPr>
        <w:t>• Witness tampering. In 2012, the New York attorney general’s office brought witness tampering charges against a garment factory owner accused of instructing a former employee to falsely testify that her work tenure was shorter than it was. The case was referred to the AG’s office by staff from the New York State Department of Labor and Industrial Board of Appeals (administrative hearing body) when they learned of the tampering before a hearing (N.Y. AG 2012a).</w:t>
      </w:r>
    </w:p>
    <w:p w14:paraId="60C0C4FA" w14:textId="77777777" w:rsidR="00C42954" w:rsidRPr="002A2760" w:rsidRDefault="00C42954" w:rsidP="00C42954">
      <w:pPr>
        <w:rPr>
          <w:sz w:val="16"/>
        </w:rPr>
      </w:pPr>
      <w:r w:rsidRPr="002A2760">
        <w:rPr>
          <w:sz w:val="16"/>
        </w:rPr>
        <w:t xml:space="preserve">• </w:t>
      </w:r>
      <w:r w:rsidRPr="002A2760">
        <w:rPr>
          <w:rStyle w:val="StyleUnderline"/>
        </w:rPr>
        <w:t>Intimidating immigrant car wash workers</w:t>
      </w:r>
      <w:r w:rsidRPr="002A2760">
        <w:rPr>
          <w:sz w:val="16"/>
        </w:rPr>
        <w:t xml:space="preserve">. In 2010, </w:t>
      </w:r>
      <w:r w:rsidRPr="002A2760">
        <w:rPr>
          <w:rStyle w:val="StyleUnderline"/>
        </w:rPr>
        <w:t>the Los Angeles city attorney obtained a protective order against two car wash owners after they made immigration-related threats to workers amid an ongoing wage theft case</w:t>
      </w:r>
      <w:r w:rsidRPr="002A2760">
        <w:rPr>
          <w:sz w:val="16"/>
        </w:rPr>
        <w:t>. The protective order directed the employers not to “harass, intimidate or retaliate” against workers, and also not to “attempt to prevent or discourage any employee or named victim…from participating or cooperating” in the investigation, prosecution, or enforcement of the case (CA Superior Court 2010).</w:t>
      </w:r>
    </w:p>
    <w:p w14:paraId="5E51851B" w14:textId="77777777" w:rsidR="00C42954" w:rsidRPr="002A2760" w:rsidRDefault="00C42954" w:rsidP="00C42954">
      <w:pPr>
        <w:rPr>
          <w:sz w:val="16"/>
        </w:rPr>
      </w:pPr>
      <w:r w:rsidRPr="002A2760">
        <w:rPr>
          <w:sz w:val="16"/>
        </w:rPr>
        <w:t>Past prosecutions of crimes against workers provide some guidance on common questions about bringing such cases</w:t>
      </w:r>
    </w:p>
    <w:p w14:paraId="786C584A" w14:textId="77777777" w:rsidR="00C42954" w:rsidRPr="002A2760" w:rsidRDefault="00C42954" w:rsidP="00C42954">
      <w:pPr>
        <w:rPr>
          <w:sz w:val="16"/>
        </w:rPr>
      </w:pPr>
      <w:r w:rsidRPr="002A2760">
        <w:rPr>
          <w:sz w:val="16"/>
        </w:rPr>
        <w:t>Although providing prosecutors with a road map on how to bring such cases is beyond the scope of this report,16 past prosecutions provide some initial guidance regarding several common questions:</w:t>
      </w:r>
    </w:p>
    <w:p w14:paraId="6F83F5E8" w14:textId="77777777" w:rsidR="00C42954" w:rsidRPr="002A2760" w:rsidRDefault="00C42954" w:rsidP="00C42954">
      <w:pPr>
        <w:rPr>
          <w:sz w:val="16"/>
        </w:rPr>
      </w:pPr>
      <w:r w:rsidRPr="002A2760">
        <w:rPr>
          <w:sz w:val="16"/>
        </w:rPr>
        <w:t>• What statutes may be used to bring such cases?</w:t>
      </w:r>
    </w:p>
    <w:p w14:paraId="347DBC32" w14:textId="77777777" w:rsidR="00C42954" w:rsidRPr="002A2760" w:rsidRDefault="00C42954" w:rsidP="00C42954">
      <w:pPr>
        <w:rPr>
          <w:sz w:val="16"/>
        </w:rPr>
      </w:pPr>
      <w:r w:rsidRPr="002A2760">
        <w:rPr>
          <w:sz w:val="16"/>
        </w:rPr>
        <w:t>• How can prosecutors learn about cases? What sources of potential referrals exist?</w:t>
      </w:r>
    </w:p>
    <w:p w14:paraId="56A987D4" w14:textId="77777777" w:rsidR="00C42954" w:rsidRPr="002A2760" w:rsidRDefault="00C42954" w:rsidP="00C42954">
      <w:pPr>
        <w:rPr>
          <w:sz w:val="16"/>
        </w:rPr>
      </w:pPr>
      <w:r w:rsidRPr="002A2760">
        <w:rPr>
          <w:sz w:val="16"/>
        </w:rPr>
        <w:t>• How can prosecutors engage in this work in a manner that responds to racial equity, social justice, and similar concerns?</w:t>
      </w:r>
    </w:p>
    <w:p w14:paraId="40CCBCA9" w14:textId="77777777" w:rsidR="00C42954" w:rsidRPr="002A2760" w:rsidRDefault="00C42954" w:rsidP="00C42954">
      <w:pPr>
        <w:rPr>
          <w:sz w:val="16"/>
        </w:rPr>
      </w:pPr>
      <w:r w:rsidRPr="002A2760">
        <w:rPr>
          <w:sz w:val="16"/>
        </w:rPr>
        <w:t>• What funding sources may be available to support this work?</w:t>
      </w:r>
    </w:p>
    <w:p w14:paraId="096E87C6" w14:textId="77777777" w:rsidR="00C42954" w:rsidRPr="002A2760" w:rsidRDefault="00C42954" w:rsidP="00C42954">
      <w:pPr>
        <w:rPr>
          <w:sz w:val="16"/>
        </w:rPr>
      </w:pPr>
      <w:r w:rsidRPr="002A2760">
        <w:rPr>
          <w:sz w:val="16"/>
        </w:rPr>
        <w:t>A range of applicable statutes can provide prosecutors with authority to take on various workplace-related crimes</w:t>
      </w:r>
    </w:p>
    <w:p w14:paraId="705B6B60" w14:textId="77777777" w:rsidR="00C42954" w:rsidRPr="002A2760" w:rsidRDefault="00C42954" w:rsidP="00C42954">
      <w:pPr>
        <w:rPr>
          <w:sz w:val="16"/>
        </w:rPr>
      </w:pPr>
      <w:r w:rsidRPr="002A2760">
        <w:rPr>
          <w:sz w:val="16"/>
        </w:rPr>
        <w:t xml:space="preserve">In some states, there may be labor or wage-specific criminal provisions. But as noted in the case studies section, </w:t>
      </w:r>
      <w:r w:rsidRPr="002A2760">
        <w:rPr>
          <w:rStyle w:val="StyleUnderline"/>
        </w:rPr>
        <w:t>many prosecutors have brought workplace-related crimes cases using a variety of generally applicable</w:t>
      </w:r>
      <w:r w:rsidRPr="002A2760">
        <w:rPr>
          <w:sz w:val="16"/>
        </w:rPr>
        <w:t xml:space="preserve"> state </w:t>
      </w:r>
      <w:r w:rsidRPr="002A2760">
        <w:rPr>
          <w:rStyle w:val="StyleUnderline"/>
        </w:rPr>
        <w:t>statutes</w:t>
      </w:r>
      <w:r w:rsidRPr="002A2760">
        <w:rPr>
          <w:sz w:val="16"/>
        </w:rPr>
        <w:t xml:space="preserve">. Often, </w:t>
      </w:r>
      <w:r w:rsidRPr="002A2760">
        <w:rPr>
          <w:rStyle w:val="StyleUnderline"/>
        </w:rPr>
        <w:t>prosecutors may be able to use existing law to bring such cases</w:t>
      </w:r>
      <w:r w:rsidRPr="002A2760">
        <w:rPr>
          <w:sz w:val="16"/>
        </w:rPr>
        <w:t>, including statutes addressing the following conduct:</w:t>
      </w:r>
    </w:p>
    <w:p w14:paraId="7E3347C5" w14:textId="77777777" w:rsidR="00C42954" w:rsidRPr="002A2760" w:rsidRDefault="00C42954" w:rsidP="00C42954">
      <w:pPr>
        <w:rPr>
          <w:sz w:val="16"/>
        </w:rPr>
      </w:pPr>
      <w:r w:rsidRPr="002A2760">
        <w:rPr>
          <w:sz w:val="16"/>
        </w:rPr>
        <w:t>• Theft (including theft of services or theft by swindle)</w:t>
      </w:r>
    </w:p>
    <w:p w14:paraId="10554130" w14:textId="77777777" w:rsidR="00C42954" w:rsidRPr="002A2760" w:rsidRDefault="00C42954" w:rsidP="00C42954">
      <w:pPr>
        <w:rPr>
          <w:sz w:val="16"/>
        </w:rPr>
      </w:pPr>
      <w:r w:rsidRPr="002A2760">
        <w:rPr>
          <w:sz w:val="16"/>
        </w:rPr>
        <w:t>• Larceny</w:t>
      </w:r>
    </w:p>
    <w:p w14:paraId="31B28237" w14:textId="77777777" w:rsidR="00C42954" w:rsidRPr="002A2760" w:rsidRDefault="00C42954" w:rsidP="00C42954">
      <w:pPr>
        <w:rPr>
          <w:sz w:val="16"/>
        </w:rPr>
      </w:pPr>
      <w:r w:rsidRPr="002A2760">
        <w:rPr>
          <w:sz w:val="16"/>
        </w:rPr>
        <w:t>• Scheme to defraud</w:t>
      </w:r>
    </w:p>
    <w:p w14:paraId="283A3F2A" w14:textId="77777777" w:rsidR="00C42954" w:rsidRPr="002A2760" w:rsidRDefault="00C42954" w:rsidP="00C42954">
      <w:pPr>
        <w:rPr>
          <w:sz w:val="16"/>
        </w:rPr>
      </w:pPr>
      <w:r w:rsidRPr="002A2760">
        <w:rPr>
          <w:sz w:val="16"/>
        </w:rPr>
        <w:t>• Check fraud or passing bad checks</w:t>
      </w:r>
    </w:p>
    <w:p w14:paraId="5D95F729" w14:textId="77777777" w:rsidR="00C42954" w:rsidRPr="002A2760" w:rsidRDefault="00C42954" w:rsidP="00C42954">
      <w:pPr>
        <w:rPr>
          <w:sz w:val="16"/>
        </w:rPr>
      </w:pPr>
      <w:r w:rsidRPr="002A2760">
        <w:rPr>
          <w:sz w:val="16"/>
        </w:rPr>
        <w:t>• Filing false documents with government agencies</w:t>
      </w:r>
    </w:p>
    <w:p w14:paraId="5D37D5FB" w14:textId="77777777" w:rsidR="00C42954" w:rsidRPr="002A2760" w:rsidRDefault="00C42954" w:rsidP="00C42954">
      <w:pPr>
        <w:rPr>
          <w:sz w:val="16"/>
        </w:rPr>
      </w:pPr>
      <w:r w:rsidRPr="002A2760">
        <w:rPr>
          <w:sz w:val="16"/>
        </w:rPr>
        <w:t>• Creating and maintaining false business records to conceal wage theft and other violations</w:t>
      </w:r>
    </w:p>
    <w:p w14:paraId="4218E237" w14:textId="77777777" w:rsidR="00C42954" w:rsidRPr="002A2760" w:rsidRDefault="00C42954" w:rsidP="00C42954">
      <w:pPr>
        <w:rPr>
          <w:sz w:val="16"/>
        </w:rPr>
      </w:pPr>
      <w:r w:rsidRPr="002A2760">
        <w:rPr>
          <w:sz w:val="16"/>
        </w:rPr>
        <w:t>• Witness tampering and retaliation</w:t>
      </w:r>
    </w:p>
    <w:p w14:paraId="4FAB1E43" w14:textId="77777777" w:rsidR="00C42954" w:rsidRPr="002A2760" w:rsidRDefault="00C42954" w:rsidP="00C42954">
      <w:pPr>
        <w:rPr>
          <w:sz w:val="16"/>
        </w:rPr>
      </w:pPr>
      <w:r w:rsidRPr="002A2760">
        <w:rPr>
          <w:sz w:val="16"/>
        </w:rPr>
        <w:t>• Insurance fraud</w:t>
      </w:r>
    </w:p>
    <w:p w14:paraId="72B4D8B6" w14:textId="77777777" w:rsidR="00C42954" w:rsidRPr="002A2760" w:rsidRDefault="00C42954" w:rsidP="00C42954">
      <w:pPr>
        <w:rPr>
          <w:sz w:val="16"/>
        </w:rPr>
      </w:pPr>
      <w:r w:rsidRPr="002A2760">
        <w:rPr>
          <w:sz w:val="16"/>
        </w:rPr>
        <w:t>• Unlawful activity related to unemployment insurance, workers’ compensation, and prevailing wage requirements</w:t>
      </w:r>
    </w:p>
    <w:p w14:paraId="1EEABF4C" w14:textId="77777777" w:rsidR="00C42954" w:rsidRPr="002A2760" w:rsidRDefault="00C42954" w:rsidP="00C42954">
      <w:pPr>
        <w:rPr>
          <w:sz w:val="16"/>
        </w:rPr>
      </w:pPr>
      <w:r w:rsidRPr="002A2760">
        <w:rPr>
          <w:sz w:val="16"/>
        </w:rPr>
        <w:t>• Manslaughter and homicide</w:t>
      </w:r>
    </w:p>
    <w:p w14:paraId="2EB97FC8" w14:textId="77777777" w:rsidR="00C42954" w:rsidRPr="002A2760" w:rsidRDefault="00C42954" w:rsidP="00C42954">
      <w:pPr>
        <w:rPr>
          <w:sz w:val="16"/>
        </w:rPr>
      </w:pPr>
      <w:r w:rsidRPr="002A2760">
        <w:rPr>
          <w:sz w:val="16"/>
        </w:rPr>
        <w:t>• Labor trafficking</w:t>
      </w:r>
    </w:p>
    <w:p w14:paraId="1D67E5D6" w14:textId="77777777" w:rsidR="00C42954" w:rsidRPr="002A2760" w:rsidRDefault="00C42954" w:rsidP="00C42954">
      <w:pPr>
        <w:rPr>
          <w:sz w:val="16"/>
        </w:rPr>
      </w:pPr>
      <w:r w:rsidRPr="002A2760">
        <w:rPr>
          <w:sz w:val="16"/>
        </w:rPr>
        <w:t>• Criminal sexual assault</w:t>
      </w:r>
    </w:p>
    <w:p w14:paraId="35E915D7" w14:textId="77777777" w:rsidR="00C42954" w:rsidRPr="002A2760" w:rsidRDefault="00C42954" w:rsidP="00C42954">
      <w:pPr>
        <w:rPr>
          <w:sz w:val="16"/>
        </w:rPr>
      </w:pPr>
      <w:r w:rsidRPr="002A2760">
        <w:rPr>
          <w:sz w:val="16"/>
        </w:rPr>
        <w:t>• Endangering the welfare of a minor</w:t>
      </w:r>
    </w:p>
    <w:p w14:paraId="49F79D71" w14:textId="77777777" w:rsidR="00C42954" w:rsidRPr="002A2760" w:rsidRDefault="00C42954" w:rsidP="00C42954">
      <w:pPr>
        <w:rPr>
          <w:sz w:val="16"/>
        </w:rPr>
      </w:pPr>
      <w:r w:rsidRPr="002A2760">
        <w:rPr>
          <w:sz w:val="16"/>
        </w:rPr>
        <w:t>• Child labor</w:t>
      </w:r>
    </w:p>
    <w:p w14:paraId="3B5FC4B4" w14:textId="77777777" w:rsidR="00C42954" w:rsidRPr="002A2760" w:rsidRDefault="00C42954" w:rsidP="00C42954">
      <w:pPr>
        <w:rPr>
          <w:sz w:val="16"/>
        </w:rPr>
      </w:pPr>
      <w:r w:rsidRPr="002A2760">
        <w:rPr>
          <w:sz w:val="16"/>
        </w:rPr>
        <w:t>Examples of state statutes governing workplace crimes</w:t>
      </w:r>
    </w:p>
    <w:p w14:paraId="640A0042" w14:textId="77777777" w:rsidR="00C42954" w:rsidRPr="002A2760" w:rsidRDefault="00C42954" w:rsidP="00C42954">
      <w:pPr>
        <w:rPr>
          <w:sz w:val="16"/>
        </w:rPr>
      </w:pPr>
      <w:r w:rsidRPr="002A2760">
        <w:rPr>
          <w:rStyle w:val="StyleUnderline"/>
        </w:rPr>
        <w:t>Some states</w:t>
      </w:r>
      <w:r w:rsidRPr="002A2760">
        <w:rPr>
          <w:sz w:val="16"/>
        </w:rPr>
        <w:t xml:space="preserve">, such as New York, </w:t>
      </w:r>
      <w:r w:rsidRPr="002A2760">
        <w:rPr>
          <w:rStyle w:val="StyleUnderline"/>
        </w:rPr>
        <w:t>have</w:t>
      </w:r>
      <w:r w:rsidRPr="002A2760">
        <w:rPr>
          <w:sz w:val="16"/>
        </w:rPr>
        <w:t xml:space="preserve"> relatively long-standing </w:t>
      </w:r>
      <w:r w:rsidRPr="002A2760">
        <w:rPr>
          <w:rStyle w:val="StyleUnderline"/>
        </w:rPr>
        <w:t>statutes specifically addressing workplace-related employer crimes</w:t>
      </w:r>
      <w:r w:rsidRPr="002A2760">
        <w:rPr>
          <w:sz w:val="16"/>
        </w:rPr>
        <w:t>. Other states, such as Colorado, Minnesota, and Texas, have passed specific statutes on wage theft in recent years. Colorado and Minnesota passed laws that would define wage theft beyond a certain monetary threshold as a felony. This designation makes such cases more appealing to prosecutors for various reasons, including that it affords them more options in plea bargaining situations. Also, in some states, such as California, prosecutors have a more robust set of tools to address felonies (as compared with misdemeanors), including search warrants and use of a grand jury.</w:t>
      </w:r>
    </w:p>
    <w:p w14:paraId="6EB8E021" w14:textId="77777777" w:rsidR="00C42954" w:rsidRPr="002A2760" w:rsidRDefault="00C42954" w:rsidP="00C42954">
      <w:pPr>
        <w:rPr>
          <w:sz w:val="16"/>
        </w:rPr>
      </w:pPr>
      <w:r w:rsidRPr="002A2760">
        <w:rPr>
          <w:sz w:val="16"/>
        </w:rPr>
        <w:t>• New York. Under New York Workers’ Compensation Law § 52(1)(a), failure to secure workers’ compensation for more than five employees is a Class E felony; under Labor Law 220(3)(d)(i), willful failure to pay prevailing wages totaling more than $25,000 is a Class E felony (with higher level felonies for larger underpayments).</w:t>
      </w:r>
    </w:p>
    <w:p w14:paraId="457B515E" w14:textId="77777777" w:rsidR="00C42954" w:rsidRPr="002A2760" w:rsidRDefault="00C42954" w:rsidP="00C42954">
      <w:pPr>
        <w:rPr>
          <w:sz w:val="16"/>
        </w:rPr>
      </w:pPr>
      <w:r w:rsidRPr="002A2760">
        <w:rPr>
          <w:sz w:val="16"/>
        </w:rPr>
        <w:t>• Colorado. Legislation passed in 2019 explicitly included within its statutory definition of theft an employer who “being able to pay wages or compensation and being under a duty to pay, willfully refuses to pay wages or compensation.” In Colorado, theft is a felony if the dollar amount involved is at least $2,000.</w:t>
      </w:r>
    </w:p>
    <w:p w14:paraId="26ED54E6" w14:textId="77777777" w:rsidR="00C42954" w:rsidRPr="002A2760" w:rsidRDefault="00C42954" w:rsidP="00C42954">
      <w:pPr>
        <w:rPr>
          <w:sz w:val="16"/>
        </w:rPr>
      </w:pPr>
      <w:r w:rsidRPr="002A2760">
        <w:rPr>
          <w:sz w:val="16"/>
        </w:rPr>
        <w:t>• Texas. In 2011, Texas enacted a wage theft law specifying that within the existing “theft of services” law, partial payment of wages is not sufficient to negate the intent to avoid payment by an actor (in this case, an employer). (Contemporaneous news articles noted that this was a common employer defense, see for example McPherson 2011.) Tex. Penal Code Section 31.04(d-3)(1, 2)(1994).</w:t>
      </w:r>
    </w:p>
    <w:p w14:paraId="79DEB58C" w14:textId="77777777" w:rsidR="00C42954" w:rsidRPr="002A2760" w:rsidRDefault="00C42954" w:rsidP="00C42954">
      <w:pPr>
        <w:rPr>
          <w:sz w:val="16"/>
        </w:rPr>
      </w:pPr>
      <w:r w:rsidRPr="002A2760">
        <w:rPr>
          <w:sz w:val="16"/>
        </w:rPr>
        <w:t>• Minnesota. Minnesota’s theft statute includes “wage theft” as a type of theft, and defines the term “wage theft” as occurring, among other things, “when an employer with intent to defraud: (i) fails to pay an employee all wages, salary, gratuities, earnings, or commissions at the employee’s rate or rates of pay or at the rate or rates required by law.” MN Statutes 2020 Section 609.52 subdivision (1)(13).</w:t>
      </w:r>
    </w:p>
    <w:p w14:paraId="6FE7AC53" w14:textId="77777777" w:rsidR="00C42954" w:rsidRPr="002A2760" w:rsidRDefault="00C42954" w:rsidP="00C42954">
      <w:pPr>
        <w:rPr>
          <w:sz w:val="16"/>
        </w:rPr>
      </w:pPr>
      <w:r w:rsidRPr="002A2760">
        <w:rPr>
          <w:sz w:val="16"/>
        </w:rPr>
        <w:t>Proposed legislation</w:t>
      </w:r>
    </w:p>
    <w:p w14:paraId="25CADEB8" w14:textId="77777777" w:rsidR="00C42954" w:rsidRPr="002A2760" w:rsidRDefault="00C42954" w:rsidP="00C42954">
      <w:pPr>
        <w:rPr>
          <w:sz w:val="16"/>
        </w:rPr>
      </w:pPr>
      <w:r w:rsidRPr="002A2760">
        <w:rPr>
          <w:sz w:val="16"/>
        </w:rPr>
        <w:t>• Rhode Island. A bill proposed in Rhode Island in 2021 (Rhode Island Legislature 2021 Regular Session Senate Bill 195) would increase penalties for wage theft, making nonpayment of wages a felony if the value of the wages owed to an employee is at least $1,500, or if the violation was a knowing or repeat violation (R.I. AG 2021)</w:t>
      </w:r>
    </w:p>
    <w:p w14:paraId="72CF0857" w14:textId="77777777" w:rsidR="00C42954" w:rsidRPr="002A2760" w:rsidRDefault="00C42954" w:rsidP="00C42954">
      <w:pPr>
        <w:rPr>
          <w:sz w:val="16"/>
        </w:rPr>
      </w:pPr>
      <w:r w:rsidRPr="002A2760">
        <w:rPr>
          <w:sz w:val="16"/>
        </w:rPr>
        <w:t>• California. A bill proposed in California in 2021 would increase criminal penalties for wage theft (Alvarez 2021).</w:t>
      </w:r>
    </w:p>
    <w:p w14:paraId="0B7FE719" w14:textId="77777777" w:rsidR="00C42954" w:rsidRPr="002A2760" w:rsidRDefault="00C42954" w:rsidP="00C42954">
      <w:pPr>
        <w:rPr>
          <w:sz w:val="16"/>
        </w:rPr>
      </w:pPr>
      <w:r w:rsidRPr="002A2760">
        <w:rPr>
          <w:sz w:val="16"/>
        </w:rPr>
        <w:t>Prosecutors may receive workers’ rights case referrals from a variety of sources</w:t>
      </w:r>
    </w:p>
    <w:p w14:paraId="44D1565D" w14:textId="77777777" w:rsidR="00C42954" w:rsidRPr="002A2760" w:rsidRDefault="00C42954" w:rsidP="00C42954">
      <w:pPr>
        <w:rPr>
          <w:sz w:val="16"/>
        </w:rPr>
      </w:pPr>
      <w:r w:rsidRPr="002A2760">
        <w:rPr>
          <w:sz w:val="16"/>
        </w:rPr>
        <w:t>State and local prosecutors who have brought cases against employers for violating workers’ rights have received case referrals through a variety of sources. Accordingly, prosecutors wishing to receive referrals should build relationships with a number of organizations and offices. These relationships should be ongoing and systematic; referrals and successful collaborations are unlikely to result from one-off conversations or one-sided presentations.</w:t>
      </w:r>
    </w:p>
    <w:p w14:paraId="2DEB150A" w14:textId="77777777" w:rsidR="00C42954" w:rsidRPr="002A2760" w:rsidRDefault="00C42954" w:rsidP="00C42954">
      <w:pPr>
        <w:rPr>
          <w:sz w:val="16"/>
        </w:rPr>
      </w:pPr>
      <w:r w:rsidRPr="002A2760">
        <w:rPr>
          <w:sz w:val="16"/>
        </w:rPr>
        <w:t>Organizations and agencies representing or assisting workers are the most common case referral sources</w:t>
      </w:r>
    </w:p>
    <w:p w14:paraId="2E92DFA6" w14:textId="77777777" w:rsidR="00C42954" w:rsidRPr="002A2760" w:rsidRDefault="00C42954" w:rsidP="00C42954">
      <w:pPr>
        <w:rPr>
          <w:sz w:val="16"/>
        </w:rPr>
      </w:pPr>
      <w:r w:rsidRPr="002A2760">
        <w:rPr>
          <w:sz w:val="16"/>
        </w:rPr>
        <w:t>• Worker advocacy groups. Worker centers, workplace safety and health advocates, and other worker advocacy groups regularly speak with and hear from workers seeking help for a range of workplace violations.</w:t>
      </w:r>
    </w:p>
    <w:p w14:paraId="539AB3ED" w14:textId="77777777" w:rsidR="00C42954" w:rsidRPr="002A2760" w:rsidRDefault="00C42954" w:rsidP="00C42954">
      <w:pPr>
        <w:rPr>
          <w:sz w:val="16"/>
        </w:rPr>
      </w:pPr>
      <w:r w:rsidRPr="002A2760">
        <w:rPr>
          <w:sz w:val="16"/>
        </w:rPr>
        <w:t>• Labor unions. In addition to representing their members, many unions are actively organizing in a range of workplaces and industries, and routinely speak with workers experiencing violations. Unions might bring forward cases involving employers that are violating workers’ rights, or winning government contracts and cheating on taxes owed and worker pay.</w:t>
      </w:r>
    </w:p>
    <w:p w14:paraId="70F57605" w14:textId="77777777" w:rsidR="00C42954" w:rsidRPr="002A2760" w:rsidRDefault="00C42954" w:rsidP="00C42954">
      <w:pPr>
        <w:rPr>
          <w:sz w:val="16"/>
        </w:rPr>
      </w:pPr>
      <w:r w:rsidRPr="002A2760">
        <w:rPr>
          <w:sz w:val="16"/>
        </w:rPr>
        <w:t>• State labor departments. As the state’s primary regulators and civil enforcers of workplace laws, many state labor departments receive a considerable volume of incoming complaints. While most do not have a systematic method for referring cases to prosecutors, labor departments of both California and New York have regular methods of ongoing referrals, which could readily be replicated elsewhere. In fact, in 2014, the California Labor Commissioner’s Office (the equivalent of the state labor department) created a “Wage Theft is a Crime” campaign, with materials including posters and radio spots (CA Lab. Com. 2021); the office also offered training to district attorney offices on how to develop and bring these cases (Ramirez 2018).17</w:t>
      </w:r>
    </w:p>
    <w:p w14:paraId="13BD7F60" w14:textId="77777777" w:rsidR="00C42954" w:rsidRPr="002A2760" w:rsidRDefault="00C42954" w:rsidP="00C42954">
      <w:pPr>
        <w:rPr>
          <w:sz w:val="16"/>
        </w:rPr>
      </w:pPr>
      <w:r w:rsidRPr="002A2760">
        <w:rPr>
          <w:sz w:val="16"/>
        </w:rPr>
        <w:t>• Labor advisory boards or councils. A noteworthy model is provided by the labor advisory boards or councils established by both the Queens and Suffolk County district attorneys in New York. The councils consist of unions, worker centers, worker advocacy groups, and others within their jurisdiction. The office holds quarterly meetings (in person prior to the COVID-19 pandemic), which allow for formal discussions as well as informal conversations, relationship-building, and case referrals. These formalized groups create a way for DA offices to engage systematically and regularly with the community. (Suffolk Cty. DA 2020b).</w:t>
      </w:r>
    </w:p>
    <w:p w14:paraId="67CC4C88" w14:textId="77777777" w:rsidR="00C42954" w:rsidRPr="002A2760" w:rsidRDefault="00C42954" w:rsidP="00C42954">
      <w:pPr>
        <w:rPr>
          <w:sz w:val="16"/>
        </w:rPr>
      </w:pPr>
      <w:r w:rsidRPr="002A2760">
        <w:rPr>
          <w:sz w:val="16"/>
        </w:rPr>
        <w:t>Government agencies and officials outside of labor agencies are additional potential sources for case referrals</w:t>
      </w:r>
    </w:p>
    <w:p w14:paraId="23A0E243" w14:textId="77777777" w:rsidR="00C42954" w:rsidRPr="002A2760" w:rsidRDefault="00C42954" w:rsidP="00C42954">
      <w:pPr>
        <w:rPr>
          <w:sz w:val="16"/>
        </w:rPr>
      </w:pPr>
      <w:r w:rsidRPr="002A2760">
        <w:rPr>
          <w:sz w:val="16"/>
        </w:rPr>
        <w:t>• State agencies such as those overseeing workers’ compensation insurance are sources of referrals, as are any state inspectors general</w:t>
      </w:r>
    </w:p>
    <w:p w14:paraId="6E14EA8C" w14:textId="77777777" w:rsidR="00C42954" w:rsidRPr="002A2760" w:rsidRDefault="00C42954" w:rsidP="00C42954">
      <w:pPr>
        <w:rPr>
          <w:sz w:val="16"/>
        </w:rPr>
      </w:pPr>
      <w:r w:rsidRPr="002A2760">
        <w:rPr>
          <w:sz w:val="16"/>
        </w:rPr>
        <w:t>• City or municipal labor standards offices, where they exist, or city departments of investigation may refer cases. Many cities, including Chicago, Denver, Minneapolis, New York, Philadelphia, San Francisco, Seattle, and more, have city-level labor offices devoted to protecting workers’ rights. Also, for example, the New York City Department of Investigation hosts inspectors general for the School Construction Authority, the New York City Housing Authority, and more; these inspector general offices have been an active source of cases for prosecutors in New York City.</w:t>
      </w:r>
    </w:p>
    <w:p w14:paraId="3376DE44" w14:textId="77777777" w:rsidR="00C42954" w:rsidRPr="002A2760" w:rsidRDefault="00C42954" w:rsidP="00C42954">
      <w:pPr>
        <w:rPr>
          <w:sz w:val="16"/>
        </w:rPr>
      </w:pPr>
      <w:r w:rsidRPr="002A2760">
        <w:rPr>
          <w:sz w:val="16"/>
        </w:rPr>
        <w:t>• Elected officials may be sources of referrals, particularly those representing immigrant or low-income communities.</w:t>
      </w:r>
    </w:p>
    <w:p w14:paraId="7239B5A2" w14:textId="77777777" w:rsidR="00C42954" w:rsidRPr="002A2760" w:rsidRDefault="00C42954" w:rsidP="00C42954">
      <w:pPr>
        <w:rPr>
          <w:sz w:val="16"/>
        </w:rPr>
      </w:pPr>
      <w:r w:rsidRPr="002A2760">
        <w:rPr>
          <w:sz w:val="16"/>
        </w:rPr>
        <w:t>• The U.S. Department of Labor, especially the Wage and Hour Division and OSHA, may be a source of referrals, although generally they first refer cases to U.S. attorney offices.</w:t>
      </w:r>
    </w:p>
    <w:p w14:paraId="2AFA0D60" w14:textId="77777777" w:rsidR="00C42954" w:rsidRPr="002A2760" w:rsidRDefault="00C42954" w:rsidP="00C42954">
      <w:pPr>
        <w:rPr>
          <w:sz w:val="16"/>
        </w:rPr>
      </w:pPr>
      <w:r w:rsidRPr="002A2760">
        <w:rPr>
          <w:sz w:val="16"/>
        </w:rPr>
        <w:t>• DAs, AGs, and labor enforcers in other states can refer cases in situations involving employers operating in multiple jurisdictions.</w:t>
      </w:r>
    </w:p>
    <w:p w14:paraId="55DFE9B9" w14:textId="77777777" w:rsidR="00C42954" w:rsidRPr="002A2760" w:rsidRDefault="00C42954" w:rsidP="00C42954">
      <w:pPr>
        <w:rPr>
          <w:sz w:val="16"/>
        </w:rPr>
      </w:pPr>
      <w:r w:rsidRPr="002A2760">
        <w:rPr>
          <w:sz w:val="16"/>
        </w:rPr>
        <w:t>Nongovernmental organizations are another important source of potential case referrals. They include:</w:t>
      </w:r>
    </w:p>
    <w:p w14:paraId="0A1653D9" w14:textId="77777777" w:rsidR="00C42954" w:rsidRPr="002A2760" w:rsidRDefault="00C42954" w:rsidP="00C42954">
      <w:pPr>
        <w:rPr>
          <w:sz w:val="16"/>
        </w:rPr>
      </w:pPr>
      <w:r w:rsidRPr="002A2760">
        <w:rPr>
          <w:sz w:val="16"/>
        </w:rPr>
        <w:t>• legal services and other public interest law offices</w:t>
      </w:r>
    </w:p>
    <w:p w14:paraId="159B660E" w14:textId="77777777" w:rsidR="00C42954" w:rsidRPr="002A2760" w:rsidRDefault="00C42954" w:rsidP="00C42954">
      <w:pPr>
        <w:rPr>
          <w:sz w:val="16"/>
        </w:rPr>
      </w:pPr>
      <w:r w:rsidRPr="002A2760">
        <w:rPr>
          <w:sz w:val="16"/>
        </w:rPr>
        <w:t>• plaintiffs’ wage and hour lawyers, such as members of the National Employment Lawyers Association or its state or local affiliate</w:t>
      </w:r>
    </w:p>
    <w:p w14:paraId="05A6DFBC" w14:textId="77777777" w:rsidR="00C42954" w:rsidRPr="002A2760" w:rsidRDefault="00C42954" w:rsidP="00C42954">
      <w:pPr>
        <w:rPr>
          <w:sz w:val="16"/>
        </w:rPr>
      </w:pPr>
      <w:r w:rsidRPr="002A2760">
        <w:rPr>
          <w:sz w:val="16"/>
        </w:rPr>
        <w:t>• organizations that serve victims of human trafficking</w:t>
      </w:r>
    </w:p>
    <w:p w14:paraId="6DE1EF0F" w14:textId="77777777" w:rsidR="00C42954" w:rsidRPr="002A2760" w:rsidRDefault="00C42954" w:rsidP="00C42954">
      <w:pPr>
        <w:rPr>
          <w:sz w:val="16"/>
        </w:rPr>
      </w:pPr>
      <w:r w:rsidRPr="002A2760">
        <w:rPr>
          <w:sz w:val="16"/>
        </w:rPr>
        <w:t>• immigrants’ rights organizations and lawyers/nonprofits representing immigrants</w:t>
      </w:r>
    </w:p>
    <w:p w14:paraId="0F9D0265" w14:textId="77777777" w:rsidR="00C42954" w:rsidRPr="002A2760" w:rsidRDefault="00C42954" w:rsidP="00C42954">
      <w:pPr>
        <w:rPr>
          <w:sz w:val="16"/>
        </w:rPr>
      </w:pPr>
      <w:r w:rsidRPr="002A2760">
        <w:rPr>
          <w:sz w:val="16"/>
        </w:rPr>
        <w:t>• media, including social media and foreign language media, whose coverage can provide leads on cases</w:t>
      </w:r>
    </w:p>
    <w:p w14:paraId="15719E8E" w14:textId="77777777" w:rsidR="00C42954" w:rsidRPr="002A2760" w:rsidRDefault="00C42954" w:rsidP="00C42954">
      <w:pPr>
        <w:rPr>
          <w:sz w:val="16"/>
        </w:rPr>
      </w:pPr>
      <w:r w:rsidRPr="002A2760">
        <w:rPr>
          <w:sz w:val="16"/>
        </w:rPr>
        <w:t>• law school clinics</w:t>
      </w:r>
    </w:p>
    <w:p w14:paraId="42DC7A76" w14:textId="77777777" w:rsidR="00C42954" w:rsidRPr="002A2760" w:rsidRDefault="00C42954" w:rsidP="00C42954">
      <w:pPr>
        <w:rPr>
          <w:sz w:val="16"/>
        </w:rPr>
      </w:pPr>
      <w:r w:rsidRPr="002A2760">
        <w:rPr>
          <w:sz w:val="16"/>
        </w:rPr>
        <w:t>• companies that compete with employers who are violating the law</w:t>
      </w:r>
    </w:p>
    <w:p w14:paraId="1F52E8A5" w14:textId="77777777" w:rsidR="00C42954" w:rsidRPr="002A2760" w:rsidRDefault="00C42954" w:rsidP="00C42954">
      <w:pPr>
        <w:rPr>
          <w:sz w:val="16"/>
        </w:rPr>
      </w:pPr>
      <w:r w:rsidRPr="002A2760">
        <w:rPr>
          <w:sz w:val="16"/>
        </w:rPr>
        <w:t>Traditional law enforcement sources, like police departments or sheriffs’ offices, may also be helpful, but may presently be more useful as supplements to referrals from and collaboration with worker-focused organizations and agencies described above</w:t>
      </w:r>
    </w:p>
    <w:p w14:paraId="4AB3CB5F" w14:textId="77777777" w:rsidR="00C42954" w:rsidRPr="002A2760" w:rsidRDefault="00C42954" w:rsidP="00C42954">
      <w:pPr>
        <w:rPr>
          <w:sz w:val="16"/>
        </w:rPr>
      </w:pPr>
      <w:r w:rsidRPr="002A2760">
        <w:rPr>
          <w:sz w:val="16"/>
        </w:rPr>
        <w:t>• Workers face barriers to reporting violations directly to law enforcement for a variety of reasons, including fear of retaliation, agency language access limitations, unfamiliarity with legal rights or avenues for complaints, and fear of potential immigration consequences, among others (Grittner and Johnson 2021). One study estimated that there are about 130 violations for every one complaint lodged overall, and that this ratio varies tremendously across industries (Weil and Pyles 2007). Thus, a lack of worker complaints does not indicate employer compliance.18</w:t>
      </w:r>
    </w:p>
    <w:p w14:paraId="6E8DD5A6" w14:textId="77777777" w:rsidR="00C42954" w:rsidRPr="002A2760" w:rsidRDefault="00C42954" w:rsidP="00C42954">
      <w:pPr>
        <w:rPr>
          <w:sz w:val="16"/>
        </w:rPr>
      </w:pPr>
      <w:r w:rsidRPr="002A2760">
        <w:rPr>
          <w:sz w:val="16"/>
        </w:rPr>
        <w:t>• Still, a prosecutor’s own intake phone number, hotlines, or other avenues for receiving calls and tips from the public can sometimes lead to cases, especially after an office has publicly communicated its involvement in worker issues. These public engagement resources may receive more intakes and calls from workers after media or other announcements about workers’ rights cases. However, based on the barriers to worker complaints, relying solely on already-existing passive intake systems is unlikely to lead to information about the most egregious violations, especially during an office’s initial stages of involvement on these issues.</w:t>
      </w:r>
    </w:p>
    <w:p w14:paraId="524A2ED9" w14:textId="77777777" w:rsidR="00C42954" w:rsidRPr="002A2760" w:rsidRDefault="00C42954" w:rsidP="00C42954">
      <w:pPr>
        <w:rPr>
          <w:sz w:val="16"/>
        </w:rPr>
      </w:pPr>
      <w:r w:rsidRPr="002A2760">
        <w:rPr>
          <w:sz w:val="16"/>
        </w:rPr>
        <w:t>• To date, few prosecutions appear to have been initiated by law enforcement, such as sheriffs’ offices or the police. Prosecutors may wish to consider offering trainings to such agencies on workers’ rights issues.</w:t>
      </w:r>
    </w:p>
    <w:p w14:paraId="02F42A41" w14:textId="77777777" w:rsidR="00C42954" w:rsidRDefault="00C42954" w:rsidP="00C42954">
      <w:pPr>
        <w:rPr>
          <w:sz w:val="16"/>
        </w:rPr>
      </w:pPr>
      <w:r w:rsidRPr="002A2760">
        <w:rPr>
          <w:sz w:val="16"/>
        </w:rPr>
        <w:t xml:space="preserve">• </w:t>
      </w:r>
      <w:r w:rsidRPr="002A2760">
        <w:rPr>
          <w:rStyle w:val="StyleUnderline"/>
        </w:rPr>
        <w:t>In a recent development, the Los Angeles County Sheriff</w:t>
      </w:r>
      <w:r w:rsidRPr="002A2760">
        <w:rPr>
          <w:sz w:val="16"/>
        </w:rPr>
        <w:t xml:space="preserve"> in February </w:t>
      </w:r>
      <w:r w:rsidRPr="002A2760">
        <w:rPr>
          <w:rStyle w:val="StyleUnderline"/>
        </w:rPr>
        <w:t>2021 launched a wage theft task force “to protect undocumented and documented workers in Southern California.”</w:t>
      </w:r>
      <w:r w:rsidRPr="002A2760">
        <w:rPr>
          <w:sz w:val="16"/>
        </w:rPr>
        <w:t xml:space="preserve"> The </w:t>
      </w:r>
      <w:r w:rsidRPr="002A2760">
        <w:rPr>
          <w:rStyle w:val="StyleUnderline"/>
        </w:rPr>
        <w:t>task force is a collaboration of the sheriff’s department with the state labor commissioner, the Los Angeles County Office of Immigrant Affairs</w:t>
      </w:r>
      <w:r w:rsidRPr="002A2760">
        <w:rPr>
          <w:sz w:val="16"/>
        </w:rPr>
        <w:t xml:space="preserve">, the Los Angeles County District Attorney’s Office, the Los Angeles County Federation of Labor, </w:t>
      </w:r>
      <w:r w:rsidRPr="002A2760">
        <w:rPr>
          <w:rStyle w:val="StyleUnderline"/>
        </w:rPr>
        <w:t>and several community groups</w:t>
      </w:r>
      <w:r w:rsidRPr="002A2760">
        <w:rPr>
          <w:sz w:val="16"/>
        </w:rPr>
        <w:t xml:space="preserve"> (LACSD 2021a). The sheriff’s department will be receiving complaints and referring them for criminal prosecution, civil enforcement, or other handling, as well as playing a direct role in enforcement and collections (LACSD 2021b). The sheriff also authored a Washington Post op-ed about the task force (Villanueva 2021). In addition, the Travis County (Texas) Sheriff’s Office added “wage theft” to a form allowing for online reporting of certain crimes (Travis CSO 2021).</w:t>
      </w:r>
    </w:p>
    <w:p w14:paraId="6C05B6E8" w14:textId="77777777" w:rsidR="00C42954" w:rsidRPr="006641FE" w:rsidRDefault="00C42954" w:rsidP="00C42954">
      <w:pPr>
        <w:rPr>
          <w:rStyle w:val="StyleUnderline"/>
        </w:rPr>
      </w:pPr>
      <w:r w:rsidRPr="006641FE">
        <w:rPr>
          <w:rStyle w:val="StyleUnderline"/>
        </w:rPr>
        <w:t>Criminal justice concerns should be considered when prosecuting workplace violations</w:t>
      </w:r>
    </w:p>
    <w:p w14:paraId="3246E46F" w14:textId="77777777" w:rsidR="00C42954" w:rsidRPr="002A2760" w:rsidRDefault="00C42954" w:rsidP="00C42954">
      <w:pPr>
        <w:rPr>
          <w:sz w:val="16"/>
        </w:rPr>
      </w:pPr>
      <w:r w:rsidRPr="006641FE">
        <w:rPr>
          <w:sz w:val="16"/>
        </w:rPr>
        <w:t>Racial and economic inequities in the criminal justice system and vulnerabilities of immigrant workers raise important concerns about these criminal prosecutions, including the following:</w:t>
      </w:r>
    </w:p>
    <w:p w14:paraId="64B6545B" w14:textId="77777777" w:rsidR="00C42954" w:rsidRPr="002A2760" w:rsidRDefault="00C42954" w:rsidP="00C42954">
      <w:pPr>
        <w:rPr>
          <w:sz w:val="16"/>
        </w:rPr>
      </w:pPr>
      <w:r w:rsidRPr="002A2760">
        <w:rPr>
          <w:sz w:val="16"/>
        </w:rPr>
        <w:t xml:space="preserve">• Charging only low-level supervisors may fail to punish those with real responsibility for and authority over workers’ conditions. </w:t>
      </w:r>
      <w:r w:rsidRPr="002A2760">
        <w:rPr>
          <w:rStyle w:val="StyleUnderline"/>
        </w:rPr>
        <w:t>Some prosecutors may lean toward pursuing low-level supervisors with limited authority, while taking no action regarding higher-level officials</w:t>
      </w:r>
      <w:r w:rsidRPr="002A2760">
        <w:rPr>
          <w:sz w:val="16"/>
        </w:rPr>
        <w:t xml:space="preserve"> with greater decision-making power. </w:t>
      </w:r>
      <w:r w:rsidRPr="002A2760">
        <w:rPr>
          <w:rStyle w:val="StyleUnderline"/>
          <w:highlight w:val="green"/>
        </w:rPr>
        <w:t>Prosecutions</w:t>
      </w:r>
      <w:r w:rsidRPr="00722749">
        <w:rPr>
          <w:rStyle w:val="StyleUnderline"/>
        </w:rPr>
        <w:t xml:space="preserve"> should seek</w:t>
      </w:r>
      <w:r w:rsidRPr="002A2760">
        <w:rPr>
          <w:rStyle w:val="StyleUnderline"/>
        </w:rPr>
        <w:t xml:space="preserve"> to avoid this focus only on the “low-hanging fruit,” and instead attempt to </w:t>
      </w:r>
      <w:r w:rsidRPr="002A2760">
        <w:rPr>
          <w:rStyle w:val="StyleUnderline"/>
          <w:highlight w:val="green"/>
        </w:rPr>
        <w:t>target</w:t>
      </w:r>
      <w:r w:rsidRPr="002A2760">
        <w:rPr>
          <w:rStyle w:val="StyleUnderline"/>
        </w:rPr>
        <w:t xml:space="preserve"> those with </w:t>
      </w:r>
      <w:r w:rsidRPr="00722749">
        <w:rPr>
          <w:rStyle w:val="StyleUnderline"/>
        </w:rPr>
        <w:t>greatest responsibility for causing violations</w:t>
      </w:r>
      <w:r w:rsidRPr="002A2760">
        <w:rPr>
          <w:rStyle w:val="StyleUnderline"/>
        </w:rPr>
        <w:t xml:space="preserve"> and with genuine ability to stop or prevent the violations</w:t>
      </w:r>
      <w:r w:rsidRPr="002A2760">
        <w:rPr>
          <w:sz w:val="16"/>
        </w:rPr>
        <w:t xml:space="preserve">. Prosecuting actors higher up the hierarchy is likely to prove challenging at times, because it is necessary to demonstrate that the defendant had mens rea, or the requisite criminal intent, and also because the standard of proof in criminal cases—“beyond a reasonable doubt”—is higher than the standard in civil cases. </w:t>
      </w:r>
      <w:r w:rsidRPr="002A2760">
        <w:rPr>
          <w:rStyle w:val="StyleUnderline"/>
        </w:rPr>
        <w:t xml:space="preserve">Prosecuting </w:t>
      </w:r>
      <w:r w:rsidRPr="002A2760">
        <w:rPr>
          <w:rStyle w:val="StyleUnderline"/>
          <w:highlight w:val="green"/>
        </w:rPr>
        <w:t>higher-level officials</w:t>
      </w:r>
      <w:r w:rsidRPr="002A2760">
        <w:rPr>
          <w:rStyle w:val="StyleUnderline"/>
        </w:rPr>
        <w:t xml:space="preserve"> is important, however, to place responsibility on those who truly can change workers’ conditions, and to more effectively deter violations</w:t>
      </w:r>
      <w:r w:rsidRPr="002A2760">
        <w:rPr>
          <w:sz w:val="16"/>
        </w:rPr>
        <w:t xml:space="preserve">. As University of Maryland School of Law Professor Rena Steinzor observes, “the law must authorize prosecutors to climb the managerial ladder to find those responsible for making such incidents inevitable” (Steinzor 2015, 92.) In addition, </w:t>
      </w:r>
      <w:r w:rsidRPr="002A2760">
        <w:rPr>
          <w:rStyle w:val="StyleUnderline"/>
        </w:rPr>
        <w:t>prosecutors should be aware of racial disparities that may exist in pursuing only lower-level actors</w:t>
      </w:r>
      <w:r w:rsidRPr="002A2760">
        <w:rPr>
          <w:sz w:val="16"/>
        </w:rPr>
        <w:t>.</w:t>
      </w:r>
    </w:p>
    <w:p w14:paraId="41CF25B0" w14:textId="77777777" w:rsidR="00C42954" w:rsidRPr="002A2760" w:rsidRDefault="00C42954" w:rsidP="00C42954">
      <w:pPr>
        <w:rPr>
          <w:sz w:val="16"/>
        </w:rPr>
      </w:pPr>
      <w:r w:rsidRPr="002A2760">
        <w:rPr>
          <w:sz w:val="16"/>
        </w:rPr>
        <w:t xml:space="preserve">• </w:t>
      </w:r>
      <w:r w:rsidRPr="006641FE">
        <w:rPr>
          <w:sz w:val="16"/>
        </w:rPr>
        <w:t>Certain convictions have collateral immigration consequences for defendants. Under current immigration laws, certain criminal convictions can have immigration consequences, including threat of deportation. Prosecutors may wish to seek to avoid such consequences in considering charges for these cases. In 2017, for example, Brooklyn District Attorney Eric Gonzalez hired immigration</w:t>
      </w:r>
      <w:r w:rsidRPr="002A2760">
        <w:rPr>
          <w:sz w:val="16"/>
        </w:rPr>
        <w:t xml:space="preserve"> attorneys to help prosecutors in his office “tailor criminal charges and plea bargains to avoid placing immigrant defendants in jeopardy of deportation” (Ryan 2017).</w:t>
      </w:r>
    </w:p>
    <w:p w14:paraId="42E5A9BA" w14:textId="77777777" w:rsidR="00C42954" w:rsidRPr="002A2760" w:rsidRDefault="00C42954" w:rsidP="00C42954">
      <w:pPr>
        <w:rPr>
          <w:sz w:val="16"/>
        </w:rPr>
      </w:pPr>
      <w:r w:rsidRPr="002A2760">
        <w:rPr>
          <w:sz w:val="16"/>
        </w:rPr>
        <w:t xml:space="preserve">• </w:t>
      </w:r>
      <w:r w:rsidRPr="006641FE">
        <w:rPr>
          <w:sz w:val="16"/>
        </w:rPr>
        <w:t>Prosecutors should consider certifying victims and witnesses or U visas, where appropriate. Immigration issues also arise in relation to victims and witnesses, who may fear coming forward because of perceived potential consequences. The U visa is an immigration benefit for victims of certain crimes who are currently assisting, have assisted, or are likely to be helpful in assisting law enforcement in the investigation or prosecution of a qualifying crime. The U visa provides eligible victims with temporary immigration status to remain in the United States while assisting law enforcement, and if certain conditions are met, the U visa holder can ultimately obtain lawful permanent resident status. Individuals seeking U visas must be certified by a qualifying law enforcement agency, a category that includes prosecutors, and the certification process is relatively uncomplicated</w:t>
      </w:r>
      <w:r w:rsidRPr="002A2760">
        <w:rPr>
          <w:sz w:val="16"/>
        </w:rPr>
        <w:t>. Qualifying crimes include, among other things, human trafficking, involuntary servitude, manslaughter, obstruction of justice, peonage (holding someone in debt in servitude), sexual assault, and witness tampering (U.S. DHS 2019; NILC 2010).</w:t>
      </w:r>
    </w:p>
    <w:p w14:paraId="7FAD27C6" w14:textId="77777777" w:rsidR="00C42954" w:rsidRPr="002A2760" w:rsidRDefault="00C42954" w:rsidP="00C42954">
      <w:pPr>
        <w:rPr>
          <w:sz w:val="16"/>
        </w:rPr>
      </w:pPr>
      <w:r w:rsidRPr="002A2760">
        <w:rPr>
          <w:sz w:val="16"/>
        </w:rPr>
        <w:t xml:space="preserve">• </w:t>
      </w:r>
      <w:r w:rsidRPr="002A2760">
        <w:rPr>
          <w:rStyle w:val="StyleUnderline"/>
        </w:rPr>
        <w:t>Alternatives to incarceration may be appropriate. Our country is undergoing an extensive national conversation about systemic racial inequities involved in mass incarceration</w:t>
      </w:r>
      <w:r w:rsidRPr="002A2760">
        <w:rPr>
          <w:sz w:val="16"/>
        </w:rPr>
        <w:t>. While a discussion of the problem of mass incarceration is beyond the scope of this report, prosecutors may want to consider alternatives to incarceration in resolving these cases. They may also want to consider whether innovative approaches to sentencing might be more effective. Finally, some criminal prosecutions of workers’ rights violations have been brought against corporations, not individuals; while such prosecutions are often seen as having less of an impact, they obviously raise no concerns about incarceration.</w:t>
      </w:r>
    </w:p>
    <w:p w14:paraId="30DBC3A7" w14:textId="77777777" w:rsidR="00C42954" w:rsidRPr="002A2760" w:rsidRDefault="00C42954" w:rsidP="00C42954">
      <w:pPr>
        <w:rPr>
          <w:sz w:val="16"/>
        </w:rPr>
      </w:pPr>
      <w:r w:rsidRPr="002A2760">
        <w:rPr>
          <w:sz w:val="16"/>
        </w:rPr>
        <w:t xml:space="preserve">• </w:t>
      </w:r>
      <w:r w:rsidRPr="00722749">
        <w:rPr>
          <w:rStyle w:val="StyleUnderline"/>
        </w:rPr>
        <w:t>Case resolution should include</w:t>
      </w:r>
      <w:r w:rsidRPr="002A2760">
        <w:rPr>
          <w:rStyle w:val="StyleUnderline"/>
        </w:rPr>
        <w:t xml:space="preserve"> measures to </w:t>
      </w:r>
      <w:r w:rsidRPr="002A2760">
        <w:rPr>
          <w:rStyle w:val="StyleUnderline"/>
          <w:highlight w:val="green"/>
        </w:rPr>
        <w:t xml:space="preserve">ensure </w:t>
      </w:r>
      <w:r w:rsidRPr="002A2760">
        <w:rPr>
          <w:rStyle w:val="Emphasis"/>
          <w:highlight w:val="green"/>
        </w:rPr>
        <w:t>future compliance</w:t>
      </w:r>
      <w:r w:rsidRPr="002A2760">
        <w:rPr>
          <w:sz w:val="16"/>
        </w:rPr>
        <w:t xml:space="preserve">. In cases involving employers that continue to operate, </w:t>
      </w:r>
      <w:r w:rsidRPr="002A2760">
        <w:rPr>
          <w:rStyle w:val="StyleUnderline"/>
        </w:rPr>
        <w:t>prosecutors should seek terms that include monitoring or other measures to ensure future compliance</w:t>
      </w:r>
      <w:r w:rsidRPr="002A2760">
        <w:rPr>
          <w:sz w:val="16"/>
        </w:rPr>
        <w:t>. Monitoring could be performed by third-party monitors paid by the employer, or in partnership with administrative enforcement agencies. Prosecutors should also seek asset forfeiture where appropriate. A powerful tool in prevailing wage cases is debarment, which prevents a company from bidding on public works contracts in a given jurisdiction for a set period, sometimes up to five years. In addition, prosecutors may want to consider whether a restorative justice approach may be warranted or appropriate in these cases.19</w:t>
      </w:r>
    </w:p>
    <w:p w14:paraId="79EDA6B8" w14:textId="77777777" w:rsidR="00C42954" w:rsidRPr="002A2760" w:rsidRDefault="00C42954" w:rsidP="00C42954">
      <w:pPr>
        <w:rPr>
          <w:sz w:val="16"/>
        </w:rPr>
      </w:pPr>
      <w:r w:rsidRPr="006641FE">
        <w:rPr>
          <w:sz w:val="16"/>
        </w:rPr>
        <w:t xml:space="preserve">• </w:t>
      </w:r>
      <w:r w:rsidRPr="006641FE">
        <w:rPr>
          <w:rStyle w:val="StyleUnderline"/>
        </w:rPr>
        <w:t>Workers who are victims should be provided with the opportunity to submit victim impact statements</w:t>
      </w:r>
      <w:r w:rsidRPr="006641FE">
        <w:rPr>
          <w:sz w:val="16"/>
        </w:rPr>
        <w:t xml:space="preserve">. Victims are often permitted or encouraged to submit victim statements (in writing or orally) regarding the impact of the crime on their lives. </w:t>
      </w:r>
      <w:r w:rsidRPr="006641FE">
        <w:rPr>
          <w:rStyle w:val="StyleUnderline"/>
        </w:rPr>
        <w:t>This opportunity should be provided to workers, because it enables their voices to be included in the process.</w:t>
      </w:r>
      <w:r w:rsidRPr="006641FE">
        <w:rPr>
          <w:sz w:val="16"/>
        </w:rPr>
        <w:t xml:space="preserve"> Having the opportunity to address the court orally or in writing can be meaningful for workers, </w:t>
      </w:r>
      <w:r w:rsidRPr="006641FE">
        <w:rPr>
          <w:rStyle w:val="StyleUnderline"/>
        </w:rPr>
        <w:t>educates employers about the</w:t>
      </w:r>
      <w:r w:rsidRPr="006641FE">
        <w:rPr>
          <w:sz w:val="16"/>
        </w:rPr>
        <w:t xml:space="preserve"> human </w:t>
      </w:r>
      <w:r w:rsidRPr="006641FE">
        <w:rPr>
          <w:rStyle w:val="StyleUnderline"/>
        </w:rPr>
        <w:t>consequences of their actions</w:t>
      </w:r>
      <w:r w:rsidRPr="006641FE">
        <w:rPr>
          <w:sz w:val="16"/>
        </w:rPr>
        <w:t xml:space="preserve">, </w:t>
      </w:r>
      <w:r w:rsidRPr="006641FE">
        <w:rPr>
          <w:rStyle w:val="StyleUnderline"/>
        </w:rPr>
        <w:t>and helps fully inform courts about the impact of</w:t>
      </w:r>
      <w:r w:rsidRPr="006641FE">
        <w:rPr>
          <w:sz w:val="16"/>
        </w:rPr>
        <w:t xml:space="preserve"> wage theft and other employer </w:t>
      </w:r>
      <w:r w:rsidRPr="006641FE">
        <w:rPr>
          <w:rStyle w:val="StyleUnderline"/>
        </w:rPr>
        <w:t>crimes against workers</w:t>
      </w:r>
      <w:r w:rsidRPr="006641FE">
        <w:rPr>
          <w:sz w:val="16"/>
        </w:rPr>
        <w:t>.</w:t>
      </w:r>
    </w:p>
    <w:p w14:paraId="2D21E4DE" w14:textId="77777777" w:rsidR="00C42954" w:rsidRPr="002A2760" w:rsidRDefault="00C42954" w:rsidP="00C42954">
      <w:pPr>
        <w:rPr>
          <w:sz w:val="16"/>
        </w:rPr>
      </w:pPr>
      <w:r w:rsidRPr="002A2760">
        <w:rPr>
          <w:sz w:val="16"/>
        </w:rPr>
        <w:t>• Civil enforcement may be a good option for prosecutors in some states. In some states, district attorneys have the authority to bring not only criminal prosecutions, but also civil lawsuits. For example, the Los Angeles and San Francisco district attorneys recently filed a civil lawsuit against the platform cleaning company Handy (L.A. DA 2021). To the extent that district attorneys have civil authority, they can consider exercising it to enforce workers’ rights.</w:t>
      </w:r>
    </w:p>
    <w:p w14:paraId="0855F497" w14:textId="77777777" w:rsidR="00C42954" w:rsidRPr="002A2760" w:rsidRDefault="00C42954" w:rsidP="00C42954">
      <w:pPr>
        <w:rPr>
          <w:sz w:val="16"/>
        </w:rPr>
      </w:pPr>
      <w:r w:rsidRPr="002A2760">
        <w:rPr>
          <w:sz w:val="16"/>
        </w:rPr>
        <w:t>While most prosecutors have brought workers’ rights cases without dedicated funding, limited dedicated funding mechanisms exist in some jurisdictions</w:t>
      </w:r>
    </w:p>
    <w:p w14:paraId="6494F375" w14:textId="77777777" w:rsidR="00C42954" w:rsidRPr="002A2760" w:rsidRDefault="00C42954" w:rsidP="00C42954">
      <w:pPr>
        <w:rPr>
          <w:sz w:val="16"/>
        </w:rPr>
      </w:pPr>
      <w:r w:rsidRPr="002A2760">
        <w:rPr>
          <w:sz w:val="16"/>
        </w:rPr>
        <w:t>Most DAs and state AGs who have brought workers’ rights cases have done so without any specific or dedicated funding. Just as they regularly prosecute theft, larceny, fraud, manslaughter, and other cases without dedicated funding, they simply add labor-related cases to their caseload when they emerge. However, there are a few examples of dedicated funding mechanisms.</w:t>
      </w:r>
    </w:p>
    <w:p w14:paraId="414CCEF5" w14:textId="77777777" w:rsidR="00C42954" w:rsidRPr="002A2760" w:rsidRDefault="00C42954" w:rsidP="00C42954">
      <w:pPr>
        <w:rPr>
          <w:sz w:val="16"/>
        </w:rPr>
      </w:pPr>
      <w:r w:rsidRPr="002A2760">
        <w:rPr>
          <w:sz w:val="16"/>
        </w:rPr>
        <w:t>• Funding to combat human trafficking. The U.S. Department of Justice has awarded funding to combat human trafficking; a 2020 press release describes over $101 million in grants for, among other things, “enhancing the capacity of law enforcement and other stakeholders to identify victims and provide justice for those victims through the investigation and prosecution of their traffickers” (U.S. DOJ 2020).</w:t>
      </w:r>
    </w:p>
    <w:p w14:paraId="3AAC65B8" w14:textId="77777777" w:rsidR="00C42954" w:rsidRPr="002A2760" w:rsidRDefault="00C42954" w:rsidP="00C42954">
      <w:pPr>
        <w:rPr>
          <w:sz w:val="16"/>
        </w:rPr>
      </w:pPr>
      <w:r w:rsidRPr="002A2760">
        <w:rPr>
          <w:sz w:val="16"/>
        </w:rPr>
        <w:t>• Examples of state funding programs that may be used to pursue employer crimes. California and New York both have unique programs that are not specifically devoted to prosecution of employer crimes, but that have routinely been used to prosecute them. The infractions that qualify for the funding include those related to payroll fraud (such as failure to carry workers’ compensation), workers’ compensation fraud, and failure to pay or accurately report unemployment insurance taxes. Prosecutors have often also brought wage theft charges as part of those cases, given that these offenses often occur in clusters by the same employers.</w:t>
      </w:r>
    </w:p>
    <w:p w14:paraId="02C72016" w14:textId="77777777" w:rsidR="00C42954" w:rsidRPr="002A2760" w:rsidRDefault="00C42954" w:rsidP="00C42954">
      <w:pPr>
        <w:rPr>
          <w:sz w:val="16"/>
        </w:rPr>
      </w:pPr>
      <w:r w:rsidRPr="002A2760">
        <w:rPr>
          <w:sz w:val="16"/>
        </w:rPr>
        <w:t>• Funding created by state legislation in California. California’s Workers’ Compensation Insurance Fraud Program, established in 1991, came about as part of a legislative package making workers’ compensation fraud a felony, requiring insurers to report suspected fraud, and establishing a mechanism for funding enforcement and prosecution activities. The funding comes from an assessment on employers. The aggregate assessment in the 2017–2018 fiscal year was more than $62 million. The legislation also established a commission, with representatives from labor, employers, and insurers, to determine the level of assessments and award grants to prosecutors. (Calif. DOI n.d.a, n.d.b).</w:t>
      </w:r>
    </w:p>
    <w:p w14:paraId="2C26901C" w14:textId="77777777" w:rsidR="00C42954" w:rsidRPr="002A2760" w:rsidRDefault="00C42954" w:rsidP="00C42954">
      <w:pPr>
        <w:rPr>
          <w:sz w:val="16"/>
        </w:rPr>
      </w:pPr>
      <w:r w:rsidRPr="002A2760">
        <w:rPr>
          <w:sz w:val="16"/>
        </w:rPr>
        <w:t>• State funding without legislation in New York. New York’s Crimes Against Revenue Program (CARP) was established in 2004 as a program funded by the state’s Division of Criminal Justice Services. It provides grants to district attorneys’ offices across the state to fund investigations and prosecutions of tax crimes as well as Medicaid, public assistance, and workers’ compensation fraud. Under the program, local district attorneys’ offices partner with various state agencies in bringing prosecutions. CARP funds have been used to support prosecutions of cases involving violations of prevailing wage, unemployment insurance, and workers’ compensation laws. Successful cases under CARP allow the state to recoup the costs of the program through restitution, fines, and penalties. The program has been revenue-generating for the state (NYS DCJS 2015, 2020, 2021; DAASNY 2019).</w:t>
      </w:r>
    </w:p>
    <w:p w14:paraId="5E734AC7" w14:textId="77777777" w:rsidR="00C42954" w:rsidRPr="002A2760" w:rsidRDefault="00C42954" w:rsidP="00C42954">
      <w:pPr>
        <w:rPr>
          <w:sz w:val="16"/>
        </w:rPr>
      </w:pPr>
      <w:r w:rsidRPr="002A2760">
        <w:rPr>
          <w:sz w:val="16"/>
        </w:rPr>
        <w:t>Areas for further exploration include research on deterrence and questions about implementation</w:t>
      </w:r>
    </w:p>
    <w:p w14:paraId="0808A583" w14:textId="77777777" w:rsidR="00C42954" w:rsidRPr="002A2760" w:rsidRDefault="00C42954" w:rsidP="00C42954">
      <w:pPr>
        <w:rPr>
          <w:sz w:val="16"/>
        </w:rPr>
      </w:pPr>
      <w:r w:rsidRPr="002A2760">
        <w:rPr>
          <w:sz w:val="16"/>
        </w:rPr>
        <w:t>The incidence and impact of state and local criminal prosecutions of employers have not been extensively studied to date, leaving a number of questions for researchers, prosecutors, worker advocates, legal scholars, and others.</w:t>
      </w:r>
    </w:p>
    <w:p w14:paraId="4EC257AC" w14:textId="77777777" w:rsidR="00C42954" w:rsidRPr="002A2760" w:rsidRDefault="00C42954" w:rsidP="00C42954">
      <w:pPr>
        <w:rPr>
          <w:sz w:val="16"/>
        </w:rPr>
      </w:pPr>
      <w:r w:rsidRPr="002A2760">
        <w:rPr>
          <w:sz w:val="16"/>
        </w:rPr>
        <w:t>One set of key research questions relates to the impact of criminal prosecution. Does prosecution of one employer deter violations by others? If so, how can such deterrence be measured, and how does it compare with that of civil enforcement? Does deterrence stem from the greater likelihood of detection resulting from more enforcers addressing labor issues, from publicity and reputational harm, from the gravity of potential consequences, or from all of the above?</w:t>
      </w:r>
    </w:p>
    <w:p w14:paraId="10AA4D76" w14:textId="77777777" w:rsidR="00C42954" w:rsidRPr="002A2760" w:rsidRDefault="00C42954" w:rsidP="00C42954">
      <w:pPr>
        <w:rPr>
          <w:sz w:val="16"/>
        </w:rPr>
      </w:pPr>
      <w:r w:rsidRPr="002A2760">
        <w:rPr>
          <w:sz w:val="16"/>
        </w:rPr>
        <w:t>Questions related to implementation include: What is the capacity of district attorneys and state attorneys general to bring such cases and build practices in this area? What training needs do such offices have? How can current staff, including investigative staff or law enforcement, be trained to effectively handle cases that are often considerably different than many typical criminal prosecution cases?</w:t>
      </w:r>
    </w:p>
    <w:p w14:paraId="706A5186" w14:textId="77777777" w:rsidR="00C42954" w:rsidRPr="002A2760" w:rsidRDefault="00C42954" w:rsidP="00C42954">
      <w:pPr>
        <w:rPr>
          <w:sz w:val="16"/>
        </w:rPr>
      </w:pPr>
      <w:r w:rsidRPr="002A2760">
        <w:rPr>
          <w:sz w:val="16"/>
        </w:rPr>
        <w:t>There are also questions related to partnerships between prosecutors and other government and nongovernmental actors. What partnerships can and should be built with labor enforcement agencies, unions, or worker organizations? How should roles in partnerships with labor enforcement agencies be defined to ensure compliance with respective ethical obligations and agency priorities?</w:t>
      </w:r>
    </w:p>
    <w:p w14:paraId="39C68195" w14:textId="77777777" w:rsidR="00C42954" w:rsidRPr="00722749" w:rsidRDefault="00C42954" w:rsidP="00C42954">
      <w:pPr>
        <w:rPr>
          <w:sz w:val="16"/>
        </w:rPr>
      </w:pPr>
      <w:r w:rsidRPr="00722749">
        <w:rPr>
          <w:sz w:val="16"/>
        </w:rPr>
        <w:t>Conclusion and recommendations</w:t>
      </w:r>
    </w:p>
    <w:p w14:paraId="0F660D5E" w14:textId="77777777" w:rsidR="00C42954" w:rsidRPr="00722749" w:rsidRDefault="00C42954" w:rsidP="00C42954">
      <w:pPr>
        <w:rPr>
          <w:sz w:val="16"/>
        </w:rPr>
      </w:pPr>
      <w:r w:rsidRPr="00722749">
        <w:rPr>
          <w:rStyle w:val="StyleUnderline"/>
        </w:rPr>
        <w:t>Numerous DAs and state AGS have begun to prosecute wage theft, payroll fraud, and other crimes committed by employers</w:t>
      </w:r>
      <w:r w:rsidRPr="00722749">
        <w:rPr>
          <w:sz w:val="16"/>
        </w:rPr>
        <w:t xml:space="preserve">. These state and local prosecutors are </w:t>
      </w:r>
      <w:r w:rsidRPr="00722749">
        <w:rPr>
          <w:rStyle w:val="StyleUnderline"/>
        </w:rPr>
        <w:t xml:space="preserve">responding to </w:t>
      </w:r>
      <w:r w:rsidRPr="00722749">
        <w:rPr>
          <w:rStyle w:val="Emphasis"/>
        </w:rPr>
        <w:t>egregious violations</w:t>
      </w:r>
      <w:r w:rsidRPr="00722749">
        <w:rPr>
          <w:rStyle w:val="StyleUnderline"/>
        </w:rPr>
        <w:t xml:space="preserve"> that harm workers and communities</w:t>
      </w:r>
      <w:r w:rsidRPr="00722749">
        <w:rPr>
          <w:sz w:val="16"/>
        </w:rPr>
        <w:t xml:space="preserve">, make it difficult for honest employers to compete, </w:t>
      </w:r>
      <w:r w:rsidRPr="00722749">
        <w:rPr>
          <w:rStyle w:val="StyleUnderline"/>
        </w:rPr>
        <w:t>and deprive public coffers of money needed for critical safety net programs</w:t>
      </w:r>
      <w:r w:rsidRPr="00722749">
        <w:rPr>
          <w:sz w:val="16"/>
        </w:rPr>
        <w:t xml:space="preserve">. </w:t>
      </w:r>
      <w:r w:rsidRPr="00722749">
        <w:rPr>
          <w:rStyle w:val="StyleUnderline"/>
        </w:rPr>
        <w:t>We recommend that state and local prosecutors, state legislatures, and worker advocates build on this valuable work by taking further action</w:t>
      </w:r>
      <w:r w:rsidRPr="00722749">
        <w:rPr>
          <w:sz w:val="16"/>
        </w:rPr>
        <w:t>. More detailed tips for getting started are included in Appendix C. Some general recommendations are as follows.</w:t>
      </w:r>
    </w:p>
    <w:p w14:paraId="591B99A0" w14:textId="77777777" w:rsidR="00C42954" w:rsidRPr="00722749" w:rsidRDefault="00C42954" w:rsidP="00C42954">
      <w:pPr>
        <w:rPr>
          <w:sz w:val="16"/>
        </w:rPr>
      </w:pPr>
      <w:r w:rsidRPr="00722749">
        <w:rPr>
          <w:sz w:val="16"/>
        </w:rPr>
        <w:t>Recommendations for state and local prosecutors</w:t>
      </w:r>
    </w:p>
    <w:p w14:paraId="12E17E19" w14:textId="77777777" w:rsidR="00C42954" w:rsidRPr="00722749" w:rsidRDefault="00C42954" w:rsidP="00C42954">
      <w:pPr>
        <w:rPr>
          <w:sz w:val="16"/>
        </w:rPr>
      </w:pPr>
      <w:r w:rsidRPr="00722749">
        <w:rPr>
          <w:sz w:val="16"/>
        </w:rPr>
        <w:t>Become involved. If your office has not yet become engaged in protecting workers’ rights, begin to do so. Learn more about the issue, meet with relevant stakeholder groups, review your office’s authority and potentially applicable statutes, research pressing needs in your jurisdiction, and begin to map out a plan of action.</w:t>
      </w:r>
    </w:p>
    <w:p w14:paraId="6FAF38EE" w14:textId="77777777" w:rsidR="00C42954" w:rsidRPr="00722749" w:rsidRDefault="00C42954" w:rsidP="00C42954">
      <w:pPr>
        <w:rPr>
          <w:sz w:val="16"/>
        </w:rPr>
      </w:pPr>
      <w:r w:rsidRPr="00722749">
        <w:rPr>
          <w:sz w:val="16"/>
        </w:rPr>
        <w:t>Increase involvement. Offices that have brought occasional prosecutions in this area should continue to develop and increase their involvement.</w:t>
      </w:r>
    </w:p>
    <w:p w14:paraId="3027F6FA" w14:textId="77777777" w:rsidR="00C42954" w:rsidRPr="00722749" w:rsidRDefault="00C42954" w:rsidP="00C42954">
      <w:pPr>
        <w:rPr>
          <w:sz w:val="16"/>
        </w:rPr>
      </w:pPr>
      <w:r w:rsidRPr="00722749">
        <w:rPr>
          <w:sz w:val="16"/>
        </w:rPr>
        <w:t>Establish dedicated units or build existing ones. DA and AG offices without dedicated workers’ rights units should consider creating such units, using existing staff and jurisdiction if necessary. District attorney offices may consider including such units within an economic crimes, white-collar crime, financial investigations, or community protection bureau, if such bureaus already exist within the office. Offices with dedicated units should continue and expand their work in this area.</w:t>
      </w:r>
    </w:p>
    <w:p w14:paraId="083A99AF" w14:textId="77777777" w:rsidR="00C42954" w:rsidRPr="00722749" w:rsidRDefault="00C42954" w:rsidP="00C42954">
      <w:pPr>
        <w:rPr>
          <w:sz w:val="16"/>
        </w:rPr>
      </w:pPr>
      <w:r w:rsidRPr="00722749">
        <w:rPr>
          <w:sz w:val="16"/>
        </w:rPr>
        <w:t>Connect with other prosecutors involved in this area, to share best practices and learn from each other.</w:t>
      </w:r>
    </w:p>
    <w:p w14:paraId="4B267F47" w14:textId="77777777" w:rsidR="00C42954" w:rsidRPr="00722749" w:rsidRDefault="00C42954" w:rsidP="00C42954">
      <w:pPr>
        <w:rPr>
          <w:sz w:val="16"/>
        </w:rPr>
      </w:pPr>
      <w:r w:rsidRPr="00722749">
        <w:rPr>
          <w:sz w:val="16"/>
        </w:rPr>
        <w:t>Recommendations for state legislatures: next steps</w:t>
      </w:r>
    </w:p>
    <w:p w14:paraId="1EEDA32F" w14:textId="77777777" w:rsidR="00C42954" w:rsidRPr="00722749" w:rsidRDefault="00C42954" w:rsidP="00C42954">
      <w:pPr>
        <w:rPr>
          <w:sz w:val="16"/>
        </w:rPr>
      </w:pPr>
      <w:r w:rsidRPr="00722749">
        <w:rPr>
          <w:sz w:val="16"/>
        </w:rPr>
        <w:t>Review statutes to assess whether they adequately address wage theft, payroll fraud, retaliation, and other crimes against workers. If appropriate, states should strengthen laws protecting workers’ rights, including laws related to civil enforcement and criminal jurisdiction. They should also provide jurisdiction for labor enforcement, both civil and criminal, to state attorneys general.</w:t>
      </w:r>
    </w:p>
    <w:p w14:paraId="1D99F421" w14:textId="77777777" w:rsidR="00C42954" w:rsidRPr="00722749" w:rsidRDefault="00C42954" w:rsidP="00C42954">
      <w:pPr>
        <w:rPr>
          <w:sz w:val="16"/>
        </w:rPr>
      </w:pPr>
      <w:r w:rsidRPr="00722749">
        <w:rPr>
          <w:sz w:val="16"/>
        </w:rPr>
        <w:t>Consider establishing funding mechanisms. California’s Workers’ Compensation Insurance Fraud Program and New York’s Crimes Against Revenues Program both provide funds for prosecutions that can include violations of workplace laws, and result in recoveries for the state. Prosecutions of workers’ rights cases can sometimes generate revenue, because employers who commit payroll fraud fail to pay unemployment and other taxes.</w:t>
      </w:r>
    </w:p>
    <w:p w14:paraId="3637565A" w14:textId="77777777" w:rsidR="00C42954" w:rsidRPr="00722749" w:rsidRDefault="00C42954" w:rsidP="00C42954">
      <w:pPr>
        <w:rPr>
          <w:sz w:val="16"/>
        </w:rPr>
      </w:pPr>
      <w:r w:rsidRPr="00722749">
        <w:rPr>
          <w:sz w:val="16"/>
        </w:rPr>
        <w:t>Recommendations for worker organizations and advocates</w:t>
      </w:r>
    </w:p>
    <w:p w14:paraId="03F895AA" w14:textId="77777777" w:rsidR="00C42954" w:rsidRPr="002A2760" w:rsidRDefault="00C42954" w:rsidP="00C42954">
      <w:pPr>
        <w:rPr>
          <w:sz w:val="16"/>
        </w:rPr>
      </w:pPr>
      <w:r w:rsidRPr="00722749">
        <w:rPr>
          <w:sz w:val="16"/>
        </w:rPr>
        <w:t xml:space="preserve">Engage with DA and state AG offices. </w:t>
      </w:r>
      <w:r w:rsidRPr="00722749">
        <w:rPr>
          <w:rStyle w:val="StyleUnderline"/>
        </w:rPr>
        <w:t>Worker organizations and advocates—including unions, worker centers, advocacy groups, legal services providers, and others—should consider ways to engage with the local DA’s office as well as their state AG’s office</w:t>
      </w:r>
      <w:r w:rsidRPr="00722749">
        <w:rPr>
          <w:sz w:val="16"/>
        </w:rPr>
        <w:t>, particularly where the DA or AG have expressed support for or concern about worker issues, low-income communities, or economic and/or racial justice.</w:t>
      </w:r>
    </w:p>
    <w:p w14:paraId="72923B80" w14:textId="77777777" w:rsidR="00C42954" w:rsidRDefault="00C42954" w:rsidP="00C42954"/>
    <w:p w14:paraId="3AE2B981" w14:textId="77777777" w:rsidR="00C42954" w:rsidRPr="00C42954" w:rsidRDefault="00C42954" w:rsidP="00C42954"/>
    <w:p w14:paraId="24A515F7" w14:textId="77777777" w:rsidR="00C42954" w:rsidRDefault="00C42954" w:rsidP="00C42954"/>
    <w:p w14:paraId="31411A56" w14:textId="357222D8" w:rsidR="00C42954" w:rsidRPr="00C42954" w:rsidRDefault="00C42954" w:rsidP="00C42954">
      <w:pPr>
        <w:pStyle w:val="Heading1"/>
      </w:pPr>
      <w:r>
        <w:t>1NR---Texas R1 vs. Kansas BB</w:t>
      </w:r>
    </w:p>
    <w:p w14:paraId="19CC58F3" w14:textId="77777777" w:rsidR="00C42954" w:rsidRDefault="00C42954" w:rsidP="00C42954"/>
    <w:p w14:paraId="6C725C5F" w14:textId="77777777" w:rsidR="00C42954" w:rsidRPr="009B4E84" w:rsidRDefault="00C42954" w:rsidP="00C42954"/>
    <w:p w14:paraId="4D8BCCF4" w14:textId="3B8214CA" w:rsidR="00C42954" w:rsidRDefault="00C42954" w:rsidP="00C42954">
      <w:pPr>
        <w:pStyle w:val="Heading2"/>
      </w:pPr>
      <w:r>
        <w:t>Unions K</w:t>
      </w:r>
    </w:p>
    <w:p w14:paraId="0BFD8D60" w14:textId="77777777" w:rsidR="00C42954" w:rsidRDefault="00C42954" w:rsidP="00C42954"/>
    <w:p w14:paraId="4AB7BAF5" w14:textId="62872D9F" w:rsidR="00C42954" w:rsidRDefault="00C42954" w:rsidP="00C42954">
      <w:pPr>
        <w:pStyle w:val="Heading3"/>
      </w:pPr>
      <w:r>
        <w:t>1NR---AT: Perm</w:t>
      </w:r>
    </w:p>
    <w:p w14:paraId="2793B02F" w14:textId="77777777" w:rsidR="00C42954" w:rsidRDefault="00C42954" w:rsidP="00C42954"/>
    <w:p w14:paraId="0C1538BA" w14:textId="77777777" w:rsidR="00C42954" w:rsidRDefault="00C42954" w:rsidP="00C42954">
      <w:pPr>
        <w:pStyle w:val="Heading4"/>
      </w:pPr>
      <w:r>
        <w:t>Only an absolute and steadfast defense of unions can be accepted. The aff and the perm fracture the alt’s momentum.</w:t>
      </w:r>
    </w:p>
    <w:p w14:paraId="252DF22B" w14:textId="77777777" w:rsidR="00C42954" w:rsidRDefault="00C42954" w:rsidP="00C42954">
      <w:r w:rsidRPr="00365E2B">
        <w:rPr>
          <w:rStyle w:val="Style13ptBold"/>
        </w:rPr>
        <w:t>Fletcher 25</w:t>
      </w:r>
      <w:r>
        <w:t xml:space="preserve"> [Bill Fletcher Jr., </w:t>
      </w:r>
      <w:r w:rsidRPr="00365E2B">
        <w:t>talk show host, writer, activist, and trade unionist.</w:t>
      </w:r>
      <w:r>
        <w:t xml:space="preserve"> </w:t>
      </w:r>
      <w:r w:rsidRPr="00365E2B">
        <w:t xml:space="preserve">"Unions as a 21st Century Anti-Fascist Force" 4/8/25 </w:t>
      </w:r>
      <w:r w:rsidRPr="001E3508">
        <w:t>https://inthesetimes.com/article/unions-labor-trump-oligarchy-fascism</w:t>
      </w:r>
      <w:r>
        <w:t xml:space="preserve"> NL]</w:t>
      </w:r>
    </w:p>
    <w:p w14:paraId="6EB010BE" w14:textId="77777777" w:rsidR="00C42954" w:rsidRPr="00365E2B" w:rsidRDefault="00C42954" w:rsidP="00C42954">
      <w:r w:rsidRPr="00365E2B">
        <w:rPr>
          <w:rStyle w:val="StyleUnderline"/>
          <w:highlight w:val="green"/>
        </w:rPr>
        <w:t>The difference</w:t>
      </w:r>
      <w:r w:rsidRPr="00365E2B">
        <w:t xml:space="preserve"> in approach among sections of organized labor </w:t>
      </w:r>
      <w:r w:rsidRPr="00365E2B">
        <w:rPr>
          <w:rStyle w:val="StyleUnderline"/>
          <w:highlight w:val="green"/>
        </w:rPr>
        <w:t xml:space="preserve">is </w:t>
      </w:r>
      <w:r w:rsidRPr="00365E2B">
        <w:rPr>
          <w:rStyle w:val="Emphasis"/>
          <w:highlight w:val="green"/>
        </w:rPr>
        <w:t>not</w:t>
      </w:r>
      <w:r w:rsidRPr="00365E2B">
        <w:t xml:space="preserve">, primarily, </w:t>
      </w:r>
      <w:r w:rsidRPr="00365E2B">
        <w:rPr>
          <w:rStyle w:val="StyleUnderline"/>
          <w:highlight w:val="green"/>
        </w:rPr>
        <w:t>a disagreement over tactics</w:t>
      </w:r>
      <w:r w:rsidRPr="00365E2B">
        <w:rPr>
          <w:rStyle w:val="StyleUnderline"/>
        </w:rPr>
        <w:t xml:space="preserve">. Rather, </w:t>
      </w:r>
      <w:r w:rsidRPr="00365E2B">
        <w:rPr>
          <w:rStyle w:val="StyleUnderline"/>
          <w:highlight w:val="green"/>
        </w:rPr>
        <w:t xml:space="preserve">it reflects differences over </w:t>
      </w:r>
      <w:r w:rsidRPr="00365E2B">
        <w:rPr>
          <w:rStyle w:val="Emphasis"/>
          <w:highlight w:val="green"/>
        </w:rPr>
        <w:t>how</w:t>
      </w:r>
      <w:r w:rsidRPr="00365E2B">
        <w:rPr>
          <w:rStyle w:val="StyleUnderline"/>
          <w:highlight w:val="green"/>
        </w:rPr>
        <w:t xml:space="preserve"> to understand</w:t>
      </w:r>
      <w:r w:rsidRPr="00365E2B">
        <w:rPr>
          <w:rStyle w:val="StyleUnderline"/>
        </w:rPr>
        <w:t xml:space="preserve"> the nature of </w:t>
      </w:r>
      <w:r w:rsidRPr="00365E2B">
        <w:rPr>
          <w:rStyle w:val="StyleUnderline"/>
          <w:highlight w:val="green"/>
        </w:rPr>
        <w:t>the moment and</w:t>
      </w:r>
      <w:r w:rsidRPr="00365E2B">
        <w:rPr>
          <w:rStyle w:val="StyleUnderline"/>
        </w:rPr>
        <w:t xml:space="preserve">, as a result, </w:t>
      </w:r>
      <w:r w:rsidRPr="00365E2B">
        <w:rPr>
          <w:rStyle w:val="StyleUnderline"/>
          <w:highlight w:val="green"/>
        </w:rPr>
        <w:t xml:space="preserve">the </w:t>
      </w:r>
      <w:r w:rsidRPr="00365E2B">
        <w:rPr>
          <w:rStyle w:val="Emphasis"/>
          <w:highlight w:val="green"/>
        </w:rPr>
        <w:t>question</w:t>
      </w:r>
      <w:r w:rsidRPr="00365E2B">
        <w:rPr>
          <w:rStyle w:val="StyleUnderline"/>
          <w:highlight w:val="green"/>
        </w:rPr>
        <w:t xml:space="preserve"> of</w:t>
      </w:r>
      <w:r w:rsidRPr="00365E2B">
        <w:rPr>
          <w:rStyle w:val="StyleUnderline"/>
        </w:rPr>
        <w:t xml:space="preserve"> what is the necessary </w:t>
      </w:r>
      <w:r w:rsidRPr="00365E2B">
        <w:rPr>
          <w:rStyle w:val="StyleUnderline"/>
          <w:highlight w:val="green"/>
        </w:rPr>
        <w:t>strategy</w:t>
      </w:r>
      <w:r w:rsidRPr="00365E2B">
        <w:rPr>
          <w:rStyle w:val="StyleUnderline"/>
        </w:rPr>
        <w:t xml:space="preserve">. The </w:t>
      </w:r>
      <w:r w:rsidRPr="00365E2B">
        <w:rPr>
          <w:rStyle w:val="Emphasis"/>
        </w:rPr>
        <w:t>reality</w:t>
      </w:r>
      <w:r w:rsidRPr="00365E2B">
        <w:rPr>
          <w:rStyle w:val="StyleUnderline"/>
        </w:rPr>
        <w:t xml:space="preserve"> is that we are living through a time when forces of fascism are </w:t>
      </w:r>
      <w:r w:rsidRPr="00365E2B">
        <w:rPr>
          <w:rStyle w:val="Emphasis"/>
        </w:rPr>
        <w:t>on the march</w:t>
      </w:r>
      <w:r w:rsidRPr="00365E2B">
        <w:t>. This means that confronting MAGA solely on the grounds of deteriorating working (or living) conditions is insufficient. The Trump regime is aiming to roll back all of the progress made throughout the 20</w:t>
      </w:r>
      <w:r w:rsidRPr="00365E2B">
        <w:rPr>
          <w:vertAlign w:val="superscript"/>
        </w:rPr>
        <w:t>th</w:t>
      </w:r>
      <w:r w:rsidRPr="00365E2B">
        <w:t xml:space="preserve"> century, and is targeting political opposition wherever it arises. </w:t>
      </w:r>
      <w:r w:rsidRPr="00365E2B">
        <w:rPr>
          <w:rStyle w:val="StyleUnderline"/>
          <w:highlight w:val="green"/>
        </w:rPr>
        <w:t xml:space="preserve">This requires an </w:t>
      </w:r>
      <w:r w:rsidRPr="00365E2B">
        <w:rPr>
          <w:rStyle w:val="Emphasis"/>
          <w:highlight w:val="green"/>
        </w:rPr>
        <w:t>all-hands-on-deck</w:t>
      </w:r>
      <w:r w:rsidRPr="00365E2B">
        <w:rPr>
          <w:rStyle w:val="StyleUnderline"/>
          <w:highlight w:val="green"/>
        </w:rPr>
        <w:t xml:space="preserve"> response</w:t>
      </w:r>
      <w:r w:rsidRPr="00365E2B">
        <w:rPr>
          <w:rStyle w:val="StyleUnderline"/>
        </w:rPr>
        <w:t xml:space="preserve">. This is </w:t>
      </w:r>
      <w:r w:rsidRPr="00365E2B">
        <w:rPr>
          <w:rStyle w:val="Emphasis"/>
          <w:highlight w:val="green"/>
        </w:rPr>
        <w:t>not</w:t>
      </w:r>
      <w:r w:rsidRPr="00365E2B">
        <w:rPr>
          <w:rStyle w:val="StyleUnderline"/>
          <w:highlight w:val="green"/>
        </w:rPr>
        <w:t xml:space="preserve"> a moment for </w:t>
      </w:r>
      <w:r w:rsidRPr="00365E2B">
        <w:rPr>
          <w:rStyle w:val="Emphasis"/>
          <w:highlight w:val="green"/>
        </w:rPr>
        <w:t>faux bipartisanship</w:t>
      </w:r>
      <w:r w:rsidRPr="00365E2B">
        <w:rPr>
          <w:rStyle w:val="StyleUnderline"/>
          <w:highlight w:val="green"/>
        </w:rPr>
        <w:t xml:space="preserve">; it is a moment for </w:t>
      </w:r>
      <w:r w:rsidRPr="00365E2B">
        <w:rPr>
          <w:rStyle w:val="Emphasis"/>
          <w:highlight w:val="green"/>
        </w:rPr>
        <w:t>resistance</w:t>
      </w:r>
      <w:r w:rsidRPr="00365E2B">
        <w:rPr>
          <w:rStyle w:val="StyleUnderline"/>
          <w:highlight w:val="green"/>
        </w:rPr>
        <w:t xml:space="preserve"> and </w:t>
      </w:r>
      <w:r w:rsidRPr="00365E2B">
        <w:rPr>
          <w:rStyle w:val="Emphasis"/>
          <w:highlight w:val="green"/>
        </w:rPr>
        <w:t>obstruction</w:t>
      </w:r>
      <w:r w:rsidRPr="00365E2B">
        <w:t xml:space="preserve"> to block the Trump administration from carrying out its far-right objectives.</w:t>
      </w:r>
    </w:p>
    <w:p w14:paraId="737F40E8" w14:textId="77777777" w:rsidR="00C42954" w:rsidRPr="00365E2B" w:rsidRDefault="00C42954" w:rsidP="00C42954">
      <w:r w:rsidRPr="00365E2B">
        <w:t xml:space="preserve">Rank-and-file members of our </w:t>
      </w:r>
      <w:r w:rsidRPr="00365E2B">
        <w:rPr>
          <w:rStyle w:val="StyleUnderline"/>
          <w:highlight w:val="green"/>
        </w:rPr>
        <w:t>unions</w:t>
      </w:r>
      <w:r w:rsidRPr="00365E2B">
        <w:t xml:space="preserve"> should be won over to </w:t>
      </w:r>
      <w:r w:rsidRPr="00365E2B">
        <w:rPr>
          <w:rStyle w:val="Emphasis"/>
          <w:highlight w:val="green"/>
        </w:rPr>
        <w:t>fully</w:t>
      </w:r>
      <w:r w:rsidRPr="00365E2B">
        <w:rPr>
          <w:rStyle w:val="StyleUnderline"/>
          <w:highlight w:val="green"/>
        </w:rPr>
        <w:t xml:space="preserve"> appreciate</w:t>
      </w:r>
      <w:r w:rsidRPr="00365E2B">
        <w:rPr>
          <w:rStyle w:val="StyleUnderline"/>
        </w:rPr>
        <w:t xml:space="preserve"> the nature of </w:t>
      </w:r>
      <w:r w:rsidRPr="00365E2B">
        <w:rPr>
          <w:rStyle w:val="StyleUnderline"/>
          <w:highlight w:val="green"/>
        </w:rPr>
        <w:t>the danger</w:t>
      </w:r>
      <w:r w:rsidRPr="00365E2B">
        <w:rPr>
          <w:rStyle w:val="StyleUnderline"/>
        </w:rPr>
        <w:t xml:space="preserve"> facing us, </w:t>
      </w:r>
      <w:r w:rsidRPr="00365E2B">
        <w:rPr>
          <w:rStyle w:val="StyleUnderline"/>
          <w:highlight w:val="green"/>
        </w:rPr>
        <w:t xml:space="preserve">and </w:t>
      </w:r>
      <w:r w:rsidRPr="00365E2B">
        <w:rPr>
          <w:rStyle w:val="Emphasis"/>
          <w:highlight w:val="green"/>
        </w:rPr>
        <w:t>all</w:t>
      </w:r>
      <w:r w:rsidRPr="00365E2B">
        <w:rPr>
          <w:rStyle w:val="Emphasis"/>
        </w:rPr>
        <w:t xml:space="preserve"> that </w:t>
      </w:r>
      <w:r w:rsidRPr="00365E2B">
        <w:rPr>
          <w:rStyle w:val="Emphasis"/>
          <w:highlight w:val="green"/>
        </w:rPr>
        <w:t>it implies</w:t>
      </w:r>
      <w:r w:rsidRPr="00365E2B">
        <w:t>. This begins with a major education effort among the membership coinciding with mobilizing against the specific attacks workers are facing, be they loss of jobs, loss of union recognition, moves against migrants, further attacks on the social safety net, failure to respond to increasing natural disasters or a dragnet on political speech. The job of working-class leaders is to link these threats together into a story about how Trump’s allies and the oligarchs are conspiring to steal from the majority, and institute a white, Christian nationalist authoritarian state, i.e., minority rule.</w:t>
      </w:r>
    </w:p>
    <w:p w14:paraId="73E9F618" w14:textId="77777777" w:rsidR="00C42954" w:rsidRPr="00365E2B" w:rsidRDefault="00C42954" w:rsidP="00C42954">
      <w:pPr>
        <w:rPr>
          <w:rStyle w:val="StyleUnderline"/>
        </w:rPr>
      </w:pPr>
      <w:r w:rsidRPr="00365E2B">
        <w:rPr>
          <w:rStyle w:val="StyleUnderline"/>
          <w:highlight w:val="green"/>
        </w:rPr>
        <w:t xml:space="preserve">Workers </w:t>
      </w:r>
      <w:r w:rsidRPr="00365E2B">
        <w:rPr>
          <w:rStyle w:val="Emphasis"/>
          <w:highlight w:val="green"/>
        </w:rPr>
        <w:t xml:space="preserve">must be convinced </w:t>
      </w:r>
      <w:r w:rsidRPr="00365E2B">
        <w:rPr>
          <w:rStyle w:val="StyleUnderline"/>
          <w:highlight w:val="green"/>
        </w:rPr>
        <w:t>of the possibility of</w:t>
      </w:r>
      <w:r w:rsidRPr="00365E2B">
        <w:rPr>
          <w:rStyle w:val="StyleUnderline"/>
        </w:rPr>
        <w:t xml:space="preserve"> beating back the darkness and </w:t>
      </w:r>
      <w:r w:rsidRPr="00365E2B">
        <w:rPr>
          <w:rStyle w:val="Emphasis"/>
          <w:highlight w:val="green"/>
        </w:rPr>
        <w:t>winning</w:t>
      </w:r>
      <w:r w:rsidRPr="00365E2B">
        <w:rPr>
          <w:rStyle w:val="StyleUnderline"/>
        </w:rPr>
        <w:t>.</w:t>
      </w:r>
    </w:p>
    <w:p w14:paraId="7192F39F" w14:textId="77777777" w:rsidR="00C42954" w:rsidRPr="002C4789" w:rsidRDefault="00C42954" w:rsidP="00C42954">
      <w:r w:rsidRPr="00365E2B">
        <w:t xml:space="preserve">Taking on MAGA </w:t>
      </w:r>
      <w:r w:rsidRPr="00365E2B">
        <w:rPr>
          <w:rStyle w:val="StyleUnderline"/>
        </w:rPr>
        <w:t xml:space="preserve">will </w:t>
      </w:r>
      <w:r w:rsidRPr="00365E2B">
        <w:rPr>
          <w:rStyle w:val="Emphasis"/>
          <w:highlight w:val="green"/>
        </w:rPr>
        <w:t>need</w:t>
      </w:r>
      <w:r w:rsidRPr="00365E2B">
        <w:t xml:space="preserve"> to involve, but not be limited to, </w:t>
      </w:r>
      <w:r w:rsidRPr="00365E2B">
        <w:rPr>
          <w:rStyle w:val="Emphasis"/>
          <w:highlight w:val="green"/>
        </w:rPr>
        <w:t>labor militancy</w:t>
      </w:r>
      <w:r w:rsidRPr="00365E2B">
        <w:rPr>
          <w:highlight w:val="green"/>
        </w:rPr>
        <w:t xml:space="preserve">. </w:t>
      </w:r>
      <w:r w:rsidRPr="00365E2B">
        <w:rPr>
          <w:rStyle w:val="StyleUnderline"/>
          <w:highlight w:val="green"/>
        </w:rPr>
        <w:t>Accompanying</w:t>
      </w:r>
      <w:r w:rsidRPr="00365E2B">
        <w:rPr>
          <w:rStyle w:val="StyleUnderline"/>
        </w:rPr>
        <w:t xml:space="preserve"> shrewd and creative tactical actions </w:t>
      </w:r>
      <w:r w:rsidRPr="00365E2B">
        <w:rPr>
          <w:rStyle w:val="StyleUnderline"/>
          <w:highlight w:val="green"/>
        </w:rPr>
        <w:t>must be a </w:t>
      </w:r>
      <w:r w:rsidRPr="00365E2B">
        <w:rPr>
          <w:rStyle w:val="Emphasis"/>
          <w:highlight w:val="green"/>
        </w:rPr>
        <w:t xml:space="preserve">proactive </w:t>
      </w:r>
      <w:r w:rsidRPr="00365E2B">
        <w:rPr>
          <w:rStyle w:val="Emphasis"/>
        </w:rPr>
        <w:t>vision</w:t>
      </w:r>
      <w:r w:rsidRPr="00365E2B">
        <w:rPr>
          <w:rStyle w:val="StyleUnderline"/>
        </w:rPr>
        <w:t xml:space="preserve"> regarding an </w:t>
      </w:r>
      <w:r w:rsidRPr="00365E2B">
        <w:rPr>
          <w:rStyle w:val="Emphasis"/>
          <w:highlight w:val="green"/>
        </w:rPr>
        <w:t>alternative to rightwing authoritarianism</w:t>
      </w:r>
      <w:r w:rsidRPr="00365E2B">
        <w:t>, an alternative many of us summarize as the fight for a </w:t>
      </w:r>
      <w:r w:rsidRPr="00365E2B">
        <w:rPr>
          <w:rFonts w:ascii="Arial" w:hAnsi="Arial" w:cs="Arial"/>
        </w:rPr>
        <w:t>​</w:t>
      </w:r>
      <w:r w:rsidRPr="00365E2B">
        <w:rPr>
          <w:rFonts w:cs="Arial Narrow"/>
        </w:rPr>
        <w:t>“</w:t>
      </w:r>
      <w:r w:rsidRPr="001E3508">
        <w:t>Third Reconstruction</w:t>
      </w:r>
      <w:r w:rsidRPr="00365E2B">
        <w:t>”</w:t>
      </w:r>
      <w:r w:rsidRPr="00365E2B">
        <w:rPr>
          <w:rFonts w:ascii="Arial" w:hAnsi="Arial" w:cs="Arial"/>
        </w:rPr>
        <w:t> </w:t>
      </w:r>
      <w:r w:rsidRPr="00365E2B">
        <w:rPr>
          <w:rFonts w:cs="Arial Narrow"/>
        </w:rPr>
        <w:t>—</w:t>
      </w:r>
      <w:r w:rsidRPr="00365E2B">
        <w:rPr>
          <w:rFonts w:ascii="Arial" w:hAnsi="Arial" w:cs="Arial"/>
        </w:rPr>
        <w:t> </w:t>
      </w:r>
      <w:r w:rsidRPr="00365E2B">
        <w:rPr>
          <w:rStyle w:val="StyleUnderline"/>
        </w:rPr>
        <w:t>a political realignment carried out through a </w:t>
      </w:r>
      <w:r w:rsidRPr="00365E2B">
        <w:rPr>
          <w:rStyle w:val="Emphasis"/>
        </w:rPr>
        <w:t>multiracial democratic movement from below</w:t>
      </w:r>
      <w:r w:rsidRPr="00365E2B">
        <w:t>. This is a challenging but essential task since many in this country have not only lost faith in constitutional democracy, but they have lost faith in the ability to bring about lasting progressive change.</w:t>
      </w:r>
    </w:p>
    <w:p w14:paraId="16F9E6BA" w14:textId="77777777" w:rsidR="00C42954" w:rsidRDefault="00C42954" w:rsidP="00C42954"/>
    <w:p w14:paraId="4E97842A" w14:textId="22A228E2" w:rsidR="00C42954" w:rsidRPr="00C42954" w:rsidRDefault="00C42954" w:rsidP="00C42954">
      <w:pPr>
        <w:pStyle w:val="Heading3"/>
      </w:pPr>
      <w:r>
        <w:t>1NR---Extra</w:t>
      </w:r>
    </w:p>
    <w:p w14:paraId="02B02A91" w14:textId="77777777" w:rsidR="00C42954" w:rsidRDefault="00C42954" w:rsidP="00C42954">
      <w:pPr>
        <w:pStyle w:val="Heading4"/>
      </w:pPr>
      <w:r>
        <w:t>Unions are historically a tool to fight colonialist oppression.</w:t>
      </w:r>
    </w:p>
    <w:p w14:paraId="3B5D9DF2" w14:textId="77777777" w:rsidR="00C42954" w:rsidRDefault="00C42954" w:rsidP="00C42954">
      <w:r w:rsidRPr="001A3BD5">
        <w:rPr>
          <w:rStyle w:val="Style13ptBold"/>
        </w:rPr>
        <w:t>Schayegh 24</w:t>
      </w:r>
      <w:r>
        <w:t xml:space="preserve"> [Cyrus, </w:t>
      </w:r>
      <w:r w:rsidRPr="001A3BD5">
        <w:t>International History, Graduate Institute of International and Development Studies, Geneva, Switzerland</w:t>
      </w:r>
      <w:r>
        <w:t>. “</w:t>
      </w:r>
      <w:r w:rsidRPr="001A3BD5">
        <w:t>Settler colonial studies: a historical analysis</w:t>
      </w:r>
      <w:r>
        <w:t>,” Settler Colonial Studies 14, no. 4 (2024) NL]</w:t>
      </w:r>
    </w:p>
    <w:p w14:paraId="11811946" w14:textId="77777777" w:rsidR="00C42954" w:rsidRDefault="00C42954" w:rsidP="00C42954">
      <w:r w:rsidRPr="00943198">
        <w:rPr>
          <w:rStyle w:val="StyleUnderline"/>
          <w:highlight w:val="green"/>
        </w:rPr>
        <w:t>Indigenous responses</w:t>
      </w:r>
      <w:r w:rsidRPr="001A3BD5">
        <w:t xml:space="preserve"> to these land issues varied in the 1940s-60s. Compared with Soviet Siberia, Latin America, the Pacific, and Scandinavia, they </w:t>
      </w:r>
      <w:r w:rsidRPr="00985572">
        <w:rPr>
          <w:rStyle w:val="Emphasis"/>
        </w:rPr>
        <w:t xml:space="preserve">were </w:t>
      </w:r>
      <w:r w:rsidRPr="00943198">
        <w:rPr>
          <w:rStyle w:val="Emphasis"/>
          <w:highlight w:val="green"/>
        </w:rPr>
        <w:t>loudest in US</w:t>
      </w:r>
      <w:r w:rsidRPr="001A3BD5">
        <w:t xml:space="preserve">/ CAN/NZ/AUS </w:t>
      </w:r>
      <w:r w:rsidRPr="00985572">
        <w:rPr>
          <w:rStyle w:val="StyleUnderline"/>
        </w:rPr>
        <w:t xml:space="preserve">and </w:t>
      </w:r>
      <w:r w:rsidRPr="00943198">
        <w:rPr>
          <w:rStyle w:val="Emphasis"/>
          <w:highlight w:val="green"/>
        </w:rPr>
        <w:t>decried</w:t>
      </w:r>
      <w:r w:rsidRPr="001A3BD5">
        <w:t xml:space="preserve"> also </w:t>
      </w:r>
      <w:r w:rsidRPr="00943198">
        <w:rPr>
          <w:rStyle w:val="Emphasis"/>
          <w:highlight w:val="green"/>
        </w:rPr>
        <w:t>discrimination</w:t>
      </w:r>
      <w:r w:rsidRPr="00943198">
        <w:rPr>
          <w:rStyle w:val="StyleUnderline"/>
          <w:highlight w:val="green"/>
        </w:rPr>
        <w:t xml:space="preserve"> and </w:t>
      </w:r>
      <w:r w:rsidRPr="00943198">
        <w:rPr>
          <w:rStyle w:val="Emphasis"/>
          <w:highlight w:val="green"/>
        </w:rPr>
        <w:t>assimilationism</w:t>
      </w:r>
      <w:r w:rsidRPr="00943198">
        <w:rPr>
          <w:rStyle w:val="StyleUnderline"/>
          <w:highlight w:val="green"/>
        </w:rPr>
        <w:t xml:space="preserve">, like </w:t>
      </w:r>
      <w:r w:rsidRPr="00943198">
        <w:rPr>
          <w:rStyle w:val="Emphasis"/>
          <w:highlight w:val="green"/>
        </w:rPr>
        <w:t>boarding schools</w:t>
      </w:r>
      <w:r w:rsidRPr="00985572">
        <w:rPr>
          <w:rStyle w:val="Emphasis"/>
        </w:rPr>
        <w:t xml:space="preserve"> separating children from their families and culture</w:t>
      </w:r>
      <w:r w:rsidRPr="00985572">
        <w:rPr>
          <w:rStyle w:val="StyleUnderline"/>
        </w:rPr>
        <w:t>.</w:t>
      </w:r>
      <w:r w:rsidRPr="001A3BD5">
        <w:t xml:space="preserve"> Eventually, one result of those protests was new state-Indigenous agreements like the 1971 Alaska Native Claims Settlement Act, Canada’s 1975 James Bay Agreement, and Aotearoa/New Zealand’s 1975 Treaty of Waitangi Act. </w:t>
      </w:r>
      <w:r w:rsidRPr="00943198">
        <w:rPr>
          <w:rStyle w:val="StyleUnderline"/>
          <w:highlight w:val="green"/>
        </w:rPr>
        <w:t>A</w:t>
      </w:r>
      <w:r w:rsidRPr="001A3BD5">
        <w:t xml:space="preserve">nother </w:t>
      </w:r>
      <w:r w:rsidRPr="00943198">
        <w:rPr>
          <w:rStyle w:val="StyleUnderline"/>
          <w:highlight w:val="green"/>
        </w:rPr>
        <w:t xml:space="preserve">result was </w:t>
      </w:r>
      <w:r w:rsidRPr="00835A8D">
        <w:rPr>
          <w:rStyle w:val="Emphasis"/>
        </w:rPr>
        <w:t xml:space="preserve">policy and </w:t>
      </w:r>
      <w:r w:rsidRPr="00943198">
        <w:rPr>
          <w:rStyle w:val="Emphasis"/>
          <w:highlight w:val="green"/>
        </w:rPr>
        <w:t>institutional change</w:t>
      </w:r>
      <w:r w:rsidRPr="00835A8D">
        <w:rPr>
          <w:rStyle w:val="StyleUnderline"/>
        </w:rPr>
        <w:t>s.</w:t>
      </w:r>
      <w:r w:rsidRPr="001A3BD5">
        <w:t xml:space="preserve"> For example, Aotearoa/New Zealand established the Waitangi Tribunal, a permanent commission investigating violations of the 1840 Maori-crown Waitangi Treaty. </w:t>
      </w:r>
      <w:r w:rsidRPr="00943198">
        <w:rPr>
          <w:rStyle w:val="StyleUnderline"/>
          <w:highlight w:val="green"/>
        </w:rPr>
        <w:t>The US</w:t>
      </w:r>
      <w:r w:rsidRPr="00985572">
        <w:rPr>
          <w:rStyle w:val="StyleUnderline"/>
        </w:rPr>
        <w:t xml:space="preserve"> government by the mid-1960s </w:t>
      </w:r>
      <w:r w:rsidRPr="00943198">
        <w:rPr>
          <w:rStyle w:val="Emphasis"/>
          <w:highlight w:val="green"/>
        </w:rPr>
        <w:t>ended</w:t>
      </w:r>
      <w:r w:rsidRPr="00985572">
        <w:rPr>
          <w:rStyle w:val="Emphasis"/>
        </w:rPr>
        <w:t xml:space="preserve"> the </w:t>
      </w:r>
      <w:r w:rsidRPr="00943198">
        <w:rPr>
          <w:rStyle w:val="Emphasis"/>
          <w:highlight w:val="green"/>
        </w:rPr>
        <w:t>assimilationist</w:t>
      </w:r>
      <w:r w:rsidRPr="00985572">
        <w:rPr>
          <w:rStyle w:val="Emphasis"/>
        </w:rPr>
        <w:t xml:space="preserve"> Indian </w:t>
      </w:r>
      <w:r w:rsidRPr="00943198">
        <w:rPr>
          <w:rStyle w:val="Emphasis"/>
          <w:highlight w:val="green"/>
        </w:rPr>
        <w:t>reservations termination policy</w:t>
      </w:r>
      <w:r w:rsidRPr="00985572">
        <w:rPr>
          <w:rStyle w:val="StyleUnderline"/>
        </w:rPr>
        <w:t xml:space="preserve"> that had begun in 1940, peaked with a House resolution in 1953, and helped </w:t>
      </w:r>
      <w:r w:rsidRPr="00985572">
        <w:rPr>
          <w:rStyle w:val="Emphasis"/>
        </w:rPr>
        <w:t>trigger the foundation of the National Congress of American Indians in 1944</w:t>
      </w:r>
      <w:r w:rsidRPr="00985572">
        <w:rPr>
          <w:rStyle w:val="StyleUnderline"/>
        </w:rPr>
        <w:t xml:space="preserve">; related, in 1975 Congress </w:t>
      </w:r>
      <w:r w:rsidRPr="00943198">
        <w:rPr>
          <w:rStyle w:val="Emphasis"/>
          <w:highlight w:val="green"/>
        </w:rPr>
        <w:t>passed</w:t>
      </w:r>
      <w:r w:rsidRPr="00985572">
        <w:rPr>
          <w:rStyle w:val="Emphasis"/>
        </w:rPr>
        <w:t xml:space="preserve"> the </w:t>
      </w:r>
      <w:r w:rsidRPr="00943198">
        <w:rPr>
          <w:rStyle w:val="Emphasis"/>
          <w:highlight w:val="green"/>
        </w:rPr>
        <w:t xml:space="preserve">Indian Self-Determination and Education </w:t>
      </w:r>
      <w:r w:rsidRPr="00835A8D">
        <w:rPr>
          <w:rStyle w:val="Emphasis"/>
        </w:rPr>
        <w:t xml:space="preserve">Assistance </w:t>
      </w:r>
      <w:r w:rsidRPr="00943198">
        <w:rPr>
          <w:rStyle w:val="Emphasis"/>
          <w:highlight w:val="green"/>
        </w:rPr>
        <w:t>Act</w:t>
      </w:r>
      <w:r w:rsidRPr="00943198">
        <w:rPr>
          <w:highlight w:val="green"/>
        </w:rPr>
        <w:t>.</w:t>
      </w:r>
      <w:r w:rsidRPr="001A3BD5">
        <w:t xml:space="preserve"> And Australia’s 1967 Aborigines Act de jure ended assimilationism and initiated the involvement of the federal— rather than simply states’—government in Aboriginal affairs. Moreover, Aboriginal communities became more self-governing from 1975, which formed part of a wider US/CAN/NZ/AUS trend toward self-determination from the later 1960s. 29</w:t>
      </w:r>
    </w:p>
    <w:p w14:paraId="20B33A12" w14:textId="77777777" w:rsidR="00C42954" w:rsidRDefault="00C42954" w:rsidP="00C42954">
      <w:r w:rsidRPr="001A3BD5">
        <w:t xml:space="preserve">Those Indigenous successes stood on three legs. First, a root cause was US/CAN/NZ/ AUS Indigenous peoples’ changing demographic and socioeconomic situation. From the 1930s/40s, mortality rates dropped and birth rates grew. Also, for various reasons including economic changes and government measures like the 1952 US Urban Indian Relocation Program, Indigenous people increasingly moved to cities. Although urbanization created social problems, in cities members of different communities drew closer to each other, and in the United States also to African Americans. </w:t>
      </w:r>
      <w:r w:rsidRPr="00985572">
        <w:rPr>
          <w:rStyle w:val="StyleUnderline"/>
        </w:rPr>
        <w:t xml:space="preserve">More </w:t>
      </w:r>
      <w:r w:rsidRPr="00943198">
        <w:rPr>
          <w:rStyle w:val="StyleUnderline"/>
          <w:highlight w:val="green"/>
        </w:rPr>
        <w:t xml:space="preserve">Indigenous workers </w:t>
      </w:r>
      <w:r w:rsidRPr="00943198">
        <w:rPr>
          <w:rStyle w:val="Emphasis"/>
          <w:highlight w:val="green"/>
        </w:rPr>
        <w:t>entered trade unions</w:t>
      </w:r>
      <w:r w:rsidRPr="001A3BD5">
        <w:t xml:space="preserve">, too, </w:t>
      </w:r>
      <w:r w:rsidRPr="00943198">
        <w:rPr>
          <w:rStyle w:val="StyleUnderline"/>
          <w:highlight w:val="green"/>
        </w:rPr>
        <w:t>and</w:t>
      </w:r>
      <w:r w:rsidRPr="00985572">
        <w:rPr>
          <w:rStyle w:val="StyleUnderline"/>
        </w:rPr>
        <w:t xml:space="preserve"> the </w:t>
      </w:r>
      <w:r w:rsidRPr="00943198">
        <w:rPr>
          <w:rStyle w:val="StyleUnderline"/>
          <w:highlight w:val="green"/>
        </w:rPr>
        <w:t>number of</w:t>
      </w:r>
      <w:r w:rsidRPr="00985572">
        <w:rPr>
          <w:rStyle w:val="StyleUnderline"/>
        </w:rPr>
        <w:t xml:space="preserve"> Indigenous </w:t>
      </w:r>
      <w:r w:rsidRPr="00943198">
        <w:rPr>
          <w:rStyle w:val="StyleUnderline"/>
          <w:highlight w:val="green"/>
        </w:rPr>
        <w:t xml:space="preserve">professionals and students </w:t>
      </w:r>
      <w:r w:rsidRPr="00943198">
        <w:rPr>
          <w:rStyle w:val="Emphasis"/>
          <w:highlight w:val="green"/>
        </w:rPr>
        <w:t>grew</w:t>
      </w:r>
      <w:r w:rsidRPr="00985572">
        <w:rPr>
          <w:rStyle w:val="StyleUnderline"/>
        </w:rPr>
        <w:t xml:space="preserve"> steadily</w:t>
      </w:r>
      <w:r w:rsidRPr="001A3BD5">
        <w:t>. 30</w:t>
      </w:r>
    </w:p>
    <w:p w14:paraId="16C77B64" w14:textId="77777777" w:rsidR="00C42954" w:rsidRDefault="00C42954" w:rsidP="00C42954">
      <w:r w:rsidRPr="001A3BD5">
        <w:t xml:space="preserve">Second, </w:t>
      </w:r>
      <w:r w:rsidRPr="00943198">
        <w:rPr>
          <w:rStyle w:val="StyleUnderline"/>
          <w:highlight w:val="green"/>
        </w:rPr>
        <w:t>Indigenous activists</w:t>
      </w:r>
      <w:r w:rsidRPr="00985572">
        <w:rPr>
          <w:rStyle w:val="StyleUnderline"/>
        </w:rPr>
        <w:t xml:space="preserve"> used changing demographic and socioeconomic realities </w:t>
      </w:r>
      <w:r w:rsidRPr="00943198">
        <w:rPr>
          <w:rStyle w:val="StyleUnderline"/>
          <w:highlight w:val="green"/>
        </w:rPr>
        <w:t xml:space="preserve">to </w:t>
      </w:r>
      <w:r w:rsidRPr="00943198">
        <w:rPr>
          <w:rStyle w:val="Emphasis"/>
          <w:highlight w:val="green"/>
        </w:rPr>
        <w:t>intensify</w:t>
      </w:r>
      <w:r w:rsidRPr="00943198">
        <w:rPr>
          <w:rStyle w:val="StyleUnderline"/>
          <w:highlight w:val="green"/>
        </w:rPr>
        <w:t xml:space="preserve"> and </w:t>
      </w:r>
      <w:r w:rsidRPr="00943198">
        <w:rPr>
          <w:rStyle w:val="Emphasis"/>
          <w:highlight w:val="green"/>
        </w:rPr>
        <w:t>refashion</w:t>
      </w:r>
      <w:r w:rsidRPr="00943198">
        <w:rPr>
          <w:rStyle w:val="StyleUnderline"/>
          <w:highlight w:val="green"/>
        </w:rPr>
        <w:t xml:space="preserve"> political organization and mobilization</w:t>
      </w:r>
      <w:r w:rsidRPr="001A3BD5">
        <w:t xml:space="preserve">. 31 Thus, it was in the city of Minneapolis that the American Indian Movement (AIM) was founded in 1968, and Sidney’s university was the birthplace of Student Action for Aborigines (SAFA). (The 1970 creation of Canada’s National Indian Brotherhood (NIB) was due more to increasing linkages between extant regional councils.) Students and professionals helped establish other organizations, too, like the Maori Organisation on Human Rights, in 1968. </w:t>
      </w:r>
      <w:r w:rsidRPr="00943198">
        <w:rPr>
          <w:rStyle w:val="StyleUnderline"/>
          <w:highlight w:val="green"/>
        </w:rPr>
        <w:t xml:space="preserve">Trade unionists were </w:t>
      </w:r>
      <w:r w:rsidRPr="00943198">
        <w:rPr>
          <w:rStyle w:val="Emphasis"/>
          <w:highlight w:val="green"/>
        </w:rPr>
        <w:t>active</w:t>
      </w:r>
      <w:r w:rsidRPr="00985572">
        <w:rPr>
          <w:rStyle w:val="StyleUnderline"/>
        </w:rPr>
        <w:t xml:space="preserve"> in the Federal Council for Advancement of Aborigines and Torres Strait Islanders</w:t>
      </w:r>
      <w:r w:rsidRPr="001A3BD5">
        <w:t xml:space="preserve"> (FCAATSI), a federal-state-supported body born in 1958 that by 1963 convinced Australia’s Trade Union Congress to de jure end wage discrimination, and in 1966 trade unions helped a landmark Gurindji stockmen’s strike for equal pay in the Northern Territory succeed. Other mobilizational tactics included highly mediated tours, for example SAFA’s Freedom Ride around apartheid-style towns in 1965, sit-ins like the 1972 Aboriginal Tent Embassy facing the parliament in Canberra, and marches like the 1975 Maori Land March to parliament in Wellington. The United States witnessed also a few armed confrontations with government forces, most famously at the Pine Ridge Reservation in 1973. 32</w:t>
      </w:r>
    </w:p>
    <w:p w14:paraId="7DD55D4D" w14:textId="77777777" w:rsidR="00C42954" w:rsidRDefault="00C42954" w:rsidP="00C42954">
      <w:r w:rsidRPr="001A3BD5">
        <w:t xml:space="preserve">Third, from the 1950s US/CAN/NZ/AUS </w:t>
      </w:r>
      <w:r w:rsidRPr="00943198">
        <w:rPr>
          <w:rStyle w:val="StyleUnderline"/>
          <w:highlight w:val="green"/>
        </w:rPr>
        <w:t xml:space="preserve">Indigenous peoples’ political opportunities </w:t>
      </w:r>
      <w:r w:rsidRPr="00943198">
        <w:rPr>
          <w:rStyle w:val="Emphasis"/>
          <w:highlight w:val="green"/>
        </w:rPr>
        <w:t>improved</w:t>
      </w:r>
      <w:r w:rsidRPr="001A3BD5">
        <w:t xml:space="preserve">. Sure, the central opportunity, postwar Afro-Asian decolonization, concerned Indigenous peoples all around the world: in principle, all could claim that they should enjoy self-determination, too, like Asians and Africans. But in practice US/CAN/NZ/AUS and Scandinavian Indigenous peoples were best positioned. </w:t>
      </w:r>
      <w:r w:rsidRPr="00985572">
        <w:rPr>
          <w:rStyle w:val="StyleUnderline"/>
        </w:rPr>
        <w:t xml:space="preserve">Once liberal democracies in the 1960s began shifting their interactions with Indigenous peoples, </w:t>
      </w:r>
      <w:r w:rsidRPr="00943198">
        <w:rPr>
          <w:rStyle w:val="StyleUnderline"/>
          <w:highlight w:val="green"/>
        </w:rPr>
        <w:t>their political structures</w:t>
      </w:r>
      <w:r w:rsidRPr="001A3BD5">
        <w:t xml:space="preserve">—which were more open than in socialist states and Latin American states, many of which were authoritarian or military dictatorships in the 1950s-80s—somewhat </w:t>
      </w:r>
      <w:r w:rsidRPr="00943198">
        <w:rPr>
          <w:rStyle w:val="Emphasis"/>
          <w:highlight w:val="green"/>
        </w:rPr>
        <w:t>benefited</w:t>
      </w:r>
      <w:r w:rsidRPr="001A3BD5">
        <w:t xml:space="preserve"> US/CAN/NZ/AUS and Scandinavian </w:t>
      </w:r>
      <w:r w:rsidRPr="00943198">
        <w:rPr>
          <w:rStyle w:val="Emphasis"/>
          <w:highlight w:val="green"/>
        </w:rPr>
        <w:t>Indigenous actors</w:t>
      </w:r>
      <w:r w:rsidRPr="00985572">
        <w:rPr>
          <w:rStyle w:val="Emphasis"/>
        </w:rPr>
        <w:t>,</w:t>
      </w:r>
      <w:r w:rsidRPr="001A3BD5">
        <w:t xml:space="preserve"> who alone had at least some ‘government support and recognition’ at the time. Relatedly, Western Cold War liberal democracies were not insensitive to NGOs’ and socialist states’ critiques, and did not want to look too bad on the international scene, also regarding human and minority rights. Thus, two Aboriginal petitions to the UN rather rattled Canberra in 1970; by contrast, Latin American military dictatorships were barely bothered when international NGOs founded in the late 1960s like Survival International lobbied for Indigenous rights.</w:t>
      </w:r>
    </w:p>
    <w:p w14:paraId="093E9F81" w14:textId="77777777" w:rsidR="00C42954" w:rsidRDefault="00C42954">
      <w:pPr>
        <w:rPr>
          <w:rFonts w:asciiTheme="minorHAnsi" w:hAnsiTheme="minorHAnsi" w:cstheme="minorBidi"/>
        </w:rPr>
      </w:pPr>
    </w:p>
    <w:sectPr w:rsidR="00C429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CE2C" w14:textId="77777777" w:rsidR="00190430" w:rsidRDefault="00190430" w:rsidP="00066D2C">
      <w:pPr>
        <w:spacing w:after="0" w:line="240" w:lineRule="auto"/>
      </w:pPr>
      <w:r>
        <w:separator/>
      </w:r>
    </w:p>
  </w:endnote>
  <w:endnote w:type="continuationSeparator" w:id="0">
    <w:p w14:paraId="5A032ECB" w14:textId="77777777" w:rsidR="00190430" w:rsidRDefault="0019043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1CDE2" w14:textId="77777777" w:rsidR="00190430" w:rsidRDefault="00190430" w:rsidP="00066D2C">
      <w:pPr>
        <w:spacing w:after="0" w:line="240" w:lineRule="auto"/>
      </w:pPr>
      <w:r>
        <w:separator/>
      </w:r>
    </w:p>
  </w:footnote>
  <w:footnote w:type="continuationSeparator" w:id="0">
    <w:p w14:paraId="0F46A5B1" w14:textId="77777777" w:rsidR="00190430" w:rsidRDefault="0019043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41177424">
    <w:abstractNumId w:val="13"/>
  </w:num>
  <w:num w:numId="46" w16cid:durableId="5339258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C4295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430"/>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752"/>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954"/>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7DD52E"/>
  <w15:chartTrackingRefBased/>
  <w15:docId w15:val="{F8AC37C2-8A29-4E00-BCBE-CE180A248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2954"/>
    <w:rPr>
      <w:rFonts w:ascii="Arial Narrow" w:hAnsi="Arial Narrow" w:cs="Calibri"/>
    </w:rPr>
  </w:style>
  <w:style w:type="paragraph" w:styleId="Heading1">
    <w:name w:val="heading 1"/>
    <w:aliases w:val="Pocket"/>
    <w:basedOn w:val="Normal"/>
    <w:next w:val="Normal"/>
    <w:link w:val="Heading1Char"/>
    <w:qFormat/>
    <w:rsid w:val="00C429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429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C429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C4295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4295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C429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295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C42954"/>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C42954"/>
    <w:rPr>
      <w:color w:val="auto"/>
      <w:u w:val="none"/>
    </w:rPr>
  </w:style>
  <w:style w:type="character" w:customStyle="1" w:styleId="Heading1Char">
    <w:name w:val="Heading 1 Char"/>
    <w:aliases w:val="Pocket Char"/>
    <w:basedOn w:val="DefaultParagraphFont"/>
    <w:link w:val="Heading1"/>
    <w:rsid w:val="00C42954"/>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C42954"/>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C42954"/>
    <w:rPr>
      <w:rFonts w:ascii="Arial Narrow" w:eastAsiaTheme="majorEastAsia" w:hAnsi="Arial Narrow"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C42954"/>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42954"/>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7"/>
    <w:qFormat/>
    <w:rsid w:val="00C42954"/>
    <w:rPr>
      <w:b w:val="0"/>
      <w:sz w:val="22"/>
      <w:u w:val="single"/>
    </w:rPr>
  </w:style>
  <w:style w:type="character" w:styleId="Strong">
    <w:name w:val="Strong"/>
    <w:basedOn w:val="DefaultParagraphFont"/>
    <w:uiPriority w:val="22"/>
    <w:semiHidden/>
    <w:qFormat/>
    <w:rsid w:val="00C42954"/>
    <w:rPr>
      <w:b/>
      <w:bCs/>
    </w:rPr>
  </w:style>
  <w:style w:type="character" w:styleId="BookTitle">
    <w:name w:val="Book Title"/>
    <w:basedOn w:val="DefaultParagraphFont"/>
    <w:uiPriority w:val="33"/>
    <w:semiHidden/>
    <w:qFormat/>
    <w:rsid w:val="00C42954"/>
    <w:rPr>
      <w:b/>
      <w:bCs/>
      <w:i/>
      <w:iCs/>
      <w:spacing w:val="5"/>
    </w:rPr>
  </w:style>
  <w:style w:type="character" w:customStyle="1" w:styleId="Heading5Char">
    <w:name w:val="Heading 5 Char"/>
    <w:basedOn w:val="DefaultParagraphFont"/>
    <w:link w:val="Heading5"/>
    <w:uiPriority w:val="9"/>
    <w:semiHidden/>
    <w:rsid w:val="00C4295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42954"/>
  </w:style>
  <w:style w:type="paragraph" w:styleId="Header">
    <w:name w:val="header"/>
    <w:basedOn w:val="Normal"/>
    <w:link w:val="HeaderChar"/>
    <w:uiPriority w:val="99"/>
    <w:semiHidden/>
    <w:rsid w:val="00C4295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42954"/>
    <w:rPr>
      <w:rFonts w:ascii="Arial Narrow" w:hAnsi="Arial Narrow" w:cs="Calibri"/>
    </w:rPr>
  </w:style>
  <w:style w:type="paragraph" w:styleId="Footer">
    <w:name w:val="footer"/>
    <w:basedOn w:val="Normal"/>
    <w:link w:val="FooterChar"/>
    <w:uiPriority w:val="99"/>
    <w:semiHidden/>
    <w:rsid w:val="00C4295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42954"/>
    <w:rPr>
      <w:rFonts w:ascii="Arial Narrow" w:hAnsi="Arial Narrow" w:cs="Calibri"/>
    </w:rPr>
  </w:style>
  <w:style w:type="paragraph" w:styleId="BodyText">
    <w:name w:val="Body Text"/>
    <w:basedOn w:val="Normal"/>
    <w:link w:val="BodyTextChar"/>
    <w:uiPriority w:val="99"/>
    <w:semiHidden/>
    <w:unhideWhenUsed/>
    <w:rsid w:val="00C42954"/>
    <w:pPr>
      <w:spacing w:after="120"/>
    </w:pPr>
  </w:style>
  <w:style w:type="character" w:customStyle="1" w:styleId="BodyTextChar">
    <w:name w:val="Body Text Char"/>
    <w:basedOn w:val="DefaultParagraphFont"/>
    <w:link w:val="BodyText"/>
    <w:uiPriority w:val="99"/>
    <w:semiHidden/>
    <w:rsid w:val="00C42954"/>
    <w:rPr>
      <w:rFonts w:ascii="Arial Narrow" w:hAnsi="Arial Narrow" w:cs="Calibri"/>
    </w:rPr>
  </w:style>
  <w:style w:type="paragraph" w:styleId="NoSpacing">
    <w:name w:val="No Spacing"/>
    <w:link w:val="NoSpacingChar"/>
    <w:uiPriority w:val="99"/>
    <w:semiHidden/>
    <w:unhideWhenUsed/>
    <w:qFormat/>
    <w:rsid w:val="00C4295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42954"/>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 ,C"/>
    <w:basedOn w:val="DefaultParagraphFont"/>
    <w:link w:val="Heading411"/>
    <w:uiPriority w:val="99"/>
    <w:unhideWhenUsed/>
    <w:rsid w:val="00C42954"/>
    <w:rPr>
      <w:color w:val="0563C1" w:themeColor="hyperlink"/>
      <w:u w:val="single"/>
    </w:rPr>
  </w:style>
  <w:style w:type="character" w:styleId="UnresolvedMention">
    <w:name w:val="Unresolved Mention"/>
    <w:basedOn w:val="DefaultParagraphFont"/>
    <w:uiPriority w:val="99"/>
    <w:semiHidden/>
    <w:unhideWhenUsed/>
    <w:rsid w:val="00C42954"/>
    <w:rPr>
      <w:color w:val="605E5C"/>
      <w:shd w:val="clear" w:color="auto" w:fill="E1DFDD"/>
    </w:rPr>
  </w:style>
  <w:style w:type="paragraph" w:customStyle="1" w:styleId="Undertag">
    <w:name w:val="Undertag"/>
    <w:link w:val="UndertagChar"/>
    <w:autoRedefine/>
    <w:uiPriority w:val="5"/>
    <w:qFormat/>
    <w:rsid w:val="00C4295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4295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42954"/>
    <w:rPr>
      <w:color w:val="1F3864" w:themeColor="accent1" w:themeShade="80"/>
    </w:rPr>
  </w:style>
  <w:style w:type="character" w:customStyle="1" w:styleId="AnalyticChar">
    <w:name w:val="Analytic Char"/>
    <w:basedOn w:val="DefaultParagraphFont"/>
    <w:link w:val="Analytic"/>
    <w:uiPriority w:val="5"/>
    <w:rsid w:val="00C42954"/>
    <w:rPr>
      <w:rFonts w:ascii="Arial Narrow" w:eastAsiaTheme="majorEastAsia" w:hAnsi="Arial Narrow" w:cstheme="majorBidi"/>
      <w:b/>
      <w:iCs/>
      <w:color w:val="1F3864" w:themeColor="accent1" w:themeShade="80"/>
      <w:sz w:val="26"/>
    </w:rPr>
  </w:style>
  <w:style w:type="paragraph" w:customStyle="1" w:styleId="Emphasis1">
    <w:name w:val="Emphasis1"/>
    <w:basedOn w:val="Normal"/>
    <w:link w:val="Emphasis"/>
    <w:uiPriority w:val="8"/>
    <w:qFormat/>
    <w:rsid w:val="00C4295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C4295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C42954"/>
    <w:pPr>
      <w:ind w:left="720"/>
      <w:jc w:val="both"/>
    </w:pPr>
    <w:rPr>
      <w:b/>
      <w:iCs/>
      <w:u w:val="single"/>
    </w:rPr>
  </w:style>
  <w:style w:type="paragraph" w:styleId="ListParagraph">
    <w:name w:val="List Paragraph"/>
    <w:aliases w:val="6 font,List Paragraph1,List Paragraph2"/>
    <w:basedOn w:val="Normal"/>
    <w:uiPriority w:val="99"/>
    <w:unhideWhenUsed/>
    <w:qFormat/>
    <w:rsid w:val="00C42954"/>
    <w:pPr>
      <w:ind w:left="720"/>
      <w:contextualSpacing/>
    </w:pPr>
  </w:style>
  <w:style w:type="paragraph" w:customStyle="1" w:styleId="CiteSpacing">
    <w:name w:val="Cite Spacing"/>
    <w:basedOn w:val="Normal"/>
    <w:uiPriority w:val="4"/>
    <w:qFormat/>
    <w:rsid w:val="00C42954"/>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ackagendareport.com/community-control-police-and-whole-lot-mo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39641</Words>
  <Characters>222387</Characters>
  <Application>Microsoft Office Word</Application>
  <DocSecurity>0</DocSecurity>
  <Lines>1950</Lines>
  <Paragraphs>373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2026-01-31T15:34:00Z</dcterms:created>
  <dcterms:modified xsi:type="dcterms:W3CDTF">2026-01-31T15:40:00Z</dcterms:modified>
</cp:coreProperties>
</file>