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74FF" w14:textId="77777777" w:rsidR="00AC7390" w:rsidRDefault="00AC7390" w:rsidP="00AC7390">
      <w:pPr>
        <w:pStyle w:val="Heading1"/>
      </w:pPr>
      <w:r>
        <w:t>1NC</w:t>
      </w:r>
    </w:p>
    <w:p w14:paraId="61291C33" w14:textId="77777777" w:rsidR="00AC7390" w:rsidRDefault="00AC7390" w:rsidP="00AC7390">
      <w:pPr>
        <w:pStyle w:val="Heading2"/>
      </w:pPr>
      <w:r>
        <w:t>Off</w:t>
      </w:r>
    </w:p>
    <w:p w14:paraId="012BBEE7" w14:textId="77777777" w:rsidR="00AC7390" w:rsidRDefault="00AC7390" w:rsidP="00AC7390">
      <w:pPr>
        <w:pStyle w:val="Heading3"/>
      </w:pPr>
      <w:r>
        <w:t>T---1NC</w:t>
      </w:r>
    </w:p>
    <w:p w14:paraId="06474664" w14:textId="77777777" w:rsidR="00AC7390" w:rsidRPr="00CF7FF3" w:rsidRDefault="00AC7390" w:rsidP="00AC7390">
      <w:pPr>
        <w:rPr>
          <w:rStyle w:val="Style13ptBold"/>
        </w:rPr>
      </w:pPr>
      <w:r w:rsidRPr="00CF7FF3">
        <w:rPr>
          <w:rStyle w:val="Style13ptBold"/>
          <w:u w:val="single"/>
        </w:rPr>
        <w:t>Topicality</w:t>
      </w:r>
      <w:r>
        <w:rPr>
          <w:rStyle w:val="Style13ptBold"/>
        </w:rPr>
        <w:t>:</w:t>
      </w:r>
    </w:p>
    <w:p w14:paraId="77640CB8" w14:textId="77777777" w:rsidR="00AC7390" w:rsidRDefault="00AC7390" w:rsidP="00AC7390">
      <w:pPr>
        <w:pStyle w:val="Heading4"/>
      </w:pPr>
      <w:r>
        <w:t>The negative ought not be burdened with rejoinder against affirmatives that do not affirm the resolution.</w:t>
      </w:r>
    </w:p>
    <w:p w14:paraId="5448E27D" w14:textId="77777777" w:rsidR="00AC7390" w:rsidRPr="00E9356C" w:rsidRDefault="00AC7390" w:rsidP="00AC7390">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0B25C8BA" w14:textId="77777777" w:rsidR="00AC7390" w:rsidRPr="00E9356C" w:rsidRDefault="00AC7390" w:rsidP="00AC7390">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43924FF3" w14:textId="77777777" w:rsidR="00AC7390" w:rsidRPr="000A665C" w:rsidRDefault="00AC7390" w:rsidP="00AC7390">
      <w:pPr>
        <w:rPr>
          <w:sz w:val="16"/>
        </w:rPr>
      </w:pPr>
      <w:r w:rsidRPr="000A665C">
        <w:rPr>
          <w:sz w:val="16"/>
        </w:rPr>
        <w:t>1. Political and organisational structure of government</w:t>
      </w:r>
    </w:p>
    <w:p w14:paraId="5F1208F3" w14:textId="77777777" w:rsidR="00AC7390" w:rsidRPr="00E2778B" w:rsidRDefault="00AC7390" w:rsidP="00AC7390">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1EE2CCA" w14:textId="77777777" w:rsidR="00AC7390" w:rsidRDefault="00AC7390" w:rsidP="00AC7390">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39392B68" w14:textId="77777777" w:rsidR="00AC7390" w:rsidRDefault="00AC7390" w:rsidP="00AC7390">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61430F71" w14:textId="77777777" w:rsidR="00AC7390" w:rsidRPr="009A77E2" w:rsidRDefault="00AC7390" w:rsidP="00AC7390">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64B45A02" w14:textId="77777777" w:rsidR="00AC7390" w:rsidRPr="009A77E2" w:rsidRDefault="00AC7390" w:rsidP="00AC7390">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75EDF782" w14:textId="77777777" w:rsidR="00AC7390" w:rsidRPr="009A77E2" w:rsidRDefault="00AC7390" w:rsidP="00AC7390">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453D2EF0" w14:textId="77777777" w:rsidR="00AC7390" w:rsidRPr="00CF7FF3" w:rsidRDefault="00AC7390" w:rsidP="00AC7390">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573E78A4" w14:textId="77777777" w:rsidR="00AC7390" w:rsidRPr="009A77E2" w:rsidRDefault="00AC7390" w:rsidP="00AC7390">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2A7020C" w14:textId="77777777" w:rsidR="00AC7390" w:rsidRDefault="00AC7390" w:rsidP="00AC7390">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2C06515D" w14:textId="77777777" w:rsidR="00AC7390" w:rsidRDefault="00AC7390" w:rsidP="00AC7390">
      <w:pPr>
        <w:pStyle w:val="Heading4"/>
      </w:pPr>
      <w:r>
        <w:t>Violation---[</w:t>
      </w:r>
      <w:r>
        <w:tab/>
        <w:t>].</w:t>
      </w:r>
    </w:p>
    <w:p w14:paraId="096C2FCF" w14:textId="77777777" w:rsidR="00AC7390" w:rsidRDefault="00AC7390" w:rsidP="00AC7390">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an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1672D591" w14:textId="77777777" w:rsidR="00AC7390" w:rsidRDefault="00AC7390" w:rsidP="00AC7390">
      <w:pPr>
        <w:pStyle w:val="Heading3"/>
      </w:pPr>
      <w:r>
        <w:t>K---1NC</w:t>
      </w:r>
    </w:p>
    <w:p w14:paraId="4E77EC73" w14:textId="77777777" w:rsidR="00AC7390" w:rsidRDefault="00AC7390" w:rsidP="00AC7390">
      <w:pPr>
        <w:rPr>
          <w:rStyle w:val="Style13ptBold"/>
        </w:rPr>
      </w:pPr>
      <w:r w:rsidRPr="00594F9F">
        <w:rPr>
          <w:rStyle w:val="Style13ptBold"/>
          <w:u w:val="single"/>
        </w:rPr>
        <w:t>Didactic Instruction K</w:t>
      </w:r>
      <w:r>
        <w:rPr>
          <w:rStyle w:val="Style13ptBold"/>
        </w:rPr>
        <w:t>:</w:t>
      </w:r>
    </w:p>
    <w:p w14:paraId="69B6CA45" w14:textId="77777777" w:rsidR="00AC7390" w:rsidRPr="00310BC2" w:rsidRDefault="00AC7390" w:rsidP="00AC7390">
      <w:pPr>
        <w:pStyle w:val="Heading4"/>
        <w:rPr>
          <w:u w:val="single"/>
        </w:rPr>
      </w:pPr>
      <w:r>
        <w:t xml:space="preserve">There’s no reason to believe that </w:t>
      </w:r>
      <w:r w:rsidRPr="00AB7536">
        <w:t>transsexual militancy</w:t>
      </w:r>
      <w:r>
        <w:t xml:space="preserve"> is sufficient for solvency: it exists in the status quo and the aff doesn’t propose any new direction, tactics, or strategy for it: their only stance for your ballot is that we need “more of it” or that you should “align” with it, but this kind of didactic instruction </w:t>
      </w:r>
      <w:r>
        <w:rPr>
          <w:u w:val="single"/>
        </w:rPr>
        <w:t>does not produce radical social change</w:t>
      </w:r>
      <w:r>
        <w:rPr>
          <w:b w:val="0"/>
          <w:bCs/>
        </w:rPr>
        <w:t xml:space="preserve"> </w:t>
      </w:r>
      <w:r>
        <w:t xml:space="preserve">and it is </w:t>
      </w:r>
      <w:r>
        <w:rPr>
          <w:u w:val="single"/>
        </w:rPr>
        <w:t>their burden to prove that it does.</w:t>
      </w:r>
    </w:p>
    <w:p w14:paraId="247AB8BF" w14:textId="77777777" w:rsidR="00AC7390" w:rsidRPr="000006DE" w:rsidRDefault="00AC7390" w:rsidP="00AC7390">
      <w:r w:rsidRPr="00EA3650">
        <w:rPr>
          <w:rStyle w:val="Style13ptBold"/>
        </w:rPr>
        <w:t>Rehman &amp; Condit 22</w:t>
      </w:r>
      <w:r>
        <w:t xml:space="preserve"> </w:t>
      </w:r>
      <w:r w:rsidRPr="000006DE">
        <w:t>– *doctoral student in the Department of English at the University of Agriculture, Peshawar, Khyber Pakhtunkhwa, Pakistan, ** distinguished research professor in the Department of Communication Studies at the University of Georgia (Hafiz Javed ur Rehman &amp; Celeste Michelle Condit (2022) The Practice of Transformation-Oriented Anti-Colonial Dialogue: Personae in Post-9/11 Novels by Pakistani Authors in English, Rhetoric Society Quarterly, 52:5, 479-493, DOI: 10.1080/02773945.2022.2062434) NAR</w:t>
      </w:r>
    </w:p>
    <w:p w14:paraId="130E3EA6" w14:textId="77777777" w:rsidR="00AC7390" w:rsidRPr="00FD1F7D" w:rsidRDefault="00AC7390" w:rsidP="00AC7390">
      <w:pPr>
        <w:rPr>
          <w:sz w:val="16"/>
        </w:rPr>
      </w:pPr>
      <w:r w:rsidRPr="00FD1F7D">
        <w:rPr>
          <w:sz w:val="16"/>
        </w:rPr>
        <w:t xml:space="preserve">Such a </w:t>
      </w:r>
      <w:r w:rsidRPr="000006DE">
        <w:rPr>
          <w:rStyle w:val="StyleUnderline"/>
          <w:highlight w:val="cyan"/>
        </w:rPr>
        <w:t>blame-focused discourse</w:t>
      </w:r>
      <w:r w:rsidRPr="00FD1F7D">
        <w:rPr>
          <w:sz w:val="16"/>
        </w:rPr>
        <w:t xml:space="preserve"> has some situational productivity, but it </w:t>
      </w:r>
      <w:r w:rsidRPr="000006DE">
        <w:rPr>
          <w:rStyle w:val="StyleUnderline"/>
          <w:highlight w:val="cyan"/>
        </w:rPr>
        <w:t>is insufficient to decolonizing</w:t>
      </w:r>
      <w:r w:rsidRPr="00673DD7">
        <w:rPr>
          <w:rStyle w:val="StyleUnderline"/>
        </w:rPr>
        <w:t xml:space="preserve"> efforts</w:t>
      </w:r>
      <w:r w:rsidRPr="00FD1F7D">
        <w:rPr>
          <w:sz w:val="16"/>
        </w:rPr>
        <w:t xml:space="preserve">.3 </w:t>
      </w:r>
      <w:r w:rsidRPr="00673DD7">
        <w:rPr>
          <w:rStyle w:val="StyleUnderline"/>
        </w:rPr>
        <w:t xml:space="preserve">It projects diffuse goals that are impossible to enact </w:t>
      </w:r>
      <w:r w:rsidRPr="00FD1F7D">
        <w:rPr>
          <w:sz w:val="16"/>
        </w:rPr>
        <w:t>both</w:t>
      </w:r>
      <w:r w:rsidRPr="00673DD7">
        <w:rPr>
          <w:rStyle w:val="StyleUnderline"/>
        </w:rPr>
        <w:t xml:space="preserve"> because “</w:t>
      </w:r>
      <w:r w:rsidRPr="000006DE">
        <w:rPr>
          <w:rStyle w:val="StyleUnderline"/>
          <w:highlight w:val="cyan"/>
        </w:rPr>
        <w:t>the West” has</w:t>
      </w:r>
      <w:r w:rsidRPr="00FD1F7D">
        <w:rPr>
          <w:sz w:val="16"/>
        </w:rPr>
        <w:t xml:space="preserve"> always </w:t>
      </w:r>
      <w:r w:rsidRPr="000006DE">
        <w:rPr>
          <w:rStyle w:val="StyleUnderline"/>
          <w:highlight w:val="cyan"/>
        </w:rPr>
        <w:t>been too vague</w:t>
      </w:r>
      <w:r w:rsidRPr="00FD1F7D">
        <w:rPr>
          <w:sz w:val="16"/>
        </w:rPr>
        <w:t xml:space="preserve"> as </w:t>
      </w:r>
      <w:r w:rsidRPr="00673DD7">
        <w:rPr>
          <w:rStyle w:val="StyleUnderline"/>
        </w:rPr>
        <w:t xml:space="preserve">a signifier </w:t>
      </w:r>
      <w:r w:rsidRPr="000006DE">
        <w:rPr>
          <w:rStyle w:val="StyleUnderline"/>
          <w:highlight w:val="cyan"/>
        </w:rPr>
        <w:t>to enable</w:t>
      </w:r>
      <w:r w:rsidRPr="00673DD7">
        <w:rPr>
          <w:rStyle w:val="StyleUnderline"/>
        </w:rPr>
        <w:t xml:space="preserve"> effective punishment, redress, or </w:t>
      </w:r>
      <w:r w:rsidRPr="000006DE">
        <w:rPr>
          <w:rStyle w:val="StyleUnderline"/>
          <w:highlight w:val="cyan"/>
        </w:rPr>
        <w:t>resistance</w:t>
      </w:r>
      <w:r w:rsidRPr="00673DD7">
        <w:rPr>
          <w:rStyle w:val="StyleUnderline"/>
        </w:rPr>
        <w:t>,</w:t>
      </w:r>
      <w:r w:rsidRPr="00FD1F7D">
        <w:rPr>
          <w:sz w:val="16"/>
        </w:rPr>
        <w:t xml:space="preserve"> but more impor- tantly because global dynamics in the twenty-first century have rapidly rendered the presumption of its singular colonial dominance an antiquity. The ethos of nations more and less specifically indicted by terms such as “the West” are being radically changed by mass migration and communication technologies. Simultaneously, the global reach of the United States and Western European states is now substantially contested physically and symbolically by other loci of power. Control through physical force is exercised by other powers in geographic spaces such as Afghanistan, Crimea, Hong Kong, Myanmar, and South Africa. Symbolic subversion of the “West”/other binary happens with the rise of the (equally problematic) binary of “North versus South,” which may indeed correctly locate China among the imperialists, but almost never with direct address of that factor. Pakistan is emblematic of these shifts, as China’s “Belt and Road” Project has made China a powerful economic actor there, with growing political entailments and economic neocolonialism.</w:t>
      </w:r>
    </w:p>
    <w:p w14:paraId="24860FD1" w14:textId="77777777" w:rsidR="00AC7390" w:rsidRPr="00FD1F7D" w:rsidRDefault="00AC7390" w:rsidP="00AC7390">
      <w:pPr>
        <w:rPr>
          <w:sz w:val="16"/>
        </w:rPr>
      </w:pPr>
      <w:r w:rsidRPr="00FD1F7D">
        <w:rPr>
          <w:sz w:val="16"/>
        </w:rPr>
        <w:t xml:space="preserve">These ongoing global shifts make visible how </w:t>
      </w:r>
      <w:r w:rsidRPr="000006DE">
        <w:rPr>
          <w:rStyle w:val="StyleUnderline"/>
          <w:highlight w:val="cyan"/>
        </w:rPr>
        <w:t>merely renarrating</w:t>
      </w:r>
      <w:r w:rsidRPr="00673DD7">
        <w:rPr>
          <w:rStyle w:val="StyleUnderline"/>
        </w:rPr>
        <w:t xml:space="preserve"> the specific </w:t>
      </w:r>
      <w:r w:rsidRPr="000006DE">
        <w:rPr>
          <w:rStyle w:val="StyleUnderline"/>
          <w:highlight w:val="cyan"/>
        </w:rPr>
        <w:t>evils</w:t>
      </w:r>
      <w:r w:rsidRPr="00673DD7">
        <w:rPr>
          <w:rStyle w:val="StyleUnderline"/>
        </w:rPr>
        <w:t xml:space="preserve"> perpetrated </w:t>
      </w:r>
      <w:r w:rsidRPr="000006DE">
        <w:rPr>
          <w:rStyle w:val="StyleUnderline"/>
          <w:highlight w:val="cyan"/>
        </w:rPr>
        <w:t>by highly abstract agent designations encourages the mistaken assumption that eliminating</w:t>
      </w:r>
      <w:r w:rsidRPr="00673DD7">
        <w:rPr>
          <w:rStyle w:val="StyleUnderline"/>
        </w:rPr>
        <w:t xml:space="preserve"> the </w:t>
      </w:r>
      <w:r w:rsidRPr="000006DE">
        <w:rPr>
          <w:rStyle w:val="StyleUnderline"/>
          <w:highlight w:val="cyan"/>
        </w:rPr>
        <w:t>power</w:t>
      </w:r>
      <w:r w:rsidRPr="00673DD7">
        <w:rPr>
          <w:rStyle w:val="StyleUnderline"/>
        </w:rPr>
        <w:t xml:space="preserve"> of the West</w:t>
      </w:r>
      <w:r w:rsidRPr="00FD1F7D">
        <w:rPr>
          <w:sz w:val="16"/>
        </w:rPr>
        <w:t xml:space="preserve"> or North or any other specific entity </w:t>
      </w:r>
      <w:r w:rsidRPr="000006DE">
        <w:rPr>
          <w:rStyle w:val="StyleUnderline"/>
          <w:highlight w:val="cyan"/>
        </w:rPr>
        <w:t>will eliminate colonialism</w:t>
      </w:r>
      <w:r w:rsidRPr="00673DD7">
        <w:rPr>
          <w:rStyle w:val="StyleUnderline"/>
        </w:rPr>
        <w:t xml:space="preserve">. </w:t>
      </w:r>
      <w:r w:rsidRPr="00FD1F7D">
        <w:rPr>
          <w:sz w:val="16"/>
        </w:rPr>
        <w:t xml:space="preserve">With great sadness one should notice how </w:t>
      </w:r>
      <w:r w:rsidRPr="00673DD7">
        <w:rPr>
          <w:rStyle w:val="StyleUnderline"/>
        </w:rPr>
        <w:t xml:space="preserve">the history of humankind indicates </w:t>
      </w:r>
      <w:r w:rsidRPr="000006DE">
        <w:rPr>
          <w:rStyle w:val="StyleUnderline"/>
          <w:highlight w:val="cyan"/>
        </w:rPr>
        <w:t>the most likely outcome</w:t>
      </w:r>
      <w:r w:rsidRPr="00673DD7">
        <w:rPr>
          <w:rStyle w:val="StyleUnderline"/>
        </w:rPr>
        <w:t xml:space="preserve"> from merely eliminating one imperial power </w:t>
      </w:r>
      <w:r w:rsidRPr="000006DE">
        <w:rPr>
          <w:rStyle w:val="Emphasis"/>
          <w:highlight w:val="cyan"/>
        </w:rPr>
        <w:t>would be the rise of a replacement colonizer</w:t>
      </w:r>
      <w:r w:rsidRPr="000006DE">
        <w:rPr>
          <w:rStyle w:val="StyleUnderline"/>
          <w:highlight w:val="cyan"/>
        </w:rPr>
        <w:t>(s)</w:t>
      </w:r>
      <w:r w:rsidRPr="000006DE">
        <w:rPr>
          <w:sz w:val="16"/>
          <w:highlight w:val="cyan"/>
        </w:rPr>
        <w:t xml:space="preserve">. </w:t>
      </w:r>
      <w:r w:rsidRPr="000006DE">
        <w:rPr>
          <w:rStyle w:val="StyleUnderline"/>
          <w:highlight w:val="cyan"/>
        </w:rPr>
        <w:t>To eliminate the problems of colonialism requires focusing on the forces that have</w:t>
      </w:r>
      <w:r w:rsidRPr="00FD1F7D">
        <w:rPr>
          <w:sz w:val="16"/>
        </w:rPr>
        <w:t xml:space="preserve"> repeatedly </w:t>
      </w:r>
      <w:r w:rsidRPr="000006DE">
        <w:rPr>
          <w:rStyle w:val="StyleUnderline"/>
          <w:highlight w:val="cyan"/>
        </w:rPr>
        <w:t>reproduced colonial relations</w:t>
      </w:r>
      <w:r w:rsidRPr="00FD1F7D">
        <w:rPr>
          <w:sz w:val="16"/>
        </w:rPr>
        <w:t xml:space="preserve"> through human history around the globe. </w:t>
      </w:r>
      <w:r w:rsidRPr="00673DD7">
        <w:rPr>
          <w:rStyle w:val="StyleUnderline"/>
        </w:rPr>
        <w:t xml:space="preserve">Casting </w:t>
      </w:r>
      <w:r w:rsidRPr="000006DE">
        <w:rPr>
          <w:rStyle w:val="StyleUnderline"/>
          <w:highlight w:val="cyan"/>
        </w:rPr>
        <w:t>moral blame</w:t>
      </w:r>
      <w:r w:rsidRPr="00FD1F7D">
        <w:rPr>
          <w:sz w:val="16"/>
        </w:rPr>
        <w:t xml:space="preserve"> on current and past colonizers may be warranted, but the emotional appeal of that emphasis </w:t>
      </w:r>
      <w:r w:rsidRPr="00673DD7">
        <w:rPr>
          <w:rStyle w:val="StyleUnderline"/>
        </w:rPr>
        <w:t xml:space="preserve">tends to </w:t>
      </w:r>
      <w:r w:rsidRPr="000006DE">
        <w:rPr>
          <w:rStyle w:val="StyleUnderline"/>
          <w:highlight w:val="cyan"/>
        </w:rPr>
        <w:t>miscast repudiation</w:t>
      </w:r>
      <w:r w:rsidRPr="00673DD7">
        <w:rPr>
          <w:rStyle w:val="StyleUnderline"/>
        </w:rPr>
        <w:t xml:space="preserve"> of the specific colonizers </w:t>
      </w:r>
      <w:r w:rsidRPr="000006DE">
        <w:rPr>
          <w:rStyle w:val="StyleUnderline"/>
          <w:highlight w:val="cyan"/>
        </w:rPr>
        <w:t>as a sufficient goal</w:t>
      </w:r>
      <w:r w:rsidRPr="00673DD7">
        <w:rPr>
          <w:rStyle w:val="StyleUnderline"/>
        </w:rPr>
        <w:t xml:space="preserve">. </w:t>
      </w:r>
      <w:r w:rsidRPr="00FD1F7D">
        <w:rPr>
          <w:sz w:val="16"/>
        </w:rPr>
        <w:t>A more effective directional beacon would guide attention to the processes needed for the remaking of global relations into egalitarian but still diverse world flows. From a constructivist perspective, such an aim must be materialized through discursive actions that practice the weaving of that aim to produce its expansion.</w:t>
      </w:r>
    </w:p>
    <w:p w14:paraId="46199087" w14:textId="77777777" w:rsidR="00AC7390" w:rsidRPr="00FD1F7D" w:rsidRDefault="00AC7390" w:rsidP="00AC7390">
      <w:pPr>
        <w:rPr>
          <w:sz w:val="16"/>
        </w:rPr>
      </w:pPr>
      <w:r w:rsidRPr="00FD1F7D">
        <w:rPr>
          <w:sz w:val="16"/>
        </w:rPr>
        <w:t>We therefore model an additional practice to the repetition of the vivid narrative of blameand-resistance named by Aschroft and others as “post-colonial transformation.” We suggest that “anti-colonial transformative practice” be constituted through shared dialogs among people from a globe not sufficiently defined by the binary of “indigene” and “colonizer.” This binary is insufficient for two reasons. First, in many global regions the term Indigenous does not capture the same dynamics as assumed in its application to the bicontinental ideological context in the Americas. Around the globe, deep histories of many waves of migrations belie the awarding of the status of “the indigene” to any singular group; consequently, disputes over indigeneity tend to fuel war and even genocide</w:t>
      </w:r>
    </w:p>
    <w:p w14:paraId="5DCA6F72" w14:textId="77777777" w:rsidR="00AC7390" w:rsidRPr="00FD1F7D" w:rsidRDefault="00AC7390" w:rsidP="00AC7390">
      <w:pPr>
        <w:rPr>
          <w:sz w:val="16"/>
        </w:rPr>
      </w:pPr>
      <w:r w:rsidRPr="00FD1F7D">
        <w:rPr>
          <w:sz w:val="16"/>
        </w:rPr>
        <w:t>Pakistan is an excellent example of these historical dynamics. Current internal relationships among its diverse ethnic and linguistic groups reflect the many waves of different groups by which the area has been ruled, including Persians (the sixth century BCE), Alexander the Great (fourth century BCE), Indo-Greeks (second century BCE), and Arabic-led Muslims (beginning in the eighth century CE). Against this long history, the British in the nineteenth century do not stand out as a singularity, but rather as a member of a series. If today China is not using military means to seek control of Pakistan but rather taking a page from the modern mode of imperialism delineated and reviled in Michael Hardt and Antonio Negri’s Empire, that should hardly reassure one that having thrown out the British and then “the West” will be sufficient to guarantee self control to the peoples of the contemporary nation-state of Pakistan. China’s approach threatens instead merely to add the latest power to the long series of external agents who have acted as colonizers.</w:t>
      </w:r>
    </w:p>
    <w:p w14:paraId="3A22518A" w14:textId="77777777" w:rsidR="00AC7390" w:rsidRPr="00FD1F7D" w:rsidRDefault="00AC7390" w:rsidP="00AC7390">
      <w:pPr>
        <w:rPr>
          <w:sz w:val="16"/>
        </w:rPr>
      </w:pPr>
      <w:r w:rsidRPr="00FD1F7D">
        <w:rPr>
          <w:sz w:val="16"/>
        </w:rPr>
        <w:t>A second problem in the standard narrative arises on the opposite side. If one is to maintain openness to immigrants, it is problematic to sacralize indigeneity. Today, as transnational scholarship emphasizes, the limits on and structuration of global mobility are perhaps more productive concerns than an inevitably mythologized (if polarized) deep past (Al-Khateeb). Pakistan is again instructive. This relatively young nation-state (constituted in 1947) has over three million immigrants and is the 13th ranked receiver of migrants in the world (predominantly from Afghanistan). Immigrants to Pakistan generally are not eligible for citizenship. Pakistan is also a source of emigres. Almost nine million Pakistanis live outside of Pakistan, three-quarters in Gulf states, with the United Kingdom being the third largest destination nation. Over a half a million live in the United States. It is not surprising, therefore, that writers of the Pakistani diaspora provide one of the richest global resources of fictional explorations of the dynamics of migration, which are entwined with the violent clashes relating to Islam around the globe.</w:t>
      </w:r>
    </w:p>
    <w:p w14:paraId="519EEEE7" w14:textId="77777777" w:rsidR="00AC7390" w:rsidRPr="00FD1F7D" w:rsidRDefault="00AC7390" w:rsidP="00AC7390">
      <w:pPr>
        <w:rPr>
          <w:sz w:val="16"/>
        </w:rPr>
      </w:pPr>
      <w:r w:rsidRPr="00FD1F7D">
        <w:rPr>
          <w:sz w:val="16"/>
        </w:rPr>
        <w:t>As theorists of diaspora have noted, anticolonialism will be less productive, perhaps even counterproductive, if it frames its vision from the model of the nineteenth and twentieth centuries, where nation-state boundaries more thoroughly and neatly demarcated global iden- tities. In our more mobile world, what can and should scholars do to forward transformation along alternate lines?</w:t>
      </w:r>
    </w:p>
    <w:p w14:paraId="593FF09A" w14:textId="77777777" w:rsidR="00AC7390" w:rsidRPr="00FD1F7D" w:rsidRDefault="00AC7390" w:rsidP="00AC7390">
      <w:pPr>
        <w:rPr>
          <w:sz w:val="16"/>
        </w:rPr>
      </w:pPr>
      <w:r w:rsidRPr="00FD1F7D">
        <w:rPr>
          <w:sz w:val="16"/>
        </w:rPr>
        <w:t>Transformational Dialog as Scholarly Practice We suggest that scholars should participate in constructing globalized dialogs (or multilogs) as a common and recognized element of academic practice. This suggestion requires two theoretical moves. First, it requires endorsing the growing literature on scholarship as a material “practice.” We suggest that dialogs should be recognized as crucial practices for transformation, which is to say they are a legitimate kind of academic “making.” In this we follow interdisciplinary scholars such as Latour and rhetorical scholars such as Pender as well as Gronvoll and Landau. Their focus on an academic practice of “making” accords with postcolonial imperatives, as Ashcroft (Postcolonial Transformation 5) writes, “‘resistance’ can be truly effective, that is, can avoid simply replacing one tyranny with another, only when it creates rather than simply defends.” The second theoretical move this project requires is to recenter the already well-developed concept of dialog, especially by high- lighting the inherently transactional theoretical assumptions underlying dialog as contrasted with the essentializing notions of the “expression” of “voice.”</w:t>
      </w:r>
    </w:p>
    <w:p w14:paraId="04FE383D" w14:textId="77777777" w:rsidR="00AC7390" w:rsidRPr="00673DD7" w:rsidRDefault="00AC7390" w:rsidP="00AC7390">
      <w:pPr>
        <w:rPr>
          <w:rStyle w:val="StyleUnderline"/>
        </w:rPr>
      </w:pPr>
      <w:r w:rsidRPr="00FD1F7D">
        <w:rPr>
          <w:sz w:val="16"/>
        </w:rPr>
        <w:t xml:space="preserve">Research recommending “difficult dialogs” has already laid the foundational practice necessary for more effectively including previously repressed voices in transformational processes. </w:t>
      </w:r>
      <w:r w:rsidRPr="00673DD7">
        <w:rPr>
          <w:rStyle w:val="StyleUnderline"/>
        </w:rPr>
        <w:t>Pioneering scholars</w:t>
      </w:r>
      <w:r w:rsidRPr="00FD1F7D">
        <w:rPr>
          <w:sz w:val="16"/>
        </w:rPr>
        <w:t xml:space="preserve"> such as Marsha Houston </w:t>
      </w:r>
      <w:r w:rsidRPr="00673DD7">
        <w:rPr>
          <w:rStyle w:val="StyleUnderline"/>
        </w:rPr>
        <w:t xml:space="preserve">employed the term </w:t>
      </w:r>
      <w:r w:rsidRPr="00A74956">
        <w:rPr>
          <w:rStyle w:val="StyleUnderline"/>
        </w:rPr>
        <w:t>“difficult dialogs” to emphasize the importance of</w:t>
      </w:r>
      <w:r w:rsidRPr="00A74956">
        <w:rPr>
          <w:sz w:val="16"/>
        </w:rPr>
        <w:t xml:space="preserve"> such </w:t>
      </w:r>
      <w:r w:rsidRPr="00A74956">
        <w:rPr>
          <w:rStyle w:val="StyleUnderline"/>
        </w:rPr>
        <w:t>interactions because they enable people to hear what we do not want to hear,</w:t>
      </w:r>
      <w:r w:rsidRPr="00A74956">
        <w:rPr>
          <w:sz w:val="16"/>
        </w:rPr>
        <w:t xml:space="preserve"> noting that listening to voices different from our own, voices with different problems from our own, tends to threaten our identity, asking us to give up things that we might not wish to relinquish. </w:t>
      </w:r>
      <w:r w:rsidRPr="00A74956">
        <w:rPr>
          <w:rStyle w:val="StyleUnderline"/>
        </w:rPr>
        <w:t>For the purposes of a transformational</w:t>
      </w:r>
      <w:r w:rsidRPr="00A74956">
        <w:rPr>
          <w:sz w:val="16"/>
        </w:rPr>
        <w:t xml:space="preserve"> approach to </w:t>
      </w:r>
      <w:r w:rsidRPr="00A74956">
        <w:rPr>
          <w:rStyle w:val="StyleUnderline"/>
        </w:rPr>
        <w:t>global re-making</w:t>
      </w:r>
      <w:r w:rsidRPr="00A74956">
        <w:rPr>
          <w:sz w:val="16"/>
        </w:rPr>
        <w:t xml:space="preserve">, however, </w:t>
      </w:r>
      <w:r w:rsidRPr="00A74956">
        <w:rPr>
          <w:rStyle w:val="StyleUnderline"/>
        </w:rPr>
        <w:t xml:space="preserve">it is important to distinguish one highly popular practice that has developed out of the concept of “difficult dialogs” from the approach we are employing. </w:t>
      </w:r>
      <w:r w:rsidRPr="000006DE">
        <w:rPr>
          <w:rStyle w:val="StyleUnderline"/>
          <w:highlight w:val="cyan"/>
        </w:rPr>
        <w:t>A relatively common appropriation of</w:t>
      </w:r>
      <w:r w:rsidRPr="00A74956">
        <w:rPr>
          <w:rStyle w:val="StyleUnderline"/>
        </w:rPr>
        <w:t xml:space="preserve"> the “</w:t>
      </w:r>
      <w:r w:rsidRPr="000006DE">
        <w:rPr>
          <w:rStyle w:val="StyleUnderline"/>
          <w:highlight w:val="cyan"/>
        </w:rPr>
        <w:t>difficult dialogs</w:t>
      </w:r>
      <w:r w:rsidRPr="00A74956">
        <w:rPr>
          <w:rStyle w:val="StyleUnderline"/>
        </w:rPr>
        <w:t xml:space="preserve">” frame actually </w:t>
      </w:r>
      <w:r w:rsidRPr="000006DE">
        <w:rPr>
          <w:rStyle w:val="StyleUnderline"/>
          <w:highlight w:val="cyan"/>
        </w:rPr>
        <w:t xml:space="preserve">recommends what might better be labeled as </w:t>
      </w:r>
      <w:r w:rsidRPr="000006DE">
        <w:rPr>
          <w:rStyle w:val="Emphasis"/>
          <w:highlight w:val="cyan"/>
        </w:rPr>
        <w:t>a didactic conversation</w:t>
      </w:r>
      <w:r w:rsidRPr="000006DE">
        <w:rPr>
          <w:sz w:val="16"/>
          <w:highlight w:val="cyan"/>
        </w:rPr>
        <w:t xml:space="preserve">. </w:t>
      </w:r>
      <w:r w:rsidRPr="000006DE">
        <w:rPr>
          <w:rStyle w:val="StyleUnderline"/>
          <w:highlight w:val="cyan"/>
        </w:rPr>
        <w:t xml:space="preserve">In that approach, </w:t>
      </w:r>
      <w:r w:rsidRPr="00A74956">
        <w:rPr>
          <w:rStyle w:val="StyleUnderline"/>
        </w:rPr>
        <w:t xml:space="preserve">a difficult </w:t>
      </w:r>
      <w:r w:rsidRPr="000006DE">
        <w:rPr>
          <w:rStyle w:val="StyleUnderline"/>
          <w:highlight w:val="cyan"/>
        </w:rPr>
        <w:t>dialog is presumed to require simply the foregrounding of the voice of</w:t>
      </w:r>
      <w:r w:rsidRPr="00673DD7">
        <w:rPr>
          <w:rStyle w:val="StyleUnderline"/>
        </w:rPr>
        <w:t xml:space="preserve"> some group cast as </w:t>
      </w:r>
      <w:r w:rsidRPr="000006DE">
        <w:rPr>
          <w:rStyle w:val="StyleUnderline"/>
          <w:highlight w:val="cyan"/>
        </w:rPr>
        <w:t>oppressed and the listening by</w:t>
      </w:r>
      <w:r w:rsidRPr="00673DD7">
        <w:rPr>
          <w:rStyle w:val="StyleUnderline"/>
        </w:rPr>
        <w:t xml:space="preserve"> those cast as </w:t>
      </w:r>
      <w:r w:rsidRPr="000006DE">
        <w:rPr>
          <w:rStyle w:val="StyleUnderline"/>
          <w:highlight w:val="cyan"/>
        </w:rPr>
        <w:t>oppressors</w:t>
      </w:r>
      <w:r w:rsidRPr="00FD1F7D">
        <w:rPr>
          <w:sz w:val="16"/>
        </w:rPr>
        <w:t xml:space="preserve">. Karma </w:t>
      </w:r>
      <w:r w:rsidRPr="00673DD7">
        <w:rPr>
          <w:rStyle w:val="StyleUnderline"/>
        </w:rPr>
        <w:t>Chavez</w:t>
      </w:r>
      <w:r w:rsidRPr="00FD1F7D">
        <w:rPr>
          <w:sz w:val="16"/>
        </w:rPr>
        <w:t>, for example</w:t>
      </w:r>
      <w:r w:rsidRPr="00673DD7">
        <w:rPr>
          <w:rStyle w:val="StyleUnderline"/>
        </w:rPr>
        <w:t>, has written, “[U] ntil we can have dialogue across lives of difference where those most marginalized have a primary voice, and those with privilege listen, no legitimate social change can be expected” (</w:t>
      </w:r>
      <w:r w:rsidRPr="00FD1F7D">
        <w:rPr>
          <w:sz w:val="16"/>
        </w:rPr>
        <w:t xml:space="preserve">46). </w:t>
      </w:r>
      <w:r w:rsidRPr="000006DE">
        <w:rPr>
          <w:rStyle w:val="StyleUnderline"/>
          <w:highlight w:val="cyan"/>
        </w:rPr>
        <w:t xml:space="preserve">Such a framework envisions </w:t>
      </w:r>
      <w:r w:rsidRPr="00A74956">
        <w:rPr>
          <w:rStyle w:val="StyleUnderline"/>
        </w:rPr>
        <w:t xml:space="preserve">something like </w:t>
      </w:r>
      <w:r w:rsidRPr="000006DE">
        <w:rPr>
          <w:rStyle w:val="StyleUnderline"/>
          <w:highlight w:val="cyan"/>
        </w:rPr>
        <w:t>a well-deserved lecture.</w:t>
      </w:r>
    </w:p>
    <w:p w14:paraId="27C02C0B" w14:textId="77777777" w:rsidR="00AC7390" w:rsidRPr="00FD1F7D" w:rsidRDefault="00AC7390" w:rsidP="00AC7390">
      <w:pPr>
        <w:rPr>
          <w:sz w:val="16"/>
        </w:rPr>
      </w:pPr>
      <w:r w:rsidRPr="000006DE">
        <w:rPr>
          <w:rStyle w:val="StyleUnderline"/>
          <w:highlight w:val="cyan"/>
        </w:rPr>
        <w:t>This</w:t>
      </w:r>
      <w:r w:rsidRPr="00673DD7">
        <w:rPr>
          <w:rStyle w:val="StyleUnderline"/>
        </w:rPr>
        <w:t xml:space="preserve"> one-way </w:t>
      </w:r>
      <w:r w:rsidRPr="000006DE">
        <w:rPr>
          <w:rStyle w:val="StyleUnderline"/>
          <w:highlight w:val="cyan"/>
        </w:rPr>
        <w:t>understanding</w:t>
      </w:r>
      <w:r w:rsidRPr="00673DD7">
        <w:rPr>
          <w:rStyle w:val="StyleUnderline"/>
        </w:rPr>
        <w:t xml:space="preserve"> of what “difficult dialogs” entails is highly common</w:t>
      </w:r>
      <w:r w:rsidRPr="00FD1F7D">
        <w:rPr>
          <w:sz w:val="16"/>
        </w:rPr>
        <w:t xml:space="preserve"> (and the practice is often important). The most vivid example might be signaled by the title of a handbook of the Difficult Dialogs project, </w:t>
      </w:r>
      <w:r w:rsidRPr="00673DD7">
        <w:rPr>
          <w:rStyle w:val="StyleUnderline"/>
        </w:rPr>
        <w:t>Stop Talking</w:t>
      </w:r>
      <w:r w:rsidRPr="00FD1F7D">
        <w:rPr>
          <w:sz w:val="16"/>
        </w:rPr>
        <w:t xml:space="preserve"> (Merculieff and Roderick), which </w:t>
      </w:r>
      <w:r w:rsidRPr="000006DE">
        <w:rPr>
          <w:rStyle w:val="StyleUnderline"/>
          <w:highlight w:val="cyan"/>
        </w:rPr>
        <w:t>sought to promote</w:t>
      </w:r>
      <w:r w:rsidRPr="00673DD7">
        <w:rPr>
          <w:rStyle w:val="StyleUnderline"/>
        </w:rPr>
        <w:t xml:space="preserve"> greater </w:t>
      </w:r>
      <w:r w:rsidRPr="000006DE">
        <w:rPr>
          <w:rStyle w:val="StyleUnderline"/>
          <w:highlight w:val="cyan"/>
        </w:rPr>
        <w:t>listening to the voices of Indigenous peoples</w:t>
      </w:r>
      <w:r w:rsidRPr="00FD1F7D">
        <w:rPr>
          <w:sz w:val="16"/>
        </w:rPr>
        <w:t xml:space="preserve">. Other recent examples include the description by Loschiavo, Miller, and Davies of their project to use “difficult dialogs” with young males “to develop or enhance their awareness of the impact of male power and privilege (193).” </w:t>
      </w:r>
      <w:r w:rsidRPr="000006DE">
        <w:rPr>
          <w:rStyle w:val="StyleUnderline"/>
          <w:highlight w:val="cyan"/>
        </w:rPr>
        <w:t>Their</w:t>
      </w:r>
      <w:r w:rsidRPr="00673DD7">
        <w:rPr>
          <w:rStyle w:val="StyleUnderline"/>
        </w:rPr>
        <w:t xml:space="preserve"> pedagogical </w:t>
      </w:r>
      <w:r w:rsidRPr="000006DE">
        <w:rPr>
          <w:rStyle w:val="StyleUnderline"/>
          <w:highlight w:val="cyan"/>
        </w:rPr>
        <w:t>goal is</w:t>
      </w:r>
      <w:r w:rsidRPr="00673DD7">
        <w:rPr>
          <w:rStyle w:val="StyleUnderline"/>
        </w:rPr>
        <w:t xml:space="preserve"> not to produce</w:t>
      </w:r>
      <w:r w:rsidRPr="00FD1F7D">
        <w:rPr>
          <w:sz w:val="16"/>
        </w:rPr>
        <w:t xml:space="preserve"> novel </w:t>
      </w:r>
      <w:r w:rsidRPr="00673DD7">
        <w:rPr>
          <w:rStyle w:val="StyleUnderline"/>
        </w:rPr>
        <w:t xml:space="preserve">shared understandings, but </w:t>
      </w:r>
      <w:r w:rsidRPr="000006DE">
        <w:rPr>
          <w:rStyle w:val="StyleUnderline"/>
          <w:highlight w:val="cyan"/>
        </w:rPr>
        <w:t>to teach a specific perspective</w:t>
      </w:r>
      <w:r w:rsidRPr="00FD1F7D">
        <w:rPr>
          <w:sz w:val="16"/>
        </w:rPr>
        <w:t xml:space="preserve"> to the young male participants in the conversation. These authors classify contributions of male discussants that do not agree with their perspectives as rationalizing and deflecting (196), thereby dismissing those contribu- tions as out of line with the pedagogical goal</w:t>
      </w:r>
    </w:p>
    <w:p w14:paraId="12665819" w14:textId="77777777" w:rsidR="00AC7390" w:rsidRPr="00FD1F7D" w:rsidRDefault="00AC7390" w:rsidP="00AC7390">
      <w:pPr>
        <w:rPr>
          <w:sz w:val="16"/>
        </w:rPr>
      </w:pPr>
      <w:r w:rsidRPr="00FD1F7D">
        <w:rPr>
          <w:sz w:val="16"/>
        </w:rPr>
        <w:t>We do not object to using conversational engagement in this didactic way (as teachers ourselves, it would be hypocritical to advance such an objection). We are instead calling attention to the difference between such difficult but didactically oriented conversations and dialogs that presume all the parties involved will constitute a new reality together, rather than extend the adoption of the reality of the conveners. The frame “difficult dialogs” has perhaps become more closely identified with the latter because it has been associated with such didactic conversations on a wide range of topics. Lucy LePeau, for example, in reporting on her use of the “difficult dialogs” format in her course on Queer(y)ing Religion and Spirituality, likewise dismissed disagreements with her perspective as “false envy” or “denial, deflection, and principium” (188). Didactic uses of conversation about racism are also labeled as “difficult dialogues” by Srividya Ramasubramanian et al. Though it is common, the didactic or oneway approach does not constitute a necessary set of assumptions behind difficult dialogs, as is reflected in the “Best Practices for Facilitating Difficult Dialogues” offered by Kristina Ruiz-Mesa and Karla Hunter.</w:t>
      </w:r>
    </w:p>
    <w:p w14:paraId="7B4E7019" w14:textId="77777777" w:rsidR="00AC7390" w:rsidRPr="00FD1F7D" w:rsidRDefault="00AC7390" w:rsidP="00AC7390">
      <w:pPr>
        <w:rPr>
          <w:sz w:val="16"/>
        </w:rPr>
      </w:pPr>
      <w:r w:rsidRPr="00673DD7">
        <w:rPr>
          <w:rStyle w:val="StyleUnderline"/>
        </w:rPr>
        <w:t xml:space="preserve">The massively </w:t>
      </w:r>
      <w:r w:rsidRPr="00A74956">
        <w:rPr>
          <w:rStyle w:val="StyleUnderline"/>
        </w:rPr>
        <w:t>unequal distributions of power</w:t>
      </w:r>
      <w:r w:rsidRPr="00673DD7">
        <w:rPr>
          <w:rStyle w:val="StyleUnderline"/>
        </w:rPr>
        <w:t xml:space="preserve"> in the world might lead to foregrounding a didactic approach in global conversations because </w:t>
      </w:r>
      <w:r w:rsidRPr="000006DE">
        <w:rPr>
          <w:rStyle w:val="StyleUnderline"/>
          <w:highlight w:val="cyan"/>
        </w:rPr>
        <w:t>disparities in power</w:t>
      </w:r>
      <w:r w:rsidRPr="00673DD7">
        <w:rPr>
          <w:rStyle w:val="StyleUnderline"/>
        </w:rPr>
        <w:t xml:space="preserve"> readily </w:t>
      </w:r>
      <w:r w:rsidRPr="000006DE">
        <w:rPr>
          <w:rStyle w:val="Emphasis"/>
          <w:highlight w:val="cyan"/>
        </w:rPr>
        <w:t>foster the impression that social change simply requires allowing the oppressed to speak.</w:t>
      </w:r>
      <w:r w:rsidRPr="000006DE">
        <w:rPr>
          <w:sz w:val="16"/>
          <w:highlight w:val="cyan"/>
        </w:rPr>
        <w:t xml:space="preserve"> </w:t>
      </w:r>
      <w:r w:rsidRPr="000006DE">
        <w:rPr>
          <w:rStyle w:val="StyleUnderline"/>
          <w:highlight w:val="cyan"/>
        </w:rPr>
        <w:t>Once the repressed</w:t>
      </w:r>
      <w:r w:rsidRPr="00673DD7">
        <w:rPr>
          <w:rStyle w:val="StyleUnderline"/>
        </w:rPr>
        <w:t xml:space="preserve"> side of things </w:t>
      </w:r>
      <w:r w:rsidRPr="000006DE">
        <w:rPr>
          <w:rStyle w:val="StyleUnderline"/>
          <w:highlight w:val="cyan"/>
        </w:rPr>
        <w:t>is heard</w:t>
      </w:r>
      <w:r w:rsidRPr="00673DD7">
        <w:rPr>
          <w:rStyle w:val="StyleUnderline"/>
        </w:rPr>
        <w:t xml:space="preserve">, the truth will out and </w:t>
      </w:r>
      <w:r w:rsidRPr="000006DE">
        <w:rPr>
          <w:rStyle w:val="StyleUnderline"/>
          <w:highlight w:val="cyan"/>
        </w:rPr>
        <w:t>things will be corrected! Such an assumption</w:t>
      </w:r>
      <w:r w:rsidRPr="00FD1F7D">
        <w:rPr>
          <w:sz w:val="16"/>
        </w:rPr>
        <w:t xml:space="preserve">, however, </w:t>
      </w:r>
      <w:r w:rsidRPr="00673DD7">
        <w:rPr>
          <w:rStyle w:val="StyleUnderline"/>
        </w:rPr>
        <w:t>rests on theories of discourse</w:t>
      </w:r>
      <w:r w:rsidRPr="00FD1F7D">
        <w:rPr>
          <w:sz w:val="16"/>
        </w:rPr>
        <w:t xml:space="preserve"> </w:t>
      </w:r>
      <w:r w:rsidRPr="00673DD7">
        <w:rPr>
          <w:rStyle w:val="Emphasis"/>
        </w:rPr>
        <w:t xml:space="preserve">that </w:t>
      </w:r>
      <w:r w:rsidRPr="000006DE">
        <w:rPr>
          <w:rStyle w:val="Emphasis"/>
          <w:highlight w:val="cyan"/>
        </w:rPr>
        <w:t>fail to understand the fundamental ways in which being human is inherently dynamic and intersubjective</w:t>
      </w:r>
      <w:r w:rsidRPr="00FD1F7D">
        <w:rPr>
          <w:sz w:val="16"/>
        </w:rPr>
        <w:t xml:space="preserve">. </w:t>
      </w:r>
      <w:r w:rsidRPr="00673DD7">
        <w:rPr>
          <w:rStyle w:val="StyleUnderline"/>
        </w:rPr>
        <w:t>The expression-oriented perspective implies that if everyone gets a turn to express themselves, then everything will be fairly described and therefore everyone’s fair needs will be seen and met. Critiques of the essentialization of ethnic identities that underlie such an approach go back</w:t>
      </w:r>
      <w:r w:rsidRPr="00FD1F7D">
        <w:rPr>
          <w:sz w:val="16"/>
        </w:rPr>
        <w:t xml:space="preserve"> at least to Gloria Anzaldúa’s poignant essay, “La Prieta.” </w:t>
      </w:r>
      <w:r w:rsidRPr="000006DE">
        <w:rPr>
          <w:rStyle w:val="Emphasis"/>
          <w:highlight w:val="cyan"/>
        </w:rPr>
        <w:t>However</w:t>
      </w:r>
      <w:r w:rsidRPr="00FD1F7D">
        <w:rPr>
          <w:sz w:val="16"/>
        </w:rPr>
        <w:t xml:space="preserve">, even those critiques tend to empha- size a speaker’s positionality in isolation (even if it is an intersectional positionality). They posit the meaning or effects of speaking or writing as though they could be disengaged from the identities of those who are projected as intended or actual receivers of the discourse. Instead, as </w:t>
      </w:r>
      <w:r w:rsidRPr="00673DD7">
        <w:rPr>
          <w:rStyle w:val="StyleUnderline"/>
        </w:rPr>
        <w:t xml:space="preserve">even </w:t>
      </w:r>
      <w:r w:rsidRPr="00A74956">
        <w:rPr>
          <w:rStyle w:val="Emphasis"/>
        </w:rPr>
        <w:t xml:space="preserve">basic textbooks on </w:t>
      </w:r>
      <w:r w:rsidRPr="000006DE">
        <w:rPr>
          <w:rStyle w:val="Emphasis"/>
          <w:highlight w:val="cyan"/>
        </w:rPr>
        <w:t>human communication</w:t>
      </w:r>
      <w:r w:rsidRPr="00673DD7">
        <w:rPr>
          <w:rStyle w:val="Emphasis"/>
        </w:rPr>
        <w:t xml:space="preserve"> emphasize, human </w:t>
      </w:r>
      <w:r w:rsidRPr="00A74956">
        <w:rPr>
          <w:rStyle w:val="Emphasis"/>
        </w:rPr>
        <w:t xml:space="preserve">discourse </w:t>
      </w:r>
      <w:r w:rsidRPr="000006DE">
        <w:rPr>
          <w:rStyle w:val="Emphasis"/>
          <w:highlight w:val="cyan"/>
        </w:rPr>
        <w:t>is not a series of linear boxes, in which</w:t>
      </w:r>
      <w:r w:rsidRPr="00673DD7">
        <w:rPr>
          <w:rStyle w:val="Emphasis"/>
        </w:rPr>
        <w:t xml:space="preserve"> autonomous </w:t>
      </w:r>
      <w:r w:rsidRPr="000006DE">
        <w:rPr>
          <w:rStyle w:val="Emphasis"/>
          <w:highlight w:val="cyan"/>
        </w:rPr>
        <w:t>individuals take turns making</w:t>
      </w:r>
      <w:r w:rsidRPr="00673DD7">
        <w:rPr>
          <w:rStyle w:val="Emphasis"/>
        </w:rPr>
        <w:t xml:space="preserve"> isolated </w:t>
      </w:r>
      <w:r w:rsidRPr="000006DE">
        <w:rPr>
          <w:rStyle w:val="Emphasis"/>
          <w:highlight w:val="cyan"/>
        </w:rPr>
        <w:t>pronouncements. Discourse is transactional</w:t>
      </w:r>
      <w:r w:rsidRPr="00FD1F7D">
        <w:rPr>
          <w:sz w:val="16"/>
        </w:rPr>
        <w:t>. One does not simply “express one’s self”; in formulating “what to say” one is already anticipating the potential response of the other(s) with whom one seeks to speak in an ongoing flow of discourse that entails and remakes relationships (a “we” of greater or lesser shallowness). The act of engaging in discourse does not “express” a singular, stable, unified “voice”: it inevitably and constantly modifies the being of the participants.4</w:t>
      </w:r>
    </w:p>
    <w:p w14:paraId="0B2F780E" w14:textId="77777777" w:rsidR="00AC7390" w:rsidRPr="00FD1F7D" w:rsidRDefault="00AC7390" w:rsidP="00AC7390">
      <w:pPr>
        <w:rPr>
          <w:sz w:val="16"/>
        </w:rPr>
      </w:pPr>
      <w:r w:rsidRPr="00FD1F7D">
        <w:rPr>
          <w:sz w:val="16"/>
        </w:rPr>
        <w:t xml:space="preserve">Intellectual </w:t>
      </w:r>
      <w:r w:rsidRPr="000006DE">
        <w:rPr>
          <w:rStyle w:val="StyleUnderline"/>
          <w:highlight w:val="cyan"/>
        </w:rPr>
        <w:t>debates about identity are</w:t>
      </w:r>
      <w:r w:rsidRPr="00673DD7">
        <w:rPr>
          <w:rStyle w:val="StyleUnderline"/>
        </w:rPr>
        <w:t xml:space="preserve"> necessarily </w:t>
      </w:r>
      <w:r w:rsidRPr="000006DE">
        <w:rPr>
          <w:rStyle w:val="StyleUnderline"/>
          <w:highlight w:val="cyan"/>
        </w:rPr>
        <w:t>complicated and</w:t>
      </w:r>
      <w:r w:rsidRPr="00673DD7">
        <w:rPr>
          <w:rStyle w:val="StyleUnderline"/>
        </w:rPr>
        <w:t xml:space="preserve"> have been highly </w:t>
      </w:r>
      <w:r w:rsidRPr="000006DE">
        <w:rPr>
          <w:rStyle w:val="StyleUnderline"/>
          <w:highlight w:val="cyan"/>
        </w:rPr>
        <w:t>contested</w:t>
      </w:r>
      <w:r w:rsidRPr="00FD1F7D">
        <w:rPr>
          <w:sz w:val="16"/>
        </w:rPr>
        <w:t xml:space="preserve">. Most notably, these debates have pointed to reasons to strategically stabilize identities. However, the value of recognizing the transient, coconstructed, and never-sealed character of identities and interests remains crucial at the global level. At the very least, </w:t>
      </w:r>
      <w:r w:rsidRPr="000006DE">
        <w:rPr>
          <w:rStyle w:val="StyleUnderline"/>
          <w:highlight w:val="cyan"/>
        </w:rPr>
        <w:t xml:space="preserve">eight billion people living together on a </w:t>
      </w:r>
      <w:r w:rsidRPr="000006DE">
        <w:rPr>
          <w:rStyle w:val="Emphasis"/>
          <w:highlight w:val="cyan"/>
        </w:rPr>
        <w:t>planet in a nonviolent mode requires</w:t>
      </w:r>
      <w:r w:rsidRPr="00FD1F7D">
        <w:rPr>
          <w:sz w:val="16"/>
        </w:rPr>
        <w:t xml:space="preserve"> some minimum interaction such as </w:t>
      </w:r>
      <w:r w:rsidRPr="000006DE">
        <w:rPr>
          <w:rStyle w:val="Emphasis"/>
          <w:highlight w:val="cyan"/>
        </w:rPr>
        <w:t>negotiation</w:t>
      </w:r>
      <w:r w:rsidRPr="00FD1F7D">
        <w:rPr>
          <w:sz w:val="16"/>
        </w:rPr>
        <w:t xml:space="preserve">. More ample interactions would require and produce the sharing of insights and understandings among the more and less mobile and static and more and less culturally dispersed and dense populations. </w:t>
      </w:r>
      <w:r w:rsidRPr="00FD1F7D">
        <w:rPr>
          <w:rStyle w:val="StyleUnderline"/>
        </w:rPr>
        <w:t xml:space="preserve">Both negotiation and </w:t>
      </w:r>
      <w:r w:rsidRPr="000006DE">
        <w:rPr>
          <w:rStyle w:val="StyleUnderline"/>
          <w:highlight w:val="cyan"/>
        </w:rPr>
        <w:t xml:space="preserve">sharing require mutual engagement: dialog, not </w:t>
      </w:r>
      <w:r w:rsidRPr="00346912">
        <w:rPr>
          <w:rStyle w:val="StyleUnderline"/>
        </w:rPr>
        <w:t xml:space="preserve">solely </w:t>
      </w:r>
      <w:r w:rsidRPr="000006DE">
        <w:rPr>
          <w:rStyle w:val="StyleUnderline"/>
          <w:highlight w:val="cyan"/>
        </w:rPr>
        <w:t>a series of monologs</w:t>
      </w:r>
      <w:r w:rsidRPr="00FD1F7D">
        <w:rPr>
          <w:sz w:val="16"/>
        </w:rPr>
        <w:t>. While those inhabiting positions with more range of privileges in any given context should listen and reflect, usually even listen more, and more carefully</w:t>
      </w:r>
      <w:r w:rsidRPr="00FD1F7D">
        <w:rPr>
          <w:rStyle w:val="StyleUnderline"/>
        </w:rPr>
        <w:t xml:space="preserve">, </w:t>
      </w:r>
      <w:r w:rsidRPr="000006DE">
        <w:rPr>
          <w:rStyle w:val="StyleUnderline"/>
          <w:highlight w:val="cyan"/>
        </w:rPr>
        <w:t>a monolog is still a monolog, even if delivered from</w:t>
      </w:r>
      <w:r w:rsidRPr="00FD1F7D">
        <w:rPr>
          <w:rStyle w:val="StyleUnderline"/>
        </w:rPr>
        <w:t xml:space="preserve"> a position identifiable as </w:t>
      </w:r>
      <w:r w:rsidRPr="000006DE">
        <w:rPr>
          <w:rStyle w:val="StyleUnderline"/>
          <w:highlight w:val="cyan"/>
        </w:rPr>
        <w:t>oppressed.</w:t>
      </w:r>
      <w:r w:rsidRPr="000006DE">
        <w:rPr>
          <w:sz w:val="16"/>
          <w:highlight w:val="cyan"/>
        </w:rPr>
        <w:t xml:space="preserve"> </w:t>
      </w:r>
      <w:r w:rsidRPr="000006DE">
        <w:rPr>
          <w:rStyle w:val="StyleUnderline"/>
          <w:highlight w:val="cyan"/>
        </w:rPr>
        <w:t>A monolog</w:t>
      </w:r>
      <w:r w:rsidRPr="00FD1F7D">
        <w:rPr>
          <w:sz w:val="16"/>
        </w:rPr>
        <w:t xml:space="preserve"> can disturb a relationship, but it cannot be constituted by an autonomous voice, and it generally </w:t>
      </w:r>
      <w:r w:rsidRPr="000006DE">
        <w:rPr>
          <w:rStyle w:val="Emphasis"/>
          <w:highlight w:val="cyan"/>
        </w:rPr>
        <w:t>cannot create a mutually endorsed relationship</w:t>
      </w:r>
      <w:r w:rsidRPr="00FD1F7D">
        <w:rPr>
          <w:rStyle w:val="Emphasis"/>
        </w:rPr>
        <w:t>.</w:t>
      </w:r>
      <w:r w:rsidRPr="00FD1F7D">
        <w:rPr>
          <w:sz w:val="16"/>
        </w:rPr>
        <w:t xml:space="preserve"> </w:t>
      </w:r>
      <w:r w:rsidRPr="00FD1F7D">
        <w:rPr>
          <w:rStyle w:val="StyleUnderline"/>
        </w:rPr>
        <w:t xml:space="preserve">The discourses </w:t>
      </w:r>
      <w:r w:rsidRPr="000006DE">
        <w:rPr>
          <w:rStyle w:val="StyleUnderline"/>
          <w:highlight w:val="cyan"/>
        </w:rPr>
        <w:t>required for global transformation</w:t>
      </w:r>
      <w:r w:rsidRPr="00FD1F7D">
        <w:rPr>
          <w:sz w:val="16"/>
        </w:rPr>
        <w:t xml:space="preserve"> may sometimes </w:t>
      </w:r>
      <w:r w:rsidRPr="00FD1F7D">
        <w:rPr>
          <w:rStyle w:val="StyleUnderline"/>
        </w:rPr>
        <w:t xml:space="preserve">involve dispute </w:t>
      </w:r>
      <w:r w:rsidRPr="00FD1F7D">
        <w:rPr>
          <w:sz w:val="16"/>
        </w:rPr>
        <w:t xml:space="preserve">and sometimes conversation, </w:t>
      </w:r>
      <w:r w:rsidRPr="00FD1F7D">
        <w:rPr>
          <w:rStyle w:val="StyleUnderline"/>
        </w:rPr>
        <w:t>but they must involve extended listening and transactional discursive action by the parties</w:t>
      </w:r>
      <w:r w:rsidRPr="00FD1F7D">
        <w:rPr>
          <w:sz w:val="16"/>
        </w:rPr>
        <w:t>. The partners will have different experiences and interests, and may be committed to ranges of different values, but nonetheless they imply a vulnerability to being transformed for the sake of themselves and others (Ehninger).</w:t>
      </w:r>
    </w:p>
    <w:p w14:paraId="371D6610" w14:textId="77777777" w:rsidR="00AC7390" w:rsidRPr="00887C19" w:rsidRDefault="00AC7390" w:rsidP="00AC7390">
      <w:pPr>
        <w:pStyle w:val="Heading4"/>
      </w:pPr>
      <w:r>
        <w:t xml:space="preserve">This is offense for us – 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7DE13765" w14:textId="77777777" w:rsidR="00AC7390" w:rsidRDefault="00AC7390" w:rsidP="00AC7390">
      <w:pPr>
        <w:rPr>
          <w:rStyle w:val="Style13ptBold"/>
          <w:b w:val="0"/>
          <w:bCs w:val="0"/>
          <w:sz w:val="22"/>
          <w:szCs w:val="18"/>
        </w:rPr>
      </w:pPr>
      <w:r>
        <w:rPr>
          <w:rStyle w:val="Style13ptBold"/>
        </w:rPr>
        <w:t xml:space="preserve">Dannemann et al. 24 </w:t>
      </w:r>
      <w:r w:rsidRPr="000006DE">
        <w:t>–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(Dannemann, Hauke, Margaret Haderer, and Ingolfur Blühdorn. "Why now? Questioning the confidence in eco-political experimentation in civil society." Environment and Planning E: Nature and Space (2024): 25148486241282532.) NAR</w:t>
      </w:r>
    </w:p>
    <w:p w14:paraId="441717C0" w14:textId="77777777" w:rsidR="00AC7390" w:rsidRPr="000006DE" w:rsidRDefault="00AC7390" w:rsidP="00AC7390">
      <w:pPr>
        <w:rPr>
          <w:rStyle w:val="Style13ptBold"/>
          <w:b w:val="0"/>
          <w:bCs w:val="0"/>
          <w:sz w:val="22"/>
          <w:szCs w:val="18"/>
        </w:rPr>
      </w:pPr>
      <w:r w:rsidRPr="000006DE">
        <w:rPr>
          <w:rStyle w:val="Style13ptBold"/>
          <w:sz w:val="22"/>
          <w:szCs w:val="18"/>
        </w:rPr>
        <w:t>*NOTE: LESECs = Local Experiments in Socio-Ecological Change</w:t>
      </w:r>
    </w:p>
    <w:p w14:paraId="44F6F68B" w14:textId="77777777" w:rsidR="00AC7390" w:rsidRPr="005526C7" w:rsidRDefault="00AC7390" w:rsidP="00AC7390">
      <w:pPr>
        <w:rPr>
          <w:sz w:val="16"/>
        </w:rPr>
      </w:pPr>
      <w:r w:rsidRPr="000006DE">
        <w:rPr>
          <w:rStyle w:val="StyleUnderline"/>
          <w:highlight w:val="cyan"/>
        </w:rPr>
        <w:t>A</w:t>
      </w:r>
      <w:r w:rsidRPr="005526C7">
        <w:rPr>
          <w:sz w:val="16"/>
        </w:rPr>
        <w:t xml:space="preserve">nother </w:t>
      </w:r>
      <w:r w:rsidRPr="000006DE">
        <w:rPr>
          <w:rStyle w:val="StyleUnderline"/>
          <w:highlight w:val="cya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0006DE">
        <w:rPr>
          <w:rStyle w:val="StyleUnderline"/>
          <w:highlight w:val="cyan"/>
        </w:rPr>
        <w:t>existing</w:t>
      </w:r>
      <w:r w:rsidRPr="00E64FDC">
        <w:rPr>
          <w:rStyle w:val="StyleUnderline"/>
        </w:rPr>
        <w:t xml:space="preserve"> environmental and </w:t>
      </w:r>
      <w:r w:rsidRPr="000006DE">
        <w:rPr>
          <w:rStyle w:val="StyleUnderline"/>
          <w:highlight w:val="cyan"/>
        </w:rPr>
        <w:t>climate policy and</w:t>
      </w:r>
      <w:r w:rsidRPr="00E64FDC">
        <w:rPr>
          <w:rStyle w:val="StyleUnderline"/>
        </w:rPr>
        <w:t xml:space="preserve"> the increasingly apparent consequences of an </w:t>
      </w:r>
      <w:r w:rsidRPr="000006DE">
        <w:rPr>
          <w:rStyle w:val="StyleUnderline"/>
          <w:highlight w:val="cyan"/>
        </w:rPr>
        <w:t>accelerating</w:t>
      </w:r>
      <w:r w:rsidRPr="00E64FDC">
        <w:rPr>
          <w:rStyle w:val="StyleUnderline"/>
        </w:rPr>
        <w:t xml:space="preserve"> spiral of </w:t>
      </w:r>
      <w:r w:rsidRPr="000006DE">
        <w:rPr>
          <w:rStyle w:val="StyleUnderline"/>
          <w:highlight w:val="cya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r w:rsidRPr="00E64FDC">
        <w:rPr>
          <w:rStyle w:val="StyleUnderline"/>
        </w:rPr>
        <w:t>In light of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0006DE">
        <w:rPr>
          <w:rStyle w:val="StyleUnderline"/>
          <w:highlight w:val="cyan"/>
        </w:rPr>
        <w:t>Given this new</w:t>
      </w:r>
      <w:r w:rsidRPr="00E64FDC">
        <w:rPr>
          <w:rStyle w:val="StyleUnderline"/>
        </w:rPr>
        <w:t xml:space="preserve"> sense of </w:t>
      </w:r>
      <w:r w:rsidRPr="000006DE">
        <w:rPr>
          <w:rStyle w:val="StyleUnderline"/>
          <w:highlight w:val="cyan"/>
        </w:rPr>
        <w:t>urgency</w:t>
      </w:r>
      <w:r w:rsidRPr="00E64FDC">
        <w:rPr>
          <w:rStyle w:val="StyleUnderline"/>
        </w:rPr>
        <w:t xml:space="preserve">, </w:t>
      </w:r>
      <w:r w:rsidRPr="000006DE">
        <w:rPr>
          <w:rStyle w:val="StyleUnderline"/>
          <w:highlight w:val="cyan"/>
        </w:rPr>
        <w:t>postapocalyptic narratives proliferate among activists and theorists</w:t>
      </w:r>
      <w:r w:rsidRPr="005526C7">
        <w:rPr>
          <w:sz w:val="16"/>
        </w:rPr>
        <w:t xml:space="preserve"> (Cassegård and Thörn, 2018; de Moor, 2021; Swyngedouw, 2022) </w:t>
      </w:r>
      <w:r w:rsidRPr="000006DE">
        <w:rPr>
          <w:rStyle w:val="StyleUnderline"/>
          <w:highlight w:val="cyan"/>
        </w:rPr>
        <w:t>that presume climate catastrophe has already occurred</w:t>
      </w:r>
      <w:r w:rsidRPr="00E64FDC">
        <w:rPr>
          <w:rStyle w:val="StyleUnderline"/>
        </w:rPr>
        <w:t xml:space="preserve"> and cannot be avoided.</w:t>
      </w:r>
      <w:r w:rsidRPr="005526C7">
        <w:rPr>
          <w:sz w:val="16"/>
        </w:rPr>
        <w:t xml:space="preserve"> Additionally, in light of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0006DE">
        <w:rPr>
          <w:rStyle w:val="StyleUnderline"/>
          <w:highlight w:val="cya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0006DE">
        <w:rPr>
          <w:rStyle w:val="StyleUnderline"/>
          <w:highlight w:val="cyan"/>
        </w:rPr>
        <w:t>coping with</w:t>
      </w:r>
      <w:r w:rsidRPr="00E64FDC">
        <w:rPr>
          <w:rStyle w:val="StyleUnderline"/>
        </w:rPr>
        <w:t xml:space="preserve"> the prevailing order of </w:t>
      </w:r>
      <w:r w:rsidRPr="000006DE">
        <w:rPr>
          <w:rStyle w:val="StyleUnderline"/>
          <w:highlight w:val="cyan"/>
        </w:rPr>
        <w:t>unsustainability</w:t>
      </w:r>
      <w:r w:rsidRPr="005526C7">
        <w:rPr>
          <w:sz w:val="16"/>
        </w:rPr>
        <w:t>”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actually account for this increased sense of urgency?</w:t>
      </w:r>
    </w:p>
    <w:p w14:paraId="515D0B83" w14:textId="77777777" w:rsidR="00AC7390" w:rsidRPr="005526C7" w:rsidRDefault="00AC7390" w:rsidP="00AC7390">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0006DE">
        <w:rPr>
          <w:rStyle w:val="StyleUnderline"/>
          <w:highlight w:val="cyan"/>
        </w:rPr>
        <w:t>There is no reason to</w:t>
      </w:r>
      <w:r w:rsidRPr="00F53AD1">
        <w:rPr>
          <w:rStyle w:val="StyleUnderline"/>
        </w:rPr>
        <w:t xml:space="preserve"> </w:t>
      </w:r>
      <w:r w:rsidRPr="000006DE">
        <w:rPr>
          <w:rStyle w:val="StyleUnderline"/>
          <w:highlight w:val="cyan"/>
        </w:rPr>
        <w:t>assume</w:t>
      </w:r>
      <w:r w:rsidRPr="00F53AD1">
        <w:rPr>
          <w:rStyle w:val="StyleUnderline"/>
        </w:rPr>
        <w:t xml:space="preserve"> that the perception of </w:t>
      </w:r>
      <w:r w:rsidRPr="000006DE">
        <w:rPr>
          <w:rStyle w:val="StyleUnderline"/>
          <w:highlight w:val="cyan"/>
        </w:rPr>
        <w:t>urgency will</w:t>
      </w:r>
      <w:r w:rsidRPr="005526C7">
        <w:rPr>
          <w:sz w:val="16"/>
        </w:rPr>
        <w:t xml:space="preserve"> automatically </w:t>
      </w:r>
      <w:r w:rsidRPr="00F53AD1">
        <w:rPr>
          <w:rStyle w:val="StyleUnderline"/>
        </w:rPr>
        <w:t xml:space="preserve">be conducive to the </w:t>
      </w:r>
      <w:r w:rsidRPr="000006DE">
        <w:rPr>
          <w:rStyle w:val="StyleUnderline"/>
          <w:highlight w:val="cyan"/>
        </w:rPr>
        <w:t>mainstream</w:t>
      </w:r>
      <w:r w:rsidRPr="00F53AD1">
        <w:rPr>
          <w:rStyle w:val="StyleUnderline"/>
        </w:rPr>
        <w:t xml:space="preserve">ing of </w:t>
      </w:r>
      <w:r w:rsidRPr="000006DE">
        <w:rPr>
          <w:rStyle w:val="StyleUnderline"/>
          <w:highlight w:val="cyan"/>
        </w:rPr>
        <w:t>the</w:t>
      </w:r>
      <w:r w:rsidRPr="00F53AD1">
        <w:rPr>
          <w:rStyle w:val="StyleUnderline"/>
        </w:rPr>
        <w:t xml:space="preserve"> practices and </w:t>
      </w:r>
      <w:r w:rsidRPr="000006DE">
        <w:rPr>
          <w:rStyle w:val="StyleUnderline"/>
          <w:highlight w:val="cyan"/>
        </w:rPr>
        <w:t xml:space="preserve">imaginaries pioneered by LESECs, </w:t>
      </w:r>
      <w:r w:rsidRPr="000006DE">
        <w:rPr>
          <w:rStyle w:val="Emphasis"/>
          <w:highlight w:val="cyan"/>
        </w:rPr>
        <w:t>rather than</w:t>
      </w:r>
      <w:r w:rsidRPr="00F53AD1">
        <w:rPr>
          <w:rStyle w:val="Emphasis"/>
        </w:rPr>
        <w:t xml:space="preserve"> to efforts to </w:t>
      </w:r>
      <w:r w:rsidRPr="000006DE">
        <w:rPr>
          <w:rStyle w:val="Emphasis"/>
          <w:highlight w:val="cyan"/>
        </w:rPr>
        <w:t>restabilize the status quo</w:t>
      </w:r>
      <w:r w:rsidRPr="005526C7">
        <w:rPr>
          <w:sz w:val="16"/>
        </w:rPr>
        <w:t>.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the academic confidence in the realization of transformative potentials of experimentation in civil society.</w:t>
      </w:r>
    </w:p>
    <w:p w14:paraId="798F7255" w14:textId="77777777" w:rsidR="00AC7390" w:rsidRPr="005526C7" w:rsidRDefault="00AC7390" w:rsidP="00AC7390">
      <w:pPr>
        <w:rPr>
          <w:sz w:val="16"/>
        </w:rPr>
      </w:pPr>
      <w:r w:rsidRPr="005526C7">
        <w:rPr>
          <w:sz w:val="16"/>
        </w:rPr>
        <w:t xml:space="preserve">The autocratic-authoritarian turn </w:t>
      </w:r>
      <w:r w:rsidRPr="00810D21">
        <w:rPr>
          <w:rStyle w:val="StyleUnderline"/>
        </w:rPr>
        <w:t xml:space="preserve">Escalating dynamics of </w:t>
      </w:r>
      <w:r w:rsidRPr="000006DE">
        <w:rPr>
          <w:rStyle w:val="StyleUnderline"/>
          <w:highlight w:val="cyan"/>
        </w:rPr>
        <w:t>crises</w:t>
      </w:r>
      <w:r w:rsidRPr="005526C7">
        <w:rPr>
          <w:sz w:val="16"/>
        </w:rPr>
        <w:t xml:space="preserve"> might </w:t>
      </w:r>
      <w:r w:rsidRPr="00810D21">
        <w:rPr>
          <w:rStyle w:val="StyleUnderline"/>
        </w:rPr>
        <w:t xml:space="preserve">certainly </w:t>
      </w:r>
      <w:r w:rsidRPr="000006DE">
        <w:rPr>
          <w:rStyle w:val="StyleUnderline"/>
          <w:highlight w:val="cyan"/>
        </w:rPr>
        <w:t>give rise to</w:t>
      </w:r>
      <w:r w:rsidRPr="00810D21">
        <w:rPr>
          <w:rStyle w:val="StyleUnderline"/>
        </w:rPr>
        <w:t xml:space="preserve"> critical </w:t>
      </w:r>
      <w:r w:rsidRPr="000006DE">
        <w:rPr>
          <w:rStyle w:val="StyleUnderline"/>
          <w:highlight w:val="cya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0006DE">
        <w:rPr>
          <w:rStyle w:val="Emphasis"/>
          <w:highlight w:val="cyan"/>
        </w:rPr>
        <w:t>aspirations</w:t>
      </w:r>
      <w:r w:rsidRPr="005526C7">
        <w:rPr>
          <w:sz w:val="16"/>
        </w:rPr>
        <w:t xml:space="preserve">, however, </w:t>
      </w:r>
      <w:r w:rsidRPr="000006DE">
        <w:rPr>
          <w:rStyle w:val="Emphasis"/>
          <w:highlight w:val="cyan"/>
        </w:rPr>
        <w:t>have</w:t>
      </w:r>
      <w:r w:rsidRPr="00810D21">
        <w:rPr>
          <w:rStyle w:val="Emphasis"/>
        </w:rPr>
        <w:t xml:space="preserve"> </w:t>
      </w:r>
      <w:r w:rsidRPr="000006DE">
        <w:rPr>
          <w:rStyle w:val="Emphasis"/>
          <w:highlight w:val="cya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taken into account in discourses of environmental social science in general and regarding LESECs in particular. As Hall notes, “crises are moments of potential change, but the nature of their resolution is not given” (Hall and Massey, 2010: 57). </w:t>
      </w:r>
      <w:r w:rsidRPr="000006DE">
        <w:rPr>
          <w:rStyle w:val="StyleUnderline"/>
          <w:highlight w:val="cyan"/>
        </w:rPr>
        <w:t>Actors pursuing</w:t>
      </w:r>
      <w:r w:rsidRPr="00810D21">
        <w:rPr>
          <w:rStyle w:val="StyleUnderline"/>
        </w:rPr>
        <w:t xml:space="preserve"> quite different almost </w:t>
      </w:r>
      <w:r w:rsidRPr="000006DE">
        <w:rPr>
          <w:rStyle w:val="StyleUnderline"/>
          <w:highlight w:val="cyan"/>
        </w:rPr>
        <w:t>opposite objectives</w:t>
      </w:r>
      <w:r w:rsidRPr="00810D21">
        <w:rPr>
          <w:rStyle w:val="StyleUnderline"/>
        </w:rPr>
        <w:t xml:space="preserve"> </w:t>
      </w:r>
      <w:r w:rsidRPr="005526C7">
        <w:rPr>
          <w:sz w:val="16"/>
        </w:rPr>
        <w:t xml:space="preserve">may </w:t>
      </w:r>
      <w:r w:rsidRPr="000006DE">
        <w:rPr>
          <w:rStyle w:val="StyleUnderline"/>
          <w:highlight w:val="cyan"/>
        </w:rPr>
        <w:t>take advantage</w:t>
      </w:r>
      <w:r w:rsidRPr="00810D21">
        <w:rPr>
          <w:rStyle w:val="StyleUnderline"/>
        </w:rPr>
        <w:t xml:space="preserve"> </w:t>
      </w:r>
      <w:r w:rsidRPr="000006DE">
        <w:rPr>
          <w:rStyle w:val="StyleUnderline"/>
          <w:highlight w:val="cyan"/>
        </w:rPr>
        <w:t>of</w:t>
      </w:r>
      <w:r w:rsidRPr="00810D21">
        <w:rPr>
          <w:rStyle w:val="StyleUnderline"/>
        </w:rPr>
        <w:t xml:space="preserve"> critical </w:t>
      </w:r>
      <w:r w:rsidRPr="000006DE">
        <w:rPr>
          <w:rStyle w:val="StyleUnderline"/>
          <w:highlight w:val="cyan"/>
        </w:rPr>
        <w:t>conjunctures as well.</w:t>
      </w:r>
      <w:r w:rsidRPr="00810D21">
        <w:rPr>
          <w:rStyle w:val="StyleUnderline"/>
        </w:rPr>
        <w:t xml:space="preserve"> During the COVID-19 </w:t>
      </w:r>
      <w:r w:rsidRPr="005526C7">
        <w:rPr>
          <w:sz w:val="16"/>
        </w:rPr>
        <w:t xml:space="preserve">pandemic, for example, </w:t>
      </w:r>
      <w:r w:rsidRPr="00810D21">
        <w:rPr>
          <w:rStyle w:val="StyleUnderline"/>
        </w:rPr>
        <w:t>protests against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These protests for exclusive forms of individual freedom of the few are familiar not only from anti-science movements which, inter alia, engage in denial or skepticism regarding climate change. </w:t>
      </w:r>
      <w:r w:rsidRPr="000006DE">
        <w:rPr>
          <w:rStyle w:val="StyleUnderline"/>
          <w:highlight w:val="cyan"/>
        </w:rPr>
        <w:t>They</w:t>
      </w:r>
      <w:r w:rsidRPr="005526C7">
        <w:rPr>
          <w:sz w:val="16"/>
        </w:rPr>
        <w:t xml:space="preserve"> also </w:t>
      </w:r>
      <w:r w:rsidRPr="000006DE">
        <w:rPr>
          <w:rStyle w:val="StyleUnderline"/>
          <w:highlight w:val="cya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0006DE">
        <w:rPr>
          <w:rStyle w:val="StyleUnderline"/>
          <w:highlight w:val="cyan"/>
        </w:rPr>
        <w:t>ushering in a “third wave of autocratization</w:t>
      </w:r>
      <w:r w:rsidRPr="005526C7">
        <w:rPr>
          <w:sz w:val="16"/>
        </w:rPr>
        <w:t xml:space="preserve">” (Lührmann and Lindberg, 2019) that is </w:t>
      </w:r>
      <w:r w:rsidRPr="000006DE">
        <w:rPr>
          <w:rStyle w:val="StyleUnderline"/>
          <w:highlight w:val="cyan"/>
        </w:rPr>
        <w:t>entangled with the decline of democratic</w:t>
      </w:r>
      <w:r w:rsidRPr="00810D21">
        <w:rPr>
          <w:rStyle w:val="StyleUnderline"/>
        </w:rPr>
        <w:t xml:space="preserve"> and the rise of authoritarian </w:t>
      </w:r>
      <w:r w:rsidRPr="000006DE">
        <w:rPr>
          <w:rStyle w:val="StyleUnderline"/>
          <w:highlight w:val="cyan"/>
        </w:rPr>
        <w:t>capitalism</w:t>
      </w:r>
      <w:r w:rsidRPr="00810D21">
        <w:rPr>
          <w:rStyle w:val="StyleUnderline"/>
        </w:rPr>
        <w:t xml:space="preserve">, renationalization, </w:t>
      </w:r>
      <w:r w:rsidRPr="000006DE">
        <w:rPr>
          <w:rStyle w:val="StyleUnderline"/>
          <w:highlight w:val="cya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open up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0F222D9A" w14:textId="77777777" w:rsidR="00AC7390" w:rsidRPr="005526C7" w:rsidRDefault="00AC7390" w:rsidP="00AC7390">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0006DE">
        <w:rPr>
          <w:rStyle w:val="StyleUnderline"/>
          <w:highlight w:val="cyan"/>
        </w:rPr>
        <w:t>realizing</w:t>
      </w:r>
      <w:r w:rsidRPr="00810D21">
        <w:rPr>
          <w:rStyle w:val="StyleUnderline"/>
        </w:rPr>
        <w:t xml:space="preserve"> the </w:t>
      </w:r>
      <w:r w:rsidRPr="000006DE">
        <w:rPr>
          <w:rStyle w:val="StyleUnderline"/>
          <w:highlight w:val="cyan"/>
        </w:rPr>
        <w:t>transformative potentials</w:t>
      </w:r>
      <w:r w:rsidRPr="005526C7">
        <w:rPr>
          <w:sz w:val="16"/>
        </w:rPr>
        <w:t xml:space="preserve"> of LESECs </w:t>
      </w:r>
      <w:r w:rsidRPr="000006DE">
        <w:rPr>
          <w:rStyle w:val="StyleUnderline"/>
          <w:highlight w:val="cyan"/>
        </w:rPr>
        <w:t>seem</w:t>
      </w:r>
      <w:r w:rsidRPr="00810D21">
        <w:rPr>
          <w:rStyle w:val="StyleUnderline"/>
        </w:rPr>
        <w:t xml:space="preserve"> to become </w:t>
      </w:r>
      <w:r w:rsidRPr="00810D21">
        <w:rPr>
          <w:rStyle w:val="Emphasis"/>
        </w:rPr>
        <w:t xml:space="preserve">much </w:t>
      </w:r>
      <w:r w:rsidRPr="000006DE">
        <w:rPr>
          <w:rStyle w:val="Emphasis"/>
          <w:highlight w:val="cya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0006DE">
        <w:rPr>
          <w:rStyle w:val="StyleUnderline"/>
          <w:highlight w:val="cya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0006DE">
        <w:rPr>
          <w:rStyle w:val="Emphasis"/>
          <w:highlight w:val="cyan"/>
        </w:rPr>
        <w:t>expand</w:t>
      </w:r>
      <w:r w:rsidRPr="00810D21">
        <w:rPr>
          <w:rStyle w:val="Emphasis"/>
        </w:rPr>
        <w:t xml:space="preserve">ing </w:t>
      </w:r>
      <w:r w:rsidRPr="000006DE">
        <w:rPr>
          <w:rStyle w:val="Emphasis"/>
          <w:highlight w:val="cyan"/>
        </w:rPr>
        <w:t>more strongly than</w:t>
      </w:r>
      <w:r w:rsidRPr="00810D21">
        <w:rPr>
          <w:rStyle w:val="Emphasis"/>
        </w:rPr>
        <w:t xml:space="preserve"> the potential of </w:t>
      </w:r>
      <w:r w:rsidRPr="000006DE">
        <w:rPr>
          <w:rStyle w:val="Emphasis"/>
          <w:highlight w:val="cyan"/>
        </w:rPr>
        <w:t>progressive LESEC</w:t>
      </w:r>
      <w:r w:rsidRPr="000006DE">
        <w:rPr>
          <w:sz w:val="16"/>
          <w:highlight w:val="cyan"/>
        </w:rPr>
        <w:t>s</w:t>
      </w:r>
      <w:r w:rsidRPr="005526C7">
        <w:rPr>
          <w:sz w:val="16"/>
        </w:rPr>
        <w:t xml:space="preserve"> (Benoist, 2024; Dannemann, 2023; Forchtner and Olsen, 2024).</w:t>
      </w:r>
    </w:p>
    <w:p w14:paraId="2D3C3733" w14:textId="77777777" w:rsidR="00AC7390" w:rsidRPr="005526C7" w:rsidRDefault="00AC7390" w:rsidP="00AC7390">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as yet,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7A1E7997" w14:textId="77777777" w:rsidR="00AC7390" w:rsidRPr="005526C7" w:rsidRDefault="00AC7390" w:rsidP="00AC7390">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in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0006DE">
        <w:rPr>
          <w:rStyle w:val="StyleUnderline"/>
          <w:highlight w:val="cyan"/>
        </w:rPr>
        <w:t>agendas of</w:t>
      </w:r>
      <w:r w:rsidRPr="00F33AB4">
        <w:rPr>
          <w:rStyle w:val="StyleUnderline"/>
        </w:rPr>
        <w:t xml:space="preserve"> adaptation and </w:t>
      </w:r>
      <w:r w:rsidRPr="000006DE">
        <w:rPr>
          <w:rStyle w:val="StyleUnderline"/>
          <w:highlight w:val="cyan"/>
        </w:rPr>
        <w:t>resilience</w:t>
      </w:r>
      <w:r w:rsidRPr="00F33AB4">
        <w:rPr>
          <w:rStyle w:val="StyleUnderline"/>
        </w:rPr>
        <w:t xml:space="preserve"> </w:t>
      </w:r>
      <w:r w:rsidRPr="000006DE">
        <w:rPr>
          <w:rStyle w:val="StyleUnderline"/>
          <w:highlight w:val="cyan"/>
        </w:rPr>
        <w:t>supersede</w:t>
      </w:r>
      <w:r w:rsidRPr="00F33AB4">
        <w:rPr>
          <w:rStyle w:val="StyleUnderline"/>
        </w:rPr>
        <w:t xml:space="preserve"> earlier </w:t>
      </w:r>
      <w:r w:rsidRPr="000006DE">
        <w:rPr>
          <w:rStyle w:val="StyleUnderline"/>
          <w:highlight w:val="cyan"/>
        </w:rPr>
        <w:t>ideals of transformation and emancipation, which enables actors</w:t>
      </w:r>
      <w:r w:rsidRPr="00F33AB4">
        <w:rPr>
          <w:rStyle w:val="StyleUnderline"/>
        </w:rPr>
        <w:t xml:space="preserve"> in civil society </w:t>
      </w:r>
      <w:r w:rsidRPr="000006DE">
        <w:rPr>
          <w:rStyle w:val="StyleUnderline"/>
          <w:highlight w:val="cyan"/>
        </w:rPr>
        <w:t>to gain momentum whose ideas of social change are very different from</w:t>
      </w:r>
      <w:r w:rsidRPr="00F33AB4">
        <w:rPr>
          <w:rStyle w:val="StyleUnderline"/>
        </w:rPr>
        <w:t xml:space="preserve"> </w:t>
      </w:r>
      <w:r w:rsidRPr="000006DE">
        <w:rPr>
          <w:rStyle w:val="StyleUnderline"/>
          <w:highlight w:val="cyan"/>
        </w:rPr>
        <w:t>those</w:t>
      </w:r>
      <w:r w:rsidRPr="00F33AB4">
        <w:rPr>
          <w:rStyle w:val="StyleUnderline"/>
        </w:rPr>
        <w:t xml:space="preserve"> most commonly </w:t>
      </w:r>
      <w:r w:rsidRPr="000006DE">
        <w:rPr>
          <w:rStyle w:val="StyleUnderline"/>
          <w:highlight w:val="cyan"/>
        </w:rPr>
        <w:t>envisaged in the context of socio-ecological transformation</w:t>
      </w:r>
      <w:r w:rsidRPr="00F33AB4">
        <w:rPr>
          <w:rStyle w:val="StyleUnderline"/>
        </w:rPr>
        <w:t>.</w:t>
      </w:r>
    </w:p>
    <w:p w14:paraId="7E2B7C6E" w14:textId="77777777" w:rsidR="00AC7390" w:rsidRPr="005526C7" w:rsidRDefault="00AC7390" w:rsidP="00AC7390">
      <w:pPr>
        <w:rPr>
          <w:sz w:val="16"/>
        </w:rPr>
      </w:pPr>
      <w:r w:rsidRPr="00F33AB4">
        <w:rPr>
          <w:rStyle w:val="StyleUnderline"/>
        </w:rPr>
        <w:t xml:space="preserve">Thus, the recent </w:t>
      </w:r>
      <w:r w:rsidRPr="000006DE">
        <w:rPr>
          <w:rStyle w:val="StyleUnderline"/>
          <w:highlight w:val="cyan"/>
        </w:rPr>
        <w:t>confidence in</w:t>
      </w:r>
      <w:r w:rsidRPr="00F33AB4">
        <w:rPr>
          <w:rStyle w:val="StyleUnderline"/>
        </w:rPr>
        <w:t xml:space="preserve"> the </w:t>
      </w:r>
      <w:r w:rsidRPr="000006DE">
        <w:rPr>
          <w:rStyle w:val="StyleUnderline"/>
          <w:highlight w:val="cyan"/>
        </w:rPr>
        <w:t>transformative potentials of experimentation</w:t>
      </w:r>
      <w:r w:rsidRPr="005526C7">
        <w:rPr>
          <w:sz w:val="16"/>
        </w:rPr>
        <w:t xml:space="preserve"> in civil society </w:t>
      </w:r>
      <w:r w:rsidRPr="000006DE">
        <w:rPr>
          <w:rStyle w:val="Emphasis"/>
          <w:highlight w:val="cyan"/>
        </w:rPr>
        <w:t>is</w:t>
      </w:r>
      <w:r w:rsidRPr="005526C7">
        <w:rPr>
          <w:sz w:val="16"/>
        </w:rPr>
        <w:t xml:space="preserve">, we conclude, </w:t>
      </w:r>
      <w:r w:rsidRPr="000006DE">
        <w:rPr>
          <w:rStyle w:val="Emphasis"/>
          <w:highlight w:val="cyan"/>
        </w:rPr>
        <w:t>hardly justified</w:t>
      </w:r>
      <w:r w:rsidRPr="005526C7">
        <w:rPr>
          <w:sz w:val="16"/>
        </w:rPr>
        <w:t xml:space="preserve">. </w:t>
      </w:r>
      <w:r w:rsidRPr="00F33AB4">
        <w:rPr>
          <w:rStyle w:val="StyleUnderline"/>
        </w:rPr>
        <w:t xml:space="preserve">The question whether and to what extent LESECs can plausibly be regarded as </w:t>
      </w:r>
      <w:r w:rsidRPr="00F33AB4">
        <w:rPr>
          <w:rStyle w:val="Emphasis"/>
        </w:rPr>
        <w:t>significant carriers of hope requires</w:t>
      </w:r>
      <w:r w:rsidRPr="005526C7">
        <w:rPr>
          <w:sz w:val="16"/>
        </w:rPr>
        <w:t xml:space="preserve">, we suggest, much more </w:t>
      </w:r>
      <w:r w:rsidRPr="00F33AB4">
        <w:rPr>
          <w:rStyle w:val="Emphasis"/>
        </w:rPr>
        <w:t>explicit engagement with the question Why now</w:t>
      </w:r>
      <w:r w:rsidRPr="005526C7">
        <w:rPr>
          <w:sz w:val="16"/>
        </w:rPr>
        <w:t xml:space="preserve">? </w:t>
      </w:r>
      <w:r w:rsidRPr="000006DE">
        <w:rPr>
          <w:rStyle w:val="StyleUnderline"/>
          <w:highlight w:val="cyan"/>
        </w:rPr>
        <w:t xml:space="preserve">Why should LESESCs today </w:t>
      </w:r>
      <w:r w:rsidRPr="000006DE">
        <w:rPr>
          <w:rStyle w:val="Emphasis"/>
          <w:highlight w:val="cyan"/>
        </w:rPr>
        <w:t>realize</w:t>
      </w:r>
      <w:r w:rsidRPr="00F33AB4">
        <w:rPr>
          <w:rStyle w:val="Emphasis"/>
        </w:rPr>
        <w:t xml:space="preserve"> transformative </w:t>
      </w:r>
      <w:r w:rsidRPr="000006DE">
        <w:rPr>
          <w:rStyle w:val="Emphasis"/>
          <w:highlight w:val="cyan"/>
        </w:rPr>
        <w:t>potentials that were hardly realized in the past</w:t>
      </w:r>
      <w:r w:rsidRPr="00F33AB4">
        <w:rPr>
          <w:rStyle w:val="Emphasis"/>
        </w:rPr>
        <w:t>?</w:t>
      </w:r>
      <w:r w:rsidRPr="005526C7">
        <w:rPr>
          <w:sz w:val="16"/>
        </w:rPr>
        <w:t xml:space="preserve"> One might argue, that any conjunctural analysis is itself a social construction. But the phenomena addressed in recent social theory, such as </w:t>
      </w:r>
      <w:r w:rsidRPr="00F33AB4">
        <w:rPr>
          <w:rStyle w:val="StyleUnderline"/>
        </w:rPr>
        <w:t xml:space="preserve">an </w:t>
      </w:r>
      <w:r w:rsidRPr="000006DE">
        <w:rPr>
          <w:rStyle w:val="StyleUnderline"/>
          <w:highlight w:val="cyan"/>
        </w:rPr>
        <w:t>accelerating</w:t>
      </w:r>
      <w:r w:rsidRPr="00F33AB4">
        <w:rPr>
          <w:rStyle w:val="StyleUnderline"/>
        </w:rPr>
        <w:t xml:space="preserve"> spiral of </w:t>
      </w:r>
      <w:r w:rsidRPr="000006DE">
        <w:rPr>
          <w:rStyle w:val="StyleUnderline"/>
          <w:highlight w:val="cyan"/>
        </w:rPr>
        <w:t xml:space="preserve">crises and the </w:t>
      </w:r>
      <w:r w:rsidRPr="006839CD">
        <w:rPr>
          <w:rStyle w:val="StyleUnderline"/>
        </w:rPr>
        <w:t>autocratic</w:t>
      </w:r>
      <w:r w:rsidRPr="00F33AB4">
        <w:rPr>
          <w:rStyle w:val="StyleUnderline"/>
        </w:rPr>
        <w:t>-</w:t>
      </w:r>
      <w:r w:rsidRPr="000006DE">
        <w:rPr>
          <w:rStyle w:val="StyleUnderline"/>
          <w:highlight w:val="cyan"/>
        </w:rPr>
        <w:t xml:space="preserve">authoritarian turn, </w:t>
      </w:r>
      <w:r w:rsidRPr="000006DE">
        <w:rPr>
          <w:rStyle w:val="Emphasis"/>
          <w:highlight w:val="cyan"/>
        </w:rPr>
        <w:t>are significant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0006DE">
        <w:rPr>
          <w:rStyle w:val="StyleUnderline"/>
          <w:highlight w:val="cyan"/>
        </w:rPr>
        <w:t xml:space="preserve">holding on </w:t>
      </w:r>
      <w:r w:rsidRPr="006839CD">
        <w:rPr>
          <w:rStyle w:val="StyleUnderline"/>
        </w:rPr>
        <w:t>too</w:t>
      </w:r>
      <w:r w:rsidRPr="00F33AB4">
        <w:rPr>
          <w:rStyle w:val="StyleUnderline"/>
        </w:rPr>
        <w:t xml:space="preserve"> easily </w:t>
      </w:r>
      <w:r w:rsidRPr="000006DE">
        <w:rPr>
          <w:rStyle w:val="StyleUnderline"/>
          <w:highlight w:val="cyan"/>
        </w:rPr>
        <w:t xml:space="preserve">to portrayals of LESECS as radical change agents </w:t>
      </w:r>
      <w:r w:rsidRPr="000006DE">
        <w:rPr>
          <w:rStyle w:val="Emphasis"/>
          <w:highlight w:val="cyan"/>
        </w:rPr>
        <w:t xml:space="preserve">may </w:t>
      </w:r>
      <w:r w:rsidRPr="006839CD">
        <w:rPr>
          <w:rStyle w:val="Emphasis"/>
        </w:rPr>
        <w:t>itself</w:t>
      </w:r>
      <w:r w:rsidRPr="00F33AB4">
        <w:rPr>
          <w:rStyle w:val="Emphasis"/>
        </w:rPr>
        <w:t xml:space="preserve"> </w:t>
      </w:r>
      <w:r w:rsidRPr="000006DE">
        <w:rPr>
          <w:rStyle w:val="Emphasis"/>
          <w:highlight w:val="cya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0006DE">
        <w:rPr>
          <w:rStyle w:val="StyleUnderline"/>
          <w:highlight w:val="cyan"/>
        </w:rPr>
        <w:t xml:space="preserve">explain </w:t>
      </w:r>
      <w:r w:rsidRPr="000006DE">
        <w:rPr>
          <w:rStyle w:val="Emphasis"/>
          <w:highlight w:val="cyan"/>
        </w:rPr>
        <w:t>why the seeds sown</w:t>
      </w:r>
      <w:r w:rsidRPr="00F33AB4">
        <w:rPr>
          <w:rStyle w:val="Emphasis"/>
        </w:rPr>
        <w:t xml:space="preserve"> </w:t>
      </w:r>
      <w:r w:rsidRPr="005526C7">
        <w:rPr>
          <w:sz w:val="16"/>
        </w:rPr>
        <w:t xml:space="preserve">at various stages </w:t>
      </w:r>
      <w:r w:rsidRPr="000006DE">
        <w:rPr>
          <w:rStyle w:val="Emphasis"/>
          <w:highlight w:val="cyan"/>
        </w:rPr>
        <w:t>in the past, have not</w:t>
      </w:r>
      <w:r w:rsidRPr="00F33AB4">
        <w:rPr>
          <w:rStyle w:val="Emphasis"/>
        </w:rPr>
        <w:t xml:space="preserve"> </w:t>
      </w:r>
      <w:r w:rsidRPr="005526C7">
        <w:rPr>
          <w:sz w:val="16"/>
        </w:rPr>
        <w:t xml:space="preserve">really </w:t>
      </w:r>
      <w:r w:rsidRPr="000006DE">
        <w:rPr>
          <w:rStyle w:val="Emphasis"/>
          <w:highlight w:val="cya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0006DE">
        <w:rPr>
          <w:rStyle w:val="Emphasis"/>
          <w:highlight w:val="cyan"/>
        </w:rPr>
        <w:t>Optimism</w:t>
      </w:r>
      <w:r w:rsidRPr="005526C7">
        <w:rPr>
          <w:sz w:val="16"/>
        </w:rPr>
        <w:t xml:space="preserve">, although crucial to motivating transformative action, also </w:t>
      </w:r>
      <w:r w:rsidRPr="000006DE">
        <w:rPr>
          <w:rStyle w:val="Emphasis"/>
          <w:highlight w:val="cyan"/>
        </w:rPr>
        <w:t>comes with a risk</w:t>
      </w:r>
      <w:r w:rsidRPr="005526C7">
        <w:rPr>
          <w:sz w:val="16"/>
        </w:rPr>
        <w:t xml:space="preserve">—a risk that Immanuel Kant had once illustrated as follows: </w:t>
      </w:r>
    </w:p>
    <w:p w14:paraId="65517B6C" w14:textId="77777777" w:rsidR="00AC7390" w:rsidRPr="005526C7" w:rsidRDefault="00AC7390" w:rsidP="00AC7390">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01F8DAFE" w14:textId="77777777" w:rsidR="00AC7390" w:rsidRPr="00A51BB1" w:rsidRDefault="00AC7390" w:rsidP="00AC7390">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0006DE">
        <w:rPr>
          <w:rStyle w:val="StyleUnderline"/>
          <w:highlight w:val="cyan"/>
        </w:rPr>
        <w:t>hasty attributions of transformative potentials may</w:t>
      </w:r>
      <w:r w:rsidRPr="005526C7">
        <w:rPr>
          <w:sz w:val="16"/>
        </w:rPr>
        <w:t xml:space="preserve">—more than anything—contribute to ivy discourses (Westman and Castán Broto, 2022) which, despite their critical intentions, </w:t>
      </w:r>
      <w:r w:rsidRPr="000006DE">
        <w:rPr>
          <w:rStyle w:val="Emphasis"/>
          <w:highlight w:val="cyan"/>
        </w:rPr>
        <w:t>reinforce</w:t>
      </w:r>
      <w:r w:rsidRPr="00F33AB4">
        <w:rPr>
          <w:rStyle w:val="Emphasis"/>
        </w:rPr>
        <w:t xml:space="preserve"> rather than challenge </w:t>
      </w:r>
      <w:r w:rsidRPr="000006DE">
        <w:rPr>
          <w:rStyle w:val="Emphasis"/>
          <w:highlight w:val="cya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p w14:paraId="42F6064F" w14:textId="77777777" w:rsidR="00AC7390" w:rsidRDefault="00AC7390" w:rsidP="00AC7390">
      <w:pPr>
        <w:pStyle w:val="Heading3"/>
      </w:pPr>
      <w:r>
        <w:t>CA---1NC</w:t>
      </w:r>
    </w:p>
    <w:p w14:paraId="735CDBD7" w14:textId="77777777" w:rsidR="00AC7390" w:rsidRPr="00594F9F" w:rsidRDefault="00AC7390" w:rsidP="00AC7390">
      <w:pPr>
        <w:rPr>
          <w:rStyle w:val="Style13ptBold"/>
        </w:rPr>
      </w:pPr>
      <w:r w:rsidRPr="00594F9F">
        <w:rPr>
          <w:rStyle w:val="Style13ptBold"/>
          <w:u w:val="single"/>
        </w:rPr>
        <w:t>Citation Justice CA</w:t>
      </w:r>
      <w:r w:rsidRPr="00594F9F">
        <w:rPr>
          <w:rStyle w:val="Style13ptBold"/>
        </w:rPr>
        <w:t>:</w:t>
      </w:r>
    </w:p>
    <w:p w14:paraId="4C6AC177" w14:textId="77777777" w:rsidR="00AC7390" w:rsidRDefault="00AC7390" w:rsidP="00AC7390">
      <w:pPr>
        <w:pStyle w:val="Heading4"/>
      </w:pPr>
      <w:r>
        <w:t xml:space="preserve">Vote negative for conscientious engagement over the citational practices underpinning the 1AC and endorse </w:t>
      </w:r>
      <w:r w:rsidRPr="00AB7536">
        <w:t>transsexual militancy</w:t>
      </w:r>
      <w:r>
        <w:t xml:space="preserve"> if and only if it is compatible with citational justice that centers the experience of Black women.</w:t>
      </w:r>
    </w:p>
    <w:p w14:paraId="368CBD89" w14:textId="77777777" w:rsidR="00AC7390" w:rsidRDefault="00AC7390" w:rsidP="00AC7390"/>
    <w:p w14:paraId="504FF94D" w14:textId="77777777" w:rsidR="00AC7390" w:rsidRPr="009F3423" w:rsidRDefault="00AC7390" w:rsidP="00AC7390">
      <w:pPr>
        <w:pStyle w:val="Heading4"/>
      </w:pPr>
      <w:r>
        <w:t xml:space="preserve">It competes – method critiques are neg ground which implies that the 1AC is </w:t>
      </w:r>
      <w:r>
        <w:rPr>
          <w:u w:val="single"/>
        </w:rPr>
        <w:t>unconditionally</w:t>
      </w:r>
      <w:r>
        <w:t xml:space="preserve"> committed to their method. The counter-advocacy competes off </w:t>
      </w:r>
      <w:r w:rsidRPr="00660ABE">
        <w:rPr>
          <w:u w:val="single"/>
        </w:rPr>
        <w:t>certainty</w:t>
      </w:r>
      <w:r>
        <w:t xml:space="preserve"> and </w:t>
      </w:r>
      <w:r>
        <w:rPr>
          <w:u w:val="single"/>
        </w:rPr>
        <w:t>revision</w:t>
      </w:r>
      <w:r>
        <w:t xml:space="preserve"> – it is a distinct </w:t>
      </w:r>
      <w:r>
        <w:rPr>
          <w:u w:val="single"/>
        </w:rPr>
        <w:t>rubric</w:t>
      </w:r>
      <w:r>
        <w:t xml:space="preserve"> that establishes a </w:t>
      </w:r>
      <w:r w:rsidRPr="001D3EFE">
        <w:rPr>
          <w:u w:val="single"/>
        </w:rPr>
        <w:t>conditional test</w:t>
      </w:r>
      <w:r>
        <w:t xml:space="preserve"> of the 1AC’s advocacy. </w:t>
      </w:r>
    </w:p>
    <w:p w14:paraId="271BD238" w14:textId="77777777" w:rsidR="00AC7390" w:rsidRPr="00E710AE" w:rsidRDefault="00AC7390" w:rsidP="00AC7390"/>
    <w:p w14:paraId="715C809D" w14:textId="77777777" w:rsidR="00AC7390" w:rsidRPr="00140D2A" w:rsidRDefault="00AC7390" w:rsidP="00AC7390">
      <w:pPr>
        <w:pStyle w:val="Heading4"/>
      </w:pPr>
      <w:r>
        <w:t xml:space="preserve">The politics of citation reproduces dominant power structures that </w:t>
      </w:r>
      <w:r>
        <w:rPr>
          <w:u w:val="single"/>
        </w:rPr>
        <w:t>uniquely target</w:t>
      </w:r>
      <w:r>
        <w:t xml:space="preserve"> Black women – their exclusion from the norms of scholarly conversation are </w:t>
      </w:r>
      <w:r>
        <w:rPr>
          <w:u w:val="single"/>
        </w:rPr>
        <w:t>central</w:t>
      </w:r>
      <w:r>
        <w:t xml:space="preserve"> to white heterosexist imperial patriarchy. </w:t>
      </w:r>
    </w:p>
    <w:p w14:paraId="04BEF1D0" w14:textId="77777777" w:rsidR="00AC7390" w:rsidRPr="009803F0" w:rsidRDefault="00AC7390" w:rsidP="00AC7390">
      <w:pPr>
        <w:rPr>
          <w:rStyle w:val="Style13ptBold"/>
          <w:b w:val="0"/>
          <w:bCs w:val="0"/>
          <w:sz w:val="22"/>
          <w:szCs w:val="18"/>
        </w:rPr>
      </w:pPr>
      <w:r>
        <w:rPr>
          <w:rStyle w:val="Style13ptBold"/>
        </w:rPr>
        <w:t xml:space="preserve">Smith &amp; Garrett-Scott 21 </w:t>
      </w:r>
      <w:r w:rsidRPr="000006DE">
        <w:t>- *Associate Professor, Departments of African and African Diaspora Studies and Anthropology, **Ph.D. Student, Department of Sociology, The University of Texas at Austin (“We are not named”: Black women and the politics of citation in anthropology, DOI: 10.1002/fea2.12038 Feminist Anthropology 2021; 2: 18–37, Christen A. Smith1 and Dominique Garrett</w:t>
      </w:r>
      <w:r>
        <w:rPr>
          <w:rStyle w:val="Style13ptBold"/>
          <w:b w:val="0"/>
          <w:bCs w:val="0"/>
          <w:sz w:val="22"/>
          <w:szCs w:val="18"/>
        </w:rPr>
        <w:t>-Scott2) NAR</w:t>
      </w:r>
    </w:p>
    <w:p w14:paraId="2C4F65E5" w14:textId="77777777" w:rsidR="00AC7390" w:rsidRPr="0083431D" w:rsidRDefault="00AC7390" w:rsidP="00AC7390">
      <w:pPr>
        <w:rPr>
          <w:sz w:val="16"/>
        </w:rPr>
      </w:pPr>
      <w:r w:rsidRPr="000006DE">
        <w:rPr>
          <w:rStyle w:val="StyleUnderline"/>
          <w:highlight w:val="cyan"/>
        </w:rPr>
        <w:t>There is a tendency</w:t>
      </w:r>
      <w:r w:rsidRPr="001B25E0">
        <w:rPr>
          <w:rStyle w:val="StyleUnderline"/>
        </w:rPr>
        <w:t xml:space="preserve"> within the academy </w:t>
      </w:r>
      <w:r w:rsidRPr="000006DE">
        <w:rPr>
          <w:rStyle w:val="StyleUnderline"/>
          <w:highlight w:val="cyan"/>
        </w:rPr>
        <w:t>to privilege white, heterosexist</w:t>
      </w:r>
      <w:r w:rsidRPr="001B25E0">
        <w:rPr>
          <w:rStyle w:val="StyleUnderline"/>
        </w:rPr>
        <w:t xml:space="preserve">, </w:t>
      </w:r>
      <w:r w:rsidRPr="000006DE">
        <w:rPr>
          <w:rStyle w:val="StyleUnderline"/>
          <w:highlight w:val="cyan"/>
        </w:rPr>
        <w:t>patriarchal, and imperialist thought</w:t>
      </w:r>
      <w:r w:rsidRPr="0083431D">
        <w:rPr>
          <w:sz w:val="16"/>
        </w:rPr>
        <w:t xml:space="preserve">.26 That tendency is acute in anthropology. Although anthropology has been grappling with its colonialist and racist roots since at least the 1980s, we have yet to truly decolonize the racist and sexist epistemological assumptions that define our discipline. 27 </w:t>
      </w:r>
      <w:r w:rsidRPr="000006DE">
        <w:rPr>
          <w:rStyle w:val="StyleUnderline"/>
          <w:highlight w:val="cyan"/>
        </w:rPr>
        <w:t>Citing Black women might</w:t>
      </w:r>
      <w:r w:rsidRPr="00EF1DA0">
        <w:rPr>
          <w:rStyle w:val="StyleUnderline"/>
        </w:rPr>
        <w:t xml:space="preserve"> be one way to begin </w:t>
      </w:r>
      <w:r w:rsidRPr="000006DE">
        <w:rPr>
          <w:rStyle w:val="StyleUnderline"/>
          <w:highlight w:val="cyan"/>
        </w:rPr>
        <w:t>overturn</w:t>
      </w:r>
      <w:r w:rsidRPr="00EF1DA0">
        <w:rPr>
          <w:rStyle w:val="StyleUnderline"/>
        </w:rPr>
        <w:t xml:space="preserve">ing </w:t>
      </w:r>
      <w:r w:rsidRPr="000006DE">
        <w:rPr>
          <w:rStyle w:val="StyleUnderline"/>
          <w:highlight w:val="cyan"/>
        </w:rPr>
        <w:t>the</w:t>
      </w:r>
      <w:r w:rsidRPr="00EF1DA0">
        <w:rPr>
          <w:sz w:val="16"/>
        </w:rPr>
        <w:t xml:space="preserve"> patriarchal, heterosexist, imperialist, white supremacist </w:t>
      </w:r>
      <w:r w:rsidRPr="000006DE">
        <w:rPr>
          <w:rStyle w:val="Emphasis"/>
          <w:highlight w:val="cyan"/>
        </w:rPr>
        <w:t>structure</w:t>
      </w:r>
      <w:r w:rsidRPr="0083431D">
        <w:rPr>
          <w:sz w:val="16"/>
        </w:rPr>
        <w:t xml:space="preserve"> of anthropology. Yet </w:t>
      </w:r>
      <w:r w:rsidRPr="001B25E0">
        <w:rPr>
          <w:rStyle w:val="StyleUnderline"/>
        </w:rPr>
        <w:t>citing</w:t>
      </w:r>
      <w:r w:rsidRPr="0083431D">
        <w:rPr>
          <w:sz w:val="16"/>
        </w:rPr>
        <w:t xml:space="preserve"> Black </w:t>
      </w:r>
      <w:r w:rsidRPr="001B25E0">
        <w:rPr>
          <w:rStyle w:val="StyleUnderline"/>
        </w:rPr>
        <w:t>women is not simply a matter of including the reference for an idea in a bibliography</w:t>
      </w:r>
      <w:r w:rsidRPr="0083431D">
        <w:rPr>
          <w:sz w:val="16"/>
        </w:rPr>
        <w:t xml:space="preserve"> or text of a scholarly work. To undo anthropology’s marriage to white patriarchal, heterosexist, and imperialist supremacy as we know it, </w:t>
      </w:r>
      <w:r w:rsidRPr="000006DE">
        <w:rPr>
          <w:rStyle w:val="StyleUnderline"/>
          <w:highlight w:val="cyan"/>
        </w:rPr>
        <w:t>we must allow Black women’s epistemologies</w:t>
      </w:r>
      <w:r w:rsidRPr="0083431D">
        <w:rPr>
          <w:sz w:val="16"/>
        </w:rPr>
        <w:t>—not to be confused with Black women’s periodic reproductions of hegemonic white supremacist discourses—</w:t>
      </w:r>
      <w:r w:rsidRPr="000006DE">
        <w:rPr>
          <w:rStyle w:val="StyleUnderline"/>
          <w:highlight w:val="cyan"/>
        </w:rPr>
        <w:t>to dismantle the house</w:t>
      </w:r>
      <w:r w:rsidRPr="0083431D">
        <w:rPr>
          <w:sz w:val="16"/>
        </w:rPr>
        <w:t xml:space="preserve"> that anthropology has built. This is not a simple task. Indeed, Black women do, at times, fall back into the familiar tropes of undervaluing Black women’s knowledge production. Yet if we recognize that there are aspects of Black women’s epistemologies that have been historically antithetical to anthropology’s perception of its intellectual project, then to explore those areas of knowledge is also to unearth anthropology’s deepest fears, and potentially a clue to undoing it as we know it.</w:t>
      </w:r>
    </w:p>
    <w:p w14:paraId="7D04D7E8" w14:textId="77777777" w:rsidR="00AC7390" w:rsidRPr="0083431D" w:rsidRDefault="00AC7390" w:rsidP="00AC7390">
      <w:pPr>
        <w:rPr>
          <w:sz w:val="16"/>
        </w:rPr>
      </w:pPr>
      <w:r w:rsidRPr="0083431D">
        <w:rPr>
          <w:sz w:val="16"/>
        </w:rPr>
        <w:t xml:space="preserve">Racial upheaval struck the United States again in 2020. The public lynching of George Floyd in May 2020 reignited the country’s attention to the necropolitics of the US state, and the urgent need to end police killings of Black people. The national uprisings of summer 2020 also brought about a reckoning across US society, including the academy. Universities across the country issued statements against racism and scrambled to put together diversity and inclusion taskforces denouncing anti-Blackness. Anthropology found itself squarely in the center of the conversation. The Association of Black Anthropologists issued a strong statement in response to the national conversation, and organizations like the Wenner-Gren Foundation and the AAA worked to create public events and responses to the needs of the moment. However, as many Black women in the US academy observed on spaces like Twitter and Facebook, ironically, the burden of service still fell back on Black women. Black women faculty became increasingly overwhelmed by requests to put in extra hours serving on committees, writing statements, speaking on panels, and creating new syllabi. Nevertheless, despite this service work, many of the antiracist reading lists that academic departments and universities created to educate their communities failed to cite Black women. Books by Black men and white women from the New York Times best-sellers list became the gold standard while Black women’s scholarship took a back seat. What happens in moments of crisis reflects our social consciousness. </w:t>
      </w:r>
      <w:r w:rsidRPr="000006DE">
        <w:rPr>
          <w:rStyle w:val="StyleUnderline"/>
          <w:highlight w:val="cyan"/>
        </w:rPr>
        <w:t xml:space="preserve">If we are </w:t>
      </w:r>
      <w:r w:rsidRPr="00EF1DA0">
        <w:rPr>
          <w:rStyle w:val="StyleUnderline"/>
        </w:rPr>
        <w:t xml:space="preserve">truly </w:t>
      </w:r>
      <w:r w:rsidRPr="000006DE">
        <w:rPr>
          <w:rStyle w:val="StyleUnderline"/>
          <w:highlight w:val="cyan"/>
        </w:rPr>
        <w:t xml:space="preserve">to </w:t>
      </w:r>
      <w:r w:rsidRPr="00EF1DA0">
        <w:rPr>
          <w:rStyle w:val="StyleUnderline"/>
        </w:rPr>
        <w:t>dismantle</w:t>
      </w:r>
      <w:r w:rsidRPr="001B25E0">
        <w:rPr>
          <w:rStyle w:val="StyleUnderline"/>
        </w:rPr>
        <w:t xml:space="preserve"> patriarchal white supremacy and </w:t>
      </w:r>
      <w:r w:rsidRPr="000006DE">
        <w:rPr>
          <w:rStyle w:val="StyleUnderline"/>
          <w:highlight w:val="cyan"/>
        </w:rPr>
        <w:t>achieve antiracism</w:t>
      </w:r>
      <w:r w:rsidRPr="001B25E0">
        <w:rPr>
          <w:rStyle w:val="StyleUnderline"/>
        </w:rPr>
        <w:t xml:space="preserve"> </w:t>
      </w:r>
      <w:r w:rsidRPr="000006DE">
        <w:rPr>
          <w:rStyle w:val="StyleUnderline"/>
          <w:highlight w:val="cyan"/>
        </w:rPr>
        <w:t>and Black liberation</w:t>
      </w:r>
      <w:r w:rsidRPr="001B25E0">
        <w:rPr>
          <w:rStyle w:val="StyleUnderline"/>
        </w:rPr>
        <w:t xml:space="preserve">, </w:t>
      </w:r>
      <w:r w:rsidRPr="001B25E0">
        <w:rPr>
          <w:rStyle w:val="Emphasis"/>
        </w:rPr>
        <w:t xml:space="preserve">then </w:t>
      </w:r>
      <w:r w:rsidRPr="000006DE">
        <w:rPr>
          <w:rStyle w:val="Emphasis"/>
          <w:highlight w:val="cyan"/>
        </w:rPr>
        <w:t>we must cite Black women</w:t>
      </w:r>
      <w:r w:rsidRPr="001B25E0">
        <w:rPr>
          <w:rStyle w:val="Emphasis"/>
        </w:rPr>
        <w:t xml:space="preserve">. </w:t>
      </w:r>
      <w:r w:rsidRPr="000006DE">
        <w:rPr>
          <w:rStyle w:val="Emphasis"/>
          <w:highlight w:val="cyan"/>
        </w:rPr>
        <w:t>Otherwise, we</w:t>
      </w:r>
      <w:r w:rsidRPr="001B25E0">
        <w:rPr>
          <w:rStyle w:val="Emphasis"/>
        </w:rPr>
        <w:t xml:space="preserve"> are simply </w:t>
      </w:r>
      <w:r w:rsidRPr="000006DE">
        <w:rPr>
          <w:rStyle w:val="Emphasis"/>
          <w:highlight w:val="cyan"/>
        </w:rPr>
        <w:t>reify</w:t>
      </w:r>
      <w:r w:rsidRPr="00EF1DA0">
        <w:rPr>
          <w:rStyle w:val="Emphasis"/>
        </w:rPr>
        <w:t>ing</w:t>
      </w:r>
      <w:r w:rsidRPr="001B25E0">
        <w:rPr>
          <w:rStyle w:val="Emphasis"/>
        </w:rPr>
        <w:t xml:space="preserve"> old </w:t>
      </w:r>
      <w:r w:rsidRPr="000006DE">
        <w:rPr>
          <w:rStyle w:val="Emphasis"/>
          <w:highlight w:val="cyan"/>
        </w:rPr>
        <w:t xml:space="preserve">hierarchies of knowledge production and labor </w:t>
      </w:r>
      <w:r w:rsidRPr="00FB23E1">
        <w:rPr>
          <w:rStyle w:val="Emphasis"/>
        </w:rPr>
        <w:t>distribution</w:t>
      </w:r>
      <w:r w:rsidRPr="001B25E0">
        <w:rPr>
          <w:rStyle w:val="Emphasis"/>
        </w:rPr>
        <w:t>.</w:t>
      </w:r>
    </w:p>
    <w:p w14:paraId="3DDBD7B1" w14:textId="77777777" w:rsidR="00AC7390" w:rsidRPr="0083431D" w:rsidRDefault="00AC7390" w:rsidP="00AC7390">
      <w:pPr>
        <w:rPr>
          <w:sz w:val="16"/>
        </w:rPr>
      </w:pPr>
      <w:r w:rsidRPr="0083431D">
        <w:rPr>
          <w:sz w:val="16"/>
        </w:rPr>
        <w:t xml:space="preserve">To change the culture of gendered, racial, epistemological erasure in anthropology, we must redefine the structure of our citational world. This means going beyond haphazardly inserting sources into bibliographies. </w:t>
      </w:r>
      <w:r w:rsidRPr="0071594E">
        <w:rPr>
          <w:rStyle w:val="StyleUnderline"/>
        </w:rPr>
        <w:t xml:space="preserve">We must deeply engage with Black women’s ideas and experiences. </w:t>
      </w:r>
      <w:r w:rsidRPr="000006DE">
        <w:rPr>
          <w:rStyle w:val="StyleUnderline"/>
          <w:highlight w:val="cyan"/>
        </w:rPr>
        <w:t>We must read Black women’s work and allow it to shift the criteria by which we</w:t>
      </w:r>
      <w:r w:rsidRPr="0071594E">
        <w:rPr>
          <w:rStyle w:val="StyleUnderline"/>
        </w:rPr>
        <w:t xml:space="preserve"> understand, </w:t>
      </w:r>
      <w:r w:rsidRPr="000006DE">
        <w:rPr>
          <w:rStyle w:val="StyleUnderline"/>
          <w:highlight w:val="cyan"/>
        </w:rPr>
        <w:t>measure, and validate knowledge.</w:t>
      </w:r>
      <w:r w:rsidRPr="0071594E">
        <w:rPr>
          <w:rStyle w:val="StyleUnderline"/>
        </w:rPr>
        <w:t xml:space="preserve"> We must begin to see Black women as intellectual subjects,</w:t>
      </w:r>
      <w:r w:rsidRPr="0083431D">
        <w:rPr>
          <w:sz w:val="16"/>
        </w:rPr>
        <w:t xml:space="preserve"> not objects of anthropology. </w:t>
      </w:r>
      <w:r w:rsidRPr="000006DE">
        <w:rPr>
          <w:rStyle w:val="Emphasis"/>
          <w:highlight w:val="cyan"/>
        </w:rPr>
        <w:t>Tacking Black women onto a</w:t>
      </w:r>
      <w:r w:rsidRPr="0071594E">
        <w:rPr>
          <w:rStyle w:val="Emphasis"/>
        </w:rPr>
        <w:t xml:space="preserve"> syllabus or a </w:t>
      </w:r>
      <w:r w:rsidRPr="000006DE">
        <w:rPr>
          <w:rStyle w:val="Emphasis"/>
          <w:highlight w:val="cyan"/>
        </w:rPr>
        <w:t>footnote as an afterthought is not serious engagement</w:t>
      </w:r>
      <w:r w:rsidRPr="000006DE">
        <w:rPr>
          <w:sz w:val="16"/>
          <w:highlight w:val="cyan"/>
        </w:rPr>
        <w:t xml:space="preserve"> </w:t>
      </w:r>
      <w:r w:rsidRPr="000006DE">
        <w:rPr>
          <w:rStyle w:val="StyleUnderline"/>
          <w:highlight w:val="cyan"/>
        </w:rPr>
        <w:t>and</w:t>
      </w:r>
      <w:r w:rsidRPr="000006DE">
        <w:rPr>
          <w:sz w:val="16"/>
          <w:highlight w:val="cyan"/>
        </w:rPr>
        <w:t xml:space="preserve"> </w:t>
      </w:r>
      <w:r w:rsidRPr="000006DE">
        <w:rPr>
          <w:rStyle w:val="Emphasis"/>
          <w:highlight w:val="cyan"/>
        </w:rPr>
        <w:t>does not undo existing power structures</w:t>
      </w:r>
      <w:r w:rsidRPr="0083431D">
        <w:rPr>
          <w:sz w:val="16"/>
        </w:rPr>
        <w:t xml:space="preserve"> (see for example the work of the Cite Black Women Collective and "Cite Black Women: A Critical Praxis (A Statement)" in this special issue). </w:t>
      </w:r>
      <w:r w:rsidRPr="003301FE">
        <w:rPr>
          <w:rStyle w:val="StyleUnderline"/>
        </w:rPr>
        <w:t>There are ways that we can cite works without truly honoring their contributions</w:t>
      </w:r>
      <w:r w:rsidRPr="0083431D">
        <w:rPr>
          <w:sz w:val="16"/>
        </w:rPr>
        <w:t xml:space="preserve"> (e.g., Harrison 2008; Lutz 1990). </w:t>
      </w:r>
      <w:r w:rsidRPr="000006DE">
        <w:rPr>
          <w:rStyle w:val="StyleUnderline"/>
          <w:highlight w:val="cyan"/>
        </w:rPr>
        <w:t xml:space="preserve">We must make a </w:t>
      </w:r>
      <w:r w:rsidRPr="000006DE">
        <w:rPr>
          <w:rStyle w:val="Emphasis"/>
          <w:highlight w:val="cyan"/>
        </w:rPr>
        <w:t>deep investment</w:t>
      </w:r>
      <w:r w:rsidRPr="0083431D">
        <w:rPr>
          <w:sz w:val="16"/>
        </w:rPr>
        <w:t xml:space="preserve"> in deconstructing the hierarchy of knowledge production in anthropology to truly become an antiracist, anti-sexist discipline. </w:t>
      </w:r>
      <w:r w:rsidRPr="000006DE">
        <w:rPr>
          <w:rStyle w:val="StyleUnderline"/>
          <w:highlight w:val="cyan"/>
        </w:rPr>
        <w:t>If we do not</w:t>
      </w:r>
      <w:r w:rsidRPr="003301FE">
        <w:rPr>
          <w:rStyle w:val="StyleUnderline"/>
        </w:rPr>
        <w:t xml:space="preserve">, our </w:t>
      </w:r>
      <w:r w:rsidRPr="000006DE">
        <w:rPr>
          <w:rStyle w:val="StyleUnderline"/>
          <w:highlight w:val="cyan"/>
        </w:rPr>
        <w:t>diversity</w:t>
      </w:r>
      <w:r w:rsidRPr="003301FE">
        <w:rPr>
          <w:rStyle w:val="StyleUnderline"/>
        </w:rPr>
        <w:t xml:space="preserve"> efforts </w:t>
      </w:r>
      <w:r w:rsidRPr="000006DE">
        <w:rPr>
          <w:rStyle w:val="StyleUnderline"/>
          <w:highlight w:val="cyan"/>
        </w:rPr>
        <w:t>will</w:t>
      </w:r>
      <w:r w:rsidRPr="003301FE">
        <w:rPr>
          <w:rStyle w:val="StyleUnderline"/>
        </w:rPr>
        <w:t xml:space="preserve"> continue to </w:t>
      </w:r>
      <w:r w:rsidRPr="000006DE">
        <w:rPr>
          <w:rStyle w:val="StyleUnderline"/>
          <w:highlight w:val="cyan"/>
        </w:rPr>
        <w:t>be cosmetic</w:t>
      </w:r>
      <w:r w:rsidRPr="0083431D">
        <w:rPr>
          <w:sz w:val="16"/>
        </w:rPr>
        <w:t xml:space="preserve">—an illusion of inclusion that fails to fully engage with those at the margins. </w:t>
      </w:r>
      <w:r w:rsidRPr="000006DE">
        <w:rPr>
          <w:rStyle w:val="StyleUnderline"/>
          <w:highlight w:val="cyan"/>
        </w:rPr>
        <w:t>Citing</w:t>
      </w:r>
      <w:r w:rsidRPr="003301FE">
        <w:rPr>
          <w:rStyle w:val="StyleUnderline"/>
        </w:rPr>
        <w:t xml:space="preserve"> </w:t>
      </w:r>
      <w:r w:rsidRPr="000006DE">
        <w:rPr>
          <w:rStyle w:val="StyleUnderline"/>
          <w:highlight w:val="cyan"/>
        </w:rPr>
        <w:t>Black women is a method for radically restructuring our field</w:t>
      </w:r>
      <w:r w:rsidRPr="003301FE">
        <w:rPr>
          <w:rStyle w:val="StyleUnderline"/>
        </w:rPr>
        <w:t xml:space="preserve"> and making our epistemological world anew without the premise of inequality.</w:t>
      </w:r>
      <w:r w:rsidRPr="0083431D">
        <w:rPr>
          <w:sz w:val="16"/>
        </w:rPr>
        <w:t xml:space="preserve"> Citing Black women is not about creating new politics of erasure by ignoring all non-Black women. Rather, it is a political exercise intended to reprogram how we think about the politics of knowledge production. </w:t>
      </w:r>
    </w:p>
    <w:p w14:paraId="35EE773F" w14:textId="77777777" w:rsidR="00AC7390" w:rsidRDefault="00AC7390" w:rsidP="00AC7390">
      <w:pPr>
        <w:pStyle w:val="Heading4"/>
      </w:pPr>
      <w:r>
        <w:t>A prior-binding strategy of conscientious engagement offers a practical framework to ensure the aff avoids replicating the violence of citational practices.</w:t>
      </w:r>
    </w:p>
    <w:p w14:paraId="18616C7A" w14:textId="77777777" w:rsidR="00AC7390" w:rsidRDefault="00AC7390" w:rsidP="00AC7390">
      <w:pPr>
        <w:rPr>
          <w:rStyle w:val="Style13ptBold"/>
          <w:b w:val="0"/>
          <w:bCs w:val="0"/>
          <w:sz w:val="22"/>
          <w:szCs w:val="18"/>
        </w:rPr>
      </w:pPr>
      <w:r>
        <w:rPr>
          <w:rStyle w:val="Style13ptBold"/>
        </w:rPr>
        <w:t xml:space="preserve">Mott &amp; Cockayne 17 </w:t>
      </w:r>
      <w:r w:rsidRPr="000006DE">
        <w:t>– *department of Geography, rutgers, the State university of New Jersey,  **department of Geography and environmental Management, university of Waterloo (Carrie Mott &amp; Daniel Cockayne (2017): Citation matters: mobilizing the politics of citation toward a practice of ‘conscientious engagement’, Gender, Place &amp; Culture, DOI</w:t>
      </w:r>
      <w:r>
        <w:rPr>
          <w:rStyle w:val="Style13ptBold"/>
          <w:b w:val="0"/>
          <w:bCs w:val="0"/>
          <w:sz w:val="22"/>
          <w:szCs w:val="18"/>
        </w:rPr>
        <w:t>: 10.1080/0966369X.2017.1339022) NAR</w:t>
      </w:r>
    </w:p>
    <w:p w14:paraId="6C8B4DD3" w14:textId="77777777" w:rsidR="00AC7390" w:rsidRPr="00E13B83" w:rsidRDefault="00AC7390" w:rsidP="00AC7390">
      <w:pPr>
        <w:rPr>
          <w:sz w:val="16"/>
        </w:rPr>
      </w:pPr>
      <w:r w:rsidRPr="00E13B83">
        <w:rPr>
          <w:sz w:val="16"/>
        </w:rPr>
        <w:t xml:space="preserve">In addition to the conceptual framing above, here </w:t>
      </w:r>
      <w:r w:rsidRPr="000006DE">
        <w:rPr>
          <w:rStyle w:val="StyleUnderline"/>
          <w:highlight w:val="cyan"/>
        </w:rPr>
        <w:t xml:space="preserve">we offer practical strategies to rethink citation </w:t>
      </w:r>
      <w:r w:rsidRPr="000006DE">
        <w:rPr>
          <w:rStyle w:val="Emphasis"/>
          <w:highlight w:val="cyan"/>
        </w:rPr>
        <w:t>as a form of conscientious engagement</w:t>
      </w:r>
      <w:r w:rsidRPr="00E13B83">
        <w:rPr>
          <w:sz w:val="16"/>
        </w:rPr>
        <w:t xml:space="preserve">, rather than a metric of impact, excellence, or assumed authority. Some of these suggestions may allow individual scholars to (re)think their positionality relative to the sources they cite. Others are substantive ideas for further study. The </w:t>
      </w:r>
      <w:r w:rsidRPr="000226BD">
        <w:rPr>
          <w:rStyle w:val="StyleUnderline"/>
        </w:rPr>
        <w:t>suggestions are multi-scalar</w:t>
      </w:r>
      <w:r w:rsidRPr="00E13B83">
        <w:rPr>
          <w:sz w:val="16"/>
        </w:rPr>
        <w:t>, from action that implicates ourselves, our colleagues, and our departments; to journals, editorial teams, and reviewers; and finally to the broader context of universities and professional organizations.</w:t>
      </w:r>
    </w:p>
    <w:p w14:paraId="373578C3" w14:textId="77777777" w:rsidR="00AC7390" w:rsidRPr="00E13B83" w:rsidRDefault="00AC7390" w:rsidP="00AC7390">
      <w:pPr>
        <w:rPr>
          <w:sz w:val="16"/>
        </w:rPr>
      </w:pPr>
      <w:r w:rsidRPr="000006DE">
        <w:rPr>
          <w:rStyle w:val="StyleUnderline"/>
          <w:highlight w:val="cyan"/>
        </w:rPr>
        <w:t>We encourage authors to</w:t>
      </w:r>
      <w:r w:rsidRPr="000226BD">
        <w:rPr>
          <w:rStyle w:val="StyleUnderline"/>
        </w:rPr>
        <w:t xml:space="preserve"> </w:t>
      </w:r>
      <w:r w:rsidRPr="00E13B83">
        <w:rPr>
          <w:sz w:val="16"/>
        </w:rPr>
        <w:t xml:space="preserve">carefully </w:t>
      </w:r>
      <w:r w:rsidRPr="000226BD">
        <w:rPr>
          <w:rStyle w:val="StyleUnderline"/>
        </w:rPr>
        <w:t xml:space="preserve">read through and </w:t>
      </w:r>
      <w:r w:rsidRPr="000006DE">
        <w:rPr>
          <w:rStyle w:val="StyleUnderline"/>
          <w:highlight w:val="cyan"/>
        </w:rPr>
        <w:t>count the citations</w:t>
      </w:r>
      <w:r w:rsidRPr="000226BD">
        <w:rPr>
          <w:rStyle w:val="StyleUnderline"/>
        </w:rPr>
        <w:t xml:space="preserve"> in their list of references </w:t>
      </w:r>
      <w:r w:rsidRPr="000006DE">
        <w:rPr>
          <w:rStyle w:val="StyleUnderline"/>
          <w:highlight w:val="cyan"/>
        </w:rPr>
        <w:t>prior to submitting papers as a way to</w:t>
      </w:r>
      <w:r w:rsidRPr="000226BD">
        <w:rPr>
          <w:rStyle w:val="StyleUnderline"/>
        </w:rPr>
        <w:t xml:space="preserve"> self-consciously </w:t>
      </w:r>
      <w:r w:rsidRPr="000006DE">
        <w:rPr>
          <w:rStyle w:val="StyleUnderline"/>
          <w:highlight w:val="cyan"/>
        </w:rPr>
        <w:t>draw attention to</w:t>
      </w:r>
      <w:r w:rsidRPr="000226BD">
        <w:rPr>
          <w:rStyle w:val="StyleUnderline"/>
        </w:rPr>
        <w:t xml:space="preserve"> </w:t>
      </w:r>
      <w:r w:rsidRPr="000006DE">
        <w:rPr>
          <w:rStyle w:val="StyleUnderline"/>
          <w:highlight w:val="cyan"/>
        </w:rPr>
        <w:t>whose work is being reproduced</w:t>
      </w:r>
      <w:r w:rsidRPr="000226BD">
        <w:rPr>
          <w:rStyle w:val="StyleUnderline"/>
        </w:rPr>
        <w:t>.</w:t>
      </w:r>
      <w:r w:rsidRPr="00E13B83">
        <w:rPr>
          <w:sz w:val="16"/>
        </w:rPr>
        <w:t xml:space="preserve"> </w:t>
      </w:r>
      <w:r w:rsidRPr="000006DE">
        <w:rPr>
          <w:rStyle w:val="StyleUnderline"/>
          <w:highlight w:val="cyan"/>
        </w:rPr>
        <w:t>Think</w:t>
      </w:r>
      <w:r w:rsidRPr="00E13B83">
        <w:rPr>
          <w:sz w:val="16"/>
        </w:rPr>
        <w:t xml:space="preserve"> through </w:t>
      </w:r>
      <w:r w:rsidRPr="000006DE">
        <w:rPr>
          <w:rStyle w:val="StyleUnderline"/>
          <w:highlight w:val="cyan"/>
        </w:rPr>
        <w:t>how many women, people of color</w:t>
      </w:r>
      <w:r w:rsidRPr="000226BD">
        <w:rPr>
          <w:rStyle w:val="StyleUnderline"/>
        </w:rPr>
        <w:t xml:space="preserve">, </w:t>
      </w:r>
      <w:r w:rsidRPr="000006DE">
        <w:rPr>
          <w:rStyle w:val="StyleUnderline"/>
          <w:highlight w:val="cyan"/>
        </w:rPr>
        <w:t>early career scholars, graduate students, and non-academics are cited</w:t>
      </w:r>
      <w:r w:rsidRPr="00E13B83">
        <w:rPr>
          <w:sz w:val="16"/>
        </w:rPr>
        <w:t xml:space="preserve">. There are challenges to this approach, since it carries the risk in basing assumptions of gender or cisnormativity on particularly gendered names. However, though we might be able to tell little from a name, </w:t>
      </w:r>
      <w:r w:rsidRPr="000006DE">
        <w:rPr>
          <w:rStyle w:val="StyleUnderline"/>
          <w:highlight w:val="cyan"/>
        </w:rPr>
        <w:t>it may encourage scholars to</w:t>
      </w:r>
      <w:r w:rsidRPr="000226BD">
        <w:rPr>
          <w:rStyle w:val="StyleUnderline"/>
        </w:rPr>
        <w:t xml:space="preserve"> research and </w:t>
      </w:r>
      <w:r w:rsidRPr="000006DE">
        <w:rPr>
          <w:rStyle w:val="StyleUnderline"/>
          <w:highlight w:val="cyan"/>
        </w:rPr>
        <w:t>learn about the people that they cite</w:t>
      </w:r>
      <w:r w:rsidRPr="000226BD">
        <w:rPr>
          <w:rStyle w:val="StyleUnderline"/>
        </w:rPr>
        <w:t>.</w:t>
      </w:r>
      <w:r w:rsidRPr="00E13B83">
        <w:rPr>
          <w:sz w:val="16"/>
        </w:rPr>
        <w:t xml:space="preserve"> Citation counting is a relatively straightforward way to pay attention to whom we carry with us when we cite, and to be aware of the power dynamics that are unintentionally reproduced therein.</w:t>
      </w:r>
    </w:p>
    <w:p w14:paraId="196693E7" w14:textId="77777777" w:rsidR="00AC7390" w:rsidRPr="000226BD" w:rsidRDefault="00AC7390" w:rsidP="00AC7390">
      <w:pPr>
        <w:rPr>
          <w:rStyle w:val="StyleUnderline"/>
        </w:rPr>
      </w:pPr>
      <w:r w:rsidRPr="00E13B83">
        <w:rPr>
          <w:sz w:val="16"/>
        </w:rPr>
        <w:t xml:space="preserve">Questioning self-citation as a trend, especially for established scholars is also an important undertaking. </w:t>
      </w:r>
      <w:r w:rsidRPr="000226BD">
        <w:rPr>
          <w:rStyle w:val="StyleUnderline"/>
        </w:rPr>
        <w:t>Self-citation</w:t>
      </w:r>
      <w:r w:rsidRPr="00E13B83">
        <w:rPr>
          <w:sz w:val="16"/>
        </w:rPr>
        <w:t xml:space="preserve"> may be necessary for early-career scholars, but it can also be an uncritical technology that reproduces the established paradigm of white heteromasculine authority. A similar issue arises when established scholars cite only other established scholars out of habit or tacit mutual agreement. Such practices </w:t>
      </w:r>
      <w:r w:rsidRPr="000226BD">
        <w:rPr>
          <w:rStyle w:val="StyleUnderline"/>
        </w:rPr>
        <w:t>devalue</w:t>
      </w:r>
      <w:r w:rsidRPr="00E13B83">
        <w:rPr>
          <w:sz w:val="16"/>
        </w:rPr>
        <w:t xml:space="preserve"> </w:t>
      </w:r>
      <w:r w:rsidRPr="000226BD">
        <w:rPr>
          <w:rStyle w:val="StyleUnderline"/>
        </w:rPr>
        <w:t>those othered by white heteromasculinism, and leave little room for the change, creativity, and experimentation that often characterizes cutting-edge graduate and early-career scholarship</w:t>
      </w:r>
      <w:r w:rsidRPr="00E13B83">
        <w:rPr>
          <w:sz w:val="16"/>
        </w:rPr>
        <w:t xml:space="preserve">. These problems are doubled when we consider that geography, as a white heteromasculinist discipline, was founded through the exclusion of othered voices. Today, the field is more diverse, but this diversity is largely represented by earlier career scholars. </w:t>
      </w:r>
      <w:r w:rsidRPr="000006DE">
        <w:rPr>
          <w:rStyle w:val="StyleUnderline"/>
          <w:highlight w:val="cyan"/>
        </w:rPr>
        <w:t>Citing only tenured</w:t>
      </w:r>
      <w:r w:rsidRPr="00E13B83">
        <w:rPr>
          <w:sz w:val="16"/>
        </w:rPr>
        <w:t xml:space="preserve">, established </w:t>
      </w:r>
      <w:r w:rsidRPr="000006DE">
        <w:rPr>
          <w:rStyle w:val="StyleUnderline"/>
          <w:highlight w:val="cyan"/>
        </w:rPr>
        <w:t>scholars means</w:t>
      </w:r>
      <w:r w:rsidRPr="000226BD">
        <w:rPr>
          <w:rStyle w:val="StyleUnderline"/>
        </w:rPr>
        <w:t xml:space="preserve"> that </w:t>
      </w:r>
      <w:r w:rsidRPr="00E13B83">
        <w:rPr>
          <w:sz w:val="16"/>
        </w:rPr>
        <w:t xml:space="preserve">these </w:t>
      </w:r>
      <w:r w:rsidRPr="000006DE">
        <w:rPr>
          <w:rStyle w:val="StyleUnderline"/>
          <w:highlight w:val="cyan"/>
        </w:rPr>
        <w:t>voices are ignored</w:t>
      </w:r>
      <w:r w:rsidRPr="00E13B83">
        <w:rPr>
          <w:sz w:val="16"/>
        </w:rPr>
        <w:t xml:space="preserve">, especially when it is well-known that </w:t>
      </w:r>
      <w:r w:rsidRPr="000226BD">
        <w:rPr>
          <w:rStyle w:val="StyleUnderline"/>
        </w:rPr>
        <w:t>today’s brutally competitive academic job market continues to privilege the white heteromasculinist body.</w:t>
      </w:r>
    </w:p>
    <w:p w14:paraId="0F44CE33" w14:textId="77777777" w:rsidR="00AC7390" w:rsidRPr="00E13B83" w:rsidRDefault="00AC7390" w:rsidP="00AC7390">
      <w:pPr>
        <w:rPr>
          <w:sz w:val="16"/>
        </w:rPr>
      </w:pPr>
      <w:r w:rsidRPr="00E13B83">
        <w:rPr>
          <w:sz w:val="16"/>
        </w:rPr>
        <w:t xml:space="preserve">Through encouraging and valorizing collaboration and co-authorship, we can build deeper support for one another’s publishing practices (Pratt 2010), whether by formally publishing together, or through everyday experiences of communal self-reflection that can help to ‘make sense of our positionalities’ in the context of research and academic life (Kohl and McCutcheon 2015, 750). </w:t>
      </w:r>
      <w:r w:rsidRPr="000006DE">
        <w:rPr>
          <w:rStyle w:val="StyleUnderline"/>
          <w:highlight w:val="cyan"/>
        </w:rPr>
        <w:t>The hegemony of the single-authored</w:t>
      </w:r>
      <w:r w:rsidRPr="000226BD">
        <w:rPr>
          <w:rStyle w:val="StyleUnderline"/>
        </w:rPr>
        <w:t xml:space="preserve"> peer reviewed </w:t>
      </w:r>
      <w:r w:rsidRPr="000006DE">
        <w:rPr>
          <w:rStyle w:val="StyleUnderline"/>
          <w:highlight w:val="cyan"/>
        </w:rPr>
        <w:t>publication means</w:t>
      </w:r>
      <w:r w:rsidRPr="000226BD">
        <w:rPr>
          <w:rStyle w:val="StyleUnderline"/>
        </w:rPr>
        <w:t xml:space="preserve"> that certain </w:t>
      </w:r>
      <w:r w:rsidRPr="000006DE">
        <w:rPr>
          <w:rStyle w:val="StyleUnderline"/>
          <w:highlight w:val="cyan"/>
        </w:rPr>
        <w:t>scholars</w:t>
      </w:r>
      <w:r w:rsidRPr="00E13B83">
        <w:rPr>
          <w:sz w:val="16"/>
        </w:rPr>
        <w:t xml:space="preserve"> (especially students and early-career scholars) </w:t>
      </w:r>
      <w:r w:rsidRPr="000006DE">
        <w:rPr>
          <w:rStyle w:val="StyleUnderline"/>
          <w:highlight w:val="cyan"/>
        </w:rPr>
        <w:t>may be discouraged from writing and publishing</w:t>
      </w:r>
      <w:r w:rsidRPr="000226BD">
        <w:rPr>
          <w:rStyle w:val="StyleUnderline"/>
        </w:rPr>
        <w:t xml:space="preserve"> research at all</w:t>
      </w:r>
      <w:r w:rsidRPr="00E13B83">
        <w:rPr>
          <w:sz w:val="16"/>
        </w:rPr>
        <w:t xml:space="preserve">. </w:t>
      </w:r>
      <w:r w:rsidRPr="000226BD">
        <w:rPr>
          <w:rStyle w:val="StyleUnderline"/>
        </w:rPr>
        <w:t>Writing with others can make the process less daunting, and increases the rate at which one is able to publish</w:t>
      </w:r>
      <w:r w:rsidRPr="00E13B83">
        <w:rPr>
          <w:sz w:val="16"/>
        </w:rPr>
        <w:t xml:space="preserve">. Through co-authoring and sharing the labor associated with our academic production, we can aid one another in negotiating the world of publication and citation. </w:t>
      </w:r>
      <w:r w:rsidRPr="000226BD">
        <w:rPr>
          <w:rStyle w:val="Emphasis"/>
        </w:rPr>
        <w:t>Co-authoring</w:t>
      </w:r>
      <w:r w:rsidRPr="000226BD">
        <w:rPr>
          <w:rStyle w:val="StyleUnderline"/>
        </w:rPr>
        <w:t xml:space="preserve"> can be strategic tool of solidarity mobilized by established scholars in positions of power to help early-career academics position themselves</w:t>
      </w:r>
      <w:r w:rsidRPr="00E13B83">
        <w:rPr>
          <w:sz w:val="16"/>
        </w:rPr>
        <w:t xml:space="preserve">. Further, many geographers have acknowledged how writing together can be a powerful way to account for the fact that </w:t>
      </w:r>
      <w:r w:rsidRPr="000006DE">
        <w:rPr>
          <w:rStyle w:val="StyleUnderline"/>
          <w:highlight w:val="cyan"/>
        </w:rPr>
        <w:t>no work is ever truly ‘single-authored</w:t>
      </w:r>
      <w:r w:rsidRPr="000006DE">
        <w:rPr>
          <w:sz w:val="16"/>
          <w:highlight w:val="cyan"/>
        </w:rPr>
        <w:t>’</w:t>
      </w:r>
      <w:r w:rsidRPr="00E13B83">
        <w:rPr>
          <w:sz w:val="16"/>
        </w:rPr>
        <w:t xml:space="preserve"> (e.g. The Feminist Geography Reading Group 2000).</w:t>
      </w:r>
    </w:p>
    <w:p w14:paraId="5DA746BA" w14:textId="77777777" w:rsidR="00AC7390" w:rsidRPr="00E13B83" w:rsidRDefault="00AC7390" w:rsidP="00AC7390">
      <w:pPr>
        <w:rPr>
          <w:sz w:val="16"/>
        </w:rPr>
      </w:pPr>
      <w:r w:rsidRPr="00E13B83">
        <w:rPr>
          <w:sz w:val="16"/>
        </w:rPr>
        <w:t xml:space="preserve">It is difficult to make suggestions in the context of publication, editing, and review since the output of this work is highly variable, almost always unremunerated, and remains ‘behind-the-scenes.’ Yet, </w:t>
      </w:r>
      <w:r w:rsidRPr="000226BD">
        <w:rPr>
          <w:rStyle w:val="StyleUnderline"/>
        </w:rPr>
        <w:t>we feel that</w:t>
      </w:r>
      <w:r w:rsidRPr="00E13B83">
        <w:rPr>
          <w:sz w:val="16"/>
        </w:rPr>
        <w:t xml:space="preserve"> editors and </w:t>
      </w:r>
      <w:r w:rsidRPr="000006DE">
        <w:rPr>
          <w:rStyle w:val="Emphasis"/>
          <w:highlight w:val="cyan"/>
        </w:rPr>
        <w:t>reviewers</w:t>
      </w:r>
      <w:r w:rsidRPr="000006DE">
        <w:rPr>
          <w:sz w:val="16"/>
          <w:highlight w:val="cyan"/>
        </w:rPr>
        <w:t xml:space="preserve"> </w:t>
      </w:r>
      <w:r w:rsidRPr="000006DE">
        <w:rPr>
          <w:rStyle w:val="StyleUnderline"/>
          <w:highlight w:val="cyan"/>
        </w:rPr>
        <w:t>have a</w:t>
      </w:r>
      <w:r w:rsidRPr="000226BD">
        <w:rPr>
          <w:rStyle w:val="StyleUnderline"/>
        </w:rPr>
        <w:t xml:space="preserve"> </w:t>
      </w:r>
      <w:r w:rsidRPr="000006DE">
        <w:rPr>
          <w:rStyle w:val="StyleUnderline"/>
          <w:highlight w:val="cyan"/>
        </w:rPr>
        <w:t xml:space="preserve">responsibility to pay close attention to citation. </w:t>
      </w:r>
      <w:r w:rsidRPr="000006DE">
        <w:rPr>
          <w:rStyle w:val="Emphasis"/>
          <w:highlight w:val="cyan"/>
        </w:rPr>
        <w:t>Reviewers</w:t>
      </w:r>
      <w:r w:rsidRPr="000226BD">
        <w:rPr>
          <w:rStyle w:val="Emphasis"/>
        </w:rPr>
        <w:t xml:space="preserve"> and editors </w:t>
      </w:r>
      <w:r w:rsidRPr="000006DE">
        <w:rPr>
          <w:rStyle w:val="Emphasis"/>
          <w:highlight w:val="cyan"/>
        </w:rPr>
        <w:t>may prioritize suggesting the inclusion of additional authors, and discourage authors</w:t>
      </w:r>
      <w:r w:rsidRPr="000226BD">
        <w:rPr>
          <w:rStyle w:val="Emphasis"/>
        </w:rPr>
        <w:t xml:space="preserve"> </w:t>
      </w:r>
      <w:r w:rsidRPr="000006DE">
        <w:rPr>
          <w:rStyle w:val="Emphasis"/>
          <w:highlight w:val="cyan"/>
        </w:rPr>
        <w:t xml:space="preserve">from </w:t>
      </w:r>
      <w:r w:rsidRPr="001002EC">
        <w:rPr>
          <w:rStyle w:val="Emphasis"/>
        </w:rPr>
        <w:t>citing</w:t>
      </w:r>
      <w:r w:rsidRPr="000226BD">
        <w:rPr>
          <w:rStyle w:val="Emphasis"/>
        </w:rPr>
        <w:t xml:space="preserve"> themselves excessively or </w:t>
      </w:r>
      <w:r w:rsidRPr="000006DE">
        <w:rPr>
          <w:rStyle w:val="Emphasis"/>
          <w:highlight w:val="cyan"/>
        </w:rPr>
        <w:t>only citing a particular set of authors</w:t>
      </w:r>
      <w:r w:rsidRPr="00E13B83">
        <w:rPr>
          <w:sz w:val="16"/>
        </w:rPr>
        <w:t xml:space="preserve">. Reference lists that do not adhere to a journal or editors’ impressions of ‘successful performativity’ should not be grounds for rejection. Editorial boards might consider a policy and providing literature on citation in their guidelines for submission that could encompass some of the recommendations mentioned here. In accordance with the citational conventions of this journal, we have listed all names (rather than only last names, as is a more common citational practice) in our list of references. Beyond the journal’s requirements, we do feel that </w:t>
      </w:r>
      <w:r w:rsidRPr="00A65DBA">
        <w:rPr>
          <w:rStyle w:val="StyleUnderline"/>
        </w:rPr>
        <w:t>listing all names contributes to a conscientious practice of citation by not masking an author’s gender, and allowing those with multiple or non-Anglophone names to be better represented</w:t>
      </w:r>
      <w:r w:rsidRPr="00E13B83">
        <w:rPr>
          <w:sz w:val="16"/>
        </w:rPr>
        <w:t xml:space="preserve">. An argument could also be made that not listing one’s first name may be a strategy to protect oneself against discrimination, so it is important to be aware that these politics are not strightforward and do not lend themselves to easy solution without debate. </w:t>
      </w:r>
    </w:p>
    <w:p w14:paraId="7551435B" w14:textId="77777777" w:rsidR="00AC7390" w:rsidRPr="00E13B83" w:rsidRDefault="00AC7390" w:rsidP="00AC7390">
      <w:pPr>
        <w:rPr>
          <w:sz w:val="16"/>
        </w:rPr>
      </w:pPr>
      <w:r w:rsidRPr="00E13B83">
        <w:rPr>
          <w:sz w:val="16"/>
        </w:rPr>
        <w:t>At the level of our universities and professional institutions, it is important to include a wider range of practices in our definitions of academic ‘dissemination’ such as teaching, other forms of undergraduate engagement (e.g. field trips, community outreach), conference presentations, public talks, university service, newspaper articles, interviews, recorded talks, online blog posts, and artistic or multimedia projects. While it can be challenging to cite beyond a narrow range of acceptable forums, it is crucial that we do so in the interest of legitimating the multiple ways that knowledge is produced. We should de-emphasize the importance of ‘measurable’ outputs: citation cannot be adequately used as a proxy for quality, authority, or impact. When we acknowledge in the studies highlighted above that women, people of color, queer, and otherwise othered voices are marginalized or disregarded in academic publishing practices (Anonymous 2002; Domosh 2014b; Monk and Hanson 1982), it is insulting to assume that another’s work is not profoundly relevant and well-informed simply because their work is not well known, or because they are not highly cited. Some of these changes might be enacted in conversation with department chairs and others at our universities, or by gathering support and pressure for formal statements on standards written by and with professional institutions.</w:t>
      </w:r>
    </w:p>
    <w:p w14:paraId="4991E894" w14:textId="77777777" w:rsidR="00AC7390" w:rsidRPr="00E13B83" w:rsidRDefault="00AC7390" w:rsidP="00AC7390">
      <w:pPr>
        <w:rPr>
          <w:sz w:val="16"/>
        </w:rPr>
      </w:pPr>
      <w:r w:rsidRPr="00E13B83">
        <w:rPr>
          <w:sz w:val="16"/>
        </w:rPr>
        <w:t>In outlining an agenda for further research, it would be advantageous to see studies that draw attention to the reproduction of particular sets of voices by counting citations in ‘high impact’ geography journals. This could be a crowdsourced quantitative project with multiple investigators that follows the conceptual threads laid out in this article by connecting the performative nature of citation to concrete numbers in particular journals to reveal patterns of who is being cited by whom. In bringing together quantitative and qualitative research, combining counting with short interviews in which scholars discuss their citational practices might also provide rich opportunities for scholars to think through how they cite, and develop further strategies than the list presented here by engaging a variety of different perspectives.</w:t>
      </w:r>
    </w:p>
    <w:p w14:paraId="7D944C9B" w14:textId="77777777" w:rsidR="00AC7390" w:rsidRDefault="00AC7390" w:rsidP="00AC7390">
      <w:pPr>
        <w:rPr>
          <w:sz w:val="16"/>
        </w:rPr>
      </w:pPr>
      <w:r w:rsidRPr="000006DE">
        <w:rPr>
          <w:rStyle w:val="StyleUnderline"/>
          <w:highlight w:val="cyan"/>
        </w:rPr>
        <w:t>The point</w:t>
      </w:r>
      <w:r w:rsidRPr="00A65DBA">
        <w:rPr>
          <w:rStyle w:val="StyleUnderline"/>
        </w:rPr>
        <w:t xml:space="preserve"> of this list </w:t>
      </w:r>
      <w:r w:rsidRPr="000006DE">
        <w:rPr>
          <w:rStyle w:val="StyleUnderline"/>
          <w:highlight w:val="cyan"/>
        </w:rPr>
        <w:t>is not to establish prescriptive rules for citation politics. We raise awareness</w:t>
      </w:r>
      <w:r w:rsidRPr="00A65DBA">
        <w:rPr>
          <w:rStyle w:val="StyleUnderline"/>
        </w:rPr>
        <w:t xml:space="preserve"> of strategies that challenge established hierarchies</w:t>
      </w:r>
      <w:r w:rsidRPr="00E13B83">
        <w:rPr>
          <w:sz w:val="16"/>
        </w:rPr>
        <w:t xml:space="preserve"> in the discipline, but also to draw attention, through the performance of the somewhat mundane practice of citation, to how knowledge is (re)produced, and to think carefully through what constructing a list of references means and does. Performing a count of one’s references and finding a bit of information about who one is actually citing, for example, is a simple method to draw attention to citation as a technology that isn’t just a passive representation of things we read, but an active interrogation of who we include, who we exclude, and why. Finally, though we have been critical of some quantitative work in the third section of this article, we are fully supportive of quantitative research since we see value in examining how established voices have retained authority over the years in the discipline’s most read and respected journals.</w:t>
      </w:r>
    </w:p>
    <w:p w14:paraId="3D4BC427" w14:textId="77777777" w:rsidR="00AC7390" w:rsidRDefault="00AC7390" w:rsidP="00AC7390">
      <w:pPr>
        <w:pStyle w:val="Heading3"/>
      </w:pPr>
      <w:r>
        <w:t>K---1NC</w:t>
      </w:r>
    </w:p>
    <w:p w14:paraId="1EB0F119" w14:textId="77777777" w:rsidR="00AC7390" w:rsidRDefault="00AC7390" w:rsidP="00AC7390">
      <w:pPr>
        <w:rPr>
          <w:rStyle w:val="Style13ptBold"/>
        </w:rPr>
      </w:pPr>
      <w:r w:rsidRPr="00F0500B">
        <w:rPr>
          <w:rStyle w:val="Style13ptBold"/>
          <w:u w:val="single"/>
        </w:rPr>
        <w:t>Cap K</w:t>
      </w:r>
      <w:r>
        <w:rPr>
          <w:rStyle w:val="Style13ptBold"/>
        </w:rPr>
        <w:t>:</w:t>
      </w:r>
    </w:p>
    <w:p w14:paraId="051E1943" w14:textId="77777777" w:rsidR="00AC7390" w:rsidRPr="00DE10CD" w:rsidRDefault="00AC7390" w:rsidP="00AC7390">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6EBBD642" w14:textId="77777777" w:rsidR="00AC7390" w:rsidRPr="008E6D7C" w:rsidRDefault="00AC7390" w:rsidP="00AC7390">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3717A7A6" w14:textId="77777777" w:rsidR="00AC7390" w:rsidRDefault="00AC7390" w:rsidP="00AC7390">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218766F2" w14:textId="77777777" w:rsidR="00AC7390" w:rsidRPr="005A1C12" w:rsidRDefault="00AC7390" w:rsidP="00AC7390">
      <w:pPr>
        <w:pStyle w:val="Heading4"/>
      </w:pPr>
      <w:r>
        <w:t xml:space="preserve">The 1AC is a form of </w:t>
      </w:r>
      <w:r w:rsidRPr="003742BD">
        <w:rPr>
          <w:u w:val="single"/>
        </w:rPr>
        <w:t>petty bourgeois</w:t>
      </w:r>
      <w:r>
        <w:t xml:space="preserve"> that </w:t>
      </w:r>
      <w:r w:rsidRPr="003742BD">
        <w:rPr>
          <w:u w:val="single"/>
        </w:rPr>
        <w:t>valorizes</w:t>
      </w:r>
      <w:r>
        <w:t xml:space="preserve"> collective action in favor of ivory tower intellectualism.</w:t>
      </w:r>
    </w:p>
    <w:p w14:paraId="62850B02" w14:textId="77777777" w:rsidR="00AC7390" w:rsidRDefault="00AC7390" w:rsidP="00AC7390">
      <w:r w:rsidRPr="005A1C12">
        <w:rPr>
          <w:rStyle w:val="Style13ptBold"/>
        </w:rPr>
        <w:t>Arbor 20</w:t>
      </w:r>
      <w:r w:rsidRPr="005A1C12">
        <w:t xml:space="preserve"> [Erich Arbor (</w:t>
      </w:r>
      <w:r>
        <w:t>Studying and promoting the science and practice of Dialectical Materialism, helping to build a more disciplined Left</w:t>
      </w:r>
      <w:r w:rsidRPr="005A1C12">
        <w:t xml:space="preserve">), </w:t>
      </w:r>
      <w:r>
        <w:t>9-26-2020</w:t>
      </w:r>
      <w:r w:rsidRPr="005A1C12">
        <w:t>, "The Anti-Marxist Elitism of J. Sakai’s ‘Settlers’," Medium, https://erich-arbor.medium.com/the-anti-marxist-elitism-of-j-sakais-settlers-409ff2d496ee, njn]</w:t>
      </w:r>
    </w:p>
    <w:p w14:paraId="2504354D" w14:textId="77777777" w:rsidR="00AC7390" w:rsidRPr="005A1C12" w:rsidRDefault="00AC7390" w:rsidP="00AC7390">
      <w:pPr>
        <w:rPr>
          <w:sz w:val="16"/>
        </w:rPr>
      </w:pPr>
      <w:r w:rsidRPr="005A1C12">
        <w:rPr>
          <w:sz w:val="16"/>
        </w:rPr>
        <w:t xml:space="preserve">Across the history of organizing the masses of the working class, </w:t>
      </w:r>
      <w:r w:rsidRPr="005A1C12">
        <w:rPr>
          <w:rStyle w:val="StyleUnderline"/>
        </w:rPr>
        <w:t xml:space="preserve">certain forms of decadence and </w:t>
      </w:r>
      <w:r w:rsidRPr="005A1C12">
        <w:rPr>
          <w:rStyle w:val="Emphasis"/>
          <w:highlight w:val="cyan"/>
        </w:rPr>
        <w:t>distortions</w:t>
      </w:r>
      <w:r w:rsidRPr="005A1C12">
        <w:rPr>
          <w:rStyle w:val="StyleUnderline"/>
          <w:highlight w:val="cyan"/>
        </w:rPr>
        <w:t xml:space="preserve"> of theories</w:t>
      </w:r>
      <w:r w:rsidRPr="005A1C12">
        <w:rPr>
          <w:sz w:val="16"/>
        </w:rPr>
        <w:t xml:space="preserve">, histories, and tendencies </w:t>
      </w:r>
      <w:r w:rsidRPr="005A1C12">
        <w:rPr>
          <w:rStyle w:val="StyleUnderline"/>
        </w:rPr>
        <w:t xml:space="preserve">have </w:t>
      </w:r>
      <w:r w:rsidRPr="005A1C12">
        <w:rPr>
          <w:rStyle w:val="StyleUnderline"/>
          <w:highlight w:val="cyan"/>
        </w:rPr>
        <w:t xml:space="preserve">arisen within </w:t>
      </w:r>
      <w:r w:rsidRPr="005A1C12">
        <w:rPr>
          <w:rStyle w:val="Emphasis"/>
          <w:highlight w:val="cyan"/>
        </w:rPr>
        <w:t>Marxism</w:t>
      </w:r>
      <w:r w:rsidRPr="005A1C12">
        <w:rPr>
          <w:sz w:val="16"/>
        </w:rPr>
        <w:t xml:space="preserve">. Typically these </w:t>
      </w:r>
      <w:r w:rsidRPr="005A1C12">
        <w:rPr>
          <w:rStyle w:val="Emphasis"/>
          <w:highlight w:val="cyan"/>
        </w:rPr>
        <w:t>bastardizations</w:t>
      </w:r>
      <w:r w:rsidRPr="005A1C12">
        <w:rPr>
          <w:rStyle w:val="StyleUnderline"/>
          <w:highlight w:val="cyan"/>
        </w:rPr>
        <w:t xml:space="preserve"> of</w:t>
      </w:r>
      <w:r w:rsidRPr="005A1C12">
        <w:rPr>
          <w:rStyle w:val="StyleUnderline"/>
        </w:rPr>
        <w:t xml:space="preserve"> historical </w:t>
      </w:r>
      <w:r w:rsidRPr="005A1C12">
        <w:rPr>
          <w:rStyle w:val="StyleUnderline"/>
          <w:highlight w:val="cyan"/>
        </w:rPr>
        <w:t xml:space="preserve">materialism can be codified as </w:t>
      </w:r>
      <w:r w:rsidRPr="005A1C12">
        <w:rPr>
          <w:rStyle w:val="Emphasis"/>
          <w:highlight w:val="cyan"/>
        </w:rPr>
        <w:t>petty bourgeois</w:t>
      </w:r>
      <w:r w:rsidRPr="005A1C12">
        <w:rPr>
          <w:sz w:val="16"/>
        </w:rPr>
        <w:t xml:space="preserve">. We see these organizations, ideas, and figures throughout the history socialist struggle, </w:t>
      </w:r>
      <w:r w:rsidRPr="005A1C12">
        <w:rPr>
          <w:rStyle w:val="StyleUnderline"/>
          <w:highlight w:val="cyan"/>
        </w:rPr>
        <w:t>portraying themselves as</w:t>
      </w:r>
      <w:r w:rsidRPr="005A1C12">
        <w:rPr>
          <w:rStyle w:val="StyleUnderline"/>
        </w:rPr>
        <w:t xml:space="preserve"> in the interest of </w:t>
      </w:r>
      <w:r w:rsidRPr="005A1C12">
        <w:rPr>
          <w:rStyle w:val="StyleUnderline"/>
          <w:highlight w:val="cyan"/>
        </w:rPr>
        <w:t xml:space="preserve">working-class </w:t>
      </w:r>
      <w:r w:rsidRPr="005A1C12">
        <w:rPr>
          <w:rStyle w:val="Emphasis"/>
          <w:highlight w:val="cyan"/>
        </w:rPr>
        <w:t>liberation</w:t>
      </w:r>
      <w:r w:rsidRPr="005A1C12">
        <w:rPr>
          <w:rStyle w:val="StyleUnderline"/>
          <w:highlight w:val="cyan"/>
        </w:rPr>
        <w:t>, yet</w:t>
      </w:r>
      <w:r w:rsidRPr="005A1C12">
        <w:rPr>
          <w:rStyle w:val="StyleUnderline"/>
        </w:rPr>
        <w:t xml:space="preserve"> steeped </w:t>
      </w:r>
      <w:r w:rsidRPr="005A1C12">
        <w:rPr>
          <w:rStyle w:val="StyleUnderline"/>
          <w:highlight w:val="cyan"/>
        </w:rPr>
        <w:t xml:space="preserve">within utterly </w:t>
      </w:r>
      <w:r w:rsidRPr="005A1C12">
        <w:rPr>
          <w:rStyle w:val="Emphasis"/>
          <w:highlight w:val="cyan"/>
        </w:rPr>
        <w:t>bourgeois</w:t>
      </w:r>
      <w:r w:rsidRPr="005A1C12">
        <w:rPr>
          <w:rStyle w:val="StyleUnderline"/>
          <w:highlight w:val="cyan"/>
        </w:rPr>
        <w:t xml:space="preserve"> sympathies</w:t>
      </w:r>
      <w:r w:rsidRPr="005A1C12">
        <w:rPr>
          <w:rStyle w:val="StyleUnderline"/>
        </w:rPr>
        <w:t xml:space="preserve"> and reaction</w:t>
      </w:r>
      <w:r w:rsidRPr="005A1C12">
        <w:rPr>
          <w:sz w:val="16"/>
        </w:rPr>
        <w:t>.</w:t>
      </w:r>
    </w:p>
    <w:p w14:paraId="2D7DA231" w14:textId="77777777" w:rsidR="00AC7390" w:rsidRPr="005A1C12" w:rsidRDefault="00AC7390" w:rsidP="00AC7390">
      <w:pPr>
        <w:rPr>
          <w:sz w:val="16"/>
        </w:rPr>
      </w:pPr>
      <w:r w:rsidRPr="005A1C12">
        <w:rPr>
          <w:sz w:val="16"/>
        </w:rPr>
        <w:t xml:space="preserve">Petty bourgeois reaction is present in every single significant revolutionary event in recent history. Whether it be Bourgeois Liberals in the Paris Commune, the Mensheviks in the October Revolution, the Kuomintang in the Chinese Revolution, or the German Social Democrats in the Spartacist Uprising, these forces have continually stood against the interests and revolutionary character of the working class. </w:t>
      </w:r>
      <w:r w:rsidRPr="005A1C12">
        <w:rPr>
          <w:rStyle w:val="StyleUnderline"/>
        </w:rPr>
        <w:t>Each example represents a dereliction to the working class and highlights their subservience to the ruling bourgeoisie.</w:t>
      </w:r>
    </w:p>
    <w:p w14:paraId="47C3F5C3" w14:textId="77777777" w:rsidR="00AC7390" w:rsidRPr="005A1C12" w:rsidRDefault="00AC7390" w:rsidP="00AC7390">
      <w:pPr>
        <w:rPr>
          <w:sz w:val="16"/>
        </w:rPr>
      </w:pPr>
      <w:r w:rsidRPr="005A1C12">
        <w:rPr>
          <w:sz w:val="16"/>
        </w:rPr>
        <w:t xml:space="preserve">Currently, </w:t>
      </w:r>
      <w:r w:rsidRPr="005A1C12">
        <w:rPr>
          <w:rStyle w:val="StyleUnderline"/>
        </w:rPr>
        <w:t xml:space="preserve">a </w:t>
      </w:r>
      <w:r w:rsidRPr="005A1C12">
        <w:rPr>
          <w:rStyle w:val="StyleUnderline"/>
          <w:highlight w:val="cyan"/>
        </w:rPr>
        <w:t xml:space="preserve">petty bourgeois ideology </w:t>
      </w:r>
      <w:r w:rsidRPr="005A1C12">
        <w:rPr>
          <w:rStyle w:val="Emphasis"/>
          <w:highlight w:val="cyan"/>
        </w:rPr>
        <w:t>plagues</w:t>
      </w:r>
      <w:r w:rsidRPr="005A1C12">
        <w:rPr>
          <w:rStyle w:val="StyleUnderline"/>
        </w:rPr>
        <w:t xml:space="preserve"> the Western Socialist zeitgeist, which has largely been spread </w:t>
      </w:r>
      <w:r w:rsidRPr="005A1C12">
        <w:rPr>
          <w:rStyle w:val="StyleUnderline"/>
          <w:highlight w:val="cyan"/>
        </w:rPr>
        <w:t>by</w:t>
      </w:r>
      <w:r w:rsidRPr="005A1C12">
        <w:rPr>
          <w:rStyle w:val="StyleUnderline"/>
        </w:rPr>
        <w:t xml:space="preserve"> the work of writer </w:t>
      </w:r>
      <w:r w:rsidRPr="005A1C12">
        <w:rPr>
          <w:rStyle w:val="Emphasis"/>
          <w:highlight w:val="cyan"/>
        </w:rPr>
        <w:t>J. Sakai</w:t>
      </w:r>
      <w:r w:rsidRPr="005A1C12">
        <w:rPr>
          <w:sz w:val="16"/>
        </w:rPr>
        <w:t xml:space="preserve">. It evades a name, but we can refer to it as “First-World Third Worldism” (FWTW). </w:t>
      </w:r>
      <w:r w:rsidRPr="005A1C12">
        <w:rPr>
          <w:rStyle w:val="StyleUnderline"/>
        </w:rPr>
        <w:t>In most circles, it is taboo to present a single criticism of their book Settlers</w:t>
      </w:r>
      <w:r w:rsidRPr="005A1C12">
        <w:rPr>
          <w:sz w:val="16"/>
        </w:rPr>
        <w:t xml:space="preserve">, written in 1983. </w:t>
      </w:r>
      <w:r w:rsidRPr="005A1C12">
        <w:rPr>
          <w:rStyle w:val="Emphasis"/>
          <w:highlight w:val="cyan"/>
        </w:rPr>
        <w:t>Virtue signaling</w:t>
      </w:r>
      <w:r w:rsidRPr="005A1C12">
        <w:rPr>
          <w:rStyle w:val="StyleUnderline"/>
        </w:rPr>
        <w:t xml:space="preserve"> towards POC comrades</w:t>
      </w:r>
      <w:r w:rsidRPr="005A1C12">
        <w:rPr>
          <w:sz w:val="16"/>
        </w:rPr>
        <w:t xml:space="preserve">, FWTW’s own guilt </w:t>
      </w:r>
      <w:r w:rsidRPr="005A1C12">
        <w:rPr>
          <w:rStyle w:val="StyleUnderline"/>
        </w:rPr>
        <w:t xml:space="preserve">has </w:t>
      </w:r>
      <w:r w:rsidRPr="005A1C12">
        <w:rPr>
          <w:rStyle w:val="StyleUnderline"/>
          <w:highlight w:val="cyan"/>
        </w:rPr>
        <w:t>suspended historical</w:t>
      </w:r>
      <w:r w:rsidRPr="005A1C12">
        <w:rPr>
          <w:rStyle w:val="StyleUnderline"/>
        </w:rPr>
        <w:t xml:space="preserve"> materialist </w:t>
      </w:r>
      <w:r w:rsidRPr="005A1C12">
        <w:rPr>
          <w:rStyle w:val="StyleUnderline"/>
          <w:highlight w:val="cyan"/>
        </w:rPr>
        <w:t>analysis, not allowing critique of an</w:t>
      </w:r>
      <w:r w:rsidRPr="005A1C12">
        <w:rPr>
          <w:rStyle w:val="StyleUnderline"/>
        </w:rPr>
        <w:t xml:space="preserve"> ultraleftist, </w:t>
      </w:r>
      <w:r w:rsidRPr="005A1C12">
        <w:rPr>
          <w:rStyle w:val="StyleUnderline"/>
          <w:highlight w:val="cyan"/>
        </w:rPr>
        <w:t>anti-Marxist line</w:t>
      </w:r>
      <w:r w:rsidRPr="005A1C12">
        <w:rPr>
          <w:sz w:val="16"/>
        </w:rPr>
        <w:t xml:space="preserve">. Nevertheless, it must be confronted head-on, why a self-professed anonymous Maoist such as Sakai, </w:t>
      </w:r>
      <w:r w:rsidRPr="005A1C12">
        <w:rPr>
          <w:rStyle w:val="StyleUnderline"/>
          <w:highlight w:val="cyan"/>
        </w:rPr>
        <w:t xml:space="preserve">with </w:t>
      </w:r>
      <w:r w:rsidRPr="005A1C12">
        <w:rPr>
          <w:rStyle w:val="Emphasis"/>
          <w:highlight w:val="cyan"/>
        </w:rPr>
        <w:t>no known connection</w:t>
      </w:r>
      <w:r w:rsidRPr="005A1C12">
        <w:rPr>
          <w:rStyle w:val="StyleUnderline"/>
          <w:highlight w:val="cyan"/>
        </w:rPr>
        <w:t xml:space="preserve"> to organizing nor</w:t>
      </w:r>
      <w:r w:rsidRPr="005A1C12">
        <w:rPr>
          <w:rStyle w:val="StyleUnderline"/>
        </w:rPr>
        <w:t xml:space="preserve"> even </w:t>
      </w:r>
      <w:r w:rsidRPr="005A1C12">
        <w:rPr>
          <w:rStyle w:val="StyleUnderline"/>
          <w:highlight w:val="cyan"/>
        </w:rPr>
        <w:t>academic circles</w:t>
      </w:r>
      <w:r w:rsidRPr="005A1C12">
        <w:rPr>
          <w:sz w:val="16"/>
        </w:rPr>
        <w:t>, should be adopted, without question, at face value, by Marxist-Leninists.</w:t>
      </w:r>
    </w:p>
    <w:p w14:paraId="43B80A03" w14:textId="77777777" w:rsidR="00AC7390" w:rsidRPr="005A1C12" w:rsidRDefault="00AC7390" w:rsidP="00AC7390">
      <w:pPr>
        <w:rPr>
          <w:sz w:val="16"/>
        </w:rPr>
      </w:pPr>
      <w:r w:rsidRPr="005A1C12">
        <w:rPr>
          <w:rStyle w:val="StyleUnderline"/>
          <w:highlight w:val="cyan"/>
        </w:rPr>
        <w:t>The renowned Kevin Rashid Johnson</w:t>
      </w:r>
      <w:r w:rsidRPr="005A1C12">
        <w:rPr>
          <w:rStyle w:val="StyleUnderline"/>
        </w:rPr>
        <w:t xml:space="preserve">, Minister of Defense </w:t>
      </w:r>
      <w:r w:rsidRPr="005A1C12">
        <w:rPr>
          <w:rStyle w:val="StyleUnderline"/>
          <w:highlight w:val="cyan"/>
        </w:rPr>
        <w:t>of the New Afrikan Black Panther Party</w:t>
      </w:r>
      <w:r w:rsidRPr="005A1C12">
        <w:rPr>
          <w:rStyle w:val="StyleUnderline"/>
        </w:rPr>
        <w:t xml:space="preserve">, who is currently incarcerated in the Pendleton Correctional Facility in Indiana, has already decidedly </w:t>
      </w:r>
      <w:r w:rsidRPr="005A1C12">
        <w:rPr>
          <w:rStyle w:val="Emphasis"/>
          <w:highlight w:val="cyan"/>
        </w:rPr>
        <w:t>closed the case</w:t>
      </w:r>
      <w:r w:rsidRPr="005A1C12">
        <w:rPr>
          <w:rStyle w:val="StyleUnderline"/>
          <w:highlight w:val="cyan"/>
        </w:rPr>
        <w:t xml:space="preserve"> on Sakai</w:t>
      </w:r>
      <w:r w:rsidRPr="005A1C12">
        <w:rPr>
          <w:rStyle w:val="StyleUnderline"/>
        </w:rPr>
        <w:t>’s FWTW infantilism in this piece on the subject</w:t>
      </w:r>
      <w:r w:rsidRPr="005A1C12">
        <w:rPr>
          <w:sz w:val="16"/>
        </w:rPr>
        <w:t>. Anyone who has found the time to read Settlers should have no excuse for navigating this text. However, it can be a lengthy read, and this essay will reiterate and summarize Comrade Rashid Johnson’s points, as well as provide further examples of how the FWTW ideology corrupts the workers’ movement internationally, and how we should instead be moving forward.</w:t>
      </w:r>
    </w:p>
    <w:p w14:paraId="0664FC92" w14:textId="77777777" w:rsidR="00AC7390" w:rsidRPr="005A1C12" w:rsidRDefault="00AC7390" w:rsidP="00AC7390">
      <w:pPr>
        <w:rPr>
          <w:sz w:val="16"/>
        </w:rPr>
      </w:pPr>
      <w:r w:rsidRPr="005A1C12">
        <w:rPr>
          <w:sz w:val="16"/>
        </w:rPr>
        <w:t>Trotsky and his Ideology as a Case Study for Petty Bourgeois Reaction</w:t>
      </w:r>
    </w:p>
    <w:p w14:paraId="6B3A1A98" w14:textId="77777777" w:rsidR="00AC7390" w:rsidRPr="005A1C12" w:rsidRDefault="00AC7390" w:rsidP="00AC7390">
      <w:pPr>
        <w:rPr>
          <w:sz w:val="16"/>
        </w:rPr>
      </w:pPr>
      <w:r w:rsidRPr="005A1C12">
        <w:rPr>
          <w:sz w:val="16"/>
        </w:rPr>
        <w:t>Leon Trotsky had a well-documented disregard, and in many cases, outright resentment for the peasantry of Russia. Growing up in a wealthier Jewish family of farmers in Ukraine, he had refused to learn the language of Yiddish which was spoken across the Pale of Settlement among the Jewish working class, seeing it as beneath him. This made matters difficult in his attempted interactions with the majority of Jewish peasantry, as most were banned outright from being literate in Russian during the Tsarist period.</w:t>
      </w:r>
    </w:p>
    <w:p w14:paraId="2F1B23D8" w14:textId="77777777" w:rsidR="00AC7390" w:rsidRPr="005A1C12" w:rsidRDefault="00AC7390" w:rsidP="00AC7390">
      <w:pPr>
        <w:rPr>
          <w:sz w:val="16"/>
        </w:rPr>
      </w:pPr>
      <w:r w:rsidRPr="005A1C12">
        <w:rPr>
          <w:sz w:val="16"/>
        </w:rPr>
        <w:t>A Menshevik merely until weeks before the Bolsheviks took power in Russia, Trotsky is a petty bourgeois figure within Soviet history. While he made significant military successes towards the Bolshevik cause in the newly created Soviet Union, his belief in socialism was rooted not in the wants and needs of the Soviet working class, but contradiction-laden, bourgeois, academic, and adventurist ideals. In his theories on permanent revolution, a concept many self-identifying Trotskyists fail to understand themselves, an assemblage of petty bourgeois theory is made crystal-clear.</w:t>
      </w:r>
    </w:p>
    <w:p w14:paraId="3F3ADB3A" w14:textId="77777777" w:rsidR="00AC7390" w:rsidRPr="005A1C12" w:rsidRDefault="00AC7390" w:rsidP="00AC7390">
      <w:pPr>
        <w:rPr>
          <w:sz w:val="16"/>
        </w:rPr>
      </w:pPr>
      <w:r w:rsidRPr="005A1C12">
        <w:rPr>
          <w:sz w:val="16"/>
        </w:rPr>
        <w:t>Trotsky and his followers believe that only in the industrialized world can socialism truly succeed, and while revolutions can experience success in less developed regions, as was Russia in the early 20th century, they can only become outposts for international revolution. This runs counter to Marxism-Leninism’s Socialism in One Country theory put forward by Joseph Stalin and Nikolai Bukharin, in which wherever a socialist revolution allows communists to take power, they should be interested in building up productive forces such as industry and agricultural collectivization, rather than prolonged international class war.</w:t>
      </w:r>
    </w:p>
    <w:p w14:paraId="4FF91E08" w14:textId="77777777" w:rsidR="00AC7390" w:rsidRPr="005A1C12" w:rsidRDefault="00AC7390" w:rsidP="00AC7390">
      <w:pPr>
        <w:rPr>
          <w:sz w:val="16"/>
        </w:rPr>
      </w:pPr>
      <w:r w:rsidRPr="005A1C12">
        <w:rPr>
          <w:sz w:val="16"/>
        </w:rPr>
        <w:t>Permanent Revolution has effectively proven to be a failing ideology in building socialism, not only against the successes of Socialism in One Country projects that built actually-existing-socialism in the Soviet Union, China, Korea, Cuba, and Vietnam, but because of how void Trotskyism is of a proletarian character.</w:t>
      </w:r>
    </w:p>
    <w:p w14:paraId="2301EA35" w14:textId="77777777" w:rsidR="00AC7390" w:rsidRPr="005A1C12" w:rsidRDefault="00AC7390" w:rsidP="00AC7390">
      <w:pPr>
        <w:rPr>
          <w:sz w:val="16"/>
        </w:rPr>
      </w:pPr>
      <w:r w:rsidRPr="005A1C12">
        <w:rPr>
          <w:sz w:val="16"/>
        </w:rPr>
        <w:t>What do we mean when we say ideology is “void of proletarian character”? We simply mean that the effects of an ideology’s propagation and successive implementation run contrary to the working class as a whole. In effect, it is petty bourgeois; formed in the interests of reactionary elitist liberalism. We see this at first in the fact that the overwhelming majority of Russian, and later Soviet, citizens did not want to be fighting an imperialist war. The phrase “Land, Bread, and Peace” characterized the 1917 Soviet Decrees, declaring the redistribution of land, worker’s rights, and exit from all imperialist wars. Thus, it is naïve, and can only be categorized as petty bourgeois adventurism to declare a permanent revolution necessary. The working class of Russia wanted peace, not further war. Trotsky’s bourgeois character ran in direct conflict with the needs and wants of the working people of the Soviet Union.</w:t>
      </w:r>
    </w:p>
    <w:p w14:paraId="1B82A9CE" w14:textId="77777777" w:rsidR="00AC7390" w:rsidRPr="005A1C12" w:rsidRDefault="00AC7390" w:rsidP="00AC7390">
      <w:pPr>
        <w:rPr>
          <w:sz w:val="16"/>
        </w:rPr>
      </w:pPr>
      <w:r w:rsidRPr="005A1C12">
        <w:rPr>
          <w:sz w:val="16"/>
        </w:rPr>
        <w:t>To summarize this, one only needs to see which individuals have championed Trotskyism, and thus embodied the class character of Trotskyism. Trotsky himself collaborated with the United States, incriminating Communists who worked to fight Fascist Franco in Spain, during his time in Mexico:</w:t>
      </w:r>
    </w:p>
    <w:p w14:paraId="7EB9004D" w14:textId="77777777" w:rsidR="00AC7390" w:rsidRPr="005A1C12" w:rsidRDefault="00AC7390" w:rsidP="00AC7390">
      <w:pPr>
        <w:rPr>
          <w:sz w:val="16"/>
        </w:rPr>
      </w:pPr>
      <w:r w:rsidRPr="005A1C12">
        <w:rPr>
          <w:sz w:val="16"/>
        </w:rPr>
        <w:t>In June [1940], Robert McGregor of the [US] Consulate met with Trotsky in his home… he met again with Trotsky on 13 July… Trotsky told McGregor in detail of the allegations and evidence he had compiled… He gave to McGregor the names of Mexican publications, political and labour leaders, and government officials allegedly associated with the PCM [Mexico and the USSR were the only countries in the world to materially support the fight against Franco’s Fascism in the Spanish Civil War 1936–39]. He charged that one of the Comintern’s [the Communist international’s] leading agents, Carlos Contreras served on the PCM Directing Committee. He also discussed the alleged efforts of Narciso Bassols, former Mexican Ambassador to France, whom Trotsky claimed was a Soviet agent, to get him deported from Mexico.</w:t>
      </w:r>
    </w:p>
    <w:p w14:paraId="1A4D7A38" w14:textId="77777777" w:rsidR="00AC7390" w:rsidRPr="001A629A" w:rsidRDefault="00AC7390" w:rsidP="00AC7390">
      <w:pPr>
        <w:rPr>
          <w:sz w:val="16"/>
        </w:rPr>
      </w:pPr>
      <w:r w:rsidRPr="005A1C12">
        <w:rPr>
          <w:sz w:val="16"/>
        </w:rPr>
        <w:t>Max Schachtman, considered the father of Trotskyism in the United States, completely condemned the Soviet Union as being equal to the capitalist west in impeding true socialism, yet later defended the imperialist actions of the United States in Vietnam. Tony Cliff, a similar figure of Schachtman from the United Kingdom, declared a strict position of neutrality towards the Korean War, claiming the Soviet Union and the United States were equal in having imperial motives in Korea. While the USSR was providing medical and air support to the newly-established Democratic People’s Republic of Korea, the United States was carpet-bombing Korea indiscriminately, as well as committing war crimes such as the No Gun Ri Massacre in 1950. Trotsky and his disciples should learn from the masses, not the other way around.</w:t>
      </w:r>
    </w:p>
    <w:p w14:paraId="29566DB8" w14:textId="77777777" w:rsidR="00AC7390" w:rsidRPr="00D14E4B" w:rsidRDefault="00AC7390" w:rsidP="00AC7390">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73BBE83C" w14:textId="77777777" w:rsidR="00AC7390" w:rsidRPr="008E6D7C" w:rsidRDefault="00AC7390" w:rsidP="00AC7390">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0AC92F13" w14:textId="77777777" w:rsidR="00AC7390" w:rsidRPr="008E6D7C" w:rsidRDefault="00AC7390" w:rsidP="00AC7390">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631FA752" w14:textId="77777777" w:rsidR="00AC7390" w:rsidRPr="008E6D7C" w:rsidRDefault="00AC7390" w:rsidP="00AC7390">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5062D033" w14:textId="77777777" w:rsidR="00AC7390" w:rsidRPr="008E6D7C" w:rsidRDefault="00AC7390" w:rsidP="00AC7390">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79DA2571" w14:textId="77777777" w:rsidR="00AC7390" w:rsidRPr="008E6D7C" w:rsidRDefault="00AC7390" w:rsidP="00AC7390">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40DB55FD" w14:textId="77777777" w:rsidR="00AC7390" w:rsidRPr="008E6D7C" w:rsidRDefault="00AC7390" w:rsidP="00AC7390">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397EA127" w14:textId="77777777" w:rsidR="00AC7390" w:rsidRPr="008E6D7C" w:rsidRDefault="00AC7390" w:rsidP="00AC7390">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49F931A1" w14:textId="77777777" w:rsidR="00AC7390" w:rsidRPr="008E6D7C" w:rsidRDefault="00AC7390" w:rsidP="00AC7390">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77F1CCDE" w14:textId="77777777" w:rsidR="00AC7390" w:rsidRPr="008E6D7C" w:rsidRDefault="00AC7390" w:rsidP="00AC7390">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124D699F" w14:textId="77777777" w:rsidR="00AC7390" w:rsidRPr="008E6D7C" w:rsidRDefault="00AC7390" w:rsidP="00AC7390">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3ED9ADBD" w14:textId="77777777" w:rsidR="00AC7390" w:rsidRPr="008E6D7C" w:rsidRDefault="00AC7390" w:rsidP="00AC7390">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3FEAEF3F" w14:textId="77777777" w:rsidR="00AC7390" w:rsidRPr="008E6D7C" w:rsidRDefault="00AC7390" w:rsidP="00AC7390">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32E91795" w14:textId="77777777" w:rsidR="00AC7390" w:rsidRPr="008E6D7C" w:rsidRDefault="00AC7390" w:rsidP="00AC7390">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333A84D9" w14:textId="77777777" w:rsidR="00AC7390" w:rsidRPr="008E6D7C" w:rsidRDefault="00AC7390" w:rsidP="00AC7390">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67074AE0" w14:textId="77777777" w:rsidR="00AC7390" w:rsidRPr="00943BA9" w:rsidRDefault="00AC7390" w:rsidP="00AC7390">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1DD06F9C" w14:textId="77777777" w:rsidR="00AC7390" w:rsidRPr="003673F1" w:rsidRDefault="00AC7390" w:rsidP="00AC7390">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60566D4A" w14:textId="77777777" w:rsidR="00AC7390" w:rsidRPr="00F21DAC" w:rsidRDefault="00AC7390" w:rsidP="00AC7390">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6EABA3DF" w14:textId="77777777" w:rsidR="00AC7390" w:rsidRDefault="00AC7390" w:rsidP="00AC7390">
      <w:pPr>
        <w:rPr>
          <w:rFonts w:eastAsia="Calibri"/>
          <w:sz w:val="12"/>
        </w:rPr>
      </w:pPr>
      <w:r w:rsidRPr="008E6D7C">
        <w:rPr>
          <w:rFonts w:eastAsia="Calibri"/>
          <w:sz w:val="16"/>
        </w:rPr>
        <w:t>CM: Great to have you on the show.</w:t>
      </w:r>
    </w:p>
    <w:p w14:paraId="49BA82BE" w14:textId="77777777" w:rsidR="00AC7390" w:rsidRDefault="00AC7390" w:rsidP="00AC7390">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1336A00C" w14:textId="77777777" w:rsidR="00AC7390" w:rsidRDefault="00AC7390" w:rsidP="00AC7390">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31A6AADA" w14:textId="77777777" w:rsidR="00AC7390" w:rsidRDefault="00AC7390" w:rsidP="00AC7390">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61F53367" w14:textId="77777777" w:rsidR="00AC7390" w:rsidRDefault="00AC7390" w:rsidP="00AC7390">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16C1D7D4" w14:textId="77777777" w:rsidR="00AC7390" w:rsidRDefault="00AC7390" w:rsidP="00AC7390">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25819897" w14:textId="77777777" w:rsidR="00AC7390" w:rsidRDefault="00AC7390" w:rsidP="00AC7390">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77C791A6" w14:textId="77777777" w:rsidR="00AC7390" w:rsidRDefault="00AC7390" w:rsidP="00AC7390">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3E2B815E" w14:textId="77777777" w:rsidR="00AC7390" w:rsidRDefault="00AC7390" w:rsidP="00AC7390">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260EDAED" w14:textId="77777777" w:rsidR="00AC7390" w:rsidRDefault="00AC7390" w:rsidP="00AC7390">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22F17F88" w14:textId="77777777" w:rsidR="00AC7390" w:rsidRDefault="00AC7390" w:rsidP="00AC7390">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25B6382F" w14:textId="77777777" w:rsidR="00AC7390" w:rsidRDefault="00AC7390" w:rsidP="00AC7390">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5A962A41" w14:textId="77777777" w:rsidR="00AC7390" w:rsidRDefault="00AC7390" w:rsidP="00AC7390">
      <w:pPr>
        <w:rPr>
          <w:rFonts w:eastAsia="Calibri"/>
          <w:sz w:val="12"/>
        </w:rPr>
      </w:pPr>
      <w:r w:rsidRPr="008E6D7C">
        <w:rPr>
          <w:rFonts w:eastAsia="Calibri"/>
          <w:sz w:val="16"/>
        </w:rPr>
        <w:t>CM: You were saying that the left denies its own collectivity. Is that only in the US? Is that unique to the US culture of the left?</w:t>
      </w:r>
    </w:p>
    <w:p w14:paraId="4DDFEEE2" w14:textId="77777777" w:rsidR="00AC7390" w:rsidRDefault="00AC7390" w:rsidP="00AC7390">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22DC23D4" w14:textId="77777777" w:rsidR="00AC7390" w:rsidRDefault="00AC7390" w:rsidP="00AC7390">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725739AE" w14:textId="77777777" w:rsidR="00AC7390" w:rsidRDefault="00AC7390" w:rsidP="00AC7390">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174CB4DC" w14:textId="77777777" w:rsidR="00AC7390" w:rsidRDefault="00AC7390" w:rsidP="00AC7390">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74C31E15" w14:textId="77777777" w:rsidR="00AC7390" w:rsidRDefault="00AC7390" w:rsidP="00AC7390">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7C65F460" w14:textId="77777777" w:rsidR="00AC7390" w:rsidRDefault="00AC7390" w:rsidP="00AC7390">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6E5D04AD" w14:textId="77777777" w:rsidR="00AC7390" w:rsidRDefault="00AC7390" w:rsidP="00AC7390">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01896028" w14:textId="77777777" w:rsidR="00AC7390" w:rsidRDefault="00AC7390" w:rsidP="00AC7390">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0E3A8306" w14:textId="77777777" w:rsidR="00AC7390" w:rsidRDefault="00AC7390" w:rsidP="00AC7390">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75C14243" w14:textId="77777777" w:rsidR="00AC7390" w:rsidRDefault="00AC7390" w:rsidP="00AC7390">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1217FBD1" w14:textId="77777777" w:rsidR="00AC7390" w:rsidRDefault="00AC7390" w:rsidP="00AC7390">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3D243959" w14:textId="77777777" w:rsidR="00AC7390" w:rsidRDefault="00AC7390" w:rsidP="00AC7390">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31B8DC8E" w14:textId="77777777" w:rsidR="00AC7390" w:rsidRDefault="00AC7390" w:rsidP="00AC7390">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1BF20988" w14:textId="77777777" w:rsidR="00AC7390" w:rsidRDefault="00AC7390" w:rsidP="00AC7390">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2F6466FF" w14:textId="77777777" w:rsidR="00AC7390" w:rsidRDefault="00AC7390" w:rsidP="00AC7390">
      <w:pPr>
        <w:rPr>
          <w:rFonts w:eastAsia="Calibri"/>
          <w:sz w:val="12"/>
        </w:rPr>
      </w:pPr>
      <w:r w:rsidRPr="008E6D7C">
        <w:rPr>
          <w:rFonts w:eastAsia="Calibri"/>
          <w:sz w:val="16"/>
        </w:rPr>
        <w:t>When you say that a party could be a solution for a movement like Occupy, you don’t mean the Democratic Party, do you?</w:t>
      </w:r>
    </w:p>
    <w:p w14:paraId="39D00E24" w14:textId="77777777" w:rsidR="00AC7390" w:rsidRDefault="00AC7390" w:rsidP="00AC7390">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7DBB5C2F" w14:textId="77777777" w:rsidR="00AC7390" w:rsidRDefault="00AC7390" w:rsidP="00AC7390">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17CC6080" w14:textId="77777777" w:rsidR="00AC7390" w:rsidRDefault="00AC7390" w:rsidP="00AC7390">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169ED7DC" w14:textId="77777777" w:rsidR="00AC7390" w:rsidRDefault="00AC7390" w:rsidP="00AC7390">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66CBBFBA" w14:textId="77777777" w:rsidR="00AC7390" w:rsidRDefault="00AC7390" w:rsidP="00AC7390">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3187343D" w14:textId="77777777" w:rsidR="00AC7390" w:rsidRDefault="00AC7390" w:rsidP="00AC7390">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2AEBD0B1" w14:textId="2FA251B0" w:rsidR="00AC7390" w:rsidRDefault="00AC7390" w:rsidP="00AC7390">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00107C61" w:rsidRPr="00107C61">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33B1E98C" w14:textId="77777777" w:rsidR="00AC7390" w:rsidRDefault="00AC7390" w:rsidP="00AC7390">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4B597221" w14:textId="77777777" w:rsidR="00AC7390" w:rsidRDefault="00AC7390" w:rsidP="00AC7390">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417C46C3" w14:textId="2ADCA087" w:rsidR="00AC7390" w:rsidRDefault="00AC7390" w:rsidP="00AC7390">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00107C61" w:rsidRPr="00107C61">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00107C61" w:rsidRPr="00107C61">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57B37A75" w14:textId="77777777" w:rsidR="00AC7390" w:rsidRDefault="00AC7390" w:rsidP="00AC7390">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1B6DCF9F" w14:textId="77777777" w:rsidR="00AC7390" w:rsidRDefault="00AC7390" w:rsidP="00AC7390">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5EC2B690" w14:textId="77777777" w:rsidR="00AC7390" w:rsidRDefault="00AC7390" w:rsidP="00AC7390">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6EE2AE2B" w14:textId="77777777" w:rsidR="00AC7390" w:rsidRDefault="00AC7390" w:rsidP="00AC7390">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09408B21" w14:textId="77777777" w:rsidR="00AC7390" w:rsidRDefault="00AC7390" w:rsidP="00AC7390">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0C262CDC" w14:textId="77777777" w:rsidR="00AC7390" w:rsidRDefault="00AC7390" w:rsidP="00AC7390">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2F93AC6B" w14:textId="77777777" w:rsidR="00AC7390" w:rsidRDefault="00AC7390" w:rsidP="00AC7390">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4F4A5D10" w14:textId="77777777" w:rsidR="00AC7390" w:rsidRDefault="00AC7390" w:rsidP="00AC7390">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72E100A2" w14:textId="77777777" w:rsidR="00AC7390" w:rsidRDefault="00AC7390" w:rsidP="00AC7390">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3CE22E2E" w14:textId="77777777" w:rsidR="00AC7390" w:rsidRDefault="00AC7390" w:rsidP="00AC7390">
      <w:pPr>
        <w:rPr>
          <w:rFonts w:eastAsia="Calibri"/>
          <w:sz w:val="12"/>
        </w:rPr>
      </w:pPr>
      <w:r w:rsidRPr="008E6D7C">
        <w:rPr>
          <w:rFonts w:eastAsia="Calibri"/>
          <w:sz w:val="16"/>
        </w:rPr>
        <w:t>How much did the narrative that Occupy created, of the 99% and the 1%, undermine a of collectivity? Because it doesn’t include everyone…</w:t>
      </w:r>
    </w:p>
    <w:p w14:paraId="4C1260C5" w14:textId="77777777" w:rsidR="00AC7390" w:rsidRPr="00D51317" w:rsidRDefault="00AC7390" w:rsidP="00AC7390">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78173909" w14:textId="77777777" w:rsidR="00AC7390" w:rsidRDefault="00AC7390" w:rsidP="00AC7390">
      <w:pPr>
        <w:pStyle w:val="Heading3"/>
      </w:pPr>
      <w:r>
        <w:t>K---1NC</w:t>
      </w:r>
    </w:p>
    <w:p w14:paraId="2DF3F572" w14:textId="77777777" w:rsidR="00AC7390" w:rsidRPr="0096211E" w:rsidRDefault="00AC7390" w:rsidP="00AC7390">
      <w:pPr>
        <w:rPr>
          <w:rStyle w:val="Style13ptBold"/>
        </w:rPr>
      </w:pPr>
      <w:r w:rsidRPr="0096211E">
        <w:rPr>
          <w:rStyle w:val="Style13ptBold"/>
          <w:u w:val="single"/>
        </w:rPr>
        <w:t>Agential Fantasy K</w:t>
      </w:r>
      <w:r>
        <w:rPr>
          <w:rStyle w:val="Style13ptBold"/>
        </w:rPr>
        <w:t>:</w:t>
      </w:r>
    </w:p>
    <w:p w14:paraId="031BF4E7" w14:textId="77777777" w:rsidR="00AC7390" w:rsidRDefault="00AC7390" w:rsidP="00AC7390">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628EF744" w14:textId="77777777" w:rsidR="00AC7390" w:rsidRDefault="00AC7390" w:rsidP="00AC7390">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21B0D222" w14:textId="77777777" w:rsidR="00AC7390" w:rsidRPr="0096211E" w:rsidRDefault="00AC7390" w:rsidP="00AC7390">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177A3872" w14:textId="77777777" w:rsidR="00AC7390" w:rsidRDefault="00AC7390" w:rsidP="00AC7390">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46D43BF0" w14:textId="77777777" w:rsidR="00AC7390" w:rsidRDefault="00AC7390" w:rsidP="00AC7390">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570C4DD0" w14:textId="77777777" w:rsidR="00AC7390" w:rsidRPr="00553B4E" w:rsidRDefault="00AC7390" w:rsidP="00AC7390">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0E12066C" w14:textId="77777777" w:rsidR="00AC7390" w:rsidRPr="001A3058" w:rsidRDefault="00AC7390" w:rsidP="00AC7390">
      <w:pPr>
        <w:pStyle w:val="Heading4"/>
      </w:pPr>
      <w:r>
        <w:t xml:space="preserve">Arguments about debate’s systematic violence reveal that </w:t>
      </w:r>
      <w:r w:rsidRPr="00BC4D6B">
        <w:rPr>
          <w:u w:val="single"/>
        </w:rPr>
        <w:t>winning is a toxic basis for survival and being</w:t>
      </w:r>
    </w:p>
    <w:p w14:paraId="648D1940" w14:textId="77777777" w:rsidR="00AC7390" w:rsidRPr="002B54F8" w:rsidRDefault="00AC7390" w:rsidP="00AC7390">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140E990D" w14:textId="77777777" w:rsidR="00AC7390" w:rsidRDefault="00AC7390" w:rsidP="00AC7390">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sz w:val="10"/>
          <w:szCs w:val="10"/>
        </w:rPr>
        <w:t>期待</w:t>
      </w:r>
      <w:r w:rsidRPr="00DC4AA9">
        <w:rPr>
          <w:sz w:val="10"/>
          <w:szCs w:val="10"/>
        </w:rPr>
        <w:t>] anything. I’m just waiting [</w:t>
      </w:r>
      <w:r w:rsidRPr="00DC4AA9">
        <w:rPr>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107C61">
        <w:rPr>
          <w:sz w:val="16"/>
        </w:rPr>
        <w:t>” (Berlant 2011:14).</w:t>
      </w:r>
    </w:p>
    <w:p w14:paraId="0F123150" w14:textId="77777777" w:rsidR="00AC7390" w:rsidRPr="00306803" w:rsidRDefault="00AC7390" w:rsidP="00AC7390">
      <w:pPr>
        <w:pStyle w:val="Heading4"/>
      </w:pPr>
      <w:r>
        <w:t>Vote to negate linkage between ballots and agency.</w:t>
      </w:r>
    </w:p>
    <w:p w14:paraId="47FA7645" w14:textId="77777777" w:rsidR="00AC7390" w:rsidRDefault="00AC7390" w:rsidP="00AC7390">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6E981559" w14:textId="77777777" w:rsidR="00AC7390" w:rsidRPr="00207147" w:rsidRDefault="00AC7390" w:rsidP="00AC7390">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5B77E0D4" w14:textId="77777777" w:rsidR="00AC7390" w:rsidRPr="00D51317" w:rsidRDefault="00AC7390" w:rsidP="00AC7390">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20F91BA1" w14:textId="77777777" w:rsidR="00AC7390" w:rsidRDefault="00AC7390" w:rsidP="00AC7390">
      <w:pPr>
        <w:pStyle w:val="Heading2"/>
      </w:pPr>
      <w:r>
        <w:t>Case</w:t>
      </w:r>
    </w:p>
    <w:p w14:paraId="0FA5B793" w14:textId="77777777" w:rsidR="00AC7390" w:rsidRDefault="00AC7390" w:rsidP="00AC7390">
      <w:pPr>
        <w:pStyle w:val="Heading3"/>
      </w:pPr>
      <w:r>
        <w:t>Solvency---1NC</w:t>
      </w:r>
    </w:p>
    <w:p w14:paraId="63802BD6" w14:textId="77777777" w:rsidR="00AC7390" w:rsidRDefault="00AC7390" w:rsidP="00AC7390">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471E9BBD" w14:textId="77777777" w:rsidR="00AC7390" w:rsidRDefault="00AC7390" w:rsidP="00AC7390">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7C498A2F" w14:textId="77777777" w:rsidR="00AC7390" w:rsidRPr="009F6427" w:rsidRDefault="00AC7390" w:rsidP="00AC7390">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2C4715D3" w14:textId="77777777" w:rsidR="00AC7390" w:rsidRPr="00426AEC" w:rsidRDefault="00AC7390" w:rsidP="00AC7390">
      <w:pPr>
        <w:pStyle w:val="Heading3"/>
      </w:pPr>
      <w:r>
        <w:t>Turn---1NC</w:t>
      </w:r>
    </w:p>
    <w:p w14:paraId="3E1D1718" w14:textId="77777777" w:rsidR="00AC7390" w:rsidRDefault="00AC7390" w:rsidP="00AC7390">
      <w:pPr>
        <w:pStyle w:val="Heading4"/>
      </w:pPr>
      <w:r>
        <w:t xml:space="preserve">2. 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7D0BCC95" w14:textId="77777777" w:rsidR="00AC7390" w:rsidRPr="00770075" w:rsidRDefault="00AC7390" w:rsidP="00AC7390">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48B45A4D" w14:textId="77777777" w:rsidR="00AC7390" w:rsidRDefault="00AC7390" w:rsidP="00AC7390">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49F924A6" w14:textId="77777777" w:rsidR="00AC7390" w:rsidRDefault="00AC7390" w:rsidP="00AC7390">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75FFC4A0" w14:textId="77777777" w:rsidR="00AC7390" w:rsidRPr="00770075" w:rsidRDefault="00AC7390" w:rsidP="00AC7390">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70272389" w14:textId="77777777" w:rsidR="00AC7390" w:rsidRPr="002D2341" w:rsidRDefault="00AC7390" w:rsidP="00AC7390">
      <w:pPr>
        <w:rPr>
          <w:sz w:val="12"/>
        </w:rPr>
      </w:pPr>
      <w:r w:rsidRPr="002D2341">
        <w:rPr>
          <w:sz w:val="12"/>
        </w:rPr>
        <w:t>01. INTRODUCTION: On the Conjuncture</w:t>
      </w:r>
    </w:p>
    <w:p w14:paraId="288B30E3" w14:textId="77777777" w:rsidR="00AC7390" w:rsidRPr="002D2341" w:rsidRDefault="00AC7390" w:rsidP="00AC7390">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7EDF4083" w14:textId="77777777" w:rsidR="00AC7390" w:rsidRPr="002D2341" w:rsidRDefault="00AC7390" w:rsidP="00AC7390">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55BAEFCE" w14:textId="77777777" w:rsidR="00AC7390" w:rsidRPr="002D2341" w:rsidRDefault="00AC7390" w:rsidP="00AC7390">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7F8E8261" w14:textId="77777777" w:rsidR="00AC7390" w:rsidRPr="002D2341" w:rsidRDefault="00AC7390" w:rsidP="00AC7390">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192CCD8F" w14:textId="77777777" w:rsidR="00AC7390" w:rsidRPr="002D2341" w:rsidRDefault="00AC7390" w:rsidP="00AC7390">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66D6A669" w14:textId="77777777" w:rsidR="00AC7390" w:rsidRDefault="00AC7390" w:rsidP="00AC7390">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53BB0494" w14:textId="77777777" w:rsidR="00AC7390" w:rsidRDefault="00AC7390" w:rsidP="00AC7390">
      <w:pPr>
        <w:pStyle w:val="Heading3"/>
      </w:pPr>
      <w:r>
        <w:t>AT: Thesis---1NC</w:t>
      </w:r>
    </w:p>
    <w:p w14:paraId="48AB73F6" w14:textId="77777777" w:rsidR="00AC7390" w:rsidRDefault="00AC7390" w:rsidP="00AC7390">
      <w:pPr>
        <w:pStyle w:val="Heading4"/>
      </w:pPr>
      <w:r>
        <w:t xml:space="preserve">3. Trans-antagonism is not </w:t>
      </w:r>
      <w:r>
        <w:rPr>
          <w:u w:val="single"/>
        </w:rPr>
        <w:t>static</w:t>
      </w:r>
      <w:r>
        <w:t>.</w:t>
      </w:r>
    </w:p>
    <w:p w14:paraId="748C882B" w14:textId="77777777" w:rsidR="00AC7390" w:rsidRDefault="00AC7390" w:rsidP="00AC7390">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4E50D7BA" w14:textId="77777777" w:rsidR="00AC7390" w:rsidRPr="006E69DC" w:rsidRDefault="00AC7390" w:rsidP="00AC7390">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0E70C906" w14:textId="77777777" w:rsidR="00AC7390" w:rsidRPr="006E69DC" w:rsidRDefault="00AC7390" w:rsidP="00AC7390">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17DCA57A" w14:textId="77777777" w:rsidR="00AC7390" w:rsidRPr="006E69DC" w:rsidRDefault="00AC7390" w:rsidP="00AC7390">
      <w:pPr>
        <w:rPr>
          <w:sz w:val="14"/>
        </w:rPr>
      </w:pPr>
      <w:r w:rsidRPr="006E69DC">
        <w:rPr>
          <w:sz w:val="14"/>
        </w:rPr>
        <w:t>Changing theories about gender</w:t>
      </w:r>
    </w:p>
    <w:p w14:paraId="06C4F8F0" w14:textId="77777777" w:rsidR="00AC7390" w:rsidRPr="006E69DC" w:rsidRDefault="00AC7390" w:rsidP="00AC7390">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4D8ECAD4" w14:textId="77777777" w:rsidR="00AC7390" w:rsidRPr="006E69DC" w:rsidRDefault="00AC7390" w:rsidP="00AC7390">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7A081754" w14:textId="77777777" w:rsidR="00AC7390" w:rsidRPr="006E69DC" w:rsidRDefault="00AC7390" w:rsidP="00AC7390">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2373FC6F" w14:textId="77777777" w:rsidR="00AC7390" w:rsidRPr="006E69DC" w:rsidRDefault="00AC7390" w:rsidP="00AC7390">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33A7FF2C" w14:textId="77777777" w:rsidR="00AC7390" w:rsidRPr="006E69DC" w:rsidRDefault="00AC7390" w:rsidP="00AC7390">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4EF51473" w14:textId="77777777" w:rsidR="00AC7390" w:rsidRPr="006E69DC" w:rsidRDefault="00AC7390" w:rsidP="00AC7390">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2B1E54F9" w14:textId="77777777" w:rsidR="00AC7390" w:rsidRPr="006E69DC" w:rsidRDefault="00AC7390" w:rsidP="00AC7390">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45AE9C17" w14:textId="77777777" w:rsidR="00AC7390" w:rsidRPr="002D4FEE" w:rsidRDefault="00AC7390" w:rsidP="00AC7390">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56A6EAB5" w14:textId="77777777" w:rsidR="00AC7390" w:rsidRDefault="00AC7390" w:rsidP="00AC7390">
      <w:pPr>
        <w:pStyle w:val="Heading3"/>
      </w:pPr>
      <w:r>
        <w:t>AT: Politics Bad---1NC</w:t>
      </w:r>
    </w:p>
    <w:p w14:paraId="5C86FF1D" w14:textId="77777777" w:rsidR="00AC7390" w:rsidRDefault="00AC7390" w:rsidP="00AC7390">
      <w:pPr>
        <w:pStyle w:val="Heading4"/>
      </w:pPr>
      <w:r>
        <w:t xml:space="preserve">4. Political engagement and mobilization </w:t>
      </w:r>
      <w:r>
        <w:rPr>
          <w:u w:val="single"/>
        </w:rPr>
        <w:t>enables</w:t>
      </w:r>
      <w:r>
        <w:t xml:space="preserve"> trans livability and agency.</w:t>
      </w:r>
    </w:p>
    <w:p w14:paraId="41F5E1D0" w14:textId="77777777" w:rsidR="00AC7390" w:rsidRDefault="00AC7390" w:rsidP="00AC7390">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10E4C015" w14:textId="77777777" w:rsidR="00AC7390" w:rsidRPr="007B03F8" w:rsidRDefault="00AC7390" w:rsidP="00AC7390">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32A99F1A" w14:textId="77777777" w:rsidR="00AC7390" w:rsidRPr="007B03F8" w:rsidRDefault="00AC7390" w:rsidP="00AC7390">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30496823" w14:textId="77777777" w:rsidR="00AC7390" w:rsidRPr="007B03F8" w:rsidRDefault="00AC7390" w:rsidP="00AC7390">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0B2CC954" w14:textId="77777777" w:rsidR="00AC7390" w:rsidRPr="007B03F8" w:rsidRDefault="00AC7390" w:rsidP="00AC7390">
      <w:pPr>
        <w:rPr>
          <w:sz w:val="14"/>
        </w:rPr>
      </w:pPr>
      <w:r w:rsidRPr="007B03F8">
        <w:rPr>
          <w:sz w:val="14"/>
        </w:rPr>
        <w:t>Motivators for Trans Political Engagement</w:t>
      </w:r>
    </w:p>
    <w:p w14:paraId="50346159" w14:textId="77777777" w:rsidR="00AC7390" w:rsidRPr="007B03F8" w:rsidRDefault="00AC7390" w:rsidP="00AC7390">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04877844" w14:textId="77777777" w:rsidR="00AC7390" w:rsidRPr="00C87706" w:rsidRDefault="00AC7390" w:rsidP="00AC7390">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5C1D6F84" w14:textId="77777777" w:rsidR="00AC7390" w:rsidRDefault="00AC7390" w:rsidP="00AC7390">
      <w:pPr>
        <w:pStyle w:val="Heading4"/>
      </w:pPr>
      <w:r>
        <w:t>5. Policy engagement is good for trans people and has made gains in the past</w:t>
      </w:r>
    </w:p>
    <w:p w14:paraId="704BF83C" w14:textId="77777777" w:rsidR="00AC7390" w:rsidRDefault="00AC7390" w:rsidP="00AC7390">
      <w:r w:rsidRPr="00D71B07">
        <w:rPr>
          <w:rStyle w:val="Style13ptBold"/>
        </w:rPr>
        <w:t>Pierceson</w:t>
      </w:r>
      <w:r>
        <w:t xml:space="preserve"> </w:t>
      </w:r>
      <w:r w:rsidRPr="006B6819">
        <w:rPr>
          <w:rStyle w:val="Style13ptBold"/>
        </w:rPr>
        <w:t>et al 18</w:t>
      </w:r>
      <w:r>
        <w:t xml:space="preserve"> – </w:t>
      </w:r>
      <w:r w:rsidRPr="00945825">
        <w:t xml:space="preserve">Jason Pierceson, PhD, is professor of political science at the University of Illinois Springfield. Jami K. Taylor is Professor of Political Science and Public Administration at the University of Toledo. Daniel C. Lewis is Associate Professor and Chair of the Department of Political Science and Faculty Fellow for the Community Policy Institute at Siena College. Donald P. Haider-Markel is Professor and Chair of the Political Science Department at the University </w:t>
      </w:r>
      <w:r>
        <w:t>of Kansas.</w:t>
      </w:r>
    </w:p>
    <w:p w14:paraId="2D7F1B78" w14:textId="77777777" w:rsidR="00AC7390" w:rsidRPr="00F55451" w:rsidRDefault="00AC7390" w:rsidP="00AC7390">
      <w:r>
        <w:t xml:space="preserve">Jason Pierceson, Jami Taylor, Daniel Lewis, and Donald Haider-Markel, 2018, “The Remarkable Rise of Transgender Rights,” Chapter 5: Transgender Rights and the Judiciary, </w:t>
      </w:r>
      <w:r w:rsidRPr="001F5A1B">
        <w:t>https://www.press.umich.edu/9448956/remarkable_rise_of_transgender_rights</w:t>
      </w:r>
    </w:p>
    <w:p w14:paraId="004DA63C" w14:textId="77777777" w:rsidR="00AC7390" w:rsidRPr="00546E96" w:rsidRDefault="00AC7390" w:rsidP="00AC7390">
      <w:pPr>
        <w:rPr>
          <w:rFonts w:ascii="Times New Roman" w:hAnsi="Times New Roman" w:cs="Times New Roman"/>
          <w:b/>
          <w:iCs/>
          <w:u w:val="single"/>
          <w:bdr w:val="single" w:sz="8" w:space="0" w:color="auto"/>
        </w:rPr>
      </w:pPr>
      <w:r w:rsidRPr="00D02F68">
        <w:rPr>
          <w:rStyle w:val="StyleUnderline"/>
        </w:rPr>
        <w:t>Certainly</w:t>
      </w:r>
      <w:r w:rsidRPr="0061674F">
        <w:rPr>
          <w:sz w:val="14"/>
        </w:rPr>
        <w:t xml:space="preserve">, </w:t>
      </w:r>
      <w:r w:rsidRPr="0078572C">
        <w:rPr>
          <w:rStyle w:val="Emphasis"/>
          <w:highlight w:val="green"/>
        </w:rPr>
        <w:t>courts are imperfect</w:t>
      </w:r>
      <w:r w:rsidRPr="0061674F">
        <w:rPr>
          <w:sz w:val="14"/>
        </w:rPr>
        <w:t xml:space="preserve"> vehicles for the protection of the rights of marginalized groups, </w:t>
      </w:r>
      <w:r w:rsidRPr="00D02F68">
        <w:rPr>
          <w:rStyle w:val="StyleUnderline"/>
        </w:rPr>
        <w:t>as are most</w:t>
      </w:r>
      <w:r w:rsidRPr="0061674F">
        <w:rPr>
          <w:sz w:val="14"/>
        </w:rPr>
        <w:t xml:space="preserve"> public </w:t>
      </w:r>
      <w:r w:rsidRPr="00D02F68">
        <w:rPr>
          <w:rStyle w:val="StyleUnderline"/>
        </w:rPr>
        <w:t>institutions</w:t>
      </w:r>
      <w:r w:rsidRPr="0061674F">
        <w:rPr>
          <w:sz w:val="14"/>
        </w:rPr>
        <w:t xml:space="preserve">. Indeed, </w:t>
      </w:r>
      <w:r w:rsidRPr="0078572C">
        <w:rPr>
          <w:rStyle w:val="Emphasis"/>
          <w:highlight w:val="green"/>
        </w:rPr>
        <w:t>courts</w:t>
      </w:r>
      <w:r w:rsidRPr="00F66FB6">
        <w:rPr>
          <w:rStyle w:val="Emphasis"/>
        </w:rPr>
        <w:t xml:space="preserve"> have </w:t>
      </w:r>
      <w:r w:rsidRPr="0078572C">
        <w:rPr>
          <w:rStyle w:val="Emphasis"/>
          <w:highlight w:val="green"/>
        </w:rPr>
        <w:t>only recently begun to protect transgender individuals</w:t>
      </w:r>
      <w:r w:rsidRPr="0061674F">
        <w:rPr>
          <w:sz w:val="14"/>
        </w:rPr>
        <w:t xml:space="preserve"> (Levasseur 2015). </w:t>
      </w:r>
      <w:r w:rsidRPr="0078572C">
        <w:rPr>
          <w:rStyle w:val="StyleUnderline"/>
          <w:highlight w:val="green"/>
        </w:rPr>
        <w:t>However</w:t>
      </w:r>
      <w:r w:rsidRPr="0061674F">
        <w:rPr>
          <w:sz w:val="14"/>
        </w:rPr>
        <w:t xml:space="preserve">, </w:t>
      </w:r>
      <w:r w:rsidRPr="0078572C">
        <w:rPr>
          <w:rStyle w:val="Emphasis"/>
          <w:highlight w:val="green"/>
        </w:rPr>
        <w:t>they may</w:t>
      </w:r>
      <w:r w:rsidRPr="00D02F68">
        <w:rPr>
          <w:rStyle w:val="Emphasis"/>
        </w:rPr>
        <w:t xml:space="preserve"> prove to </w:t>
      </w:r>
      <w:r w:rsidRPr="0078572C">
        <w:rPr>
          <w:rStyle w:val="Emphasis"/>
          <w:highlight w:val="green"/>
        </w:rPr>
        <w:t>be a</w:t>
      </w:r>
      <w:r w:rsidRPr="00D835A4">
        <w:t xml:space="preserve"> </w:t>
      </w:r>
      <w:r w:rsidRPr="0061674F">
        <w:rPr>
          <w:sz w:val="14"/>
        </w:rPr>
        <w:t xml:space="preserve">necessary </w:t>
      </w:r>
      <w:r w:rsidRPr="0078572C">
        <w:rPr>
          <w:rStyle w:val="Emphasis"/>
          <w:highlight w:val="green"/>
        </w:rPr>
        <w:t>antidote to hostile public</w:t>
      </w:r>
      <w:r w:rsidRPr="00D02F68">
        <w:rPr>
          <w:rStyle w:val="Emphasis"/>
        </w:rPr>
        <w:t xml:space="preserve"> opinion</w:t>
      </w:r>
      <w:r w:rsidRPr="0061674F">
        <w:rPr>
          <w:sz w:val="14"/>
        </w:rPr>
        <w:t xml:space="preserve">. Furthermore, </w:t>
      </w:r>
      <w:r w:rsidRPr="0078572C">
        <w:rPr>
          <w:rStyle w:val="StyleUnderline"/>
          <w:highlight w:val="green"/>
        </w:rPr>
        <w:t>courts</w:t>
      </w:r>
      <w:r w:rsidRPr="0061674F">
        <w:rPr>
          <w:sz w:val="14"/>
        </w:rPr>
        <w:t xml:space="preserve"> potentially </w:t>
      </w:r>
      <w:r w:rsidRPr="0078572C">
        <w:rPr>
          <w:rStyle w:val="StyleUnderline"/>
          <w:highlight w:val="green"/>
        </w:rPr>
        <w:t>can play</w:t>
      </w:r>
      <w:r w:rsidRPr="00D02F68">
        <w:rPr>
          <w:rStyle w:val="StyleUnderline"/>
        </w:rPr>
        <w:t xml:space="preserve"> </w:t>
      </w:r>
      <w:r w:rsidRPr="0078572C">
        <w:rPr>
          <w:rStyle w:val="StyleUnderline"/>
          <w:highlight w:val="green"/>
        </w:rPr>
        <w:t>a</w:t>
      </w:r>
      <w:r w:rsidRPr="00D02F68">
        <w:rPr>
          <w:rStyle w:val="StyleUnderline"/>
        </w:rPr>
        <w:t>n important antimajoritarian</w:t>
      </w:r>
      <w:r w:rsidRPr="0061674F">
        <w:rPr>
          <w:sz w:val="14"/>
        </w:rPr>
        <w:t xml:space="preserve">, </w:t>
      </w:r>
      <w:r w:rsidRPr="0078572C">
        <w:rPr>
          <w:rStyle w:val="Emphasis"/>
          <w:highlight w:val="green"/>
        </w:rPr>
        <w:t>safety net</w:t>
      </w:r>
      <w:r w:rsidRPr="00D02F68">
        <w:rPr>
          <w:rStyle w:val="Emphasis"/>
        </w:rPr>
        <w:t xml:space="preserve"> role </w:t>
      </w:r>
      <w:r w:rsidRPr="0078572C">
        <w:rPr>
          <w:rStyle w:val="Emphasis"/>
          <w:highlight w:val="green"/>
        </w:rPr>
        <w:t>to counter</w:t>
      </w:r>
      <w:r w:rsidRPr="00D02F68">
        <w:rPr>
          <w:rStyle w:val="Emphasis"/>
        </w:rPr>
        <w:t xml:space="preserve"> the </w:t>
      </w:r>
      <w:r w:rsidRPr="0078572C">
        <w:rPr>
          <w:rStyle w:val="Emphasis"/>
          <w:highlight w:val="green"/>
        </w:rPr>
        <w:t>majoritarian tendencies</w:t>
      </w:r>
      <w:r w:rsidRPr="0061674F">
        <w:rPr>
          <w:sz w:val="14"/>
        </w:rPr>
        <w:t xml:space="preserve"> of the other branches of government. Finally, </w:t>
      </w:r>
      <w:r w:rsidRPr="0078572C">
        <w:rPr>
          <w:rStyle w:val="StyleUnderline"/>
          <w:highlight w:val="green"/>
        </w:rPr>
        <w:t>objection to rights</w:t>
      </w:r>
      <w:r w:rsidRPr="00D02F68">
        <w:rPr>
          <w:rStyle w:val="StyleUnderline"/>
        </w:rPr>
        <w:t xml:space="preserve">-based </w:t>
      </w:r>
      <w:r w:rsidRPr="0078572C">
        <w:rPr>
          <w:rStyle w:val="StyleUnderline"/>
          <w:highlight w:val="green"/>
        </w:rPr>
        <w:t>litigation is</w:t>
      </w:r>
      <w:r w:rsidRPr="0061674F">
        <w:rPr>
          <w:sz w:val="14"/>
        </w:rPr>
        <w:t xml:space="preserve"> largely </w:t>
      </w:r>
      <w:r w:rsidRPr="0078572C">
        <w:rPr>
          <w:rStyle w:val="StyleUnderline"/>
          <w:highlight w:val="green"/>
        </w:rPr>
        <w:t>grounded in normative opposition</w:t>
      </w:r>
      <w:r w:rsidRPr="0061674F">
        <w:rPr>
          <w:sz w:val="14"/>
        </w:rPr>
        <w:t xml:space="preserve"> to the approach, </w:t>
      </w:r>
      <w:r w:rsidRPr="0078572C">
        <w:rPr>
          <w:rStyle w:val="Emphasis"/>
          <w:highlight w:val="green"/>
        </w:rPr>
        <w:t>rather than empirical assessments</w:t>
      </w:r>
      <w:r w:rsidRPr="00D02F68">
        <w:rPr>
          <w:rStyle w:val="Emphasis"/>
        </w:rPr>
        <w:t xml:space="preserve"> of it</w:t>
      </w:r>
      <w:r w:rsidRPr="0061674F">
        <w:rPr>
          <w:sz w:val="14"/>
        </w:rPr>
        <w:t xml:space="preserve">. </w:t>
      </w:r>
      <w:r w:rsidRPr="00D02F68">
        <w:rPr>
          <w:rStyle w:val="StyleUnderline"/>
        </w:rPr>
        <w:t xml:space="preserve">The </w:t>
      </w:r>
      <w:r w:rsidRPr="0078572C">
        <w:rPr>
          <w:rStyle w:val="StyleUnderline"/>
          <w:highlight w:val="green"/>
        </w:rPr>
        <w:t>objections</w:t>
      </w:r>
      <w:r w:rsidRPr="0061674F">
        <w:rPr>
          <w:sz w:val="14"/>
        </w:rPr>
        <w:t xml:space="preserve"> often </w:t>
      </w:r>
      <w:r w:rsidRPr="0078572C">
        <w:rPr>
          <w:rStyle w:val="Emphasis"/>
          <w:highlight w:val="green"/>
        </w:rPr>
        <w:t>deny</w:t>
      </w:r>
      <w:r w:rsidRPr="00D02F68">
        <w:rPr>
          <w:rStyle w:val="Emphasis"/>
        </w:rPr>
        <w:t xml:space="preserve"> most </w:t>
      </w:r>
      <w:r w:rsidRPr="0078572C">
        <w:rPr>
          <w:rStyle w:val="Emphasis"/>
          <w:highlight w:val="green"/>
        </w:rPr>
        <w:t>real and potential change stemming from legal liberal reform</w:t>
      </w:r>
      <w:r w:rsidRPr="00D02F68">
        <w:rPr>
          <w:rStyle w:val="Emphasis"/>
        </w:rPr>
        <w:t xml:space="preserve"> strategie</w:t>
      </w:r>
      <w:r w:rsidRPr="0078572C">
        <w:rPr>
          <w:rStyle w:val="Emphasis"/>
          <w:highlight w:val="green"/>
        </w:rPr>
        <w:t>s</w:t>
      </w:r>
      <w:r w:rsidRPr="0061674F">
        <w:rPr>
          <w:sz w:val="14"/>
        </w:rPr>
        <w:t xml:space="preserve">. As Pierceson (2005, 2013) argues, </w:t>
      </w:r>
      <w:r w:rsidRPr="0078572C">
        <w:rPr>
          <w:rStyle w:val="StyleUnderline"/>
          <w:highlight w:val="green"/>
        </w:rPr>
        <w:t>rights-claiming can work</w:t>
      </w:r>
      <w:r w:rsidRPr="00D02F68">
        <w:rPr>
          <w:rStyle w:val="StyleUnderline"/>
        </w:rPr>
        <w:t xml:space="preserve"> quite </w:t>
      </w:r>
      <w:r w:rsidRPr="0078572C">
        <w:rPr>
          <w:rStyle w:val="StyleUnderline"/>
          <w:highlight w:val="green"/>
        </w:rPr>
        <w:t>well</w:t>
      </w:r>
      <w:r w:rsidRPr="0061674F">
        <w:rPr>
          <w:sz w:val="14"/>
        </w:rPr>
        <w:t xml:space="preserve">. In addition, Karen </w:t>
      </w:r>
      <w:r w:rsidRPr="00D02F68">
        <w:rPr>
          <w:rStyle w:val="StyleUnderline"/>
        </w:rPr>
        <w:t>Zivi</w:t>
      </w:r>
      <w:r w:rsidRPr="0061674F">
        <w:rPr>
          <w:sz w:val="14"/>
        </w:rPr>
        <w:t xml:space="preserve"> (2012) </w:t>
      </w:r>
      <w:r w:rsidRPr="00D02F68">
        <w:rPr>
          <w:rStyle w:val="StyleUnderline"/>
        </w:rPr>
        <w:t>provides an effective counterargument</w:t>
      </w:r>
      <w:r w:rsidRPr="0061674F">
        <w:rPr>
          <w:sz w:val="14"/>
        </w:rPr>
        <w:t xml:space="preserve"> to critical theorists in her important book Making Rights Claims: A Practice of Democratic Citizenship. According to Zivi, </w:t>
      </w:r>
      <w:r w:rsidRPr="0078572C">
        <w:rPr>
          <w:rStyle w:val="StyleUnderline"/>
          <w:highlight w:val="green"/>
        </w:rPr>
        <w:t>rights-claiming</w:t>
      </w:r>
      <w:r w:rsidRPr="00D02F68">
        <w:rPr>
          <w:rStyle w:val="StyleUnderline"/>
        </w:rPr>
        <w:t xml:space="preserve"> by marginalized groups </w:t>
      </w:r>
      <w:r w:rsidRPr="0078572C">
        <w:rPr>
          <w:rStyle w:val="StyleUnderline"/>
          <w:highlight w:val="green"/>
        </w:rPr>
        <w:t>is “</w:t>
      </w:r>
      <w:r w:rsidRPr="0078572C">
        <w:rPr>
          <w:rStyle w:val="Emphasis"/>
          <w:highlight w:val="green"/>
        </w:rPr>
        <w:t>a rule-breaking practice</w:t>
      </w:r>
      <w:r w:rsidRPr="0078572C">
        <w:rPr>
          <w:sz w:val="14"/>
          <w:highlight w:val="green"/>
        </w:rPr>
        <w:t xml:space="preserve"> </w:t>
      </w:r>
      <w:r w:rsidRPr="0078572C">
        <w:rPr>
          <w:rStyle w:val="StyleUnderline"/>
          <w:highlight w:val="green"/>
        </w:rPr>
        <w:t>that</w:t>
      </w:r>
      <w:r w:rsidRPr="0078572C">
        <w:rPr>
          <w:sz w:val="14"/>
          <w:highlight w:val="green"/>
        </w:rPr>
        <w:t xml:space="preserve"> </w:t>
      </w:r>
      <w:r w:rsidRPr="0078572C">
        <w:rPr>
          <w:rStyle w:val="Emphasis"/>
          <w:highlight w:val="green"/>
        </w:rPr>
        <w:t>opens up</w:t>
      </w:r>
      <w:r w:rsidRPr="00D02F68">
        <w:rPr>
          <w:rStyle w:val="Emphasis"/>
        </w:rPr>
        <w:t xml:space="preserve"> the possibilities of </w:t>
      </w:r>
      <w:r w:rsidRPr="0078572C">
        <w:rPr>
          <w:rStyle w:val="Emphasis"/>
          <w:highlight w:val="green"/>
        </w:rPr>
        <w:t>the new</w:t>
      </w:r>
      <w:r w:rsidRPr="0061674F">
        <w:rPr>
          <w:sz w:val="14"/>
        </w:rPr>
        <w:t xml:space="preserve">, and </w:t>
      </w:r>
      <w:r w:rsidRPr="00D02F68">
        <w:rPr>
          <w:rStyle w:val="StyleUnderline"/>
        </w:rPr>
        <w:t>this is precisely what makes it suitable for democratic politics</w:t>
      </w:r>
      <w:r w:rsidRPr="0061674F">
        <w:rPr>
          <w:sz w:val="14"/>
        </w:rPr>
        <w:t xml:space="preserve">” (Zivi 2012, 19). The cases below demonstrate this potential. Constraints of Public Opinion on Transgender Rights Policy Although polling (see chapter 2) indicates public disapproval of discrimination toward transgender individuals, the public tends to hold negative attitudes toward transgender people and is generally not supportive of many policies required to achieve transgender equality and full integration into society. Additionally, while there are varying levels of support for transgender rights across states, a “democratic deficit” exists between public opinion and transgender-supportive policies, as it may take much more than simple majority support to enact these policies (Flores, Herman, and Mallory 2015). Moreover, positive policy change that has occurred in states is in part the result of policy diffusion from other progressive states, not internal state politics. In more conservative regions of the country, this is not as much of a factor, leaving many states outside the possibility of positive policy change (Taylor et al. 2012). </w:t>
      </w:r>
      <w:r w:rsidRPr="008B0767">
        <w:rPr>
          <w:rStyle w:val="StyleUnderline"/>
        </w:rPr>
        <w:t>With estimates of the transgender population at 0.6 percent</w:t>
      </w:r>
      <w:r w:rsidRPr="0061674F">
        <w:rPr>
          <w:sz w:val="14"/>
        </w:rPr>
        <w:t xml:space="preserve"> of the total U.S. population (Flores et al. 2016), </w:t>
      </w:r>
      <w:r w:rsidRPr="008B0767">
        <w:rPr>
          <w:rStyle w:val="StyleUnderline"/>
        </w:rPr>
        <w:t>this is clearly a “discrete</w:t>
      </w:r>
      <w:r w:rsidRPr="0061674F">
        <w:rPr>
          <w:sz w:val="14"/>
        </w:rPr>
        <w:t xml:space="preserve"> and insular </w:t>
      </w:r>
      <w:r w:rsidRPr="008B0767">
        <w:rPr>
          <w:rStyle w:val="StyleUnderline"/>
        </w:rPr>
        <w:t>minority</w:t>
      </w:r>
      <w:r w:rsidRPr="0061674F">
        <w:rPr>
          <w:sz w:val="14"/>
        </w:rPr>
        <w:t xml:space="preserve">” (United States v. Carolene Products Company 1938, footnote 4) </w:t>
      </w:r>
      <w:r w:rsidRPr="008B0767">
        <w:rPr>
          <w:rStyle w:val="Emphasis"/>
        </w:rPr>
        <w:t>needing significant support from the judiciary</w:t>
      </w:r>
      <w:r w:rsidRPr="0061674F">
        <w:rPr>
          <w:sz w:val="14"/>
        </w:rPr>
        <w:t xml:space="preserve">. Transgender Rights Cases Transgender Employment Discrimination </w:t>
      </w:r>
      <w:r w:rsidRPr="008B0767">
        <w:rPr>
          <w:rStyle w:val="StyleUnderline"/>
        </w:rPr>
        <w:t>In response to</w:t>
      </w:r>
      <w:r w:rsidRPr="0061674F">
        <w:rPr>
          <w:sz w:val="14"/>
        </w:rPr>
        <w:t xml:space="preserve"> the disproportionately </w:t>
      </w:r>
      <w:r w:rsidRPr="008B0767">
        <w:rPr>
          <w:rStyle w:val="StyleUnderline"/>
        </w:rPr>
        <w:t>high levels of employment discrimination</w:t>
      </w:r>
      <w:r w:rsidRPr="0061674F">
        <w:rPr>
          <w:sz w:val="14"/>
        </w:rPr>
        <w:t xml:space="preserve"> faced by transgender and gender nonconforming individuals, legal challenges to this type of bias began to appear by the 1970s, not as an orchestrated strategy but through individuals bringing claims with local attorneys. Initially, courts were not receptive to these claims, as there were no explicit statutory protections in state or federal law. While a handful of </w:t>
      </w:r>
      <w:r w:rsidRPr="002E2811">
        <w:rPr>
          <w:rStyle w:val="StyleUnderline"/>
        </w:rPr>
        <w:t>localities</w:t>
      </w:r>
      <w:r w:rsidRPr="0061674F">
        <w:rPr>
          <w:sz w:val="14"/>
        </w:rPr>
        <w:t xml:space="preserve"> had </w:t>
      </w:r>
      <w:r w:rsidRPr="008B0767">
        <w:rPr>
          <w:rStyle w:val="Emphasis"/>
        </w:rPr>
        <w:t>adopted trans-inclusive ordinances,</w:t>
      </w:r>
      <w:r w:rsidRPr="0061674F">
        <w:rPr>
          <w:sz w:val="14"/>
        </w:rPr>
        <w:t xml:space="preserve"> </w:t>
      </w:r>
      <w:r w:rsidRPr="008B0767">
        <w:rPr>
          <w:rStyle w:val="StyleUnderline"/>
        </w:rPr>
        <w:t>Minnesota</w:t>
      </w:r>
      <w:r w:rsidRPr="0061674F">
        <w:rPr>
          <w:sz w:val="14"/>
        </w:rPr>
        <w:t xml:space="preserve"> </w:t>
      </w:r>
      <w:r w:rsidRPr="008B0767">
        <w:rPr>
          <w:rStyle w:val="StyleUnderline"/>
        </w:rPr>
        <w:t>became the first</w:t>
      </w:r>
      <w:r w:rsidRPr="0061674F">
        <w:rPr>
          <w:sz w:val="14"/>
        </w:rPr>
        <w:t xml:space="preserve"> state </w:t>
      </w:r>
      <w:r w:rsidRPr="008B0767">
        <w:rPr>
          <w:rStyle w:val="Emphasis"/>
        </w:rPr>
        <w:t>to pass a trans-inclusive nondiscrimination law</w:t>
      </w:r>
      <w:r w:rsidRPr="0061674F">
        <w:rPr>
          <w:sz w:val="14"/>
        </w:rPr>
        <w:t xml:space="preserve"> in 1993. As of June 2018, </w:t>
      </w:r>
      <w:r w:rsidRPr="0078572C">
        <w:rPr>
          <w:rStyle w:val="Emphasis"/>
          <w:highlight w:val="green"/>
        </w:rPr>
        <w:t>twenty states</w:t>
      </w:r>
      <w:r w:rsidRPr="0078572C">
        <w:rPr>
          <w:sz w:val="14"/>
          <w:highlight w:val="green"/>
        </w:rPr>
        <w:t xml:space="preserve"> </w:t>
      </w:r>
      <w:r w:rsidRPr="0078572C">
        <w:rPr>
          <w:rStyle w:val="StyleUnderline"/>
          <w:highlight w:val="green"/>
        </w:rPr>
        <w:t>offer comprehensive</w:t>
      </w:r>
      <w:r w:rsidRPr="008B0767">
        <w:rPr>
          <w:rStyle w:val="StyleUnderline"/>
        </w:rPr>
        <w:t xml:space="preserve"> </w:t>
      </w:r>
      <w:r w:rsidRPr="0078572C">
        <w:rPr>
          <w:rStyle w:val="StyleUnderline"/>
          <w:highlight w:val="green"/>
        </w:rPr>
        <w:t>discrimination protections</w:t>
      </w:r>
      <w:r w:rsidRPr="0061674F">
        <w:rPr>
          <w:sz w:val="14"/>
        </w:rPr>
        <w:t xml:space="preserve"> based on gender identity.10 However, such protections do not explicitly exist in federal statutes. In addition, judges were not initially receptive to the arguments that sexbased prohibitions covered transgender and gender nonconforming persons and that external organs alone do not define gender or sex. Levasseur (2015) notes that the type of reasoning employed by an English court in 1970, Corbett v. Corbett, was adopted and utilized by U.S. judges in a variety of legal contexts. According to that court, “the biological sexual constitution of an individual is fixed at birth (at the latest), and cannot be changed, either by the natural development of organs of the opposite sex, or by medical or surgical means” (Levasseur 2015, 968). Typical of this approach was the Seventh Circuit decision in Ulane v. Eastern Airlines (1984): “[I]f Eastern did discriminate against Ulane it was not because she is female, but because Ulane is a transsexual—a biological male who takes female hormones, cross-dresses, and had surgically altered parts of her body to make it appear female” (1087). Thus, biological and gender essentialism was deeply embedded in the judiciary. However</w:t>
      </w:r>
      <w:r w:rsidRPr="00B52F99">
        <w:rPr>
          <w:rStyle w:val="Emphasis"/>
        </w:rPr>
        <w:t xml:space="preserve">, </w:t>
      </w:r>
      <w:r w:rsidRPr="0078572C">
        <w:rPr>
          <w:rStyle w:val="Emphasis"/>
          <w:highlight w:val="green"/>
        </w:rPr>
        <w:t>a legal breakthrough occurred in</w:t>
      </w:r>
      <w:r w:rsidRPr="00B52F99">
        <w:rPr>
          <w:rStyle w:val="Emphasis"/>
        </w:rPr>
        <w:t xml:space="preserve"> 19</w:t>
      </w:r>
      <w:r w:rsidRPr="0078572C">
        <w:rPr>
          <w:rStyle w:val="Emphasis"/>
          <w:highlight w:val="green"/>
        </w:rPr>
        <w:t>89</w:t>
      </w:r>
      <w:r w:rsidRPr="0061674F">
        <w:rPr>
          <w:sz w:val="14"/>
        </w:rPr>
        <w:t xml:space="preserve"> </w:t>
      </w:r>
      <w:r w:rsidRPr="0078572C">
        <w:rPr>
          <w:rStyle w:val="StyleUnderline"/>
          <w:highlight w:val="green"/>
        </w:rPr>
        <w:t>in</w:t>
      </w:r>
      <w:r w:rsidRPr="0061674F">
        <w:rPr>
          <w:sz w:val="14"/>
        </w:rPr>
        <w:t xml:space="preserve"> the case of </w:t>
      </w:r>
      <w:r w:rsidRPr="00B52F99">
        <w:rPr>
          <w:rStyle w:val="StyleUnderline"/>
        </w:rPr>
        <w:t xml:space="preserve">Price </w:t>
      </w:r>
      <w:r w:rsidRPr="0078572C">
        <w:rPr>
          <w:rStyle w:val="StyleUnderline"/>
          <w:highlight w:val="green"/>
        </w:rPr>
        <w:t>Waterhouse</w:t>
      </w:r>
      <w:r w:rsidRPr="0061674F">
        <w:rPr>
          <w:sz w:val="14"/>
        </w:rPr>
        <w:t xml:space="preserve"> v. Hopkins. In that case, </w:t>
      </w:r>
      <w:r w:rsidRPr="0078572C">
        <w:rPr>
          <w:rStyle w:val="StyleUnderline"/>
          <w:highlight w:val="green"/>
        </w:rPr>
        <w:t>the</w:t>
      </w:r>
      <w:r w:rsidRPr="0061674F">
        <w:rPr>
          <w:sz w:val="14"/>
        </w:rPr>
        <w:t xml:space="preserve"> U.S. </w:t>
      </w:r>
      <w:r w:rsidRPr="00B52F99">
        <w:rPr>
          <w:rStyle w:val="StyleUnderline"/>
        </w:rPr>
        <w:t xml:space="preserve">Supreme </w:t>
      </w:r>
      <w:r w:rsidRPr="0078572C">
        <w:rPr>
          <w:rStyle w:val="StyleUnderline"/>
          <w:highlight w:val="green"/>
        </w:rPr>
        <w:t>Court held</w:t>
      </w:r>
      <w:r w:rsidRPr="0061674F">
        <w:rPr>
          <w:sz w:val="14"/>
        </w:rPr>
        <w:t xml:space="preserve"> that </w:t>
      </w:r>
      <w:r w:rsidRPr="0078572C">
        <w:rPr>
          <w:rStyle w:val="Emphasis"/>
          <w:highlight w:val="green"/>
        </w:rPr>
        <w:t>sex stereotyping</w:t>
      </w:r>
      <w:r w:rsidRPr="0078572C">
        <w:rPr>
          <w:sz w:val="14"/>
          <w:highlight w:val="green"/>
        </w:rPr>
        <w:t xml:space="preserve"> </w:t>
      </w:r>
      <w:r w:rsidRPr="0078572C">
        <w:rPr>
          <w:rStyle w:val="StyleUnderline"/>
          <w:highlight w:val="green"/>
        </w:rPr>
        <w:t>could be</w:t>
      </w:r>
      <w:r w:rsidRPr="0061674F">
        <w:rPr>
          <w:sz w:val="14"/>
        </w:rPr>
        <w:t xml:space="preserve"> seen as </w:t>
      </w:r>
      <w:r w:rsidRPr="0078572C">
        <w:rPr>
          <w:rStyle w:val="Emphasis"/>
          <w:highlight w:val="green"/>
        </w:rPr>
        <w:t>discrimination</w:t>
      </w:r>
      <w:r w:rsidRPr="00B52F99">
        <w:rPr>
          <w:rStyle w:val="Emphasis"/>
        </w:rPr>
        <w:t xml:space="preserve"> under Title VII</w:t>
      </w:r>
      <w:r w:rsidRPr="0061674F">
        <w:rPr>
          <w:sz w:val="14"/>
        </w:rPr>
        <w:t xml:space="preserve">. Ann </w:t>
      </w:r>
      <w:r w:rsidRPr="00B52F99">
        <w:rPr>
          <w:rStyle w:val="StyleUnderline"/>
        </w:rPr>
        <w:t>Hopkins</w:t>
      </w:r>
      <w:r w:rsidRPr="0061674F">
        <w:rPr>
          <w:sz w:val="14"/>
        </w:rPr>
        <w:t xml:space="preserve">, a cisgender woman, </w:t>
      </w:r>
      <w:r w:rsidRPr="00B52F99">
        <w:rPr>
          <w:rStyle w:val="StyleUnderline"/>
        </w:rPr>
        <w:t>was fired because she was</w:t>
      </w:r>
      <w:r w:rsidRPr="0061674F">
        <w:rPr>
          <w:sz w:val="14"/>
        </w:rPr>
        <w:t xml:space="preserve"> seen as being </w:t>
      </w:r>
      <w:r w:rsidRPr="00B52F99">
        <w:rPr>
          <w:rStyle w:val="StyleUnderline"/>
        </w:rPr>
        <w:t>too “masculine</w:t>
      </w:r>
      <w:r w:rsidRPr="0061674F">
        <w:rPr>
          <w:sz w:val="14"/>
        </w:rPr>
        <w:t xml:space="preserve">.” </w:t>
      </w:r>
      <w:r w:rsidRPr="00B52F99">
        <w:rPr>
          <w:rStyle w:val="StyleUnderline"/>
        </w:rPr>
        <w:t>The Court</w:t>
      </w:r>
      <w:r w:rsidRPr="0061674F">
        <w:rPr>
          <w:sz w:val="14"/>
        </w:rPr>
        <w:t xml:space="preserve"> later </w:t>
      </w:r>
      <w:r w:rsidRPr="00B52F99">
        <w:rPr>
          <w:rStyle w:val="StyleUnderline"/>
        </w:rPr>
        <w:t>affirmed</w:t>
      </w:r>
      <w:r w:rsidRPr="0061674F">
        <w:rPr>
          <w:sz w:val="14"/>
        </w:rPr>
        <w:t xml:space="preserve"> </w:t>
      </w:r>
      <w:r w:rsidRPr="00B52F99">
        <w:rPr>
          <w:rStyle w:val="Emphasis"/>
        </w:rPr>
        <w:t>this stereotyping approach</w:t>
      </w:r>
      <w:r w:rsidRPr="0061674F">
        <w:rPr>
          <w:sz w:val="14"/>
        </w:rPr>
        <w:t xml:space="preserve"> </w:t>
      </w:r>
      <w:r w:rsidRPr="00B52F99">
        <w:rPr>
          <w:rStyle w:val="StyleUnderline"/>
        </w:rPr>
        <w:t>in</w:t>
      </w:r>
      <w:r w:rsidRPr="0061674F">
        <w:rPr>
          <w:sz w:val="14"/>
        </w:rPr>
        <w:t xml:space="preserve"> the same-sex sexual harassment case of </w:t>
      </w:r>
      <w:r w:rsidRPr="00B52F99">
        <w:rPr>
          <w:rStyle w:val="Emphasis"/>
        </w:rPr>
        <w:t>Oncale</w:t>
      </w:r>
      <w:r w:rsidRPr="0061674F">
        <w:rPr>
          <w:sz w:val="14"/>
        </w:rPr>
        <w:t xml:space="preserve"> v. Sundowner (1998). While this innovation did not create full legal protections for gender identity, </w:t>
      </w:r>
      <w:r w:rsidRPr="0078572C">
        <w:rPr>
          <w:rStyle w:val="StyleUnderline"/>
          <w:highlight w:val="green"/>
        </w:rPr>
        <w:t>there was</w:t>
      </w:r>
      <w:r w:rsidRPr="0061674F">
        <w:rPr>
          <w:sz w:val="14"/>
        </w:rPr>
        <w:t xml:space="preserve"> at least </w:t>
      </w:r>
      <w:r w:rsidRPr="0078572C">
        <w:rPr>
          <w:rStyle w:val="Emphasis"/>
          <w:highlight w:val="green"/>
        </w:rPr>
        <w:t>a hook</w:t>
      </w:r>
      <w:r w:rsidRPr="00B52F99">
        <w:rPr>
          <w:rStyle w:val="Emphasis"/>
        </w:rPr>
        <w:t xml:space="preserve"> from which </w:t>
      </w:r>
      <w:r w:rsidRPr="0078572C">
        <w:rPr>
          <w:rStyle w:val="Emphasis"/>
          <w:highlight w:val="green"/>
        </w:rPr>
        <w:t>to hang</w:t>
      </w:r>
      <w:r w:rsidRPr="00B52F99">
        <w:rPr>
          <w:rStyle w:val="Emphasis"/>
        </w:rPr>
        <w:t xml:space="preserve"> sex-based discrimination </w:t>
      </w:r>
      <w:r w:rsidRPr="0078572C">
        <w:rPr>
          <w:rStyle w:val="Emphasis"/>
          <w:highlight w:val="green"/>
        </w:rPr>
        <w:t>arguments for</w:t>
      </w:r>
      <w:r w:rsidRPr="00B52F99">
        <w:rPr>
          <w:rStyle w:val="Emphasis"/>
        </w:rPr>
        <w:t xml:space="preserve"> this </w:t>
      </w:r>
      <w:r w:rsidRPr="0078572C">
        <w:rPr>
          <w:rStyle w:val="Emphasis"/>
          <w:highlight w:val="green"/>
        </w:rPr>
        <w:t>protection</w:t>
      </w:r>
      <w:r w:rsidRPr="0061674F">
        <w:rPr>
          <w:sz w:val="14"/>
        </w:rPr>
        <w:t xml:space="preserve">. After a few years, some </w:t>
      </w:r>
      <w:r w:rsidRPr="00B52F99">
        <w:rPr>
          <w:rStyle w:val="StyleUnderline"/>
        </w:rPr>
        <w:t xml:space="preserve">federal </w:t>
      </w:r>
      <w:r w:rsidRPr="0078572C">
        <w:rPr>
          <w:rStyle w:val="StyleUnderline"/>
          <w:highlight w:val="green"/>
        </w:rPr>
        <w:t>appellate courts</w:t>
      </w:r>
      <w:r w:rsidRPr="0061674F">
        <w:rPr>
          <w:sz w:val="14"/>
        </w:rPr>
        <w:t xml:space="preserve"> began to </w:t>
      </w:r>
      <w:r w:rsidRPr="0078572C">
        <w:rPr>
          <w:rStyle w:val="StyleUnderline"/>
          <w:highlight w:val="green"/>
        </w:rPr>
        <w:t>use this reasoning</w:t>
      </w:r>
      <w:r w:rsidRPr="0061674F">
        <w:rPr>
          <w:sz w:val="14"/>
        </w:rPr>
        <w:t xml:space="preserve"> </w:t>
      </w:r>
      <w:r w:rsidRPr="0078572C">
        <w:rPr>
          <w:rStyle w:val="Emphasis"/>
          <w:highlight w:val="green"/>
        </w:rPr>
        <w:t>to</w:t>
      </w:r>
      <w:r w:rsidRPr="00B52F99">
        <w:rPr>
          <w:rStyle w:val="Emphasis"/>
        </w:rPr>
        <w:t xml:space="preserve"> find in </w:t>
      </w:r>
      <w:r w:rsidRPr="0078572C">
        <w:rPr>
          <w:rStyle w:val="Emphasis"/>
          <w:highlight w:val="green"/>
        </w:rPr>
        <w:t>favor</w:t>
      </w:r>
      <w:r w:rsidRPr="00B52F99">
        <w:rPr>
          <w:rStyle w:val="Emphasis"/>
        </w:rPr>
        <w:t xml:space="preserve"> of </w:t>
      </w:r>
      <w:r w:rsidRPr="0078572C">
        <w:rPr>
          <w:rStyle w:val="Emphasis"/>
          <w:highlight w:val="green"/>
        </w:rPr>
        <w:t>transgender individuals</w:t>
      </w:r>
      <w:r w:rsidRPr="0061674F">
        <w:rPr>
          <w:sz w:val="14"/>
        </w:rPr>
        <w:t xml:space="preserve"> </w:t>
      </w:r>
      <w:r w:rsidRPr="00B52F99">
        <w:rPr>
          <w:rStyle w:val="StyleUnderline"/>
        </w:rPr>
        <w:t>claiming discrimination under Title VII</w:t>
      </w:r>
      <w:r w:rsidRPr="0061674F">
        <w:rPr>
          <w:sz w:val="14"/>
        </w:rPr>
        <w:t xml:space="preserve"> </w:t>
      </w:r>
      <w:r w:rsidRPr="0078572C">
        <w:rPr>
          <w:rStyle w:val="StyleUnderline"/>
          <w:highlight w:val="green"/>
        </w:rPr>
        <w:t>in</w:t>
      </w:r>
      <w:r w:rsidRPr="0061674F">
        <w:rPr>
          <w:sz w:val="14"/>
        </w:rPr>
        <w:t xml:space="preserve"> such cases as </w:t>
      </w:r>
      <w:r w:rsidRPr="0078572C">
        <w:rPr>
          <w:rStyle w:val="Emphasis"/>
          <w:highlight w:val="green"/>
        </w:rPr>
        <w:t>Schwenk</w:t>
      </w:r>
      <w:r w:rsidRPr="0061674F">
        <w:rPr>
          <w:sz w:val="14"/>
        </w:rPr>
        <w:t xml:space="preserve"> v. Hartford (2000) from the Ninth Circuit, </w:t>
      </w:r>
      <w:r w:rsidRPr="0078572C">
        <w:rPr>
          <w:rStyle w:val="Emphasis"/>
          <w:highlight w:val="green"/>
        </w:rPr>
        <w:t>Rosa</w:t>
      </w:r>
      <w:r w:rsidRPr="0061674F">
        <w:rPr>
          <w:sz w:val="14"/>
        </w:rPr>
        <w:t xml:space="preserve"> v. Park West Bank (2000) from the First Circuit, </w:t>
      </w:r>
      <w:r w:rsidRPr="0078572C">
        <w:rPr>
          <w:rStyle w:val="Emphasis"/>
          <w:highlight w:val="green"/>
        </w:rPr>
        <w:t>Smith</w:t>
      </w:r>
      <w:r w:rsidRPr="0061674F">
        <w:rPr>
          <w:sz w:val="14"/>
        </w:rPr>
        <w:t xml:space="preserve"> v. City of Salem (2004) and </w:t>
      </w:r>
      <w:r w:rsidRPr="0078572C">
        <w:rPr>
          <w:rStyle w:val="Emphasis"/>
          <w:highlight w:val="green"/>
        </w:rPr>
        <w:t>Barnes</w:t>
      </w:r>
      <w:r w:rsidRPr="0061674F">
        <w:rPr>
          <w:sz w:val="14"/>
        </w:rPr>
        <w:t xml:space="preserve"> v. Cincinnati (2005) from the Sixth Circuit, </w:t>
      </w:r>
      <w:r w:rsidRPr="0078572C">
        <w:rPr>
          <w:rStyle w:val="Emphasis"/>
          <w:highlight w:val="green"/>
        </w:rPr>
        <w:t>and Glenn</w:t>
      </w:r>
      <w:r w:rsidRPr="0061674F">
        <w:rPr>
          <w:sz w:val="14"/>
        </w:rPr>
        <w:t xml:space="preserve"> v. Brumby (2011) from the Eleventh Circuit. GLAD was involved in the Rosa litigation, a case decided three years before GLAD’s landmark marriage equality victory in Goodridge v. Department of Public Health in 2003. </w:t>
      </w:r>
      <w:r w:rsidRPr="0078572C">
        <w:rPr>
          <w:rStyle w:val="StyleUnderline"/>
          <w:highlight w:val="green"/>
        </w:rPr>
        <w:t>Building on this</w:t>
      </w:r>
      <w:r w:rsidRPr="0028637F">
        <w:rPr>
          <w:rStyle w:val="StyleUnderline"/>
        </w:rPr>
        <w:t xml:space="preserve"> jurisprudence, </w:t>
      </w:r>
      <w:r w:rsidRPr="0078572C">
        <w:rPr>
          <w:rStyle w:val="StyleUnderline"/>
          <w:highlight w:val="green"/>
        </w:rPr>
        <w:t>the</w:t>
      </w:r>
      <w:r w:rsidRPr="0061674F">
        <w:rPr>
          <w:sz w:val="14"/>
        </w:rPr>
        <w:t xml:space="preserve"> Equal Employment Opportunity Transgender Rights and the Judiciary 149 Commission (</w:t>
      </w:r>
      <w:r w:rsidRPr="0078572C">
        <w:rPr>
          <w:rStyle w:val="StyleUnderline"/>
          <w:highlight w:val="green"/>
        </w:rPr>
        <w:t>EEOC</w:t>
      </w:r>
      <w:r w:rsidRPr="0078572C">
        <w:rPr>
          <w:sz w:val="14"/>
          <w:highlight w:val="green"/>
        </w:rPr>
        <w:t xml:space="preserve">) </w:t>
      </w:r>
      <w:r w:rsidRPr="0078572C">
        <w:rPr>
          <w:rStyle w:val="Emphasis"/>
          <w:highlight w:val="green"/>
        </w:rPr>
        <w:t>issued a groundbreaking ruling</w:t>
      </w:r>
      <w:r w:rsidRPr="0061674F">
        <w:rPr>
          <w:sz w:val="14"/>
        </w:rPr>
        <w:t xml:space="preserve"> in 2012, </w:t>
      </w:r>
      <w:r w:rsidRPr="0078572C">
        <w:rPr>
          <w:rStyle w:val="StyleUnderline"/>
          <w:highlight w:val="green"/>
        </w:rPr>
        <w:t>holding</w:t>
      </w:r>
      <w:r w:rsidRPr="0061674F">
        <w:rPr>
          <w:sz w:val="14"/>
        </w:rPr>
        <w:t xml:space="preserve"> that </w:t>
      </w:r>
      <w:r w:rsidRPr="0028637F">
        <w:rPr>
          <w:rStyle w:val="StyleUnderline"/>
        </w:rPr>
        <w:t>the Commission</w:t>
      </w:r>
      <w:r w:rsidRPr="0061674F">
        <w:rPr>
          <w:sz w:val="14"/>
        </w:rPr>
        <w:t xml:space="preserve"> viewed </w:t>
      </w:r>
      <w:r w:rsidRPr="0078572C">
        <w:rPr>
          <w:rStyle w:val="StyleUnderline"/>
          <w:highlight w:val="green"/>
        </w:rPr>
        <w:t>Title VII</w:t>
      </w:r>
      <w:r w:rsidRPr="0028637F">
        <w:rPr>
          <w:rStyle w:val="StyleUnderline"/>
        </w:rPr>
        <w:t xml:space="preserve"> as </w:t>
      </w:r>
      <w:r w:rsidRPr="0078572C">
        <w:rPr>
          <w:rStyle w:val="StyleUnderline"/>
          <w:highlight w:val="green"/>
        </w:rPr>
        <w:t>prohibit</w:t>
      </w:r>
      <w:r w:rsidRPr="0028637F">
        <w:rPr>
          <w:rStyle w:val="StyleUnderline"/>
        </w:rPr>
        <w:t xml:space="preserve">ing </w:t>
      </w:r>
      <w:r w:rsidRPr="0078572C">
        <w:rPr>
          <w:rStyle w:val="StyleUnderline"/>
          <w:highlight w:val="green"/>
        </w:rPr>
        <w:t>discrimination</w:t>
      </w:r>
      <w:r w:rsidRPr="0028637F">
        <w:rPr>
          <w:rStyle w:val="StyleUnderline"/>
        </w:rPr>
        <w:t xml:space="preserve"> based </w:t>
      </w:r>
      <w:r w:rsidRPr="0078572C">
        <w:rPr>
          <w:rStyle w:val="StyleUnderline"/>
          <w:highlight w:val="green"/>
        </w:rPr>
        <w:t>on gender identity</w:t>
      </w:r>
      <w:r w:rsidRPr="0061674F">
        <w:rPr>
          <w:sz w:val="14"/>
        </w:rPr>
        <w:t xml:space="preserve"> (Macy v. Holder 2012). While the EEOC’s rulings are not binding on federal courts, many </w:t>
      </w:r>
      <w:r w:rsidRPr="0028637F">
        <w:rPr>
          <w:rStyle w:val="StyleUnderline"/>
        </w:rPr>
        <w:t xml:space="preserve">federal </w:t>
      </w:r>
      <w:r w:rsidRPr="0078572C">
        <w:rPr>
          <w:rStyle w:val="StyleUnderline"/>
          <w:highlight w:val="green"/>
        </w:rPr>
        <w:t>judges</w:t>
      </w:r>
      <w:r w:rsidRPr="0078572C">
        <w:rPr>
          <w:sz w:val="14"/>
          <w:highlight w:val="green"/>
        </w:rPr>
        <w:t xml:space="preserve"> </w:t>
      </w:r>
      <w:r w:rsidRPr="0078572C">
        <w:rPr>
          <w:rStyle w:val="Emphasis"/>
          <w:highlight w:val="green"/>
        </w:rPr>
        <w:t>make use of their findings</w:t>
      </w:r>
      <w:r w:rsidRPr="0028637F">
        <w:rPr>
          <w:rStyle w:val="Emphasis"/>
        </w:rPr>
        <w:t>,</w:t>
      </w:r>
      <w:r w:rsidRPr="0061674F">
        <w:rPr>
          <w:sz w:val="14"/>
        </w:rPr>
        <w:t xml:space="preserve"> and </w:t>
      </w:r>
      <w:r w:rsidRPr="0078572C">
        <w:rPr>
          <w:rStyle w:val="StyleUnderline"/>
          <w:highlight w:val="green"/>
        </w:rPr>
        <w:t>the agency can be an</w:t>
      </w:r>
      <w:r w:rsidRPr="0028637F">
        <w:rPr>
          <w:rStyle w:val="StyleUnderline"/>
        </w:rPr>
        <w:t xml:space="preserve"> important </w:t>
      </w:r>
      <w:r w:rsidRPr="0078572C">
        <w:rPr>
          <w:rStyle w:val="StyleUnderline"/>
          <w:highlight w:val="green"/>
        </w:rPr>
        <w:t>ally</w:t>
      </w:r>
      <w:r w:rsidRPr="0078572C">
        <w:rPr>
          <w:sz w:val="14"/>
          <w:highlight w:val="green"/>
        </w:rPr>
        <w:t xml:space="preserve"> </w:t>
      </w:r>
      <w:r w:rsidRPr="0078572C">
        <w:rPr>
          <w:rStyle w:val="Emphasis"/>
          <w:highlight w:val="green"/>
        </w:rPr>
        <w:t>in combating discrimination</w:t>
      </w:r>
      <w:r w:rsidRPr="0061674F">
        <w:rPr>
          <w:sz w:val="14"/>
        </w:rPr>
        <w:t xml:space="preserve">, especially </w:t>
      </w:r>
      <w:r w:rsidRPr="0028637F">
        <w:rPr>
          <w:rStyle w:val="StyleUnderline"/>
        </w:rPr>
        <w:t>when joined by a supportive president</w:t>
      </w:r>
      <w:r w:rsidRPr="0061674F">
        <w:rPr>
          <w:sz w:val="14"/>
        </w:rPr>
        <w:t xml:space="preserve">ial administration. The </w:t>
      </w:r>
      <w:r w:rsidRPr="0028637F">
        <w:rPr>
          <w:rStyle w:val="StyleUnderline"/>
        </w:rPr>
        <w:t>Obama</w:t>
      </w:r>
      <w:r w:rsidRPr="0061674F">
        <w:rPr>
          <w:sz w:val="14"/>
        </w:rPr>
        <w:t xml:space="preserve"> administration </w:t>
      </w:r>
      <w:r w:rsidRPr="0028637F">
        <w:rPr>
          <w:rStyle w:val="Emphasis"/>
        </w:rPr>
        <w:t>filed several briefs supporting the EEOC’s position.</w:t>
      </w:r>
      <w:r w:rsidRPr="0061674F">
        <w:rPr>
          <w:sz w:val="14"/>
        </w:rPr>
        <w:t xml:space="preserve">11 Interestingly, the EEOC later ruled that Title VII also prohibits discrimination based on sexual orientation (Baldwin v. Department of Transportation 2015). This was an inversion of the typical pattern of legal innovations where sexual orientation inclusion normally comes before gender identity inclusion. </w:t>
      </w:r>
      <w:r w:rsidRPr="0028637F">
        <w:rPr>
          <w:rStyle w:val="StyleUnderline"/>
        </w:rPr>
        <w:t>It is quite plausible</w:t>
      </w:r>
      <w:r w:rsidRPr="0061674F">
        <w:rPr>
          <w:sz w:val="14"/>
        </w:rPr>
        <w:t xml:space="preserve"> that the </w:t>
      </w:r>
      <w:r w:rsidRPr="0078572C">
        <w:rPr>
          <w:rStyle w:val="StyleUnderline"/>
          <w:highlight w:val="green"/>
        </w:rPr>
        <w:t>federal courts will enshrine</w:t>
      </w:r>
      <w:r w:rsidRPr="0078572C">
        <w:rPr>
          <w:sz w:val="14"/>
          <w:highlight w:val="green"/>
        </w:rPr>
        <w:t xml:space="preserve"> </w:t>
      </w:r>
      <w:r w:rsidRPr="0078572C">
        <w:rPr>
          <w:rStyle w:val="Emphasis"/>
          <w:highlight w:val="green"/>
        </w:rPr>
        <w:t>a gender identity protection</w:t>
      </w:r>
      <w:r w:rsidRPr="0061674F">
        <w:rPr>
          <w:sz w:val="14"/>
        </w:rPr>
        <w:t xml:space="preserve"> in Title VII </w:t>
      </w:r>
      <w:r w:rsidRPr="0028637F">
        <w:rPr>
          <w:rStyle w:val="StyleUnderline"/>
        </w:rPr>
        <w:t>before Congress enacts such protections</w:t>
      </w:r>
      <w:r w:rsidRPr="0061674F">
        <w:rPr>
          <w:sz w:val="14"/>
        </w:rPr>
        <w:t xml:space="preserve">, especially given unified Republican control of the elected branches of the national government as of 2018 and that party’s hostility toward LGBT rights. As evidence of this hostility, the Equality Act (a bill proposing to add sexual orientation and gender identity to the 1964 Civil Rights Act) had 176 Democratic cosponsors and two Republican cosponsors in the House during the 114th Congress.12 </w:t>
      </w:r>
      <w:r w:rsidRPr="0028637F">
        <w:rPr>
          <w:rStyle w:val="StyleUnderline"/>
        </w:rPr>
        <w:t>The emerging approach of federal courts can be seen in Glenn v. Brumby</w:t>
      </w:r>
      <w:r w:rsidRPr="0061674F">
        <w:rPr>
          <w:sz w:val="14"/>
        </w:rPr>
        <w:t xml:space="preserve"> (2011), a case involving Lambda Legal that was </w:t>
      </w:r>
      <w:r w:rsidRPr="0028637F">
        <w:rPr>
          <w:rStyle w:val="StyleUnderline"/>
        </w:rPr>
        <w:t>cited by the EEOC</w:t>
      </w:r>
      <w:r w:rsidRPr="0061674F">
        <w:rPr>
          <w:sz w:val="14"/>
        </w:rPr>
        <w:t xml:space="preserve">. Vandiver Elizabeth </w:t>
      </w:r>
      <w:r w:rsidRPr="0078572C">
        <w:rPr>
          <w:rStyle w:val="StyleUnderline"/>
          <w:highlight w:val="green"/>
        </w:rPr>
        <w:t>Glenn</w:t>
      </w:r>
      <w:r w:rsidRPr="0078572C">
        <w:rPr>
          <w:sz w:val="14"/>
          <w:highlight w:val="green"/>
        </w:rPr>
        <w:t xml:space="preserve"> </w:t>
      </w:r>
      <w:r w:rsidRPr="0078572C">
        <w:rPr>
          <w:rStyle w:val="StyleUnderline"/>
          <w:highlight w:val="green"/>
        </w:rPr>
        <w:t>was fired</w:t>
      </w:r>
      <w:r w:rsidRPr="0061674F">
        <w:rPr>
          <w:sz w:val="14"/>
        </w:rPr>
        <w:t xml:space="preserve"> from a job with the Georgia Legislature’s Office of Legal Counsel </w:t>
      </w:r>
      <w:r w:rsidRPr="0078572C">
        <w:rPr>
          <w:rStyle w:val="StyleUnderline"/>
          <w:highlight w:val="green"/>
        </w:rPr>
        <w:t>after transitioning</w:t>
      </w:r>
      <w:r w:rsidRPr="0061674F">
        <w:rPr>
          <w:sz w:val="14"/>
        </w:rPr>
        <w:t xml:space="preserve">. </w:t>
      </w:r>
      <w:r w:rsidRPr="0078572C">
        <w:rPr>
          <w:rStyle w:val="Emphasis"/>
          <w:highlight w:val="green"/>
        </w:rPr>
        <w:t>A district court sided with her</w:t>
      </w:r>
      <w:r w:rsidRPr="0028637F">
        <w:rPr>
          <w:rStyle w:val="Emphasis"/>
        </w:rPr>
        <w:t>,</w:t>
      </w:r>
      <w:r w:rsidRPr="0061674F">
        <w:rPr>
          <w:sz w:val="14"/>
        </w:rPr>
        <w:t xml:space="preserve"> and </w:t>
      </w:r>
      <w:r w:rsidRPr="0078572C">
        <w:rPr>
          <w:rStyle w:val="Emphasis"/>
          <w:highlight w:val="green"/>
        </w:rPr>
        <w:t>this was upheld</w:t>
      </w:r>
      <w:r w:rsidRPr="0028637F">
        <w:rPr>
          <w:rStyle w:val="Emphasis"/>
        </w:rPr>
        <w:t xml:space="preserve"> on appeal</w:t>
      </w:r>
      <w:r w:rsidRPr="0061674F">
        <w:rPr>
          <w:sz w:val="14"/>
        </w:rPr>
        <w:t xml:space="preserve">. </w:t>
      </w:r>
      <w:r w:rsidRPr="0078572C">
        <w:rPr>
          <w:rStyle w:val="StyleUnderline"/>
          <w:highlight w:val="green"/>
        </w:rPr>
        <w:t>The</w:t>
      </w:r>
      <w:r w:rsidRPr="0078572C">
        <w:rPr>
          <w:sz w:val="14"/>
          <w:highlight w:val="green"/>
        </w:rPr>
        <w:t xml:space="preserve"> </w:t>
      </w:r>
      <w:r w:rsidRPr="0078572C">
        <w:rPr>
          <w:rStyle w:val="Emphasis"/>
          <w:highlight w:val="green"/>
        </w:rPr>
        <w:t>unanimous</w:t>
      </w:r>
      <w:r w:rsidRPr="0028637F">
        <w:rPr>
          <w:rStyle w:val="Emphasis"/>
        </w:rPr>
        <w:t xml:space="preserve"> Eleventh Circuit </w:t>
      </w:r>
      <w:r w:rsidRPr="0078572C">
        <w:rPr>
          <w:rStyle w:val="Emphasis"/>
          <w:highlight w:val="green"/>
        </w:rPr>
        <w:t>panel</w:t>
      </w:r>
      <w:r w:rsidRPr="0078572C">
        <w:rPr>
          <w:sz w:val="14"/>
          <w:highlight w:val="green"/>
        </w:rPr>
        <w:t xml:space="preserve"> </w:t>
      </w:r>
      <w:r w:rsidRPr="0078572C">
        <w:rPr>
          <w:rStyle w:val="StyleUnderline"/>
          <w:highlight w:val="green"/>
        </w:rPr>
        <w:t xml:space="preserve">found this </w:t>
      </w:r>
      <w:r w:rsidRPr="0061674F">
        <w:rPr>
          <w:rStyle w:val="StyleUnderline"/>
        </w:rPr>
        <w:t xml:space="preserve">discrimination </w:t>
      </w:r>
      <w:r w:rsidRPr="0078572C">
        <w:rPr>
          <w:rStyle w:val="StyleUnderline"/>
          <w:highlight w:val="green"/>
        </w:rPr>
        <w:t>to be a violation of</w:t>
      </w:r>
      <w:r w:rsidRPr="0061674F">
        <w:rPr>
          <w:sz w:val="14"/>
        </w:rPr>
        <w:t xml:space="preserve"> both </w:t>
      </w:r>
      <w:r w:rsidRPr="0061674F">
        <w:rPr>
          <w:rStyle w:val="StyleUnderline"/>
        </w:rPr>
        <w:t xml:space="preserve">Title VII and the </w:t>
      </w:r>
      <w:r w:rsidRPr="0078572C">
        <w:rPr>
          <w:rStyle w:val="StyleUnderline"/>
          <w:highlight w:val="green"/>
        </w:rPr>
        <w:t>equal protection</w:t>
      </w:r>
      <w:r w:rsidRPr="0061674F">
        <w:rPr>
          <w:sz w:val="14"/>
        </w:rPr>
        <w:t xml:space="preserve"> clause. The court invoked heightened scrutiny as required by sex discrimination under the clause. The decision also cited law review articles calling for the expansion of transgender rights under sex discrimination frameworks. </w:t>
      </w:r>
      <w:r w:rsidRPr="00655B71">
        <w:rPr>
          <w:rStyle w:val="StyleUnderline"/>
        </w:rPr>
        <w:t>Of the four judges</w:t>
      </w:r>
      <w:r w:rsidRPr="0061674F">
        <w:rPr>
          <w:sz w:val="14"/>
        </w:rPr>
        <w:t xml:space="preserve"> involved in the litigation, three were Democratic appointees, including the trial judge, and </w:t>
      </w:r>
      <w:r w:rsidRPr="0078572C">
        <w:rPr>
          <w:rStyle w:val="Emphasis"/>
          <w:highlight w:val="green"/>
        </w:rPr>
        <w:t>one was a Republican appointee</w:t>
      </w:r>
      <w:r w:rsidRPr="0061674F">
        <w:rPr>
          <w:sz w:val="14"/>
        </w:rPr>
        <w:t xml:space="preserve">. Of the policy areas discussed in this chapter, employment discrimination is the most advanced from a legal and policy perspective. Not only is this form of discrimination actionable under some state (and many local) laws, federal law concerning sex-based discrimination was increasingly being used by judges and administrative actors during the Obama administration to prohibit discrimination based upon gender identity. Of course, this policy area is arguably the least politically controversial, given the high levels of support for nondiscrimination laws shown in chapter 2. However, </w:t>
      </w:r>
      <w:r w:rsidRPr="0078572C">
        <w:rPr>
          <w:rStyle w:val="StyleUnderline"/>
          <w:highlight w:val="green"/>
        </w:rPr>
        <w:t>it is clear</w:t>
      </w:r>
      <w:r w:rsidRPr="0061674F">
        <w:rPr>
          <w:sz w:val="14"/>
        </w:rPr>
        <w:t xml:space="preserve"> that </w:t>
      </w:r>
      <w:r w:rsidRPr="0078572C">
        <w:rPr>
          <w:rStyle w:val="StyleUnderline"/>
          <w:highlight w:val="green"/>
        </w:rPr>
        <w:t>action by legal policymakers</w:t>
      </w:r>
      <w:r w:rsidRPr="0061674F">
        <w:rPr>
          <w:sz w:val="14"/>
        </w:rPr>
        <w:t xml:space="preserve"> </w:t>
      </w:r>
      <w:r w:rsidRPr="0078572C">
        <w:rPr>
          <w:rStyle w:val="Emphasis"/>
          <w:highlight w:val="green"/>
        </w:rPr>
        <w:t>has been required to expand the policy</w:t>
      </w:r>
      <w:r w:rsidRPr="0061674F">
        <w:rPr>
          <w:sz w:val="14"/>
        </w:rPr>
        <w:t>, given the democratic deficit discussed above (see also Lax and Phillips 2012).</w:t>
      </w:r>
    </w:p>
    <w:p w14:paraId="1128FD3D" w14:textId="77777777" w:rsidR="00AC7390" w:rsidRDefault="00AC7390" w:rsidP="00AC7390">
      <w:pPr>
        <w:pStyle w:val="Heading1"/>
      </w:pPr>
      <w:r>
        <w:t>2NC</w:t>
      </w:r>
    </w:p>
    <w:p w14:paraId="6C87B8FE" w14:textId="77777777" w:rsidR="00AC7390" w:rsidRDefault="00AC7390" w:rsidP="00AC7390">
      <w:pPr>
        <w:pStyle w:val="Heading2"/>
      </w:pPr>
      <w:r>
        <w:t>Cap K</w:t>
      </w:r>
    </w:p>
    <w:p w14:paraId="3E31F302" w14:textId="54960DED" w:rsidR="00AC7390" w:rsidRDefault="00AC7390" w:rsidP="00AC7390">
      <w:pPr>
        <w:pStyle w:val="Heading3"/>
      </w:pPr>
      <w:bookmarkStart w:id="0" w:name="_Hlk21697664"/>
      <w:bookmarkStart w:id="1" w:name="Level_3_1993"/>
      <w:r>
        <w:t>FW – 2NC</w:t>
      </w:r>
    </w:p>
    <w:p w14:paraId="63745922" w14:textId="1C69FE44" w:rsidR="00AC7390" w:rsidRPr="00AC7390" w:rsidRDefault="00AC7390" w:rsidP="00AC7390">
      <w:pPr>
        <w:pStyle w:val="Heading3"/>
        <w:rPr>
          <w:rFonts w:cs="Arial"/>
        </w:rPr>
      </w:pPr>
      <w:bookmarkStart w:id="2" w:name="Level_3_1999"/>
      <w:bookmarkEnd w:id="0"/>
      <w:bookmarkEnd w:id="1"/>
      <w:r>
        <w:rPr>
          <w:rFonts w:cs="Arial"/>
        </w:rPr>
        <w:t>Perm – 2NC</w:t>
      </w:r>
    </w:p>
    <w:p w14:paraId="0003B86A" w14:textId="1CAFB972" w:rsidR="00AC7390" w:rsidRDefault="00AC7390" w:rsidP="00AC7390">
      <w:pPr>
        <w:pStyle w:val="Heading3"/>
      </w:pPr>
      <w:bookmarkStart w:id="3" w:name="Level_3_2005"/>
      <w:bookmarkEnd w:id="2"/>
      <w:r>
        <w:t>Political Energy Link – 2NC</w:t>
      </w:r>
    </w:p>
    <w:p w14:paraId="3A9BEF0F" w14:textId="48EF3ACD" w:rsidR="00AC7390" w:rsidRDefault="00AC7390" w:rsidP="00AC7390">
      <w:pPr>
        <w:pStyle w:val="Heading3"/>
      </w:pPr>
      <w:r>
        <w:t>Petty Bourgeois Link---2NC</w:t>
      </w:r>
    </w:p>
    <w:p w14:paraId="0B2EDB48" w14:textId="77777777" w:rsidR="00AC7390" w:rsidRDefault="00AC7390" w:rsidP="00AC7390">
      <w:pPr>
        <w:pStyle w:val="Heading4"/>
      </w:pPr>
      <w:r>
        <w:t>Indicts the whole aff---it’s all built on Sakai’s work!</w:t>
      </w:r>
    </w:p>
    <w:p w14:paraId="1F9F21EA" w14:textId="77777777" w:rsidR="00AC7390" w:rsidRDefault="00AC7390" w:rsidP="00AC7390">
      <w:r w:rsidRPr="00CE6EEE">
        <w:rPr>
          <w:rStyle w:val="Style13ptBold"/>
        </w:rPr>
        <w:t>rowan 23</w:t>
      </w:r>
      <w:r w:rsidRPr="00CE6EEE">
        <w:t xml:space="preserve"> [rowan (), 6-4-2023, "Revolutionary Trans Politics and the Three Way Fight," Anarchist Library, https://theanarchistlibrary.org/library/rowan-revolutionary-trans-politics-and-the-three-way-fight, njn]</w:t>
      </w:r>
    </w:p>
    <w:p w14:paraId="03048B06" w14:textId="06A02670" w:rsidR="00AC7390" w:rsidRDefault="00AC7390" w:rsidP="00AC7390">
      <w:r w:rsidRPr="0007406A">
        <w:rPr>
          <w:rStyle w:val="StyleUnderline"/>
          <w:highlight w:val="cyan"/>
        </w:rPr>
        <w:t>Val Travesti</w:t>
      </w:r>
      <w:r w:rsidRPr="00CE6EEE">
        <w:rPr>
          <w:rStyle w:val="StyleUnderline"/>
        </w:rPr>
        <w:t xml:space="preserve"> is a trans woman who is coming out of Maoist politics, who </w:t>
      </w:r>
      <w:r w:rsidRPr="0007406A">
        <w:rPr>
          <w:rStyle w:val="StyleUnderline"/>
          <w:highlight w:val="cyan"/>
        </w:rPr>
        <w:t>uses</w:t>
      </w:r>
      <w:r w:rsidRPr="00CE6EEE">
        <w:rPr>
          <w:rStyle w:val="StyleUnderline"/>
        </w:rPr>
        <w:t xml:space="preserve"> some of </w:t>
      </w:r>
      <w:r w:rsidRPr="0007406A">
        <w:rPr>
          <w:rStyle w:val="StyleUnderline"/>
          <w:highlight w:val="cyan"/>
        </w:rPr>
        <w:t xml:space="preserve">the thinking developed by </w:t>
      </w:r>
      <w:r w:rsidRPr="0007406A">
        <w:rPr>
          <w:rStyle w:val="Emphasis"/>
          <w:highlight w:val="cyan"/>
        </w:rPr>
        <w:t>J. Sakai</w:t>
      </w:r>
      <w:r w:rsidRPr="00CE6EEE">
        <w:rPr>
          <w:rStyle w:val="StyleUnderline"/>
        </w:rPr>
        <w:t xml:space="preserve"> and Butch Lee to try to develop a revolutionary anti-imperialist and radically feminist politics of trans liberation</w:t>
      </w:r>
      <w:r w:rsidRPr="00CE6EEE">
        <w:t xml:space="preserve"> [for example here and here].</w:t>
      </w:r>
    </w:p>
    <w:p w14:paraId="60560459" w14:textId="77777777" w:rsidR="00AC7390" w:rsidRPr="005A1C12" w:rsidRDefault="00AC7390" w:rsidP="00AC7390">
      <w:pPr>
        <w:pStyle w:val="Heading4"/>
      </w:pPr>
      <w:r>
        <w:t>Sakai slanders some of the most celebrated historical figures of the Marxist movement as white supremacists which de-energizes action.</w:t>
      </w:r>
    </w:p>
    <w:p w14:paraId="5EF1B9C0" w14:textId="77777777" w:rsidR="00AC7390" w:rsidRDefault="00AC7390" w:rsidP="00AC7390">
      <w:r w:rsidRPr="005A1C12">
        <w:rPr>
          <w:rStyle w:val="Style13ptBold"/>
        </w:rPr>
        <w:t>Arbor 20</w:t>
      </w:r>
      <w:r w:rsidRPr="005A1C12">
        <w:t xml:space="preserve"> [Erich Arbor (</w:t>
      </w:r>
      <w:r>
        <w:t>Studying and promoting the science and practice of Dialectical Materialism, helping to build a more disciplined Left</w:t>
      </w:r>
      <w:r w:rsidRPr="005A1C12">
        <w:t xml:space="preserve">), </w:t>
      </w:r>
      <w:r>
        <w:t>9-26-2020</w:t>
      </w:r>
      <w:r w:rsidRPr="005A1C12">
        <w:t>, "The Anti-Marxist Elitism of J. Sakai’s ‘Settlers’," Medium, https://erich-arbor.medium.com/the-anti-marxist-elitism-of-j-sakais-settlers-409ff2d496ee, njn]</w:t>
      </w:r>
    </w:p>
    <w:p w14:paraId="7A6FEF69" w14:textId="77777777" w:rsidR="00AC7390" w:rsidRPr="003742BD" w:rsidRDefault="00AC7390" w:rsidP="00AC7390">
      <w:pPr>
        <w:rPr>
          <w:sz w:val="16"/>
        </w:rPr>
      </w:pPr>
      <w:r w:rsidRPr="003742BD">
        <w:rPr>
          <w:sz w:val="16"/>
        </w:rPr>
        <w:t>J. Sakai and the Western Maoist Bourgeois Ideology</w:t>
      </w:r>
    </w:p>
    <w:p w14:paraId="3340883B" w14:textId="77777777" w:rsidR="00AC7390" w:rsidRPr="003742BD" w:rsidRDefault="00AC7390" w:rsidP="00AC7390">
      <w:pPr>
        <w:rPr>
          <w:sz w:val="16"/>
        </w:rPr>
      </w:pPr>
      <w:r w:rsidRPr="003742BD">
        <w:rPr>
          <w:sz w:val="16"/>
        </w:rPr>
        <w:t xml:space="preserve">Establishing the petty bourgeois character of Trotskyism, it would be irresponsible not to address more popular forms of similar ideology within the contemporary Left. Trotskyism has been on a steady decline in popularity, as its ineffectiveness has been proven through decades of mediocre political action. Right now, however, </w:t>
      </w:r>
      <w:r w:rsidRPr="005A1C12">
        <w:rPr>
          <w:rStyle w:val="StyleUnderline"/>
        </w:rPr>
        <w:t xml:space="preserve">well-meaning </w:t>
      </w:r>
      <w:r w:rsidRPr="0007406A">
        <w:rPr>
          <w:rStyle w:val="StyleUnderline"/>
          <w:highlight w:val="cyan"/>
        </w:rPr>
        <w:t>comrades</w:t>
      </w:r>
      <w:r w:rsidRPr="005A1C12">
        <w:rPr>
          <w:rStyle w:val="StyleUnderline"/>
        </w:rPr>
        <w:t xml:space="preserve"> who identify themselves with scientific socialist principles </w:t>
      </w:r>
      <w:r w:rsidRPr="0007406A">
        <w:rPr>
          <w:rStyle w:val="StyleUnderline"/>
          <w:highlight w:val="cyan"/>
        </w:rPr>
        <w:t>are falling prey to</w:t>
      </w:r>
      <w:r w:rsidRPr="005A1C12">
        <w:rPr>
          <w:rStyle w:val="StyleUnderline"/>
        </w:rPr>
        <w:t xml:space="preserve"> similar reaction, calling for </w:t>
      </w:r>
      <w:r w:rsidRPr="0007406A">
        <w:rPr>
          <w:rStyle w:val="StyleUnderline"/>
          <w:highlight w:val="cyan"/>
        </w:rPr>
        <w:t>utopian</w:t>
      </w:r>
      <w:r w:rsidRPr="005A1C12">
        <w:rPr>
          <w:rStyle w:val="StyleUnderline"/>
        </w:rPr>
        <w:t xml:space="preserve">, albeit </w:t>
      </w:r>
      <w:r w:rsidRPr="0007406A">
        <w:rPr>
          <w:rStyle w:val="StyleUnderline"/>
          <w:highlight w:val="cyan"/>
        </w:rPr>
        <w:t xml:space="preserve">materially </w:t>
      </w:r>
      <w:r w:rsidRPr="0007406A">
        <w:rPr>
          <w:rStyle w:val="Emphasis"/>
          <w:highlight w:val="cyan"/>
        </w:rPr>
        <w:t>bankrupt</w:t>
      </w:r>
      <w:r w:rsidRPr="0007406A">
        <w:rPr>
          <w:rStyle w:val="StyleUnderline"/>
          <w:highlight w:val="cyan"/>
        </w:rPr>
        <w:t xml:space="preserve"> ideas based in</w:t>
      </w:r>
      <w:r w:rsidRPr="005A1C12">
        <w:rPr>
          <w:rStyle w:val="StyleUnderline"/>
        </w:rPr>
        <w:t xml:space="preserve"> what is found in J. </w:t>
      </w:r>
      <w:r w:rsidRPr="0007406A">
        <w:rPr>
          <w:rStyle w:val="Emphasis"/>
          <w:highlight w:val="cyan"/>
        </w:rPr>
        <w:t>Sakai</w:t>
      </w:r>
      <w:r w:rsidRPr="005A1C12">
        <w:rPr>
          <w:rStyle w:val="StyleUnderline"/>
        </w:rPr>
        <w:t>’s Settlers</w:t>
      </w:r>
      <w:r w:rsidRPr="003742BD">
        <w:rPr>
          <w:sz w:val="16"/>
        </w:rPr>
        <w:t xml:space="preserve">, a book </w:t>
      </w:r>
      <w:r w:rsidRPr="0007406A">
        <w:rPr>
          <w:rStyle w:val="StyleUnderline"/>
          <w:highlight w:val="cyan"/>
        </w:rPr>
        <w:t>towing</w:t>
      </w:r>
      <w:r w:rsidRPr="005A1C12">
        <w:rPr>
          <w:rStyle w:val="StyleUnderline"/>
        </w:rPr>
        <w:t xml:space="preserve"> what Comrade Rashid Johnson condemns as </w:t>
      </w:r>
      <w:r w:rsidRPr="0007406A">
        <w:rPr>
          <w:rStyle w:val="StyleUnderline"/>
          <w:highlight w:val="cyan"/>
        </w:rPr>
        <w:t>the “vulgar labor aristocracy line”.</w:t>
      </w:r>
      <w:r w:rsidRPr="005A1C12">
        <w:rPr>
          <w:rStyle w:val="StyleUnderline"/>
        </w:rPr>
        <w:t xml:space="preserve"> Here is a longer quote </w:t>
      </w:r>
      <w:r w:rsidRPr="0007406A">
        <w:rPr>
          <w:rStyle w:val="StyleUnderline"/>
          <w:highlight w:val="cyan"/>
        </w:rPr>
        <w:t xml:space="preserve">from </w:t>
      </w:r>
      <w:r w:rsidRPr="0007406A">
        <w:rPr>
          <w:rStyle w:val="Emphasis"/>
          <w:highlight w:val="cyan"/>
        </w:rPr>
        <w:t>Rashid Johnson</w:t>
      </w:r>
      <w:r w:rsidRPr="005A1C12">
        <w:rPr>
          <w:rStyle w:val="Emphasis"/>
        </w:rPr>
        <w:t>’s</w:t>
      </w:r>
      <w:r w:rsidRPr="003742BD">
        <w:rPr>
          <w:sz w:val="16"/>
        </w:rPr>
        <w:t xml:space="preserve"> aforementioned essay on the subject:</w:t>
      </w:r>
    </w:p>
    <w:p w14:paraId="4DB7074A" w14:textId="77777777" w:rsidR="00AC7390" w:rsidRPr="005A1C12" w:rsidRDefault="00AC7390" w:rsidP="00AC7390">
      <w:pPr>
        <w:rPr>
          <w:rStyle w:val="StyleUnderline"/>
        </w:rPr>
      </w:pPr>
      <w:r w:rsidRPr="003742BD">
        <w:rPr>
          <w:sz w:val="16"/>
        </w:rPr>
        <w:t xml:space="preserve">Settlers cites episodes from the extensive history of “white” racial oppression of people of color in Amerika and the relative privileged status that “whites” at all social-economic levels have enjoyed at the expense of peoples of color, and which has allowed even working class and poor whites to betray the interests of their counterparts of color. </w:t>
      </w:r>
      <w:r w:rsidRPr="0007406A">
        <w:rPr>
          <w:rStyle w:val="StyleUnderline"/>
          <w:highlight w:val="cyan"/>
        </w:rPr>
        <w:t xml:space="preserve">The main theme of Settlers is </w:t>
      </w:r>
      <w:r w:rsidRPr="0007406A">
        <w:rPr>
          <w:rStyle w:val="Emphasis"/>
          <w:highlight w:val="cyan"/>
        </w:rPr>
        <w:t>“white” racial treachery</w:t>
      </w:r>
      <w:r w:rsidRPr="005A1C12">
        <w:rPr>
          <w:rStyle w:val="StyleUnderline"/>
        </w:rPr>
        <w:t xml:space="preserve">, betrayal, brutality and privilege </w:t>
      </w:r>
      <w:r w:rsidRPr="0007406A">
        <w:rPr>
          <w:rStyle w:val="StyleUnderline"/>
          <w:highlight w:val="cyan"/>
        </w:rPr>
        <w:t>that claims</w:t>
      </w:r>
      <w:r w:rsidRPr="005A1C12">
        <w:rPr>
          <w:rStyle w:val="StyleUnderline"/>
        </w:rPr>
        <w:t xml:space="preserve"> to know </w:t>
      </w:r>
      <w:r w:rsidRPr="0007406A">
        <w:rPr>
          <w:rStyle w:val="Emphasis"/>
          <w:highlight w:val="cyan"/>
        </w:rPr>
        <w:t>no class distinction</w:t>
      </w:r>
      <w:r w:rsidRPr="005A1C12">
        <w:rPr>
          <w:rStyle w:val="StyleUnderline"/>
        </w:rPr>
        <w:t>. The conclusion being that these factors combine to create a uniform class of “whiteness” that has no proletarian sector.</w:t>
      </w:r>
    </w:p>
    <w:p w14:paraId="019F8325" w14:textId="77777777" w:rsidR="00AC7390" w:rsidRPr="008F0CE4" w:rsidRDefault="00AC7390" w:rsidP="00AC7390">
      <w:pPr>
        <w:rPr>
          <w:rStyle w:val="StyleUnderline"/>
          <w:sz w:val="32"/>
          <w:szCs w:val="32"/>
        </w:rPr>
      </w:pPr>
      <w:r w:rsidRPr="005A1C12">
        <w:rPr>
          <w:rStyle w:val="StyleUnderline"/>
        </w:rPr>
        <w:t xml:space="preserve">One </w:t>
      </w:r>
      <w:r w:rsidRPr="0007406A">
        <w:rPr>
          <w:rStyle w:val="StyleUnderline"/>
          <w:highlight w:val="cyan"/>
        </w:rPr>
        <w:t xml:space="preserve">could easily </w:t>
      </w:r>
      <w:r w:rsidRPr="0007406A">
        <w:rPr>
          <w:rStyle w:val="Emphasis"/>
          <w:highlight w:val="cyan"/>
        </w:rPr>
        <w:t>write off</w:t>
      </w:r>
      <w:r w:rsidRPr="0007406A">
        <w:rPr>
          <w:rStyle w:val="StyleUnderline"/>
          <w:highlight w:val="cyan"/>
        </w:rPr>
        <w:t xml:space="preserve"> Sakai</w:t>
      </w:r>
      <w:r w:rsidRPr="005A1C12">
        <w:rPr>
          <w:rStyle w:val="StyleUnderline"/>
        </w:rPr>
        <w:t xml:space="preserve">’s work </w:t>
      </w:r>
      <w:r w:rsidRPr="0007406A">
        <w:rPr>
          <w:rStyle w:val="StyleUnderline"/>
          <w:highlight w:val="cyan"/>
        </w:rPr>
        <w:t xml:space="preserve">as an infantile </w:t>
      </w:r>
      <w:r w:rsidRPr="0007406A">
        <w:rPr>
          <w:rStyle w:val="Emphasis"/>
          <w:highlight w:val="cyan"/>
        </w:rPr>
        <w:t>self-projection</w:t>
      </w:r>
      <w:r w:rsidRPr="0007406A">
        <w:rPr>
          <w:rStyle w:val="StyleUnderline"/>
          <w:highlight w:val="cyan"/>
        </w:rPr>
        <w:t xml:space="preserve"> of</w:t>
      </w:r>
      <w:r w:rsidRPr="005A1C12">
        <w:rPr>
          <w:rStyle w:val="StyleUnderline"/>
        </w:rPr>
        <w:t xml:space="preserve"> what is </w:t>
      </w:r>
      <w:r w:rsidRPr="0007406A">
        <w:rPr>
          <w:rStyle w:val="Emphasis"/>
          <w:highlight w:val="cyan"/>
        </w:rPr>
        <w:t>petty bourgeois</w:t>
      </w:r>
      <w:r w:rsidRPr="005A1C12">
        <w:rPr>
          <w:rStyle w:val="StyleUnderline"/>
        </w:rPr>
        <w:t xml:space="preserve"> in American society</w:t>
      </w:r>
      <w:r w:rsidRPr="003742BD">
        <w:rPr>
          <w:sz w:val="16"/>
        </w:rPr>
        <w:t xml:space="preserve">. Throughout the book, </w:t>
      </w:r>
      <w:r w:rsidRPr="0007406A">
        <w:rPr>
          <w:rStyle w:val="StyleUnderline"/>
          <w:highlight w:val="cyan"/>
        </w:rPr>
        <w:t>statistics are</w:t>
      </w:r>
      <w:r w:rsidRPr="005A1C12">
        <w:rPr>
          <w:rStyle w:val="StyleUnderline"/>
        </w:rPr>
        <w:t xml:space="preserve"> left </w:t>
      </w:r>
      <w:r w:rsidRPr="0007406A">
        <w:rPr>
          <w:rStyle w:val="StyleUnderline"/>
          <w:highlight w:val="cyan"/>
        </w:rPr>
        <w:t>unsourced, and quotes from labor leaders</w:t>
      </w:r>
      <w:r w:rsidRPr="005A1C12">
        <w:rPr>
          <w:rStyle w:val="StyleUnderline"/>
        </w:rPr>
        <w:t xml:space="preserve"> and communists </w:t>
      </w:r>
      <w:r w:rsidRPr="0007406A">
        <w:rPr>
          <w:rStyle w:val="StyleUnderline"/>
          <w:highlight w:val="cyan"/>
        </w:rPr>
        <w:t>are manipulated</w:t>
      </w:r>
      <w:r w:rsidRPr="005A1C12">
        <w:rPr>
          <w:rStyle w:val="StyleUnderline"/>
        </w:rPr>
        <w:t xml:space="preserve"> in a way </w:t>
      </w:r>
      <w:r w:rsidRPr="0007406A">
        <w:rPr>
          <w:rStyle w:val="StyleUnderline"/>
          <w:highlight w:val="cyan"/>
        </w:rPr>
        <w:t>to slander</w:t>
      </w:r>
      <w:r w:rsidRPr="005A1C12">
        <w:rPr>
          <w:rStyle w:val="StyleUnderline"/>
        </w:rPr>
        <w:t xml:space="preserve"> these </w:t>
      </w:r>
      <w:r w:rsidRPr="0007406A">
        <w:rPr>
          <w:rStyle w:val="StyleUnderline"/>
          <w:highlight w:val="cyan"/>
        </w:rPr>
        <w:t>figures as white supremacists</w:t>
      </w:r>
      <w:r w:rsidRPr="003742BD">
        <w:rPr>
          <w:sz w:val="16"/>
        </w:rPr>
        <w:t xml:space="preserve">. In one of many problematic segments, </w:t>
      </w:r>
      <w:r w:rsidRPr="005A1C12">
        <w:rPr>
          <w:rStyle w:val="StyleUnderline"/>
        </w:rPr>
        <w:t xml:space="preserve">Sakai is found </w:t>
      </w:r>
      <w:r w:rsidRPr="0007406A">
        <w:rPr>
          <w:rStyle w:val="StyleUnderline"/>
          <w:highlight w:val="cyan"/>
        </w:rPr>
        <w:t>misrepresenting</w:t>
      </w:r>
      <w:r w:rsidRPr="005A1C12">
        <w:rPr>
          <w:rStyle w:val="StyleUnderline"/>
        </w:rPr>
        <w:t xml:space="preserve"> the quotes of Communist William Z. </w:t>
      </w:r>
      <w:r w:rsidRPr="0007406A">
        <w:rPr>
          <w:rStyle w:val="StyleUnderline"/>
          <w:highlight w:val="cyan"/>
        </w:rPr>
        <w:t>Foster</w:t>
      </w:r>
      <w:r w:rsidRPr="005A1C12">
        <w:rPr>
          <w:rStyle w:val="StyleUnderline"/>
        </w:rPr>
        <w:t xml:space="preserve"> to portray Foster </w:t>
      </w:r>
      <w:r w:rsidRPr="0007406A">
        <w:rPr>
          <w:rStyle w:val="StyleUnderline"/>
          <w:highlight w:val="cyan"/>
        </w:rPr>
        <w:t>as</w:t>
      </w:r>
      <w:r w:rsidRPr="005A1C12">
        <w:rPr>
          <w:rStyle w:val="StyleUnderline"/>
        </w:rPr>
        <w:t xml:space="preserve"> a </w:t>
      </w:r>
      <w:r w:rsidRPr="0007406A">
        <w:rPr>
          <w:rStyle w:val="StyleUnderline"/>
          <w:highlight w:val="cyan"/>
        </w:rPr>
        <w:t>racist</w:t>
      </w:r>
      <w:r w:rsidRPr="003742BD">
        <w:rPr>
          <w:sz w:val="16"/>
        </w:rPr>
        <w:t xml:space="preserve">. Along with Black Communist James W. Ford, Foster ran in the 1932 Presidential election and made self-determination for the Black Belt a significant part of the Communist Party program. As the first party secretary, Foster helped establish the party as the first and only US political party to be racially integrated in 1919. The CPUSA was </w:t>
      </w:r>
      <w:r w:rsidRPr="0007406A">
        <w:rPr>
          <w:rStyle w:val="StyleUnderline"/>
          <w:highlight w:val="cyan"/>
        </w:rPr>
        <w:t>one of the first</w:t>
      </w:r>
      <w:r w:rsidRPr="008F0CE4">
        <w:rPr>
          <w:rStyle w:val="StyleUnderline"/>
        </w:rPr>
        <w:t xml:space="preserve"> </w:t>
      </w:r>
      <w:r w:rsidRPr="0007406A">
        <w:rPr>
          <w:rStyle w:val="StyleUnderline"/>
          <w:highlight w:val="cyan"/>
        </w:rPr>
        <w:t>organizations to organize against</w:t>
      </w:r>
      <w:r w:rsidRPr="008F0CE4">
        <w:rPr>
          <w:rStyle w:val="StyleUnderline"/>
        </w:rPr>
        <w:t xml:space="preserve"> Jim Crow </w:t>
      </w:r>
      <w:r w:rsidRPr="0007406A">
        <w:rPr>
          <w:rStyle w:val="StyleUnderline"/>
          <w:highlight w:val="cyan"/>
        </w:rPr>
        <w:t>lynchings</w:t>
      </w:r>
      <w:r w:rsidRPr="003742BD">
        <w:rPr>
          <w:sz w:val="16"/>
        </w:rPr>
        <w:t xml:space="preserve">, calling for a death penalty for lynchers. Knowing this, it becomes far less likely that Sakai is in good faith of his usage of Foster’s words. Yet online, </w:t>
      </w:r>
      <w:r w:rsidRPr="005A1C12">
        <w:rPr>
          <w:rStyle w:val="StyleUnderline"/>
        </w:rPr>
        <w:t xml:space="preserve">far too many Marxists are regurgitating Sakai’s </w:t>
      </w:r>
      <w:r w:rsidRPr="005A1C12">
        <w:rPr>
          <w:rStyle w:val="Emphasis"/>
        </w:rPr>
        <w:t>anti-Marxist</w:t>
      </w:r>
      <w:r w:rsidRPr="005A1C12">
        <w:rPr>
          <w:rStyle w:val="StyleUnderline"/>
        </w:rPr>
        <w:t xml:space="preserve"> rhetoric</w:t>
      </w:r>
      <w:r w:rsidRPr="003742BD">
        <w:rPr>
          <w:sz w:val="16"/>
        </w:rPr>
        <w:t xml:space="preserve">. </w:t>
      </w:r>
      <w:r w:rsidRPr="0007406A">
        <w:rPr>
          <w:rStyle w:val="Emphasis"/>
          <w:sz w:val="28"/>
          <w:szCs w:val="28"/>
          <w:highlight w:val="cyan"/>
        </w:rPr>
        <w:t>If we are serious</w:t>
      </w:r>
      <w:r w:rsidRPr="008F0CE4">
        <w:rPr>
          <w:rStyle w:val="Emphasis"/>
          <w:sz w:val="28"/>
          <w:szCs w:val="28"/>
        </w:rPr>
        <w:t xml:space="preserve">ly invested, dedicated, and determined </w:t>
      </w:r>
      <w:r w:rsidRPr="0007406A">
        <w:rPr>
          <w:rStyle w:val="Emphasis"/>
          <w:sz w:val="28"/>
          <w:szCs w:val="28"/>
          <w:highlight w:val="cyan"/>
        </w:rPr>
        <w:t>to build a socialist society</w:t>
      </w:r>
      <w:r w:rsidRPr="008F0CE4">
        <w:rPr>
          <w:rStyle w:val="Emphasis"/>
          <w:sz w:val="28"/>
          <w:szCs w:val="28"/>
        </w:rPr>
        <w:t xml:space="preserve"> in the United States, </w:t>
      </w:r>
      <w:r w:rsidRPr="0007406A">
        <w:rPr>
          <w:rStyle w:val="Emphasis"/>
          <w:sz w:val="28"/>
          <w:szCs w:val="28"/>
          <w:highlight w:val="cyan"/>
        </w:rPr>
        <w:t>we need to cast off</w:t>
      </w:r>
      <w:r w:rsidRPr="008F0CE4">
        <w:rPr>
          <w:rStyle w:val="Emphasis"/>
          <w:sz w:val="28"/>
          <w:szCs w:val="28"/>
        </w:rPr>
        <w:t xml:space="preserve"> these </w:t>
      </w:r>
      <w:r w:rsidRPr="0007406A">
        <w:rPr>
          <w:rStyle w:val="Emphasis"/>
          <w:sz w:val="28"/>
          <w:szCs w:val="28"/>
          <w:highlight w:val="cyan"/>
        </w:rPr>
        <w:t>ultraleftist analyses void of all materialist outlook.</w:t>
      </w:r>
    </w:p>
    <w:p w14:paraId="5F76CD13" w14:textId="77777777" w:rsidR="00AC7390" w:rsidRPr="003742BD" w:rsidRDefault="00AC7390" w:rsidP="00AC7390">
      <w:pPr>
        <w:rPr>
          <w:sz w:val="16"/>
        </w:rPr>
      </w:pPr>
      <w:r w:rsidRPr="003742BD">
        <w:rPr>
          <w:sz w:val="16"/>
        </w:rPr>
        <w:t>Press enter or click to view image in full size</w:t>
      </w:r>
    </w:p>
    <w:p w14:paraId="6BA6394D" w14:textId="77777777" w:rsidR="00AC7390" w:rsidRPr="003742BD" w:rsidRDefault="00AC7390" w:rsidP="00AC7390">
      <w:pPr>
        <w:rPr>
          <w:sz w:val="16"/>
        </w:rPr>
      </w:pPr>
      <w:r w:rsidRPr="003742BD">
        <w:rPr>
          <w:sz w:val="16"/>
        </w:rPr>
        <w:t>Press enter or click to view image in full size</w:t>
      </w:r>
    </w:p>
    <w:p w14:paraId="62F13DC0" w14:textId="77777777" w:rsidR="00AC7390" w:rsidRPr="003742BD" w:rsidRDefault="00AC7390" w:rsidP="00AC7390">
      <w:pPr>
        <w:rPr>
          <w:sz w:val="16"/>
        </w:rPr>
      </w:pPr>
      <w:r w:rsidRPr="003742BD">
        <w:rPr>
          <w:sz w:val="16"/>
        </w:rPr>
        <w:t xml:space="preserve">What Sakai and others (most recently Rainer Shea in a disjointed article on colonial chauvinism which leans heavily on Sakai’s anti-materialism) utterly fail to realize is how whiteness, historically and presently, is employed by the bourgeoisie to divide and conquer working Americans as a whole, across racial barriers. As Angela Davis has said, </w:t>
      </w:r>
      <w:r w:rsidRPr="0007406A">
        <w:rPr>
          <w:rStyle w:val="StyleUnderline"/>
          <w:highlight w:val="cyan"/>
        </w:rPr>
        <w:t>the white working class “has nothing to gain” from the US’ legacy of racism. The words of Sakai</w:t>
      </w:r>
      <w:r w:rsidRPr="005A1C12">
        <w:rPr>
          <w:rStyle w:val="StyleUnderline"/>
        </w:rPr>
        <w:t xml:space="preserve"> only </w:t>
      </w:r>
      <w:r w:rsidRPr="0007406A">
        <w:rPr>
          <w:rStyle w:val="StyleUnderline"/>
          <w:highlight w:val="cyan"/>
        </w:rPr>
        <w:t>present</w:t>
      </w:r>
      <w:r w:rsidRPr="005A1C12">
        <w:rPr>
          <w:rStyle w:val="StyleUnderline"/>
        </w:rPr>
        <w:t xml:space="preserve"> themselves as </w:t>
      </w:r>
      <w:r w:rsidRPr="0007406A">
        <w:rPr>
          <w:rStyle w:val="StyleUnderline"/>
          <w:highlight w:val="cyan"/>
        </w:rPr>
        <w:t>a strawman for ultraleftists to wag</w:t>
      </w:r>
      <w:r w:rsidRPr="005A1C12">
        <w:rPr>
          <w:rStyle w:val="StyleUnderline"/>
        </w:rPr>
        <w:t xml:space="preserve"> their </w:t>
      </w:r>
      <w:r w:rsidRPr="0007406A">
        <w:rPr>
          <w:rStyle w:val="StyleUnderline"/>
          <w:highlight w:val="cyan"/>
        </w:rPr>
        <w:t>fingers at working Americans from their spaces of elitist inactivity</w:t>
      </w:r>
      <w:r w:rsidRPr="003742BD">
        <w:rPr>
          <w:sz w:val="16"/>
        </w:rPr>
        <w:t>, for nothing will be sufficient for them to step out of their comfort of critique and join the masses in building a sustainable and powerful socialist movement.</w:t>
      </w:r>
    </w:p>
    <w:p w14:paraId="5BDAD57A" w14:textId="77777777" w:rsidR="00AC7390" w:rsidRPr="003742BD" w:rsidRDefault="00AC7390" w:rsidP="00AC7390">
      <w:pPr>
        <w:rPr>
          <w:sz w:val="16"/>
        </w:rPr>
      </w:pPr>
      <w:r w:rsidRPr="003742BD">
        <w:rPr>
          <w:sz w:val="16"/>
        </w:rPr>
        <w:t>Get Erich Arbor’s stories in your inbox</w:t>
      </w:r>
    </w:p>
    <w:p w14:paraId="753C8448" w14:textId="77777777" w:rsidR="00AC7390" w:rsidRPr="003742BD" w:rsidRDefault="00AC7390" w:rsidP="00AC7390">
      <w:pPr>
        <w:rPr>
          <w:sz w:val="16"/>
        </w:rPr>
      </w:pPr>
      <w:r w:rsidRPr="003742BD">
        <w:rPr>
          <w:sz w:val="16"/>
        </w:rPr>
        <w:t>Join Medium for free to get updates from this writer.</w:t>
      </w:r>
    </w:p>
    <w:p w14:paraId="2DABABA1" w14:textId="77777777" w:rsidR="00AC7390" w:rsidRPr="003742BD" w:rsidRDefault="00AC7390" w:rsidP="00AC7390">
      <w:pPr>
        <w:rPr>
          <w:sz w:val="16"/>
        </w:rPr>
      </w:pPr>
      <w:r w:rsidRPr="003742BD">
        <w:rPr>
          <w:sz w:val="16"/>
        </w:rPr>
        <w:t>Enter your email</w:t>
      </w:r>
    </w:p>
    <w:p w14:paraId="2DE40180" w14:textId="77777777" w:rsidR="00AC7390" w:rsidRPr="003742BD" w:rsidRDefault="00AC7390" w:rsidP="00AC7390">
      <w:pPr>
        <w:rPr>
          <w:sz w:val="16"/>
        </w:rPr>
      </w:pPr>
      <w:r w:rsidRPr="003742BD">
        <w:rPr>
          <w:sz w:val="16"/>
        </w:rPr>
        <w:t>Subscribe</w:t>
      </w:r>
    </w:p>
    <w:p w14:paraId="1F1A6651" w14:textId="77777777" w:rsidR="00AC7390" w:rsidRPr="003742BD" w:rsidRDefault="00AC7390" w:rsidP="00AC7390">
      <w:pPr>
        <w:rPr>
          <w:sz w:val="16"/>
        </w:rPr>
      </w:pPr>
      <w:r w:rsidRPr="003742BD">
        <w:rPr>
          <w:sz w:val="16"/>
        </w:rPr>
        <w:t xml:space="preserve">Do not be mistaken. </w:t>
      </w:r>
      <w:r w:rsidRPr="0007406A">
        <w:rPr>
          <w:rStyle w:val="StyleUnderline"/>
          <w:highlight w:val="cyan"/>
        </w:rPr>
        <w:t>The primary effect</w:t>
      </w:r>
      <w:r w:rsidRPr="003742BD">
        <w:rPr>
          <w:sz w:val="16"/>
        </w:rPr>
        <w:t xml:space="preserve">, intended or not, of the inherently petty bourgeois rhetoric </w:t>
      </w:r>
      <w:r w:rsidRPr="005A1C12">
        <w:rPr>
          <w:rStyle w:val="StyleUnderline"/>
        </w:rPr>
        <w:t xml:space="preserve">is to </w:t>
      </w:r>
      <w:r w:rsidRPr="0007406A">
        <w:rPr>
          <w:rStyle w:val="StyleUnderline"/>
          <w:highlight w:val="cyan"/>
        </w:rPr>
        <w:t xml:space="preserve">create unnecessary </w:t>
      </w:r>
      <w:r w:rsidRPr="0007406A">
        <w:rPr>
          <w:rStyle w:val="Emphasis"/>
          <w:highlight w:val="cyan"/>
        </w:rPr>
        <w:t>rifts</w:t>
      </w:r>
      <w:r w:rsidRPr="0007406A">
        <w:rPr>
          <w:rStyle w:val="StyleUnderline"/>
          <w:highlight w:val="cyan"/>
        </w:rPr>
        <w:t xml:space="preserve"> and </w:t>
      </w:r>
      <w:r w:rsidRPr="0007406A">
        <w:rPr>
          <w:rStyle w:val="Emphasis"/>
          <w:highlight w:val="cyan"/>
        </w:rPr>
        <w:t>divisions</w:t>
      </w:r>
      <w:r w:rsidRPr="005A1C12">
        <w:rPr>
          <w:rStyle w:val="StyleUnderline"/>
        </w:rPr>
        <w:t xml:space="preserve"> among the working class of the United States</w:t>
      </w:r>
      <w:r w:rsidRPr="003742BD">
        <w:rPr>
          <w:sz w:val="16"/>
        </w:rPr>
        <w:t xml:space="preserve">. Certain points of unity, such as that an overwhelming majority of the American working class (white or not) are patriotic and “Proud to be American”, are seen as settler-colonial sentiments, and not to be used in uniting the working people within the United States. As Sakai himself identifies with Maoist lines of thought, let us </w:t>
      </w:r>
      <w:r w:rsidRPr="00681202">
        <w:rPr>
          <w:rStyle w:val="StyleUnderline"/>
        </w:rPr>
        <w:t>listen to what Chairman Mao Zedong thought when it came to the topic of Chinese nationalism</w:t>
      </w:r>
      <w:r w:rsidRPr="003742BD">
        <w:rPr>
          <w:sz w:val="16"/>
        </w:rPr>
        <w:t>, within his writings “On the Correct Handling of Contradictions Among the People”:</w:t>
      </w:r>
    </w:p>
    <w:p w14:paraId="52D3EA98" w14:textId="77777777" w:rsidR="00AC7390" w:rsidRPr="003742BD" w:rsidRDefault="00AC7390" w:rsidP="00AC7390">
      <w:pPr>
        <w:rPr>
          <w:sz w:val="16"/>
        </w:rPr>
      </w:pPr>
      <w:r w:rsidRPr="003742BD">
        <w:rPr>
          <w:sz w:val="16"/>
        </w:rPr>
        <w:t>Over nine-tenths of [China’s] inhabitants belong to the Han nationality. There are also scores of minority nationalities, including the Mongol, Hui, Tibetan, Uighur, Miao, Yi, Chuang, Chungchia and Korean nationalities, all with long histories though at different levels of cultural development. Thus China is a country with a very large population composed of many nationalities.</w:t>
      </w:r>
    </w:p>
    <w:p w14:paraId="26DBB9C3" w14:textId="77777777" w:rsidR="00AC7390" w:rsidRPr="003742BD" w:rsidRDefault="00AC7390" w:rsidP="00AC7390">
      <w:pPr>
        <w:rPr>
          <w:sz w:val="16"/>
        </w:rPr>
      </w:pPr>
      <w:r w:rsidRPr="003742BD">
        <w:rPr>
          <w:sz w:val="16"/>
        </w:rPr>
        <w:t>Also elucidating are Mao’s words on national chauvinism, in “Criticize Han Chauvinism”:</w:t>
      </w:r>
    </w:p>
    <w:p w14:paraId="567240EF" w14:textId="77777777" w:rsidR="00AC7390" w:rsidRPr="003742BD" w:rsidRDefault="00AC7390" w:rsidP="00AC7390">
      <w:pPr>
        <w:rPr>
          <w:sz w:val="16"/>
        </w:rPr>
      </w:pPr>
      <w:r w:rsidRPr="003742BD">
        <w:rPr>
          <w:sz w:val="16"/>
        </w:rPr>
        <w:t>[Minority nationalities] inhabit extensive regions which comprise 50 to 60 percent of China’s total area. It is thus imperative to foster good relations between the Han people and the minority nationalities. Both Han chauvinism and local-nationality chauvinism are harmful to the unity of the nationalities; they represent one kind of contradiction among the people which should be resolved.</w:t>
      </w:r>
    </w:p>
    <w:p w14:paraId="7831FB85" w14:textId="77777777" w:rsidR="00AC7390" w:rsidRPr="003742BD" w:rsidRDefault="00AC7390" w:rsidP="00AC7390">
      <w:pPr>
        <w:rPr>
          <w:sz w:val="16"/>
        </w:rPr>
      </w:pPr>
      <w:r w:rsidRPr="003742BD">
        <w:rPr>
          <w:sz w:val="16"/>
        </w:rPr>
        <w:t>Press enter or click to view image in full size</w:t>
      </w:r>
    </w:p>
    <w:p w14:paraId="308B1055" w14:textId="77777777" w:rsidR="00AC7390" w:rsidRPr="003742BD" w:rsidRDefault="00AC7390" w:rsidP="00AC7390">
      <w:pPr>
        <w:rPr>
          <w:sz w:val="16"/>
        </w:rPr>
      </w:pPr>
      <w:r w:rsidRPr="003742BD">
        <w:rPr>
          <w:sz w:val="16"/>
        </w:rPr>
        <w:t>“Long Live the Great Unity of all Nationalities”, 1960</w:t>
      </w:r>
    </w:p>
    <w:p w14:paraId="61FE5FD3" w14:textId="77777777" w:rsidR="00AC7390" w:rsidRPr="00681202" w:rsidRDefault="00AC7390" w:rsidP="00AC7390">
      <w:pPr>
        <w:rPr>
          <w:rStyle w:val="StyleUnderline"/>
        </w:rPr>
      </w:pPr>
      <w:r w:rsidRPr="00681202">
        <w:rPr>
          <w:rStyle w:val="StyleUnderline"/>
        </w:rPr>
        <w:t xml:space="preserve">Comrade </w:t>
      </w:r>
      <w:r w:rsidRPr="0007406A">
        <w:rPr>
          <w:rStyle w:val="StyleUnderline"/>
          <w:highlight w:val="cyan"/>
        </w:rPr>
        <w:t>Mao understood</w:t>
      </w:r>
      <w:r w:rsidRPr="00681202">
        <w:rPr>
          <w:rStyle w:val="StyleUnderline"/>
        </w:rPr>
        <w:t xml:space="preserve"> the role of </w:t>
      </w:r>
      <w:r w:rsidRPr="0007406A">
        <w:rPr>
          <w:rStyle w:val="StyleUnderline"/>
          <w:highlight w:val="cyan"/>
        </w:rPr>
        <w:t>the revolutionary</w:t>
      </w:r>
      <w:r w:rsidRPr="00681202">
        <w:rPr>
          <w:rStyle w:val="StyleUnderline"/>
        </w:rPr>
        <w:t xml:space="preserve"> vanguard is </w:t>
      </w:r>
      <w:r w:rsidRPr="0007406A">
        <w:rPr>
          <w:rStyle w:val="StyleUnderline"/>
          <w:highlight w:val="cyan"/>
        </w:rPr>
        <w:t xml:space="preserve">to unite the people along with one </w:t>
      </w:r>
      <w:r w:rsidRPr="0007406A">
        <w:rPr>
          <w:rStyle w:val="Emphasis"/>
          <w:highlight w:val="cyan"/>
        </w:rPr>
        <w:t>key identifier</w:t>
      </w:r>
      <w:r w:rsidRPr="00681202">
        <w:rPr>
          <w:rStyle w:val="StyleUnderline"/>
        </w:rPr>
        <w:t>. He did not discount himself as a Han unable to be a revolutionary</w:t>
      </w:r>
      <w:r w:rsidRPr="003742BD">
        <w:rPr>
          <w:sz w:val="16"/>
        </w:rPr>
        <w:t xml:space="preserve">. By Sakai’s misguided understanding, Mao as a Han would very much be a part of some sort of labor aristocracy, unable to relate to the struggles of Hui, Uyghur, Tibetan, Mongol, Miao, Yi, Chuang, Chungchia, and Korean peoples. Obviously, this was not the case, and </w:t>
      </w:r>
      <w:r w:rsidRPr="00681202">
        <w:rPr>
          <w:rStyle w:val="StyleUnderline"/>
        </w:rPr>
        <w:t>Mao</w:t>
      </w:r>
      <w:r w:rsidRPr="003742BD">
        <w:rPr>
          <w:sz w:val="16"/>
        </w:rPr>
        <w:t xml:space="preserve"> Zedong </w:t>
      </w:r>
      <w:r w:rsidRPr="00681202">
        <w:rPr>
          <w:rStyle w:val="StyleUnderline"/>
        </w:rPr>
        <w:t>led a glorious and successful effort to unify a plurinational region and begin the building of socialism in China.</w:t>
      </w:r>
    </w:p>
    <w:p w14:paraId="76AEFE69" w14:textId="77777777" w:rsidR="00AC7390" w:rsidRPr="003742BD" w:rsidRDefault="00AC7390" w:rsidP="00AC7390">
      <w:pPr>
        <w:rPr>
          <w:sz w:val="16"/>
        </w:rPr>
      </w:pPr>
      <w:r w:rsidRPr="003742BD">
        <w:rPr>
          <w:sz w:val="16"/>
        </w:rPr>
        <w:t xml:space="preserve">Similarly, it is not that </w:t>
      </w:r>
      <w:r w:rsidRPr="0007406A">
        <w:rPr>
          <w:rStyle w:val="StyleUnderline"/>
          <w:highlight w:val="cyan"/>
        </w:rPr>
        <w:t>Marxism-Leninism</w:t>
      </w:r>
      <w:r w:rsidRPr="003742BD">
        <w:rPr>
          <w:sz w:val="16"/>
        </w:rPr>
        <w:t xml:space="preserve">, as applied to the United States’ material conditions, is incapable of addressing colonial chauvinism. On the contrary, </w:t>
      </w:r>
      <w:r w:rsidRPr="0007406A">
        <w:rPr>
          <w:rStyle w:val="StyleUnderline"/>
          <w:highlight w:val="cyan"/>
        </w:rPr>
        <w:t>no other</w:t>
      </w:r>
      <w:r w:rsidRPr="00681202">
        <w:rPr>
          <w:rStyle w:val="StyleUnderline"/>
        </w:rPr>
        <w:t xml:space="preserve"> mode of </w:t>
      </w:r>
      <w:r w:rsidRPr="0007406A">
        <w:rPr>
          <w:rStyle w:val="StyleUnderline"/>
          <w:highlight w:val="cyan"/>
        </w:rPr>
        <w:t>analysis</w:t>
      </w:r>
      <w:r w:rsidRPr="00681202">
        <w:rPr>
          <w:rStyle w:val="StyleUnderline"/>
        </w:rPr>
        <w:t xml:space="preserve"> among Marxist tradition </w:t>
      </w:r>
      <w:r w:rsidRPr="0007406A">
        <w:rPr>
          <w:rStyle w:val="StyleUnderline"/>
          <w:highlight w:val="cyan"/>
        </w:rPr>
        <w:t>is equipped</w:t>
      </w:r>
      <w:r w:rsidRPr="00681202">
        <w:rPr>
          <w:rStyle w:val="StyleUnderline"/>
        </w:rPr>
        <w:t xml:space="preserve"> to structure a strategy </w:t>
      </w:r>
      <w:r w:rsidRPr="0007406A">
        <w:rPr>
          <w:rStyle w:val="StyleUnderline"/>
          <w:highlight w:val="cyan"/>
        </w:rPr>
        <w:t>in unifying the working class</w:t>
      </w:r>
      <w:r w:rsidRPr="00681202">
        <w:rPr>
          <w:rStyle w:val="StyleUnderline"/>
        </w:rPr>
        <w:t xml:space="preserve"> of the United States, </w:t>
      </w:r>
      <w:r w:rsidRPr="0007406A">
        <w:rPr>
          <w:rStyle w:val="StyleUnderline"/>
          <w:highlight w:val="cyan"/>
        </w:rPr>
        <w:t>as well as healing</w:t>
      </w:r>
      <w:r w:rsidRPr="00681202">
        <w:rPr>
          <w:rStyle w:val="StyleUnderline"/>
        </w:rPr>
        <w:t xml:space="preserve"> the most </w:t>
      </w:r>
      <w:r w:rsidRPr="0007406A">
        <w:rPr>
          <w:rStyle w:val="StyleUnderline"/>
          <w:highlight w:val="cyan"/>
        </w:rPr>
        <w:t>marginalized within</w:t>
      </w:r>
      <w:r w:rsidRPr="00681202">
        <w:rPr>
          <w:rStyle w:val="StyleUnderline"/>
        </w:rPr>
        <w:t xml:space="preserve"> American </w:t>
      </w:r>
      <w:r w:rsidRPr="0007406A">
        <w:rPr>
          <w:rStyle w:val="StyleUnderline"/>
          <w:highlight w:val="cyan"/>
        </w:rPr>
        <w:t>society</w:t>
      </w:r>
      <w:r w:rsidRPr="00681202">
        <w:rPr>
          <w:rStyle w:val="StyleUnderline"/>
        </w:rPr>
        <w:t>, such as Black and Indigenous residents</w:t>
      </w:r>
      <w:r w:rsidRPr="003742BD">
        <w:rPr>
          <w:sz w:val="16"/>
        </w:rPr>
        <w:t>. Take the example of the Communist Party USA’s own aforementioned program in 1932 under the leadership of William Z. Foster. The CPUSA helped begin the 20th-century civil rights movement as we know it today, with such inspiring Black organizers such as Harry Haywood, Paul Robeson, Louise Thompson Patterson, Cyril Briggs, James W. Ford, and Claudia Jones. The CPUSA gave free legal defense through their legal arm, the International Labor Defense, to the Scottsboro Boys, nine innocent Black Alabaman teenagers wrongfully accused of raping two white women in 1931.</w:t>
      </w:r>
    </w:p>
    <w:p w14:paraId="3262FD67" w14:textId="77777777" w:rsidR="00AC7390" w:rsidRPr="003742BD" w:rsidRDefault="00AC7390" w:rsidP="00AC7390">
      <w:pPr>
        <w:rPr>
          <w:sz w:val="16"/>
        </w:rPr>
      </w:pPr>
      <w:r w:rsidRPr="003742BD">
        <w:rPr>
          <w:sz w:val="16"/>
        </w:rPr>
        <w:t>The CPUSA marches in front of the White House in the 1930s</w:t>
      </w:r>
    </w:p>
    <w:p w14:paraId="1AA02A9E" w14:textId="77777777" w:rsidR="00AC7390" w:rsidRPr="003742BD" w:rsidRDefault="00AC7390" w:rsidP="00AC7390">
      <w:pPr>
        <w:rPr>
          <w:sz w:val="16"/>
        </w:rPr>
      </w:pPr>
      <w:r w:rsidRPr="0007406A">
        <w:rPr>
          <w:rStyle w:val="StyleUnderline"/>
          <w:highlight w:val="cyan"/>
        </w:rPr>
        <w:t>There is a lengthy history of the CPUSA</w:t>
      </w:r>
      <w:r w:rsidRPr="003742BD">
        <w:rPr>
          <w:sz w:val="16"/>
        </w:rPr>
        <w:t xml:space="preserve"> (and Marxist-Leninists at-large in the United States) </w:t>
      </w:r>
      <w:r w:rsidRPr="0007406A">
        <w:rPr>
          <w:rStyle w:val="StyleUnderline"/>
          <w:highlight w:val="cyan"/>
        </w:rPr>
        <w:t>being</w:t>
      </w:r>
      <w:r w:rsidRPr="00681202">
        <w:rPr>
          <w:rStyle w:val="StyleUnderline"/>
        </w:rPr>
        <w:t xml:space="preserve"> one of and sometimes the </w:t>
      </w:r>
      <w:r w:rsidRPr="0007406A">
        <w:rPr>
          <w:rStyle w:val="StyleUnderline"/>
          <w:highlight w:val="cyan"/>
        </w:rPr>
        <w:t>sole voice against white supremacist reaction</w:t>
      </w:r>
      <w:r w:rsidRPr="003742BD">
        <w:rPr>
          <w:sz w:val="16"/>
        </w:rPr>
        <w:t xml:space="preserve"> in the political landscape of their time and country. Of course, like any group composed of tens of thousands of people, mistakes are made. Joseph </w:t>
      </w:r>
      <w:r w:rsidRPr="0007406A">
        <w:rPr>
          <w:rStyle w:val="StyleUnderline"/>
          <w:highlight w:val="cyan"/>
        </w:rPr>
        <w:t>Stalin</w:t>
      </w:r>
      <w:r w:rsidRPr="00681202">
        <w:rPr>
          <w:rStyle w:val="StyleUnderline"/>
        </w:rPr>
        <w:t xml:space="preserve"> himself </w:t>
      </w:r>
      <w:r w:rsidRPr="0007406A">
        <w:rPr>
          <w:rStyle w:val="StyleUnderline"/>
          <w:highlight w:val="cyan"/>
        </w:rPr>
        <w:t>advised</w:t>
      </w:r>
      <w:r w:rsidRPr="00681202">
        <w:rPr>
          <w:rStyle w:val="StyleUnderline"/>
        </w:rPr>
        <w:t xml:space="preserve"> that </w:t>
      </w:r>
      <w:r w:rsidRPr="0007406A">
        <w:rPr>
          <w:rStyle w:val="StyleUnderline"/>
          <w:highlight w:val="cyan"/>
        </w:rPr>
        <w:t>the CPUSA</w:t>
      </w:r>
      <w:r w:rsidRPr="00681202">
        <w:rPr>
          <w:rStyle w:val="StyleUnderline"/>
        </w:rPr>
        <w:t xml:space="preserve"> should </w:t>
      </w:r>
      <w:r w:rsidRPr="0007406A">
        <w:rPr>
          <w:rStyle w:val="StyleUnderline"/>
          <w:highlight w:val="cyan"/>
        </w:rPr>
        <w:t>take action against any individuals they perceive as racist</w:t>
      </w:r>
      <w:r w:rsidRPr="003742BD">
        <w:rPr>
          <w:sz w:val="16"/>
        </w:rPr>
        <w:t>, and the Party did just that. The reckless characterization that twentieth-century communists largely embodied inherent white supremacist sentiment that effectively betrayed the workers’ movement is not only ahistorical, but it also plays conveniently into all anti-communist canards of Marxism being inherently white.</w:t>
      </w:r>
    </w:p>
    <w:p w14:paraId="0D8FACD8" w14:textId="77777777" w:rsidR="00AC7390" w:rsidRDefault="00AC7390" w:rsidP="00AC7390">
      <w:pPr>
        <w:rPr>
          <w:sz w:val="16"/>
        </w:rPr>
      </w:pPr>
      <w:r w:rsidRPr="003742BD">
        <w:rPr>
          <w:sz w:val="16"/>
        </w:rPr>
        <w:t>Therefore, let’s set aside the petty bourgeois sentimentalities, and work towards building a socialist movement in the United States that champions the worker, not the bourgeois academic. But how?</w:t>
      </w:r>
    </w:p>
    <w:p w14:paraId="5BE68BD8" w14:textId="77777777" w:rsidR="00AC7390" w:rsidRPr="00667C59" w:rsidRDefault="00AC7390" w:rsidP="00AC7390">
      <w:pPr>
        <w:pStyle w:val="Heading4"/>
      </w:pPr>
      <w:r>
        <w:t xml:space="preserve">Racial unity is the only way to challenge capitalism. Take it from leaders of the Black Panther party! Endorsing Sakai’s race-reductivism adopts a </w:t>
      </w:r>
      <w:r w:rsidRPr="00667C59">
        <w:rPr>
          <w:u w:val="single"/>
        </w:rPr>
        <w:t>revisionist</w:t>
      </w:r>
      <w:r>
        <w:t xml:space="preserve"> account of history that reifies racial violence.</w:t>
      </w:r>
    </w:p>
    <w:p w14:paraId="368FD235" w14:textId="77777777" w:rsidR="00AC7390" w:rsidRPr="00667C59" w:rsidRDefault="00AC7390" w:rsidP="00AC7390">
      <w:r w:rsidRPr="005A1C12">
        <w:rPr>
          <w:rStyle w:val="Style13ptBold"/>
        </w:rPr>
        <w:t>Arbor 20</w:t>
      </w:r>
      <w:r w:rsidRPr="005A1C12">
        <w:t xml:space="preserve"> [Erich Arbor (</w:t>
      </w:r>
      <w:r>
        <w:t>Studying and promoting the science and practice of Dialectical Materialism, helping to build a more disciplined Left</w:t>
      </w:r>
      <w:r w:rsidRPr="005A1C12">
        <w:t xml:space="preserve">), </w:t>
      </w:r>
      <w:r>
        <w:t>9-26-2020</w:t>
      </w:r>
      <w:r w:rsidRPr="005A1C12">
        <w:t>, "The Anti-Marxist Elitism of J. Sakai’s ‘Settlers’," Medium, https://erich-arbor.medium.com/the-anti-marxist-elitism-of-j-sakais-settlers-409ff2d496ee, njn]</w:t>
      </w:r>
      <w:r>
        <w:t xml:space="preserve"> **** = Word replaced, visible in original article</w:t>
      </w:r>
    </w:p>
    <w:p w14:paraId="468014F1" w14:textId="77777777" w:rsidR="00AC7390" w:rsidRPr="00667C59" w:rsidRDefault="00AC7390" w:rsidP="00AC7390">
      <w:pPr>
        <w:rPr>
          <w:sz w:val="16"/>
        </w:rPr>
      </w:pPr>
      <w:r w:rsidRPr="00667C59">
        <w:rPr>
          <w:sz w:val="16"/>
        </w:rPr>
        <w:t>Combatting Petty Bourgeois Reaction Through Working-Class Unity</w:t>
      </w:r>
    </w:p>
    <w:p w14:paraId="3AB04BA6" w14:textId="77777777" w:rsidR="00AC7390" w:rsidRPr="00667C59" w:rsidRDefault="00AC7390" w:rsidP="00AC7390">
      <w:pPr>
        <w:rPr>
          <w:sz w:val="16"/>
        </w:rPr>
      </w:pPr>
      <w:r w:rsidRPr="00667C59">
        <w:rPr>
          <w:sz w:val="16"/>
        </w:rPr>
        <w:t>Why was twenty one year-old Chairman Fred Hampton overtly assassinated in cold blood by the Chigaco Police Department and the Federal Bureau of Investigation? We know too well the tragic, devastating effects of the COINTELPRO sabotage and infiltration Marxist organizations faced in the latter segment of the 20th century. Yet, rarely was the United States government so bold as to raid a young revolutionary’s home while they were drugged by an informant on secobarbital, fire almost a hundred rounds in a cramped apartment, and shoot said revolutionary point-blank in the head, twice.</w:t>
      </w:r>
    </w:p>
    <w:p w14:paraId="185300F0" w14:textId="77777777" w:rsidR="00AC7390" w:rsidRPr="00667C59" w:rsidRDefault="00AC7390" w:rsidP="00AC7390">
      <w:pPr>
        <w:rPr>
          <w:sz w:val="16"/>
        </w:rPr>
      </w:pPr>
      <w:r w:rsidRPr="00667C59">
        <w:rPr>
          <w:sz w:val="16"/>
        </w:rPr>
        <w:t>Press enter or click to view image in full size</w:t>
      </w:r>
    </w:p>
    <w:p w14:paraId="4357C4AA" w14:textId="77777777" w:rsidR="00AC7390" w:rsidRPr="00667C59" w:rsidRDefault="00AC7390" w:rsidP="00AC7390">
      <w:pPr>
        <w:rPr>
          <w:sz w:val="16"/>
        </w:rPr>
      </w:pPr>
      <w:r w:rsidRPr="00667C59">
        <w:rPr>
          <w:sz w:val="16"/>
        </w:rPr>
        <w:t>Fred Hampton and Mark Clark were murdered by the CPD and the FBI in 1969.</w:t>
      </w:r>
    </w:p>
    <w:p w14:paraId="1920808E" w14:textId="77777777" w:rsidR="00AC7390" w:rsidRPr="00667C59" w:rsidRDefault="00AC7390" w:rsidP="00AC7390">
      <w:pPr>
        <w:rPr>
          <w:sz w:val="16"/>
        </w:rPr>
      </w:pPr>
      <w:r w:rsidRPr="00667C59">
        <w:rPr>
          <w:sz w:val="16"/>
        </w:rPr>
        <w:t>There was something very frightening to the United States ruling class that Fred Hampton embodied. Without a doubt, he resembled a young, growing awareness of Black power, being on its face a threat to the status quo of capitalist United States. But why Chairman Fred Hampton?</w:t>
      </w:r>
    </w:p>
    <w:p w14:paraId="0EF0966A" w14:textId="77777777" w:rsidR="00AC7390" w:rsidRPr="00667C59" w:rsidRDefault="00AC7390" w:rsidP="00AC7390">
      <w:pPr>
        <w:rPr>
          <w:sz w:val="16"/>
        </w:rPr>
      </w:pPr>
      <w:r w:rsidRPr="00667C59">
        <w:rPr>
          <w:sz w:val="16"/>
        </w:rPr>
        <w:t>When we hear the phrase “Rainbow Coalition” within the context of the American political landscape, one immediately thinks of the doomed 1984 Presidential campaign of Reverend Jesse Jackson. The program that they presented was offered as an alternative to the neoliberal austerity of Reaganomics, which disproportionately affected a ‘rainbow’ of people, such as people of color, women, union members, queer people, the unemployed, and many other groups felt largely marginalized and alienated by corporate-controlled politics.</w:t>
      </w:r>
    </w:p>
    <w:p w14:paraId="3EC71748" w14:textId="77777777" w:rsidR="00AC7390" w:rsidRPr="00667C59" w:rsidRDefault="00AC7390" w:rsidP="00AC7390">
      <w:pPr>
        <w:rPr>
          <w:sz w:val="16"/>
        </w:rPr>
      </w:pPr>
      <w:r w:rsidRPr="00667C59">
        <w:rPr>
          <w:sz w:val="16"/>
        </w:rPr>
        <w:t>However, Rev. Jackson was not the first to introduce such a coalition by that name, and its origins come not from within either the Democratic or Republican Party, but the Black Panther Party. In Chicago on April 4, 1969, the city’s chapter of the BPP under the leadership of Fred Hampton created the original Rainbow Coalition. Along with the Panthers, other groups such as the Young Lords, a Puerto Rican Marxist-Leninist group, led a struggle against capitalism and police brutality across Chicago neighborhoods.</w:t>
      </w:r>
    </w:p>
    <w:p w14:paraId="76D4F686" w14:textId="77777777" w:rsidR="00AC7390" w:rsidRPr="00667C59" w:rsidRDefault="00AC7390" w:rsidP="00AC7390">
      <w:pPr>
        <w:rPr>
          <w:sz w:val="16"/>
        </w:rPr>
      </w:pPr>
      <w:r w:rsidRPr="00667C59">
        <w:rPr>
          <w:sz w:val="16"/>
        </w:rPr>
        <w:t>Soon after its founding, several other groups such as the Brown Berets, the American Indian Movement, and the Red Guard Party all brought in Chicano, Indigenous, and Chinese communities respectively into a joined struggle against poverty and state-sanctioned violence. However, there was one group that every petty bourgeois radical liberal would have shouted down at in Chairman Hampton’s mix. That was the Young Patriots Organization (YPO), a group of impoverished white socialists that came from the Uptown neighborhood of Chicago. In the 1960s, Uptown became a refuge for economic refugees from Appalachia, looking for better job prospects.</w:t>
      </w:r>
    </w:p>
    <w:p w14:paraId="63027CEC" w14:textId="77777777" w:rsidR="00AC7390" w:rsidRPr="00667C59" w:rsidRDefault="00AC7390" w:rsidP="00AC7390">
      <w:pPr>
        <w:rPr>
          <w:rStyle w:val="StyleUnderline"/>
        </w:rPr>
      </w:pPr>
      <w:r w:rsidRPr="00667C59">
        <w:rPr>
          <w:sz w:val="16"/>
        </w:rPr>
        <w:t xml:space="preserve">But the question still stands: </w:t>
      </w:r>
      <w:r w:rsidRPr="0007406A">
        <w:rPr>
          <w:rStyle w:val="StyleUnderline"/>
          <w:highlight w:val="cyan"/>
        </w:rPr>
        <w:t>Why did the Black Panther Party build a coalition with a White Southern group?</w:t>
      </w:r>
      <w:r w:rsidRPr="00667C59">
        <w:rPr>
          <w:sz w:val="16"/>
        </w:rPr>
        <w:t xml:space="preserve"> Anyone with only an adolescent frame of analysis would say it was a mistake. Yet, </w:t>
      </w:r>
      <w:r w:rsidRPr="00667C59">
        <w:rPr>
          <w:rStyle w:val="StyleUnderline"/>
        </w:rPr>
        <w:t xml:space="preserve">in looking deeper within the history of multiracial struggles across working-class Americans, </w:t>
      </w:r>
      <w:r w:rsidRPr="0007406A">
        <w:rPr>
          <w:rStyle w:val="StyleUnderline"/>
          <w:highlight w:val="cyan"/>
        </w:rPr>
        <w:t xml:space="preserve">one finds </w:t>
      </w:r>
      <w:r w:rsidRPr="0007406A">
        <w:rPr>
          <w:rStyle w:val="Emphasis"/>
          <w:highlight w:val="cyan"/>
        </w:rPr>
        <w:t>materially-shared</w:t>
      </w:r>
      <w:r w:rsidRPr="0007406A">
        <w:rPr>
          <w:rStyle w:val="StyleUnderline"/>
          <w:highlight w:val="cyan"/>
        </w:rPr>
        <w:t xml:space="preserve"> causes</w:t>
      </w:r>
      <w:r w:rsidRPr="00667C59">
        <w:rPr>
          <w:sz w:val="16"/>
        </w:rPr>
        <w:t xml:space="preserve">. As economic refugees, the YPO </w:t>
      </w:r>
      <w:r w:rsidRPr="0007406A">
        <w:rPr>
          <w:rStyle w:val="StyleUnderline"/>
          <w:highlight w:val="cyan"/>
        </w:rPr>
        <w:t>organized to protect</w:t>
      </w:r>
      <w:r w:rsidRPr="00667C59">
        <w:rPr>
          <w:rStyle w:val="StyleUnderline"/>
        </w:rPr>
        <w:t xml:space="preserve"> poor white Appalachians in Uptown </w:t>
      </w:r>
      <w:r w:rsidRPr="0007406A">
        <w:rPr>
          <w:rStyle w:val="StyleUnderline"/>
          <w:highlight w:val="cyan"/>
        </w:rPr>
        <w:t>against police brutality</w:t>
      </w:r>
      <w:r w:rsidRPr="00667C59">
        <w:rPr>
          <w:rStyle w:val="StyleUnderline"/>
        </w:rPr>
        <w:t>.</w:t>
      </w:r>
      <w:r w:rsidRPr="00667C59">
        <w:rPr>
          <w:sz w:val="16"/>
        </w:rPr>
        <w:t xml:space="preserve"> In the late 1960s, impoverished </w:t>
      </w:r>
      <w:r w:rsidRPr="0007406A">
        <w:rPr>
          <w:rStyle w:val="StyleUnderline"/>
          <w:highlight w:val="cyan"/>
        </w:rPr>
        <w:t>white Southern migrants were</w:t>
      </w:r>
      <w:r w:rsidRPr="00667C59">
        <w:rPr>
          <w:rStyle w:val="StyleUnderline"/>
        </w:rPr>
        <w:t xml:space="preserve"> frequently harassed and </w:t>
      </w:r>
      <w:r w:rsidRPr="0007406A">
        <w:rPr>
          <w:rStyle w:val="StyleUnderline"/>
          <w:highlight w:val="cyan"/>
        </w:rPr>
        <w:t>brutalized by</w:t>
      </w:r>
      <w:r w:rsidRPr="00667C59">
        <w:rPr>
          <w:rStyle w:val="StyleUnderline"/>
        </w:rPr>
        <w:t xml:space="preserve"> the Chicago </w:t>
      </w:r>
      <w:r w:rsidRPr="0007406A">
        <w:rPr>
          <w:rStyle w:val="StyleUnderline"/>
          <w:highlight w:val="cyan"/>
        </w:rPr>
        <w:t>Police</w:t>
      </w:r>
      <w:r w:rsidRPr="00667C59">
        <w:rPr>
          <w:rStyle w:val="StyleUnderline"/>
        </w:rPr>
        <w:t xml:space="preserve"> Department</w:t>
      </w:r>
      <w:r w:rsidRPr="00667C59">
        <w:rPr>
          <w:sz w:val="16"/>
        </w:rPr>
        <w:t xml:space="preserve">. Abuse from landlords was also common, and through these struggles, Comrades Bob Lee and Fred Hampton </w:t>
      </w:r>
      <w:r w:rsidRPr="00667C59">
        <w:rPr>
          <w:rStyle w:val="StyleUnderline"/>
        </w:rPr>
        <w:t>saw a revolutionary inroad to be made.</w:t>
      </w:r>
    </w:p>
    <w:p w14:paraId="717F4884" w14:textId="77777777" w:rsidR="00AC7390" w:rsidRPr="00667C59" w:rsidRDefault="00AC7390" w:rsidP="00AC7390">
      <w:pPr>
        <w:rPr>
          <w:rStyle w:val="StyleUnderline"/>
        </w:rPr>
      </w:pPr>
      <w:r w:rsidRPr="00667C59">
        <w:rPr>
          <w:rStyle w:val="StyleUnderline"/>
        </w:rPr>
        <w:t>Here is a quote from Black Panther Bob E. Lee on the subject:</w:t>
      </w:r>
    </w:p>
    <w:p w14:paraId="3B0DE78A" w14:textId="77777777" w:rsidR="00AC7390" w:rsidRPr="00667C59" w:rsidRDefault="00AC7390" w:rsidP="00AC7390">
      <w:pPr>
        <w:rPr>
          <w:sz w:val="16"/>
        </w:rPr>
      </w:pPr>
      <w:r w:rsidRPr="00667C59">
        <w:rPr>
          <w:sz w:val="16"/>
        </w:rPr>
        <w:t xml:space="preserve">First of all, </w:t>
      </w:r>
      <w:r w:rsidRPr="00667C59">
        <w:rPr>
          <w:rStyle w:val="StyleUnderline"/>
        </w:rPr>
        <w:t>the Patriots’ leader William “Preacherman” Fesperman was one of the best human beings I have ever met</w:t>
      </w:r>
      <w:r w:rsidRPr="00667C59">
        <w:rPr>
          <w:sz w:val="16"/>
        </w:rPr>
        <w:t>. He was originally from North Carolina before he moved to Chicago. However, many of the Panthers left the group when we built alliances. Some didn’t like the Patriots, some just didn’t like white people in general. They were heavy into nationalism. To tell the truth, it was a necessary purging, except for these ****** took themselves out of the organization. The Rainbow Coalition was just a code word for class struggle. Preacherman would have stopped a bullet for me, and [once] nearly tried.</w:t>
      </w:r>
    </w:p>
    <w:p w14:paraId="1F786F14" w14:textId="77777777" w:rsidR="00AC7390" w:rsidRPr="00667C59" w:rsidRDefault="00AC7390" w:rsidP="00AC7390">
      <w:pPr>
        <w:rPr>
          <w:sz w:val="16"/>
        </w:rPr>
      </w:pPr>
      <w:r w:rsidRPr="00667C59">
        <w:rPr>
          <w:sz w:val="16"/>
        </w:rPr>
        <w:t xml:space="preserve">Together, the Young Patriots and the Black Panthers seemed like an odd coupling. Here were black militants in leather raising their fists next to denim-clad, confederate flag accessorizing white southerners. Yet, aside from aesthetics, </w:t>
      </w:r>
      <w:r w:rsidRPr="0007406A">
        <w:rPr>
          <w:rStyle w:val="StyleUnderline"/>
          <w:highlight w:val="cyan"/>
        </w:rPr>
        <w:t>there existed</w:t>
      </w:r>
      <w:r w:rsidRPr="00667C59">
        <w:rPr>
          <w:rStyle w:val="StyleUnderline"/>
        </w:rPr>
        <w:t xml:space="preserve"> virtually </w:t>
      </w:r>
      <w:r w:rsidRPr="0007406A">
        <w:rPr>
          <w:rStyle w:val="StyleUnderline"/>
          <w:highlight w:val="cyan"/>
        </w:rPr>
        <w:t>no contradictions in working together to strengthen the working class</w:t>
      </w:r>
      <w:r w:rsidRPr="00667C59">
        <w:rPr>
          <w:sz w:val="16"/>
        </w:rPr>
        <w:t xml:space="preserve">. Jointly, and later with the Young Lords, they organized free breakfast programs, opened up free medical clinics, and militantly protected Chicago working class neighborhoods from police brutality. This recorded meeting in which Bob Lee is speaking to the White Appalachians highlights how necessary such </w:t>
      </w:r>
      <w:r w:rsidRPr="0007406A">
        <w:rPr>
          <w:rStyle w:val="StyleUnderline"/>
          <w:highlight w:val="cyan"/>
        </w:rPr>
        <w:t>racial unity among the working class was needed</w:t>
      </w:r>
      <w:r w:rsidRPr="00667C59">
        <w:rPr>
          <w:sz w:val="16"/>
        </w:rPr>
        <w:t>, and how much of a threat it posed to the racist and classist establishment.</w:t>
      </w:r>
    </w:p>
    <w:p w14:paraId="6A4A12DA" w14:textId="77777777" w:rsidR="00AC7390" w:rsidRPr="00667C59" w:rsidRDefault="00AC7390" w:rsidP="00AC7390">
      <w:pPr>
        <w:rPr>
          <w:sz w:val="16"/>
        </w:rPr>
      </w:pPr>
      <w:r w:rsidRPr="00667C59">
        <w:rPr>
          <w:sz w:val="16"/>
        </w:rPr>
        <w:t xml:space="preserve">This understanding of </w:t>
      </w:r>
      <w:r w:rsidRPr="00667C59">
        <w:rPr>
          <w:rStyle w:val="StyleUnderline"/>
        </w:rPr>
        <w:t xml:space="preserve">building </w:t>
      </w:r>
      <w:r w:rsidRPr="0007406A">
        <w:rPr>
          <w:rStyle w:val="StyleUnderline"/>
          <w:highlight w:val="cyan"/>
        </w:rPr>
        <w:t xml:space="preserve">a multiracial working class movement was </w:t>
      </w:r>
      <w:r w:rsidRPr="0007406A">
        <w:rPr>
          <w:rStyle w:val="Emphasis"/>
          <w:highlight w:val="cyan"/>
        </w:rPr>
        <w:t>not isolated</w:t>
      </w:r>
      <w:r w:rsidRPr="00667C59">
        <w:rPr>
          <w:sz w:val="16"/>
        </w:rPr>
        <w:t xml:space="preserve"> to the instance of 1960s Chicago. In Robin D. G. Kelley’s book Hammer and Hoe: Alabama Communists During the Great Depression, the historian describes how the Communist Party in 1930s Alabama was able to unite Black and White workers, even including former KKK members, into a movement that was explicitly anti-capitalist and anti-racist:</w:t>
      </w:r>
    </w:p>
    <w:p w14:paraId="36C22510" w14:textId="77777777" w:rsidR="00AC7390" w:rsidRPr="00667C59" w:rsidRDefault="00AC7390" w:rsidP="00AC7390">
      <w:pPr>
        <w:rPr>
          <w:sz w:val="16"/>
        </w:rPr>
      </w:pPr>
      <w:r w:rsidRPr="00667C59">
        <w:rPr>
          <w:sz w:val="16"/>
        </w:rPr>
        <w:t>Their opposition to the planter class and the “Big Mules,” combined with the crises created by the depression, momentarily outweighed their racism.” In fact, several white recruits were reportedly former KKK members. These Klansmen gone Red, along with other Southern whites who exhibited racial prejudice, grudgingly conceded that blacks had to be organized in order to improve their own conditions.</w:t>
      </w:r>
    </w:p>
    <w:p w14:paraId="5114B7EB" w14:textId="77777777" w:rsidR="00AC7390" w:rsidRDefault="00AC7390" w:rsidP="00AC7390">
      <w:pPr>
        <w:rPr>
          <w:sz w:val="16"/>
        </w:rPr>
      </w:pPr>
      <w:r w:rsidRPr="00667C59">
        <w:rPr>
          <w:sz w:val="16"/>
        </w:rPr>
        <w:t xml:space="preserve">The </w:t>
      </w:r>
      <w:r w:rsidRPr="0007406A">
        <w:rPr>
          <w:rStyle w:val="StyleUnderline"/>
          <w:highlight w:val="cyan"/>
        </w:rPr>
        <w:t>examples of racial solidarity</w:t>
      </w:r>
      <w:r w:rsidRPr="00667C59">
        <w:rPr>
          <w:rStyle w:val="StyleUnderline"/>
        </w:rPr>
        <w:t xml:space="preserve"> in the United States, </w:t>
      </w:r>
      <w:r w:rsidRPr="0007406A">
        <w:rPr>
          <w:rStyle w:val="StyleUnderline"/>
          <w:highlight w:val="cyan"/>
        </w:rPr>
        <w:t>against</w:t>
      </w:r>
      <w:r w:rsidRPr="00667C59">
        <w:rPr>
          <w:rStyle w:val="StyleUnderline"/>
        </w:rPr>
        <w:t xml:space="preserve"> bourgeois attacks and </w:t>
      </w:r>
      <w:r w:rsidRPr="0007406A">
        <w:rPr>
          <w:rStyle w:val="Emphasis"/>
          <w:highlight w:val="cyan"/>
        </w:rPr>
        <w:t>whitewashing</w:t>
      </w:r>
      <w:r w:rsidRPr="0007406A">
        <w:rPr>
          <w:rStyle w:val="StyleUnderline"/>
          <w:highlight w:val="cyan"/>
        </w:rPr>
        <w:t xml:space="preserve"> from</w:t>
      </w:r>
      <w:r w:rsidRPr="00667C59">
        <w:rPr>
          <w:rStyle w:val="StyleUnderline"/>
        </w:rPr>
        <w:t xml:space="preserve"> the state and </w:t>
      </w:r>
      <w:r w:rsidRPr="0007406A">
        <w:rPr>
          <w:rStyle w:val="StyleUnderline"/>
          <w:highlight w:val="cyan"/>
        </w:rPr>
        <w:t>western academia</w:t>
      </w:r>
      <w:r w:rsidRPr="00667C59">
        <w:rPr>
          <w:rStyle w:val="StyleUnderline"/>
        </w:rPr>
        <w:t xml:space="preserve"> exceed these two examples</w:t>
      </w:r>
      <w:r w:rsidRPr="00667C59">
        <w:rPr>
          <w:sz w:val="16"/>
        </w:rPr>
        <w:t xml:space="preserve">, but nonetheless </w:t>
      </w:r>
      <w:r w:rsidRPr="00667C59">
        <w:rPr>
          <w:rStyle w:val="StyleUnderline"/>
        </w:rPr>
        <w:t xml:space="preserve">they offer US communists inspiration in building a sustainable movement towards a socialist future. The </w:t>
      </w:r>
      <w:r w:rsidRPr="0007406A">
        <w:rPr>
          <w:rStyle w:val="StyleUnderline"/>
          <w:highlight w:val="cyan"/>
        </w:rPr>
        <w:t>future can not be found in revisionist, elitist, race-reductionist histories of J. Sakai, but in the dedicated organizing of the</w:t>
      </w:r>
      <w:r w:rsidRPr="00667C59">
        <w:rPr>
          <w:rStyle w:val="StyleUnderline"/>
        </w:rPr>
        <w:t xml:space="preserve"> working class of Fred </w:t>
      </w:r>
      <w:r w:rsidRPr="0007406A">
        <w:rPr>
          <w:rStyle w:val="Emphasis"/>
          <w:highlight w:val="cyan"/>
        </w:rPr>
        <w:t>Hampton</w:t>
      </w:r>
      <w:r w:rsidRPr="0007406A">
        <w:rPr>
          <w:rStyle w:val="StyleUnderline"/>
          <w:highlight w:val="cyan"/>
        </w:rPr>
        <w:t xml:space="preserve"> and </w:t>
      </w:r>
      <w:r w:rsidRPr="0007406A">
        <w:rPr>
          <w:rStyle w:val="Emphasis"/>
          <w:highlight w:val="cyan"/>
        </w:rPr>
        <w:t>the Alabama Communist Party</w:t>
      </w:r>
      <w:r w:rsidRPr="00667C59">
        <w:rPr>
          <w:sz w:val="16"/>
        </w:rPr>
        <w:t>. Let us learn from the work of our historical comrades, and honor their work by repeating their successes and learning from their mistakes.</w:t>
      </w:r>
    </w:p>
    <w:p w14:paraId="43268A88" w14:textId="34A8B4C8" w:rsidR="00AC7390" w:rsidRPr="0007406A" w:rsidRDefault="00AC7390" w:rsidP="00AC7390">
      <w:pPr>
        <w:pStyle w:val="Heading3"/>
      </w:pPr>
      <w:r>
        <w:t>AT: Crackdown DA---2NC</w:t>
      </w:r>
    </w:p>
    <w:p w14:paraId="067F7D8A" w14:textId="60B0E058" w:rsidR="00AC7390" w:rsidRPr="00AC7390" w:rsidRDefault="00AC7390" w:rsidP="00AC7390">
      <w:pPr>
        <w:pStyle w:val="Heading3"/>
        <w:rPr>
          <w:rFonts w:cs="Arial"/>
        </w:rPr>
      </w:pPr>
      <w:bookmarkStart w:id="4" w:name="Level_3_2010"/>
      <w:bookmarkEnd w:id="3"/>
      <w:r>
        <w:rPr>
          <w:rFonts w:cs="Arial"/>
        </w:rPr>
        <w:t>Alt – 2NC</w:t>
      </w:r>
    </w:p>
    <w:bookmarkEnd w:id="4"/>
    <w:p w14:paraId="63FFC789" w14:textId="77777777" w:rsidR="00AC7390" w:rsidRDefault="00AC7390" w:rsidP="00AC7390">
      <w:pPr>
        <w:pStyle w:val="Heading2"/>
      </w:pPr>
      <w:r>
        <w:t>Ballot PIK</w:t>
      </w:r>
    </w:p>
    <w:p w14:paraId="3F5CD7D7" w14:textId="3FDFC77F" w:rsidR="00AC7390" w:rsidRDefault="00AC7390" w:rsidP="00AC7390">
      <w:pPr>
        <w:pStyle w:val="Heading3"/>
      </w:pPr>
      <w:r>
        <w:t>Kick---2NC</w:t>
      </w:r>
    </w:p>
    <w:p w14:paraId="67D13855" w14:textId="77777777" w:rsidR="00AC7390" w:rsidRDefault="00AC7390" w:rsidP="00AC7390">
      <w:pPr>
        <w:pStyle w:val="Heading2"/>
      </w:pPr>
      <w:r>
        <w:t>Topicality</w:t>
      </w:r>
    </w:p>
    <w:p w14:paraId="039C6044" w14:textId="06F52BDB" w:rsidR="00AC7390" w:rsidRDefault="00AC7390" w:rsidP="00AC7390">
      <w:pPr>
        <w:pStyle w:val="Heading3"/>
      </w:pPr>
      <w:r>
        <w:t>Kick---2NC</w:t>
      </w:r>
    </w:p>
    <w:p w14:paraId="2125CB26" w14:textId="77777777" w:rsidR="00AC7390" w:rsidRDefault="00AC7390" w:rsidP="00AC7390">
      <w:pPr>
        <w:pStyle w:val="Heading2"/>
      </w:pPr>
      <w:r>
        <w:t>Case</w:t>
      </w:r>
    </w:p>
    <w:p w14:paraId="3679BA37" w14:textId="48D8A1FF" w:rsidR="00843C25" w:rsidRDefault="00AC7390" w:rsidP="00AC7390">
      <w:pPr>
        <w:pStyle w:val="Heading1"/>
      </w:pPr>
      <w:r>
        <w:t>1NR</w:t>
      </w:r>
    </w:p>
    <w:p w14:paraId="41B441BE" w14:textId="77777777" w:rsidR="00AC7390" w:rsidRDefault="00AC7390" w:rsidP="00AC7390">
      <w:pPr>
        <w:pStyle w:val="Heading2"/>
      </w:pPr>
      <w:r>
        <w:t>Citational Justice CA</w:t>
      </w:r>
    </w:p>
    <w:p w14:paraId="3B4ADEEE" w14:textId="77777777" w:rsidR="00AC7390" w:rsidRPr="00C71BF1" w:rsidRDefault="00AC7390" w:rsidP="00AC7390">
      <w:pPr>
        <w:pStyle w:val="Heading3"/>
      </w:pPr>
      <w:r>
        <w:t>2NC – OV</w:t>
      </w:r>
    </w:p>
    <w:p w14:paraId="4C2ECB97" w14:textId="77777777" w:rsidR="00AC7390" w:rsidRDefault="00AC7390" w:rsidP="00AC7390">
      <w:pPr>
        <w:pStyle w:val="Heading4"/>
      </w:pPr>
      <w:r>
        <w:t xml:space="preserve">Practices of citational insularity contribute to </w:t>
      </w:r>
      <w:r>
        <w:rPr>
          <w:u w:val="single"/>
        </w:rPr>
        <w:t>spirit murder</w:t>
      </w:r>
      <w:r>
        <w:t xml:space="preserve"> which renders academic spaces hostile and violent to women of color. This impact alone turns and outweighs the aff</w:t>
      </w:r>
    </w:p>
    <w:p w14:paraId="3A4535A6" w14:textId="77777777" w:rsidR="00AC7390" w:rsidRPr="000B5E69" w:rsidRDefault="00AC7390" w:rsidP="00AC7390">
      <w:r>
        <w:rPr>
          <w:rStyle w:val="Style13ptBold"/>
        </w:rPr>
        <w:t>Pérez 24</w:t>
      </w:r>
      <w:r w:rsidRPr="003230A2">
        <w:t xml:space="preserve"> – University of California, Santa Barbara, USA (Elizabeth, Sorry cites: The (necro) politics of citation in the anthropology of religion, Studies in Religion / Sciences Religieuses 2024, Vol. 53(2) 185–206) NAR *note: “plagnore” = “rewords an argument or theoretical framework without any attribution, thereby misrepresenting it as an original formulation. A plagnorer might also cite a work but distort its main point enough to make it seem that they and another author are making a markedly different contribution to the literature on a topic” </w:t>
      </w:r>
    </w:p>
    <w:p w14:paraId="0C27FA53" w14:textId="77777777" w:rsidR="00AC7390" w:rsidRPr="00EF3A11" w:rsidRDefault="00AC7390" w:rsidP="00AC7390">
      <w:pPr>
        <w:rPr>
          <w:sz w:val="16"/>
        </w:rPr>
      </w:pPr>
      <w:r w:rsidRPr="00EF3A11">
        <w:rPr>
          <w:sz w:val="16"/>
        </w:rPr>
        <w:t xml:space="preserve">Corollary-wise, </w:t>
      </w:r>
      <w:r w:rsidRPr="00206D01">
        <w:rPr>
          <w:rStyle w:val="StyleUnderline"/>
          <w:highlight w:val="green"/>
        </w:rPr>
        <w:t>when an author stumbles upon</w:t>
      </w:r>
      <w:r w:rsidRPr="00AD18F8">
        <w:rPr>
          <w:rStyle w:val="StyleUnderline"/>
        </w:rPr>
        <w:t xml:space="preserve"> a </w:t>
      </w:r>
      <w:r w:rsidRPr="00206D01">
        <w:rPr>
          <w:rStyle w:val="StyleUnderline"/>
          <w:highlight w:val="green"/>
        </w:rPr>
        <w:t>plagnored</w:t>
      </w:r>
      <w:r w:rsidRPr="0065626F">
        <w:rPr>
          <w:rStyle w:val="StyleUnderline"/>
        </w:rPr>
        <w:t xml:space="preserve"> version of their </w:t>
      </w:r>
      <w:r w:rsidRPr="00206D01">
        <w:rPr>
          <w:rStyle w:val="StyleUnderline"/>
          <w:highlight w:val="green"/>
        </w:rPr>
        <w:t xml:space="preserve">scholarship, </w:t>
      </w:r>
      <w:r w:rsidRPr="00206D01">
        <w:rPr>
          <w:rStyle w:val="StyleUnderline"/>
        </w:rPr>
        <w:t>they</w:t>
      </w:r>
      <w:r w:rsidRPr="0065626F">
        <w:rPr>
          <w:rStyle w:val="StyleUnderline"/>
        </w:rPr>
        <w:t xml:space="preserve"> may </w:t>
      </w:r>
      <w:r w:rsidRPr="00206D01">
        <w:rPr>
          <w:rStyle w:val="StyleUnderline"/>
        </w:rPr>
        <w:t>feel</w:t>
      </w:r>
      <w:r w:rsidRPr="0065626F">
        <w:rPr>
          <w:rStyle w:val="StyleUnderline"/>
        </w:rPr>
        <w:t xml:space="preserve"> as if </w:t>
      </w:r>
      <w:r w:rsidRPr="00206D01">
        <w:rPr>
          <w:rStyle w:val="StyleUnderline"/>
          <w:highlight w:val="green"/>
        </w:rPr>
        <w:t>a holy place has been desecrated</w:t>
      </w:r>
      <w:r w:rsidRPr="00EF3A11">
        <w:rPr>
          <w:sz w:val="16"/>
        </w:rPr>
        <w:t xml:space="preserve">. In a 2020 blog post for Higher Education, </w:t>
      </w:r>
      <w:r w:rsidRPr="00206D01">
        <w:rPr>
          <w:rStyle w:val="StyleUnderline"/>
        </w:rPr>
        <w:t>Nichole Margarita Garcia detailed an experience</w:t>
      </w:r>
      <w:r w:rsidRPr="00206D01">
        <w:rPr>
          <w:sz w:val="16"/>
        </w:rPr>
        <w:t xml:space="preserve"> similar to that of Martínez above, in which she was unfairly accused of plagiarism as an undergraduate. </w:t>
      </w:r>
      <w:r w:rsidRPr="00206D01">
        <w:rPr>
          <w:rStyle w:val="StyleUnderline"/>
        </w:rPr>
        <w:t>She was “</w:t>
      </w:r>
      <w:r w:rsidRPr="00206D01">
        <w:rPr>
          <w:rStyle w:val="Emphasis"/>
        </w:rPr>
        <w:t>spiritually murdered that day</w:t>
      </w:r>
      <w:r w:rsidRPr="00EF3A11">
        <w:rPr>
          <w:sz w:val="16"/>
        </w:rPr>
        <w:t xml:space="preserve">,” Garcia (2020) said, crediting Black feminist theorist and legal scholar Patricia Williams (1987) for “first conceptualiz[ing] spirit-murdering as a product of racism </w:t>
      </w:r>
      <w:r w:rsidRPr="0065626F">
        <w:rPr>
          <w:rStyle w:val="StyleUnderline"/>
        </w:rPr>
        <w:t>which</w:t>
      </w:r>
      <w:r w:rsidRPr="00EF3A11">
        <w:rPr>
          <w:sz w:val="16"/>
        </w:rPr>
        <w:t xml:space="preserve"> not only inflicts pain, but it </w:t>
      </w:r>
      <w:r w:rsidRPr="0065626F">
        <w:rPr>
          <w:rStyle w:val="StyleUnderline"/>
        </w:rPr>
        <w:t>is a form of racial violence that steals and kills the humanity and spirits of people of color.”</w:t>
      </w:r>
      <w:r w:rsidRPr="00EF3A11">
        <w:rPr>
          <w:sz w:val="16"/>
        </w:rPr>
        <w:t xml:space="preserve"> </w:t>
      </w:r>
      <w:r w:rsidRPr="00206D01">
        <w:rPr>
          <w:rStyle w:val="StyleUnderline"/>
          <w:highlight w:val="green"/>
        </w:rPr>
        <w:t xml:space="preserve">Spirit murder has </w:t>
      </w:r>
      <w:r w:rsidRPr="00206D01">
        <w:rPr>
          <w:rStyle w:val="Emphasis"/>
          <w:highlight w:val="green"/>
        </w:rPr>
        <w:t>material effects</w:t>
      </w:r>
      <w:r w:rsidRPr="00EF3A11">
        <w:rPr>
          <w:sz w:val="16"/>
        </w:rPr>
        <w:t xml:space="preserve">, gradually </w:t>
      </w:r>
      <w:r w:rsidRPr="00206D01">
        <w:rPr>
          <w:rStyle w:val="Emphasis"/>
          <w:highlight w:val="green"/>
        </w:rPr>
        <w:t>grinding down and degrading people of color</w:t>
      </w:r>
      <w:r w:rsidRPr="00EF3A11">
        <w:rPr>
          <w:sz w:val="16"/>
        </w:rPr>
        <w:t xml:space="preserve"> to the point that their life expectancy is adversely affected. Garcia (2020) went on to cite Black abolitionist education scholar Bettina Love and their analysis of minoritized students in the United States, for whom spirit murder entails structurally racist “denial of inclusion, protection, safety, nurturance, and acceptance.”</w:t>
      </w:r>
    </w:p>
    <w:p w14:paraId="74BAED88" w14:textId="77777777" w:rsidR="00AC7390" w:rsidRPr="00EF3A11" w:rsidRDefault="00AC7390" w:rsidP="00AC7390">
      <w:pPr>
        <w:rPr>
          <w:sz w:val="16"/>
        </w:rPr>
      </w:pPr>
      <w:r w:rsidRPr="00EF3A11">
        <w:rPr>
          <w:sz w:val="16"/>
        </w:rPr>
        <w:t>Garcia (2020) was also plagiarized for something she posted online, an intimate violation which took an emotional, affective, and psychic toll:</w:t>
      </w:r>
    </w:p>
    <w:p w14:paraId="42378121" w14:textId="77777777" w:rsidR="00AC7390" w:rsidRPr="00EF3A11" w:rsidRDefault="00AC7390" w:rsidP="00AC7390">
      <w:pPr>
        <w:ind w:left="720"/>
        <w:rPr>
          <w:sz w:val="16"/>
        </w:rPr>
      </w:pPr>
      <w:r w:rsidRPr="00EF3A11">
        <w:rPr>
          <w:sz w:val="16"/>
        </w:rPr>
        <w:t>Both [</w:t>
      </w:r>
      <w:r w:rsidRPr="0065626F">
        <w:rPr>
          <w:rStyle w:val="StyleUnderline"/>
        </w:rPr>
        <w:t>incidents] left me</w:t>
      </w:r>
      <w:r w:rsidRPr="00EF3A11">
        <w:rPr>
          <w:sz w:val="16"/>
        </w:rPr>
        <w:t xml:space="preserve"> paralyzed </w:t>
      </w:r>
      <w:r w:rsidRPr="0065626F">
        <w:rPr>
          <w:rStyle w:val="StyleUnderline"/>
        </w:rPr>
        <w:t>with writers’ block. Both challenged my intellectual worth . . . I am angry, but ultimately hurt. This is a generational hur</w:t>
      </w:r>
      <w:r w:rsidRPr="00EF3A11">
        <w:rPr>
          <w:sz w:val="16"/>
        </w:rPr>
        <w:t xml:space="preserve">t that many women of color scholars share . . . </w:t>
      </w:r>
      <w:r w:rsidRPr="0065626F">
        <w:rPr>
          <w:rStyle w:val="StyleUnderline"/>
        </w:rPr>
        <w:t>We can no longer take for granted the scholarship of women of color</w:t>
      </w:r>
      <w:r w:rsidRPr="00EF3A11">
        <w:rPr>
          <w:sz w:val="16"/>
        </w:rPr>
        <w:t xml:space="preserve">, rather we need to pay homage to a long line of critical inquiry created on our backs. </w:t>
      </w:r>
      <w:r w:rsidRPr="0065626F">
        <w:rPr>
          <w:rStyle w:val="StyleUnderline"/>
        </w:rPr>
        <w:t>We have written and verbalized our experiences in academia to the point of suffocating.</w:t>
      </w:r>
    </w:p>
    <w:p w14:paraId="6661993D" w14:textId="77777777" w:rsidR="00AC7390" w:rsidRPr="00EF3A11" w:rsidRDefault="00AC7390" w:rsidP="00AC7390">
      <w:pPr>
        <w:rPr>
          <w:sz w:val="16"/>
        </w:rPr>
      </w:pPr>
      <w:r w:rsidRPr="00EF3A11">
        <w:rPr>
          <w:sz w:val="16"/>
        </w:rPr>
        <w:t>Suffocation was also mentioned in a message sent to the Zoom chat of our Spring 2021 “Citation as Complicated Gift” SAR panel. It read in part,</w:t>
      </w:r>
    </w:p>
    <w:p w14:paraId="4940B996" w14:textId="77777777" w:rsidR="00AC7390" w:rsidRPr="00EF3A11" w:rsidRDefault="00AC7390" w:rsidP="00AC7390">
      <w:pPr>
        <w:ind w:left="720"/>
        <w:rPr>
          <w:sz w:val="16"/>
        </w:rPr>
      </w:pPr>
      <w:r w:rsidRPr="00EF3A11">
        <w:rPr>
          <w:sz w:val="16"/>
        </w:rPr>
        <w:t xml:space="preserve">[W]hen I observe the traffic/analytics on my Academia.edu page, I see that my texts are used in teaching. So, while my peers clearly avoid acknowledging or getting in contact with my writing, they are happy to include my texts in their reading lists for courses . . . As a Black scholar who is . . . nearing pension, </w:t>
      </w:r>
      <w:r w:rsidRPr="0065626F">
        <w:rPr>
          <w:rStyle w:val="StyleUnderline"/>
        </w:rPr>
        <w:t>I feel like I’m suffocating—like I’m being buried alive . . . [I’m] being shut down, and don’t know where to turn</w:t>
      </w:r>
      <w:r w:rsidRPr="00EF3A11">
        <w:rPr>
          <w:sz w:val="16"/>
        </w:rPr>
        <w:t>. 27</w:t>
      </w:r>
    </w:p>
    <w:p w14:paraId="531C9611" w14:textId="77777777" w:rsidR="00AC7390" w:rsidRPr="00EF3A11" w:rsidRDefault="00AC7390" w:rsidP="00AC7390">
      <w:pPr>
        <w:rPr>
          <w:sz w:val="16"/>
        </w:rPr>
      </w:pPr>
      <w:r w:rsidRPr="0065626F">
        <w:rPr>
          <w:rStyle w:val="StyleUnderline"/>
        </w:rPr>
        <w:t xml:space="preserve">The </w:t>
      </w:r>
      <w:r w:rsidRPr="00206D01">
        <w:rPr>
          <w:rStyle w:val="StyleUnderline"/>
          <w:highlight w:val="green"/>
        </w:rPr>
        <w:t>anguish</w:t>
      </w:r>
      <w:r w:rsidRPr="00EF3A11">
        <w:rPr>
          <w:sz w:val="16"/>
        </w:rPr>
        <w:t xml:space="preserve"> that this scholar and Garcia suffered </w:t>
      </w:r>
      <w:r w:rsidRPr="00206D01">
        <w:rPr>
          <w:rStyle w:val="StyleUnderline"/>
          <w:highlight w:val="green"/>
        </w:rPr>
        <w:t>is</w:t>
      </w:r>
      <w:r w:rsidRPr="00EF3A11">
        <w:rPr>
          <w:sz w:val="16"/>
        </w:rPr>
        <w:t xml:space="preserve"> not </w:t>
      </w:r>
      <w:r w:rsidRPr="0065626F">
        <w:rPr>
          <w:rStyle w:val="StyleUnderline"/>
        </w:rPr>
        <w:t>un</w:t>
      </w:r>
      <w:r w:rsidRPr="00206D01">
        <w:rPr>
          <w:rStyle w:val="StyleUnderline"/>
          <w:highlight w:val="green"/>
        </w:rPr>
        <w:t>common among Black and Latine academics</w:t>
      </w:r>
      <w:r w:rsidRPr="00EF3A11">
        <w:rPr>
          <w:sz w:val="16"/>
        </w:rPr>
        <w:t xml:space="preserve">. Threads on Twitter and Facebook detail the nausea and drowning sensations that overcame them when they realized they had been plagnored. They too found it tough to catch their breaths when glimpsing—or scenting—their uncredited insights in others’ publications. They too “cry’d, [Murder],” </w:t>
      </w:r>
      <w:r w:rsidRPr="00206D01">
        <w:rPr>
          <w:rStyle w:val="StyleUnderline"/>
          <w:highlight w:val="green"/>
        </w:rPr>
        <w:t>feeling</w:t>
      </w:r>
      <w:r w:rsidRPr="0065626F">
        <w:rPr>
          <w:rStyle w:val="StyleUnderline"/>
        </w:rPr>
        <w:t xml:space="preserve"> disrespected, </w:t>
      </w:r>
      <w:r w:rsidRPr="00206D01">
        <w:rPr>
          <w:rStyle w:val="StyleUnderline"/>
          <w:highlight w:val="green"/>
        </w:rPr>
        <w:t xml:space="preserve">gutted, and drained </w:t>
      </w:r>
      <w:r w:rsidRPr="00206D01">
        <w:rPr>
          <w:sz w:val="16"/>
          <w:highlight w:val="green"/>
        </w:rPr>
        <w:t>i</w:t>
      </w:r>
      <w:r w:rsidRPr="00EF3A11">
        <w:rPr>
          <w:sz w:val="16"/>
        </w:rPr>
        <w:t>n ways that compounded the sense of depletion they had from their exploitation in other professional arenas (Pérez, 2023).</w:t>
      </w:r>
    </w:p>
    <w:p w14:paraId="0AB5FD92" w14:textId="77777777" w:rsidR="00AC7390" w:rsidRPr="00EF3A11" w:rsidRDefault="00AC7390" w:rsidP="00AC7390">
      <w:pPr>
        <w:rPr>
          <w:sz w:val="16"/>
        </w:rPr>
      </w:pPr>
      <w:r w:rsidRPr="00EF3A11">
        <w:rPr>
          <w:sz w:val="16"/>
        </w:rPr>
        <w:t>Recent studies have uncovered extensive evidence of bias and mistreatment of BIPOC faculty members. 28 For example, Isis H. Settles, Nicole Buchanan, and Kristie Dotson (2019: 62) found that,</w:t>
      </w:r>
    </w:p>
    <w:p w14:paraId="02CD7307" w14:textId="77777777" w:rsidR="00AC7390" w:rsidRPr="00EF3A11" w:rsidRDefault="00AC7390" w:rsidP="00AC7390">
      <w:pPr>
        <w:ind w:left="720"/>
        <w:rPr>
          <w:sz w:val="16"/>
        </w:rPr>
      </w:pPr>
      <w:r w:rsidRPr="00EF3A11">
        <w:rPr>
          <w:sz w:val="16"/>
        </w:rPr>
        <w:t>FOC [</w:t>
      </w:r>
      <w:r w:rsidRPr="0065626F">
        <w:rPr>
          <w:rStyle w:val="StyleUnderline"/>
        </w:rPr>
        <w:t>faculty of color] experienced hypervisibility</w:t>
      </w:r>
      <w:r w:rsidRPr="00EF3A11">
        <w:rPr>
          <w:sz w:val="16"/>
        </w:rPr>
        <w:t xml:space="preserve"> when they were </w:t>
      </w:r>
      <w:r w:rsidRPr="0065626F">
        <w:rPr>
          <w:rStyle w:val="StyleUnderline"/>
        </w:rPr>
        <w:t>treated as Tokens</w:t>
      </w:r>
      <w:r w:rsidRPr="00EF3A11">
        <w:rPr>
          <w:sz w:val="16"/>
        </w:rPr>
        <w:t xml:space="preserve"> and used to represent diversity within the institution, </w:t>
      </w:r>
      <w:r w:rsidRPr="0065626F">
        <w:rPr>
          <w:rStyle w:val="StyleUnderline"/>
        </w:rPr>
        <w:t>and</w:t>
      </w:r>
      <w:r w:rsidRPr="00EF3A11">
        <w:rPr>
          <w:sz w:val="16"/>
        </w:rPr>
        <w:t xml:space="preserve"> they </w:t>
      </w:r>
      <w:r w:rsidRPr="0065626F">
        <w:rPr>
          <w:rStyle w:val="StyleUnderline"/>
        </w:rPr>
        <w:t>felt</w:t>
      </w:r>
      <w:r w:rsidRPr="00EF3A11">
        <w:rPr>
          <w:sz w:val="16"/>
        </w:rPr>
        <w:t xml:space="preserve"> invisible when they experienced Social and Professional Exclusion and Epistemic Exclusion (i.e., </w:t>
      </w:r>
      <w:r w:rsidRPr="0065626F">
        <w:rPr>
          <w:rStyle w:val="StyleUnderline"/>
        </w:rPr>
        <w:t>lack of recognition for their scholarship and achievements)</w:t>
      </w:r>
      <w:r w:rsidRPr="00EF3A11">
        <w:rPr>
          <w:sz w:val="16"/>
        </w:rPr>
        <w:t xml:space="preserve"> from colleagues. FOC responded to tokenism and exclusion using three (in)visibility strategies: Strategic Invisibility (i.e., disengaging with colleagues while remaining engaged with their scholarly activities) to remove themselves from negative environments; Working Harder to prove themselves, counter exclusion, and create positive visibility; and Disengagement (i.e., removed effort from work).</w:t>
      </w:r>
    </w:p>
    <w:p w14:paraId="1EC294BC" w14:textId="77777777" w:rsidR="00AC7390" w:rsidRPr="00EF3A11" w:rsidRDefault="00AC7390" w:rsidP="00AC7390">
      <w:pPr>
        <w:rPr>
          <w:sz w:val="16"/>
        </w:rPr>
      </w:pPr>
      <w:r w:rsidRPr="00206D01">
        <w:rPr>
          <w:rStyle w:val="StyleUnderline"/>
          <w:highlight w:val="green"/>
        </w:rPr>
        <w:t>To be uncited is to be</w:t>
      </w:r>
      <w:r w:rsidRPr="0065626F">
        <w:rPr>
          <w:rStyle w:val="StyleUnderline"/>
        </w:rPr>
        <w:t xml:space="preserve"> </w:t>
      </w:r>
      <w:r w:rsidRPr="00EF3A11">
        <w:rPr>
          <w:sz w:val="16"/>
        </w:rPr>
        <w:t xml:space="preserve">“unsighted”: unseen or </w:t>
      </w:r>
      <w:r w:rsidRPr="00206D01">
        <w:rPr>
          <w:rStyle w:val="Emphasis"/>
          <w:highlight w:val="green"/>
        </w:rPr>
        <w:t>actively erased</w:t>
      </w:r>
      <w:r w:rsidRPr="00EF3A11">
        <w:rPr>
          <w:sz w:val="16"/>
        </w:rPr>
        <w:t xml:space="preserve"> (Sood, 2020). </w:t>
      </w:r>
      <w:r w:rsidRPr="0065626F">
        <w:rPr>
          <w:rStyle w:val="StyleUnderline"/>
        </w:rPr>
        <w:t xml:space="preserve">Scholars gradually disappear from databases </w:t>
      </w:r>
      <w:r w:rsidRPr="00EF3A11">
        <w:rPr>
          <w:sz w:val="16"/>
        </w:rPr>
        <w:t>and other digital archives</w:t>
      </w:r>
      <w:r w:rsidRPr="0065626F">
        <w:rPr>
          <w:rStyle w:val="StyleUnderline"/>
        </w:rPr>
        <w:t>—“</w:t>
      </w:r>
      <w:r w:rsidRPr="00206D01">
        <w:rPr>
          <w:rStyle w:val="StyleUnderline"/>
          <w:highlight w:val="green"/>
        </w:rPr>
        <w:t>buried alive</w:t>
      </w:r>
      <w:r w:rsidRPr="00EF3A11">
        <w:rPr>
          <w:sz w:val="16"/>
        </w:rPr>
        <w:t xml:space="preserve">”—as those who have plagnored them rise to the top of keyword searches. And the gendered politics of citation are such that </w:t>
      </w:r>
      <w:r w:rsidRPr="0065626F">
        <w:rPr>
          <w:rStyle w:val="StyleUnderline"/>
        </w:rPr>
        <w:t xml:space="preserve">women of color most frequently sink from view, </w:t>
      </w:r>
      <w:r w:rsidRPr="00206D01">
        <w:rPr>
          <w:rStyle w:val="StyleUnderline"/>
          <w:highlight w:val="green"/>
        </w:rPr>
        <w:t xml:space="preserve">resulting in </w:t>
      </w:r>
      <w:r w:rsidRPr="00206D01">
        <w:rPr>
          <w:rStyle w:val="Emphasis"/>
          <w:highlight w:val="green"/>
        </w:rPr>
        <w:t>a loss of income and status</w:t>
      </w:r>
      <w:r w:rsidRPr="00206D01">
        <w:rPr>
          <w:sz w:val="16"/>
          <w:highlight w:val="green"/>
        </w:rPr>
        <w:t>.</w:t>
      </w:r>
      <w:r w:rsidRPr="00EF3A11">
        <w:rPr>
          <w:sz w:val="16"/>
        </w:rPr>
        <w:t xml:space="preserve"> </w:t>
      </w:r>
      <w:r w:rsidRPr="0065626F">
        <w:rPr>
          <w:rStyle w:val="StyleUnderline"/>
        </w:rPr>
        <w:t xml:space="preserve">Their </w:t>
      </w:r>
      <w:r w:rsidRPr="00206D01">
        <w:rPr>
          <w:rStyle w:val="StyleUnderline"/>
          <w:highlight w:val="green"/>
        </w:rPr>
        <w:t xml:space="preserve">citational erasure </w:t>
      </w:r>
      <w:r w:rsidRPr="00206D01">
        <w:rPr>
          <w:rStyle w:val="Emphasis"/>
          <w:highlight w:val="green"/>
        </w:rPr>
        <w:t>has real-world consequences</w:t>
      </w:r>
      <w:r w:rsidRPr="0065626F">
        <w:rPr>
          <w:rStyle w:val="StyleUnderline"/>
        </w:rPr>
        <w:t>,</w:t>
      </w:r>
      <w:r w:rsidRPr="00EF3A11">
        <w:rPr>
          <w:sz w:val="16"/>
        </w:rPr>
        <w:t xml:space="preserve"> </w:t>
      </w:r>
      <w:r w:rsidRPr="0065626F">
        <w:rPr>
          <w:rStyle w:val="StyleUnderline"/>
        </w:rPr>
        <w:t xml:space="preserve">ranging from </w:t>
      </w:r>
      <w:r w:rsidRPr="00206D01">
        <w:rPr>
          <w:rStyle w:val="Emphasis"/>
        </w:rPr>
        <w:t>salary stagnation</w:t>
      </w:r>
      <w:r w:rsidRPr="00EF3A11">
        <w:rPr>
          <w:sz w:val="16"/>
        </w:rPr>
        <w:t xml:space="preserve"> </w:t>
      </w:r>
      <w:r w:rsidRPr="0065626F">
        <w:rPr>
          <w:rStyle w:val="StyleUnderline"/>
        </w:rPr>
        <w:t xml:space="preserve">to </w:t>
      </w:r>
      <w:r w:rsidRPr="00206D01">
        <w:rPr>
          <w:rStyle w:val="StyleUnderline"/>
          <w:highlight w:val="green"/>
        </w:rPr>
        <w:t>increased precarity</w:t>
      </w:r>
      <w:r w:rsidRPr="00EF3A11">
        <w:rPr>
          <w:sz w:val="16"/>
        </w:rPr>
        <w:t xml:space="preserve"> for adjunct and contingent faculty due to denial of promotion and tenure.</w:t>
      </w:r>
    </w:p>
    <w:p w14:paraId="29D0A4D3" w14:textId="77777777" w:rsidR="00AC7390" w:rsidRPr="00EF3A11" w:rsidRDefault="00AC7390" w:rsidP="00AC7390">
      <w:pPr>
        <w:rPr>
          <w:sz w:val="16"/>
        </w:rPr>
      </w:pPr>
      <w:r w:rsidRPr="0065626F">
        <w:rPr>
          <w:rStyle w:val="StyleUnderline"/>
        </w:rPr>
        <w:t>Women of color often turn to “Working Harder</w:t>
      </w:r>
      <w:r w:rsidRPr="00EF3A11">
        <w:rPr>
          <w:sz w:val="16"/>
        </w:rPr>
        <w:t>” in an attempt to achieve the recognition they have been denied, thus (</w:t>
      </w:r>
      <w:r w:rsidRPr="0065626F">
        <w:rPr>
          <w:rStyle w:val="Emphasis"/>
        </w:rPr>
        <w:t xml:space="preserve">further) </w:t>
      </w:r>
      <w:r w:rsidRPr="00206D01">
        <w:rPr>
          <w:rStyle w:val="Emphasis"/>
          <w:highlight w:val="green"/>
        </w:rPr>
        <w:t>damaging</w:t>
      </w:r>
      <w:r w:rsidRPr="0065626F">
        <w:rPr>
          <w:rStyle w:val="Emphasis"/>
        </w:rPr>
        <w:t xml:space="preserve"> their </w:t>
      </w:r>
      <w:r w:rsidRPr="00206D01">
        <w:rPr>
          <w:rStyle w:val="Emphasis"/>
          <w:highlight w:val="green"/>
        </w:rPr>
        <w:t>physical and mental heal</w:t>
      </w:r>
      <w:r w:rsidRPr="0065626F">
        <w:rPr>
          <w:rStyle w:val="Emphasis"/>
        </w:rPr>
        <w:t>th</w:t>
      </w:r>
      <w:r w:rsidRPr="00EF3A11">
        <w:rPr>
          <w:sz w:val="16"/>
        </w:rPr>
        <w:t xml:space="preserve">. 29 As a corrective, Aja Reynolds, Ree Botts, and Farima Pour-Khorshid (2021: 26) have proposed situating “citational praxis” within a wider-ranging Critical Sisterhood Praxis meant to heal the “mindbodyspirit” of academic WOC. The lingering effects of undercitation on the well-being of Black and Latine scholars are what inspired me to think with Achilles Mbembe in asserting that </w:t>
      </w:r>
      <w:r w:rsidRPr="00206D01">
        <w:rPr>
          <w:rStyle w:val="Emphasis"/>
          <w:highlight w:val="green"/>
        </w:rPr>
        <w:t>there is a</w:t>
      </w:r>
      <w:r w:rsidRPr="0065626F">
        <w:rPr>
          <w:rStyle w:val="Emphasis"/>
        </w:rPr>
        <w:t xml:space="preserve"> veritable (</w:t>
      </w:r>
      <w:r w:rsidRPr="00206D01">
        <w:rPr>
          <w:rStyle w:val="Emphasis"/>
          <w:highlight w:val="green"/>
        </w:rPr>
        <w:t>necro)politics of citation</w:t>
      </w:r>
      <w:r w:rsidRPr="00EF3A11">
        <w:rPr>
          <w:sz w:val="16"/>
        </w:rPr>
        <w:t xml:space="preserve">. Mbembe (2003: 12, 16) situates necropolitics as the inscription of “life, death, and the human body (in particular the wounded or slain body)” through and “in the order of power,” when sovereignty is “expressed predominantly as the right to kill” in the context of late modern state violence. Although Mbembe (2003: 20) focuses here on the colonial and imperialist logics that have bequeathed us a “murderous” racist “economy of biopower,” the neoliberal university does not operate at a remove from governmental necropolitics. </w:t>
      </w:r>
      <w:r w:rsidRPr="0065626F">
        <w:rPr>
          <w:rStyle w:val="StyleUnderline"/>
        </w:rPr>
        <w:t>The university can be seen</w:t>
      </w:r>
      <w:r w:rsidRPr="00EF3A11">
        <w:rPr>
          <w:sz w:val="16"/>
        </w:rPr>
        <w:t xml:space="preserve"> to launder and even intensify the state’s excesses (Hulsether, 2018; Mbembe, 2015).</w:t>
      </w:r>
    </w:p>
    <w:p w14:paraId="445009CB" w14:textId="77777777" w:rsidR="00AC7390" w:rsidRPr="00EF3A11" w:rsidRDefault="00AC7390" w:rsidP="00AC7390">
      <w:pPr>
        <w:rPr>
          <w:sz w:val="16"/>
        </w:rPr>
      </w:pPr>
      <w:r w:rsidRPr="00EF3A11">
        <w:rPr>
          <w:sz w:val="16"/>
        </w:rPr>
        <w:t>It might seem overblown to cast the university—a home and haven to many of us—</w:t>
      </w:r>
      <w:r w:rsidRPr="0065626F">
        <w:rPr>
          <w:rStyle w:val="Emphasis"/>
        </w:rPr>
        <w:t>as a death-dealing institution</w:t>
      </w:r>
      <w:r w:rsidRPr="00EF3A11">
        <w:rPr>
          <w:sz w:val="16"/>
        </w:rPr>
        <w:t xml:space="preserve">. Yet the university is an Althusserian “Ideological State Apparatus” for teachers no less than students (Pavlou, 2019), and </w:t>
      </w:r>
      <w:r w:rsidRPr="0065626F">
        <w:rPr>
          <w:rStyle w:val="StyleUnderline"/>
        </w:rPr>
        <w:t>the academic motto of “publish or perish” reflects reality for Black and Latine faculty</w:t>
      </w:r>
      <w:r w:rsidRPr="00EF3A11">
        <w:rPr>
          <w:sz w:val="16"/>
        </w:rPr>
        <w:t>. They are painfully aware of their “overlapping exclusions” (Nair, 2014: 499; Settles, Buchanan, and Dotson, 2019). Perhaps Alexis Pauline Gumbs (2012) put it best, with reference to the plight of Black women:</w:t>
      </w:r>
    </w:p>
    <w:p w14:paraId="4D94941A" w14:textId="77777777" w:rsidR="00AC7390" w:rsidRPr="00EF3A11" w:rsidRDefault="00AC7390" w:rsidP="00AC7390">
      <w:pPr>
        <w:ind w:left="720"/>
        <w:rPr>
          <w:sz w:val="16"/>
        </w:rPr>
      </w:pPr>
      <w:r w:rsidRPr="00EF3A11">
        <w:rPr>
          <w:sz w:val="16"/>
        </w:rPr>
        <w:t>Universities keep huge endowments, money on reserve, because they are supposed to keep money. They will always tell you they cannot afford you. They will not spend their money to save the life of a Black feminist . . . The universities that we mistakenly label as our bright quirky only refuge for Black brilliance have worked our geniuses to death, and have denied us help when we asked for it. The universities that employed June Jordan, Audre Lorde and so many others, watched cancer eat away at our geniuses, as they simultaneously ate away at black women’s labor. An institution . . . knows that Black feminists are a trouble more useful as dead invocation than as live troublemakers, raising concerns in faculty meetings. And those institutions continue to make money and garner prestige off of their once affiliated now dead faculty members. 30</w:t>
      </w:r>
    </w:p>
    <w:p w14:paraId="58027DBD" w14:textId="77777777" w:rsidR="00AC7390" w:rsidRDefault="00AC7390" w:rsidP="00AC7390">
      <w:pPr>
        <w:rPr>
          <w:rStyle w:val="StyleUnderline"/>
        </w:rPr>
      </w:pPr>
      <w:r w:rsidRPr="00EF3A11">
        <w:rPr>
          <w:sz w:val="16"/>
        </w:rPr>
        <w:t xml:space="preserve">Gumbs goes on to detail the perceived disposability of Black feminist scholars, such as Lorde, Jordan, and Barbara Christian, within the predominantly white institution (PWI) of higher learning. </w:t>
      </w:r>
      <w:r w:rsidRPr="00206D01">
        <w:rPr>
          <w:rStyle w:val="StyleUnderline"/>
          <w:highlight w:val="green"/>
        </w:rPr>
        <w:t>When scholars go uncited</w:t>
      </w:r>
      <w:r w:rsidRPr="00EF3A11">
        <w:rPr>
          <w:rStyle w:val="StyleUnderline"/>
        </w:rPr>
        <w:t>, they cannot demonstrate</w:t>
      </w:r>
      <w:r w:rsidRPr="00EF3A11">
        <w:rPr>
          <w:sz w:val="16"/>
        </w:rPr>
        <w:t xml:space="preserve"> in personnel reviews that </w:t>
      </w:r>
      <w:r w:rsidRPr="00EF3A11">
        <w:rPr>
          <w:rStyle w:val="StyleUnderline"/>
        </w:rPr>
        <w:t>their intellectual labor is more than mere virtue-signaling or navel-gazing</w:t>
      </w:r>
      <w:r w:rsidRPr="00EF3A11">
        <w:rPr>
          <w:sz w:val="16"/>
        </w:rPr>
        <w:t xml:space="preserve">. If </w:t>
      </w:r>
      <w:r w:rsidRPr="00EF3A11">
        <w:rPr>
          <w:rStyle w:val="StyleUnderline"/>
        </w:rPr>
        <w:t>they cannot “make their bones</w:t>
      </w:r>
      <w:r w:rsidRPr="00EF3A11">
        <w:rPr>
          <w:sz w:val="16"/>
        </w:rPr>
        <w:t xml:space="preserve">” in their chosen fields, </w:t>
      </w:r>
      <w:r w:rsidRPr="00EF3A11">
        <w:rPr>
          <w:rStyle w:val="StyleUnderline"/>
        </w:rPr>
        <w:t xml:space="preserve">they cannot eke out a livelihood. </w:t>
      </w:r>
      <w:r w:rsidRPr="00206D01">
        <w:rPr>
          <w:rStyle w:val="StyleUnderline"/>
          <w:highlight w:val="green"/>
        </w:rPr>
        <w:t>They cannot</w:t>
      </w:r>
      <w:r w:rsidRPr="00EF3A11">
        <w:rPr>
          <w:rStyle w:val="StyleUnderline"/>
        </w:rPr>
        <w:t xml:space="preserve"> live—</w:t>
      </w:r>
      <w:r w:rsidRPr="00206D01">
        <w:rPr>
          <w:rStyle w:val="StyleUnderline"/>
          <w:highlight w:val="green"/>
        </w:rPr>
        <w:t>buy groceries</w:t>
      </w:r>
      <w:r w:rsidRPr="00EF3A11">
        <w:rPr>
          <w:rStyle w:val="StyleUnderline"/>
        </w:rPr>
        <w:t xml:space="preserve"> and </w:t>
      </w:r>
      <w:r w:rsidRPr="00206D01">
        <w:rPr>
          <w:rStyle w:val="StyleUnderline"/>
          <w:highlight w:val="green"/>
        </w:rPr>
        <w:t>pay their rent</w:t>
      </w:r>
      <w:r w:rsidRPr="00EF3A11">
        <w:rPr>
          <w:rStyle w:val="StyleUnderline"/>
        </w:rPr>
        <w:t xml:space="preserve">, </w:t>
      </w:r>
      <w:r w:rsidRPr="00206D01">
        <w:rPr>
          <w:rStyle w:val="StyleUnderline"/>
          <w:highlight w:val="green"/>
        </w:rPr>
        <w:t>utilities, student loans,</w:t>
      </w:r>
      <w:r w:rsidRPr="00EF3A11">
        <w:rPr>
          <w:rStyle w:val="StyleUnderline"/>
        </w:rPr>
        <w:t xml:space="preserve"> childcare, </w:t>
      </w:r>
      <w:r w:rsidRPr="00206D01">
        <w:rPr>
          <w:rStyle w:val="StyleUnderline"/>
          <w:highlight w:val="green"/>
        </w:rPr>
        <w:t>and medical bills—to save their lives</w:t>
      </w:r>
      <w:r w:rsidRPr="00EF3A11">
        <w:rPr>
          <w:rStyle w:val="StyleUnderline"/>
        </w:rPr>
        <w:t>.</w:t>
      </w:r>
    </w:p>
    <w:p w14:paraId="729EA2C2" w14:textId="77777777" w:rsidR="00AC7390" w:rsidRPr="007A09F1" w:rsidRDefault="00AC7390" w:rsidP="00AC7390">
      <w:pPr>
        <w:pStyle w:val="Heading4"/>
        <w:rPr>
          <w:u w:val="single"/>
        </w:rPr>
      </w:pPr>
      <w:r>
        <w:t xml:space="preserve">Voting aff is the debate equivalent of </w:t>
      </w:r>
      <w:r w:rsidRPr="007E0027">
        <w:rPr>
          <w:u w:val="single"/>
        </w:rPr>
        <w:t>publication</w:t>
      </w:r>
      <w:r>
        <w:t xml:space="preserve">. The Counterplan’s method insists on </w:t>
      </w:r>
      <w:r>
        <w:rPr>
          <w:u w:val="single"/>
        </w:rPr>
        <w:t>editorial best practices</w:t>
      </w:r>
      <w:r>
        <w:t xml:space="preserve"> the necessitate </w:t>
      </w:r>
      <w:r>
        <w:rPr>
          <w:u w:val="single"/>
        </w:rPr>
        <w:t xml:space="preserve">explicit revision and </w:t>
      </w:r>
      <w:r w:rsidRPr="00D9081C">
        <w:rPr>
          <w:u w:val="single"/>
        </w:rPr>
        <w:t>statements</w:t>
      </w:r>
      <w:r>
        <w:t xml:space="preserve"> from </w:t>
      </w:r>
      <w:r w:rsidRPr="00D9081C">
        <w:t>1AC</w:t>
      </w:r>
      <w:r>
        <w:t xml:space="preserve"> that account for citational justice.</w:t>
      </w:r>
    </w:p>
    <w:p w14:paraId="4AD6EA48" w14:textId="77777777" w:rsidR="00AC7390" w:rsidRDefault="00AC7390" w:rsidP="00AC7390">
      <w:pPr>
        <w:rPr>
          <w:rStyle w:val="Style13ptBold"/>
          <w:b w:val="0"/>
          <w:bCs w:val="0"/>
          <w:sz w:val="24"/>
          <w:szCs w:val="20"/>
        </w:rPr>
      </w:pPr>
      <w:r>
        <w:rPr>
          <w:rStyle w:val="Style13ptBold"/>
        </w:rPr>
        <w:t>12 Women Scholars 21</w:t>
      </w:r>
      <w:r w:rsidRPr="00514F16">
        <w:t xml:space="preserve"> – “12 women in an environmental history writing group who have collectively published 34 books and 207 peer-reviewed articles and chapters. [Their] ranks include four presidents of the American Society for Environmental History and two past editors of the journal Environmental History. [Their] collective includes winners of prestigious national fellowships and awards for distinguished scholarship.” (</w:t>
      </w:r>
      <w:hyperlink r:id="rId5" w:history="1">
        <w:r w:rsidRPr="00514F16">
          <w:rPr>
            <w:rStyle w:val="Hyperlink"/>
          </w:rPr>
          <w:t>https://www.insidehighered.com/advice/2021/08/27/entrenched-inequity-not-appropriately-citing-scholarship-women-and-people-color</w:t>
        </w:r>
      </w:hyperlink>
      <w:r w:rsidRPr="00514F16">
        <w:t>, “A Disturbing Pattern,” August 26, 2021 ) NAR</w:t>
      </w:r>
    </w:p>
    <w:p w14:paraId="31E6A519" w14:textId="77777777" w:rsidR="00AC7390" w:rsidRPr="00EC6EEC" w:rsidRDefault="00AC7390" w:rsidP="00AC7390">
      <w:pPr>
        <w:rPr>
          <w:rStyle w:val="Style13ptBold"/>
          <w:b w:val="0"/>
          <w:bCs w:val="0"/>
          <w:sz w:val="16"/>
          <w:szCs w:val="20"/>
        </w:rPr>
      </w:pPr>
      <w:r w:rsidRPr="00EC6EEC">
        <w:rPr>
          <w:sz w:val="16"/>
        </w:rPr>
        <w:t>Entrenched marginalization -- based on sexism, racism or other forms of discrimination -- is a larger structural problem in academe. We focus on citational policy as one way to begin to address bigger issues.</w:t>
      </w:r>
      <w:r w:rsidRPr="00EC6EEC">
        <w:rPr>
          <w:rStyle w:val="Style13ptBold"/>
          <w:b w:val="0"/>
          <w:bCs w:val="0"/>
          <w:sz w:val="16"/>
          <w:szCs w:val="20"/>
        </w:rPr>
        <w:t xml:space="preserve"> </w:t>
      </w:r>
      <w:r w:rsidRPr="007E0027">
        <w:rPr>
          <w:rStyle w:val="StyleUnderline"/>
          <w:highlight w:val="green"/>
        </w:rPr>
        <w:t xml:space="preserve">Citations are powerful technologies of </w:t>
      </w:r>
      <w:r w:rsidRPr="00EC6EEC">
        <w:rPr>
          <w:rStyle w:val="StyleUnderline"/>
          <w:highlight w:val="green"/>
        </w:rPr>
        <w:t>knowledge production</w:t>
      </w:r>
      <w:r w:rsidRPr="00EC6EEC">
        <w:rPr>
          <w:sz w:val="16"/>
        </w:rPr>
        <w:t>, yet they may simultaneously produce ignorance.</w:t>
      </w:r>
      <w:r w:rsidRPr="00EC6EEC">
        <w:rPr>
          <w:rStyle w:val="Style13ptBold"/>
          <w:b w:val="0"/>
          <w:bCs w:val="0"/>
          <w:sz w:val="16"/>
          <w:szCs w:val="20"/>
        </w:rPr>
        <w:t xml:space="preserve"> </w:t>
      </w:r>
      <w:r w:rsidRPr="0060082B">
        <w:rPr>
          <w:rStyle w:val="StyleUnderline"/>
        </w:rPr>
        <w:t>Failure to cite the work of particular groups of scholars</w:t>
      </w:r>
      <w:r w:rsidRPr="00EC6EEC">
        <w:rPr>
          <w:sz w:val="16"/>
        </w:rPr>
        <w:t>, whether intentional or not,</w:t>
      </w:r>
      <w:r w:rsidRPr="00EC6EEC">
        <w:rPr>
          <w:rStyle w:val="Style13ptBold"/>
          <w:b w:val="0"/>
          <w:bCs w:val="0"/>
          <w:sz w:val="16"/>
          <w:szCs w:val="20"/>
        </w:rPr>
        <w:t xml:space="preserve"> </w:t>
      </w:r>
      <w:r w:rsidRPr="0060082B">
        <w:rPr>
          <w:rStyle w:val="StyleUnderline"/>
        </w:rPr>
        <w:t>distorts our understandings of the past and of contemporary inequities</w:t>
      </w:r>
      <w:r w:rsidRPr="00EC6EEC">
        <w:rPr>
          <w:rStyle w:val="Style13ptBold"/>
          <w:b w:val="0"/>
          <w:bCs w:val="0"/>
          <w:sz w:val="16"/>
          <w:szCs w:val="20"/>
        </w:rPr>
        <w:t>.</w:t>
      </w:r>
    </w:p>
    <w:p w14:paraId="78587ADB" w14:textId="77777777" w:rsidR="00AC7390" w:rsidRPr="00EC6EEC" w:rsidRDefault="00AC7390" w:rsidP="00AC7390">
      <w:pPr>
        <w:rPr>
          <w:rStyle w:val="Style13ptBold"/>
          <w:b w:val="0"/>
          <w:bCs w:val="0"/>
          <w:sz w:val="16"/>
          <w:szCs w:val="20"/>
        </w:rPr>
      </w:pPr>
      <w:r w:rsidRPr="00EC6EEC">
        <w:rPr>
          <w:sz w:val="16"/>
        </w:rPr>
        <w:t>We are neither the first scholars to experience, nor the first to call attention to, this serious issue. (See, for example, Cite Black Women.) Sara Ahmed shows that selective citational practices reproduce inequalities in the academy. Citations are guides, Ahmed writes in Living a Feminist Life, that help “us find our way.”</w:t>
      </w:r>
      <w:r w:rsidRPr="00EC6EEC">
        <w:rPr>
          <w:rStyle w:val="Style13ptBold"/>
          <w:b w:val="0"/>
          <w:bCs w:val="0"/>
          <w:sz w:val="16"/>
          <w:szCs w:val="20"/>
        </w:rPr>
        <w:t xml:space="preserve"> </w:t>
      </w:r>
      <w:r w:rsidRPr="0060082B">
        <w:rPr>
          <w:rStyle w:val="StyleUnderline"/>
        </w:rPr>
        <w:t>When only certain scholars are cited, the path becomes circumscribed, deeply worn into the scholarly landscape, carving what appears to be the only way forward. To break new ground, we must follow other guides and cite them</w:t>
      </w:r>
      <w:r w:rsidRPr="00EC6EEC">
        <w:rPr>
          <w:rStyle w:val="Style13ptBold"/>
          <w:b w:val="0"/>
          <w:bCs w:val="0"/>
          <w:sz w:val="16"/>
          <w:szCs w:val="20"/>
        </w:rPr>
        <w:t>. As Max Liboiron observes in Pollution Is Colonialism, “</w:t>
      </w:r>
      <w:r w:rsidRPr="007E0027">
        <w:rPr>
          <w:rStyle w:val="StyleUnderline"/>
          <w:highlight w:val="green"/>
        </w:rPr>
        <w:t>Citing</w:t>
      </w:r>
      <w:r w:rsidRPr="0060082B">
        <w:rPr>
          <w:rStyle w:val="StyleUnderline"/>
        </w:rPr>
        <w:t xml:space="preserve"> the knowledges of </w:t>
      </w:r>
      <w:r w:rsidRPr="007E0027">
        <w:rPr>
          <w:rStyle w:val="StyleUnderline"/>
          <w:highlight w:val="green"/>
        </w:rPr>
        <w:t xml:space="preserve">Black, </w:t>
      </w:r>
      <w:r w:rsidRPr="007E0027">
        <w:rPr>
          <w:rStyle w:val="StyleUnderline"/>
        </w:rPr>
        <w:t>Indigenous</w:t>
      </w:r>
      <w:r w:rsidRPr="00EC6EEC">
        <w:rPr>
          <w:sz w:val="16"/>
        </w:rPr>
        <w:t>, poc,</w:t>
      </w:r>
      <w:r w:rsidRPr="00EC6EEC">
        <w:rPr>
          <w:rStyle w:val="Style13ptBold"/>
          <w:b w:val="0"/>
          <w:bCs w:val="0"/>
          <w:sz w:val="16"/>
          <w:szCs w:val="20"/>
        </w:rPr>
        <w:t xml:space="preserve"> </w:t>
      </w:r>
      <w:r w:rsidRPr="007E0027">
        <w:rPr>
          <w:rStyle w:val="StyleUnderline"/>
          <w:highlight w:val="green"/>
        </w:rPr>
        <w:t>women</w:t>
      </w:r>
      <w:r w:rsidRPr="00EC6EEC">
        <w:rPr>
          <w:sz w:val="16"/>
        </w:rPr>
        <w:t xml:space="preserve">, lgbtqai+, </w:t>
      </w:r>
      <w:r w:rsidRPr="0060082B">
        <w:rPr>
          <w:rStyle w:val="StyleUnderline"/>
        </w:rPr>
        <w:t>two-spirit, and young thinkers</w:t>
      </w:r>
      <w:r w:rsidRPr="00EC6EEC">
        <w:rPr>
          <w:rStyle w:val="StyleUnderline"/>
        </w:rPr>
        <w:t xml:space="preserve"> </w:t>
      </w:r>
      <w:r w:rsidRPr="007E0027">
        <w:rPr>
          <w:rStyle w:val="Emphasis"/>
          <w:highlight w:val="green"/>
        </w:rPr>
        <w:t>is</w:t>
      </w:r>
      <w:r w:rsidRPr="00EC6EEC">
        <w:rPr>
          <w:rStyle w:val="StyleUnderline"/>
        </w:rPr>
        <w:t xml:space="preserve"> </w:t>
      </w:r>
      <w:r w:rsidRPr="0060082B">
        <w:rPr>
          <w:rStyle w:val="StyleUnderline"/>
        </w:rPr>
        <w:t xml:space="preserve">one small </w:t>
      </w:r>
      <w:r w:rsidRPr="007E0027">
        <w:rPr>
          <w:rStyle w:val="StyleUnderline"/>
          <w:highlight w:val="green"/>
        </w:rPr>
        <w:t>part of an anticolonial methodology</w:t>
      </w:r>
      <w:r w:rsidRPr="00EC6EEC">
        <w:rPr>
          <w:sz w:val="16"/>
        </w:rPr>
        <w:t xml:space="preserve"> that refuses to reproduce the myth that knowledge, and particularly science, is the domain of pale, male, and stale gatekeepers.”</w:t>
      </w:r>
    </w:p>
    <w:p w14:paraId="756E2E66" w14:textId="77777777" w:rsidR="00AC7390" w:rsidRPr="00EC6EEC" w:rsidRDefault="00AC7390" w:rsidP="00AC7390">
      <w:pPr>
        <w:rPr>
          <w:rStyle w:val="Style13ptBold"/>
          <w:b w:val="0"/>
          <w:bCs w:val="0"/>
          <w:sz w:val="16"/>
          <w:szCs w:val="20"/>
        </w:rPr>
      </w:pPr>
      <w:r w:rsidRPr="0060082B">
        <w:rPr>
          <w:rStyle w:val="StyleUnderline"/>
        </w:rPr>
        <w:t xml:space="preserve">Absences and </w:t>
      </w:r>
      <w:r w:rsidRPr="007E0027">
        <w:rPr>
          <w:rStyle w:val="StyleUnderline"/>
          <w:highlight w:val="green"/>
        </w:rPr>
        <w:t>silences matter</w:t>
      </w:r>
      <w:r w:rsidRPr="00EC6EEC">
        <w:rPr>
          <w:sz w:val="16"/>
        </w:rPr>
        <w:t>. Many professional decisions are tied to impact and influence. Undercited scholarship affects who gets hired, tenured, funded, published and promoted. It undermines morale and well-being. Undercitation impedes participation in networks, communities and decision-making bodies that are the locus of evaluation and power.</w:t>
      </w:r>
      <w:r w:rsidRPr="00EC6EEC">
        <w:rPr>
          <w:rStyle w:val="Style13ptBold"/>
          <w:b w:val="0"/>
          <w:bCs w:val="0"/>
          <w:sz w:val="16"/>
          <w:szCs w:val="20"/>
        </w:rPr>
        <w:t xml:space="preserve"> </w:t>
      </w:r>
      <w:r w:rsidRPr="007E0027">
        <w:rPr>
          <w:rStyle w:val="StyleUnderline"/>
          <w:highlight w:val="green"/>
        </w:rPr>
        <w:t>Undercited scholarship trivializes</w:t>
      </w:r>
      <w:r w:rsidRPr="0060082B">
        <w:rPr>
          <w:rStyle w:val="StyleUnderline"/>
        </w:rPr>
        <w:t xml:space="preserve"> the contributions of </w:t>
      </w:r>
      <w:r w:rsidRPr="007E0027">
        <w:rPr>
          <w:rStyle w:val="StyleUnderline"/>
          <w:highlight w:val="green"/>
        </w:rPr>
        <w:t>women and marginalized groups</w:t>
      </w:r>
      <w:r w:rsidRPr="00EC6EEC">
        <w:rPr>
          <w:sz w:val="16"/>
        </w:rPr>
        <w:t>, making disciplines appear whiter and more male.</w:t>
      </w:r>
    </w:p>
    <w:p w14:paraId="1EF6EF3A" w14:textId="77777777" w:rsidR="00AC7390" w:rsidRPr="00EC6EEC" w:rsidRDefault="00AC7390" w:rsidP="00AC7390">
      <w:pPr>
        <w:rPr>
          <w:sz w:val="16"/>
        </w:rPr>
      </w:pPr>
      <w:r w:rsidRPr="00EC6EEC">
        <w:rPr>
          <w:sz w:val="16"/>
        </w:rPr>
        <w:t>And undercitation raises questions of academic honesty and integrity. When authors do not consider the full diversity of research published in their fields, their neglect of women and BIPOC scholars wields professional power against others. When authors fail to cite authors whose works they relied upon, they are guilty of plagiarism. How can scholars ethically continue to erase others’ work? It is ironic that in a profession that requires our students to abide by principles of academic integrity, some scholars fail to do so. Moreover, guilty parties regularly escape accountability. Indeed, they often are rewarded by those canonical scholars they do amplify through citations. As a result, the field reproduces itself in exclusionary ways.</w:t>
      </w:r>
    </w:p>
    <w:p w14:paraId="02443467" w14:textId="77777777" w:rsidR="00AC7390" w:rsidRPr="00EC6EEC" w:rsidRDefault="00AC7390" w:rsidP="00AC7390">
      <w:pPr>
        <w:rPr>
          <w:sz w:val="16"/>
        </w:rPr>
      </w:pPr>
      <w:r w:rsidRPr="00EC6EEC">
        <w:rPr>
          <w:sz w:val="16"/>
        </w:rPr>
        <w:t xml:space="preserve">For some people, statistics, reported incidents and personal experiences of overlooked, uncited or plagiarized scholarship are a rude awakening. For many BIPOC scholars, however, </w:t>
      </w:r>
      <w:r w:rsidRPr="0060082B">
        <w:rPr>
          <w:rStyle w:val="StyleUnderline"/>
        </w:rPr>
        <w:t xml:space="preserve">experiences of </w:t>
      </w:r>
      <w:r w:rsidRPr="007E0027">
        <w:rPr>
          <w:rStyle w:val="StyleUnderline"/>
          <w:highlight w:val="green"/>
        </w:rPr>
        <w:t>erasure</w:t>
      </w:r>
      <w:r w:rsidRPr="0060082B">
        <w:rPr>
          <w:rStyle w:val="StyleUnderline"/>
        </w:rPr>
        <w:t xml:space="preserve">, theft, </w:t>
      </w:r>
      <w:r w:rsidRPr="007E0027">
        <w:rPr>
          <w:rStyle w:val="StyleUnderline"/>
          <w:highlight w:val="green"/>
        </w:rPr>
        <w:t>academic invisibility and tokenism</w:t>
      </w:r>
      <w:r w:rsidRPr="0060082B">
        <w:rPr>
          <w:rStyle w:val="StyleUnderline"/>
        </w:rPr>
        <w:t xml:space="preserve"> are not surprising. They </w:t>
      </w:r>
      <w:r w:rsidRPr="007E0027">
        <w:rPr>
          <w:rStyle w:val="StyleUnderline"/>
          <w:highlight w:val="green"/>
        </w:rPr>
        <w:t>reinforce</w:t>
      </w:r>
      <w:r w:rsidRPr="0060082B">
        <w:rPr>
          <w:rStyle w:val="StyleUnderline"/>
        </w:rPr>
        <w:t xml:space="preserve"> an already deep cache of personal and professional </w:t>
      </w:r>
      <w:r w:rsidRPr="007E0027">
        <w:rPr>
          <w:rStyle w:val="StyleUnderline"/>
          <w:highlight w:val="green"/>
        </w:rPr>
        <w:t>indignities suffered within higher education</w:t>
      </w:r>
      <w:r w:rsidRPr="00EC6EEC">
        <w:rPr>
          <w:sz w:val="16"/>
        </w:rPr>
        <w:t xml:space="preserve"> contexts that are fundamentally structured by and through white supremacy. Scholars of color, white women and LBGTQ+ scholars have lower rates of journal publication, receive less support and encouragement, and recount numerous experiences when they have pitched manuscripts and proposals only to be dismissed.</w:t>
      </w:r>
    </w:p>
    <w:p w14:paraId="0D9B0CF7" w14:textId="77777777" w:rsidR="00AC7390" w:rsidRPr="00EC6EEC" w:rsidRDefault="00AC7390" w:rsidP="00AC7390">
      <w:pPr>
        <w:rPr>
          <w:sz w:val="16"/>
        </w:rPr>
      </w:pPr>
      <w:r w:rsidRPr="00EC6EEC">
        <w:rPr>
          <w:sz w:val="16"/>
        </w:rPr>
        <w:t>New Best Practices Required</w:t>
      </w:r>
    </w:p>
    <w:p w14:paraId="104D2665" w14:textId="77777777" w:rsidR="00AC7390" w:rsidRPr="00EC6EEC" w:rsidRDefault="00AC7390" w:rsidP="00AC7390">
      <w:pPr>
        <w:rPr>
          <w:sz w:val="16"/>
        </w:rPr>
      </w:pPr>
      <w:r w:rsidRPr="00EC6EEC">
        <w:rPr>
          <w:sz w:val="16"/>
        </w:rPr>
        <w:t xml:space="preserve">The Women’s Environmental History Network began investigating these issues within environmental history as part of its founding mission. Our endeavor here builds on earlier projects, including Julie Cohn and Sara Pritchard’s analysis of "Disparities in Publication Rates" in the field and The Syllabus Project, which aimed at diversifying syllabi. </w:t>
      </w:r>
    </w:p>
    <w:p w14:paraId="7AC69FD1" w14:textId="77777777" w:rsidR="00AC7390" w:rsidRPr="00EC6EEC" w:rsidRDefault="00AC7390" w:rsidP="00AC7390">
      <w:pPr>
        <w:rPr>
          <w:rStyle w:val="Style13ptBold"/>
          <w:b w:val="0"/>
          <w:bCs w:val="0"/>
          <w:sz w:val="16"/>
          <w:szCs w:val="20"/>
        </w:rPr>
      </w:pPr>
      <w:r w:rsidRPr="00EC6EEC">
        <w:rPr>
          <w:sz w:val="16"/>
        </w:rPr>
        <w:t>Environmental history is, however, just one field.</w:t>
      </w:r>
      <w:r w:rsidRPr="00EC6EEC">
        <w:rPr>
          <w:rStyle w:val="Style13ptBold"/>
          <w:b w:val="0"/>
          <w:bCs w:val="0"/>
          <w:sz w:val="16"/>
          <w:szCs w:val="20"/>
        </w:rPr>
        <w:t xml:space="preserve"> </w:t>
      </w:r>
      <w:r w:rsidRPr="0060082B">
        <w:rPr>
          <w:rStyle w:val="StyleUnderline"/>
        </w:rPr>
        <w:t>These patterns play out in many areas of scholarship.</w:t>
      </w:r>
      <w:r w:rsidRPr="00EC6EEC">
        <w:rPr>
          <w:sz w:val="16"/>
        </w:rPr>
        <w:t xml:space="preserve"> Rather than remain part of the problem, </w:t>
      </w:r>
      <w:r w:rsidRPr="007E0027">
        <w:rPr>
          <w:rStyle w:val="Emphasis"/>
          <w:highlight w:val="green"/>
        </w:rPr>
        <w:t>we propose specific steps</w:t>
      </w:r>
      <w:r w:rsidRPr="00EC6EEC">
        <w:rPr>
          <w:sz w:val="16"/>
        </w:rPr>
        <w:t xml:space="preserve"> that journals and publishers can take immediately </w:t>
      </w:r>
      <w:r w:rsidRPr="0060082B">
        <w:rPr>
          <w:rStyle w:val="Emphasis"/>
        </w:rPr>
        <w:t>to address inadequate and unbalanced citations</w:t>
      </w:r>
      <w:r w:rsidRPr="00EC6EEC">
        <w:rPr>
          <w:rStyle w:val="Style13ptBold"/>
          <w:b w:val="0"/>
          <w:bCs w:val="0"/>
          <w:sz w:val="16"/>
          <w:szCs w:val="20"/>
        </w:rPr>
        <w:t xml:space="preserve">. </w:t>
      </w:r>
    </w:p>
    <w:p w14:paraId="30EE1ECC" w14:textId="77777777" w:rsidR="00AC7390" w:rsidRPr="00EC6EEC" w:rsidRDefault="00AC7390" w:rsidP="00AC7390">
      <w:pPr>
        <w:rPr>
          <w:rStyle w:val="Style13ptBold"/>
          <w:b w:val="0"/>
          <w:bCs w:val="0"/>
          <w:sz w:val="16"/>
          <w:szCs w:val="20"/>
        </w:rPr>
      </w:pPr>
      <w:r w:rsidRPr="00EC6EEC">
        <w:rPr>
          <w:sz w:val="16"/>
        </w:rPr>
        <w:t>We recognize that asking authors and reviewers to categorize scholars by race and sex/gender is problematic. Instead, we urge scholars and reviewers to consider whether the manuscript reflects the full range of diversity in the field. The strategies we propose also shift the historiographic dialogue to emphasize recent works.</w:t>
      </w:r>
      <w:r w:rsidRPr="00EC6EEC">
        <w:rPr>
          <w:rStyle w:val="Style13ptBold"/>
          <w:b w:val="0"/>
          <w:bCs w:val="0"/>
          <w:sz w:val="16"/>
          <w:szCs w:val="20"/>
        </w:rPr>
        <w:t xml:space="preserve"> </w:t>
      </w:r>
      <w:r w:rsidRPr="007E0027">
        <w:rPr>
          <w:rStyle w:val="StyleUnderline"/>
          <w:highlight w:val="green"/>
        </w:rPr>
        <w:t>We urge the editors</w:t>
      </w:r>
      <w:r w:rsidRPr="00EC6EEC">
        <w:rPr>
          <w:sz w:val="16"/>
        </w:rPr>
        <w:t xml:space="preserve"> of journals </w:t>
      </w:r>
      <w:r w:rsidRPr="00EC6EEC">
        <w:rPr>
          <w:rStyle w:val="StyleUnderline"/>
          <w:highlight w:val="green"/>
        </w:rPr>
        <w:t>to adopt</w:t>
      </w:r>
      <w:r w:rsidRPr="0060082B">
        <w:rPr>
          <w:rStyle w:val="StyleUnderline"/>
        </w:rPr>
        <w:t xml:space="preserve"> the following new </w:t>
      </w:r>
      <w:r w:rsidRPr="00EC6EEC">
        <w:rPr>
          <w:rStyle w:val="StyleUnderline"/>
          <w:highlight w:val="green"/>
        </w:rPr>
        <w:t>best practices</w:t>
      </w:r>
      <w:r w:rsidRPr="00EC6EEC">
        <w:rPr>
          <w:rStyle w:val="Style13ptBold"/>
          <w:b w:val="0"/>
          <w:bCs w:val="0"/>
          <w:sz w:val="16"/>
          <w:szCs w:val="20"/>
        </w:rPr>
        <w:t xml:space="preserve">: </w:t>
      </w:r>
    </w:p>
    <w:p w14:paraId="3A2033FA" w14:textId="77777777" w:rsidR="00AC7390" w:rsidRPr="00EC6EEC" w:rsidRDefault="00AC7390" w:rsidP="00AC7390">
      <w:pPr>
        <w:pStyle w:val="ListParagraph"/>
        <w:numPr>
          <w:ilvl w:val="0"/>
          <w:numId w:val="15"/>
        </w:numPr>
        <w:rPr>
          <w:rStyle w:val="Style13ptBold"/>
          <w:b w:val="0"/>
          <w:bCs w:val="0"/>
          <w:sz w:val="16"/>
          <w:szCs w:val="20"/>
        </w:rPr>
      </w:pPr>
      <w:r w:rsidRPr="00EC6EEC">
        <w:rPr>
          <w:rStyle w:val="StyleUnderline"/>
          <w:highlight w:val="green"/>
        </w:rPr>
        <w:t>Add</w:t>
      </w:r>
      <w:r w:rsidRPr="00EC6EEC">
        <w:rPr>
          <w:sz w:val="16"/>
        </w:rPr>
        <w:t xml:space="preserve"> to journals’ “Instructions for Authors” </w:t>
      </w:r>
      <w:r w:rsidRPr="00EC6EEC">
        <w:rPr>
          <w:rStyle w:val="Emphasis"/>
          <w:highlight w:val="green"/>
        </w:rPr>
        <w:t>a statement that diversity in citations is a priority</w:t>
      </w:r>
      <w:r w:rsidRPr="00EC6EEC">
        <w:rPr>
          <w:sz w:val="16"/>
        </w:rPr>
        <w:t xml:space="preserve"> for the journal and notify authors that the review process includes specific questions about citational diversity.</w:t>
      </w:r>
    </w:p>
    <w:p w14:paraId="0076DCAF" w14:textId="77777777" w:rsidR="00AC7390" w:rsidRPr="00EC6EEC" w:rsidRDefault="00AC7390" w:rsidP="00AC7390">
      <w:pPr>
        <w:pStyle w:val="ListParagraph"/>
        <w:numPr>
          <w:ilvl w:val="0"/>
          <w:numId w:val="15"/>
        </w:numPr>
        <w:rPr>
          <w:rStyle w:val="Style13ptBold"/>
          <w:b w:val="0"/>
          <w:bCs w:val="0"/>
          <w:sz w:val="16"/>
          <w:szCs w:val="20"/>
        </w:rPr>
      </w:pPr>
      <w:r w:rsidRPr="00EC6EEC">
        <w:rPr>
          <w:rStyle w:val="StyleUnderline"/>
          <w:highlight w:val="green"/>
        </w:rPr>
        <w:t>Require</w:t>
      </w:r>
      <w:r w:rsidRPr="00EC6EEC">
        <w:rPr>
          <w:sz w:val="16"/>
        </w:rPr>
        <w:t xml:space="preserve"> in the journal</w:t>
      </w:r>
      <w:r w:rsidRPr="00EC6EEC">
        <w:rPr>
          <w:rStyle w:val="Style13ptBold"/>
          <w:b w:val="0"/>
          <w:bCs w:val="0"/>
          <w:sz w:val="16"/>
          <w:szCs w:val="20"/>
        </w:rPr>
        <w:t xml:space="preserve"> </w:t>
      </w:r>
      <w:r w:rsidRPr="007E0027">
        <w:rPr>
          <w:rStyle w:val="StyleUnderline"/>
        </w:rPr>
        <w:t>submissions</w:t>
      </w:r>
      <w:r w:rsidRPr="00EC6EEC">
        <w:rPr>
          <w:sz w:val="16"/>
        </w:rPr>
        <w:t xml:space="preserve"> and review software </w:t>
      </w:r>
      <w:r w:rsidRPr="00EC6EEC">
        <w:rPr>
          <w:rStyle w:val="StyleUnderline"/>
          <w:highlight w:val="green"/>
        </w:rPr>
        <w:t xml:space="preserve">that authors state </w:t>
      </w:r>
      <w:r w:rsidRPr="00EC6EEC">
        <w:rPr>
          <w:rStyle w:val="Emphasis"/>
          <w:highlight w:val="green"/>
        </w:rPr>
        <w:t>how they attended to diversity in their citations and historiography</w:t>
      </w:r>
      <w:r w:rsidRPr="00EC6EEC">
        <w:rPr>
          <w:sz w:val="16"/>
        </w:rPr>
        <w:t>. The two past journal editors in our group have found that queries added to journal submission software can make a significant difference.</w:t>
      </w:r>
    </w:p>
    <w:p w14:paraId="6AFCD766" w14:textId="77777777" w:rsidR="00AC7390" w:rsidRPr="00EC6EEC" w:rsidRDefault="00AC7390" w:rsidP="00AC7390">
      <w:pPr>
        <w:pStyle w:val="ListParagraph"/>
        <w:numPr>
          <w:ilvl w:val="0"/>
          <w:numId w:val="15"/>
        </w:numPr>
        <w:rPr>
          <w:rStyle w:val="Style13ptBold"/>
          <w:b w:val="0"/>
          <w:bCs w:val="0"/>
          <w:sz w:val="16"/>
          <w:szCs w:val="20"/>
        </w:rPr>
      </w:pPr>
      <w:r w:rsidRPr="00EC6EEC">
        <w:rPr>
          <w:rStyle w:val="StyleUnderline"/>
          <w:highlight w:val="green"/>
        </w:rPr>
        <w:t>Require reviewers</w:t>
      </w:r>
      <w:r w:rsidRPr="0060082B">
        <w:rPr>
          <w:rStyle w:val="StyleUnderline"/>
        </w:rPr>
        <w:t xml:space="preserve"> to </w:t>
      </w:r>
      <w:r w:rsidRPr="00EC6EEC">
        <w:rPr>
          <w:rStyle w:val="StyleUnderline"/>
          <w:highlight w:val="green"/>
        </w:rPr>
        <w:t>evaluate whether the manuscript</w:t>
      </w:r>
      <w:r w:rsidRPr="00EC6EEC">
        <w:rPr>
          <w:sz w:val="16"/>
        </w:rPr>
        <w:t xml:space="preserve"> under review </w:t>
      </w:r>
      <w:r w:rsidRPr="00EC6EEC">
        <w:rPr>
          <w:rStyle w:val="Emphasis"/>
          <w:highlight w:val="green"/>
        </w:rPr>
        <w:t>includes citations that</w:t>
      </w:r>
      <w:r w:rsidRPr="0060082B">
        <w:rPr>
          <w:rStyle w:val="Emphasis"/>
        </w:rPr>
        <w:t xml:space="preserve"> reflect the full range of </w:t>
      </w:r>
      <w:r w:rsidRPr="00EC6EEC">
        <w:rPr>
          <w:rStyle w:val="Emphasis"/>
          <w:highlight w:val="green"/>
        </w:rPr>
        <w:t>diversity in the existing scholarship</w:t>
      </w:r>
      <w:r w:rsidRPr="00EC6EEC">
        <w:rPr>
          <w:sz w:val="16"/>
        </w:rPr>
        <w:t>.</w:t>
      </w:r>
    </w:p>
    <w:p w14:paraId="00E05C3F" w14:textId="77777777" w:rsidR="00AC7390" w:rsidRPr="00EC6EEC" w:rsidRDefault="00AC7390" w:rsidP="00AC7390">
      <w:pPr>
        <w:pStyle w:val="ListParagraph"/>
        <w:numPr>
          <w:ilvl w:val="0"/>
          <w:numId w:val="15"/>
        </w:numPr>
        <w:rPr>
          <w:sz w:val="14"/>
        </w:rPr>
      </w:pPr>
      <w:r w:rsidRPr="0060082B">
        <w:rPr>
          <w:rStyle w:val="StyleUnderline"/>
        </w:rPr>
        <w:t>Adopt a new approach to historiography</w:t>
      </w:r>
      <w:r w:rsidRPr="00EC6EEC">
        <w:rPr>
          <w:rStyle w:val="Style13ptBold"/>
          <w:b w:val="0"/>
          <w:bCs w:val="0"/>
          <w:sz w:val="14"/>
          <w:szCs w:val="20"/>
        </w:rPr>
        <w:t xml:space="preserve"> or historiographic footnotes </w:t>
      </w:r>
      <w:r w:rsidRPr="00252043">
        <w:rPr>
          <w:rStyle w:val="StyleUnderline"/>
        </w:rPr>
        <w:t xml:space="preserve">that </w:t>
      </w:r>
      <w:r w:rsidRPr="007E0027">
        <w:rPr>
          <w:rStyle w:val="StyleUnderline"/>
        </w:rPr>
        <w:t>asks authors to start with recent research</w:t>
      </w:r>
      <w:r w:rsidRPr="00252043">
        <w:rPr>
          <w:rStyle w:val="StyleUnderline"/>
        </w:rPr>
        <w:t xml:space="preserve"> that influenced their work before discussing older, foundational scholarship</w:t>
      </w:r>
      <w:r w:rsidRPr="00EC6EEC">
        <w:rPr>
          <w:sz w:val="14"/>
        </w:rPr>
        <w:t>. The foundational scholarship will still be acknowledged because recent scholarship is built upon the work of decades.</w:t>
      </w:r>
    </w:p>
    <w:p w14:paraId="3A3F8307" w14:textId="77777777" w:rsidR="00AC7390" w:rsidRPr="00EC6EEC" w:rsidRDefault="00AC7390" w:rsidP="00AC7390">
      <w:pPr>
        <w:pStyle w:val="ListParagraph"/>
        <w:numPr>
          <w:ilvl w:val="0"/>
          <w:numId w:val="16"/>
        </w:numPr>
        <w:rPr>
          <w:sz w:val="16"/>
        </w:rPr>
      </w:pPr>
      <w:r w:rsidRPr="00EC6EEC">
        <w:rPr>
          <w:sz w:val="16"/>
        </w:rPr>
        <w:t>Direct reviewers and authors to online resources such as The Syllabus Project and Women Also Know History to assist in diversifying notes and historiography.</w:t>
      </w:r>
    </w:p>
    <w:p w14:paraId="3192687B" w14:textId="77777777" w:rsidR="00AC7390" w:rsidRPr="00252043" w:rsidRDefault="00AC7390" w:rsidP="00AC7390">
      <w:pPr>
        <w:pStyle w:val="ListParagraph"/>
        <w:numPr>
          <w:ilvl w:val="0"/>
          <w:numId w:val="15"/>
        </w:numPr>
        <w:rPr>
          <w:rStyle w:val="StyleUnderline"/>
        </w:rPr>
      </w:pPr>
      <w:r w:rsidRPr="00252043">
        <w:rPr>
          <w:rStyle w:val="StyleUnderline"/>
        </w:rPr>
        <w:t xml:space="preserve">Create a process that </w:t>
      </w:r>
      <w:r w:rsidRPr="00EC6EEC">
        <w:rPr>
          <w:rStyle w:val="StyleUnderline"/>
          <w:highlight w:val="green"/>
        </w:rPr>
        <w:t>allows scholars whose work has been ignored</w:t>
      </w:r>
      <w:r w:rsidRPr="00252043">
        <w:rPr>
          <w:rStyle w:val="StyleUnderline"/>
        </w:rPr>
        <w:t xml:space="preserve"> in an article </w:t>
      </w:r>
      <w:r w:rsidRPr="00EC6EEC">
        <w:rPr>
          <w:rStyle w:val="StyleUnderline"/>
          <w:highlight w:val="green"/>
        </w:rPr>
        <w:t>to address the exclusion</w:t>
      </w:r>
      <w:r w:rsidRPr="00252043">
        <w:rPr>
          <w:rStyle w:val="StyleUnderline"/>
        </w:rPr>
        <w:t>.</w:t>
      </w:r>
    </w:p>
    <w:p w14:paraId="58BEF9D1" w14:textId="77777777" w:rsidR="00AC7390" w:rsidRPr="00EC6EEC" w:rsidRDefault="00AC7390" w:rsidP="00AC7390">
      <w:pPr>
        <w:rPr>
          <w:sz w:val="16"/>
        </w:rPr>
      </w:pPr>
      <w:r w:rsidRPr="00252043">
        <w:rPr>
          <w:rStyle w:val="StyleUnderline"/>
        </w:rPr>
        <w:t>Implementing these changes sends powerful messages</w:t>
      </w:r>
      <w:r w:rsidRPr="00EC6EEC">
        <w:rPr>
          <w:sz w:val="16"/>
        </w:rPr>
        <w:t>. The proposed</w:t>
      </w:r>
      <w:r w:rsidRPr="00EC6EEC">
        <w:rPr>
          <w:rStyle w:val="Style13ptBold"/>
          <w:b w:val="0"/>
          <w:bCs w:val="0"/>
          <w:sz w:val="16"/>
          <w:szCs w:val="20"/>
        </w:rPr>
        <w:t xml:space="preserve"> </w:t>
      </w:r>
      <w:r w:rsidRPr="007E0027">
        <w:rPr>
          <w:rStyle w:val="Emphasis"/>
          <w:highlight w:val="green"/>
        </w:rPr>
        <w:t>practices</w:t>
      </w:r>
      <w:r w:rsidRPr="00EC6EEC">
        <w:rPr>
          <w:sz w:val="16"/>
        </w:rPr>
        <w:t xml:space="preserve"> alert those who fail to engage and cite scholarship by women, BIPOC and those in the Global South that their work </w:t>
      </w:r>
      <w:r w:rsidRPr="007E0027">
        <w:rPr>
          <w:rStyle w:val="Emphasis"/>
          <w:highlight w:val="green"/>
        </w:rPr>
        <w:t>must be</w:t>
      </w:r>
      <w:r w:rsidRPr="00EC6EEC">
        <w:rPr>
          <w:sz w:val="16"/>
        </w:rPr>
        <w:t xml:space="preserve"> fixed </w:t>
      </w:r>
      <w:r w:rsidRPr="00EC6EEC">
        <w:rPr>
          <w:rStyle w:val="Emphasis"/>
          <w:highlight w:val="green"/>
        </w:rPr>
        <w:t>before publication</w:t>
      </w:r>
      <w:r w:rsidRPr="00EC6EEC">
        <w:rPr>
          <w:sz w:val="16"/>
        </w:rPr>
        <w:t xml:space="preserve">. They tell underrepresented scholars that we all accept our obligation to them and their work and acknowledge that, no matter how well-intentioned we may be, we remain complicit in and must fight against institutionalized racism and sexism -- even if doing so painfully triggers defensiveness, anger and guilt. </w:t>
      </w:r>
    </w:p>
    <w:p w14:paraId="3182BD8A" w14:textId="77777777" w:rsidR="00AC7390" w:rsidRPr="00EC6EEC" w:rsidRDefault="00AC7390" w:rsidP="00AC7390">
      <w:pPr>
        <w:rPr>
          <w:rStyle w:val="Style13ptBold"/>
          <w:b w:val="0"/>
          <w:bCs w:val="0"/>
          <w:sz w:val="16"/>
          <w:szCs w:val="20"/>
        </w:rPr>
      </w:pPr>
      <w:r w:rsidRPr="00252043">
        <w:rPr>
          <w:rStyle w:val="StyleUnderline"/>
        </w:rPr>
        <w:t>Changing citation practices is only one way -- albeit a powerful and public one -- to address larger issues of representation within academe</w:t>
      </w:r>
      <w:r w:rsidRPr="00EC6EEC">
        <w:rPr>
          <w:sz w:val="16"/>
        </w:rPr>
        <w:t>, as Perry Zurn, Danielle S. Bassett and Nicole C. Rust observe in “The Citation Diversity Statement.” Beyond citations, we must review syllabi to include other voices, positionalities and perspectives. We must examine the composition of conference speakers, rejecting those that are composed entirely of white, middle-class, male scholars from the Global North. We must also consider the grant process, ensuring that a diverse range of scholars have the resources and institutional support to submit competitive grants, and encouraging an equitable review process.</w:t>
      </w:r>
      <w:r w:rsidRPr="00EC6EEC">
        <w:rPr>
          <w:rStyle w:val="Style13ptBold"/>
          <w:b w:val="0"/>
          <w:bCs w:val="0"/>
          <w:sz w:val="16"/>
          <w:szCs w:val="20"/>
        </w:rPr>
        <w:t xml:space="preserve"> </w:t>
      </w:r>
    </w:p>
    <w:p w14:paraId="7FAE1F36" w14:textId="77777777" w:rsidR="00AC7390" w:rsidRPr="00EC6EEC" w:rsidRDefault="00AC7390" w:rsidP="00AC7390">
      <w:pPr>
        <w:rPr>
          <w:rStyle w:val="Style13ptBold"/>
          <w:b w:val="0"/>
          <w:bCs w:val="0"/>
          <w:sz w:val="16"/>
          <w:szCs w:val="20"/>
        </w:rPr>
      </w:pPr>
      <w:r w:rsidRPr="00EC6EEC">
        <w:rPr>
          <w:sz w:val="16"/>
        </w:rPr>
        <w:t xml:space="preserve">These </w:t>
      </w:r>
      <w:r w:rsidRPr="00252043">
        <w:rPr>
          <w:rStyle w:val="StyleUnderline"/>
        </w:rPr>
        <w:t>changes are long overdue, but the current moment presents an ideal opportunity to create new practices</w:t>
      </w:r>
      <w:r w:rsidRPr="00EC6EEC">
        <w:rPr>
          <w:sz w:val="16"/>
        </w:rPr>
        <w:t xml:space="preserve">. Interlocking crises laid bare by a pandemic drew heightened attention to inequities within academe. Departments, universities and professional organizations are grappling with institutional racism and high attrition among women and BIPOC scholars, as noted by Chavella T. Pittman in Inside Higher Ed and Amparo C. Villablanca and Lydia P. Howell in the Journal of Women’s Health. A campaign for inclusive citation, for an end to plagiarism of work by women and BIPOC and Global South scholars, is a small but crucial step in addressing these larger challenges. </w:t>
      </w:r>
    </w:p>
    <w:p w14:paraId="55F050C7" w14:textId="77777777" w:rsidR="00AC7390" w:rsidRPr="00E80574" w:rsidRDefault="00AC7390" w:rsidP="00AC7390">
      <w:pPr>
        <w:pStyle w:val="Heading3"/>
      </w:pPr>
      <w:r>
        <w:t>A2: Perm Do the Aff / We Already Did This</w:t>
      </w:r>
    </w:p>
    <w:p w14:paraId="3CBA350A" w14:textId="77777777" w:rsidR="00AC7390" w:rsidRPr="00AC57A0" w:rsidRDefault="00AC7390" w:rsidP="00AC7390">
      <w:pPr>
        <w:pStyle w:val="Heading4"/>
      </w:pPr>
      <w:r>
        <w:t xml:space="preserve">2) Explicit - The aff does not include a citation diversity statement, that part </w:t>
      </w:r>
      <w:r>
        <w:rPr>
          <w:u w:val="single"/>
        </w:rPr>
        <w:t>alone</w:t>
      </w:r>
      <w:r>
        <w:t xml:space="preserve"> renders the counterplan distinct.</w:t>
      </w:r>
    </w:p>
    <w:p w14:paraId="4E918AF6" w14:textId="77777777" w:rsidR="00AC7390" w:rsidRDefault="00AC7390" w:rsidP="00AC7390">
      <w:r>
        <w:rPr>
          <w:rStyle w:val="Style13ptBold"/>
        </w:rPr>
        <w:t>Zurn et al. 20</w:t>
      </w:r>
      <w:r w:rsidRPr="003230A2">
        <w:t xml:space="preserve"> – *Department of Philosophy and Religion, American University, **Department of Bioengineering, University of Pennsylvania, Philadelphia, ***The Santa Fe Institute, Santa Fe, NM 87501, USA 8 Department of Psychology, University of Pennsylvania, Philadelphia, PA ( What Is a Citation Diversity Statement? Perry Zurn,1, * Danielle S. Bassett,2,3,4,5,6,7, * and Nicole C. Rust 8, *, The Citation Diversity Statement: A Practice of Transparency, A Way of Life, Trends in Cogntivie Sciences) NAR</w:t>
      </w:r>
    </w:p>
    <w:p w14:paraId="408CE066" w14:textId="77777777" w:rsidR="00AC7390" w:rsidRPr="002521F5" w:rsidRDefault="00AC7390" w:rsidP="00AC7390">
      <w:pPr>
        <w:rPr>
          <w:sz w:val="16"/>
        </w:rPr>
      </w:pPr>
      <w:r w:rsidRPr="00F13D20">
        <w:rPr>
          <w:rStyle w:val="StyleUnderline"/>
          <w:highlight w:val="green"/>
        </w:rPr>
        <w:t>A Citation Diversity Statement</w:t>
      </w:r>
      <w:r w:rsidRPr="002521F5">
        <w:rPr>
          <w:rStyle w:val="StyleUnderline"/>
        </w:rPr>
        <w:t xml:space="preserve"> is one way to mitigate citation bias.</w:t>
      </w:r>
      <w:r w:rsidRPr="002521F5">
        <w:rPr>
          <w:sz w:val="16"/>
        </w:rPr>
        <w:t xml:space="preserve"> It is simultaneously a simple statement of fact and a consciousness-raising tool. Rust (neuroscientist, psychologist) and postdoc Vahid Mehrpour were not involved in the original work, but adopted the Citation Diversity Statement with enthusiasm. After consulting with Bassett’s team, they incorporated their own statement into a review article for Trends in Cognitive Sciences, which became the first published article to do so [8].</w:t>
      </w:r>
    </w:p>
    <w:p w14:paraId="77898B82" w14:textId="77777777" w:rsidR="00AC7390" w:rsidRPr="002521F5" w:rsidRDefault="00AC7390" w:rsidP="00AC7390">
      <w:pPr>
        <w:rPr>
          <w:sz w:val="16"/>
        </w:rPr>
      </w:pPr>
      <w:r w:rsidRPr="002521F5">
        <w:rPr>
          <w:sz w:val="16"/>
        </w:rPr>
        <w:t xml:space="preserve"> As developed to date, </w:t>
      </w:r>
      <w:r w:rsidRPr="002521F5">
        <w:rPr>
          <w:rStyle w:val="StyleUnderline"/>
        </w:rPr>
        <w:t>the</w:t>
      </w:r>
      <w:r w:rsidRPr="002521F5">
        <w:rPr>
          <w:sz w:val="16"/>
        </w:rPr>
        <w:t xml:space="preserve"> Citation Diversity </w:t>
      </w:r>
      <w:r w:rsidRPr="002521F5">
        <w:rPr>
          <w:rStyle w:val="StyleUnderline"/>
        </w:rPr>
        <w:t xml:space="preserve">Statement </w:t>
      </w:r>
      <w:r w:rsidRPr="00F13D20">
        <w:rPr>
          <w:rStyle w:val="StyleUnderline"/>
          <w:highlight w:val="green"/>
        </w:rPr>
        <w:t>is a short paragraph</w:t>
      </w:r>
      <w:r w:rsidRPr="002521F5">
        <w:rPr>
          <w:sz w:val="16"/>
        </w:rPr>
        <w:t xml:space="preserve">, included </w:t>
      </w:r>
      <w:r w:rsidRPr="002521F5">
        <w:rPr>
          <w:rStyle w:val="Emphasis"/>
        </w:rPr>
        <w:t>before the References section,</w:t>
      </w:r>
      <w:r w:rsidRPr="002521F5">
        <w:rPr>
          <w:sz w:val="16"/>
        </w:rPr>
        <w:t xml:space="preserve"> </w:t>
      </w:r>
      <w:r w:rsidRPr="00F13D20">
        <w:rPr>
          <w:rStyle w:val="StyleUnderline"/>
          <w:highlight w:val="green"/>
        </w:rPr>
        <w:t>in which the authors consider their own bias and quantify the equitability of their reference lists</w:t>
      </w:r>
      <w:r w:rsidRPr="002521F5">
        <w:rPr>
          <w:sz w:val="16"/>
        </w:rPr>
        <w:t xml:space="preserve"> [4</w:t>
      </w:r>
      <w:r w:rsidRPr="002521F5">
        <w:rPr>
          <w:rStyle w:val="StyleUnderline"/>
        </w:rPr>
        <w:t xml:space="preserve">]. </w:t>
      </w:r>
      <w:r w:rsidRPr="00F13D20">
        <w:rPr>
          <w:rStyle w:val="StyleUnderline"/>
          <w:highlight w:val="green"/>
        </w:rPr>
        <w:t>It states</w:t>
      </w:r>
      <w:r w:rsidRPr="002521F5">
        <w:rPr>
          <w:sz w:val="16"/>
        </w:rPr>
        <w:t xml:space="preserve">: (i) </w:t>
      </w:r>
      <w:r w:rsidRPr="002521F5">
        <w:rPr>
          <w:rStyle w:val="StyleUnderline"/>
        </w:rPr>
        <w:t xml:space="preserve">the importance of </w:t>
      </w:r>
      <w:r w:rsidRPr="00F13D20">
        <w:rPr>
          <w:rStyle w:val="StyleUnderline"/>
          <w:highlight w:val="green"/>
        </w:rPr>
        <w:t>citation diversity</w:t>
      </w:r>
      <w:r w:rsidRPr="002521F5">
        <w:rPr>
          <w:sz w:val="16"/>
        </w:rPr>
        <w:t xml:space="preserve">, (ii) </w:t>
      </w:r>
      <w:r w:rsidRPr="00F13D20">
        <w:rPr>
          <w:rStyle w:val="StyleUnderline"/>
          <w:highlight w:val="green"/>
        </w:rPr>
        <w:t>the percentage breakdown</w:t>
      </w:r>
      <w:r w:rsidRPr="002521F5">
        <w:rPr>
          <w:rStyle w:val="StyleUnderline"/>
        </w:rPr>
        <w:t xml:space="preserve"> </w:t>
      </w:r>
      <w:r w:rsidRPr="002521F5">
        <w:rPr>
          <w:sz w:val="16"/>
        </w:rPr>
        <w:t>(or other diversity indicators</w:t>
      </w:r>
      <w:r w:rsidRPr="002521F5">
        <w:rPr>
          <w:rStyle w:val="StyleUnderline"/>
        </w:rPr>
        <w:t>) of citations in the paper</w:t>
      </w:r>
      <w:r w:rsidRPr="002521F5">
        <w:rPr>
          <w:sz w:val="16"/>
        </w:rPr>
        <w:t xml:space="preserve">, (iii) </w:t>
      </w:r>
      <w:r w:rsidRPr="00F13D20">
        <w:rPr>
          <w:rStyle w:val="StyleUnderline"/>
          <w:highlight w:val="green"/>
        </w:rPr>
        <w:t>the method by which percentages were assessed and its limitations, and</w:t>
      </w:r>
      <w:r w:rsidRPr="002521F5">
        <w:rPr>
          <w:rStyle w:val="StyleUnderline"/>
        </w:rPr>
        <w:t xml:space="preserve"> (iv) </w:t>
      </w:r>
      <w:r w:rsidRPr="00F13D20">
        <w:rPr>
          <w:rStyle w:val="StyleUnderline"/>
          <w:highlight w:val="green"/>
        </w:rPr>
        <w:t>a commitment to improving equitable practices</w:t>
      </w:r>
      <w:r w:rsidRPr="002521F5">
        <w:rPr>
          <w:rStyle w:val="StyleUnderline"/>
        </w:rPr>
        <w:t xml:space="preserve"> in science</w:t>
      </w:r>
      <w:r w:rsidRPr="002521F5">
        <w:rPr>
          <w:sz w:val="16"/>
        </w:rPr>
        <w:t xml:space="preserve">. The statement of importance provides authors with the opportunity to note diversity issues unique to the paper’s (sub)field. In turn, the percentage breakdowns can be generated either through algorithmic calculations i or manual curation such as by gathering pronouns from websites. Identifying method and limitations enhances transparency and the nod to future work indicates a certain humility. Each portion flags a recognition of the value of developing new methods and means for supporting citation diversity and diversity in the profession overall. With all four elements together, the Citation Diversity Statement is an important annotation, as much as an expression of ethos. See the References section for a sample statement concerning gender bias. </w:t>
      </w:r>
    </w:p>
    <w:p w14:paraId="72B9EDFD" w14:textId="77777777" w:rsidR="00AC7390" w:rsidRPr="002521F5" w:rsidRDefault="00AC7390" w:rsidP="00AC7390">
      <w:pPr>
        <w:rPr>
          <w:sz w:val="16"/>
        </w:rPr>
      </w:pPr>
      <w:r w:rsidRPr="002521F5">
        <w:rPr>
          <w:sz w:val="16"/>
        </w:rPr>
        <w:t xml:space="preserve">Why Is the Citation Diversity Statement Important? </w:t>
      </w:r>
    </w:p>
    <w:p w14:paraId="34299956" w14:textId="28B61224" w:rsidR="00AC7390" w:rsidRPr="00AC7390" w:rsidRDefault="00AC7390" w:rsidP="00AC7390">
      <w:pPr>
        <w:rPr>
          <w:sz w:val="16"/>
        </w:rPr>
      </w:pPr>
      <w:r w:rsidRPr="002521F5">
        <w:rPr>
          <w:sz w:val="16"/>
        </w:rPr>
        <w:t xml:space="preserve">Despite its ubiquity, </w:t>
      </w:r>
      <w:r w:rsidRPr="003B3835">
        <w:rPr>
          <w:rStyle w:val="StyleUnderline"/>
          <w:highlight w:val="green"/>
        </w:rPr>
        <w:t>few</w:t>
      </w:r>
      <w:r w:rsidRPr="002521F5">
        <w:rPr>
          <w:rStyle w:val="StyleUnderline"/>
        </w:rPr>
        <w:t xml:space="preserve"> of us </w:t>
      </w:r>
      <w:r w:rsidRPr="003B3835">
        <w:rPr>
          <w:rStyle w:val="StyleUnderline"/>
          <w:highlight w:val="green"/>
        </w:rPr>
        <w:t>appreciate</w:t>
      </w:r>
      <w:r w:rsidRPr="002521F5">
        <w:rPr>
          <w:rStyle w:val="StyleUnderline"/>
        </w:rPr>
        <w:t xml:space="preserve"> just </w:t>
      </w:r>
      <w:r w:rsidRPr="003B3835">
        <w:rPr>
          <w:rStyle w:val="StyleUnderline"/>
          <w:highlight w:val="green"/>
        </w:rPr>
        <w:t>how insidious implicit bias can be</w:t>
      </w:r>
      <w:r w:rsidRPr="002521F5">
        <w:rPr>
          <w:sz w:val="16"/>
        </w:rPr>
        <w:t xml:space="preserve"> or know how to counteract it effectively. We manifest bias without even realizing it, even those of us who are already hard a work diversifying our fields. Imbalanced citations are real, quantifiable proof of continued bias in neuroscience. Moreover, the </w:t>
      </w:r>
      <w:r w:rsidRPr="002521F5">
        <w:rPr>
          <w:rStyle w:val="Emphasis"/>
        </w:rPr>
        <w:t>fact that citation imbalance is not only persisting but increasing yearly is a marked call to action.</w:t>
      </w:r>
      <w:r w:rsidRPr="002521F5">
        <w:rPr>
          <w:sz w:val="16"/>
        </w:rPr>
        <w:t xml:space="preserve"> The question is simply what to do about it. The Citation Diversity Statement is a relatively simple and highly effective way to shine a light on the issue and cultivate a more equitable future (Box 2)</w:t>
      </w:r>
    </w:p>
    <w:p w14:paraId="3AEC57DA" w14:textId="77777777" w:rsidR="00AC7390" w:rsidRPr="009743B2" w:rsidRDefault="00AC7390" w:rsidP="00AC7390">
      <w:pPr>
        <w:pStyle w:val="Heading4"/>
      </w:pPr>
      <w:r>
        <w:t xml:space="preserve">3) Maximal Impact Turn: the counterplan is </w:t>
      </w:r>
      <w:r>
        <w:rPr>
          <w:u w:val="single"/>
        </w:rPr>
        <w:t>distinct</w:t>
      </w:r>
      <w:r>
        <w:t xml:space="preserve"> – and has the potential for a more </w:t>
      </w:r>
      <w:r>
        <w:rPr>
          <w:u w:val="single"/>
        </w:rPr>
        <w:t>equitable</w:t>
      </w:r>
      <w:r>
        <w:t xml:space="preserve"> and </w:t>
      </w:r>
      <w:r>
        <w:rPr>
          <w:u w:val="single"/>
        </w:rPr>
        <w:t>material</w:t>
      </w:r>
      <w:r>
        <w:t xml:space="preserve"> impact for marginalized scholars.</w:t>
      </w:r>
    </w:p>
    <w:p w14:paraId="17F31758" w14:textId="77777777" w:rsidR="00AC7390" w:rsidRDefault="00AC7390" w:rsidP="00AC7390">
      <w:pPr>
        <w:rPr>
          <w:rStyle w:val="Style13ptBold"/>
          <w:b w:val="0"/>
          <w:bCs w:val="0"/>
          <w:sz w:val="22"/>
          <w:szCs w:val="18"/>
        </w:rPr>
      </w:pPr>
      <w:r w:rsidRPr="00955B6A">
        <w:rPr>
          <w:rStyle w:val="Style13ptBold"/>
        </w:rPr>
        <w:t>CC&amp;C 22</w:t>
      </w:r>
      <w:r w:rsidRPr="003230A2">
        <w:t xml:space="preserve"> - Conference on College Composition and Communication (Position Statement on Citation Justice in Rhetoric, Composition, and Writing Studies , </w:t>
      </w:r>
      <w:hyperlink r:id="rId6" w:history="1">
        <w:r w:rsidRPr="003230A2">
          <w:rPr>
            <w:rStyle w:val="Hyperlink"/>
          </w:rPr>
          <w:t>https://cccc.ncte.org/cccc/citation-justice</w:t>
        </w:r>
      </w:hyperlink>
      <w:r w:rsidRPr="003230A2">
        <w:t>) NAR</w:t>
      </w:r>
    </w:p>
    <w:p w14:paraId="63D359F1" w14:textId="77777777" w:rsidR="00AC7390" w:rsidRPr="00522434" w:rsidRDefault="00AC7390" w:rsidP="00AC7390">
      <w:pPr>
        <w:rPr>
          <w:rStyle w:val="Style13ptBold"/>
          <w:b w:val="0"/>
          <w:bCs w:val="0"/>
          <w:sz w:val="16"/>
          <w:szCs w:val="18"/>
        </w:rPr>
      </w:pPr>
      <w:r w:rsidRPr="000911F5">
        <w:rPr>
          <w:rStyle w:val="StyleUnderline"/>
          <w:highlight w:val="green"/>
        </w:rPr>
        <w:t>Citation justice</w:t>
      </w:r>
      <w:r w:rsidRPr="001977A1">
        <w:rPr>
          <w:rStyle w:val="StyleUnderline"/>
        </w:rPr>
        <w:t xml:space="preserve"> </w:t>
      </w:r>
      <w:r w:rsidRPr="00522434">
        <w:rPr>
          <w:rStyle w:val="Style13ptBold"/>
          <w:b w:val="0"/>
          <w:bCs w:val="0"/>
          <w:sz w:val="16"/>
          <w:szCs w:val="18"/>
        </w:rPr>
        <w:t xml:space="preserve">requires that we consider issues of intersectionality (Crenshaw) and equity. It </w:t>
      </w:r>
      <w:r w:rsidRPr="001977A1">
        <w:rPr>
          <w:rStyle w:val="Emphasis"/>
        </w:rPr>
        <w:t>takes time</w:t>
      </w:r>
      <w:r w:rsidRPr="00522434">
        <w:rPr>
          <w:rStyle w:val="Style13ptBold"/>
          <w:b w:val="0"/>
          <w:bCs w:val="0"/>
          <w:sz w:val="16"/>
          <w:szCs w:val="18"/>
        </w:rPr>
        <w:t xml:space="preserve"> </w:t>
      </w:r>
      <w:r w:rsidRPr="001977A1">
        <w:rPr>
          <w:rStyle w:val="StyleUnderline"/>
        </w:rPr>
        <w:t xml:space="preserve">and </w:t>
      </w:r>
      <w:r w:rsidRPr="000911F5">
        <w:rPr>
          <w:rStyle w:val="StyleUnderline"/>
          <w:highlight w:val="green"/>
        </w:rPr>
        <w:t>requires a</w:t>
      </w:r>
      <w:r w:rsidRPr="00522434">
        <w:rPr>
          <w:rStyle w:val="Style13ptBold"/>
          <w:b w:val="0"/>
          <w:bCs w:val="0"/>
          <w:sz w:val="16"/>
          <w:szCs w:val="18"/>
        </w:rPr>
        <w:t xml:space="preserve"> more </w:t>
      </w:r>
      <w:r w:rsidRPr="001977A1">
        <w:rPr>
          <w:rStyle w:val="Emphasis"/>
        </w:rPr>
        <w:t xml:space="preserve">thoughtful </w:t>
      </w:r>
      <w:r w:rsidRPr="000911F5">
        <w:rPr>
          <w:rStyle w:val="Emphasis"/>
          <w:highlight w:val="green"/>
        </w:rPr>
        <w:t>comprehensive view</w:t>
      </w:r>
      <w:r w:rsidRPr="00522434">
        <w:rPr>
          <w:rStyle w:val="Style13ptBold"/>
          <w:b w:val="0"/>
          <w:bCs w:val="0"/>
          <w:sz w:val="16"/>
          <w:szCs w:val="18"/>
        </w:rPr>
        <w:t xml:space="preserve"> </w:t>
      </w:r>
      <w:r w:rsidRPr="00522434">
        <w:rPr>
          <w:sz w:val="16"/>
        </w:rPr>
        <w:t xml:space="preserve">and </w:t>
      </w:r>
      <w:r w:rsidRPr="00522434">
        <w:rPr>
          <w:rStyle w:val="Style13ptBold"/>
          <w:b w:val="0"/>
          <w:bCs w:val="0"/>
          <w:sz w:val="16"/>
          <w:szCs w:val="18"/>
        </w:rPr>
        <w:t xml:space="preserve">that questions established citation conventions and accounts for power, privilege, and history. Yet BIPOC scholars often face additional scrutiny when they do the work of thoughtfully attending to citation politics, where their work is dismissed as “overly narrow,” “irrelevant,” or inadequately citing canonical sources in ways that are legible to scholars trained according to dominant conventions (Gutiérrez y Muhs et al.; Monberg et al.). To engage in citation justice we must resist neoliberal imperatives that demand higher expectations for scholarly production and fast scholarship, especially during a global pandemic that has made this even more difficult for many to do. </w:t>
      </w:r>
    </w:p>
    <w:p w14:paraId="3E2E5DA0"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In addition, many undergraduate and graduate programs continue to train students with exclusionary Eurowestern reading lists and knowledges. This tendency means that BIPOC students in particular who are interested in gaining a more diverse view of the field are required to engage in additional reading and research that centers BIPOC voices. It also means that those who do not or cannot do this additional work feel underprepared to engage in justice-oriented scholarship and teaching. </w:t>
      </w:r>
    </w:p>
    <w:p w14:paraId="13CA8C42"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Moreover, </w:t>
      </w:r>
      <w:r w:rsidRPr="00522434">
        <w:rPr>
          <w:sz w:val="16"/>
        </w:rPr>
        <w:t>long-standing</w:t>
      </w:r>
      <w:r w:rsidRPr="00522434">
        <w:rPr>
          <w:rStyle w:val="Style13ptBold"/>
          <w:b w:val="0"/>
          <w:bCs w:val="0"/>
          <w:sz w:val="16"/>
          <w:szCs w:val="18"/>
        </w:rPr>
        <w:t xml:space="preserve"> and persistent normative perceptions within the humanities that place greater value on individual scholarly contributions than on collaborative efforts, or that encourage graduate students to find a “gap”—an absence—that their research might fill may further encourage hegemonic citation practices that maintain the status quo. Such expectations and frameworks contribute to folks engaging in what Carmen Kynard has referred to as “white settler logic in suggesting new arrival, new beginnings, and/or new possibilities on already hallowed grounds” (187). That is, folks may be resistant to cite others when the goal is to set out and claim a “new” area of study. Yet, we can and should resist and make academic empire building visible when we see it. </w:t>
      </w:r>
    </w:p>
    <w:p w14:paraId="5C737E3E"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We also acknowledge that all of this is taking place in a time when tenure-track positions are becoming rarer and demanding more. Yet if we are truly concerned about equity and justice in rhetoric, composition, and writing studies, it is imperative that we attend to each of these systemic aspects of the discipline that contribute to citation inequity. We also need to keep these issues in mind when we assess and evaluate job candidates and faculty up for tenure and promotion. </w:t>
      </w:r>
    </w:p>
    <w:p w14:paraId="55BEE830"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Practicing Citation Justice</w:t>
      </w:r>
    </w:p>
    <w:p w14:paraId="17DE6736"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With these broad contexts and implications in mind, we offer the following heuristic for practicing citation justice in the various kinds of scholarly work that we do: </w:t>
      </w:r>
    </w:p>
    <w:p w14:paraId="4A2A3A10" w14:textId="77777777" w:rsidR="00AC7390" w:rsidRPr="00522434" w:rsidRDefault="00AC7390" w:rsidP="00AC7390">
      <w:pPr>
        <w:ind w:left="720"/>
        <w:rPr>
          <w:rStyle w:val="Style13ptBold"/>
          <w:b w:val="0"/>
          <w:bCs w:val="0"/>
          <w:sz w:val="16"/>
          <w:szCs w:val="18"/>
        </w:rPr>
      </w:pPr>
      <w:r w:rsidRPr="00522434">
        <w:rPr>
          <w:rStyle w:val="Style13ptBold"/>
          <w:b w:val="0"/>
          <w:bCs w:val="0"/>
          <w:sz w:val="16"/>
          <w:szCs w:val="18"/>
        </w:rPr>
        <w:t>Citation justice is intersectional.</w:t>
      </w:r>
    </w:p>
    <w:p w14:paraId="51026189" w14:textId="77777777" w:rsidR="00AC7390" w:rsidRPr="00522434" w:rsidRDefault="00AC7390" w:rsidP="00AC7390">
      <w:pPr>
        <w:ind w:left="720"/>
        <w:rPr>
          <w:rStyle w:val="Style13ptBold"/>
          <w:b w:val="0"/>
          <w:bCs w:val="0"/>
          <w:sz w:val="16"/>
          <w:szCs w:val="18"/>
        </w:rPr>
      </w:pPr>
      <w:r w:rsidRPr="00522434">
        <w:rPr>
          <w:rStyle w:val="Style13ptBold"/>
          <w:b w:val="0"/>
          <w:bCs w:val="0"/>
          <w:sz w:val="16"/>
          <w:szCs w:val="18"/>
        </w:rPr>
        <w:t>Citation justice reflects the full scope of multiply marginalized people’s intellectual contributions.</w:t>
      </w:r>
    </w:p>
    <w:p w14:paraId="6364A9EC" w14:textId="77777777" w:rsidR="00AC7390" w:rsidRPr="00522434" w:rsidRDefault="00AC7390" w:rsidP="00AC7390">
      <w:pPr>
        <w:ind w:left="720"/>
        <w:rPr>
          <w:rStyle w:val="Style13ptBold"/>
          <w:b w:val="0"/>
          <w:bCs w:val="0"/>
          <w:sz w:val="16"/>
          <w:szCs w:val="18"/>
        </w:rPr>
      </w:pPr>
      <w:r w:rsidRPr="00522434">
        <w:rPr>
          <w:rStyle w:val="Style13ptBold"/>
          <w:b w:val="0"/>
          <w:bCs w:val="0"/>
          <w:sz w:val="16"/>
          <w:szCs w:val="18"/>
        </w:rPr>
        <w:t>Citation justice resists and rejects intellectual empire building.</w:t>
      </w:r>
    </w:p>
    <w:p w14:paraId="27D7A4D1" w14:textId="77777777" w:rsidR="00AC7390" w:rsidRPr="00522434" w:rsidRDefault="00AC7390" w:rsidP="00AC7390">
      <w:pPr>
        <w:ind w:left="720"/>
        <w:rPr>
          <w:rStyle w:val="Style13ptBold"/>
          <w:b w:val="0"/>
          <w:bCs w:val="0"/>
          <w:sz w:val="16"/>
          <w:szCs w:val="18"/>
        </w:rPr>
      </w:pPr>
      <w:r w:rsidRPr="00522434">
        <w:rPr>
          <w:rStyle w:val="Style13ptBold"/>
          <w:b w:val="0"/>
          <w:bCs w:val="0"/>
          <w:sz w:val="16"/>
          <w:szCs w:val="18"/>
        </w:rPr>
        <w:t>Citation justice is accountable.</w:t>
      </w:r>
    </w:p>
    <w:p w14:paraId="16DAB6DA"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Citation justice is intersectional. Because, as Kimberlé Crenshaw has explained, multiple, intersecting oppressions shape the experiences of multiply marginalized people, it is important to not limit our inclusion efforts to existing demographic categories such as race, gender, and class separately. Instead, taking </w:t>
      </w:r>
      <w:r w:rsidRPr="00522434">
        <w:rPr>
          <w:sz w:val="16"/>
        </w:rPr>
        <w:t>context and subject matter into account, we should ask ourselves if we are citing only non-Black scholars of color to stand in for the perspective of “people of color,” or only cis Black men to stand in for Black perspectives and rhetorics. Just</w:t>
      </w:r>
      <w:r w:rsidRPr="00522434">
        <w:rPr>
          <w:rStyle w:val="Style13ptBold"/>
          <w:b w:val="0"/>
          <w:bCs w:val="0"/>
          <w:sz w:val="16"/>
          <w:szCs w:val="18"/>
        </w:rPr>
        <w:t xml:space="preserve"> as it would be inappropriate to cite only white scholars to make generalizations about people in general, it is likewise inaccurate to cite only cisgender men of color as a stand-in for people of color more generally. Given the degree of exclusion they’ve faced on multiple levels, especially in proportion to the contributions they’ve made, it is important to make an effort to cite Black women in particular (Williams &amp; Collier; Smith). </w:t>
      </w:r>
    </w:p>
    <w:p w14:paraId="5FA58343" w14:textId="77777777" w:rsidR="00AC7390" w:rsidRPr="00522434" w:rsidRDefault="00AC7390" w:rsidP="00AC7390">
      <w:pPr>
        <w:rPr>
          <w:rStyle w:val="Style13ptBold"/>
          <w:b w:val="0"/>
          <w:bCs w:val="0"/>
          <w:sz w:val="16"/>
          <w:szCs w:val="18"/>
        </w:rPr>
      </w:pPr>
      <w:r w:rsidRPr="001977A1">
        <w:rPr>
          <w:rStyle w:val="StyleUnderline"/>
        </w:rPr>
        <w:t xml:space="preserve">It is also important to be aware of </w:t>
      </w:r>
      <w:r w:rsidRPr="000911F5">
        <w:rPr>
          <w:rStyle w:val="StyleUnderline"/>
          <w:highlight w:val="green"/>
        </w:rPr>
        <w:t>the tendency to come up with excuses to not cite</w:t>
      </w:r>
      <w:r w:rsidRPr="00522434">
        <w:rPr>
          <w:rStyle w:val="Style13ptBold"/>
          <w:b w:val="0"/>
          <w:bCs w:val="0"/>
          <w:sz w:val="16"/>
          <w:szCs w:val="18"/>
        </w:rPr>
        <w:t xml:space="preserve"> multiply </w:t>
      </w:r>
      <w:r w:rsidRPr="001977A1">
        <w:rPr>
          <w:rStyle w:val="StyleUnderline"/>
        </w:rPr>
        <w:t xml:space="preserve">marginalized scholars, </w:t>
      </w:r>
      <w:r w:rsidRPr="000911F5">
        <w:rPr>
          <w:rStyle w:val="StyleUnderline"/>
          <w:highlight w:val="green"/>
        </w:rPr>
        <w:t>whether</w:t>
      </w:r>
      <w:r w:rsidRPr="00522434">
        <w:rPr>
          <w:rStyle w:val="Style13ptBold"/>
          <w:b w:val="0"/>
          <w:bCs w:val="0"/>
          <w:sz w:val="16"/>
          <w:szCs w:val="18"/>
        </w:rPr>
        <w:t xml:space="preserve"> it’s that </w:t>
      </w:r>
      <w:r w:rsidRPr="001977A1">
        <w:rPr>
          <w:rStyle w:val="StyleUnderline"/>
        </w:rPr>
        <w:t xml:space="preserve">their </w:t>
      </w:r>
      <w:r w:rsidRPr="000911F5">
        <w:rPr>
          <w:rStyle w:val="StyleUnderline"/>
          <w:highlight w:val="green"/>
        </w:rPr>
        <w:t>work is not directly related</w:t>
      </w:r>
      <w:r w:rsidRPr="001977A1">
        <w:rPr>
          <w:rStyle w:val="StyleUnderline"/>
        </w:rPr>
        <w:t xml:space="preserve"> at first glance, </w:t>
      </w:r>
      <w:r w:rsidRPr="000911F5">
        <w:rPr>
          <w:rStyle w:val="StyleUnderline"/>
          <w:highlight w:val="green"/>
        </w:rPr>
        <w:t>because they aren’t using the</w:t>
      </w:r>
      <w:r w:rsidRPr="001977A1">
        <w:rPr>
          <w:rStyle w:val="StyleUnderline"/>
        </w:rPr>
        <w:t xml:space="preserve"> exact </w:t>
      </w:r>
      <w:r w:rsidRPr="000911F5">
        <w:rPr>
          <w:rStyle w:val="StyleUnderline"/>
          <w:highlight w:val="green"/>
        </w:rPr>
        <w:t>same term</w:t>
      </w:r>
      <w:r w:rsidRPr="001977A1">
        <w:rPr>
          <w:rStyle w:val="StyleUnderline"/>
        </w:rPr>
        <w:t xml:space="preserve">inology, </w:t>
      </w:r>
      <w:r w:rsidRPr="000911F5">
        <w:rPr>
          <w:rStyle w:val="StyleUnderline"/>
          <w:highlight w:val="green"/>
        </w:rPr>
        <w:t>because their work is</w:t>
      </w:r>
      <w:r w:rsidRPr="001977A1">
        <w:rPr>
          <w:rStyle w:val="StyleUnderline"/>
        </w:rPr>
        <w:t xml:space="preserve"> </w:t>
      </w:r>
      <w:r w:rsidRPr="000911F5">
        <w:rPr>
          <w:rStyle w:val="StyleUnderline"/>
          <w:highlight w:val="green"/>
        </w:rPr>
        <w:t>not in an academic journ</w:t>
      </w:r>
      <w:r w:rsidRPr="001977A1">
        <w:rPr>
          <w:rStyle w:val="StyleUnderline"/>
        </w:rPr>
        <w:t>al</w:t>
      </w:r>
      <w:r w:rsidRPr="00522434">
        <w:rPr>
          <w:rStyle w:val="Style13ptBold"/>
          <w:b w:val="0"/>
          <w:bCs w:val="0"/>
          <w:sz w:val="16"/>
          <w:szCs w:val="18"/>
        </w:rPr>
        <w:t xml:space="preserve"> or published by a well-reputed university press according to dominant normative standards</w:t>
      </w:r>
      <w:r w:rsidRPr="001977A1">
        <w:rPr>
          <w:rStyle w:val="StyleUnderline"/>
        </w:rPr>
        <w:t xml:space="preserve">, </w:t>
      </w:r>
      <w:r w:rsidRPr="000911F5">
        <w:rPr>
          <w:rStyle w:val="StyleUnderline"/>
          <w:highlight w:val="green"/>
        </w:rPr>
        <w:t>because they aren’t</w:t>
      </w:r>
      <w:r w:rsidRPr="001977A1">
        <w:rPr>
          <w:rStyle w:val="StyleUnderline"/>
        </w:rPr>
        <w:t xml:space="preserve"> affiliated with certain kinds of institutions</w:t>
      </w:r>
      <w:r w:rsidRPr="00522434">
        <w:rPr>
          <w:rStyle w:val="Style13ptBold"/>
          <w:b w:val="0"/>
          <w:bCs w:val="0"/>
          <w:sz w:val="16"/>
          <w:szCs w:val="18"/>
        </w:rPr>
        <w:t xml:space="preserve"> (e.g., a research-intensive university</w:t>
      </w:r>
      <w:r w:rsidRPr="001977A1">
        <w:rPr>
          <w:rStyle w:val="StyleUnderline"/>
        </w:rPr>
        <w:t>), or because it’s</w:t>
      </w:r>
      <w:r w:rsidRPr="00522434">
        <w:rPr>
          <w:rStyle w:val="Style13ptBold"/>
          <w:b w:val="0"/>
          <w:bCs w:val="0"/>
          <w:sz w:val="16"/>
          <w:szCs w:val="18"/>
        </w:rPr>
        <w:t xml:space="preserve"> a dissertation or master’s thesis and </w:t>
      </w:r>
      <w:r w:rsidRPr="001977A1">
        <w:rPr>
          <w:rStyle w:val="StyleUnderline"/>
        </w:rPr>
        <w:t xml:space="preserve">not </w:t>
      </w:r>
      <w:r w:rsidRPr="000911F5">
        <w:rPr>
          <w:rStyle w:val="StyleUnderline"/>
          <w:highlight w:val="green"/>
        </w:rPr>
        <w:t>peer reviewed</w:t>
      </w:r>
      <w:r w:rsidRPr="00522434">
        <w:rPr>
          <w:rStyle w:val="Style13ptBold"/>
          <w:b w:val="0"/>
          <w:bCs w:val="0"/>
          <w:sz w:val="16"/>
          <w:szCs w:val="18"/>
        </w:rPr>
        <w:t xml:space="preserve"> in the strictest sense of the term. This is not to say that we shouldn’t pay attention to publication venue; rather, the point is to catch oneself when rationalizing why one should not cite a multiply marginalized scholar. </w:t>
      </w:r>
      <w:r w:rsidRPr="000911F5">
        <w:rPr>
          <w:rStyle w:val="StyleUnderline"/>
          <w:highlight w:val="green"/>
        </w:rPr>
        <w:t>We should</w:t>
      </w:r>
      <w:r w:rsidRPr="001977A1">
        <w:rPr>
          <w:rStyle w:val="StyleUnderline"/>
        </w:rPr>
        <w:t xml:space="preserve"> also </w:t>
      </w:r>
      <w:r w:rsidRPr="000911F5">
        <w:rPr>
          <w:rStyle w:val="StyleUnderline"/>
          <w:highlight w:val="green"/>
        </w:rPr>
        <w:t>be open to a wide</w:t>
      </w:r>
      <w:r w:rsidRPr="001977A1">
        <w:rPr>
          <w:rStyle w:val="StyleUnderline"/>
        </w:rPr>
        <w:t xml:space="preserve"> </w:t>
      </w:r>
      <w:r w:rsidRPr="000911F5">
        <w:rPr>
          <w:rStyle w:val="StyleUnderline"/>
          <w:highlight w:val="green"/>
        </w:rPr>
        <w:t>range of thinkers</w:t>
      </w:r>
      <w:r w:rsidRPr="00522434">
        <w:rPr>
          <w:rStyle w:val="Style13ptBold"/>
          <w:b w:val="0"/>
          <w:bCs w:val="0"/>
          <w:sz w:val="16"/>
          <w:szCs w:val="18"/>
        </w:rPr>
        <w:t xml:space="preserve">, regardless of their academic affiliation, as well as a wide range of genres and venues, both scholarly and otherwise. </w:t>
      </w:r>
    </w:p>
    <w:p w14:paraId="6BA998C6"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Finally, citation justice demands confronting whiteness, heteronormativity, and able-bodiedness, not treating these frameworks as ​​neutral and universal, but making them visible by naming them. For instance, if you identify the ways in which BIPOC scholars are racialized, you should also name whiteness. If one is citing only or mostly scholars of European ancestry, that should be reflected in how the work is framed and contextualized (e.g., European American perspectives on X). Likewise, if you identify queerness and disability, it would similarly make sense to also name heteronormativity and able-bodiedness or neurotypicality. </w:t>
      </w:r>
    </w:p>
    <w:p w14:paraId="6456D24C" w14:textId="77777777" w:rsidR="00AC7390" w:rsidRPr="001977A1" w:rsidRDefault="00AC7390" w:rsidP="00AC7390">
      <w:pPr>
        <w:rPr>
          <w:rStyle w:val="Emphasis"/>
        </w:rPr>
      </w:pPr>
      <w:r w:rsidRPr="00522434">
        <w:rPr>
          <w:rStyle w:val="Style13ptBold"/>
          <w:b w:val="0"/>
          <w:bCs w:val="0"/>
          <w:sz w:val="16"/>
          <w:szCs w:val="18"/>
        </w:rPr>
        <w:t xml:space="preserve">Citation justice reflects the full scope of multiply marginalized people’s intellectual contributions. To do so, citation justice requires making an effort to see and make visible the fullness of BIPOC and other multiply marginalized scholars’ contributions to various areas of scholarly inquiry. In other words, </w:t>
      </w:r>
      <w:r w:rsidRPr="000911F5">
        <w:rPr>
          <w:rStyle w:val="Emphasis"/>
          <w:highlight w:val="green"/>
        </w:rPr>
        <w:t>there is an important difference</w:t>
      </w:r>
      <w:r w:rsidRPr="001977A1">
        <w:rPr>
          <w:rStyle w:val="Emphasis"/>
        </w:rPr>
        <w:t xml:space="preserve"> between </w:t>
      </w:r>
      <w:r w:rsidRPr="000911F5">
        <w:rPr>
          <w:rStyle w:val="Emphasis"/>
          <w:highlight w:val="green"/>
        </w:rPr>
        <w:t>providing a passing</w:t>
      </w:r>
      <w:r w:rsidRPr="001977A1">
        <w:rPr>
          <w:rStyle w:val="Emphasis"/>
        </w:rPr>
        <w:t xml:space="preserve"> </w:t>
      </w:r>
      <w:r w:rsidRPr="00522434">
        <w:rPr>
          <w:rStyle w:val="Style13ptBold"/>
          <w:b w:val="0"/>
          <w:bCs w:val="0"/>
          <w:sz w:val="16"/>
          <w:szCs w:val="18"/>
        </w:rPr>
        <w:t xml:space="preserve">string </w:t>
      </w:r>
      <w:r w:rsidRPr="000911F5">
        <w:rPr>
          <w:rStyle w:val="Emphasis"/>
          <w:highlight w:val="green"/>
        </w:rPr>
        <w:t>citation and engaging with the fullness of a scholar’s ideas</w:t>
      </w:r>
      <w:r w:rsidRPr="00522434">
        <w:rPr>
          <w:rStyle w:val="Style13ptBold"/>
          <w:b w:val="0"/>
          <w:bCs w:val="0"/>
          <w:sz w:val="16"/>
          <w:szCs w:val="18"/>
        </w:rPr>
        <w:t xml:space="preserve"> (Pritchard). We should also be careful not to minimize the work of BIPOC scholars to mattering only to others of their own racialized community (Itchuaqiyaq et al.). Instead, citation justice means being open to the possibility that sources written by </w:t>
      </w:r>
      <w:r w:rsidRPr="001977A1">
        <w:rPr>
          <w:rStyle w:val="StyleUnderline"/>
        </w:rPr>
        <w:t xml:space="preserve">multiply </w:t>
      </w:r>
      <w:r w:rsidRPr="000911F5">
        <w:rPr>
          <w:rStyle w:val="StyleUnderline"/>
          <w:highlight w:val="green"/>
        </w:rPr>
        <w:t xml:space="preserve">marginalized scholars should be used to </w:t>
      </w:r>
      <w:r w:rsidRPr="000911F5">
        <w:rPr>
          <w:rStyle w:val="Emphasis"/>
          <w:highlight w:val="green"/>
        </w:rPr>
        <w:t>not only support one’s existing argument</w:t>
      </w:r>
      <w:r w:rsidRPr="000911F5">
        <w:rPr>
          <w:rStyle w:val="Style13ptBold"/>
          <w:b w:val="0"/>
          <w:bCs w:val="0"/>
          <w:sz w:val="16"/>
          <w:szCs w:val="18"/>
          <w:highlight w:val="green"/>
        </w:rPr>
        <w:t xml:space="preserve">, </w:t>
      </w:r>
      <w:r w:rsidRPr="000911F5">
        <w:rPr>
          <w:rStyle w:val="StyleUnderline"/>
          <w:highlight w:val="green"/>
        </w:rPr>
        <w:t xml:space="preserve">but to </w:t>
      </w:r>
      <w:r w:rsidRPr="000911F5">
        <w:rPr>
          <w:rStyle w:val="Emphasis"/>
          <w:highlight w:val="green"/>
        </w:rPr>
        <w:t>contextualize and transform that argument</w:t>
      </w:r>
      <w:r w:rsidRPr="001977A1">
        <w:rPr>
          <w:rStyle w:val="Emphasis"/>
        </w:rPr>
        <w:t xml:space="preserve">. </w:t>
      </w:r>
    </w:p>
    <w:p w14:paraId="71CE9CE0"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In addition, when citing theories and ideas developed by BIPOC scholars, it is important to attend to the contexts and communities from which those theories and ideas were developed, further demonstrating how members of multiply marginalized communities have important things to teach all members of the discipline. </w:t>
      </w:r>
    </w:p>
    <w:p w14:paraId="1E653377" w14:textId="77777777" w:rsidR="00AC7390" w:rsidRPr="00522434" w:rsidRDefault="00AC7390" w:rsidP="00AC7390">
      <w:pPr>
        <w:rPr>
          <w:rStyle w:val="Style13ptBold"/>
          <w:b w:val="0"/>
          <w:bCs w:val="0"/>
          <w:sz w:val="16"/>
          <w:szCs w:val="18"/>
        </w:rPr>
      </w:pPr>
      <w:r w:rsidRPr="00522434">
        <w:rPr>
          <w:rStyle w:val="Style13ptBold"/>
          <w:b w:val="0"/>
          <w:bCs w:val="0"/>
          <w:sz w:val="16"/>
          <w:szCs w:val="18"/>
        </w:rPr>
        <w:t xml:space="preserve">Citation justice resists and rejects intellectual empire building. At times, folks are quicker to address the need to cite marginalized scholars by citing folks outside of our discipline, to the exclusion of marginalized folks doing relevant work within our own discipline. This is white settlerism as Kynard describes it. Usually these multiply marginalized scholars outside the discipline are established and widely regarded and thus those who have been accepted by normative academic structures. Although it is important to not be constrained by disciplinary boundaries, we should be careful not to send the message that there are no multiply marginalized scholars in the discipline doing the work and who have been doing the work for some time. Usually this is not the case and is an erasure of history. It is important to think about the kind of epistemological authority your citations are (re)producing, both for your piece specifically as well as the discipline more broadly. </w:t>
      </w:r>
    </w:p>
    <w:p w14:paraId="2B7419E6" w14:textId="77777777" w:rsidR="00AC7390" w:rsidRPr="001977A1" w:rsidRDefault="00AC7390" w:rsidP="00AC7390">
      <w:pPr>
        <w:rPr>
          <w:rStyle w:val="StyleUnderline"/>
        </w:rPr>
      </w:pPr>
      <w:r w:rsidRPr="00522434">
        <w:rPr>
          <w:rStyle w:val="Style13ptBold"/>
          <w:b w:val="0"/>
          <w:bCs w:val="0"/>
          <w:sz w:val="16"/>
          <w:szCs w:val="18"/>
        </w:rPr>
        <w:t xml:space="preserve">Citation justice is accountable. It considers the material impacts of citation, not only for minoritized communities and knowledges, but also for our disciplinary knowledge more broadly. For instance, we must be aware of how citation functions as academic capital in ways that acknowledging a person by name or mentioning their name in the text of your publication does not. In other words, </w:t>
      </w:r>
      <w:r w:rsidRPr="001977A1">
        <w:rPr>
          <w:rStyle w:val="StyleUnderline"/>
        </w:rPr>
        <w:t>don’t just mention</w:t>
      </w:r>
      <w:r w:rsidRPr="00522434">
        <w:rPr>
          <w:rStyle w:val="Style13ptBold"/>
          <w:b w:val="0"/>
          <w:bCs w:val="0"/>
          <w:sz w:val="16"/>
          <w:szCs w:val="18"/>
        </w:rPr>
        <w:t xml:space="preserve"> a multiply marginalized person’s name </w:t>
      </w:r>
      <w:r w:rsidRPr="001977A1">
        <w:rPr>
          <w:rStyle w:val="StyleUnderline"/>
        </w:rPr>
        <w:t>when you could</w:t>
      </w:r>
      <w:r w:rsidRPr="00522434">
        <w:rPr>
          <w:rStyle w:val="Style13ptBold"/>
          <w:b w:val="0"/>
          <w:bCs w:val="0"/>
          <w:sz w:val="16"/>
          <w:szCs w:val="18"/>
        </w:rPr>
        <w:t xml:space="preserve"> cite their work </w:t>
      </w:r>
      <w:r w:rsidRPr="001977A1">
        <w:rPr>
          <w:rStyle w:val="StyleUnderline"/>
        </w:rPr>
        <w:t>as a way to actually credit them for their contribution to your own thinking.</w:t>
      </w:r>
      <w:r w:rsidRPr="00522434">
        <w:rPr>
          <w:rStyle w:val="Style13ptBold"/>
          <w:b w:val="0"/>
          <w:bCs w:val="0"/>
          <w:sz w:val="16"/>
          <w:szCs w:val="18"/>
        </w:rPr>
        <w:t xml:space="preserve"> There are also symbolic implications when it comes to publication venue and citation location, and </w:t>
      </w:r>
      <w:r w:rsidRPr="000911F5">
        <w:rPr>
          <w:rStyle w:val="Emphasis"/>
          <w:highlight w:val="green"/>
        </w:rPr>
        <w:t>we should ask ourselves if we could</w:t>
      </w:r>
      <w:r w:rsidRPr="001977A1">
        <w:rPr>
          <w:rStyle w:val="Emphasis"/>
        </w:rPr>
        <w:t xml:space="preserve"> </w:t>
      </w:r>
      <w:r w:rsidRPr="000911F5">
        <w:rPr>
          <w:rStyle w:val="Emphasis"/>
          <w:highlight w:val="green"/>
        </w:rPr>
        <w:t>have cited something that might “count” more for the scholar being cited</w:t>
      </w:r>
      <w:r w:rsidRPr="00522434">
        <w:rPr>
          <w:rStyle w:val="Style13ptBold"/>
          <w:b w:val="0"/>
          <w:bCs w:val="0"/>
          <w:sz w:val="16"/>
          <w:szCs w:val="18"/>
        </w:rPr>
        <w:t xml:space="preserve"> (e.g., a peer-reviewed work</w:t>
      </w:r>
      <w:r w:rsidRPr="001977A1">
        <w:rPr>
          <w:rStyle w:val="StyleUnderline"/>
        </w:rPr>
        <w:t xml:space="preserve">), </w:t>
      </w:r>
      <w:r w:rsidRPr="000911F5">
        <w:rPr>
          <w:rStyle w:val="StyleUnderline"/>
          <w:highlight w:val="green"/>
        </w:rPr>
        <w:t>as well as whose works are thoroughly engaged</w:t>
      </w:r>
      <w:r w:rsidRPr="001977A1">
        <w:rPr>
          <w:rStyle w:val="StyleUnderline"/>
        </w:rPr>
        <w:t xml:space="preserve"> and centered </w:t>
      </w:r>
      <w:r w:rsidRPr="000911F5">
        <w:rPr>
          <w:rStyle w:val="StyleUnderline"/>
          <w:highlight w:val="green"/>
        </w:rPr>
        <w:t>versus</w:t>
      </w:r>
      <w:r w:rsidRPr="001977A1">
        <w:rPr>
          <w:rStyle w:val="StyleUnderline"/>
        </w:rPr>
        <w:t xml:space="preserve"> </w:t>
      </w:r>
      <w:r w:rsidRPr="000911F5">
        <w:rPr>
          <w:rStyle w:val="StyleUnderline"/>
          <w:highlight w:val="green"/>
        </w:rPr>
        <w:t>whose works are buried within a string citation</w:t>
      </w:r>
      <w:r w:rsidRPr="001977A1">
        <w:rPr>
          <w:rStyle w:val="StyleUnderline"/>
        </w:rPr>
        <w:t xml:space="preserve"> or </w:t>
      </w:r>
      <w:r w:rsidRPr="000911F5">
        <w:rPr>
          <w:rStyle w:val="StyleUnderline"/>
          <w:highlight w:val="green"/>
        </w:rPr>
        <w:t>relegated to the footnotes</w:t>
      </w:r>
      <w:r w:rsidRPr="001977A1">
        <w:rPr>
          <w:rStyle w:val="StyleUnderline"/>
        </w:rPr>
        <w:t xml:space="preserve">. </w:t>
      </w:r>
    </w:p>
    <w:p w14:paraId="0A708DB7" w14:textId="6BE2B4C2" w:rsidR="00AC7390" w:rsidRPr="00AC7390" w:rsidRDefault="00AC7390" w:rsidP="00AC7390">
      <w:pPr>
        <w:rPr>
          <w:sz w:val="16"/>
          <w:szCs w:val="18"/>
        </w:rPr>
      </w:pPr>
      <w:r w:rsidRPr="001977A1">
        <w:rPr>
          <w:rStyle w:val="StyleUnderline"/>
        </w:rPr>
        <w:t>Citation justice</w:t>
      </w:r>
      <w:r w:rsidRPr="00522434">
        <w:rPr>
          <w:rStyle w:val="Style13ptBold"/>
          <w:b w:val="0"/>
          <w:bCs w:val="0"/>
          <w:sz w:val="16"/>
          <w:szCs w:val="18"/>
        </w:rPr>
        <w:t xml:space="preserve">, like all efforts toward racial justice, </w:t>
      </w:r>
      <w:r w:rsidRPr="001977A1">
        <w:rPr>
          <w:rStyle w:val="Emphasis"/>
        </w:rPr>
        <w:t>is challenging and demands time</w:t>
      </w:r>
      <w:r w:rsidRPr="00522434">
        <w:rPr>
          <w:rStyle w:val="Style13ptBold"/>
          <w:b w:val="0"/>
          <w:bCs w:val="0"/>
          <w:sz w:val="16"/>
          <w:szCs w:val="18"/>
        </w:rPr>
        <w:t xml:space="preserve">, reflexivity, </w:t>
      </w:r>
      <w:r w:rsidRPr="00522434">
        <w:rPr>
          <w:sz w:val="16"/>
        </w:rPr>
        <w:t>an openness to learning from one another, and patience with ourselves. We must hold each other responsible for striving toward citation justice: this work must not be undertaken solely by multiply marginalized scholars but instead should be the shared responsibility of all members of the broad field</w:t>
      </w:r>
      <w:r w:rsidRPr="00522434">
        <w:rPr>
          <w:rStyle w:val="Style13ptBold"/>
          <w:b w:val="0"/>
          <w:bCs w:val="0"/>
          <w:sz w:val="16"/>
          <w:szCs w:val="18"/>
        </w:rPr>
        <w:t xml:space="preserve"> of rhetoric, composition, and writing studies. And when we are called to be accountable for our citation practices, we can and should respond with humility and generosity, acknowledging that such feedback is a gift that the person did not have to take the time to give, that it required intellectual and emotional labor as well as vulnerability on their part and trust in us that we can do better. We can be patient with ourselves, remembering that the work of equity and justice is difficult and is an ongoing, discipline-wide effort that will demand reimagining all aspects of the work that we do. </w:t>
      </w:r>
    </w:p>
    <w:p w14:paraId="1AF95EA7" w14:textId="77777777" w:rsidR="00AC7390" w:rsidRDefault="00AC7390" w:rsidP="00AC7390">
      <w:pPr>
        <w:pStyle w:val="Heading4"/>
      </w:pPr>
      <w:r>
        <w:t xml:space="preserve">4) Best Intentions DA - Citational Justice is a PROCESS not a PRODUCT. There’s always a </w:t>
      </w:r>
      <w:r>
        <w:rPr>
          <w:u w:val="single"/>
        </w:rPr>
        <w:t>risk</w:t>
      </w:r>
      <w:r>
        <w:t xml:space="preserve"> that  </w:t>
      </w:r>
    </w:p>
    <w:p w14:paraId="6BB0F6D8" w14:textId="77777777" w:rsidR="00AC7390" w:rsidRDefault="00AC7390" w:rsidP="00AC7390">
      <w:pPr>
        <w:rPr>
          <w:rStyle w:val="Style13ptBold"/>
          <w:b w:val="0"/>
          <w:bCs w:val="0"/>
        </w:rPr>
      </w:pPr>
      <w:r>
        <w:rPr>
          <w:rStyle w:val="Style13ptBold"/>
        </w:rPr>
        <w:t>Wright &amp; Wiley et al.* 22</w:t>
      </w:r>
      <w:r w:rsidRPr="003230A2">
        <w:t xml:space="preserve"> – * EdD, is a Black, temporarily able-bodied female. Her work centers inclusive and equitable practices that support academic success and retention for historically excluded student populations at the University of Cincinnat, **EdD, is a Black, female, temporarily able-bodied licensed social worker with over twenty years of experience and a faculty member in the School of Social Work at Northern Kentucky University., ***EdD, is a White, disabled, queer ciswoman who works with teacher candidates at Northern Kentucky University., ****PhD, is a White, Disabled, ciswoman faculty member in the College of Education at Northern Kentucky University, *****EdD, is a White, Queer, temporarily able-bodied ciswoman who works in di- versity, equity, and inclusion administration and student affairs at Eastern Kentucky University., ******EdD, is a White, disabled, queer ciswoman administrator in student affairs at Northern Kentucky University. (Authors intentionally sought to cite themselves in reverse, as they note “our praxis was choosing to cite ourselves in reverse alphabetical order, meaning that when we are cited in text in most styles, Wright (Lori’s last name) appears as a proxy for the whole group. When we are cited on a reference page, Wright and Wiley (Neisha’s last name) appear first and second in the citation. Both of these choices are intended to increase the likelihood of the material benefits of citation coming first to Lori and Neisha,” (p. 129-130) Lori Wright, Neisha Wiley, Elizabeth VanWassenhove, Brandelyn Tosolt, “Feminist Citational Praxis and Problems of Practice,” WSQ: Women’s Studies Quarterly 50, no. 3-4, p. 124—140) NAR</w:t>
      </w:r>
    </w:p>
    <w:p w14:paraId="7EFAB5ED" w14:textId="77777777" w:rsidR="00AC7390" w:rsidRPr="00062AEB" w:rsidRDefault="00AC7390" w:rsidP="00AC7390">
      <w:pPr>
        <w:rPr>
          <w:sz w:val="16"/>
        </w:rPr>
      </w:pPr>
      <w:r w:rsidRPr="00062AEB">
        <w:rPr>
          <w:sz w:val="16"/>
        </w:rPr>
        <w:t xml:space="preserve">Problem of Practice 1: Ascribing Gender and Gender </w:t>
      </w:r>
      <w:r w:rsidRPr="00062AEB">
        <w:rPr>
          <w:rStyle w:val="StyleUnderline"/>
        </w:rPr>
        <w:t>Identity In the interest of accountability, to ensure our citational prioritization</w:t>
      </w:r>
      <w:r w:rsidRPr="00062AEB">
        <w:rPr>
          <w:sz w:val="16"/>
        </w:rPr>
        <w:t xml:space="preserve"> of women, </w:t>
      </w:r>
      <w:r w:rsidRPr="00062AEB">
        <w:rPr>
          <w:rStyle w:val="StyleUnderline"/>
          <w:highlight w:val="green"/>
        </w:rPr>
        <w:t>we created a spreadsheet listing every citation</w:t>
      </w:r>
      <w:r w:rsidRPr="00062AEB">
        <w:rPr>
          <w:rStyle w:val="StyleUnderline"/>
        </w:rPr>
        <w:t xml:space="preserve"> we used and </w:t>
      </w:r>
      <w:r w:rsidRPr="00062AEB">
        <w:rPr>
          <w:rStyle w:val="StyleUnderline"/>
          <w:highlight w:val="green"/>
        </w:rPr>
        <w:t>including</w:t>
      </w:r>
      <w:r w:rsidRPr="00062AEB">
        <w:rPr>
          <w:rStyle w:val="StyleUnderline"/>
        </w:rPr>
        <w:t xml:space="preserve"> the </w:t>
      </w:r>
      <w:r w:rsidRPr="00062AEB">
        <w:rPr>
          <w:rStyle w:val="StyleUnderline"/>
          <w:highlight w:val="green"/>
        </w:rPr>
        <w:t>presumed race and gender of the authors</w:t>
      </w:r>
      <w:r w:rsidRPr="00062AEB">
        <w:rPr>
          <w:sz w:val="16"/>
        </w:rPr>
        <w:t xml:space="preserve"> based upon publication names, photographs, and biographical data available online. </w:t>
      </w:r>
    </w:p>
    <w:p w14:paraId="73222FDE" w14:textId="77777777" w:rsidR="00AC7390" w:rsidRPr="00062AEB" w:rsidRDefault="00AC7390" w:rsidP="00AC7390">
      <w:pPr>
        <w:rPr>
          <w:rStyle w:val="Emphasis"/>
        </w:rPr>
      </w:pPr>
      <w:r w:rsidRPr="00062AEB">
        <w:rPr>
          <w:sz w:val="16"/>
        </w:rPr>
        <w:t xml:space="preserve">Our intentionality in tracking who we cited reinforced our commitment to centering the ideas expressed by feminist women, particularly feminist Women of Color. </w:t>
      </w:r>
      <w:r w:rsidRPr="00062AEB">
        <w:rPr>
          <w:rStyle w:val="Emphasis"/>
          <w:highlight w:val="green"/>
        </w:rPr>
        <w:t>We did not form our ideas and then cite</w:t>
      </w:r>
      <w:r w:rsidRPr="00062AEB">
        <w:rPr>
          <w:rStyle w:val="Emphasis"/>
        </w:rPr>
        <w:t xml:space="preserve"> Women of Color to affirm our ideas</w:t>
      </w:r>
      <w:r w:rsidRPr="00062AEB">
        <w:rPr>
          <w:sz w:val="16"/>
        </w:rPr>
        <w:t xml:space="preserve"> and attempt to appear inclusive. </w:t>
      </w:r>
      <w:r w:rsidRPr="00062AEB">
        <w:rPr>
          <w:rStyle w:val="StyleUnderline"/>
        </w:rPr>
        <w:t xml:space="preserve">Our </w:t>
      </w:r>
      <w:r w:rsidRPr="00062AEB">
        <w:rPr>
          <w:rStyle w:val="StyleUnderline"/>
          <w:highlight w:val="green"/>
        </w:rPr>
        <w:t xml:space="preserve">citations indicated the work </w:t>
      </w:r>
      <w:r w:rsidRPr="00062AEB">
        <w:rPr>
          <w:rStyle w:val="Emphasis"/>
          <w:highlight w:val="green"/>
        </w:rPr>
        <w:t>by which we were influenced</w:t>
      </w:r>
      <w:r w:rsidRPr="00062AEB">
        <w:rPr>
          <w:sz w:val="16"/>
        </w:rPr>
        <w:t xml:space="preserve">, </w:t>
      </w:r>
      <w:r w:rsidRPr="00062AEB">
        <w:rPr>
          <w:rStyle w:val="StyleUnderline"/>
        </w:rPr>
        <w:t>and tracking who we were citing became an accountability measure to ourselves</w:t>
      </w:r>
      <w:r w:rsidRPr="00062AEB">
        <w:rPr>
          <w:sz w:val="16"/>
        </w:rPr>
        <w:t xml:space="preserve">, </w:t>
      </w:r>
      <w:r w:rsidRPr="00062AEB">
        <w:rPr>
          <w:rStyle w:val="StyleUnderline"/>
        </w:rPr>
        <w:t xml:space="preserve">a way </w:t>
      </w:r>
      <w:r w:rsidRPr="00062AEB">
        <w:rPr>
          <w:rStyle w:val="StyleUnderline"/>
          <w:highlight w:val="green"/>
        </w:rPr>
        <w:t xml:space="preserve">to ensure that we were </w:t>
      </w:r>
      <w:r w:rsidRPr="00062AEB">
        <w:rPr>
          <w:rStyle w:val="Emphasis"/>
          <w:highlight w:val="green"/>
        </w:rPr>
        <w:t>remaining true to our intention of centering the voices and texts of</w:t>
      </w:r>
      <w:r w:rsidRPr="00062AEB">
        <w:rPr>
          <w:rStyle w:val="Emphasis"/>
        </w:rPr>
        <w:t xml:space="preserve"> feminist women and prioritizing </w:t>
      </w:r>
      <w:r w:rsidRPr="00062AEB">
        <w:rPr>
          <w:rStyle w:val="Emphasis"/>
          <w:highlight w:val="green"/>
        </w:rPr>
        <w:t>feminist Women of Color</w:t>
      </w:r>
      <w:r w:rsidRPr="00062AEB">
        <w:rPr>
          <w:rStyle w:val="Emphasis"/>
        </w:rPr>
        <w:t xml:space="preserve">. </w:t>
      </w:r>
    </w:p>
    <w:p w14:paraId="019351B6" w14:textId="77777777" w:rsidR="00AC7390" w:rsidRPr="00062AEB" w:rsidRDefault="00AC7390" w:rsidP="00AC7390">
      <w:pPr>
        <w:rPr>
          <w:sz w:val="16"/>
        </w:rPr>
      </w:pPr>
      <w:r w:rsidRPr="00062AEB">
        <w:rPr>
          <w:sz w:val="16"/>
        </w:rPr>
        <w:t>Our practice of tracking citations, though revolutionary to us then, was problematic. It reinforced normative correlations between physical charac- teristics and perceived identities. Additionally, relying solely on authors to disclose their identities publicly required they be in positions both person- ally and professionally that allowed for safely identifying their identities without fear of retaliation or loss of resources. Finally, ascribing gender and gender identity based on author names and without demographic identifi- ers carries the risk of unintentionally excluding trans and gender-nonbinary authors</w:t>
      </w:r>
    </w:p>
    <w:p w14:paraId="0BB2628D" w14:textId="77777777" w:rsidR="00AC7390" w:rsidRPr="00062AEB" w:rsidRDefault="00AC7390" w:rsidP="00AC7390">
      <w:pPr>
        <w:rPr>
          <w:sz w:val="16"/>
        </w:rPr>
      </w:pPr>
      <w:r w:rsidRPr="00062AEB">
        <w:rPr>
          <w:sz w:val="16"/>
        </w:rPr>
        <w:t xml:space="preserve">Our citation tracking became a mechanism to notice which ideas we were privileging: “What you pay attention to grows” (brown 2017, 42). We perceive our feminist citational praxis as reflecting the care with which we engaged with these ideas and authors. </w:t>
      </w:r>
      <w:r w:rsidRPr="00062AEB">
        <w:rPr>
          <w:rStyle w:val="StyleUnderline"/>
          <w:highlight w:val="green"/>
        </w:rPr>
        <w:t>Our intent is to be</w:t>
      </w:r>
      <w:r w:rsidRPr="00062AEB">
        <w:rPr>
          <w:sz w:val="16"/>
        </w:rPr>
        <w:t xml:space="preserve"> care-full (that is, </w:t>
      </w:r>
      <w:r w:rsidRPr="00062AEB">
        <w:rPr>
          <w:rStyle w:val="StyleUnderline"/>
          <w:highlight w:val="green"/>
        </w:rPr>
        <w:t>full of care</w:t>
      </w:r>
      <w:r w:rsidRPr="00062AEB">
        <w:rPr>
          <w:sz w:val="16"/>
        </w:rPr>
        <w:t xml:space="preserve">) in our work, </w:t>
      </w:r>
      <w:r w:rsidRPr="00062AEB">
        <w:rPr>
          <w:rStyle w:val="StyleUnderline"/>
        </w:rPr>
        <w:t>simultaneously growing our own thinking along- side that of the authors we cite</w:t>
      </w:r>
      <w:r w:rsidRPr="00062AEB">
        <w:rPr>
          <w:sz w:val="16"/>
        </w:rPr>
        <w:t xml:space="preserve"> (Nash 2020; Tierney 2020). We recognize that the unintended outcomes of our citational practice contradict the aims of feminism in that they do not “end sexism, sexist exploitation, and oppres- sion” (hooks 2015, 1). </w:t>
      </w:r>
      <w:r w:rsidRPr="00062AEB">
        <w:rPr>
          <w:rStyle w:val="Emphasis"/>
          <w:highlight w:val="green"/>
        </w:rPr>
        <w:t xml:space="preserve">We are in search </w:t>
      </w:r>
      <w:r w:rsidRPr="003230A2">
        <w:rPr>
          <w:rStyle w:val="Emphasis"/>
          <w:highlight w:val="green"/>
        </w:rPr>
        <w:t xml:space="preserve">of a better </w:t>
      </w:r>
      <w:r w:rsidRPr="00062AEB">
        <w:rPr>
          <w:rStyle w:val="Emphasis"/>
          <w:highlight w:val="green"/>
        </w:rPr>
        <w:t>process for citational analysis</w:t>
      </w:r>
      <w:r w:rsidRPr="00062AEB">
        <w:rPr>
          <w:rStyle w:val="Emphasis"/>
        </w:rPr>
        <w:t>.</w:t>
      </w:r>
      <w:r w:rsidRPr="00062AEB">
        <w:rPr>
          <w:sz w:val="16"/>
        </w:rPr>
        <w:t xml:space="preserve"> We wonder: What practices have others utilized to center the voices and scholarship of authors with marginalized identities?</w:t>
      </w:r>
    </w:p>
    <w:p w14:paraId="557B6DE0" w14:textId="77777777" w:rsidR="00AC7390" w:rsidRPr="00062AEB" w:rsidRDefault="00AC7390" w:rsidP="00AC7390">
      <w:pPr>
        <w:rPr>
          <w:sz w:val="16"/>
        </w:rPr>
      </w:pPr>
      <w:r w:rsidRPr="00062AEB">
        <w:rPr>
          <w:sz w:val="16"/>
        </w:rPr>
        <w:t>Problem of Practice 2: The Necessity of Occasionally Citing Men</w:t>
      </w:r>
    </w:p>
    <w:p w14:paraId="7B33079F" w14:textId="77777777" w:rsidR="00AC7390" w:rsidRPr="00062AEB" w:rsidRDefault="00AC7390" w:rsidP="00AC7390">
      <w:pPr>
        <w:rPr>
          <w:sz w:val="16"/>
        </w:rPr>
      </w:pPr>
      <w:r w:rsidRPr="00062AEB">
        <w:rPr>
          <w:sz w:val="16"/>
        </w:rPr>
        <w:t>Our excitement at citing only women dissipated when we realized the magnitude of the citation legacy that credited White men as founding theorists and leading scholars. In researching theories of social capital in relation to Black women faculty and staff retention in higher education, we became acutely aware that both the canons of social capital overall as well as specifically in relation to Black women faculty and staff retention in higher education were credited to men. Lori and Rae messaged about the challenge that emerged between feminist citational praxis and document- ing the path already established by the academy:</w:t>
      </w:r>
    </w:p>
    <w:p w14:paraId="6FB84DCE" w14:textId="77777777" w:rsidR="00AC7390" w:rsidRPr="00062AEB" w:rsidRDefault="00AC7390" w:rsidP="00AC7390">
      <w:pPr>
        <w:ind w:left="720"/>
        <w:rPr>
          <w:sz w:val="16"/>
        </w:rPr>
      </w:pPr>
      <w:r w:rsidRPr="00062AEB">
        <w:rPr>
          <w:sz w:val="16"/>
        </w:rPr>
        <w:t>Rae: Y’all, I’m having a difficult time with social capital. I want to cite only women but the founding fathers of social capital theory are men. Can we discuss opening up to citing men? I’m down to put something in our methodology about intentionally citing women, with special attention to women of color, but that white men still have the most published agency in some of our topics?</w:t>
      </w:r>
    </w:p>
    <w:p w14:paraId="0C8DB92C" w14:textId="77777777" w:rsidR="00AC7390" w:rsidRPr="00062AEB" w:rsidRDefault="00AC7390" w:rsidP="00AC7390">
      <w:pPr>
        <w:ind w:left="720"/>
        <w:rPr>
          <w:sz w:val="16"/>
        </w:rPr>
      </w:pPr>
      <w:r w:rsidRPr="00062AEB">
        <w:rPr>
          <w:sz w:val="16"/>
        </w:rPr>
        <w:t>Lori: Rae, I feel you. Lots of info on the history of women in higher ed and also a lot of the retention research has been done by white men (Tinto, Pascarello, Terenezi, Astin, Bean, etc.). (Rae Loftis and Lori Wright, text messages, November 18, 2018)</w:t>
      </w:r>
    </w:p>
    <w:p w14:paraId="34057EAA" w14:textId="77777777" w:rsidR="00AC7390" w:rsidRPr="00062AEB" w:rsidRDefault="00AC7390" w:rsidP="00AC7390">
      <w:pPr>
        <w:rPr>
          <w:sz w:val="16"/>
        </w:rPr>
      </w:pPr>
      <w:r w:rsidRPr="00062AEB">
        <w:rPr>
          <w:sz w:val="16"/>
        </w:rPr>
        <w:t>Such conversations and subsequent research led to our decision to prioritize women, especially Women of Color, and to the composition of an explicit, written statement that acknowledges the historical exclusion and margin- alization of Voices of Color within knowledge production and expresses our determination to do better. For too long, ideas have been unfairly attributed to White men, even when the ideas were articulated and devel- oped by scholars with marginalized identities. We continue to wonder: How, when conducting in-depth explorations of established concepts, do other scholars balance the resulting overrepresentation of White male authors with their intention to promote the scholarship of authors with marginal- ized identities?</w:t>
      </w:r>
    </w:p>
    <w:p w14:paraId="51D903A4" w14:textId="77777777" w:rsidR="00AC7390" w:rsidRPr="00062AEB" w:rsidRDefault="00AC7390" w:rsidP="00AC7390">
      <w:pPr>
        <w:rPr>
          <w:sz w:val="16"/>
        </w:rPr>
      </w:pPr>
      <w:r w:rsidRPr="00062AEB">
        <w:rPr>
          <w:sz w:val="16"/>
        </w:rPr>
        <w:t>Problem of Practice 3: Not Fully Knowing Who You Cite</w:t>
      </w:r>
    </w:p>
    <w:p w14:paraId="0D6D9A26" w14:textId="77777777" w:rsidR="00AC7390" w:rsidRPr="00062AEB" w:rsidRDefault="00AC7390" w:rsidP="00AC7390">
      <w:pPr>
        <w:rPr>
          <w:sz w:val="16"/>
        </w:rPr>
      </w:pPr>
      <w:r w:rsidRPr="00062AEB">
        <w:rPr>
          <w:sz w:val="16"/>
        </w:rPr>
        <w:t xml:space="preserve">The poet Nikki Giovanni admonishes us: “Black groups digging on White philosophies ought to consider the source. Know who’s playing the music before you dance” (quoted in Collins 2000, 112). </w:t>
      </w:r>
      <w:r w:rsidRPr="00062AEB">
        <w:rPr>
          <w:rStyle w:val="StyleUnderline"/>
          <w:highlight w:val="green"/>
        </w:rPr>
        <w:t>Meg</w:t>
      </w:r>
      <w:r w:rsidRPr="00062AEB">
        <w:rPr>
          <w:rStyle w:val="StyleUnderline"/>
        </w:rPr>
        <w:t xml:space="preserve"> </w:t>
      </w:r>
      <w:r w:rsidRPr="00062AEB">
        <w:rPr>
          <w:rStyle w:val="StyleUnderline"/>
          <w:highlight w:val="green"/>
        </w:rPr>
        <w:t>discovered</w:t>
      </w:r>
      <w:r w:rsidRPr="00062AEB">
        <w:rPr>
          <w:rStyle w:val="StyleUnderline"/>
        </w:rPr>
        <w:t xml:space="preserve"> that one </w:t>
      </w:r>
      <w:r w:rsidRPr="00062AEB">
        <w:rPr>
          <w:rStyle w:val="StyleUnderline"/>
          <w:highlight w:val="green"/>
        </w:rPr>
        <w:t>of the sources</w:t>
      </w:r>
      <w:r w:rsidRPr="00062AEB">
        <w:rPr>
          <w:sz w:val="16"/>
        </w:rPr>
        <w:t xml:space="preserve"> in our dissertation </w:t>
      </w:r>
      <w:r w:rsidRPr="003230A2">
        <w:rPr>
          <w:rStyle w:val="Emphasis"/>
          <w:highlight w:val="green"/>
        </w:rPr>
        <w:t xml:space="preserve">was an avowed </w:t>
      </w:r>
      <w:r w:rsidRPr="00062AEB">
        <w:rPr>
          <w:rStyle w:val="Emphasis"/>
          <w:highlight w:val="green"/>
        </w:rPr>
        <w:t>Nazi</w:t>
      </w:r>
      <w:r w:rsidRPr="00062AEB">
        <w:rPr>
          <w:sz w:val="16"/>
        </w:rPr>
        <w:t xml:space="preserve"> from the 1930s. She had been searching for a date for a citation Lori had used to establish the groundwork for our research methodology when she happened upon the reference’s personal history. “</w:t>
      </w:r>
      <w:r w:rsidRPr="00062AEB">
        <w:rPr>
          <w:rStyle w:val="Emphasis"/>
        </w:rPr>
        <w:t>Darlings</w:t>
      </w:r>
      <w:r w:rsidRPr="00062AEB">
        <w:rPr>
          <w:sz w:val="16"/>
        </w:rPr>
        <w:t>,” Meg messaged the group, “</w:t>
      </w:r>
      <w:r w:rsidRPr="00062AEB">
        <w:rPr>
          <w:rStyle w:val="Emphasis"/>
          <w:highlight w:val="green"/>
        </w:rPr>
        <w:t>we’ve unknowingly cited</w:t>
      </w:r>
      <w:r w:rsidRPr="00062AEB">
        <w:rPr>
          <w:rStyle w:val="Emphasis"/>
        </w:rPr>
        <w:t xml:space="preserve"> a Nazi”</w:t>
      </w:r>
      <w:r w:rsidRPr="00062AEB">
        <w:rPr>
          <w:sz w:val="16"/>
        </w:rPr>
        <w:t xml:space="preserve"> (Meg Hensley, text message, January 10, 2019).</w:t>
      </w:r>
    </w:p>
    <w:p w14:paraId="40BF690A" w14:textId="77777777" w:rsidR="00AC7390" w:rsidRPr="00062AEB" w:rsidRDefault="00AC7390" w:rsidP="00AC7390">
      <w:pPr>
        <w:rPr>
          <w:sz w:val="16"/>
        </w:rPr>
      </w:pPr>
      <w:r w:rsidRPr="003230A2">
        <w:rPr>
          <w:rStyle w:val="StyleUnderline"/>
          <w:highlight w:val="green"/>
        </w:rPr>
        <w:t>The me</w:t>
      </w:r>
      <w:r w:rsidRPr="00062AEB">
        <w:rPr>
          <w:rStyle w:val="StyleUnderline"/>
          <w:highlight w:val="green"/>
        </w:rPr>
        <w:t>thodology</w:t>
      </w:r>
      <w:r w:rsidRPr="00062AEB">
        <w:rPr>
          <w:rStyle w:val="StyleUnderline"/>
        </w:rPr>
        <w:t xml:space="preserve"> section</w:t>
      </w:r>
      <w:r w:rsidRPr="00062AEB">
        <w:rPr>
          <w:sz w:val="16"/>
        </w:rPr>
        <w:t xml:space="preserve"> of the dissertation that </w:t>
      </w:r>
      <w:r w:rsidRPr="00062AEB">
        <w:rPr>
          <w:rStyle w:val="StyleUnderline"/>
          <w:highlight w:val="green"/>
        </w:rPr>
        <w:t>Lori had written</w:t>
      </w:r>
      <w:r w:rsidRPr="00062AEB">
        <w:rPr>
          <w:rStyle w:val="StyleUnderline"/>
        </w:rPr>
        <w:t xml:space="preserve"> </w:t>
      </w:r>
      <w:r w:rsidRPr="00062AEB">
        <w:rPr>
          <w:sz w:val="16"/>
        </w:rPr>
        <w:t>and</w:t>
      </w:r>
      <w:r w:rsidRPr="00062AEB">
        <w:rPr>
          <w:rStyle w:val="StyleUnderline"/>
        </w:rPr>
        <w:t xml:space="preserve"> </w:t>
      </w:r>
      <w:r w:rsidRPr="00062AEB">
        <w:rPr>
          <w:rStyle w:val="StyleUnderline"/>
          <w:highlight w:val="green"/>
        </w:rPr>
        <w:t>included</w:t>
      </w:r>
      <w:r w:rsidRPr="00062AEB">
        <w:rPr>
          <w:sz w:val="16"/>
        </w:rPr>
        <w:t xml:space="preserve"> the citation was </w:t>
      </w:r>
      <w:r w:rsidRPr="00062AEB">
        <w:rPr>
          <w:rStyle w:val="StyleUnderline"/>
        </w:rPr>
        <w:t xml:space="preserve">some of </w:t>
      </w:r>
      <w:r w:rsidRPr="00062AEB">
        <w:rPr>
          <w:rStyle w:val="Emphasis"/>
          <w:highlight w:val="green"/>
        </w:rPr>
        <w:t>her best</w:t>
      </w:r>
      <w:r w:rsidRPr="00062AEB">
        <w:rPr>
          <w:rStyle w:val="Emphasis"/>
        </w:rPr>
        <w:t xml:space="preserve"> and well-thought-out </w:t>
      </w:r>
      <w:r w:rsidRPr="00062AEB">
        <w:rPr>
          <w:rStyle w:val="Emphasis"/>
          <w:highlight w:val="green"/>
        </w:rPr>
        <w:t>writing</w:t>
      </w:r>
      <w:r w:rsidRPr="00062AEB">
        <w:rPr>
          <w:rStyle w:val="Emphasis"/>
        </w:rPr>
        <w:t xml:space="preserve"> </w:t>
      </w:r>
      <w:r w:rsidRPr="00062AEB">
        <w:rPr>
          <w:sz w:val="16"/>
        </w:rPr>
        <w:t xml:space="preserve">up to that point. After what seemed like a never-ending search to find a useful methodology to fit our unorthodox and unique dissertation, she had found a dissertation by a group of Black women struggling with the same chal- lenges we faced. </w:t>
      </w:r>
      <w:r w:rsidRPr="00062AEB">
        <w:rPr>
          <w:rStyle w:val="StyleUnderline"/>
        </w:rPr>
        <w:t>The methodology they referenced and cited spoke exactly to what we were searching for</w:t>
      </w:r>
      <w:r w:rsidRPr="00062AEB">
        <w:rPr>
          <w:sz w:val="16"/>
        </w:rPr>
        <w:t xml:space="preserve">. When </w:t>
      </w:r>
      <w:r w:rsidRPr="00062AEB">
        <w:rPr>
          <w:rStyle w:val="StyleUnderline"/>
        </w:rPr>
        <w:t xml:space="preserve">Meg alerted the group that </w:t>
      </w:r>
      <w:r w:rsidRPr="00062AEB">
        <w:rPr>
          <w:rStyle w:val="StyleUnderline"/>
          <w:highlight w:val="green"/>
        </w:rPr>
        <w:t>this methodology was credited to a Nazi,</w:t>
      </w:r>
      <w:r w:rsidRPr="00062AEB">
        <w:rPr>
          <w:sz w:val="16"/>
          <w:highlight w:val="green"/>
        </w:rPr>
        <w:t xml:space="preserve"> </w:t>
      </w:r>
      <w:r w:rsidRPr="00062AEB">
        <w:rPr>
          <w:rStyle w:val="StyleUnderline"/>
          <w:highlight w:val="green"/>
        </w:rPr>
        <w:t>the decision to find a different method</w:t>
      </w:r>
      <w:r w:rsidRPr="00062AEB">
        <w:rPr>
          <w:rStyle w:val="StyleUnderline"/>
        </w:rPr>
        <w:t xml:space="preserve">ology </w:t>
      </w:r>
      <w:r w:rsidRPr="00062AEB">
        <w:rPr>
          <w:rStyle w:val="StyleUnderline"/>
          <w:highlight w:val="green"/>
        </w:rPr>
        <w:t>was immediate</w:t>
      </w:r>
      <w:r w:rsidRPr="00062AEB">
        <w:rPr>
          <w:sz w:val="16"/>
        </w:rPr>
        <w:t xml:space="preserve">. We were in complete agreement that we could not know- ingly cite an avowed Nazi, but that did not mean that Lori did not feel disappointed and angry that so much of her contribution was erased. After all, another group of Black women had cited him, so what was the issue? Of course, this was a rhetorical and perhaps emotional question at best, because </w:t>
      </w:r>
      <w:r w:rsidRPr="00062AEB">
        <w:rPr>
          <w:rStyle w:val="StyleUnderline"/>
          <w:highlight w:val="green"/>
        </w:rPr>
        <w:t>despite how many pages she had written, she knew</w:t>
      </w:r>
      <w:r w:rsidRPr="00062AEB">
        <w:rPr>
          <w:sz w:val="16"/>
        </w:rPr>
        <w:t>, without hesitation, t</w:t>
      </w:r>
      <w:r w:rsidRPr="00062AEB">
        <w:rPr>
          <w:rStyle w:val="StyleUnderline"/>
        </w:rPr>
        <w:t xml:space="preserve">hat </w:t>
      </w:r>
      <w:r w:rsidRPr="00062AEB">
        <w:rPr>
          <w:rStyle w:val="StyleUnderline"/>
          <w:highlight w:val="green"/>
        </w:rPr>
        <w:t>the integrity of</w:t>
      </w:r>
      <w:r w:rsidRPr="00062AEB">
        <w:rPr>
          <w:rStyle w:val="StyleUnderline"/>
        </w:rPr>
        <w:t xml:space="preserve"> </w:t>
      </w:r>
      <w:r w:rsidRPr="00062AEB">
        <w:rPr>
          <w:sz w:val="16"/>
        </w:rPr>
        <w:t>what we had committed to—</w:t>
      </w:r>
      <w:r w:rsidRPr="00062AEB">
        <w:rPr>
          <w:rStyle w:val="Emphasis"/>
          <w:highlight w:val="green"/>
        </w:rPr>
        <w:t>deliberately choosing who and what we wanted to cite</w:t>
      </w:r>
      <w:r w:rsidRPr="00062AEB">
        <w:rPr>
          <w:sz w:val="16"/>
          <w:highlight w:val="green"/>
        </w:rPr>
        <w:t>—</w:t>
      </w:r>
      <w:r w:rsidRPr="00062AEB">
        <w:rPr>
          <w:rStyle w:val="Emphasis"/>
          <w:highlight w:val="green"/>
        </w:rPr>
        <w:t>was far more important</w:t>
      </w:r>
      <w:r w:rsidRPr="00062AEB">
        <w:rPr>
          <w:rStyle w:val="Emphasis"/>
        </w:rPr>
        <w:t xml:space="preserve"> than having a problematic citation removed</w:t>
      </w:r>
      <w:r w:rsidRPr="00062AEB">
        <w:rPr>
          <w:sz w:val="16"/>
        </w:rPr>
        <w:t>.</w:t>
      </w:r>
    </w:p>
    <w:p w14:paraId="0A2D782E" w14:textId="77777777" w:rsidR="00AC7390" w:rsidRPr="00062AEB" w:rsidRDefault="00AC7390" w:rsidP="00AC7390">
      <w:pPr>
        <w:rPr>
          <w:sz w:val="16"/>
        </w:rPr>
      </w:pPr>
      <w:r w:rsidRPr="00062AEB">
        <w:rPr>
          <w:sz w:val="16"/>
        </w:rPr>
        <w:t xml:space="preserve">Ultimately, </w:t>
      </w:r>
      <w:r w:rsidRPr="00062AEB">
        <w:rPr>
          <w:rStyle w:val="StyleUnderline"/>
          <w:highlight w:val="green"/>
        </w:rPr>
        <w:t>the section was cut</w:t>
      </w:r>
      <w:r w:rsidRPr="00062AEB">
        <w:rPr>
          <w:rStyle w:val="StyleUnderline"/>
        </w:rPr>
        <w:t xml:space="preserve">, and we developed a new methodology. </w:t>
      </w:r>
      <w:r w:rsidRPr="00062AEB">
        <w:rPr>
          <w:rStyle w:val="StyleUnderline"/>
          <w:highlight w:val="green"/>
        </w:rPr>
        <w:t>This</w:t>
      </w:r>
      <w:r w:rsidRPr="00062AEB">
        <w:rPr>
          <w:rStyle w:val="StyleUnderline"/>
        </w:rPr>
        <w:t xml:space="preserve"> experience </w:t>
      </w:r>
      <w:r w:rsidRPr="003230A2">
        <w:rPr>
          <w:rStyle w:val="StyleUnderline"/>
          <w:highlight w:val="green"/>
        </w:rPr>
        <w:t xml:space="preserve">resulted in </w:t>
      </w:r>
      <w:r w:rsidRPr="003230A2">
        <w:rPr>
          <w:rStyle w:val="Emphasis"/>
          <w:highlight w:val="green"/>
        </w:rPr>
        <w:t xml:space="preserve">extra </w:t>
      </w:r>
      <w:r w:rsidRPr="00062AEB">
        <w:rPr>
          <w:rStyle w:val="Emphasis"/>
          <w:highlight w:val="green"/>
        </w:rPr>
        <w:t>diligence</w:t>
      </w:r>
      <w:r w:rsidRPr="00062AEB">
        <w:rPr>
          <w:sz w:val="16"/>
          <w:highlight w:val="green"/>
        </w:rPr>
        <w:t xml:space="preserve"> </w:t>
      </w:r>
      <w:r w:rsidRPr="00062AEB">
        <w:rPr>
          <w:rStyle w:val="StyleUnderline"/>
          <w:highlight w:val="green"/>
        </w:rPr>
        <w:t>when checking</w:t>
      </w:r>
      <w:r w:rsidRPr="00062AEB">
        <w:rPr>
          <w:sz w:val="16"/>
        </w:rPr>
        <w:t xml:space="preserve"> the basic </w:t>
      </w:r>
      <w:r w:rsidRPr="00062AEB">
        <w:rPr>
          <w:rStyle w:val="StyleUnderline"/>
        </w:rPr>
        <w:t xml:space="preserve">back- grounds available on each of </w:t>
      </w:r>
      <w:r w:rsidRPr="00062AEB">
        <w:rPr>
          <w:rStyle w:val="StyleUnderline"/>
          <w:highlight w:val="green"/>
        </w:rPr>
        <w:t>our sources</w:t>
      </w:r>
      <w:r w:rsidRPr="00062AEB">
        <w:rPr>
          <w:rStyle w:val="StyleUnderline"/>
        </w:rPr>
        <w:t xml:space="preserve"> i</w:t>
      </w:r>
      <w:r w:rsidRPr="00062AEB">
        <w:rPr>
          <w:sz w:val="16"/>
        </w:rPr>
        <w:t>n addition to researching their presumed gender and racial identities (our first problem of practice). As Shirley Rose states, “It is not enough to demonstrate familiarity with rele- vant related work. . . . One must also know when . . . not to acknowledge another’s work” (1993, 30–31). Through this experience, we discovered one of our lines in the sand, when not to “acknowledge another’s work”: we always draw the line at Nazis.</w:t>
      </w:r>
    </w:p>
    <w:p w14:paraId="0D68447F" w14:textId="77777777" w:rsidR="00AC7390" w:rsidRPr="00062AEB" w:rsidRDefault="00AC7390" w:rsidP="00AC7390">
      <w:pPr>
        <w:rPr>
          <w:sz w:val="16"/>
        </w:rPr>
      </w:pPr>
      <w:r w:rsidRPr="00062AEB">
        <w:rPr>
          <w:sz w:val="16"/>
        </w:rPr>
        <w:t xml:space="preserve">Drawing a line is not a problem of practice; you have to draw a line. The questions are: Where do you draw a line, and do you have the information you need to draw the line? Nazis, of course, are not the only ones on the other side of our line. As the story above demonstrates, we not only unknow- ingly cited a Nazi, but we also only discovered accidentally that the author was a Nazi. Moving forward, we wanted to hold ourselves more account- able to our feminist citational ideals. We decided we needed an intentional practice to obtain a fuller understanding of the authors we were consider- ing including in our work. </w:t>
      </w:r>
      <w:r w:rsidRPr="00062AEB">
        <w:rPr>
          <w:rStyle w:val="StyleUnderline"/>
        </w:rPr>
        <w:t xml:space="preserve">Rae began to conduct internet searches of each author’s name followed by the word “controversy.” </w:t>
      </w:r>
      <w:r w:rsidRPr="00062AEB">
        <w:rPr>
          <w:sz w:val="16"/>
        </w:rPr>
        <w:t>This practice did not identify any information that led to us excluding additional authors.</w:t>
      </w:r>
    </w:p>
    <w:p w14:paraId="7418700F" w14:textId="77777777" w:rsidR="00AC7390" w:rsidRPr="00062AEB" w:rsidRDefault="00AC7390" w:rsidP="00AC7390">
      <w:pPr>
        <w:rPr>
          <w:sz w:val="16"/>
        </w:rPr>
      </w:pPr>
      <w:r w:rsidRPr="00062AEB">
        <w:rPr>
          <w:sz w:val="16"/>
        </w:rPr>
        <w:t>As with our practice of checking the racial and gender identities of authors we cite, we acknowledge the limitations of this practice. Check- ing online sources means relying on another form of citation. Particularly given the silencing of the survivors of all forms of abuse and oppression, we acknowledge that documentation on the internet reveals far fewer problem- atic authors than there are problematic authors to be revealed. We wonder: How do other scholars draw lines about who to cite and who not to cite? How do others balance their more inclusive citational practices, which might include public identification of author identities (such as disability and gender identity) with the potential for harm to authors with margin- alized identities? How do we (individually and collectively) decide what would prevent an author from being included in our work, and how does that potentially interact with what Patton and Ward (2016) have identified as our culture of disposability?</w:t>
      </w:r>
    </w:p>
    <w:p w14:paraId="688FEAEE" w14:textId="77777777" w:rsidR="00AC7390" w:rsidRPr="00062AEB" w:rsidRDefault="00AC7390" w:rsidP="00AC7390">
      <w:pPr>
        <w:rPr>
          <w:sz w:val="16"/>
        </w:rPr>
      </w:pPr>
      <w:r w:rsidRPr="00062AEB">
        <w:rPr>
          <w:sz w:val="16"/>
        </w:rPr>
        <w:t>Implications</w:t>
      </w:r>
    </w:p>
    <w:p w14:paraId="7434937C" w14:textId="77777777" w:rsidR="00AC7390" w:rsidRPr="00062AEB" w:rsidRDefault="00AC7390" w:rsidP="00AC7390">
      <w:pPr>
        <w:rPr>
          <w:sz w:val="16"/>
        </w:rPr>
      </w:pPr>
      <w:r w:rsidRPr="00062AEB">
        <w:rPr>
          <w:sz w:val="16"/>
        </w:rPr>
        <w:t xml:space="preserve">Our </w:t>
      </w:r>
      <w:r w:rsidRPr="00062AEB">
        <w:rPr>
          <w:rStyle w:val="StyleUnderline"/>
        </w:rPr>
        <w:t xml:space="preserve">feminist citational praxis grew out of </w:t>
      </w:r>
      <w:r w:rsidRPr="00062AEB">
        <w:rPr>
          <w:sz w:val="16"/>
        </w:rPr>
        <w:t>three</w:t>
      </w:r>
      <w:r w:rsidRPr="00062AEB">
        <w:rPr>
          <w:rStyle w:val="StyleUnderline"/>
        </w:rPr>
        <w:t xml:space="preserve"> intentional decisions</w:t>
      </w:r>
      <w:r w:rsidRPr="00062AEB">
        <w:rPr>
          <w:sz w:val="16"/>
        </w:rPr>
        <w:t xml:space="preserve">: to attribute individual contributions to individual authors within our collab- orative group; to intentionally read and cite Authors of Color; and to cite ourselves in reverse alphabetical order to privilege the Black authors in our collaborative group. For us, </w:t>
      </w:r>
      <w:r w:rsidRPr="00062AEB">
        <w:rPr>
          <w:rStyle w:val="StyleUnderline"/>
        </w:rPr>
        <w:t>these practices were liberatory because they opened up an expansive space to use our imagination</w:t>
      </w:r>
      <w:r w:rsidRPr="00062AEB">
        <w:rPr>
          <w:sz w:val="16"/>
        </w:rPr>
        <w:t xml:space="preserve"> (Burgess, Cormack, and Reid 2021, 60). We also discovered three problems of practice. First, by relying on CisHeteroPatriarchal paradigms, our citational practices rein- forced problematic identity ascribing and inadvertently excluded trans and nonbinary authors. Second, our occasional citation of White men contin- ued to reproduce the dominant narrative of CisHeteroPatriarchal knowledge production (Duriesmith 2018; Mott and Cockayne 2017). Third, we learned our own citation boundaries and responded by endeavoring for intentionality over accidentality in knowing as much about our sources as is readily available.</w:t>
      </w:r>
    </w:p>
    <w:p w14:paraId="200AF2E3" w14:textId="77777777" w:rsidR="00AC7390" w:rsidRPr="00062AEB" w:rsidRDefault="00AC7390" w:rsidP="00AC7390">
      <w:pPr>
        <w:rPr>
          <w:sz w:val="16"/>
        </w:rPr>
      </w:pPr>
      <w:r w:rsidRPr="00062AEB">
        <w:rPr>
          <w:sz w:val="16"/>
        </w:rPr>
        <w:t>Feminist citational practices acknowledge the historical marginalization and silencing of Authors of Color, authors with marginalized genders and gender identities, and disabled authors/authors with disabilities in academia via the intentional crediting of their scholarship. As we consider the limits to who, how, and why we cite, we must also deeply evaluate our own rela- tionship with the academy. Our group’s practices of being intentional about who we read, who we cite, and whose voices we amplify form our feminist citational praxis. We recognize that our feminist citational praxis centers voices and ideas that have previously been overlooked or silenced, while at the same time, it remains inclusive of only those ideas deemed “accept- able” by processes such as peer review and individual gatekeepers such as dissertation chairs.</w:t>
      </w:r>
    </w:p>
    <w:p w14:paraId="5F14A53C" w14:textId="77777777" w:rsidR="00AC7390" w:rsidRPr="00062AEB" w:rsidRDefault="00AC7390" w:rsidP="00AC7390">
      <w:pPr>
        <w:rPr>
          <w:sz w:val="16"/>
        </w:rPr>
      </w:pPr>
      <w:r w:rsidRPr="00062AEB">
        <w:rPr>
          <w:sz w:val="16"/>
        </w:rPr>
        <w:t>To practice feminist citation is to be what Sara Ahmed (2010) describes as a feminist killjoy. Several years later, Ahmed also wrote, “We become a problem when we describe a problem” (2017, 39). Through feminist cita- tional praxis, we are called to, and are able to, describe and disrupt the problematic CisHeteroPatriarchal processes and outcomes of citation in academia (Ahmed 2019; Craven 2021, Duriesmith 2018; Mott and Cockayne 2017). Engaging in feminist citation practice is a divergence from academic norms and therefore can be criticized as disruptive to the academic community (Rose 1993). However, as Ahmed explains, in order to craft new knowledge, “we might have to cite differently: citation as how we can refuse to be erased” (2019, 212). Citational feminist practice allows us to center ourselves as valuable scholars and our knowledge as scholar- ship; to acknowledge a different risk, as risk of being a killjoy replaces risk of being erased; to write what needs writing; and to continue the line of scholarship in which we are situated.</w:t>
      </w:r>
    </w:p>
    <w:p w14:paraId="3613E689" w14:textId="77777777" w:rsidR="00AC7390" w:rsidRPr="00062AEB" w:rsidRDefault="00AC7390" w:rsidP="00AC7390">
      <w:pPr>
        <w:rPr>
          <w:sz w:val="16"/>
        </w:rPr>
      </w:pPr>
      <w:r w:rsidRPr="00062AEB">
        <w:rPr>
          <w:rStyle w:val="StyleUnderline"/>
        </w:rPr>
        <w:t>Being a scholar is always risky</w:t>
      </w:r>
      <w:r w:rsidRPr="00062AEB">
        <w:rPr>
          <w:sz w:val="16"/>
        </w:rPr>
        <w:t xml:space="preserve">. </w:t>
      </w:r>
      <w:r w:rsidRPr="00062AEB">
        <w:rPr>
          <w:rStyle w:val="StyleUnderline"/>
        </w:rPr>
        <w:t>Sharing</w:t>
      </w:r>
      <w:r w:rsidRPr="00062AEB">
        <w:rPr>
          <w:sz w:val="16"/>
        </w:rPr>
        <w:t xml:space="preserve"> scholarship </w:t>
      </w:r>
      <w:r w:rsidRPr="00062AEB">
        <w:rPr>
          <w:rStyle w:val="StyleUnderline"/>
        </w:rPr>
        <w:t>exposes</w:t>
      </w:r>
      <w:r w:rsidRPr="00062AEB">
        <w:rPr>
          <w:sz w:val="16"/>
        </w:rPr>
        <w:t xml:space="preserve"> all </w:t>
      </w:r>
      <w:r w:rsidRPr="00062AEB">
        <w:rPr>
          <w:rStyle w:val="StyleUnderline"/>
        </w:rPr>
        <w:t>authors to judgment, to challenge, to argument, to being wron</w:t>
      </w:r>
      <w:r w:rsidRPr="00062AEB">
        <w:rPr>
          <w:sz w:val="16"/>
        </w:rPr>
        <w:t>g. To share scholar- ship is to embrace the tension between producing the most complete and accurate work one can today, while knowing that eventually, even the most solid scholarship will become an artifact of a more incomplete time as the discipline and even the author themself evolves. Marginalized authors expe- rience the same risks all authors experience, with the additional risk of being disciplined by the CisHeteroPatriarchal paradigms through exclusion and erasure. The six of us choose to risk being labeled killjoys because we know that even without being killjoys, we will still be erased. We are afraid, but we do it anyway (Lorde 1997).</w:t>
      </w:r>
    </w:p>
    <w:p w14:paraId="347FD349" w14:textId="77777777" w:rsidR="00AC7390" w:rsidRPr="00062AEB" w:rsidRDefault="00AC7390" w:rsidP="00AC7390">
      <w:pPr>
        <w:rPr>
          <w:sz w:val="16"/>
        </w:rPr>
      </w:pPr>
      <w:r w:rsidRPr="00062AEB">
        <w:rPr>
          <w:sz w:val="16"/>
        </w:rPr>
        <w:t>We entered into our feminist praxis intentionally centering the voices and texts of Black feminists and Black feminisms. Our intentionality rested on our embrace of the Combahee River Collective’s statement: “If Black women were free, it would mean that everyone else would have to be free since our freedom would necessitate the destruction of all the systems of oppression” (quoted in Taylor 2017, 22–23). Unfortunately, we failed to fully embody these words. hooks’s definition of feminism—“a movement to end sexism, sexist exploitation, and oppression” (hooks 2015, 1)—was a statement we came back to repeatedly, and always to include all women of all racial identities. However, we did not use this same logic to recognize that no demographic group exists separate from disability. In doing so, we failed to engage the lens of critical disability studies (DisCrit). The limita- tions of our own conceptual lenses at the time artificially severed disability from racism and sexism.</w:t>
      </w:r>
    </w:p>
    <w:p w14:paraId="26D9763B" w14:textId="77777777" w:rsidR="00AC7390" w:rsidRPr="00062AEB" w:rsidRDefault="00AC7390" w:rsidP="00AC7390">
      <w:pPr>
        <w:rPr>
          <w:sz w:val="16"/>
        </w:rPr>
      </w:pPr>
      <w:r w:rsidRPr="00062AEB">
        <w:rPr>
          <w:sz w:val="16"/>
        </w:rPr>
        <w:t>We have learned many things since writing our dissertation, which has led to new awareness regarding our feminist citational praxis. We failed to recognize and acknowledge the varied disabilities in our own group. Read- ing DisCrit revealed how we were focused both on upholding ableism and on othering our own disabilities. We continue to excavate our own multiple identities and how these intersect with disability and our scholarly iden- tities. We are also becoming aware of the difficulty of citation-counting in relation to disability because, as with the problems of practice we described above, this relies on making inferences. In the case of disability, such infer- ences are based on physical characteristics or rely on an author to disclose their disability publicly in an easily available or accessible format. Reflect- ing on our feminist citational praxis and emergent problems of practice has reinforced for us that feminist citational practice is “the map of a process, not the map of a territory” (Kim 2020, 8).</w:t>
      </w:r>
    </w:p>
    <w:p w14:paraId="7F997FAF" w14:textId="77777777" w:rsidR="00AC7390" w:rsidRPr="00062AEB" w:rsidRDefault="00AC7390" w:rsidP="00AC7390">
      <w:pPr>
        <w:rPr>
          <w:sz w:val="16"/>
        </w:rPr>
      </w:pPr>
      <w:r w:rsidRPr="00062AEB">
        <w:rPr>
          <w:sz w:val="16"/>
        </w:rPr>
        <w:t xml:space="preserve">In addition, we are painfully aware that feminist citational rituals are a product of the system in which we currently live. We recognize in ourselves our own yearning for credibility, to be seen as legitimate creators of knowl- edge (Tierney 2020). Feminist citational ritual may be a better approach to citation than CisHeteroPatriarchal citational rituals, and yet we are reminded of Mariame Kaba’s words: to live with “one foot in creative destruction and the other foot in the possibility of making new things” (Kaba 2021). </w:t>
      </w:r>
      <w:r w:rsidRPr="00062AEB">
        <w:rPr>
          <w:rStyle w:val="StyleUnderline"/>
          <w:highlight w:val="green"/>
        </w:rPr>
        <w:t>It is our intent to</w:t>
      </w:r>
      <w:r w:rsidRPr="00062AEB">
        <w:rPr>
          <w:rStyle w:val="StyleUnderline"/>
        </w:rPr>
        <w:t xml:space="preserve"> forward our processes and contributions to help </w:t>
      </w:r>
      <w:r w:rsidRPr="00062AEB">
        <w:rPr>
          <w:rStyle w:val="StyleUnderline"/>
          <w:highlight w:val="green"/>
        </w:rPr>
        <w:t>make new</w:t>
      </w:r>
      <w:r w:rsidRPr="00062AEB">
        <w:rPr>
          <w:rStyle w:val="StyleUnderline"/>
        </w:rPr>
        <w:t xml:space="preserve"> things</w:t>
      </w:r>
      <w:r w:rsidRPr="00062AEB">
        <w:rPr>
          <w:sz w:val="16"/>
        </w:rPr>
        <w:t xml:space="preserve">: </w:t>
      </w:r>
      <w:r w:rsidRPr="00062AEB">
        <w:rPr>
          <w:rStyle w:val="Emphasis"/>
          <w:highlight w:val="green"/>
        </w:rPr>
        <w:t>feminist citational rituals</w:t>
      </w:r>
      <w:r w:rsidRPr="00062AEB">
        <w:rPr>
          <w:sz w:val="16"/>
        </w:rPr>
        <w:t>. At the same time, the world as it currently exists (we are thinking particularly of the commodification of imagination within capitalism) frames and restricts our imagination of feminist citational rituals</w:t>
      </w:r>
    </w:p>
    <w:p w14:paraId="3EC45D00" w14:textId="77777777" w:rsidR="00AC7390" w:rsidRPr="00062AEB" w:rsidRDefault="00AC7390" w:rsidP="00AC7390">
      <w:pPr>
        <w:rPr>
          <w:sz w:val="16"/>
        </w:rPr>
      </w:pPr>
      <w:r w:rsidRPr="00062AEB">
        <w:rPr>
          <w:sz w:val="16"/>
        </w:rPr>
        <w:t xml:space="preserve">We intend to contribute to “building another world entirely organized around Black women’s brilliance, one that undoes violence and embraces an ethic of redress” (Nash 2020, 81). </w:t>
      </w:r>
      <w:r w:rsidRPr="00062AEB">
        <w:rPr>
          <w:rStyle w:val="StyleUnderline"/>
        </w:rPr>
        <w:t>Our intentionality to cite</w:t>
      </w:r>
      <w:r w:rsidRPr="00062AEB">
        <w:rPr>
          <w:sz w:val="16"/>
        </w:rPr>
        <w:t xml:space="preserve"> </w:t>
      </w:r>
      <w:r w:rsidRPr="00062AEB">
        <w:rPr>
          <w:rStyle w:val="StyleUnderline"/>
        </w:rPr>
        <w:t>women</w:t>
      </w:r>
      <w:r w:rsidRPr="00062AEB">
        <w:rPr>
          <w:sz w:val="16"/>
        </w:rPr>
        <w:t xml:space="preserve"> in our dissertation, prioritizing Authors </w:t>
      </w:r>
      <w:r w:rsidRPr="00062AEB">
        <w:rPr>
          <w:rStyle w:val="StyleUnderline"/>
        </w:rPr>
        <w:t>of Color, was born out of</w:t>
      </w:r>
      <w:r w:rsidRPr="00062AEB">
        <w:rPr>
          <w:sz w:val="16"/>
        </w:rPr>
        <w:t xml:space="preserve"> Brandelyn’s decision to center </w:t>
      </w:r>
      <w:r w:rsidRPr="00062AEB">
        <w:rPr>
          <w:rStyle w:val="StyleUnderline"/>
        </w:rPr>
        <w:t>Black feminisms</w:t>
      </w:r>
      <w:r w:rsidRPr="00062AEB">
        <w:rPr>
          <w:sz w:val="16"/>
        </w:rPr>
        <w:t xml:space="preserve"> in the course from which our disserta- tion emerged. Centering Black feminisms and feminists provided us with our definition of feminism (hooks 2015), gave us the language and catalyzed a contradiction in which we could grapple with ourselves, and allowed us a better perspective of the roots of gender oppression. </w:t>
      </w:r>
      <w:r w:rsidRPr="00062AEB">
        <w:rPr>
          <w:rStyle w:val="StyleUnderline"/>
          <w:highlight w:val="green"/>
        </w:rPr>
        <w:t>Scholars</w:t>
      </w:r>
      <w:r w:rsidRPr="00062AEB">
        <w:rPr>
          <w:rStyle w:val="StyleUnderline"/>
        </w:rPr>
        <w:t xml:space="preserve"> committed to feminist citational practice </w:t>
      </w:r>
      <w:r w:rsidRPr="00062AEB">
        <w:rPr>
          <w:rStyle w:val="StyleUnderline"/>
          <w:highlight w:val="green"/>
        </w:rPr>
        <w:t xml:space="preserve">must </w:t>
      </w:r>
      <w:r w:rsidRPr="00062AEB">
        <w:rPr>
          <w:rStyle w:val="Emphasis"/>
          <w:highlight w:val="green"/>
        </w:rPr>
        <w:t>intentionally engage with Black feminisms</w:t>
      </w:r>
      <w:r w:rsidRPr="00062AEB">
        <w:rPr>
          <w:sz w:val="16"/>
        </w:rPr>
        <w:t xml:space="preserve"> and feminists </w:t>
      </w:r>
      <w:r w:rsidRPr="00062AEB">
        <w:rPr>
          <w:rStyle w:val="Emphasis"/>
          <w:highlight w:val="green"/>
        </w:rPr>
        <w:t>throughout their work, not as an afterthought</w:t>
      </w:r>
      <w:r w:rsidRPr="00062AEB">
        <w:rPr>
          <w:rStyle w:val="Emphasis"/>
        </w:rPr>
        <w:t xml:space="preserve"> or a token</w:t>
      </w:r>
      <w:r w:rsidRPr="00062AEB">
        <w:rPr>
          <w:sz w:val="16"/>
        </w:rPr>
        <w:t xml:space="preserve"> addition of Black women’s scholarship to their reference list (Nash 2020). As Jennifer Nash (2020) tells us, Black feminisms are a rich canon of schol- arship; authors who include Black feminisms should develop a citational practice that honors the richness of their legacy and engages meaningfully with the depth and breadth of the scholarship rather than securing a cita- tional diversity quota.</w:t>
      </w:r>
    </w:p>
    <w:p w14:paraId="2AF547E1" w14:textId="77777777" w:rsidR="00AC7390" w:rsidRDefault="00AC7390" w:rsidP="00AC7390">
      <w:pPr>
        <w:pStyle w:val="Heading3"/>
      </w:pPr>
      <w:r>
        <w:t>A2: Perm do Both / Other Instances</w:t>
      </w:r>
    </w:p>
    <w:p w14:paraId="344C2F96" w14:textId="77777777" w:rsidR="00AC7390" w:rsidRPr="001C61B6" w:rsidRDefault="00AC7390" w:rsidP="00AC7390">
      <w:pPr>
        <w:pStyle w:val="Heading4"/>
      </w:pPr>
      <w:r>
        <w:t xml:space="preserve">4) Not-Explicit - Conscientious engagement must be </w:t>
      </w:r>
      <w:r>
        <w:rPr>
          <w:u w:val="single"/>
        </w:rPr>
        <w:t>intentional</w:t>
      </w:r>
      <w:r>
        <w:t xml:space="preserve"> and </w:t>
      </w:r>
      <w:r>
        <w:rPr>
          <w:u w:val="single"/>
        </w:rPr>
        <w:t>named</w:t>
      </w:r>
      <w:r>
        <w:t xml:space="preserve"> </w:t>
      </w:r>
      <w:r>
        <w:rPr>
          <w:i/>
          <w:iCs w:val="0"/>
        </w:rPr>
        <w:t>otherwise</w:t>
      </w:r>
      <w:r>
        <w:t xml:space="preserve"> it reproduces domination.</w:t>
      </w:r>
    </w:p>
    <w:p w14:paraId="69CA6DD9" w14:textId="77777777" w:rsidR="00AC7390" w:rsidRDefault="00AC7390" w:rsidP="00AC7390">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15E50E4D" w14:textId="77777777" w:rsidR="00AC7390" w:rsidRPr="00736B4D" w:rsidRDefault="00AC7390" w:rsidP="00AC7390">
      <w:pPr>
        <w:rPr>
          <w:rStyle w:val="Style13ptBold"/>
          <w:b w:val="0"/>
          <w:bCs w:val="0"/>
          <w:sz w:val="16"/>
          <w:szCs w:val="18"/>
        </w:rPr>
      </w:pPr>
      <w:r w:rsidRPr="00736B4D">
        <w:rPr>
          <w:rStyle w:val="Style13ptBold"/>
          <w:b w:val="0"/>
          <w:bCs w:val="0"/>
          <w:sz w:val="16"/>
          <w:szCs w:val="18"/>
        </w:rPr>
        <w:t xml:space="preserve">My own introduction to feminist anthropology engaged this disciplinary legacy of citation head-on. When I was an undergraduate, I came to my first AAA conference. I made a beeline for a panel honoring the feminist anthropological canons that had emerged in the 1970s, a retrospective on Woman, Culture, and Society (Rosaldo and Lamphere 1974) and Toward an Anthropology of Women (Reiter [Rapp] 1975). I got there early and sat down in the front, eager to get a good view of the icons I’d read in my classes. And while they were amazing, seeing them wasn’t the most important thing I took away from that event. When </w:t>
      </w:r>
      <w:r w:rsidRPr="00580EE9">
        <w:rPr>
          <w:rStyle w:val="StyleUnderline"/>
          <w:highlight w:val="green"/>
        </w:rPr>
        <w:t>Dr</w:t>
      </w:r>
      <w:r w:rsidRPr="00736B4D">
        <w:rPr>
          <w:rStyle w:val="StyleUnderline"/>
        </w:rPr>
        <w:t xml:space="preserve">. A. Lynn </w:t>
      </w:r>
      <w:r w:rsidRPr="00580EE9">
        <w:rPr>
          <w:rStyle w:val="StyleUnderline"/>
          <w:highlight w:val="green"/>
        </w:rPr>
        <w:t>Bolles</w:t>
      </w:r>
      <w:r w:rsidRPr="00736B4D">
        <w:rPr>
          <w:rStyle w:val="StyleUnderline"/>
        </w:rPr>
        <w:t xml:space="preserve"> </w:t>
      </w:r>
      <w:r w:rsidRPr="00736B4D">
        <w:rPr>
          <w:rStyle w:val="Style13ptBold"/>
          <w:b w:val="0"/>
          <w:bCs w:val="0"/>
          <w:sz w:val="16"/>
          <w:szCs w:val="18"/>
        </w:rPr>
        <w:t xml:space="preserve">took the podium—a scholar whose name I wasn’t familiar with from those tomes—she </w:t>
      </w:r>
      <w:r w:rsidRPr="00580EE9">
        <w:rPr>
          <w:rStyle w:val="StyleUnderline"/>
          <w:highlight w:val="green"/>
        </w:rPr>
        <w:t xml:space="preserve">began by explaining that her paper </w:t>
      </w:r>
      <w:r w:rsidRPr="003230A2">
        <w:rPr>
          <w:rStyle w:val="Emphasis"/>
          <w:highlight w:val="green"/>
        </w:rPr>
        <w:t xml:space="preserve">would strategically </w:t>
      </w:r>
      <w:r w:rsidRPr="00580EE9">
        <w:rPr>
          <w:rStyle w:val="Emphasis"/>
          <w:highlight w:val="green"/>
        </w:rPr>
        <w:t xml:space="preserve">cite only Black women </w:t>
      </w:r>
      <w:r w:rsidRPr="00580EE9">
        <w:rPr>
          <w:rStyle w:val="StyleUnderline"/>
          <w:highlight w:val="green"/>
        </w:rPr>
        <w:t>to underscore how their work was</w:t>
      </w:r>
      <w:r w:rsidRPr="00736B4D">
        <w:rPr>
          <w:rStyle w:val="StyleUnderline"/>
        </w:rPr>
        <w:t xml:space="preserve"> so </w:t>
      </w:r>
      <w:r w:rsidRPr="00580EE9">
        <w:rPr>
          <w:rStyle w:val="StyleUnderline"/>
          <w:highlight w:val="green"/>
        </w:rPr>
        <w:t xml:space="preserve">often </w:t>
      </w:r>
      <w:r w:rsidRPr="00046212">
        <w:rPr>
          <w:rStyle w:val="StyleUnderline"/>
        </w:rPr>
        <w:t xml:space="preserve">ignored and </w:t>
      </w:r>
      <w:r w:rsidRPr="00580EE9">
        <w:rPr>
          <w:rStyle w:val="StyleUnderline"/>
          <w:highlight w:val="green"/>
        </w:rPr>
        <w:t>excluded</w:t>
      </w:r>
      <w:r w:rsidRPr="00736B4D">
        <w:rPr>
          <w:rStyle w:val="Style13ptBold"/>
          <w:b w:val="0"/>
          <w:bCs w:val="0"/>
          <w:sz w:val="16"/>
          <w:szCs w:val="18"/>
        </w:rPr>
        <w:t xml:space="preserve"> in anthropological scholarship. In fact, I learned in her talk that neither of these foundational texts for feminist anthropology had included a single piece written by a Black woman. </w:t>
      </w:r>
    </w:p>
    <w:p w14:paraId="0F626C1A" w14:textId="77777777" w:rsidR="00AC7390" w:rsidRPr="00736B4D" w:rsidRDefault="00AC7390" w:rsidP="00AC7390">
      <w:pPr>
        <w:rPr>
          <w:rStyle w:val="Style13ptBold"/>
          <w:b w:val="0"/>
          <w:bCs w:val="0"/>
          <w:sz w:val="16"/>
          <w:szCs w:val="18"/>
        </w:rPr>
      </w:pPr>
      <w:r w:rsidRPr="00580EE9">
        <w:rPr>
          <w:rStyle w:val="StyleUnderline"/>
          <w:highlight w:val="green"/>
        </w:rPr>
        <w:t>That</w:t>
      </w:r>
      <w:r w:rsidRPr="00736B4D">
        <w:rPr>
          <w:rStyle w:val="StyleUnderline"/>
        </w:rPr>
        <w:t xml:space="preserve"> moment </w:t>
      </w:r>
      <w:r w:rsidRPr="00580EE9">
        <w:rPr>
          <w:rStyle w:val="StyleUnderline"/>
          <w:highlight w:val="green"/>
        </w:rPr>
        <w:t>was transformational</w:t>
      </w:r>
      <w:r w:rsidRPr="00736B4D">
        <w:rPr>
          <w:rStyle w:val="Style13ptBold"/>
          <w:b w:val="0"/>
          <w:bCs w:val="0"/>
          <w:sz w:val="16"/>
          <w:szCs w:val="18"/>
        </w:rPr>
        <w:t xml:space="preserve"> for me and deeply influenced both my scholarship and my teaching. When I initially heard her paper, I was particularly inspired that </w:t>
      </w:r>
      <w:r w:rsidRPr="00580EE9">
        <w:rPr>
          <w:rStyle w:val="StyleUnderline"/>
          <w:highlight w:val="green"/>
        </w:rPr>
        <w:t>Bolles’s</w:t>
      </w:r>
      <w:r w:rsidRPr="00736B4D">
        <w:rPr>
          <w:rStyle w:val="StyleUnderline"/>
        </w:rPr>
        <w:t xml:space="preserve"> approach</w:t>
      </w:r>
      <w:r w:rsidRPr="00736B4D">
        <w:rPr>
          <w:rStyle w:val="Style13ptBold"/>
          <w:b w:val="0"/>
          <w:bCs w:val="0"/>
          <w:sz w:val="16"/>
          <w:szCs w:val="18"/>
        </w:rPr>
        <w:t xml:space="preserve"> </w:t>
      </w:r>
      <w:r w:rsidRPr="00580EE9">
        <w:rPr>
          <w:rStyle w:val="Emphasis"/>
          <w:highlight w:val="green"/>
        </w:rPr>
        <w:t>put the onus on each of us</w:t>
      </w:r>
      <w:r w:rsidRPr="00736B4D">
        <w:rPr>
          <w:rStyle w:val="Style13ptBold"/>
          <w:b w:val="0"/>
          <w:bCs w:val="0"/>
          <w:sz w:val="16"/>
          <w:szCs w:val="18"/>
        </w:rPr>
        <w:t>. We—</w:t>
      </w:r>
      <w:r w:rsidRPr="00736B4D">
        <w:rPr>
          <w:rStyle w:val="StyleUnderline"/>
        </w:rPr>
        <w:t>all of us</w:t>
      </w:r>
      <w:r w:rsidRPr="00736B4D">
        <w:rPr>
          <w:rStyle w:val="Style13ptBold"/>
          <w:b w:val="0"/>
          <w:bCs w:val="0"/>
          <w:sz w:val="16"/>
          <w:szCs w:val="18"/>
        </w:rPr>
        <w:t>—</w:t>
      </w:r>
      <w:r w:rsidRPr="00736B4D">
        <w:rPr>
          <w:rStyle w:val="StyleUnderline"/>
        </w:rPr>
        <w:t xml:space="preserve">have </w:t>
      </w:r>
      <w:r w:rsidRPr="00580EE9">
        <w:rPr>
          <w:rStyle w:val="StyleUnderline"/>
          <w:highlight w:val="green"/>
        </w:rPr>
        <w:t xml:space="preserve">an obligation to </w:t>
      </w:r>
      <w:r w:rsidRPr="003230A2">
        <w:rPr>
          <w:rStyle w:val="Emphasis"/>
          <w:highlight w:val="green"/>
        </w:rPr>
        <w:t>seek out</w:t>
      </w:r>
      <w:r w:rsidRPr="003230A2">
        <w:rPr>
          <w:rStyle w:val="Style13ptBold"/>
          <w:b w:val="0"/>
          <w:bCs w:val="0"/>
          <w:sz w:val="16"/>
          <w:szCs w:val="18"/>
          <w:highlight w:val="green"/>
        </w:rPr>
        <w:t xml:space="preserve"> </w:t>
      </w:r>
      <w:r w:rsidRPr="003230A2">
        <w:rPr>
          <w:rStyle w:val="StyleUnderline"/>
          <w:highlight w:val="green"/>
        </w:rPr>
        <w:t xml:space="preserve">and </w:t>
      </w:r>
      <w:r w:rsidRPr="00580EE9">
        <w:rPr>
          <w:rStyle w:val="StyleUnderline"/>
          <w:highlight w:val="green"/>
        </w:rPr>
        <w:t xml:space="preserve">bolster </w:t>
      </w:r>
      <w:r w:rsidRPr="00580EE9">
        <w:rPr>
          <w:rStyle w:val="Emphasis"/>
          <w:highlight w:val="green"/>
        </w:rPr>
        <w:t>innovative research</w:t>
      </w:r>
      <w:r w:rsidRPr="00580EE9">
        <w:rPr>
          <w:rStyle w:val="Style13ptBold"/>
          <w:b w:val="0"/>
          <w:bCs w:val="0"/>
          <w:sz w:val="16"/>
          <w:szCs w:val="18"/>
          <w:highlight w:val="green"/>
        </w:rPr>
        <w:t xml:space="preserve"> </w:t>
      </w:r>
      <w:r w:rsidRPr="00580EE9">
        <w:rPr>
          <w:rStyle w:val="StyleUnderline"/>
          <w:highlight w:val="green"/>
        </w:rPr>
        <w:t>by scholars whose work is</w:t>
      </w:r>
      <w:r w:rsidRPr="00736B4D">
        <w:rPr>
          <w:rStyle w:val="StyleUnderline"/>
        </w:rPr>
        <w:t xml:space="preserve"> too </w:t>
      </w:r>
      <w:r w:rsidRPr="00736B4D">
        <w:rPr>
          <w:rStyle w:val="Emphasis"/>
        </w:rPr>
        <w:t xml:space="preserve">often </w:t>
      </w:r>
      <w:r w:rsidRPr="00580EE9">
        <w:rPr>
          <w:rStyle w:val="Emphasis"/>
          <w:highlight w:val="green"/>
        </w:rPr>
        <w:t xml:space="preserve">sidelined. This cannot be </w:t>
      </w:r>
      <w:r w:rsidRPr="003230A2">
        <w:rPr>
          <w:rStyle w:val="Emphasis"/>
          <w:highlight w:val="green"/>
        </w:rPr>
        <w:t>an afterthought</w:t>
      </w:r>
      <w:r w:rsidRPr="00580EE9">
        <w:rPr>
          <w:rStyle w:val="Emphasis"/>
          <w:highlight w:val="green"/>
        </w:rPr>
        <w:t>. It must be intentionally foregrounded and approached as a radical, transformative, and reparative endeavor that acknowledges</w:t>
      </w:r>
      <w:r w:rsidRPr="00736B4D">
        <w:rPr>
          <w:rStyle w:val="Emphasis"/>
        </w:rPr>
        <w:t xml:space="preserve"> not only these </w:t>
      </w:r>
      <w:r w:rsidRPr="00580EE9">
        <w:rPr>
          <w:rStyle w:val="Emphasis"/>
          <w:highlight w:val="green"/>
        </w:rPr>
        <w:t>histories of exclusion</w:t>
      </w:r>
      <w:r w:rsidRPr="00736B4D">
        <w:rPr>
          <w:rStyle w:val="Emphasis"/>
        </w:rPr>
        <w:t xml:space="preserve"> but also how continuing to mark majoritywhite contributions </w:t>
      </w:r>
      <w:r w:rsidRPr="00580EE9">
        <w:rPr>
          <w:rStyle w:val="Emphasis"/>
          <w:highlight w:val="green"/>
        </w:rPr>
        <w:t>as the single starting point</w:t>
      </w:r>
      <w:r w:rsidRPr="00736B4D">
        <w:rPr>
          <w:rStyle w:val="Emphasis"/>
        </w:rPr>
        <w:t xml:space="preserve"> of feminist anthropology narrows what is recognized as essential contributions to the field</w:t>
      </w:r>
      <w:r w:rsidRPr="00736B4D">
        <w:rPr>
          <w:rStyle w:val="Style13ptBold"/>
          <w:b w:val="0"/>
          <w:bCs w:val="0"/>
          <w:sz w:val="16"/>
          <w:szCs w:val="18"/>
        </w:rPr>
        <w:t>. The significance of this exclusion is not merely historical. As Bolles emphasizes (2013), the continued recitation and replication of a white canon has ripple effects on which present-day scholarship is deemed central to the field.</w:t>
      </w:r>
    </w:p>
    <w:p w14:paraId="4DD9E9E7" w14:textId="77777777" w:rsidR="00AC7390" w:rsidRPr="00736B4D" w:rsidRDefault="00AC7390" w:rsidP="00AC7390">
      <w:pPr>
        <w:rPr>
          <w:rStyle w:val="Style13ptBold"/>
          <w:b w:val="0"/>
          <w:bCs w:val="0"/>
          <w:sz w:val="16"/>
          <w:szCs w:val="18"/>
        </w:rPr>
      </w:pPr>
      <w:r w:rsidRPr="00736B4D">
        <w:rPr>
          <w:rStyle w:val="Style13ptBold"/>
          <w:b w:val="0"/>
          <w:bCs w:val="0"/>
          <w:sz w:val="16"/>
          <w:szCs w:val="18"/>
        </w:rPr>
        <w:t>To take a broader disciplinary example, consider the scathing series of tweets by Current Anthropology editor Laurence Ralph (2019) that exposed the widespread exclusion of Black anthropologists from the over 40,000 anthropology syllabi included on the Open Syllabus Project. Less than 1 percent of the top 1,000 assigned texts were by Black authors. Of those nine texts, only two were by Black women, six were by nonanthropologists, and not a single one of the 1,000 texts was a contemporary ethnography by a Black anthropologist. 6</w:t>
      </w:r>
    </w:p>
    <w:p w14:paraId="3BEF0F32" w14:textId="77777777" w:rsidR="00AC7390" w:rsidRPr="00736B4D" w:rsidRDefault="00AC7390" w:rsidP="00AC7390">
      <w:pPr>
        <w:rPr>
          <w:rStyle w:val="Style13ptBold"/>
          <w:b w:val="0"/>
          <w:bCs w:val="0"/>
          <w:sz w:val="16"/>
          <w:szCs w:val="18"/>
        </w:rPr>
      </w:pPr>
      <w:r w:rsidRPr="00736B4D">
        <w:rPr>
          <w:rStyle w:val="Style13ptBold"/>
          <w:b w:val="0"/>
          <w:bCs w:val="0"/>
          <w:sz w:val="16"/>
          <w:szCs w:val="18"/>
        </w:rPr>
        <w:t xml:space="preserve">In a discipline with such deep ties to colonial and racist legacies, </w:t>
      </w:r>
      <w:r w:rsidRPr="00580EE9">
        <w:rPr>
          <w:rStyle w:val="StyleUnderline"/>
          <w:highlight w:val="green"/>
        </w:rPr>
        <w:t>not assigning Black</w:t>
      </w:r>
      <w:r w:rsidRPr="00736B4D">
        <w:rPr>
          <w:rStyle w:val="Style13ptBold"/>
          <w:b w:val="0"/>
          <w:bCs w:val="0"/>
          <w:sz w:val="16"/>
          <w:szCs w:val="18"/>
        </w:rPr>
        <w:t xml:space="preserve"> anthropologists’ </w:t>
      </w:r>
      <w:r w:rsidRPr="00580EE9">
        <w:rPr>
          <w:rStyle w:val="StyleUnderline"/>
          <w:highlight w:val="green"/>
        </w:rPr>
        <w:t>work</w:t>
      </w:r>
      <w:r w:rsidRPr="00736B4D">
        <w:rPr>
          <w:rStyle w:val="Style13ptBold"/>
          <w:b w:val="0"/>
          <w:bCs w:val="0"/>
          <w:sz w:val="16"/>
          <w:szCs w:val="18"/>
        </w:rPr>
        <w:t xml:space="preserve"> in our classes </w:t>
      </w:r>
      <w:r w:rsidRPr="00736B4D">
        <w:rPr>
          <w:rStyle w:val="StyleUnderline"/>
        </w:rPr>
        <w:t xml:space="preserve">not only </w:t>
      </w:r>
      <w:r w:rsidRPr="00580EE9">
        <w:rPr>
          <w:rStyle w:val="StyleUnderline"/>
          <w:highlight w:val="green"/>
        </w:rPr>
        <w:t>withholds that work from</w:t>
      </w:r>
      <w:r w:rsidRPr="00046212">
        <w:rPr>
          <w:rStyle w:val="StyleUnderline"/>
        </w:rPr>
        <w:t xml:space="preserve"> our </w:t>
      </w:r>
      <w:r w:rsidRPr="00580EE9">
        <w:rPr>
          <w:rStyle w:val="StyleUnderline"/>
          <w:highlight w:val="green"/>
        </w:rPr>
        <w:t>students at crucial points in their introduction to the field</w:t>
      </w:r>
      <w:r w:rsidRPr="00046212">
        <w:rPr>
          <w:rStyle w:val="StyleUnderline"/>
        </w:rPr>
        <w:t>, it also opens doors for the blatant</w:t>
      </w:r>
      <w:r w:rsidRPr="00736B4D">
        <w:rPr>
          <w:rStyle w:val="StyleUnderline"/>
        </w:rPr>
        <w:t xml:space="preserve"> appropriation of those contributions, something that has been particularly insidious for Black women scholars</w:t>
      </w:r>
      <w:r w:rsidRPr="00736B4D">
        <w:rPr>
          <w:rStyle w:val="Style13ptBold"/>
          <w:b w:val="0"/>
          <w:bCs w:val="0"/>
          <w:sz w:val="16"/>
          <w:szCs w:val="18"/>
        </w:rPr>
        <w:t xml:space="preserve">. For instance, in 2020, historian Stephanie Y. Evans found her archival research on Black yogis—including a rare photo of Rosa Parks in the “Thunderbolt pose” that, prior to Evans’s research, had only been available as a thumbnail image through the Library of Congress—reproduced by Yoga Journal without attribution (Evans 2020). Jessica Marie Johnson, author of Wicked Flesh: Black Women, Intimacy, and Freedom in the Atlantic World (2020), has also documented journalists taking original ideas from her tweets but consistently failing to credit her as the originator (McGregor 2019). </w:t>
      </w:r>
    </w:p>
    <w:p w14:paraId="33C27CFC" w14:textId="733D73D4" w:rsidR="00AC7390" w:rsidRPr="00AC7390" w:rsidRDefault="00AC7390" w:rsidP="00AC7390">
      <w:pPr>
        <w:rPr>
          <w:sz w:val="16"/>
          <w:szCs w:val="18"/>
        </w:rPr>
      </w:pPr>
      <w:r w:rsidRPr="00736B4D">
        <w:rPr>
          <w:rStyle w:val="Style13ptBold"/>
          <w:b w:val="0"/>
          <w:bCs w:val="0"/>
          <w:sz w:val="16"/>
          <w:szCs w:val="18"/>
        </w:rPr>
        <w:t>As Evans (2020) writes, “</w:t>
      </w:r>
      <w:r w:rsidRPr="00736B4D">
        <w:rPr>
          <w:rStyle w:val="StyleUnderline"/>
        </w:rPr>
        <w:t>Citation and attribution</w:t>
      </w:r>
      <w:r w:rsidRPr="00736B4D">
        <w:rPr>
          <w:rStyle w:val="Style13ptBold"/>
          <w:b w:val="0"/>
          <w:bCs w:val="0"/>
          <w:sz w:val="16"/>
          <w:szCs w:val="18"/>
        </w:rPr>
        <w:t xml:space="preserve"> are tools by which to gauge the weight of information presented.” They are </w:t>
      </w:r>
      <w:r w:rsidRPr="00736B4D">
        <w:rPr>
          <w:rStyle w:val="StyleUnderline"/>
        </w:rPr>
        <w:t>also</w:t>
      </w:r>
      <w:r w:rsidRPr="00736B4D">
        <w:rPr>
          <w:rStyle w:val="Style13ptBold"/>
          <w:b w:val="0"/>
          <w:bCs w:val="0"/>
          <w:sz w:val="16"/>
          <w:szCs w:val="18"/>
        </w:rPr>
        <w:t xml:space="preserve"> how </w:t>
      </w:r>
      <w:r w:rsidRPr="00736B4D">
        <w:rPr>
          <w:rStyle w:val="StyleUnderline"/>
        </w:rPr>
        <w:t xml:space="preserve">we recognize a lineage of knowledge producers. </w:t>
      </w:r>
      <w:r w:rsidRPr="00580EE9">
        <w:rPr>
          <w:rStyle w:val="StyleUnderline"/>
          <w:highlight w:val="green"/>
        </w:rPr>
        <w:t>Ignoring the intellectual labor of Black women</w:t>
      </w:r>
      <w:r w:rsidRPr="00736B4D">
        <w:rPr>
          <w:rStyle w:val="StyleUnderline"/>
        </w:rPr>
        <w:t xml:space="preserve"> scholar</w:t>
      </w:r>
      <w:r w:rsidRPr="00736B4D">
        <w:rPr>
          <w:rStyle w:val="Style13ptBold"/>
          <w:b w:val="0"/>
          <w:bCs w:val="0"/>
          <w:sz w:val="16"/>
          <w:szCs w:val="18"/>
        </w:rPr>
        <w:t xml:space="preserve">s is not only unethical; it </w:t>
      </w:r>
      <w:r w:rsidRPr="00580EE9">
        <w:rPr>
          <w:rStyle w:val="StyleUnderline"/>
          <w:highlight w:val="green"/>
        </w:rPr>
        <w:t>deprives readers of essential context</w:t>
      </w:r>
      <w:r w:rsidRPr="00736B4D">
        <w:rPr>
          <w:rStyle w:val="StyleUnderline"/>
        </w:rPr>
        <w:t xml:space="preserve"> for situating knowledge </w:t>
      </w:r>
      <w:r w:rsidRPr="00580EE9">
        <w:rPr>
          <w:rStyle w:val="StyleUnderline"/>
          <w:highlight w:val="green"/>
        </w:rPr>
        <w:t>outside of a white canon</w:t>
      </w:r>
      <w:r w:rsidRPr="00736B4D">
        <w:rPr>
          <w:rStyle w:val="StyleUnderline"/>
        </w:rPr>
        <w:t>.</w:t>
      </w:r>
      <w:r w:rsidRPr="00736B4D">
        <w:rPr>
          <w:rStyle w:val="Style13ptBold"/>
          <w:b w:val="0"/>
          <w:bCs w:val="0"/>
          <w:sz w:val="16"/>
          <w:szCs w:val="18"/>
        </w:rPr>
        <w:t xml:space="preserve"> Feminists have long heralded the importance of positionality in research and writing. Merely including Black women as the subjects of inquiry or in tokenizing claims to diversity does as much or more damage as replicating the majority-white canon many contemporary scholars seek to challenge. Similarly</w:t>
      </w:r>
      <w:r w:rsidRPr="00736B4D">
        <w:rPr>
          <w:rStyle w:val="StyleUnderline"/>
        </w:rPr>
        <w:t>, ignoring instances where Black women’s work has been overlooked or strategically excised reinforces the dominant narrative of white gaze and colonial domination</w:t>
      </w:r>
      <w:r w:rsidRPr="00736B4D">
        <w:rPr>
          <w:rStyle w:val="Style13ptBold"/>
          <w:b w:val="0"/>
          <w:bCs w:val="0"/>
          <w:sz w:val="16"/>
          <w:szCs w:val="18"/>
        </w:rPr>
        <w:t xml:space="preserve"> so central to anthropology and many other academic disciplines.</w:t>
      </w:r>
    </w:p>
    <w:p w14:paraId="4741A6B0" w14:textId="77777777" w:rsidR="00AC7390" w:rsidRPr="00515668" w:rsidRDefault="00AC7390" w:rsidP="00AC7390">
      <w:pPr>
        <w:pStyle w:val="Heading4"/>
        <w:rPr>
          <w:u w:val="single"/>
        </w:rPr>
      </w:pPr>
      <w:r>
        <w:t xml:space="preserve">5) Sequencing– the perm implies you can “add Black women and stir” – that leads to </w:t>
      </w:r>
      <w:r>
        <w:rPr>
          <w:u w:val="single"/>
        </w:rPr>
        <w:t>citational tokenism</w:t>
      </w:r>
      <w:r>
        <w:t>.</w:t>
      </w:r>
    </w:p>
    <w:p w14:paraId="3CA4914B" w14:textId="77777777" w:rsidR="00AC7390" w:rsidRDefault="00AC7390" w:rsidP="00AC7390">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1066BE8B" w14:textId="77777777" w:rsidR="00AC7390" w:rsidRPr="004E579C" w:rsidRDefault="00AC7390" w:rsidP="00AC7390">
      <w:pPr>
        <w:rPr>
          <w:rStyle w:val="Emphasis"/>
        </w:rPr>
      </w:pPr>
      <w:r w:rsidRPr="004E579C">
        <w:rPr>
          <w:rStyle w:val="Style13ptBold"/>
          <w:b w:val="0"/>
          <w:bCs w:val="0"/>
          <w:sz w:val="16"/>
          <w:szCs w:val="18"/>
        </w:rPr>
        <w:t xml:space="preserve">• Be explicit that </w:t>
      </w:r>
      <w:r w:rsidRPr="00580EE9">
        <w:rPr>
          <w:rStyle w:val="Emphasis"/>
          <w:highlight w:val="green"/>
        </w:rPr>
        <w:t>citing Black women is not an add-on</w:t>
      </w:r>
      <w:r w:rsidRPr="004E579C">
        <w:rPr>
          <w:rStyle w:val="Style13ptBold"/>
          <w:b w:val="0"/>
          <w:bCs w:val="0"/>
          <w:sz w:val="16"/>
          <w:szCs w:val="18"/>
        </w:rPr>
        <w:t xml:space="preserve">. Reading and </w:t>
      </w:r>
      <w:r w:rsidRPr="00580EE9">
        <w:rPr>
          <w:rStyle w:val="StyleUnderline"/>
          <w:highlight w:val="green"/>
        </w:rPr>
        <w:t>engaging</w:t>
      </w:r>
      <w:r w:rsidRPr="003B3E29">
        <w:rPr>
          <w:rStyle w:val="StyleUnderline"/>
        </w:rPr>
        <w:t xml:space="preserve"> with Black women’s work </w:t>
      </w:r>
      <w:r w:rsidRPr="00580EE9">
        <w:rPr>
          <w:rStyle w:val="StyleUnderline"/>
          <w:highlight w:val="green"/>
        </w:rPr>
        <w:t xml:space="preserve">is </w:t>
      </w:r>
      <w:r w:rsidRPr="00580EE9">
        <w:rPr>
          <w:rStyle w:val="Emphasis"/>
          <w:highlight w:val="green"/>
        </w:rPr>
        <w:t>essential</w:t>
      </w:r>
      <w:r w:rsidRPr="003B3E29">
        <w:rPr>
          <w:rStyle w:val="Emphasis"/>
        </w:rPr>
        <w:t xml:space="preserve"> </w:t>
      </w:r>
      <w:r w:rsidRPr="00580EE9">
        <w:rPr>
          <w:rStyle w:val="Emphasis"/>
          <w:highlight w:val="green"/>
        </w:rPr>
        <w:t>for</w:t>
      </w:r>
      <w:r w:rsidRPr="003B3E29">
        <w:rPr>
          <w:rStyle w:val="Emphasis"/>
        </w:rPr>
        <w:t xml:space="preserve"> doing </w:t>
      </w:r>
      <w:r w:rsidRPr="00580EE9">
        <w:rPr>
          <w:rStyle w:val="Emphasis"/>
          <w:highlight w:val="green"/>
        </w:rPr>
        <w:t>good scholarship</w:t>
      </w:r>
      <w:r w:rsidRPr="004E579C">
        <w:rPr>
          <w:rStyle w:val="Style13ptBold"/>
          <w:b w:val="0"/>
          <w:bCs w:val="0"/>
          <w:sz w:val="16"/>
          <w:szCs w:val="18"/>
        </w:rPr>
        <w:t xml:space="preserve"> because </w:t>
      </w:r>
      <w:r w:rsidRPr="004E579C">
        <w:rPr>
          <w:rStyle w:val="StyleUnderline"/>
        </w:rPr>
        <w:t xml:space="preserve">their </w:t>
      </w:r>
      <w:r w:rsidRPr="00580EE9">
        <w:rPr>
          <w:rStyle w:val="StyleUnderline"/>
          <w:highlight w:val="green"/>
        </w:rPr>
        <w:t>scholarship is valuable and central to contemporary</w:t>
      </w:r>
      <w:r w:rsidRPr="004E579C">
        <w:rPr>
          <w:rStyle w:val="StyleUnderline"/>
        </w:rPr>
        <w:t xml:space="preserve"> (and many historical) scholarly </w:t>
      </w:r>
      <w:r w:rsidRPr="00580EE9">
        <w:rPr>
          <w:rStyle w:val="StyleUnderline"/>
          <w:highlight w:val="green"/>
        </w:rPr>
        <w:t>conversations and debates</w:t>
      </w:r>
      <w:r w:rsidRPr="004E579C">
        <w:rPr>
          <w:rStyle w:val="StyleUnderline"/>
        </w:rPr>
        <w:t>.</w:t>
      </w:r>
      <w:r w:rsidRPr="004E579C">
        <w:rPr>
          <w:rStyle w:val="Style13ptBold"/>
          <w:b w:val="0"/>
          <w:bCs w:val="0"/>
          <w:sz w:val="16"/>
          <w:szCs w:val="18"/>
        </w:rPr>
        <w:t xml:space="preserve"> As medical and legal anthropologist Sameena Mulla stresses, </w:t>
      </w:r>
      <w:r w:rsidRPr="00580EE9">
        <w:rPr>
          <w:rStyle w:val="StyleUnderline"/>
          <w:highlight w:val="green"/>
        </w:rPr>
        <w:t>if writers merely</w:t>
      </w:r>
      <w:r w:rsidRPr="004E579C">
        <w:rPr>
          <w:rStyle w:val="StyleUnderline"/>
        </w:rPr>
        <w:t xml:space="preserve"> </w:t>
      </w:r>
      <w:r w:rsidRPr="00580EE9">
        <w:rPr>
          <w:rStyle w:val="StyleUnderline"/>
          <w:highlight w:val="green"/>
        </w:rPr>
        <w:t xml:space="preserve">include </w:t>
      </w:r>
      <w:r w:rsidRPr="00580EE9">
        <w:rPr>
          <w:rStyle w:val="Emphasis"/>
          <w:highlight w:val="green"/>
        </w:rPr>
        <w:t>a one-off reference</w:t>
      </w:r>
      <w:r w:rsidRPr="004E579C">
        <w:rPr>
          <w:rStyle w:val="Style13ptBold"/>
          <w:b w:val="0"/>
          <w:bCs w:val="0"/>
          <w:sz w:val="16"/>
          <w:szCs w:val="18"/>
        </w:rPr>
        <w:t xml:space="preserve"> to a wellknown author or two</w:t>
      </w:r>
      <w:r w:rsidRPr="004E579C">
        <w:rPr>
          <w:rStyle w:val="StyleUnderline"/>
        </w:rPr>
        <w:t xml:space="preserve">, </w:t>
      </w:r>
      <w:r w:rsidRPr="00580EE9">
        <w:rPr>
          <w:rStyle w:val="StyleUnderline"/>
          <w:highlight w:val="green"/>
        </w:rPr>
        <w:t>we need to call that</w:t>
      </w:r>
      <w:r w:rsidRPr="004E579C">
        <w:rPr>
          <w:rStyle w:val="Style13ptBold"/>
          <w:b w:val="0"/>
          <w:bCs w:val="0"/>
          <w:sz w:val="16"/>
          <w:szCs w:val="18"/>
        </w:rPr>
        <w:t xml:space="preserve"> what it is: </w:t>
      </w:r>
      <w:r w:rsidRPr="00580EE9">
        <w:rPr>
          <w:rStyle w:val="Emphasis"/>
          <w:highlight w:val="green"/>
        </w:rPr>
        <w:t>citational tokenism</w:t>
      </w:r>
      <w:r w:rsidRPr="004E579C">
        <w:rPr>
          <w:rStyle w:val="Emphasis"/>
        </w:rPr>
        <w:t>.</w:t>
      </w:r>
      <w:r w:rsidRPr="004E579C">
        <w:rPr>
          <w:rStyle w:val="Style13ptBold"/>
          <w:b w:val="0"/>
          <w:bCs w:val="0"/>
          <w:sz w:val="16"/>
          <w:szCs w:val="18"/>
        </w:rPr>
        <w:t xml:space="preserve"> As Mulla reminds us, to do this work </w:t>
      </w:r>
      <w:r w:rsidRPr="00580EE9">
        <w:rPr>
          <w:rStyle w:val="StyleUnderline"/>
          <w:highlight w:val="green"/>
        </w:rPr>
        <w:t xml:space="preserve">we must “curate Black women’s work </w:t>
      </w:r>
      <w:r w:rsidRPr="00580EE9">
        <w:rPr>
          <w:rStyle w:val="Emphasis"/>
          <w:highlight w:val="green"/>
        </w:rPr>
        <w:t>with the same care</w:t>
      </w:r>
      <w:r w:rsidRPr="004E579C">
        <w:rPr>
          <w:rStyle w:val="Emphasis"/>
        </w:rPr>
        <w:t xml:space="preserve"> that </w:t>
      </w:r>
      <w:r w:rsidRPr="00580EE9">
        <w:rPr>
          <w:rStyle w:val="Emphasis"/>
          <w:highlight w:val="green"/>
        </w:rPr>
        <w:t xml:space="preserve">you would any </w:t>
      </w:r>
      <w:r w:rsidRPr="003230A2">
        <w:rPr>
          <w:rStyle w:val="Emphasis"/>
          <w:highlight w:val="green"/>
        </w:rPr>
        <w:t xml:space="preserve">other form </w:t>
      </w:r>
      <w:r w:rsidRPr="00580EE9">
        <w:rPr>
          <w:rStyle w:val="Emphasis"/>
          <w:highlight w:val="green"/>
        </w:rPr>
        <w:t>of citation</w:t>
      </w:r>
      <w:r w:rsidRPr="004E579C">
        <w:rPr>
          <w:rStyle w:val="Emphasis"/>
        </w:rPr>
        <w:t>”</w:t>
      </w:r>
      <w:r w:rsidRPr="004E579C">
        <w:rPr>
          <w:rStyle w:val="Style13ptBold"/>
          <w:b w:val="0"/>
          <w:bCs w:val="0"/>
          <w:sz w:val="16"/>
          <w:szCs w:val="18"/>
        </w:rPr>
        <w:t xml:space="preserve"> (Smith et al. 2019). </w:t>
      </w:r>
      <w:r w:rsidRPr="00580EE9">
        <w:rPr>
          <w:rStyle w:val="Emphasis"/>
          <w:highlight w:val="green"/>
        </w:rPr>
        <w:t>That means deep engagement</w:t>
      </w:r>
      <w:r w:rsidRPr="004E579C">
        <w:rPr>
          <w:rStyle w:val="Emphasis"/>
        </w:rPr>
        <w:t xml:space="preserve">. </w:t>
      </w:r>
    </w:p>
    <w:p w14:paraId="50A89B3C" w14:textId="77777777" w:rsidR="00AC7390" w:rsidRPr="004E579C" w:rsidRDefault="00AC7390" w:rsidP="00AC7390">
      <w:pPr>
        <w:rPr>
          <w:rStyle w:val="Style13ptBold"/>
          <w:b w:val="0"/>
          <w:bCs w:val="0"/>
          <w:sz w:val="16"/>
          <w:szCs w:val="18"/>
        </w:rPr>
      </w:pPr>
      <w:r w:rsidRPr="004E579C">
        <w:rPr>
          <w:rStyle w:val="Style13ptBold"/>
          <w:b w:val="0"/>
          <w:bCs w:val="0"/>
          <w:sz w:val="16"/>
          <w:szCs w:val="18"/>
        </w:rPr>
        <w:t xml:space="preserve">• </w:t>
      </w:r>
      <w:r w:rsidRPr="004E579C">
        <w:rPr>
          <w:rStyle w:val="StyleUnderline"/>
        </w:rPr>
        <w:t>Engage with the ideas of Black women, not just the most oft-repeated things they have said or written</w:t>
      </w:r>
      <w:r w:rsidRPr="004E579C">
        <w:rPr>
          <w:rStyle w:val="Style13ptBold"/>
          <w:b w:val="0"/>
          <w:bCs w:val="0"/>
          <w:sz w:val="16"/>
          <w:szCs w:val="18"/>
        </w:rPr>
        <w:t xml:space="preserve">. I often underscore this with my students. </w:t>
      </w:r>
      <w:r w:rsidRPr="004E579C">
        <w:rPr>
          <w:rStyle w:val="StyleUnderline"/>
        </w:rPr>
        <w:t>I don’t want</w:t>
      </w:r>
      <w:r w:rsidRPr="004E579C">
        <w:rPr>
          <w:rStyle w:val="Style13ptBold"/>
          <w:b w:val="0"/>
          <w:bCs w:val="0"/>
          <w:sz w:val="16"/>
          <w:szCs w:val="18"/>
        </w:rPr>
        <w:t xml:space="preserve"> them to give me a paper that brings in </w:t>
      </w:r>
      <w:r w:rsidRPr="004E579C">
        <w:rPr>
          <w:rStyle w:val="Emphasis"/>
        </w:rPr>
        <w:t>a decontextualized quote from Audre Lorde, bell hooks</w:t>
      </w:r>
      <w:r w:rsidRPr="004E579C">
        <w:rPr>
          <w:rStyle w:val="Style13ptBold"/>
          <w:b w:val="0"/>
          <w:bCs w:val="0"/>
          <w:sz w:val="16"/>
          <w:szCs w:val="18"/>
        </w:rPr>
        <w:t xml:space="preserve">, or Toni Morrison that functions as an add-on to meet my requirements. </w:t>
      </w:r>
      <w:r w:rsidRPr="00580EE9">
        <w:rPr>
          <w:rStyle w:val="StyleUnderline"/>
          <w:highlight w:val="green"/>
        </w:rPr>
        <w:t>Uncover sources you didn’t</w:t>
      </w:r>
      <w:r w:rsidRPr="004E579C">
        <w:rPr>
          <w:rStyle w:val="StyleUnderline"/>
        </w:rPr>
        <w:t xml:space="preserve"> previously </w:t>
      </w:r>
      <w:r w:rsidRPr="00580EE9">
        <w:rPr>
          <w:rStyle w:val="StyleUnderline"/>
          <w:highlight w:val="green"/>
        </w:rPr>
        <w:t>know about!</w:t>
      </w:r>
      <w:r w:rsidRPr="004E579C">
        <w:rPr>
          <w:rStyle w:val="StyleUnderline"/>
        </w:rPr>
        <w:t xml:space="preserve"> </w:t>
      </w:r>
      <w:r w:rsidRPr="004E579C">
        <w:rPr>
          <w:rStyle w:val="Style13ptBold"/>
          <w:b w:val="0"/>
          <w:bCs w:val="0"/>
          <w:sz w:val="16"/>
          <w:szCs w:val="18"/>
        </w:rPr>
        <w:t>Seek out resources critically and creatively—and be in conversation with peers and mentors you admire, and/or a savvy librarian.</w:t>
      </w:r>
    </w:p>
    <w:p w14:paraId="6F58243C" w14:textId="77777777" w:rsidR="00AC7390" w:rsidRPr="004E579C" w:rsidRDefault="00AC7390" w:rsidP="00AC7390">
      <w:pPr>
        <w:rPr>
          <w:rStyle w:val="Style13ptBold"/>
          <w:b w:val="0"/>
          <w:bCs w:val="0"/>
          <w:sz w:val="16"/>
          <w:szCs w:val="18"/>
        </w:rPr>
      </w:pPr>
      <w:r w:rsidRPr="004E579C">
        <w:rPr>
          <w:rStyle w:val="Style13ptBold"/>
          <w:b w:val="0"/>
          <w:bCs w:val="0"/>
          <w:sz w:val="16"/>
          <w:szCs w:val="18"/>
        </w:rPr>
        <w:t xml:space="preserve">• Read promiscuously. 8 This doesn’t mean you have to read 24/7, incorporating every source you find in every discipline related to your research or your course topic. Rather, reading promiscuously allows you to read critically, consider the breadth of what is out there, and then invest more energy delving into questions about what sources you can include to counter the inequities you observe. </w:t>
      </w:r>
    </w:p>
    <w:p w14:paraId="23731107" w14:textId="77777777" w:rsidR="00AC7390" w:rsidRPr="004E579C" w:rsidRDefault="00AC7390" w:rsidP="00AC7390">
      <w:pPr>
        <w:rPr>
          <w:rStyle w:val="Style13ptBold"/>
          <w:b w:val="0"/>
          <w:bCs w:val="0"/>
          <w:sz w:val="16"/>
          <w:szCs w:val="18"/>
        </w:rPr>
      </w:pPr>
      <w:r w:rsidRPr="004E579C">
        <w:rPr>
          <w:rStyle w:val="Style13ptBold"/>
          <w:b w:val="0"/>
          <w:bCs w:val="0"/>
          <w:sz w:val="16"/>
          <w:szCs w:val="18"/>
        </w:rPr>
        <w:t>• As you engage in this work, remember that there is a long history of Black women’s scholarship being excluded from (and undercited in) prestigious journals and academic presses. Look to other, sometimes nonacademic, sources as well: Black feminist presses like Kitchen Table Press and BLF Press; journals like Transforming Anthropology, Feminist Anthropology, Souls: A Critical Journal of Black Politics, Culture, and Society, among others; and blogs, vlogs, podcasts, and social media posts by Black women, as well as popular articles and videos.</w:t>
      </w:r>
    </w:p>
    <w:p w14:paraId="73EA0E09" w14:textId="179187E0" w:rsidR="00AC7390" w:rsidRPr="00AC7390" w:rsidRDefault="00AC7390" w:rsidP="00AC7390">
      <w:pPr>
        <w:rPr>
          <w:b/>
          <w:iCs/>
          <w:u w:val="single"/>
          <w:bdr w:val="single" w:sz="8" w:space="0" w:color="auto"/>
        </w:rPr>
      </w:pPr>
      <w:r w:rsidRPr="004E579C">
        <w:rPr>
          <w:rStyle w:val="Style13ptBold"/>
          <w:b w:val="0"/>
          <w:bCs w:val="0"/>
          <w:sz w:val="16"/>
          <w:szCs w:val="18"/>
        </w:rPr>
        <w:t xml:space="preserve">• </w:t>
      </w:r>
      <w:r w:rsidRPr="00580EE9">
        <w:rPr>
          <w:rStyle w:val="Emphasis"/>
          <w:highlight w:val="green"/>
        </w:rPr>
        <w:t xml:space="preserve">Assign </w:t>
      </w:r>
      <w:r w:rsidRPr="00580EE9">
        <w:rPr>
          <w:rStyle w:val="Emphasis"/>
        </w:rPr>
        <w:t xml:space="preserve">articles from (and </w:t>
      </w:r>
      <w:r w:rsidRPr="00580EE9">
        <w:rPr>
          <w:rStyle w:val="Emphasis"/>
          <w:highlight w:val="green"/>
        </w:rPr>
        <w:t>publish</w:t>
      </w:r>
      <w:r w:rsidRPr="004E579C">
        <w:rPr>
          <w:rStyle w:val="StyleUnderline"/>
        </w:rPr>
        <w:t xml:space="preserve"> with, </w:t>
      </w:r>
      <w:r w:rsidRPr="00580EE9">
        <w:rPr>
          <w:rStyle w:val="StyleUnderline"/>
          <w:highlight w:val="green"/>
        </w:rPr>
        <w:t xml:space="preserve">and review for) journals that express an </w:t>
      </w:r>
      <w:r w:rsidRPr="00580EE9">
        <w:rPr>
          <w:rStyle w:val="Emphasis"/>
          <w:highlight w:val="green"/>
        </w:rPr>
        <w:t>explicit commitment</w:t>
      </w:r>
      <w:r w:rsidRPr="004E579C">
        <w:rPr>
          <w:rStyle w:val="Emphasis"/>
        </w:rPr>
        <w:t xml:space="preserve"> </w:t>
      </w:r>
      <w:r w:rsidRPr="00580EE9">
        <w:rPr>
          <w:rStyle w:val="Emphasis"/>
          <w:highlight w:val="green"/>
        </w:rPr>
        <w:t>to interrogating citational politics</w:t>
      </w:r>
      <w:r w:rsidRPr="004E579C">
        <w:rPr>
          <w:rStyle w:val="Style13ptBold"/>
          <w:b w:val="0"/>
          <w:bCs w:val="0"/>
          <w:sz w:val="16"/>
          <w:szCs w:val="18"/>
        </w:rPr>
        <w:t xml:space="preserve">. Look for journals that </w:t>
      </w:r>
      <w:r w:rsidRPr="004E579C">
        <w:rPr>
          <w:rStyle w:val="StyleUnderline"/>
        </w:rPr>
        <w:t>move beyond claiming inclusivity</w:t>
      </w:r>
      <w:r w:rsidRPr="004E579C">
        <w:rPr>
          <w:rStyle w:val="Style13ptBold"/>
          <w:b w:val="0"/>
          <w:bCs w:val="0"/>
          <w:sz w:val="16"/>
          <w:szCs w:val="18"/>
        </w:rPr>
        <w:t xml:space="preserve"> as a blanket statement </w:t>
      </w:r>
      <w:r w:rsidRPr="004E579C">
        <w:rPr>
          <w:sz w:val="16"/>
        </w:rPr>
        <w:t>to</w:t>
      </w:r>
      <w:r w:rsidRPr="004E579C">
        <w:rPr>
          <w:rStyle w:val="Style13ptBold"/>
          <w:b w:val="0"/>
          <w:bCs w:val="0"/>
          <w:sz w:val="16"/>
          <w:szCs w:val="18"/>
        </w:rPr>
        <w:t xml:space="preserve"> those that explicitly ask peer reviewers </w:t>
      </w:r>
      <w:r w:rsidRPr="004E579C">
        <w:rPr>
          <w:rStyle w:val="StyleUnderline"/>
        </w:rPr>
        <w:t xml:space="preserve">to </w:t>
      </w:r>
      <w:r w:rsidRPr="00580EE9">
        <w:rPr>
          <w:rStyle w:val="StyleUnderline"/>
          <w:highlight w:val="green"/>
        </w:rPr>
        <w:t xml:space="preserve">evaluate manuscripts </w:t>
      </w:r>
      <w:r w:rsidRPr="00580EE9">
        <w:rPr>
          <w:rStyle w:val="Emphasis"/>
          <w:highlight w:val="green"/>
        </w:rPr>
        <w:t>on their thoughtful engagement with a diverse and inclusive intellectual genealogy.</w:t>
      </w:r>
    </w:p>
    <w:p w14:paraId="4395A25E" w14:textId="77777777" w:rsidR="00AC7390" w:rsidRDefault="00AC7390" w:rsidP="00AC7390">
      <w:pPr>
        <w:pStyle w:val="Heading3"/>
        <w:rPr>
          <w:lang w:val="it-IT"/>
        </w:rPr>
      </w:pPr>
      <w:r w:rsidRPr="000649B0">
        <w:rPr>
          <w:lang w:val="it-IT"/>
        </w:rPr>
        <w:t>Citational justice Bad</w:t>
      </w:r>
    </w:p>
    <w:p w14:paraId="6BDA027B" w14:textId="77777777" w:rsidR="00AC7390" w:rsidRDefault="00AC7390" w:rsidP="00AC7390">
      <w:pPr>
        <w:pStyle w:val="Heading4"/>
      </w:pPr>
      <w:r>
        <w:t>Lmao this is just the introduction section there is literally zero warrant in this</w:t>
      </w:r>
    </w:p>
    <w:p w14:paraId="259E24EB" w14:textId="77777777" w:rsidR="00AC7390" w:rsidRDefault="00AC7390" w:rsidP="00AC7390">
      <w:pPr>
        <w:pStyle w:val="Heading4"/>
      </w:pPr>
      <w:r>
        <w:t>Citational practices are good and can restructure how groups face oppression---works against the racial apartheid</w:t>
      </w:r>
    </w:p>
    <w:p w14:paraId="3EFB0524" w14:textId="77777777" w:rsidR="00AC7390" w:rsidRDefault="00AC7390" w:rsidP="00AC7390">
      <w:pPr>
        <w:rPr>
          <w:rStyle w:val="Style13ptBold"/>
          <w:b w:val="0"/>
          <w:bCs w:val="0"/>
          <w:sz w:val="22"/>
          <w:szCs w:val="18"/>
        </w:rPr>
      </w:pPr>
      <w:r>
        <w:rPr>
          <w:rStyle w:val="Style13ptBold"/>
        </w:rPr>
        <w:t>Liu et al. 23</w:t>
      </w:r>
      <w:r w:rsidRPr="003230A2">
        <w:t xml:space="preserve"> –  (By: Rui Liu, with Dome Lombeida, Christina Crespo, and Max Liboiron , Citing toward Community, Citing against Harm , </w:t>
      </w:r>
      <w:hyperlink r:id="rId7" w:history="1">
        <w:r w:rsidRPr="003230A2">
          <w:rPr>
            <w:rStyle w:val="Hyperlink"/>
          </w:rPr>
          <w:t>https://civiclaboratory.nl/2023/03/20/citing-toward-community-citing-against-harm/</w:t>
        </w:r>
      </w:hyperlink>
      <w:r w:rsidRPr="003230A2">
        <w:t xml:space="preserve">,) NAR </w:t>
      </w:r>
    </w:p>
    <w:p w14:paraId="3F0111A4" w14:textId="77777777" w:rsidR="00AC7390" w:rsidRPr="006532CA" w:rsidRDefault="00AC7390" w:rsidP="00AC7390">
      <w:pPr>
        <w:rPr>
          <w:sz w:val="16"/>
        </w:rPr>
      </w:pPr>
      <w:r w:rsidRPr="006532CA">
        <w:rPr>
          <w:sz w:val="16"/>
        </w:rPr>
        <w:t>Collective Intellectual Praxis</w:t>
      </w:r>
    </w:p>
    <w:p w14:paraId="270E9912" w14:textId="77777777" w:rsidR="00AC7390" w:rsidRPr="006532CA" w:rsidRDefault="00AC7390" w:rsidP="00AC7390">
      <w:pPr>
        <w:rPr>
          <w:sz w:val="16"/>
        </w:rPr>
      </w:pPr>
      <w:r w:rsidRPr="006532CA">
        <w:rPr>
          <w:sz w:val="16"/>
        </w:rPr>
        <w:t xml:space="preserve">This last tool joins other calls for a reorientation to how we think about attribution, credit, and the project of knowledge production. How might our </w:t>
      </w:r>
      <w:r w:rsidRPr="00580EE9">
        <w:rPr>
          <w:rStyle w:val="StyleUnderline"/>
          <w:highlight w:val="green"/>
        </w:rPr>
        <w:t>protocols</w:t>
      </w:r>
      <w:r w:rsidRPr="00856D87">
        <w:rPr>
          <w:rStyle w:val="StyleUnderline"/>
        </w:rPr>
        <w:t xml:space="preserve"> </w:t>
      </w:r>
      <w:r w:rsidRPr="00580EE9">
        <w:rPr>
          <w:rStyle w:val="StyleUnderline"/>
          <w:highlight w:val="green"/>
        </w:rPr>
        <w:t>for citing</w:t>
      </w:r>
      <w:r w:rsidRPr="00856D87">
        <w:rPr>
          <w:rStyle w:val="StyleUnderline"/>
        </w:rPr>
        <w:t xml:space="preserve"> against harm shift when we </w:t>
      </w:r>
      <w:r w:rsidRPr="00580EE9">
        <w:rPr>
          <w:rStyle w:val="StyleUnderline"/>
          <w:highlight w:val="green"/>
        </w:rPr>
        <w:t xml:space="preserve">turn away from an </w:t>
      </w:r>
      <w:r w:rsidRPr="00580EE9">
        <w:rPr>
          <w:rStyle w:val="Emphasis"/>
          <w:highlight w:val="green"/>
        </w:rPr>
        <w:t>individualistic understanding of authorship</w:t>
      </w:r>
      <w:r w:rsidRPr="006532CA">
        <w:rPr>
          <w:sz w:val="16"/>
        </w:rPr>
        <w:t xml:space="preserve"> </w:t>
      </w:r>
      <w:r w:rsidRPr="00580EE9">
        <w:rPr>
          <w:rStyle w:val="StyleUnderline"/>
          <w:highlight w:val="green"/>
        </w:rPr>
        <w:t xml:space="preserve">that frames knowledge as </w:t>
      </w:r>
      <w:r w:rsidRPr="00580EE9">
        <w:rPr>
          <w:rStyle w:val="Emphasis"/>
          <w:highlight w:val="green"/>
        </w:rPr>
        <w:t xml:space="preserve">intellectual </w:t>
      </w:r>
      <w:r w:rsidRPr="00580EE9">
        <w:rPr>
          <w:rStyle w:val="StyleUnderline"/>
          <w:highlight w:val="green"/>
        </w:rPr>
        <w:t>property to</w:t>
      </w:r>
      <w:r w:rsidRPr="00856D87">
        <w:rPr>
          <w:rStyle w:val="StyleUnderline"/>
        </w:rPr>
        <w:t xml:space="preserve"> an understanding of knowledge production as an </w:t>
      </w:r>
      <w:r w:rsidRPr="00580EE9">
        <w:rPr>
          <w:rStyle w:val="Emphasis"/>
          <w:highlight w:val="green"/>
        </w:rPr>
        <w:t>inherently collective</w:t>
      </w:r>
      <w:r w:rsidRPr="00856D87">
        <w:rPr>
          <w:rStyle w:val="StyleUnderline"/>
        </w:rPr>
        <w:t xml:space="preserve"> </w:t>
      </w:r>
      <w:r w:rsidRPr="006532CA">
        <w:rPr>
          <w:sz w:val="16"/>
        </w:rPr>
        <w:t xml:space="preserve">endeavor?[20] </w:t>
      </w:r>
      <w:r w:rsidRPr="00856D87">
        <w:rPr>
          <w:rStyle w:val="StyleUnderline"/>
        </w:rPr>
        <w:t>Because</w:t>
      </w:r>
      <w:r w:rsidRPr="006532CA">
        <w:rPr>
          <w:sz w:val="16"/>
        </w:rPr>
        <w:t xml:space="preserve"> </w:t>
      </w:r>
      <w:r w:rsidRPr="00580EE9">
        <w:rPr>
          <w:rStyle w:val="StyleUnderline"/>
          <w:highlight w:val="green"/>
        </w:rPr>
        <w:t>ideas exist in overlapping and promiscuous ways</w:t>
      </w:r>
      <w:r w:rsidRPr="006532CA">
        <w:rPr>
          <w:sz w:val="16"/>
        </w:rPr>
        <w:t xml:space="preserve">, and are </w:t>
      </w:r>
      <w:r w:rsidRPr="00856D87">
        <w:rPr>
          <w:rStyle w:val="StyleUnderline"/>
        </w:rPr>
        <w:t xml:space="preserve">influenced, assembled, </w:t>
      </w:r>
      <w:r w:rsidRPr="00580EE9">
        <w:rPr>
          <w:rStyle w:val="StyleUnderline"/>
          <w:highlight w:val="green"/>
        </w:rPr>
        <w:t>adapted, recontextualized, plagiarized, forgotten</w:t>
      </w:r>
      <w:r w:rsidRPr="00856D87">
        <w:rPr>
          <w:rStyle w:val="StyleUnderline"/>
        </w:rPr>
        <w:t xml:space="preserve">, </w:t>
      </w:r>
      <w:r w:rsidRPr="006532CA">
        <w:rPr>
          <w:rStyle w:val="StyleUnderline"/>
        </w:rPr>
        <w:t>remembered</w:t>
      </w:r>
      <w:r w:rsidRPr="00856D87">
        <w:rPr>
          <w:rStyle w:val="StyleUnderline"/>
        </w:rPr>
        <w:t xml:space="preserve">, </w:t>
      </w:r>
      <w:r w:rsidRPr="00580EE9">
        <w:rPr>
          <w:rStyle w:val="StyleUnderline"/>
          <w:highlight w:val="green"/>
        </w:rPr>
        <w:t>and thought simultaneously by</w:t>
      </w:r>
      <w:r w:rsidRPr="00856D87">
        <w:rPr>
          <w:rStyle w:val="StyleUnderline"/>
        </w:rPr>
        <w:t xml:space="preserve"> so </w:t>
      </w:r>
      <w:r w:rsidRPr="00580EE9">
        <w:rPr>
          <w:rStyle w:val="StyleUnderline"/>
          <w:highlight w:val="green"/>
        </w:rPr>
        <w:t>many people</w:t>
      </w:r>
      <w:r w:rsidRPr="00856D87">
        <w:rPr>
          <w:rStyle w:val="StyleUnderline"/>
        </w:rPr>
        <w:t>, I’m unwilling to wholly cede concepts accredited to specific individuals solely to those specific individuals</w:t>
      </w:r>
      <w:r w:rsidRPr="006532CA">
        <w:rPr>
          <w:sz w:val="16"/>
        </w:rPr>
        <w:t xml:space="preserve"> (just Google “scientists who didn’t get credit for their work” for so! many! examples!). Within her brilliant study on Black methodologies and citational politics, Katherine </w:t>
      </w:r>
      <w:r w:rsidRPr="006532CA">
        <w:rPr>
          <w:rStyle w:val="StyleUnderline"/>
        </w:rPr>
        <w:t>McKittrick describes this as “</w:t>
      </w:r>
      <w:r w:rsidRPr="00580EE9">
        <w:rPr>
          <w:rStyle w:val="StyleUnderline"/>
          <w:highlight w:val="green"/>
        </w:rPr>
        <w:t>the crude capital economization of collated names</w:t>
      </w:r>
      <w:r w:rsidRPr="006532CA">
        <w:rPr>
          <w:rStyle w:val="StyleUnderline"/>
        </w:rPr>
        <w:t xml:space="preserve"> standing in as ideas</w:t>
      </w:r>
      <w:r w:rsidRPr="006532CA">
        <w:rPr>
          <w:sz w:val="16"/>
        </w:rPr>
        <w:t xml:space="preserve">.”[21] How do </w:t>
      </w:r>
      <w:r w:rsidRPr="006532CA">
        <w:rPr>
          <w:rStyle w:val="Emphasis"/>
        </w:rPr>
        <w:t xml:space="preserve">practices of exclusive citation </w:t>
      </w:r>
      <w:r w:rsidRPr="00580EE9">
        <w:rPr>
          <w:rStyle w:val="Emphasis"/>
          <w:highlight w:val="green"/>
        </w:rPr>
        <w:t>reproduce</w:t>
      </w:r>
      <w:r w:rsidRPr="006532CA">
        <w:rPr>
          <w:rStyle w:val="Emphasis"/>
        </w:rPr>
        <w:t xml:space="preserve"> </w:t>
      </w:r>
      <w:r w:rsidRPr="00580EE9">
        <w:rPr>
          <w:rStyle w:val="Emphasis"/>
          <w:highlight w:val="green"/>
        </w:rPr>
        <w:t>the logic of citation as economic value</w:t>
      </w:r>
      <w:r w:rsidRPr="006532CA">
        <w:rPr>
          <w:rStyle w:val="Emphasis"/>
        </w:rPr>
        <w:t xml:space="preserve"> and knowledge as property</w:t>
      </w:r>
      <w:r w:rsidRPr="006532CA">
        <w:rPr>
          <w:sz w:val="16"/>
        </w:rPr>
        <w:t>? Alternately, what if Junot Díaz’s work didn’t just belong to Junot Díaz but also to all the people who’ve taught him, loved him, and creatively resignified his work?</w:t>
      </w:r>
    </w:p>
    <w:p w14:paraId="76130EDE" w14:textId="77777777" w:rsidR="00AC7390" w:rsidRPr="006532CA" w:rsidRDefault="00AC7390" w:rsidP="00AC7390">
      <w:pPr>
        <w:rPr>
          <w:sz w:val="16"/>
        </w:rPr>
      </w:pPr>
      <w:r w:rsidRPr="006532CA">
        <w:rPr>
          <w:sz w:val="16"/>
        </w:rPr>
        <w:t>McKittrick’s work in Dear Science and Other Stories pushes us to think beyond exclusion and exclusion’s “impossible foreclosures.”[22] She crucially asks: “Do we unlearn whom we do not cite?”[23] Although I stand by exclusion as a strategic tool for accountability, as a theory of change</w:t>
      </w:r>
      <w:r w:rsidRPr="006532CA">
        <w:rPr>
          <w:rStyle w:val="StyleUnderline"/>
        </w:rPr>
        <w:t xml:space="preserve">, </w:t>
      </w:r>
      <w:r w:rsidRPr="00580EE9">
        <w:rPr>
          <w:rStyle w:val="StyleUnderline"/>
          <w:highlight w:val="green"/>
        </w:rPr>
        <w:t>exclusion hinges upon</w:t>
      </w:r>
      <w:r w:rsidRPr="006532CA">
        <w:rPr>
          <w:rStyle w:val="StyleUnderline"/>
        </w:rPr>
        <w:t xml:space="preserve"> individualistic and </w:t>
      </w:r>
      <w:r w:rsidRPr="00580EE9">
        <w:rPr>
          <w:rStyle w:val="StyleUnderline"/>
          <w:highlight w:val="green"/>
        </w:rPr>
        <w:t>liberal understandings of agency. Reorienting our focus to</w:t>
      </w:r>
      <w:r w:rsidRPr="006532CA">
        <w:rPr>
          <w:rStyle w:val="StyleUnderline"/>
        </w:rPr>
        <w:t xml:space="preserve"> collective intellectual </w:t>
      </w:r>
      <w:r w:rsidRPr="00580EE9">
        <w:rPr>
          <w:rStyle w:val="StyleUnderline"/>
          <w:highlight w:val="green"/>
        </w:rPr>
        <w:t>praxis challenges the illusion of individualized knowledge production</w:t>
      </w:r>
      <w:r w:rsidRPr="006532CA">
        <w:rPr>
          <w:rStyle w:val="StyleUnderline"/>
        </w:rPr>
        <w:t xml:space="preserve"> and individual “choice” and shifts our energies to building the kinds of intellectual communities we want to be a part o</w:t>
      </w:r>
      <w:r w:rsidRPr="006532CA">
        <w:rPr>
          <w:sz w:val="16"/>
        </w:rPr>
        <w:t>f. Thinking about Black collaborative ways of knowing, McKittrick argues that the “works cited” lists of Black studies, “when understood as in conversation with each other, demonstrate an interconnected story that resists oppression.”[24] She stresses:</w:t>
      </w:r>
    </w:p>
    <w:p w14:paraId="542E57DA" w14:textId="77777777" w:rsidR="00AC7390" w:rsidRPr="006532CA" w:rsidRDefault="00AC7390" w:rsidP="00AC7390">
      <w:pPr>
        <w:ind w:left="720"/>
        <w:rPr>
          <w:sz w:val="16"/>
        </w:rPr>
      </w:pPr>
      <w:r w:rsidRPr="006532CA">
        <w:rPr>
          <w:sz w:val="16"/>
        </w:rPr>
        <w:t>“</w:t>
      </w:r>
      <w:r w:rsidRPr="00580EE9">
        <w:rPr>
          <w:rStyle w:val="StyleUnderline"/>
          <w:highlight w:val="green"/>
        </w:rPr>
        <w:t xml:space="preserve">We do not have to agree </w:t>
      </w:r>
      <w:r w:rsidRPr="006532CA">
        <w:rPr>
          <w:rStyle w:val="StyleUnderline"/>
        </w:rPr>
        <w:t xml:space="preserve">with all the works in the works cited. We do not have to </w:t>
      </w:r>
      <w:r w:rsidRPr="00580EE9">
        <w:rPr>
          <w:rStyle w:val="StyleUnderline"/>
          <w:highlight w:val="green"/>
        </w:rPr>
        <w:t xml:space="preserve">like </w:t>
      </w:r>
      <w:r w:rsidRPr="006532CA">
        <w:rPr>
          <w:rStyle w:val="StyleUnderline"/>
        </w:rPr>
        <w:t xml:space="preserve">all of the works in the works cited. We do have to </w:t>
      </w:r>
      <w:r w:rsidRPr="00580EE9">
        <w:rPr>
          <w:rStyle w:val="StyleUnderline"/>
          <w:highlight w:val="green"/>
        </w:rPr>
        <w:t>trust</w:t>
      </w:r>
      <w:r w:rsidRPr="006532CA">
        <w:rPr>
          <w:rStyle w:val="StyleUnderline"/>
        </w:rPr>
        <w:t xml:space="preserve"> that </w:t>
      </w:r>
      <w:r w:rsidRPr="00580EE9">
        <w:rPr>
          <w:rStyle w:val="StyleUnderline"/>
          <w:highlight w:val="green"/>
        </w:rPr>
        <w:t>the works in the works cited</w:t>
      </w:r>
      <w:r w:rsidRPr="006532CA">
        <w:rPr>
          <w:rStyle w:val="StyleUnderline"/>
        </w:rPr>
        <w:t xml:space="preserve"> are helping us understand and talk about and theorize how to know the world differently. </w:t>
      </w:r>
      <w:r w:rsidRPr="00580EE9">
        <w:rPr>
          <w:rStyle w:val="StyleUnderline"/>
          <w:highlight w:val="green"/>
        </w:rPr>
        <w:t>The praxis</w:t>
      </w:r>
      <w:r w:rsidRPr="006532CA">
        <w:rPr>
          <w:sz w:val="16"/>
        </w:rPr>
        <w:t>, then</w:t>
      </w:r>
      <w:r w:rsidRPr="00580EE9">
        <w:rPr>
          <w:sz w:val="16"/>
          <w:highlight w:val="green"/>
        </w:rPr>
        <w:t xml:space="preserve">, </w:t>
      </w:r>
      <w:r w:rsidRPr="00580EE9">
        <w:rPr>
          <w:rStyle w:val="StyleUnderline"/>
          <w:highlight w:val="green"/>
        </w:rPr>
        <w:t>is not</w:t>
      </w:r>
      <w:r w:rsidRPr="006532CA">
        <w:rPr>
          <w:rStyle w:val="StyleUnderline"/>
        </w:rPr>
        <w:t xml:space="preserve"> </w:t>
      </w:r>
      <w:r w:rsidRPr="00580EE9">
        <w:rPr>
          <w:rStyle w:val="StyleUnderline"/>
          <w:highlight w:val="green"/>
        </w:rPr>
        <w:t>about who belongs</w:t>
      </w:r>
      <w:r w:rsidRPr="006532CA">
        <w:rPr>
          <w:sz w:val="16"/>
        </w:rPr>
        <w:t xml:space="preserve"> and who does not belong </w:t>
      </w:r>
      <w:r w:rsidRPr="00580EE9">
        <w:rPr>
          <w:rStyle w:val="StyleUnderline"/>
          <w:highlight w:val="green"/>
        </w:rPr>
        <w:t>in the index</w:t>
      </w:r>
      <w:r w:rsidRPr="006532CA">
        <w:rPr>
          <w:sz w:val="16"/>
        </w:rPr>
        <w:t xml:space="preserve"> or the endnotes; </w:t>
      </w:r>
      <w:r w:rsidRPr="006532CA">
        <w:rPr>
          <w:rStyle w:val="StyleUnderline"/>
        </w:rPr>
        <w:t>rather</w:t>
      </w:r>
      <w:r w:rsidRPr="00580EE9">
        <w:rPr>
          <w:rStyle w:val="StyleUnderline"/>
          <w:highlight w:val="green"/>
        </w:rPr>
        <w:t>, it is about how we</w:t>
      </w:r>
      <w:r w:rsidRPr="006532CA">
        <w:rPr>
          <w:rStyle w:val="StyleUnderline"/>
        </w:rPr>
        <w:t xml:space="preserve">, collectively, </w:t>
      </w:r>
      <w:r w:rsidRPr="00580EE9">
        <w:rPr>
          <w:rStyle w:val="StyleUnderline"/>
          <w:highlight w:val="green"/>
        </w:rPr>
        <w:t>are working against racial apartheid</w:t>
      </w:r>
      <w:r w:rsidRPr="006532CA">
        <w:rPr>
          <w:rStyle w:val="StyleUnderline"/>
        </w:rPr>
        <w:t xml:space="preserve"> and different kinds and types of violence</w:t>
      </w:r>
      <w:r w:rsidRPr="006532CA">
        <w:rPr>
          <w:sz w:val="16"/>
        </w:rPr>
        <w:t>.” [24]</w:t>
      </w:r>
    </w:p>
    <w:p w14:paraId="53245A4A" w14:textId="62B4F6D3" w:rsidR="00AC7390" w:rsidRPr="00AC7390" w:rsidRDefault="00AC7390" w:rsidP="00AC7390">
      <w:pPr>
        <w:rPr>
          <w:sz w:val="16"/>
        </w:rPr>
      </w:pPr>
      <w:r w:rsidRPr="006532CA">
        <w:rPr>
          <w:sz w:val="16"/>
        </w:rPr>
        <w:t xml:space="preserve">Citing against harm toward collective intellectual praxis then, may not (just) be about excluding specific individuals. </w:t>
      </w:r>
      <w:r w:rsidRPr="00580EE9">
        <w:rPr>
          <w:rStyle w:val="StyleUnderline"/>
          <w:highlight w:val="green"/>
        </w:rPr>
        <w:t>Citing against harm</w:t>
      </w:r>
      <w:r w:rsidRPr="006532CA">
        <w:rPr>
          <w:rStyle w:val="StyleUnderline"/>
        </w:rPr>
        <w:t xml:space="preserve"> toward collective intellectual praxis </w:t>
      </w:r>
      <w:r w:rsidRPr="00580EE9">
        <w:rPr>
          <w:rStyle w:val="StyleUnderline"/>
          <w:highlight w:val="green"/>
        </w:rPr>
        <w:t>redirects our attention to structural oppression, building good relations</w:t>
      </w:r>
      <w:r w:rsidRPr="006532CA">
        <w:rPr>
          <w:rStyle w:val="StyleUnderline"/>
        </w:rPr>
        <w:t xml:space="preserve">, collective modes of resistance </w:t>
      </w:r>
      <w:r w:rsidRPr="00580EE9">
        <w:rPr>
          <w:rStyle w:val="StyleUnderline"/>
          <w:highlight w:val="green"/>
        </w:rPr>
        <w:t>and the necessity for political mobilizations beyond</w:t>
      </w:r>
      <w:r w:rsidRPr="006532CA">
        <w:rPr>
          <w:rStyle w:val="StyleUnderline"/>
        </w:rPr>
        <w:t xml:space="preserve"> individual </w:t>
      </w:r>
      <w:r w:rsidRPr="00580EE9">
        <w:rPr>
          <w:rStyle w:val="StyleUnderline"/>
          <w:highlight w:val="green"/>
        </w:rPr>
        <w:t>citational</w:t>
      </w:r>
      <w:r w:rsidRPr="006532CA">
        <w:rPr>
          <w:rStyle w:val="StyleUnderline"/>
        </w:rPr>
        <w:t xml:space="preserve"> </w:t>
      </w:r>
      <w:r w:rsidRPr="00580EE9">
        <w:rPr>
          <w:rStyle w:val="StyleUnderline"/>
          <w:highlight w:val="green"/>
        </w:rPr>
        <w:t>practices</w:t>
      </w:r>
      <w:r w:rsidRPr="006532CA">
        <w:rPr>
          <w:rStyle w:val="StyleUnderline"/>
        </w:rPr>
        <w:t>, and transformative chang</w:t>
      </w:r>
      <w:r w:rsidRPr="006532CA">
        <w:rPr>
          <w:sz w:val="16"/>
        </w:rPr>
        <w:t>e.[25] It gestures to a future capacious enough for not only the mitigation of harm but its transformation.</w:t>
      </w:r>
    </w:p>
    <w:sectPr w:rsidR="00AC7390" w:rsidRPr="00AC7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944F0"/>
    <w:multiLevelType w:val="hybridMultilevel"/>
    <w:tmpl w:val="E808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AA3D93"/>
    <w:multiLevelType w:val="hybridMultilevel"/>
    <w:tmpl w:val="6F78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2769253">
    <w:abstractNumId w:val="15"/>
  </w:num>
  <w:num w:numId="16" w16cid:durableId="1181427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25"/>
    <w:rsid w:val="00107C61"/>
    <w:rsid w:val="00843C25"/>
    <w:rsid w:val="00AC7390"/>
    <w:rsid w:val="00D34B54"/>
    <w:rsid w:val="00D6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7D58F"/>
  <w15:chartTrackingRefBased/>
  <w15:docId w15:val="{143DBC72-294D-4DE7-B40D-4F99104F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39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C73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73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AC73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C73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39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43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73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390"/>
  </w:style>
  <w:style w:type="character" w:customStyle="1" w:styleId="Heading1Char">
    <w:name w:val="Heading 1 Char"/>
    <w:aliases w:val="Pocket Char"/>
    <w:basedOn w:val="DefaultParagraphFont"/>
    <w:link w:val="Heading1"/>
    <w:rsid w:val="00AC739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C739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AC739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C739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C739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43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C25"/>
    <w:rPr>
      <w:rFonts w:eastAsiaTheme="majorEastAsia" w:cstheme="majorBidi"/>
      <w:color w:val="272727" w:themeColor="text1" w:themeTint="D8"/>
    </w:rPr>
  </w:style>
  <w:style w:type="paragraph" w:styleId="Title">
    <w:name w:val="Title"/>
    <w:basedOn w:val="Normal"/>
    <w:next w:val="Normal"/>
    <w:link w:val="TitleChar"/>
    <w:uiPriority w:val="10"/>
    <w:qFormat/>
    <w:rsid w:val="00843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C25"/>
    <w:pPr>
      <w:spacing w:before="160"/>
      <w:jc w:val="center"/>
    </w:pPr>
    <w:rPr>
      <w:i/>
      <w:iCs/>
      <w:color w:val="404040" w:themeColor="text1" w:themeTint="BF"/>
    </w:rPr>
  </w:style>
  <w:style w:type="character" w:customStyle="1" w:styleId="QuoteChar">
    <w:name w:val="Quote Char"/>
    <w:basedOn w:val="DefaultParagraphFont"/>
    <w:link w:val="Quote"/>
    <w:uiPriority w:val="29"/>
    <w:rsid w:val="00843C25"/>
    <w:rPr>
      <w:i/>
      <w:iCs/>
      <w:color w:val="404040" w:themeColor="text1" w:themeTint="BF"/>
    </w:rPr>
  </w:style>
  <w:style w:type="paragraph" w:styleId="ListParagraph">
    <w:name w:val="List Paragraph"/>
    <w:basedOn w:val="Normal"/>
    <w:uiPriority w:val="34"/>
    <w:qFormat/>
    <w:rsid w:val="00843C25"/>
    <w:pPr>
      <w:ind w:left="720"/>
      <w:contextualSpacing/>
    </w:pPr>
  </w:style>
  <w:style w:type="character" w:styleId="IntenseEmphasis">
    <w:name w:val="Intense Emphasis"/>
    <w:basedOn w:val="DefaultParagraphFont"/>
    <w:uiPriority w:val="21"/>
    <w:qFormat/>
    <w:rsid w:val="00843C25"/>
    <w:rPr>
      <w:i/>
      <w:iCs/>
      <w:color w:val="0F4761" w:themeColor="accent1" w:themeShade="BF"/>
    </w:rPr>
  </w:style>
  <w:style w:type="paragraph" w:styleId="IntenseQuote">
    <w:name w:val="Intense Quote"/>
    <w:basedOn w:val="Normal"/>
    <w:next w:val="Normal"/>
    <w:link w:val="IntenseQuoteChar"/>
    <w:uiPriority w:val="30"/>
    <w:qFormat/>
    <w:rsid w:val="00843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C25"/>
    <w:rPr>
      <w:i/>
      <w:iCs/>
      <w:color w:val="0F4761" w:themeColor="accent1" w:themeShade="BF"/>
    </w:rPr>
  </w:style>
  <w:style w:type="character" w:styleId="IntenseReference">
    <w:name w:val="Intense Reference"/>
    <w:basedOn w:val="DefaultParagraphFont"/>
    <w:uiPriority w:val="32"/>
    <w:qFormat/>
    <w:rsid w:val="00843C25"/>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AC73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739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C739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AC7390"/>
    <w:rPr>
      <w:b w:val="0"/>
      <w:sz w:val="22"/>
      <w:u w:val="single"/>
    </w:rPr>
  </w:style>
  <w:style w:type="character" w:styleId="Strong">
    <w:name w:val="Strong"/>
    <w:basedOn w:val="DefaultParagraphFont"/>
    <w:uiPriority w:val="22"/>
    <w:qFormat/>
    <w:rsid w:val="00AC7390"/>
    <w:rPr>
      <w:b/>
      <w:bCs/>
    </w:rPr>
  </w:style>
  <w:style w:type="character" w:styleId="BookTitle">
    <w:name w:val="Book Title"/>
    <w:basedOn w:val="DefaultParagraphFont"/>
    <w:uiPriority w:val="33"/>
    <w:qFormat/>
    <w:rsid w:val="00AC7390"/>
    <w:rPr>
      <w:b/>
      <w:bCs/>
      <w:i/>
      <w:iCs/>
      <w:spacing w:val="5"/>
    </w:rPr>
  </w:style>
  <w:style w:type="numbering" w:styleId="111111">
    <w:name w:val="Outline List 2"/>
    <w:basedOn w:val="NoList"/>
    <w:uiPriority w:val="99"/>
    <w:semiHidden/>
    <w:unhideWhenUsed/>
    <w:rsid w:val="00AC7390"/>
  </w:style>
  <w:style w:type="paragraph" w:styleId="Header">
    <w:name w:val="header"/>
    <w:basedOn w:val="Normal"/>
    <w:link w:val="HeaderChar"/>
    <w:uiPriority w:val="99"/>
    <w:semiHidden/>
    <w:rsid w:val="00AC7390"/>
    <w:pPr>
      <w:tabs>
        <w:tab w:val="center" w:pos="4680"/>
        <w:tab w:val="right" w:pos="9360"/>
      </w:tabs>
    </w:pPr>
  </w:style>
  <w:style w:type="character" w:customStyle="1" w:styleId="HeaderChar">
    <w:name w:val="Header Char"/>
    <w:basedOn w:val="DefaultParagraphFont"/>
    <w:link w:val="Header"/>
    <w:uiPriority w:val="99"/>
    <w:semiHidden/>
    <w:rsid w:val="00AC7390"/>
    <w:rPr>
      <w:rFonts w:ascii="Calibri" w:hAnsi="Calibri" w:cs="Calibri"/>
      <w:kern w:val="0"/>
      <w:sz w:val="22"/>
      <w:szCs w:val="22"/>
      <w14:ligatures w14:val="none"/>
    </w:rPr>
  </w:style>
  <w:style w:type="paragraph" w:styleId="Footer">
    <w:name w:val="footer"/>
    <w:basedOn w:val="Normal"/>
    <w:link w:val="FooterChar"/>
    <w:uiPriority w:val="99"/>
    <w:semiHidden/>
    <w:rsid w:val="00AC7390"/>
    <w:pPr>
      <w:tabs>
        <w:tab w:val="center" w:pos="4680"/>
        <w:tab w:val="right" w:pos="9360"/>
      </w:tabs>
    </w:pPr>
  </w:style>
  <w:style w:type="character" w:customStyle="1" w:styleId="FooterChar">
    <w:name w:val="Footer Char"/>
    <w:basedOn w:val="DefaultParagraphFont"/>
    <w:link w:val="Footer"/>
    <w:uiPriority w:val="99"/>
    <w:semiHidden/>
    <w:rsid w:val="00AC739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C7390"/>
    <w:pPr>
      <w:spacing w:after="120"/>
    </w:pPr>
  </w:style>
  <w:style w:type="character" w:customStyle="1" w:styleId="BodyTextChar">
    <w:name w:val="Body Text Char"/>
    <w:basedOn w:val="DefaultParagraphFont"/>
    <w:link w:val="BodyText"/>
    <w:uiPriority w:val="99"/>
    <w:semiHidden/>
    <w:rsid w:val="00AC7390"/>
    <w:rPr>
      <w:rFonts w:ascii="Calibri" w:hAnsi="Calibri" w:cs="Calibri"/>
      <w:kern w:val="0"/>
      <w:sz w:val="22"/>
      <w:szCs w:val="22"/>
      <w14:ligatures w14:val="none"/>
    </w:rPr>
  </w:style>
  <w:style w:type="paragraph" w:styleId="NoSpacing">
    <w:name w:val="No Spacing"/>
    <w:link w:val="NoSpacingChar"/>
    <w:uiPriority w:val="99"/>
    <w:unhideWhenUsed/>
    <w:qFormat/>
    <w:rsid w:val="00AC739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C7390"/>
    <w:rPr>
      <w:rFonts w:ascii="Calibri" w:hAnsi="Calibri" w:cs="Calibri"/>
      <w:kern w:val="0"/>
      <w:sz w:val="22"/>
      <w:szCs w:val="22"/>
      <w14:ligatures w14:val="none"/>
    </w:rPr>
  </w:style>
  <w:style w:type="character" w:styleId="Hyperlink">
    <w:name w:val="Hyperlink"/>
    <w:basedOn w:val="DefaultParagraphFont"/>
    <w:uiPriority w:val="99"/>
    <w:unhideWhenUsed/>
    <w:rsid w:val="00AC7390"/>
    <w:rPr>
      <w:color w:val="467886" w:themeColor="hyperlink"/>
      <w:u w:val="single"/>
    </w:rPr>
  </w:style>
  <w:style w:type="character" w:styleId="UnresolvedMention">
    <w:name w:val="Unresolved Mention"/>
    <w:basedOn w:val="DefaultParagraphFont"/>
    <w:uiPriority w:val="99"/>
    <w:semiHidden/>
    <w:unhideWhenUsed/>
    <w:rsid w:val="00AC7390"/>
    <w:rPr>
      <w:color w:val="605E5C"/>
      <w:shd w:val="clear" w:color="auto" w:fill="E1DFDD"/>
    </w:rPr>
  </w:style>
  <w:style w:type="paragraph" w:customStyle="1" w:styleId="Undertag">
    <w:name w:val="Undertag"/>
    <w:link w:val="UndertagChar"/>
    <w:autoRedefine/>
    <w:uiPriority w:val="5"/>
    <w:qFormat/>
    <w:rsid w:val="00AC739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C739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C7390"/>
    <w:rPr>
      <w:color w:val="75100D"/>
    </w:rPr>
  </w:style>
  <w:style w:type="character" w:customStyle="1" w:styleId="AnalyticChar">
    <w:name w:val="Analytic Char"/>
    <w:basedOn w:val="DefaultParagraphFont"/>
    <w:link w:val="Analytic"/>
    <w:uiPriority w:val="5"/>
    <w:rsid w:val="00AC7390"/>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AC7390"/>
    <w:pP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viclaboratory.nl/2023/03/20/citing-toward-community-citing-against-ha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cc.ncte.org/cccc/citation-justice" TargetMode="External"/><Relationship Id="rId5" Type="http://schemas.openxmlformats.org/officeDocument/2006/relationships/hyperlink" Target="https://www.insidehighered.com/advice/2021/08/27/entrenched-inequity-not-appropriately-citing-scholarship-women-and-people-colo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36796</Words>
  <Characters>209743</Characters>
  <Application>Microsoft Office Word</Application>
  <DocSecurity>0</DocSecurity>
  <Lines>1747</Lines>
  <Paragraphs>492</Paragraphs>
  <ScaleCrop>false</ScaleCrop>
  <Company/>
  <LinksUpToDate>false</LinksUpToDate>
  <CharactersWithSpaces>246047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4</cp:revision>
  <dcterms:created xsi:type="dcterms:W3CDTF">2025-10-18T00:40:00Z</dcterms:created>
  <dcterms:modified xsi:type="dcterms:W3CDTF">2025-10-18T00:44:00Z</dcterms:modified>
</cp:coreProperties>
</file>