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37400" w14:textId="77777777" w:rsidR="00212072" w:rsidRDefault="00212072" w:rsidP="00212072">
      <w:pPr>
        <w:pStyle w:val="Heading1"/>
      </w:pPr>
      <w:r>
        <w:t>1ac</w:t>
      </w:r>
    </w:p>
    <w:p w14:paraId="6B361CB5" w14:textId="77777777" w:rsidR="00212072" w:rsidRDefault="00212072" w:rsidP="00212072">
      <w:pPr>
        <w:pStyle w:val="Heading4"/>
      </w:pPr>
      <w:r>
        <w:t xml:space="preserve">Plan: The National Labor Relations Board should overturn its precedent, </w:t>
      </w:r>
      <w:r>
        <w:rPr>
          <w:i/>
          <w:iCs w:val="0"/>
        </w:rPr>
        <w:t xml:space="preserve">Brevard Achievement Center, Inc </w:t>
      </w:r>
      <w:r>
        <w:t xml:space="preserve">(342 NLRB 982) and recognize that disabled workers are employees under the NLRA </w:t>
      </w:r>
    </w:p>
    <w:p w14:paraId="15F83D7F" w14:textId="77777777" w:rsidR="00212072" w:rsidRDefault="00212072" w:rsidP="00212072"/>
    <w:p w14:paraId="6F5C00C8" w14:textId="77777777" w:rsidR="00212072" w:rsidRPr="0025372F" w:rsidRDefault="00212072" w:rsidP="00212072">
      <w:pPr>
        <w:pStyle w:val="Heading3"/>
      </w:pPr>
      <w:r>
        <w:lastRenderedPageBreak/>
        <w:t xml:space="preserve">Contention 1 is Ableism </w:t>
      </w:r>
    </w:p>
    <w:p w14:paraId="3796FC15" w14:textId="77777777" w:rsidR="00212072" w:rsidRDefault="00212072" w:rsidP="00212072">
      <w:pPr>
        <w:pStyle w:val="Heading4"/>
      </w:pPr>
      <w:r>
        <w:t xml:space="preserve">The “primarily rehabilitative” standard applied to disabled workers by the NLRB excludes them from categorization as employees which inhibits their ability to bargain for rights and is at the heart of disability discrimination.  </w:t>
      </w:r>
    </w:p>
    <w:p w14:paraId="36517C2F" w14:textId="77777777" w:rsidR="00212072" w:rsidRPr="00CF6512"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5" w:history="1">
        <w:r w:rsidRPr="008A12E8">
          <w:rPr>
            <w:rStyle w:val="Hyperlink"/>
          </w:rPr>
          <w:t>https://scholarship.law.upenn.edu/cgi/viewcontent.cgi?article=1299&amp;context=jlasc</w:t>
        </w:r>
      </w:hyperlink>
      <w:r>
        <w:t xml:space="preserve">, DoA 2/21/2026, DVOG) </w:t>
      </w:r>
    </w:p>
    <w:p w14:paraId="6F15E6A5" w14:textId="77777777" w:rsidR="00212072" w:rsidRDefault="00212072" w:rsidP="00212072">
      <w:r w:rsidRPr="00E62751">
        <w:rPr>
          <w:b/>
          <w:bCs/>
          <w:u w:val="single"/>
        </w:rPr>
        <w:t xml:space="preserve">The </w:t>
      </w:r>
      <w:r w:rsidRPr="007E25CF">
        <w:rPr>
          <w:b/>
          <w:bCs/>
          <w:highlight w:val="cyan"/>
          <w:u w:val="single"/>
        </w:rPr>
        <w:t>[NLRA]</w:t>
      </w:r>
      <w:r>
        <w:t xml:space="preserve"> </w:t>
      </w:r>
      <w:r w:rsidRPr="001F7752">
        <w:t xml:space="preserve">National Labor Relations Act (the “Act”) explicitly </w:t>
      </w:r>
      <w:r w:rsidRPr="00E62751">
        <w:rPr>
          <w:b/>
          <w:bCs/>
          <w:u w:val="single"/>
        </w:rPr>
        <w:t>enumerates several classes of laborers that are exempted</w:t>
      </w:r>
      <w:r w:rsidRPr="001F7752">
        <w:t xml:space="preserve"> from its protections for private-sector workplaces. Section 2 of the Act excludes individuals employed as agricultural laborers, those in the domestic service of any family or person in their own home, supervisors, individuals employed by their parent or spouse, independent contractors, and individuals whose employer is subject to the Railway Labor Act.1 </w:t>
      </w:r>
      <w:r w:rsidRPr="007E25CF">
        <w:rPr>
          <w:b/>
          <w:bCs/>
          <w:highlight w:val="cyan"/>
          <w:u w:val="single"/>
        </w:rPr>
        <w:t>Exclusion</w:t>
      </w:r>
      <w:r w:rsidRPr="00452F5D">
        <w:rPr>
          <w:b/>
          <w:bCs/>
          <w:u w:val="single"/>
        </w:rPr>
        <w:t xml:space="preserve"> from the Act</w:t>
      </w:r>
      <w:r w:rsidRPr="001F7752">
        <w:t xml:space="preserve">’s statutory definition of “employee” </w:t>
      </w:r>
      <w:r w:rsidRPr="007E25CF">
        <w:rPr>
          <w:b/>
          <w:bCs/>
          <w:highlight w:val="cyan"/>
          <w:u w:val="single"/>
        </w:rPr>
        <w:t>begets exclusion from the</w:t>
      </w:r>
      <w:r w:rsidRPr="00452F5D">
        <w:rPr>
          <w:b/>
          <w:bCs/>
          <w:u w:val="single"/>
        </w:rPr>
        <w:t xml:space="preserve"> statute’s </w:t>
      </w:r>
      <w:r w:rsidRPr="007E25CF">
        <w:rPr>
          <w:b/>
          <w:bCs/>
          <w:highlight w:val="cyan"/>
          <w:u w:val="single"/>
        </w:rPr>
        <w:t>mission</w:t>
      </w:r>
      <w:r w:rsidRPr="001F7752">
        <w:t xml:space="preserve"> at large: </w:t>
      </w:r>
      <w:r w:rsidRPr="007E25CF">
        <w:rPr>
          <w:b/>
          <w:bCs/>
          <w:highlight w:val="cyan"/>
          <w:u w:val="single"/>
        </w:rPr>
        <w:t>to protect workplace democracy</w:t>
      </w:r>
      <w:r w:rsidRPr="001F7752">
        <w:t xml:space="preserve"> by providing a “fundamental right to seek better working conditions and designation of representation without fear of retaliation.”2 The </w:t>
      </w:r>
      <w:r w:rsidRPr="007E25CF">
        <w:rPr>
          <w:b/>
          <w:bCs/>
          <w:highlight w:val="cyan"/>
          <w:u w:val="single"/>
        </w:rPr>
        <w:t>exclusion</w:t>
      </w:r>
      <w:r w:rsidRPr="001F7752">
        <w:t xml:space="preserve"> of these groups inevitably </w:t>
      </w:r>
      <w:r w:rsidRPr="00814737">
        <w:rPr>
          <w:b/>
          <w:bCs/>
          <w:u w:val="single"/>
        </w:rPr>
        <w:t>l</w:t>
      </w:r>
      <w:r w:rsidRPr="007E25CF">
        <w:rPr>
          <w:b/>
          <w:bCs/>
          <w:highlight w:val="cyan"/>
          <w:u w:val="single"/>
        </w:rPr>
        <w:t>eaves vulnerable workers without</w:t>
      </w:r>
      <w:r w:rsidRPr="001F7752">
        <w:t xml:space="preserve"> the </w:t>
      </w:r>
      <w:r w:rsidRPr="007E25CF">
        <w:rPr>
          <w:b/>
          <w:bCs/>
          <w:highlight w:val="cyan"/>
          <w:u w:val="single"/>
        </w:rPr>
        <w:t>bargaining power</w:t>
      </w:r>
      <w:r w:rsidRPr="001F7752">
        <w:t xml:space="preserve"> provided to those awarded the distinction of “employee” and, therefore, without federal protection during labor disputes.3 However, being left off the list of the Act’s section 2 exclusions does not guarantee a worker will be safeguarded by the Act’s protections. Decisions by </w:t>
      </w:r>
      <w:r w:rsidRPr="005018D3">
        <w:rPr>
          <w:b/>
          <w:bCs/>
          <w:highlight w:val="cyan"/>
          <w:u w:val="single"/>
        </w:rPr>
        <w:t>the [NLRB]</w:t>
      </w:r>
      <w:r>
        <w:t xml:space="preserve"> </w:t>
      </w:r>
      <w:r w:rsidRPr="001F7752">
        <w:t xml:space="preserve">National Labor Review Board (the “Board”) have, over time, </w:t>
      </w:r>
      <w:r w:rsidRPr="005018D3">
        <w:rPr>
          <w:b/>
          <w:bCs/>
          <w:highlight w:val="cyan"/>
          <w:u w:val="single"/>
        </w:rPr>
        <w:t>narrowed the scope of the Act</w:t>
      </w:r>
      <w:r w:rsidRPr="00814737">
        <w:rPr>
          <w:b/>
          <w:bCs/>
          <w:u w:val="single"/>
        </w:rPr>
        <w:t>’s application beyond its enumerated</w:t>
      </w:r>
      <w:r w:rsidRPr="001F7752">
        <w:t xml:space="preserve"> </w:t>
      </w:r>
      <w:r w:rsidRPr="00814737">
        <w:rPr>
          <w:b/>
          <w:bCs/>
          <w:u w:val="single"/>
        </w:rPr>
        <w:t>exceptions</w:t>
      </w:r>
      <w:r w:rsidRPr="001F7752">
        <w:t>.4 In 2004, the Board appointed by George W. Bush relied on past</w:t>
      </w:r>
      <w:r>
        <w:t xml:space="preserve"> </w:t>
      </w:r>
      <w:r w:rsidRPr="001F7752">
        <w:t>decisions to exclude disabled</w:t>
      </w:r>
      <w:r>
        <w:t xml:space="preserve"> </w:t>
      </w:r>
      <w:r w:rsidRPr="001F7752">
        <w:t xml:space="preserve">5 workers, creating grounds to reenforce and cement the “primarily rehabilitative” standard, which declared employer–employee relationships that were “primarily rehabilitative” (instead of “typically industrial”) exempt from the Act’s definition of employee.6 </w:t>
      </w:r>
      <w:r w:rsidRPr="005018D3">
        <w:rPr>
          <w:b/>
          <w:bCs/>
          <w:highlight w:val="cyan"/>
          <w:u w:val="single"/>
        </w:rPr>
        <w:t>In Brevard</w:t>
      </w:r>
      <w:r w:rsidRPr="007B15B4">
        <w:rPr>
          <w:b/>
          <w:bCs/>
          <w:u w:val="single"/>
        </w:rPr>
        <w:t xml:space="preserve"> Achievement Center, </w:t>
      </w:r>
      <w:r w:rsidRPr="005018D3">
        <w:rPr>
          <w:b/>
          <w:bCs/>
          <w:highlight w:val="cyan"/>
          <w:u w:val="single"/>
        </w:rPr>
        <w:t>the Board held that the affected disabled employees were in a primarily rehabilitative relationship with their employer and thus inhibited their power to collectively</w:t>
      </w:r>
      <w:r w:rsidRPr="007B15B4">
        <w:rPr>
          <w:b/>
          <w:bCs/>
          <w:u w:val="single"/>
        </w:rPr>
        <w:t xml:space="preserve"> organize and </w:t>
      </w:r>
      <w:r w:rsidRPr="005018D3">
        <w:rPr>
          <w:b/>
          <w:bCs/>
          <w:highlight w:val="cyan"/>
          <w:u w:val="single"/>
        </w:rPr>
        <w:t>bargain</w:t>
      </w:r>
      <w:r w:rsidRPr="007B15B4">
        <w:rPr>
          <w:b/>
          <w:bCs/>
          <w:u w:val="single"/>
        </w:rPr>
        <w:t xml:space="preserve"> for improvements in labor conditions</w:t>
      </w:r>
      <w:r w:rsidRPr="001F7752">
        <w:t xml:space="preserve"> in their workplace.7 The Board’s decision to exclude certain populations of workers from the definition of “employee” has received some criticism,8 but Brevard’s primarily rehabilitative standard ultimately remains in place. In this note, I focus on the Board’s exclusion of workers with disabilities and the </w:t>
      </w:r>
      <w:r w:rsidRPr="006D5787">
        <w:t>way</w:t>
      </w:r>
      <w:r w:rsidRPr="002D1E75">
        <w:rPr>
          <w:b/>
          <w:bCs/>
          <w:u w:val="single"/>
        </w:rPr>
        <w:t xml:space="preserve"> </w:t>
      </w:r>
      <w:r w:rsidRPr="00D32AEB">
        <w:rPr>
          <w:b/>
          <w:bCs/>
          <w:highlight w:val="cyan"/>
          <w:u w:val="single"/>
        </w:rPr>
        <w:t>Brevard contributes to the social stigma and misconceptions at the core of disability discrimination</w:t>
      </w:r>
      <w:r w:rsidRPr="001F7752">
        <w:t xml:space="preserve">. Part II provides a brief background on sheltered workshops and the disability rights movement regarding labor and employment before detailing the current state of disability labor rights. Part III presents arguments against the primarily rehabilitative standard and emphasizes the flaws of its practical application while reasoning that disabled workers should qualify as statutory employees under the Act. Part IV considers the ways </w:t>
      </w:r>
      <w:r w:rsidRPr="00D32AEB">
        <w:rPr>
          <w:b/>
          <w:bCs/>
          <w:highlight w:val="cyan"/>
          <w:u w:val="single"/>
        </w:rPr>
        <w:t>societal stereotypes and stigma have affected disabled employees’ legal protections</w:t>
      </w:r>
      <w:r w:rsidRPr="006D5787">
        <w:rPr>
          <w:b/>
          <w:bCs/>
          <w:u w:val="single"/>
        </w:rPr>
        <w:t xml:space="preserve"> by influencing the Board’s understanding of who “deserves” protections under the Act.</w:t>
      </w:r>
      <w:r w:rsidRPr="001F7752">
        <w:t xml:space="preserve"> Part V explores how other groups have been similarly excluded from the Act’s statutory employee protections by Board decisions. Finally, part VI examines the future of the primarily rehabilitative standard.</w:t>
      </w:r>
    </w:p>
    <w:p w14:paraId="363E4466" w14:textId="77777777" w:rsidR="00212072" w:rsidRDefault="00212072" w:rsidP="00212072"/>
    <w:p w14:paraId="0DD2CBA8" w14:textId="77777777" w:rsidR="00212072" w:rsidRDefault="00212072" w:rsidP="00212072"/>
    <w:p w14:paraId="6ADBB443" w14:textId="77777777" w:rsidR="00212072" w:rsidRDefault="00212072" w:rsidP="00212072">
      <w:pPr>
        <w:pStyle w:val="Heading4"/>
      </w:pPr>
      <w:r>
        <w:t>Union protections are necessary for disabled workers</w:t>
      </w:r>
    </w:p>
    <w:p w14:paraId="099F4C14"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6" w:history="1">
        <w:r w:rsidRPr="008A12E8">
          <w:rPr>
            <w:rStyle w:val="Hyperlink"/>
          </w:rPr>
          <w:t>https://scholarship.law.upenn.edu/cgi/viewcontent.cgi?article=1299&amp;context=jlasc</w:t>
        </w:r>
      </w:hyperlink>
      <w:r>
        <w:t xml:space="preserve">, DoA 2/21/2026, DVOG) </w:t>
      </w:r>
    </w:p>
    <w:p w14:paraId="3F3657BC" w14:textId="77777777" w:rsidR="00212072" w:rsidRPr="00F2571C" w:rsidRDefault="00212072" w:rsidP="00212072">
      <w:pPr>
        <w:rPr>
          <w:b/>
          <w:bCs/>
          <w:u w:val="single"/>
        </w:rPr>
      </w:pPr>
      <w:r w:rsidRPr="00DB18A5">
        <w:t xml:space="preserve">Why is it important for disabled employees to be classified as statutory employees under the NLRA? </w:t>
      </w:r>
      <w:r w:rsidRPr="00346983">
        <w:rPr>
          <w:b/>
          <w:bCs/>
          <w:highlight w:val="cyan"/>
          <w:u w:val="single"/>
        </w:rPr>
        <w:t>Workers not</w:t>
      </w:r>
      <w:r w:rsidRPr="0087621D">
        <w:rPr>
          <w:b/>
          <w:bCs/>
          <w:u w:val="single"/>
        </w:rPr>
        <w:t xml:space="preserve"> recognized </w:t>
      </w:r>
      <w:r w:rsidRPr="00346983">
        <w:rPr>
          <w:b/>
          <w:bCs/>
          <w:highlight w:val="cyan"/>
          <w:u w:val="single"/>
        </w:rPr>
        <w:t>under the NLRA are not granted</w:t>
      </w:r>
      <w:r w:rsidRPr="0087621D">
        <w:rPr>
          <w:b/>
          <w:bCs/>
          <w:u w:val="single"/>
        </w:rPr>
        <w:t xml:space="preserve"> the Act’s </w:t>
      </w:r>
      <w:r w:rsidRPr="00346983">
        <w:rPr>
          <w:b/>
          <w:bCs/>
          <w:highlight w:val="cyan"/>
          <w:u w:val="single"/>
        </w:rPr>
        <w:t>protections to</w:t>
      </w:r>
      <w:r w:rsidRPr="0087621D">
        <w:rPr>
          <w:b/>
          <w:bCs/>
          <w:u w:val="single"/>
        </w:rPr>
        <w:t xml:space="preserve"> “self-organization, to . . . join . . . labor organizations, to </w:t>
      </w:r>
      <w:r w:rsidRPr="00346983">
        <w:rPr>
          <w:b/>
          <w:bCs/>
          <w:highlight w:val="cyan"/>
          <w:u w:val="single"/>
        </w:rPr>
        <w:t>bargain collectively</w:t>
      </w:r>
      <w:r w:rsidRPr="0087621D">
        <w:rPr>
          <w:b/>
          <w:bCs/>
          <w:u w:val="single"/>
        </w:rPr>
        <w:t xml:space="preserve"> . . . , and to engage in other concerted activities</w:t>
      </w:r>
      <w:r w:rsidRPr="00DB18A5">
        <w:t xml:space="preserve"> for the purpose of collective bargaining or other mutual aid or protection.”31 </w:t>
      </w:r>
      <w:r w:rsidRPr="00346983">
        <w:rPr>
          <w:b/>
          <w:bCs/>
          <w:highlight w:val="cyan"/>
          <w:u w:val="single"/>
        </w:rPr>
        <w:t>These rights create a “freedom of association,” which is one of</w:t>
      </w:r>
      <w:r w:rsidRPr="0087621D">
        <w:rPr>
          <w:b/>
          <w:bCs/>
          <w:u w:val="single"/>
        </w:rPr>
        <w:t xml:space="preserve"> only four </w:t>
      </w:r>
      <w:r w:rsidRPr="00346983">
        <w:rPr>
          <w:b/>
          <w:bCs/>
          <w:highlight w:val="cyan"/>
          <w:u w:val="single"/>
        </w:rPr>
        <w:t>fundamental workers’ rights</w:t>
      </w:r>
      <w:r w:rsidRPr="0087621D">
        <w:rPr>
          <w:b/>
          <w:bCs/>
          <w:u w:val="single"/>
        </w:rPr>
        <w:t xml:space="preserve"> </w:t>
      </w:r>
      <w:r w:rsidRPr="00DB18A5">
        <w:t xml:space="preserve">declared by the International Labour Organisation.32 While not all disabled employees work in rehabilitative settings, </w:t>
      </w:r>
      <w:r w:rsidRPr="00346983">
        <w:rPr>
          <w:b/>
          <w:bCs/>
          <w:highlight w:val="cyan"/>
          <w:u w:val="single"/>
        </w:rPr>
        <w:t>disabled workers</w:t>
      </w:r>
      <w:r w:rsidRPr="00F2571C">
        <w:rPr>
          <w:b/>
          <w:bCs/>
          <w:u w:val="single"/>
        </w:rPr>
        <w:t xml:space="preserve"> as a whole </w:t>
      </w:r>
      <w:r w:rsidRPr="00346983">
        <w:rPr>
          <w:b/>
          <w:bCs/>
          <w:highlight w:val="cyan"/>
          <w:u w:val="single"/>
        </w:rPr>
        <w:t>tend to be less represented in unions</w:t>
      </w:r>
      <w:r w:rsidRPr="00F2571C">
        <w:rPr>
          <w:b/>
          <w:bCs/>
          <w:u w:val="single"/>
        </w:rPr>
        <w:t xml:space="preserve">. A population study by the Center for Economic and Policy Research conducted from 2020 to 2021 found that only about ten percent of disabled workers under the age of sixty-five are union members.33 </w:t>
      </w:r>
      <w:r w:rsidRPr="00346983">
        <w:rPr>
          <w:b/>
          <w:bCs/>
          <w:highlight w:val="cyan"/>
          <w:u w:val="single"/>
        </w:rPr>
        <w:t>Unions are strongly linked to improved workplace conditions</w:t>
      </w:r>
      <w:r w:rsidRPr="00F2571C">
        <w:rPr>
          <w:b/>
          <w:bCs/>
          <w:u w:val="single"/>
        </w:rPr>
        <w:t xml:space="preserve">. The Department of Labor reports that </w:t>
      </w:r>
      <w:r w:rsidRPr="00346983">
        <w:rPr>
          <w:b/>
          <w:bCs/>
          <w:highlight w:val="cyan"/>
          <w:u w:val="single"/>
        </w:rPr>
        <w:t>unionized workers have higher pay</w:t>
      </w:r>
      <w:r w:rsidRPr="00F2571C">
        <w:rPr>
          <w:b/>
          <w:bCs/>
          <w:u w:val="single"/>
        </w:rPr>
        <w:t xml:space="preserve"> (eighteen percent more than nonunionized workers on average), </w:t>
      </w:r>
      <w:r w:rsidRPr="00346983">
        <w:rPr>
          <w:b/>
          <w:bCs/>
          <w:highlight w:val="cyan"/>
          <w:u w:val="single"/>
        </w:rPr>
        <w:t>stronger enforcement of safety and health laws</w:t>
      </w:r>
      <w:r w:rsidRPr="00F2571C">
        <w:rPr>
          <w:b/>
          <w:bCs/>
          <w:u w:val="single"/>
        </w:rPr>
        <w:t xml:space="preserve">, lower gender-based pay gaps, </w:t>
      </w:r>
      <w:r w:rsidRPr="00346983">
        <w:rPr>
          <w:b/>
          <w:bCs/>
          <w:highlight w:val="cyan"/>
          <w:u w:val="single"/>
        </w:rPr>
        <w:t>better retirement plans, and</w:t>
      </w:r>
      <w:r w:rsidRPr="00F2571C">
        <w:rPr>
          <w:b/>
          <w:bCs/>
          <w:u w:val="single"/>
        </w:rPr>
        <w:t xml:space="preserve"> a higher likelihood of receiving </w:t>
      </w:r>
      <w:r w:rsidRPr="00346983">
        <w:rPr>
          <w:b/>
          <w:bCs/>
          <w:highlight w:val="cyan"/>
          <w:u w:val="single"/>
        </w:rPr>
        <w:t>paid leave</w:t>
      </w:r>
      <w:r w:rsidRPr="00F2571C">
        <w:rPr>
          <w:b/>
          <w:bCs/>
          <w:u w:val="single"/>
        </w:rPr>
        <w:t xml:space="preserve">.34 Unions also have substantial impacts on workers and their communities outside of the workplace. States with the highest union densities report </w:t>
      </w:r>
      <w:r w:rsidRPr="00102239">
        <w:rPr>
          <w:b/>
          <w:bCs/>
          <w:highlight w:val="cyan"/>
          <w:u w:val="single"/>
        </w:rPr>
        <w:t>minimum wages that are forty percent higher, have lower uninsured populations, have fewer restrictive voting laws, and are more likely to have laws protecting paid sick, medical, and family leave</w:t>
      </w:r>
      <w:r w:rsidRPr="00F2571C">
        <w:rPr>
          <w:b/>
          <w:bCs/>
          <w:u w:val="single"/>
        </w:rPr>
        <w:t xml:space="preserve"> than those in lowunion-density states.35 Existing scholarship has also demonstrated </w:t>
      </w:r>
      <w:r w:rsidRPr="00102239">
        <w:rPr>
          <w:b/>
          <w:bCs/>
          <w:highlight w:val="cyan"/>
          <w:u w:val="single"/>
        </w:rPr>
        <w:t>the positive impact of unions on race relations, government revenue through taxes, and both gender and race-based disparities.</w:t>
      </w:r>
      <w:r w:rsidRPr="00F2571C">
        <w:rPr>
          <w:b/>
          <w:bCs/>
          <w:u w:val="single"/>
        </w:rPr>
        <w:t xml:space="preserve">36 Further, </w:t>
      </w:r>
      <w:r w:rsidRPr="00EF0D93">
        <w:rPr>
          <w:b/>
          <w:bCs/>
          <w:highlight w:val="cyan"/>
          <w:u w:val="single"/>
        </w:rPr>
        <w:t>unions have the ability to help shift public perception and address social stigma, including those regarding disability. An analysis of seventy-two arbitration cases revealed unions can play a role in “nudging collective beliefs and norms about” disability accommodations and reduce stigma</w:t>
      </w:r>
      <w:r w:rsidRPr="00F2571C">
        <w:rPr>
          <w:b/>
          <w:bCs/>
          <w:u w:val="single"/>
        </w:rPr>
        <w:t xml:space="preserve">.37 By preventing rehabilitative workplaces from unionizing, the Board hinders potential progress for disabled workers, their work environments, and their communities. </w:t>
      </w:r>
    </w:p>
    <w:p w14:paraId="22D0912E" w14:textId="77777777" w:rsidR="00212072" w:rsidRDefault="00212072" w:rsidP="00212072">
      <w:r w:rsidRPr="00DB18A5">
        <w:t xml:space="preserve">II. THE ARGUMENT FOR RECOGNITION AS STATUTORY EMPLOYEES </w:t>
      </w:r>
    </w:p>
    <w:p w14:paraId="365E48EF" w14:textId="77777777" w:rsidR="00212072" w:rsidRDefault="00212072" w:rsidP="00212072">
      <w:pPr>
        <w:pStyle w:val="ListParagraph"/>
        <w:numPr>
          <w:ilvl w:val="0"/>
          <w:numId w:val="15"/>
        </w:numPr>
      </w:pPr>
      <w:r w:rsidRPr="00DB18A5">
        <w:t xml:space="preserve">Brevard and the Primarily Rehabilitative Standard </w:t>
      </w:r>
    </w:p>
    <w:p w14:paraId="5A20CDA4" w14:textId="77777777" w:rsidR="00212072" w:rsidRDefault="00212072" w:rsidP="00212072">
      <w:r w:rsidRPr="00C63EF3">
        <w:rPr>
          <w:b/>
          <w:bCs/>
          <w:highlight w:val="cyan"/>
          <w:u w:val="single"/>
        </w:rPr>
        <w:t>When the Board excludes workers from the Act’s protections, it precludes them from the opportunity to bargain for these benefits</w:t>
      </w:r>
      <w:r w:rsidRPr="00374779">
        <w:rPr>
          <w:b/>
          <w:bCs/>
          <w:u w:val="single"/>
        </w:rPr>
        <w:t xml:space="preserve"> and challenge employers over unfair labor practices.</w:t>
      </w:r>
      <w:r w:rsidRPr="00DB18A5">
        <w:t xml:space="preserve"> Brevard was not the Board’s first decision to decline jurisdiction over employees with disabilities who receive rehabilitative support.</w:t>
      </w:r>
      <w:r>
        <w:t xml:space="preserve"> </w:t>
      </w:r>
      <w:r w:rsidRPr="00DB18A5">
        <w:t xml:space="preserve">The Board also declined to assert its jurisdiction over this population in several earlier cases, although before Brevard, the standard was often, but not consistently, based on the relationship between employee and employer.38 Still, in other pre-Brevard cases, the Board did choose to extend statutory coverage to rehabilitative workplaces, though these decisions were sometimes met with a court reversal.39 </w:t>
      </w:r>
      <w:r w:rsidRPr="00C63EF3">
        <w:rPr>
          <w:b/>
          <w:bCs/>
          <w:highlight w:val="cyan"/>
          <w:u w:val="single"/>
        </w:rPr>
        <w:t>Brevard provided</w:t>
      </w:r>
      <w:r w:rsidRPr="008F0335">
        <w:rPr>
          <w:b/>
          <w:bCs/>
          <w:u w:val="single"/>
        </w:rPr>
        <w:t xml:space="preserve"> the Board with a prime </w:t>
      </w:r>
      <w:r w:rsidRPr="00C63EF3">
        <w:rPr>
          <w:b/>
          <w:bCs/>
          <w:highlight w:val="cyan"/>
          <w:u w:val="single"/>
        </w:rPr>
        <w:t>opportunity to</w:t>
      </w:r>
      <w:r w:rsidRPr="008F0335">
        <w:rPr>
          <w:b/>
          <w:bCs/>
          <w:u w:val="single"/>
        </w:rPr>
        <w:t xml:space="preserve"> revisit longstanding precedential inconsistencies and </w:t>
      </w:r>
      <w:r w:rsidRPr="00C63EF3">
        <w:rPr>
          <w:b/>
          <w:bCs/>
          <w:highlight w:val="cyan"/>
          <w:u w:val="single"/>
        </w:rPr>
        <w:t>align labor policy with the</w:t>
      </w:r>
      <w:r w:rsidRPr="008F0335">
        <w:rPr>
          <w:b/>
          <w:bCs/>
          <w:u w:val="single"/>
        </w:rPr>
        <w:t xml:space="preserve"> ongoing </w:t>
      </w:r>
      <w:r w:rsidRPr="00C63EF3">
        <w:rPr>
          <w:b/>
          <w:bCs/>
          <w:highlight w:val="cyan"/>
          <w:u w:val="single"/>
        </w:rPr>
        <w:t>disability rights movement</w:t>
      </w:r>
      <w:r w:rsidRPr="008F0335">
        <w:rPr>
          <w:b/>
          <w:bCs/>
          <w:u w:val="single"/>
        </w:rPr>
        <w:t xml:space="preserve">.40 However, </w:t>
      </w:r>
      <w:r w:rsidRPr="00C63EF3">
        <w:rPr>
          <w:b/>
          <w:bCs/>
          <w:highlight w:val="cyan"/>
          <w:u w:val="single"/>
        </w:rPr>
        <w:t>it chose not to do so</w:t>
      </w:r>
      <w:r w:rsidRPr="00DB18A5">
        <w:t>.41</w:t>
      </w:r>
    </w:p>
    <w:p w14:paraId="377DFE18" w14:textId="77777777" w:rsidR="00212072" w:rsidRDefault="00212072" w:rsidP="00212072"/>
    <w:p w14:paraId="7789BFAC" w14:textId="77777777" w:rsidR="00212072" w:rsidRDefault="00212072" w:rsidP="00212072">
      <w:pPr>
        <w:pStyle w:val="Heading4"/>
      </w:pPr>
      <w:r>
        <w:t xml:space="preserve">“Primarily rehabilitative” standard contradicts the NLRA’s legislative intent and puts disabled workers at a disadvantage </w:t>
      </w:r>
    </w:p>
    <w:p w14:paraId="7A8B2B55" w14:textId="77777777" w:rsidR="00212072" w:rsidRPr="00C92675"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7" w:history="1">
        <w:r w:rsidRPr="008A12E8">
          <w:rPr>
            <w:rStyle w:val="Hyperlink"/>
          </w:rPr>
          <w:t>https://scholarship.law.upenn.edu/cgi/viewcontent.cgi?article=1299&amp;context=jlasc</w:t>
        </w:r>
      </w:hyperlink>
      <w:r>
        <w:t xml:space="preserve">, DoA 2/21/2026, DVOG) </w:t>
      </w:r>
    </w:p>
    <w:p w14:paraId="480A53D7" w14:textId="77777777" w:rsidR="00212072" w:rsidRDefault="00212072" w:rsidP="00212072">
      <w:r w:rsidRPr="00DB18A5">
        <w:t xml:space="preserve">Critiquing the Rehabilitative Standard </w:t>
      </w:r>
    </w:p>
    <w:p w14:paraId="4F3F319A" w14:textId="77777777" w:rsidR="00212072" w:rsidRPr="00B11BFF" w:rsidRDefault="00212072" w:rsidP="00212072">
      <w:pPr>
        <w:rPr>
          <w:b/>
          <w:bCs/>
          <w:u w:val="single"/>
        </w:rPr>
      </w:pPr>
      <w:r w:rsidRPr="00DB18A5">
        <w:t xml:space="preserve">Brevard was decided under a Board appointed by President George W. Bush (sometimes called the “Bush II Board”),80 which took its liberty to read several populations out of the NLRA.81 Each of the affected populations was excluded for the same core reason: according to the Board, they did not have a primarily economic relationship with their employer.82 But if the majority of NLRB precedent since Brevard has ruled in favor of disabled employees, </w:t>
      </w:r>
      <w:r w:rsidRPr="00B11BFF">
        <w:rPr>
          <w:b/>
          <w:bCs/>
          <w:u w:val="single"/>
        </w:rPr>
        <w:t xml:space="preserve">is </w:t>
      </w:r>
      <w:r w:rsidRPr="004C1CA2">
        <w:rPr>
          <w:b/>
          <w:bCs/>
          <w:highlight w:val="cyan"/>
          <w:u w:val="single"/>
        </w:rPr>
        <w:t>the rehabilitative standard</w:t>
      </w:r>
      <w:r w:rsidRPr="00B11BFF">
        <w:rPr>
          <w:b/>
          <w:bCs/>
          <w:u w:val="single"/>
        </w:rPr>
        <w:t xml:space="preserve"> all that problematic? Despite recent cases ruling in favor of statutory coverage, the Standard </w:t>
      </w:r>
      <w:r w:rsidRPr="004C1CA2">
        <w:rPr>
          <w:b/>
          <w:bCs/>
          <w:highlight w:val="cyan"/>
          <w:u w:val="single"/>
        </w:rPr>
        <w:t>maintains an avenue for employers to</w:t>
      </w:r>
      <w:r w:rsidRPr="00B11BFF">
        <w:rPr>
          <w:b/>
          <w:bCs/>
          <w:u w:val="single"/>
        </w:rPr>
        <w:t xml:space="preserve"> claim a rehabilitative relationship, </w:t>
      </w:r>
      <w:r w:rsidRPr="004C1CA2">
        <w:rPr>
          <w:b/>
          <w:bCs/>
          <w:highlight w:val="cyan"/>
          <w:u w:val="single"/>
        </w:rPr>
        <w:t>prevent</w:t>
      </w:r>
      <w:r w:rsidRPr="00B11BFF">
        <w:rPr>
          <w:b/>
          <w:bCs/>
          <w:u w:val="single"/>
        </w:rPr>
        <w:t xml:space="preserve">ing </w:t>
      </w:r>
      <w:r w:rsidRPr="004C1CA2">
        <w:rPr>
          <w:b/>
          <w:bCs/>
          <w:highlight w:val="cyan"/>
          <w:u w:val="single"/>
        </w:rPr>
        <w:t>unionization</w:t>
      </w:r>
      <w:r w:rsidRPr="00B11BFF">
        <w:rPr>
          <w:b/>
          <w:bCs/>
          <w:u w:val="single"/>
        </w:rPr>
        <w:t xml:space="preserve"> of their workforce, and for future Boards to declare nearly any workplace with a majority-disabled workforce “rehabilitative.” The rehabilitative standard has several key issues: it contradicts the NLRA’s language and legislative intent, it is based on unfounded concerns, it is conflict with federal disability rights law, it presumes employer goodwill, it is inconsistent and political in nature, and it lacks economic nuance. </w:t>
      </w:r>
    </w:p>
    <w:p w14:paraId="465EBA43" w14:textId="77777777" w:rsidR="00212072" w:rsidRDefault="00212072" w:rsidP="00212072">
      <w:pPr>
        <w:pStyle w:val="ListParagraph"/>
        <w:numPr>
          <w:ilvl w:val="0"/>
          <w:numId w:val="16"/>
        </w:numPr>
      </w:pPr>
      <w:r w:rsidRPr="00DB18A5">
        <w:t xml:space="preserve">The Standard Contradicts the NLRA’s Language and Legislative Intent </w:t>
      </w:r>
    </w:p>
    <w:p w14:paraId="3B1C6399" w14:textId="77777777" w:rsidR="00212072" w:rsidRPr="0026105C" w:rsidRDefault="00212072" w:rsidP="00212072">
      <w:pPr>
        <w:ind w:left="360"/>
        <w:rPr>
          <w:b/>
          <w:bCs/>
          <w:u w:val="single"/>
        </w:rPr>
      </w:pPr>
      <w:r w:rsidRPr="004C1CA2">
        <w:rPr>
          <w:b/>
          <w:bCs/>
          <w:highlight w:val="cyan"/>
          <w:u w:val="single"/>
        </w:rPr>
        <w:t>The Board’s exclusion of workers who have a rehabilitative relationship with their employer is misaligned with the Act</w:t>
      </w:r>
      <w:r w:rsidRPr="0026105C">
        <w:rPr>
          <w:b/>
          <w:bCs/>
          <w:u w:val="single"/>
        </w:rPr>
        <w:t>’s language and its intent.</w:t>
      </w:r>
      <w:r w:rsidRPr="00DB18A5">
        <w:t xml:space="preserve"> Section 2(3) of the Act reads, “[t]he term ‘employee’ shall include any employee” before listing the excepted categories,83 leaving opportunity for broad application of “employee” outside the exceptions. The Act</w:t>
      </w:r>
      <w:r>
        <w:t xml:space="preserve"> </w:t>
      </w:r>
      <w:r w:rsidRPr="00DB18A5">
        <w:t xml:space="preserve">makes no further mention of a wage requirement or restrictions on what benefits employers can provide to employees under this definition. In its Brevard decision—and others excepting specific workers from coverage84—the Board has chosen to contradict the inclusive statutory language to renounce jurisdiction over entire categories of employees.85 As labor scholar Anne Marie Lofaso candidly points out, </w:t>
      </w:r>
      <w:r w:rsidRPr="0026105C">
        <w:rPr>
          <w:b/>
          <w:bCs/>
          <w:u w:val="single"/>
        </w:rPr>
        <w:t xml:space="preserve">this </w:t>
      </w:r>
      <w:r w:rsidRPr="004C1CA2">
        <w:rPr>
          <w:b/>
          <w:bCs/>
          <w:highlight w:val="cyan"/>
          <w:u w:val="single"/>
        </w:rPr>
        <w:t>narrowing of what constitutes a “statutory employee</w:t>
      </w:r>
      <w:r w:rsidRPr="0026105C">
        <w:rPr>
          <w:b/>
          <w:bCs/>
          <w:u w:val="single"/>
        </w:rPr>
        <w:t xml:space="preserve">” appears to </w:t>
      </w:r>
      <w:r w:rsidRPr="004C1CA2">
        <w:rPr>
          <w:b/>
          <w:bCs/>
          <w:highlight w:val="cyan"/>
          <w:u w:val="single"/>
        </w:rPr>
        <w:t>fly in the face of Congress’ policy intention that the Board extend protections</w:t>
      </w:r>
      <w:r w:rsidRPr="0026105C">
        <w:rPr>
          <w:b/>
          <w:bCs/>
          <w:u w:val="single"/>
        </w:rPr>
        <w:t xml:space="preserve"> to as many members of the working class as reasonably possible.86 </w:t>
      </w:r>
    </w:p>
    <w:p w14:paraId="4B25B475" w14:textId="77777777" w:rsidR="00212072" w:rsidRDefault="00212072" w:rsidP="00212072">
      <w:pPr>
        <w:ind w:left="360"/>
      </w:pPr>
      <w:r w:rsidRPr="00DB18A5">
        <w:t xml:space="preserve">The Act’s findings and policy section describes its purpose: </w:t>
      </w:r>
    </w:p>
    <w:p w14:paraId="0088B81C" w14:textId="77777777" w:rsidR="00212072" w:rsidRDefault="00212072" w:rsidP="00212072">
      <w:pPr>
        <w:ind w:left="360"/>
      </w:pPr>
      <w:r w:rsidRPr="00DB18A5">
        <w:t xml:space="preserve">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industries.87 </w:t>
      </w:r>
    </w:p>
    <w:p w14:paraId="180BC837" w14:textId="77777777" w:rsidR="00212072" w:rsidRPr="00762756" w:rsidRDefault="00212072" w:rsidP="00212072">
      <w:pPr>
        <w:ind w:left="360"/>
        <w:rPr>
          <w:b/>
          <w:bCs/>
          <w:u w:val="single"/>
        </w:rPr>
      </w:pPr>
      <w:r w:rsidRPr="004C1CA2">
        <w:rPr>
          <w:b/>
          <w:bCs/>
          <w:highlight w:val="cyan"/>
          <w:u w:val="single"/>
        </w:rPr>
        <w:t>When rehabilitative employment is excluded</w:t>
      </w:r>
      <w:r w:rsidRPr="00762756">
        <w:rPr>
          <w:b/>
          <w:bCs/>
          <w:u w:val="single"/>
        </w:rPr>
        <w:t xml:space="preserve"> from the Act’s protections, </w:t>
      </w:r>
      <w:r w:rsidRPr="004C1CA2">
        <w:rPr>
          <w:b/>
          <w:bCs/>
          <w:highlight w:val="cyan"/>
          <w:u w:val="single"/>
        </w:rPr>
        <w:t>the law fails to correct the unequal power balance Congress was concerned about</w:t>
      </w:r>
      <w:r w:rsidRPr="00762756">
        <w:rPr>
          <w:b/>
          <w:bCs/>
          <w:u w:val="single"/>
        </w:rPr>
        <w:t xml:space="preserve"> during passage. As it stands, </w:t>
      </w:r>
      <w:r w:rsidRPr="004C1CA2">
        <w:rPr>
          <w:b/>
          <w:bCs/>
          <w:highlight w:val="cyan"/>
          <w:u w:val="single"/>
        </w:rPr>
        <w:t>an employer can hire, fire, discipline, and make unilateral decisions about its workforce of disabled employees without consequence,</w:t>
      </w:r>
      <w:r w:rsidRPr="00762756">
        <w:rPr>
          <w:b/>
          <w:bCs/>
          <w:u w:val="single"/>
        </w:rPr>
        <w:t xml:space="preserve"> so long as it can prove the relationship was sufficiently rehabilitative. </w:t>
      </w:r>
      <w:r w:rsidRPr="004C1CA2">
        <w:rPr>
          <w:b/>
          <w:bCs/>
          <w:highlight w:val="cyan"/>
          <w:u w:val="single"/>
        </w:rPr>
        <w:t>With NLRA protections, disabled employees would have the opportunity to bargain for pay raises and accommodation procedures, go on strike, and file unfair labor practice claims</w:t>
      </w:r>
      <w:r w:rsidRPr="00762756">
        <w:rPr>
          <w:b/>
          <w:bCs/>
          <w:u w:val="single"/>
        </w:rPr>
        <w:t xml:space="preserve"> against employers.88 For those who believe disabled employees are a vulnerable population in need of workplace supports, </w:t>
      </w:r>
      <w:r w:rsidRPr="007D58F8">
        <w:rPr>
          <w:b/>
          <w:bCs/>
          <w:highlight w:val="cyan"/>
          <w:u w:val="single"/>
        </w:rPr>
        <w:t>alarm bells should ring when considering the current legal standard leaves them unable to officially organize</w:t>
      </w:r>
      <w:r w:rsidRPr="00762756">
        <w:rPr>
          <w:b/>
          <w:bCs/>
          <w:u w:val="single"/>
        </w:rPr>
        <w:t xml:space="preserve"> to improve their own labor conditions.</w:t>
      </w:r>
      <w:r w:rsidRPr="00DB18A5">
        <w:t xml:space="preserve"> As it is, employment levels for working-age people with disabilities fall far below those without disabilities.89 Failing to recognize the right to organize and collectively bargain for these workers only further discourages efforts to promote participation in the workforce for those with disabilities. </w:t>
      </w:r>
      <w:r w:rsidRPr="00762756">
        <w:rPr>
          <w:b/>
          <w:bCs/>
          <w:u w:val="single"/>
        </w:rPr>
        <w:t xml:space="preserve">The Board’s </w:t>
      </w:r>
      <w:r w:rsidRPr="007D58F8">
        <w:rPr>
          <w:b/>
          <w:bCs/>
          <w:highlight w:val="cyan"/>
          <w:u w:val="single"/>
        </w:rPr>
        <w:t>Brevard</w:t>
      </w:r>
      <w:r w:rsidRPr="00762756">
        <w:rPr>
          <w:b/>
          <w:bCs/>
          <w:u w:val="single"/>
        </w:rPr>
        <w:t xml:space="preserve"> decision </w:t>
      </w:r>
      <w:r w:rsidRPr="007D58F8">
        <w:rPr>
          <w:b/>
          <w:bCs/>
          <w:highlight w:val="cyan"/>
          <w:u w:val="single"/>
        </w:rPr>
        <w:t>reinforced</w:t>
      </w:r>
      <w:r w:rsidRPr="00762756">
        <w:rPr>
          <w:b/>
          <w:bCs/>
          <w:u w:val="single"/>
        </w:rPr>
        <w:t xml:space="preserve"> its own historical </w:t>
      </w:r>
      <w:r w:rsidRPr="007D58F8">
        <w:rPr>
          <w:b/>
          <w:bCs/>
          <w:highlight w:val="cyan"/>
          <w:u w:val="single"/>
        </w:rPr>
        <w:t>underestimation and devaluation of the labor of these employees.</w:t>
      </w:r>
    </w:p>
    <w:p w14:paraId="170CA8BF" w14:textId="77777777" w:rsidR="00212072" w:rsidRDefault="00212072" w:rsidP="00212072">
      <w:pPr>
        <w:ind w:left="360"/>
      </w:pPr>
    </w:p>
    <w:p w14:paraId="5BB2604B" w14:textId="77777777" w:rsidR="00212072" w:rsidRDefault="00212072" w:rsidP="00212072">
      <w:pPr>
        <w:pStyle w:val="Heading4"/>
      </w:pPr>
      <w:r>
        <w:t xml:space="preserve">Primarily rehabilitative standard conflicts with the Americans With Disabilities Act </w:t>
      </w:r>
    </w:p>
    <w:p w14:paraId="65250894" w14:textId="77777777" w:rsidR="00212072" w:rsidRPr="00C92675"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8" w:history="1">
        <w:r w:rsidRPr="008A12E8">
          <w:rPr>
            <w:rStyle w:val="Hyperlink"/>
          </w:rPr>
          <w:t>https://scholarship.law.upenn.edu/cgi/viewcontent.cgi?article=1299&amp;context=jlasc</w:t>
        </w:r>
      </w:hyperlink>
      <w:r>
        <w:t xml:space="preserve">, DoA 2/21/2026, DVOG) </w:t>
      </w:r>
    </w:p>
    <w:p w14:paraId="58C70A81" w14:textId="77777777" w:rsidR="00212072" w:rsidRPr="00D8313E" w:rsidRDefault="00212072" w:rsidP="00212072">
      <w:pPr>
        <w:rPr>
          <w:b/>
          <w:bCs/>
          <w:u w:val="single"/>
        </w:rPr>
      </w:pPr>
      <w:r w:rsidRPr="00D8313E">
        <w:rPr>
          <w:b/>
          <w:bCs/>
          <w:highlight w:val="cyan"/>
          <w:u w:val="single"/>
        </w:rPr>
        <w:t>The Standard is in Conflict with Disability Rights Legislation</w:t>
      </w:r>
      <w:r w:rsidRPr="00D8313E">
        <w:rPr>
          <w:b/>
          <w:bCs/>
          <w:u w:val="single"/>
        </w:rPr>
        <w:t xml:space="preserve"> </w:t>
      </w:r>
    </w:p>
    <w:p w14:paraId="66EAD08D" w14:textId="77777777" w:rsidR="00212072" w:rsidRDefault="00212072" w:rsidP="00212072">
      <w:r w:rsidRPr="00175933">
        <w:rPr>
          <w:b/>
          <w:bCs/>
          <w:u w:val="single"/>
        </w:rPr>
        <w:t xml:space="preserve">A grave problem with the primarily rehabilitative standard is that </w:t>
      </w:r>
      <w:r w:rsidRPr="00D8313E">
        <w:rPr>
          <w:b/>
          <w:bCs/>
          <w:highlight w:val="cyan"/>
          <w:u w:val="single"/>
        </w:rPr>
        <w:t>it conflicts with the</w:t>
      </w:r>
      <w:r w:rsidRPr="00175933">
        <w:rPr>
          <w:b/>
          <w:bCs/>
          <w:u w:val="single"/>
        </w:rPr>
        <w:t xml:space="preserve"> Rehabilitation Act and the </w:t>
      </w:r>
      <w:r w:rsidRPr="00D8313E">
        <w:rPr>
          <w:b/>
          <w:bCs/>
          <w:highlight w:val="cyan"/>
          <w:u w:val="single"/>
        </w:rPr>
        <w:t>ADA</w:t>
      </w:r>
      <w:r w:rsidRPr="00175933">
        <w:rPr>
          <w:b/>
          <w:bCs/>
          <w:u w:val="single"/>
        </w:rPr>
        <w:t>—both designed to prohibit discrimination against individuals with disabilities</w:t>
      </w:r>
      <w:r w:rsidRPr="00C92675">
        <w:t xml:space="preserve">.92 The Rehabilitation Act of 1973 was passed with the purpose of empowering individuals with disabilities to “maximize employment, economic selfsufficiency, independence, and inclusion and integration into society,” in part through statewide workforce development systems including vocational rehabilitation.93 Under the Rehabilitation Act, programs receiving federal financial assistance (as nearly all of the sheltered workshops involved in NLRB cases do) are prohibited from excluding employees from participating in, denying benefits of, or discriminating in their activities on the basis of disability.94 But in Brevard and preceding cases, the Board gave employers under JWOD contracts a free pass to treat employees with disabilities differently than their colleagues while stripping the employees of the right to challenge that treatment under the Act. </w:t>
      </w:r>
      <w:r w:rsidRPr="00C14EBC">
        <w:rPr>
          <w:b/>
          <w:bCs/>
          <w:u w:val="single"/>
        </w:rPr>
        <w:t xml:space="preserve">In 1990, the ADA expanded disability rights by prohibiting discrimination against people with disabilities in everyday activities.95 </w:t>
      </w:r>
      <w:r w:rsidRPr="00D8313E">
        <w:rPr>
          <w:b/>
          <w:bCs/>
          <w:highlight w:val="cyan"/>
          <w:u w:val="single"/>
        </w:rPr>
        <w:t>Title I of the ADA specifically</w:t>
      </w:r>
      <w:r w:rsidRPr="00C14EBC">
        <w:rPr>
          <w:b/>
          <w:bCs/>
          <w:u w:val="single"/>
        </w:rPr>
        <w:t xml:space="preserve"> applies to employment, </w:t>
      </w:r>
      <w:r w:rsidRPr="00D8313E">
        <w:rPr>
          <w:b/>
          <w:bCs/>
          <w:highlight w:val="cyan"/>
          <w:u w:val="single"/>
        </w:rPr>
        <w:t>prohibiting employers from discriminating on the basis of disability in regard to</w:t>
      </w:r>
      <w:r w:rsidRPr="00C14EBC">
        <w:rPr>
          <w:b/>
          <w:bCs/>
          <w:u w:val="single"/>
        </w:rPr>
        <w:t xml:space="preserve"> “job application procedures, the hiring, advancement, or discharge of employees, </w:t>
      </w:r>
      <w:r w:rsidRPr="00D8313E">
        <w:rPr>
          <w:b/>
          <w:bCs/>
          <w:highlight w:val="cyan"/>
          <w:u w:val="single"/>
        </w:rPr>
        <w:t>employee compensation, job training, and other terms, conditions, and privileges of employment.”</w:t>
      </w:r>
      <w:r w:rsidRPr="00C14EBC">
        <w:rPr>
          <w:b/>
          <w:bCs/>
          <w:u w:val="single"/>
        </w:rPr>
        <w:t xml:space="preserve">96 Title I applies to employers, not the NLRB, but the Board’s </w:t>
      </w:r>
      <w:r w:rsidRPr="00D8313E">
        <w:rPr>
          <w:b/>
          <w:bCs/>
          <w:highlight w:val="cyan"/>
          <w:u w:val="single"/>
        </w:rPr>
        <w:t>primarily rehabilitative standard nonetheless directly contradicts the intent of the ADA by denying disabled employees the same right to organize that is awarded to nondisabled employees in the same role</w:t>
      </w:r>
      <w:r w:rsidRPr="00C14EBC">
        <w:rPr>
          <w:b/>
          <w:bCs/>
          <w:u w:val="single"/>
        </w:rPr>
        <w:t>, under the same employer, and doing the same work. Title II further prohibits discrimination on the basis of disability in participating in or receiving the benefits of services, programs or activities of a state or local public entity.</w:t>
      </w:r>
      <w:r w:rsidRPr="00C92675">
        <w:t xml:space="preserve">97 While the ADA itself does not apply to the executive branch of federal government, its purpose and creation, in tandem with the coverage of the Rehabilitation Act, creates a strong argument that government agencies and entities should be prohibited from discriminating on the basis of disability. In the findings and purpose section of the ADA, </w:t>
      </w:r>
      <w:r w:rsidRPr="00E27F67">
        <w:rPr>
          <w:b/>
          <w:bCs/>
          <w:highlight w:val="cyan"/>
          <w:u w:val="single"/>
        </w:rPr>
        <w:t>Congress acknowledged the unjust exclusion of people with physical and mental disabilities</w:t>
      </w:r>
      <w:r w:rsidRPr="005F63C2">
        <w:rPr>
          <w:b/>
          <w:bCs/>
          <w:u w:val="single"/>
        </w:rPr>
        <w:t xml:space="preserve"> and those regarded as having such disabilities from fully participating in all aspects of society.98 Congress </w:t>
      </w:r>
      <w:r w:rsidRPr="00E27F67">
        <w:rPr>
          <w:b/>
          <w:bCs/>
          <w:highlight w:val="cyan"/>
          <w:u w:val="single"/>
        </w:rPr>
        <w:t>explicitly names “exclusionary qualification standards and criteria, segregation, and relegation to lesser services, programs, activities, benefits, jobs, or other opportunities” as examples of the various forms of discrimination that the ADA aims to redress</w:t>
      </w:r>
      <w:r w:rsidRPr="00C92675">
        <w:t xml:space="preserve">.99 </w:t>
      </w:r>
      <w:r w:rsidRPr="005F63C2">
        <w:rPr>
          <w:b/>
          <w:bCs/>
          <w:u w:val="single"/>
        </w:rPr>
        <w:t xml:space="preserve">The </w:t>
      </w:r>
      <w:r w:rsidRPr="00E27F67">
        <w:rPr>
          <w:b/>
          <w:bCs/>
          <w:highlight w:val="cyan"/>
          <w:u w:val="single"/>
        </w:rPr>
        <w:t>Brevard</w:t>
      </w:r>
      <w:r w:rsidRPr="005F63C2">
        <w:rPr>
          <w:b/>
          <w:bCs/>
          <w:u w:val="single"/>
        </w:rPr>
        <w:t xml:space="preserve"> decision </w:t>
      </w:r>
      <w:r w:rsidRPr="00E27F67">
        <w:rPr>
          <w:b/>
          <w:bCs/>
          <w:highlight w:val="cyan"/>
          <w:u w:val="single"/>
        </w:rPr>
        <w:t>flies in the face of this</w:t>
      </w:r>
      <w:r w:rsidRPr="005F63C2">
        <w:rPr>
          <w:b/>
          <w:bCs/>
          <w:u w:val="single"/>
        </w:rPr>
        <w:t xml:space="preserve"> and the Rehabilitation Act’s legislative intent </w:t>
      </w:r>
      <w:r w:rsidRPr="00E27F67">
        <w:rPr>
          <w:b/>
          <w:bCs/>
          <w:highlight w:val="cyan"/>
          <w:u w:val="single"/>
        </w:rPr>
        <w:t>by permitting employees with disabilities to be excluded</w:t>
      </w:r>
      <w:r w:rsidRPr="005F63C2">
        <w:rPr>
          <w:b/>
          <w:bCs/>
          <w:u w:val="single"/>
        </w:rPr>
        <w:t xml:space="preserve"> under the NLRA </w:t>
      </w:r>
      <w:r w:rsidRPr="00E27F67">
        <w:rPr>
          <w:b/>
          <w:bCs/>
          <w:highlight w:val="cyan"/>
          <w:u w:val="single"/>
        </w:rPr>
        <w:t>because of</w:t>
      </w:r>
      <w:r w:rsidRPr="005F63C2">
        <w:rPr>
          <w:b/>
          <w:bCs/>
          <w:u w:val="single"/>
        </w:rPr>
        <w:t xml:space="preserve"> the </w:t>
      </w:r>
      <w:r w:rsidRPr="00E27F67">
        <w:rPr>
          <w:b/>
          <w:bCs/>
          <w:highlight w:val="cyan"/>
          <w:u w:val="single"/>
        </w:rPr>
        <w:t>supports</w:t>
      </w:r>
      <w:r w:rsidRPr="005F63C2">
        <w:rPr>
          <w:b/>
          <w:bCs/>
          <w:u w:val="single"/>
        </w:rPr>
        <w:t xml:space="preserve"> provided to encourage self-sufficiency and economic independence.100 In denying employees with disabilities the full freedom of association, </w:t>
      </w:r>
      <w:r w:rsidRPr="00E27F67">
        <w:rPr>
          <w:b/>
          <w:bCs/>
          <w:highlight w:val="cyan"/>
          <w:u w:val="single"/>
        </w:rPr>
        <w:t xml:space="preserve">the primarily rehabilitative standard suppresses integration and </w:t>
      </w:r>
      <w:r w:rsidRPr="00E27F67">
        <w:rPr>
          <w:b/>
          <w:bCs/>
          <w:u w:val="single"/>
        </w:rPr>
        <w:t xml:space="preserve">serves to </w:t>
      </w:r>
      <w:r w:rsidRPr="00E27F67">
        <w:rPr>
          <w:b/>
          <w:bCs/>
          <w:highlight w:val="cyan"/>
          <w:u w:val="single"/>
        </w:rPr>
        <w:t>undermine the purpose of federal disability rights legislation</w:t>
      </w:r>
      <w:r w:rsidRPr="00C92675">
        <w:t xml:space="preserve">. In Olmstead v. L.C. ex rel. Zimring, the Supreme Court established a standard obligating states to provide services in the least-restrictive setting that is medically appropriate without a “‘fundamental alteration’ of the state’s services or programs” under the ADA.101 Based on Olmstead, </w:t>
      </w:r>
      <w:r w:rsidRPr="005F63C2">
        <w:rPr>
          <w:b/>
          <w:bCs/>
          <w:u w:val="single"/>
        </w:rPr>
        <w:t xml:space="preserve">the </w:t>
      </w:r>
      <w:r w:rsidRPr="002B5B68">
        <w:rPr>
          <w:b/>
          <w:bCs/>
          <w:highlight w:val="cyan"/>
          <w:u w:val="single"/>
        </w:rPr>
        <w:t>segregated conditions</w:t>
      </w:r>
      <w:r w:rsidRPr="005F63C2">
        <w:rPr>
          <w:b/>
          <w:bCs/>
          <w:u w:val="single"/>
        </w:rPr>
        <w:t xml:space="preserve"> in sheltered workshops have been found to </w:t>
      </w:r>
      <w:r w:rsidRPr="002B5B68">
        <w:rPr>
          <w:b/>
          <w:bCs/>
          <w:highlight w:val="cyan"/>
          <w:u w:val="single"/>
        </w:rPr>
        <w:t>violate the ADA</w:t>
      </w:r>
      <w:r w:rsidRPr="005F63C2">
        <w:rPr>
          <w:b/>
          <w:bCs/>
          <w:u w:val="single"/>
        </w:rPr>
        <w:t xml:space="preserve">, and some states have acted to repeal their subminimum wage laws on the basis that such laws are discriminatory; however, the NLRA has not faced the same scrutiny.102 </w:t>
      </w:r>
      <w:r w:rsidRPr="002B5B68">
        <w:rPr>
          <w:b/>
          <w:bCs/>
          <w:highlight w:val="cyan"/>
          <w:u w:val="single"/>
        </w:rPr>
        <w:t>In Brevard, the Board granted employees without disabilities statutory employee status while denying it to employees with disabilities who were receiving rehabilitative supports</w:t>
      </w:r>
      <w:r w:rsidRPr="00C92675">
        <w:t>.103 That the primarily rehabilitative standard allows for two groups of employees in the same workplace</w:t>
      </w:r>
      <w:r>
        <w:t xml:space="preserve"> </w:t>
      </w:r>
      <w:r w:rsidRPr="00C92675">
        <w:t>to receive different rights under the law and provides different protections to participate in organized labor is arguably a violation of the anti-discriminatory values advanced in Olmstead. Admittedly, potential conflicts exist between the NLRA and the ADA’s requirement of reasonable workplace accommodations.104 In workplaces with disabled employees that have been granted statutory employee status, employer provision of reasonable accommodations has been argued to conflict with the Act’s prohibition against unilateral change or direct dealing.105 To address these concerns, the NLRB and Equal Employment Opportunity Commission entered into a Memorandum of Understanding in 1993 regarding the coordination of cases involving both the ADA and the NLRA.106 On the other end of that agreement, the Brevard analysis invites questions about legally mandated accommodations being used by employers to try to pass off modifications to the conditions of employment as “rehabilitative.” The “applicable terms and conditions of employment” factor (number four in the Standard) provides ample opportunity for employers to argue that accommodations such as additional training and modified disciplinary procedures for disability-related conduct indicate an exempted rehabilitative relationship, as was done in Brevard. 107</w:t>
      </w:r>
    </w:p>
    <w:p w14:paraId="594F9B52" w14:textId="77777777" w:rsidR="00212072" w:rsidRDefault="00212072" w:rsidP="00212072"/>
    <w:p w14:paraId="5E067A6B" w14:textId="77777777" w:rsidR="00212072" w:rsidRDefault="00212072" w:rsidP="00212072">
      <w:pPr>
        <w:pStyle w:val="Heading4"/>
      </w:pPr>
      <w:r>
        <w:t xml:space="preserve">“Primarily rehabilitative” incorrectly assumes employer goodwill </w:t>
      </w:r>
    </w:p>
    <w:p w14:paraId="39934EB6"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9" w:history="1">
        <w:r w:rsidRPr="008A12E8">
          <w:rPr>
            <w:rStyle w:val="Hyperlink"/>
          </w:rPr>
          <w:t>https://scholarship.law.upenn.edu/cgi/viewcontent.cgi?article=1299&amp;context=jlasc</w:t>
        </w:r>
      </w:hyperlink>
      <w:r>
        <w:t xml:space="preserve">, DoA 2/21/2026, DVOG) </w:t>
      </w:r>
    </w:p>
    <w:p w14:paraId="633F6EE9" w14:textId="77777777" w:rsidR="00212072" w:rsidRDefault="00212072" w:rsidP="00212072">
      <w:r w:rsidRPr="00C92675">
        <w:t xml:space="preserve">In its 1977 decision Goodwill Industries of Southern California (“Southern California”), </w:t>
      </w:r>
      <w:r w:rsidRPr="009E5564">
        <w:rPr>
          <w:b/>
          <w:bCs/>
          <w:u w:val="single"/>
        </w:rPr>
        <w:t xml:space="preserve">the Board claimed the employer-client relationship between Goodwill and its disabled employees was a “rare, possibly nonrecurring, instance where an employer’s concern for the welfare of his employees competes with, and in some sense displaces, the union’s ordinary concern for employee wellbeing.”108 Based on this logic, the Board declined to assert jurisdiction over the plaintiffs.109 </w:t>
      </w:r>
      <w:r w:rsidRPr="006249EA">
        <w:rPr>
          <w:b/>
          <w:bCs/>
          <w:highlight w:val="cyan"/>
          <w:u w:val="single"/>
        </w:rPr>
        <w:t>The Board decided that, because the employer already treated its employees decently</w:t>
      </w:r>
      <w:r w:rsidRPr="00C92675">
        <w:t xml:space="preserve"> (i.e., paid the same hourly wage to disabled and non-disabled employees, provided life insurance and vacation time, and allowed disabled employees more lenient disciplinary measures), </w:t>
      </w:r>
      <w:r w:rsidRPr="006249EA">
        <w:rPr>
          <w:b/>
          <w:bCs/>
          <w:highlight w:val="cyan"/>
          <w:u w:val="single"/>
        </w:rPr>
        <w:t>unionization would cause more harm than good.</w:t>
      </w:r>
      <w:r w:rsidRPr="009E5564">
        <w:rPr>
          <w:b/>
          <w:bCs/>
          <w:u w:val="single"/>
        </w:rPr>
        <w:t xml:space="preserve">110 In a decision less than three pages long, </w:t>
      </w:r>
      <w:r w:rsidRPr="006249EA">
        <w:rPr>
          <w:b/>
          <w:bCs/>
          <w:highlight w:val="cyan"/>
          <w:u w:val="single"/>
        </w:rPr>
        <w:t>the Board</w:t>
      </w:r>
      <w:r w:rsidRPr="009E5564">
        <w:rPr>
          <w:b/>
          <w:bCs/>
          <w:u w:val="single"/>
        </w:rPr>
        <w:t xml:space="preserve"> declared there was no reason the employees would need to bargain for better working conditions,111 </w:t>
      </w:r>
      <w:r w:rsidRPr="006249EA">
        <w:rPr>
          <w:b/>
          <w:bCs/>
          <w:highlight w:val="cyan"/>
          <w:u w:val="single"/>
        </w:rPr>
        <w:t>ignoring the fact that “good” employers are not replacements for unions, and failing to identify evidence for the claim that unionization would cause irreparable harm</w:t>
      </w:r>
      <w:r w:rsidRPr="00C92675">
        <w:t xml:space="preserve"> in a way that was not seen in other unionized populations. The Board sorely ignored the benefits of labor organizing that can go beyond what an employer might provide to support disabled employees.112</w:t>
      </w:r>
    </w:p>
    <w:p w14:paraId="138ED5D6" w14:textId="77777777" w:rsidR="00212072" w:rsidRDefault="00212072" w:rsidP="00212072">
      <w:r w:rsidRPr="000504BE">
        <w:t>While Southern California was decided many years before Brevard</w:t>
      </w:r>
      <w:r w:rsidRPr="001716A5">
        <w:rPr>
          <w:b/>
          <w:bCs/>
          <w:u w:val="single"/>
        </w:rPr>
        <w:t xml:space="preserve">, </w:t>
      </w:r>
      <w:r w:rsidRPr="006249EA">
        <w:rPr>
          <w:b/>
          <w:bCs/>
          <w:highlight w:val="cyan"/>
          <w:u w:val="single"/>
        </w:rPr>
        <w:t>it relies on the same problematic assumption that workplaces with rehabilitative features do not need the same legal protections for employees because of the patriarchal and caretaking nature of the relationship</w:t>
      </w:r>
      <w:r w:rsidRPr="001716A5">
        <w:rPr>
          <w:b/>
          <w:bCs/>
          <w:u w:val="single"/>
        </w:rPr>
        <w:t xml:space="preserve"> between the employees and employers.113 In fact, </w:t>
      </w:r>
      <w:r w:rsidRPr="006249EA">
        <w:rPr>
          <w:b/>
          <w:bCs/>
          <w:highlight w:val="cyan"/>
          <w:u w:val="single"/>
        </w:rPr>
        <w:t>studies have found that employees with disabilities are more likely to be physically and verbally abused by managers, colleagues, customers, and clients</w:t>
      </w:r>
      <w:r w:rsidRPr="001716A5">
        <w:rPr>
          <w:b/>
          <w:bCs/>
          <w:u w:val="single"/>
        </w:rPr>
        <w:t xml:space="preserve">.114 Arguably, </w:t>
      </w:r>
      <w:r w:rsidRPr="006249EA">
        <w:rPr>
          <w:b/>
          <w:bCs/>
          <w:highlight w:val="cyan"/>
          <w:u w:val="single"/>
        </w:rPr>
        <w:t>these workers need more, not less, power to collectively organize with protections from reprimand and retaliation</w:t>
      </w:r>
      <w:r w:rsidRPr="001716A5">
        <w:rPr>
          <w:b/>
          <w:bCs/>
          <w:u w:val="single"/>
        </w:rPr>
        <w:t>.</w:t>
      </w:r>
      <w:r w:rsidRPr="000504BE">
        <w:t xml:space="preserve"> The Southern California precedent, which contributed to the standard fixed in Brevard, 115 is eerily reminiscent of a historical Board policy that leniently allowed all charities to avoid NLRA protections because of the employers’ “good intentions and noneconomic behavior.”116 In St. Aloysius Home, the Board abandoned this naïve policy following the amended Act’s removal of the exclusion for charitable organizations in Section 2(2)117 and left the “only basis for declining jurisdiction over a charitable organization [as] a finding that its activities do not have a sufficient impact on interstate commerce to warrant the exercise of the Board’s jurisdiction.”118 Since rehabilitative employees, like charity employees, are similarly left off of the exemptions list in the Act’s text, it is notable that the Board has chosen to decline jurisdiction to majority</w:t>
      </w:r>
      <w:r>
        <w:t xml:space="preserve"> </w:t>
      </w:r>
      <w:r w:rsidRPr="000504BE">
        <w:t>disabled workplaces without ever thoroughly analyzing the impact the workers have on interstate commerce before declaring those workplaces primarily rehabilitative. Likely, society’s paternalistic attitude regarding the ability of these workers played a role in the decision.119</w:t>
      </w:r>
    </w:p>
    <w:p w14:paraId="69AE2983" w14:textId="77777777" w:rsidR="00212072" w:rsidRDefault="00212072" w:rsidP="00212072"/>
    <w:p w14:paraId="597B7E53" w14:textId="77777777" w:rsidR="00212072" w:rsidRDefault="00212072" w:rsidP="00212072">
      <w:pPr>
        <w:pStyle w:val="Heading4"/>
      </w:pPr>
      <w:r>
        <w:t xml:space="preserve">The existing standard perpetuates ableism and stigmas about disabled people </w:t>
      </w:r>
    </w:p>
    <w:p w14:paraId="71AA1A07"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10" w:history="1">
        <w:r w:rsidRPr="008A12E8">
          <w:rPr>
            <w:rStyle w:val="Hyperlink"/>
          </w:rPr>
          <w:t>https://scholarship.law.upenn.edu/cgi/viewcontent.cgi?article=1299&amp;context=jlasc</w:t>
        </w:r>
      </w:hyperlink>
      <w:r>
        <w:t xml:space="preserve">, DoA 2/21/2026, DVOG) </w:t>
      </w:r>
    </w:p>
    <w:p w14:paraId="25B5839E" w14:textId="77777777" w:rsidR="00212072" w:rsidRPr="003B1A93" w:rsidRDefault="00212072" w:rsidP="00212072">
      <w:pPr>
        <w:rPr>
          <w:b/>
          <w:bCs/>
          <w:u w:val="single"/>
        </w:rPr>
      </w:pPr>
      <w:r w:rsidRPr="003C2058">
        <w:rPr>
          <w:b/>
          <w:bCs/>
          <w:highlight w:val="cyan"/>
          <w:u w:val="single"/>
        </w:rPr>
        <w:t>Excluding workers with disabilities from</w:t>
      </w:r>
      <w:r w:rsidRPr="00AE09A2">
        <w:rPr>
          <w:b/>
          <w:bCs/>
          <w:u w:val="single"/>
        </w:rPr>
        <w:t xml:space="preserve"> the opportunity for further integration into the modern workplace through </w:t>
      </w:r>
      <w:r w:rsidRPr="003C2058">
        <w:rPr>
          <w:b/>
          <w:bCs/>
          <w:highlight w:val="cyan"/>
          <w:u w:val="single"/>
        </w:rPr>
        <w:t>collective bargaining further stigmatizes disability.</w:t>
      </w:r>
      <w:r w:rsidRPr="00AE09A2">
        <w:rPr>
          <w:b/>
          <w:bCs/>
          <w:u w:val="single"/>
        </w:rPr>
        <w:t xml:space="preserve"> Like other areas of antidiscrimination law, </w:t>
      </w:r>
      <w:r w:rsidRPr="003C2058">
        <w:rPr>
          <w:b/>
          <w:bCs/>
          <w:highlight w:val="cyan"/>
          <w:u w:val="single"/>
        </w:rPr>
        <w:t>disability discrimination can be partially attributed to contact theory</w:t>
      </w:r>
      <w:r w:rsidRPr="00AE09A2">
        <w:rPr>
          <w:b/>
          <w:bCs/>
          <w:u w:val="single"/>
        </w:rPr>
        <w:t>, which posits the idea that increased opportunities for interactions between diverse groups may foster greater acceptance.142 This theory guides the integration mandate of the ADA, combating discrimination by requiring mainstream involvement of individuals with disabilities in hopes of reducing the “othering” of disability.</w:t>
      </w:r>
      <w:r w:rsidRPr="00D45175">
        <w:t xml:space="preserve">143 According to Samuel Bagenstos, </w:t>
      </w:r>
      <w:r w:rsidRPr="008368B3">
        <w:rPr>
          <w:b/>
          <w:bCs/>
          <w:u w:val="single"/>
        </w:rPr>
        <w:t>“[a]ntidiscrimination law is best justified as a policy tool that aims to dismantle patterns of group-based subordination . . . by integrating members of” historically segregated groups into society.</w:t>
      </w:r>
      <w:r w:rsidRPr="00D45175">
        <w:t xml:space="preserve">144 Adults with disabilities make up 28.7 percent of the U.S. population.145 </w:t>
      </w:r>
      <w:r w:rsidRPr="003B1A93">
        <w:rPr>
          <w:b/>
          <w:bCs/>
          <w:u w:val="single"/>
        </w:rPr>
        <w:t>It is necessary that as a society, we identify and remove obstacles that prevent members of this population from fully participating in all arenas, including the workforce.146</w:t>
      </w:r>
    </w:p>
    <w:p w14:paraId="3F870EA7" w14:textId="77777777" w:rsidR="00212072" w:rsidRPr="003B1A93" w:rsidRDefault="00212072" w:rsidP="00212072">
      <w:pPr>
        <w:rPr>
          <w:b/>
          <w:bCs/>
          <w:u w:val="single"/>
        </w:rPr>
      </w:pPr>
      <w:r w:rsidRPr="003B1A93">
        <w:rPr>
          <w:b/>
          <w:bCs/>
          <w:u w:val="single"/>
        </w:rPr>
        <w:t>However</w:t>
      </w:r>
      <w:r w:rsidRPr="008F663D">
        <w:rPr>
          <w:b/>
          <w:bCs/>
          <w:highlight w:val="cyan"/>
          <w:u w:val="single"/>
        </w:rPr>
        <w:t xml:space="preserve">, disability is unique from other populations </w:t>
      </w:r>
      <w:r w:rsidRPr="008F663D">
        <w:rPr>
          <w:b/>
          <w:bCs/>
          <w:u w:val="single"/>
        </w:rPr>
        <w:t>targeted by antidiscrimination law</w:t>
      </w:r>
      <w:r w:rsidRPr="008F663D">
        <w:rPr>
          <w:b/>
          <w:bCs/>
          <w:highlight w:val="cyan"/>
          <w:u w:val="single"/>
        </w:rPr>
        <w:t xml:space="preserve"> due to the challenge of overcoming the aesthetics of disability</w:t>
      </w:r>
      <w:r w:rsidRPr="003B1A93">
        <w:rPr>
          <w:b/>
          <w:bCs/>
          <w:u w:val="single"/>
        </w:rPr>
        <w:t xml:space="preserve">.147 Intergroup contact studies have shown </w:t>
      </w:r>
      <w:r w:rsidRPr="008F663D">
        <w:rPr>
          <w:b/>
          <w:bCs/>
          <w:highlight w:val="cyan"/>
          <w:u w:val="single"/>
        </w:rPr>
        <w:t>smaller-than-average effects on the reduction of prejudice based on increased contact with disabled individua</w:t>
      </w:r>
      <w:r w:rsidRPr="003B1A93">
        <w:rPr>
          <w:b/>
          <w:bCs/>
          <w:u w:val="single"/>
        </w:rPr>
        <w:t xml:space="preserve">ls, potentially due to exaggerated stigma and associations of unpredictability and dangerousness with disability.148 </w:t>
      </w:r>
      <w:r w:rsidRPr="001F407D">
        <w:rPr>
          <w:b/>
          <w:bCs/>
          <w:highlight w:val="cyan"/>
          <w:u w:val="single"/>
        </w:rPr>
        <w:t>Simply allowing rehabilitative workplaces to unionize does not mean disability discrimination in the labor force would vanish entirely, but it would serve as a necessary step to empower disabled workers</w:t>
      </w:r>
      <w:r w:rsidRPr="003B1A93">
        <w:rPr>
          <w:b/>
          <w:bCs/>
          <w:u w:val="single"/>
        </w:rPr>
        <w:t xml:space="preserve">. </w:t>
      </w:r>
      <w:r w:rsidRPr="001F407D">
        <w:rPr>
          <w:b/>
          <w:bCs/>
          <w:highlight w:val="cyan"/>
          <w:u w:val="single"/>
        </w:rPr>
        <w:t>“Competitive integrated employment” is incomplete without each employee enjoying the same opportunities, including the right to unionize.</w:t>
      </w:r>
      <w:r w:rsidRPr="003B1A93">
        <w:rPr>
          <w:b/>
          <w:bCs/>
          <w:u w:val="single"/>
        </w:rPr>
        <w:t xml:space="preserve">149 The </w:t>
      </w:r>
      <w:r w:rsidRPr="001F407D">
        <w:rPr>
          <w:b/>
          <w:bCs/>
          <w:highlight w:val="cyan"/>
          <w:u w:val="single"/>
        </w:rPr>
        <w:t>Board</w:t>
      </w:r>
      <w:r w:rsidRPr="003B1A93">
        <w:rPr>
          <w:b/>
          <w:bCs/>
          <w:u w:val="single"/>
        </w:rPr>
        <w:t xml:space="preserve"> has done the disability justice movement no favors, as its </w:t>
      </w:r>
      <w:r w:rsidRPr="001F407D">
        <w:rPr>
          <w:b/>
          <w:bCs/>
          <w:highlight w:val="cyan"/>
          <w:u w:val="single"/>
        </w:rPr>
        <w:t>decisions</w:t>
      </w:r>
      <w:r w:rsidRPr="003B1A93">
        <w:rPr>
          <w:b/>
          <w:bCs/>
          <w:u w:val="single"/>
        </w:rPr>
        <w:t xml:space="preserve"> further </w:t>
      </w:r>
      <w:r w:rsidRPr="001F407D">
        <w:rPr>
          <w:b/>
          <w:bCs/>
          <w:highlight w:val="cyan"/>
          <w:u w:val="single"/>
        </w:rPr>
        <w:t>limit the full integration of disabled employees</w:t>
      </w:r>
      <w:r w:rsidRPr="003B1A93">
        <w:rPr>
          <w:b/>
          <w:bCs/>
          <w:u w:val="single"/>
        </w:rPr>
        <w:t xml:space="preserve"> into the workplace by restricting their freedom of association.</w:t>
      </w:r>
    </w:p>
    <w:p w14:paraId="3B49F6BB" w14:textId="77777777" w:rsidR="00212072" w:rsidRDefault="00212072" w:rsidP="00212072">
      <w:r w:rsidRPr="00683FC0">
        <w:t>In Brevard, the employees at the core of the case were those that qualified BAC for a JWOD contract, which required the employees to be “severely disabled.”150 The Court noted that eighty-to-eighty-five percent of the “clients” involved had a cognitive disability or severely disabling mental illness.151 To the contrary, in North Georgia, the employer also received a JWOD contract for its employment of disabled individuals, but the provided evidence only referenced “hearing impairment, diabetes, high blood pressure, and cholesterol.”152 Despite the same high standards under the JWOD Act for “severely disabled” status as detailed in Brevard,153 the employees in North Georgia were granted protection under the Act.154 While perhaps the rehabilitation services provided in Brevard were far more extensive than those in North Georgia—as the majority suggests—the regional director in Brevard had not found the services to be so rehabilitative that they demanded exclusion. Instead, she had found the employees to have a “typically industrial” relationship with BAC.155 How Brevard and North Georgia, two decisions made by the same Board only three years apart and concerning employees under the same disability-based funding contract, could come to starkly different outcomes may be attributed to social attitudes about the capabilities of those with disabilities. To the Board, which did not address the inconsistencies between the JWOD contracts, the more severe cognitive-based disabilities in Brevard were seemingly more in need of government overreach than the physical disabilities in North Georgia. To advance labor equality under the law, it is necessary to address this type of disability-related social stigma involved in policy and</w:t>
      </w:r>
      <w:r>
        <w:t xml:space="preserve"> </w:t>
      </w:r>
      <w:r w:rsidRPr="00B318EF">
        <w:t>decision-making at the highest levels of government.</w:t>
      </w:r>
    </w:p>
    <w:p w14:paraId="1F8B4A83" w14:textId="77777777" w:rsidR="00212072" w:rsidRDefault="00212072" w:rsidP="00212072">
      <w:r w:rsidRPr="003B1A93">
        <w:rPr>
          <w:b/>
          <w:bCs/>
          <w:u w:val="single"/>
        </w:rPr>
        <w:t xml:space="preserve">The dissenting Board members in Brevard called their colleagues’ conclusion “unnecessarily paternalistic and the product of stereotyped thinking.”156 Summarizing their distaste, they wrote, “[w]e should take this opportunity to recognize that disabled workers are capable of evaluating the merits of union representation, and to shed the perception of disabled individuals as being ‘different from and inferior to nondisabled people.’” 157 Indeed, </w:t>
      </w:r>
      <w:r w:rsidRPr="006D4977">
        <w:rPr>
          <w:b/>
          <w:bCs/>
          <w:highlight w:val="cyan"/>
          <w:u w:val="single"/>
        </w:rPr>
        <w:t>the outcome of Brevard aligns with the Board’s failure to value the labor of certain groups as “economical.”</w:t>
      </w:r>
      <w:r w:rsidRPr="00B318EF">
        <w:t>158 In Liminal Labor Law, Michael M. Oswalt depicted the impractical impact of the Board’s decision, writing</w:t>
      </w:r>
      <w:r>
        <w:t>:</w:t>
      </w:r>
    </w:p>
    <w:p w14:paraId="3DB6509E" w14:textId="77777777" w:rsidR="00212072" w:rsidRDefault="00212072" w:rsidP="00212072">
      <w:r w:rsidRPr="003B1A93">
        <w:rPr>
          <w:b/>
          <w:bCs/>
          <w:u w:val="single"/>
        </w:rPr>
        <w:t>If the employer offers too much personal assistance—even if voluntary and only in their off hours—a “rehabilitative” identity emerges to outweigh the “typically industrial” role that characterizes standard employment. From there, doing the same job, for the same pay, during the same hours, under the same supervision, and based on the same standards and discipline as the non-disabled employees beside them is “not really ‘working,’” and they are not really “employees.”</w:t>
      </w:r>
      <w:r w:rsidRPr="008E25A2">
        <w:t>159</w:t>
      </w:r>
    </w:p>
    <w:p w14:paraId="163F8CC0" w14:textId="77777777" w:rsidR="00212072" w:rsidRDefault="00212072" w:rsidP="00212072">
      <w:r w:rsidRPr="008E25A2">
        <w:t xml:space="preserve">Oswalt highlights </w:t>
      </w:r>
      <w:r w:rsidRPr="009A3504">
        <w:rPr>
          <w:b/>
          <w:bCs/>
          <w:u w:val="single"/>
        </w:rPr>
        <w:t>the Board’s failure to explain why or how it has determined that requiring assistance entirely precludes the ability of disabled persons to be “‘market-driven economic’ agents.”</w:t>
      </w:r>
      <w:r w:rsidRPr="008E25A2">
        <w:t xml:space="preserve">160 Even though the Brevard Board disputed its reliance on outdated stereotypes,161 without explanation, </w:t>
      </w:r>
      <w:r w:rsidRPr="0023473A">
        <w:rPr>
          <w:b/>
          <w:bCs/>
          <w:highlight w:val="cyan"/>
          <w:u w:val="single"/>
        </w:rPr>
        <w:t xml:space="preserve">it is difficult to imagine a reason for the case’s outcome that does not rely </w:t>
      </w:r>
      <w:r w:rsidRPr="0023473A">
        <w:rPr>
          <w:b/>
          <w:bCs/>
          <w:u w:val="single"/>
        </w:rPr>
        <w:t xml:space="preserve">at least somewhat </w:t>
      </w:r>
      <w:r w:rsidRPr="0023473A">
        <w:rPr>
          <w:b/>
          <w:bCs/>
          <w:highlight w:val="cyan"/>
          <w:u w:val="single"/>
        </w:rPr>
        <w:t>on the same ableism that has historically marginalized disabled individuals</w:t>
      </w:r>
      <w:r w:rsidRPr="009A3504">
        <w:rPr>
          <w:b/>
          <w:bCs/>
          <w:u w:val="single"/>
        </w:rPr>
        <w:t xml:space="preserve"> in the United States. The Board would not be alone in this; </w:t>
      </w:r>
      <w:r w:rsidRPr="0023473A">
        <w:rPr>
          <w:b/>
          <w:bCs/>
          <w:highlight w:val="cyan"/>
          <w:u w:val="single"/>
        </w:rPr>
        <w:t>many institutions</w:t>
      </w:r>
      <w:r w:rsidRPr="009A3504">
        <w:rPr>
          <w:b/>
          <w:bCs/>
          <w:u w:val="single"/>
        </w:rPr>
        <w:t xml:space="preserve"> in the United States </w:t>
      </w:r>
      <w:r w:rsidRPr="0023473A">
        <w:rPr>
          <w:b/>
          <w:bCs/>
          <w:highlight w:val="cyan"/>
          <w:u w:val="single"/>
        </w:rPr>
        <w:t>still fail to provide inclusive, accessible, and welcoming spaces</w:t>
      </w:r>
      <w:r w:rsidRPr="009A3504">
        <w:rPr>
          <w:b/>
          <w:bCs/>
          <w:u w:val="single"/>
        </w:rPr>
        <w:t xml:space="preserve"> for disabled Americans.162 </w:t>
      </w:r>
      <w:r w:rsidRPr="0023473A">
        <w:rPr>
          <w:b/>
          <w:bCs/>
          <w:highlight w:val="cyan"/>
          <w:u w:val="single"/>
        </w:rPr>
        <w:t>The societal paternalism exercised over people with disabilities</w:t>
      </w:r>
      <w:r w:rsidRPr="009A3504">
        <w:rPr>
          <w:b/>
          <w:bCs/>
          <w:u w:val="single"/>
        </w:rPr>
        <w:t xml:space="preserve"> that has been strongly critiqued by disability advocates </w:t>
      </w:r>
      <w:r w:rsidRPr="0023473A">
        <w:rPr>
          <w:b/>
          <w:bCs/>
          <w:highlight w:val="cyan"/>
          <w:u w:val="single"/>
        </w:rPr>
        <w:t>is reflected in the Board’s decisions to deny statutory employee status</w:t>
      </w:r>
      <w:r w:rsidRPr="009A3504">
        <w:rPr>
          <w:b/>
          <w:bCs/>
          <w:u w:val="single"/>
        </w:rPr>
        <w:t xml:space="preserve"> to disabled workers based on the assumption that the employer (and the Board itself) knows what the employees are capable of and what is best for them. Advocates and the Board sometimes frame sheltered workshops as “helping out” those the private sector is traditionally unwilling to employ</w:t>
      </w:r>
      <w:r w:rsidRPr="001B0496">
        <w:t xml:space="preserve">. This is explicit in Southern California, where the Board wrote that Goodwill was “an employer whose primary objectives are the converse of a normal employer’s objectives—so much so that Goodwill might better be classified as a vocational clinic than as a viable entrepreneurial concern.”163 In this prescription of Goodwill’s motives, the Board overlooks (or deliberately ignores) the organization’s profits and the relative compensation awarded to its leadership.164 As noted in Section II.C(5) supra, the political appointment process has a strong influence on the Board’s role in labor law. </w:t>
      </w:r>
      <w:r w:rsidRPr="00E114C7">
        <w:rPr>
          <w:b/>
          <w:bCs/>
          <w:u w:val="single"/>
        </w:rPr>
        <w:t xml:space="preserve">While the disability rights movement is often considered to be more aligned with liberalism than conservatism, even within the Democratic Party, </w:t>
      </w:r>
      <w:r w:rsidRPr="002E6E7B">
        <w:rPr>
          <w:b/>
          <w:bCs/>
          <w:highlight w:val="cyan"/>
          <w:u w:val="single"/>
        </w:rPr>
        <w:t>disability is frequently left out of diversity and social justice advocacy,</w:t>
      </w:r>
      <w:r w:rsidRPr="00E114C7">
        <w:rPr>
          <w:b/>
          <w:bCs/>
          <w:u w:val="single"/>
        </w:rPr>
        <w:t xml:space="preserve"> and complex topics like death with dignity and selective abortion have driven wedges between some disabled advocates and the liberal movement</w:t>
      </w:r>
      <w:r w:rsidRPr="001B0496">
        <w:t xml:space="preserve">.165 Meanwhile, despite President George H.W. Bush declaring the ADA as one of his “proudest achievements,” Republican lawmakers have recently taken steps to chip away at its key provisions.166 Moreover, </w:t>
      </w:r>
      <w:r w:rsidRPr="00E114C7">
        <w:rPr>
          <w:b/>
          <w:bCs/>
          <w:u w:val="single"/>
        </w:rPr>
        <w:t>studies have found that judges themselves harbor strong to moderate negative implicit racial stereotypes against members of certain ethnic groups, suggesting these automatic biases and cognitions influence a broad range of judicial decisions.167 This bias is compounded by the inaccessibility of many courthouses and court websites, barriers to reasonable accommodations for litigants with disabilities, and a lack of training for judges and court personnel on the ADA and disability rights</w:t>
      </w:r>
      <w:r w:rsidRPr="001B0496">
        <w:t>.168</w:t>
      </w:r>
    </w:p>
    <w:p w14:paraId="1F0762F1" w14:textId="77777777" w:rsidR="00212072" w:rsidRDefault="00212072" w:rsidP="00212072"/>
    <w:p w14:paraId="796B6C13" w14:textId="77777777" w:rsidR="00212072" w:rsidRDefault="00212072" w:rsidP="00212072">
      <w:pPr>
        <w:pStyle w:val="Heading4"/>
      </w:pPr>
      <w:r>
        <w:t xml:space="preserve">Overturning Brevard solves a key element of social stigma—it recognizes that the work that disabled workers do is economically valuable to employers and society—even just discussing the plan calls attention to it and galvanizes activism and support from advocates and their allies—public calls to overturn Brevard create political pressure on the NLRB to act </w:t>
      </w:r>
    </w:p>
    <w:p w14:paraId="291DFB68" w14:textId="77777777" w:rsidR="00212072" w:rsidRPr="008E5521" w:rsidRDefault="00212072" w:rsidP="00212072">
      <w:r w:rsidRPr="008E5521">
        <w:rPr>
          <w:rStyle w:val="Style13ptBold"/>
        </w:rPr>
        <w:t>Hannon, 2024</w:t>
      </w:r>
      <w:r>
        <w:t xml:space="preserve"> (Laura, Equal Justice Works Fellow and JD from Penn Law School, “</w:t>
      </w:r>
      <w:r w:rsidRPr="004B3F8C">
        <w:t>EMPLOYED, BUT NOT “EMPLOYEES”: HOW THE NLRB HAS FAILED DISABLED WORKERS WITH THE PRIMARILY REHABILITATIVE STANDARD</w:t>
      </w:r>
      <w:r>
        <w:t xml:space="preserve">”, </w:t>
      </w:r>
      <w:r w:rsidRPr="004B3F8C">
        <w:t>UNIVERSITY OF PENNSYLVANIA JOURNAL OF LAW AND SOCIAL CHANGE Volume 28, Number 1</w:t>
      </w:r>
      <w:r>
        <w:t xml:space="preserve">, 2024, </w:t>
      </w:r>
      <w:hyperlink r:id="rId11" w:history="1">
        <w:r w:rsidRPr="008A12E8">
          <w:rPr>
            <w:rStyle w:val="Hyperlink"/>
          </w:rPr>
          <w:t>https://scholarship.law.upenn.edu/cgi/viewcontent.cgi?article=1299&amp;context=jlasc</w:t>
        </w:r>
      </w:hyperlink>
      <w:r>
        <w:t xml:space="preserve">, DoA 2/21/2026, DVOG) </w:t>
      </w:r>
    </w:p>
    <w:p w14:paraId="7E428AD6" w14:textId="77777777" w:rsidR="00212072" w:rsidRDefault="00212072" w:rsidP="00212072">
      <w:r w:rsidRPr="000A0C62">
        <w:t>Former NLRB chair and member Wilma B. Liebman wrote in 2007 that “[</w:t>
      </w:r>
      <w:r w:rsidRPr="006249EA">
        <w:rPr>
          <w:b/>
          <w:bCs/>
          <w:highlight w:val="cyan"/>
          <w:u w:val="single"/>
        </w:rPr>
        <w:t>w]hen nontraditional</w:t>
      </w:r>
      <w:r w:rsidRPr="00C772EC">
        <w:rPr>
          <w:b/>
          <w:bCs/>
          <w:u w:val="single"/>
        </w:rPr>
        <w:t xml:space="preserve"> (or non-traditionally employed</w:t>
      </w:r>
      <w:r w:rsidRPr="006249EA">
        <w:rPr>
          <w:b/>
          <w:bCs/>
          <w:highlight w:val="cyan"/>
          <w:u w:val="single"/>
        </w:rPr>
        <w:t>) workers have sought to organize themselves into a union, the Board majority has denied them statutory ‘employee’ status</w:t>
      </w:r>
      <w:r w:rsidRPr="006249EA">
        <w:rPr>
          <w:highlight w:val="cyan"/>
        </w:rPr>
        <w:t>.”</w:t>
      </w:r>
      <w:r w:rsidRPr="000A0C62">
        <w:t xml:space="preserve">181 Liebman’s statement </w:t>
      </w:r>
      <w:r w:rsidRPr="006249EA">
        <w:rPr>
          <w:b/>
          <w:bCs/>
          <w:highlight w:val="cyan"/>
          <w:u w:val="single"/>
        </w:rPr>
        <w:t>hints at the social attitude that brings</w:t>
      </w:r>
      <w:r w:rsidRPr="00C772EC">
        <w:rPr>
          <w:b/>
          <w:bCs/>
          <w:u w:val="single"/>
        </w:rPr>
        <w:t xml:space="preserve"> these populations together </w:t>
      </w:r>
      <w:r w:rsidRPr="006249EA">
        <w:rPr>
          <w:b/>
          <w:bCs/>
          <w:highlight w:val="cyan"/>
          <w:u w:val="single"/>
        </w:rPr>
        <w:t>under the Board’s scrutiny: bias about who can work and whose work is worthy of protecting.</w:t>
      </w:r>
      <w:r w:rsidRPr="000A0C62">
        <w:t xml:space="preserve"> Disabled employees were not the only population targeted by the Bush II Board’s decisions. Alongside disabled workers, graduate teaching assistants and “salts” (individuals who apply for jobs with the intention of unionizing the workforce) have also been exempted due to the fact that they did not have, or intend to have, an economic relationship with their employer.182 Lofaso has pointed out the significance of the Board choosing to exclude employees by category rather than on an individual case-by-case basis.183 Like in cases involving rehabilitative workplaces, the Board analyzed teaching assistants and “salts” from the employer’s vantage point to determine if the employer would economically benefit from these workers and —despite employers generally benefiting from labor output of workers— concluded they would not.184 The Bush II Board held in these cases that it was not required to include these employees in bargaining units if the purposes and policies of the Act would not be effectuated by their inclusion.185 But just as with the rehabilitative standard, the Board failed to provide solid policy grounds for these exemptions.186 With each category of workers, the Board discounts the economic value of the employer–employee relationship, putting the employer-defined job status over the results of the labor.187 Notably, in 2016, the Board overturned Brown University and declared graduate students employees under the Act.188 In Trustees of Columbia University, the Board admonished its previous decision to decline jurisdiction “without a convincing justification in either the statutory language or the polices of the Act.”189 </w:t>
      </w:r>
    </w:p>
    <w:p w14:paraId="59D52D93" w14:textId="77777777" w:rsidR="00212072" w:rsidRDefault="00212072" w:rsidP="00212072">
      <w:r w:rsidRPr="000A0C62">
        <w:t xml:space="preserve">V. MOVING FORWARD </w:t>
      </w:r>
    </w:p>
    <w:p w14:paraId="624247BA" w14:textId="77777777" w:rsidR="00212072" w:rsidRDefault="00212072" w:rsidP="00212072">
      <w:r w:rsidRPr="000A0C62">
        <w:t>It is fair to question whether the primarily rehabilitative standard truly needs to be overturned if the majority of regional director and Board decisions since Brevard ruled in favor of granting the employees statutory jurisdiction.190 Despite this history of desirable outcomes,</w:t>
      </w:r>
      <w:r>
        <w:t xml:space="preserve"> </w:t>
      </w:r>
      <w:r w:rsidRPr="006249EA">
        <w:rPr>
          <w:b/>
          <w:bCs/>
          <w:highlight w:val="cyan"/>
          <w:u w:val="single"/>
        </w:rPr>
        <w:t>each use of the Brevard Standard further affirms its legitimacy and appropriateness, which at its core questions the utility and value of disabled workers. The Standard</w:t>
      </w:r>
      <w:r w:rsidRPr="00C772EC">
        <w:rPr>
          <w:b/>
          <w:bCs/>
          <w:u w:val="single"/>
        </w:rPr>
        <w:t xml:space="preserve">’s existence </w:t>
      </w:r>
      <w:r w:rsidRPr="006249EA">
        <w:rPr>
          <w:b/>
          <w:bCs/>
          <w:highlight w:val="cyan"/>
          <w:u w:val="single"/>
        </w:rPr>
        <w:t>allows employers to contest unions by arguing that any services provided on behalf of their disabled employees constitute rehabilitative supports</w:t>
      </w:r>
      <w:r w:rsidRPr="00C772EC">
        <w:rPr>
          <w:b/>
          <w:bCs/>
          <w:u w:val="single"/>
        </w:rPr>
        <w:t xml:space="preserve"> that negate the traditional employer-employee relationship.</w:t>
      </w:r>
      <w:r w:rsidRPr="007A2B28">
        <w:t xml:space="preserve"> The creativity this allows is evident in decisions like Humane Society for Seattle, where the employer argued that supports provided to homeless employees made the relationship primarily rehabilitative.191 </w:t>
      </w:r>
      <w:r w:rsidRPr="006249EA">
        <w:rPr>
          <w:b/>
          <w:bCs/>
          <w:highlight w:val="cyan"/>
          <w:u w:val="single"/>
        </w:rPr>
        <w:t>The Standard creates an opportunity to “other” classes of employees who may need additional supports or assistance</w:t>
      </w:r>
      <w:r w:rsidRPr="00C772EC">
        <w:rPr>
          <w:b/>
          <w:bCs/>
          <w:u w:val="single"/>
        </w:rPr>
        <w:t>—often subsidized with external government funding—</w:t>
      </w:r>
      <w:r w:rsidRPr="006249EA">
        <w:rPr>
          <w:b/>
          <w:bCs/>
          <w:highlight w:val="cyan"/>
          <w:u w:val="single"/>
        </w:rPr>
        <w:t>by preempting any attempts to organize</w:t>
      </w:r>
      <w:r w:rsidRPr="00C772EC">
        <w:rPr>
          <w:b/>
          <w:bCs/>
          <w:u w:val="single"/>
        </w:rPr>
        <w:t xml:space="preserve"> for better working conditions. </w:t>
      </w:r>
      <w:r w:rsidRPr="006249EA">
        <w:rPr>
          <w:b/>
          <w:bCs/>
          <w:highlight w:val="cyan"/>
          <w:u w:val="single"/>
        </w:rPr>
        <w:t>For a population already subject to subminimum wages and high unemployment, stripping the right to organize for better labor conditions only serves to further weaken disabled workers’ role in the labor market</w:t>
      </w:r>
      <w:r w:rsidRPr="00C772EC">
        <w:rPr>
          <w:b/>
          <w:bCs/>
          <w:u w:val="single"/>
        </w:rPr>
        <w:t>, contradicting the Act’s purpose</w:t>
      </w:r>
      <w:r w:rsidRPr="006249EA">
        <w:rPr>
          <w:highlight w:val="cyan"/>
        </w:rPr>
        <w:t xml:space="preserve">. </w:t>
      </w:r>
      <w:r w:rsidRPr="006249EA">
        <w:rPr>
          <w:b/>
          <w:bCs/>
          <w:highlight w:val="cyan"/>
          <w:u w:val="single"/>
        </w:rPr>
        <w:t>The issue with the Standard is not merely the decisions borne out of it that exempt disabled workers from unionizing, but also the assumption that an employer knows, and will act in alignment with, what is best for its disabled employees</w:t>
      </w:r>
      <w:r w:rsidRPr="007A2B28">
        <w:t xml:space="preserve">. Beyond Section 2(3), the Act’s text has been criticized for other shortcomings, including “weak enforcement mechanisms, slight penalties, and lengthy delays” that allow employers to exploit their workers.192 These issues aside, the Act provides invaluable federal labor protections to the American workforce. For now, </w:t>
      </w:r>
      <w:r w:rsidRPr="006249EA">
        <w:rPr>
          <w:b/>
          <w:bCs/>
          <w:highlight w:val="cyan"/>
          <w:u w:val="single"/>
        </w:rPr>
        <w:t>changing the status quo by overturning the Brevard decision</w:t>
      </w:r>
      <w:r w:rsidRPr="004B6D7E">
        <w:rPr>
          <w:b/>
          <w:bCs/>
          <w:u w:val="single"/>
        </w:rPr>
        <w:t xml:space="preserve"> and its primarily rehabilitative standard </w:t>
      </w:r>
      <w:r w:rsidRPr="006249EA">
        <w:rPr>
          <w:b/>
          <w:bCs/>
          <w:highlight w:val="cyan"/>
          <w:u w:val="single"/>
        </w:rPr>
        <w:t>can provide</w:t>
      </w:r>
      <w:r w:rsidRPr="004B6D7E">
        <w:rPr>
          <w:b/>
          <w:bCs/>
          <w:u w:val="single"/>
        </w:rPr>
        <w:t xml:space="preserve"> feasible and </w:t>
      </w:r>
      <w:r w:rsidRPr="006249EA">
        <w:rPr>
          <w:b/>
          <w:bCs/>
          <w:highlight w:val="cyan"/>
          <w:u w:val="single"/>
        </w:rPr>
        <w:t>immediate solutions for workers with disabilities.</w:t>
      </w:r>
      <w:r w:rsidRPr="007A2B28">
        <w:t xml:space="preserve"> In August of 2021, the newly appointed General Counsel for the NLRB, Jennifer Abruzzo, issued a memo to Regional Directors and Officers detailing her priorities for her term.193 In the memo, Abruzzo named Brevard as one of dozens of Board decisions in which future cases involving the decision’s applicability should be submitted to the Regional Advice Branch for reconsideration should they appear before regional offices.194 In 2023, Abruzzo followed up with another memo including Brevard as one of fifteen issue areas that had not since developed new guidance and arguments.195 In Abruzzo’s own words, failing to place the specified issues before the Board for reconsideration “undermine[d] workers’ statutory rights” and “detrimentally impact[ed] millions of employees throughout the country.”196 No advice memo was published publicly after Humane Society for Seattle or any subsequent case. A subsequent 2024 General Counsel memo confirmed that no Regional Advice submissions were received, or no guidance was yet issued, for cases involving the applicability of Brevard.197 Whether or not the opportunity to reconsider Brevard will arise, these General Counsel memos</w:t>
      </w:r>
      <w:r>
        <w:t xml:space="preserve"> </w:t>
      </w:r>
      <w:r w:rsidRPr="008C0141">
        <w:t xml:space="preserve">are a positive indication of the Board’s future. </w:t>
      </w:r>
      <w:r w:rsidRPr="006249EA">
        <w:rPr>
          <w:b/>
          <w:bCs/>
          <w:highlight w:val="cyan"/>
          <w:u w:val="single"/>
        </w:rPr>
        <w:t>Overturning Brevard would help allow disabled employees to transform their workplaces into more inclusive and accessible spaces</w:t>
      </w:r>
      <w:r w:rsidRPr="00A46DD9">
        <w:rPr>
          <w:b/>
          <w:bCs/>
          <w:u w:val="single"/>
        </w:rPr>
        <w:t xml:space="preserve">. In the meantime, </w:t>
      </w:r>
      <w:r w:rsidRPr="006249EA">
        <w:rPr>
          <w:b/>
          <w:bCs/>
          <w:highlight w:val="cyan"/>
          <w:u w:val="single"/>
        </w:rPr>
        <w:t xml:space="preserve">expanding public awareness and understanding of this labor law caveat will also build political pressure on the </w:t>
      </w:r>
      <w:r w:rsidRPr="006249EA">
        <w:rPr>
          <w:b/>
          <w:bCs/>
          <w:u w:val="single"/>
        </w:rPr>
        <w:t>NLRB and other actors</w:t>
      </w:r>
      <w:r w:rsidRPr="00A46DD9">
        <w:rPr>
          <w:b/>
          <w:bCs/>
          <w:u w:val="single"/>
        </w:rPr>
        <w:t>. Brevard dissenter Wilma Liebman suggests that “[</w:t>
      </w:r>
      <w:r w:rsidRPr="006249EA">
        <w:rPr>
          <w:b/>
          <w:bCs/>
          <w:highlight w:val="cyan"/>
          <w:u w:val="single"/>
        </w:rPr>
        <w:t>p]ublic consideration of labor policy” is crucial to “protect the rights of workers to organize and bargain collectively</w:t>
      </w:r>
      <w:r w:rsidRPr="00A46DD9">
        <w:rPr>
          <w:b/>
          <w:bCs/>
          <w:u w:val="single"/>
        </w:rPr>
        <w:t xml:space="preserve">.”198 One way to do this would be to </w:t>
      </w:r>
      <w:r w:rsidRPr="006249EA">
        <w:rPr>
          <w:b/>
          <w:bCs/>
          <w:highlight w:val="cyan"/>
          <w:u w:val="single"/>
        </w:rPr>
        <w:t>encourage activists fighting for the elimination of subminimum wages to expand their campaign to simultaneously advocate for the elimination of the rehabilitative standard. The two goals are interconnected</w:t>
      </w:r>
      <w:r w:rsidRPr="00A46DD9">
        <w:rPr>
          <w:b/>
          <w:bCs/>
          <w:u w:val="single"/>
        </w:rPr>
        <w:t xml:space="preserve"> and building off of an already established and successful movement199 could bring momentum to advocacy opposing the rehabilitative standard</w:t>
      </w:r>
      <w:r w:rsidRPr="008C0141">
        <w:t xml:space="preserve">. A 2018 National Council on Disability report suggests additional ways to improve employment opportunities and settings for disabled workers outside of the NLRA. The suggestions include transforming sheltered workshops into integrated workplaces, increasing the availability of qualified training staff, maximizing self-sufficiency during off-work hours, and providing benefits counseling and planning.200 Additionally, in An Empirical Examination of Agency Statutory Interpretation, Amy Semet suggests requiring the Board to ask parties for briefings of the economic effects that would flow from its decisions (in more issue areas than just the rehabilitative standard) instead of allowing it to vaguely assert “economic policy” without providing the information to back it up.201 Additionally, Semet suggests the Board rely more on nonlegal and nonpartisan experts and on rulemaking to advance statutory directives.202 </w:t>
      </w:r>
      <w:r w:rsidRPr="001C1035">
        <w:rPr>
          <w:b/>
          <w:bCs/>
          <w:u w:val="single"/>
        </w:rPr>
        <w:t xml:space="preserve">Should the Board decide to overturn the primarily rehabilitative standard, requiring future decisions to consider the economic impact of workplaces using evidence-based information on a case-by-case basis can help prevent the unjust exclusion of an entire population. </w:t>
      </w:r>
      <w:r w:rsidRPr="00C9169F">
        <w:rPr>
          <w:b/>
          <w:bCs/>
          <w:highlight w:val="cyan"/>
          <w:u w:val="single"/>
        </w:rPr>
        <w:t>For any change of the primarily rehabilitative standard to be successful, it is necessary to challenge stereotypes about disabled workers and unmask the social stigma behind NLRB decisions</w:t>
      </w:r>
      <w:r w:rsidRPr="00C9169F">
        <w:rPr>
          <w:highlight w:val="cyan"/>
        </w:rPr>
        <w:t>.</w:t>
      </w:r>
      <w:r w:rsidRPr="008C0141">
        <w:t xml:space="preserve"> </w:t>
      </w:r>
    </w:p>
    <w:p w14:paraId="23C696EB" w14:textId="77777777" w:rsidR="00212072" w:rsidRDefault="00212072" w:rsidP="00212072">
      <w:r w:rsidRPr="008C0141">
        <w:t xml:space="preserve">CONCLUSION </w:t>
      </w:r>
    </w:p>
    <w:p w14:paraId="149881E0" w14:textId="77777777" w:rsidR="00212072" w:rsidRDefault="00212072" w:rsidP="00212072">
      <w:r w:rsidRPr="00C9169F">
        <w:rPr>
          <w:b/>
          <w:bCs/>
          <w:highlight w:val="cyan"/>
          <w:u w:val="single"/>
        </w:rPr>
        <w:t>Individuals with disabilities face unjust barriers in employment due to social stigma, stereotypes, and intentional barriers. In Brevard, the Board</w:t>
      </w:r>
      <w:r w:rsidRPr="001C1035">
        <w:rPr>
          <w:b/>
          <w:bCs/>
          <w:u w:val="single"/>
        </w:rPr>
        <w:t xml:space="preserve"> not only reinforced but </w:t>
      </w:r>
      <w:r w:rsidRPr="00C9169F">
        <w:rPr>
          <w:b/>
          <w:bCs/>
          <w:highlight w:val="cyan"/>
          <w:u w:val="single"/>
        </w:rPr>
        <w:t>encouraged employers to treat employees with and without disabilities differently by stripping legal protections</w:t>
      </w:r>
      <w:r w:rsidRPr="001C1035">
        <w:rPr>
          <w:b/>
          <w:bCs/>
          <w:u w:val="single"/>
        </w:rPr>
        <w:t xml:space="preserve"> from those who receive vocational supports at work. As a result, </w:t>
      </w:r>
      <w:r w:rsidRPr="00C9169F">
        <w:rPr>
          <w:b/>
          <w:bCs/>
          <w:highlight w:val="cyan"/>
          <w:u w:val="single"/>
        </w:rPr>
        <w:t>disabled individuals are unable to organize to improve work conditions and engage in collective bargaining</w:t>
      </w:r>
      <w:r w:rsidRPr="001C1035">
        <w:rPr>
          <w:b/>
          <w:bCs/>
          <w:u w:val="single"/>
        </w:rPr>
        <w:t xml:space="preserve"> with their employers. The Brevard Board was </w:t>
      </w:r>
      <w:r w:rsidRPr="00C9169F">
        <w:rPr>
          <w:b/>
          <w:bCs/>
          <w:highlight w:val="cyan"/>
          <w:u w:val="single"/>
        </w:rPr>
        <w:t>likely influenced by stigmatized misconceptions of the capabilities of workers with disabilities</w:t>
      </w:r>
      <w:r w:rsidRPr="001C1035">
        <w:rPr>
          <w:b/>
          <w:bCs/>
          <w:u w:val="single"/>
        </w:rPr>
        <w:t xml:space="preserve">, and </w:t>
      </w:r>
      <w:r w:rsidRPr="00C9169F">
        <w:rPr>
          <w:b/>
          <w:bCs/>
          <w:highlight w:val="cyan"/>
          <w:u w:val="single"/>
        </w:rPr>
        <w:t>the result has allowed</w:t>
      </w:r>
      <w:r w:rsidRPr="001C1035">
        <w:rPr>
          <w:b/>
          <w:bCs/>
          <w:u w:val="single"/>
        </w:rPr>
        <w:t xml:space="preserve"> the Board and </w:t>
      </w:r>
      <w:r w:rsidRPr="00C9169F">
        <w:rPr>
          <w:b/>
          <w:bCs/>
          <w:highlight w:val="cyan"/>
          <w:u w:val="single"/>
        </w:rPr>
        <w:t>courts to further feed into negative disability stereotypes.</w:t>
      </w:r>
      <w:r w:rsidRPr="001C1035">
        <w:rPr>
          <w:b/>
          <w:bCs/>
          <w:u w:val="single"/>
        </w:rPr>
        <w:t xml:space="preserve"> In order to right this malfeasance, </w:t>
      </w:r>
      <w:r w:rsidRPr="00C9169F">
        <w:rPr>
          <w:b/>
          <w:bCs/>
          <w:highlight w:val="cyan"/>
          <w:u w:val="single"/>
        </w:rPr>
        <w:t>the current Board should abandon the primarily rehabilitative standard set forth in Brevard; instead, it should allow employees receiving rehabilitative services at work to be considered “statutory employees”</w:t>
      </w:r>
      <w:r w:rsidRPr="001C1035">
        <w:rPr>
          <w:b/>
          <w:bCs/>
          <w:u w:val="single"/>
        </w:rPr>
        <w:t xml:space="preserve"> under the Act. As was best said by the Brevard dissenters, “[</w:t>
      </w:r>
      <w:r w:rsidRPr="00C9169F">
        <w:rPr>
          <w:b/>
          <w:bCs/>
          <w:highlight w:val="cyan"/>
          <w:u w:val="single"/>
        </w:rPr>
        <w:t>b]ecause we regard disabled workers as workers, and nothing less,</w:t>
      </w:r>
      <w:r w:rsidRPr="001C1035">
        <w:rPr>
          <w:b/>
          <w:bCs/>
          <w:u w:val="single"/>
        </w:rPr>
        <w:t xml:space="preserve"> we dissent</w:t>
      </w:r>
      <w:r w:rsidRPr="000F5EFA">
        <w:t>.”203</w:t>
      </w:r>
    </w:p>
    <w:p w14:paraId="39BB334F" w14:textId="77777777" w:rsidR="00212072" w:rsidRDefault="00212072" w:rsidP="00212072"/>
    <w:p w14:paraId="5DAC3BBC" w14:textId="77777777" w:rsidR="00212072" w:rsidRDefault="00212072" w:rsidP="00212072">
      <w:pPr>
        <w:pStyle w:val="Heading3"/>
      </w:pPr>
      <w:r>
        <w:t xml:space="preserve">Contention 2 is the Role of the Ballot </w:t>
      </w:r>
    </w:p>
    <w:p w14:paraId="337C7390" w14:textId="77777777" w:rsidR="00212072" w:rsidRDefault="00212072" w:rsidP="00212072"/>
    <w:p w14:paraId="486A341A" w14:textId="77777777" w:rsidR="00212072" w:rsidRPr="0056231B" w:rsidRDefault="00212072" w:rsidP="00212072">
      <w:pPr>
        <w:pStyle w:val="Heading4"/>
      </w:pPr>
      <w:r>
        <w:t>t</w:t>
      </w:r>
      <w:r w:rsidRPr="0056231B">
        <w:t xml:space="preserve">he </w:t>
      </w:r>
      <w:r w:rsidRPr="0056231B">
        <w:rPr>
          <w:u w:val="single"/>
        </w:rPr>
        <w:t>history</w:t>
      </w:r>
      <w:r w:rsidRPr="0056231B">
        <w:t xml:space="preserve"> of disability activism proves that </w:t>
      </w:r>
      <w:r w:rsidRPr="0056231B">
        <w:rPr>
          <w:u w:val="single"/>
        </w:rPr>
        <w:t>utopian</w:t>
      </w:r>
      <w:r w:rsidRPr="0056231B">
        <w:t xml:space="preserve"> imaginaries of policy change </w:t>
      </w:r>
      <w:r w:rsidRPr="0056231B">
        <w:rPr>
          <w:u w:val="single"/>
        </w:rPr>
        <w:t>empower</w:t>
      </w:r>
      <w:r w:rsidRPr="0056231B">
        <w:t xml:space="preserve"> disabled people and </w:t>
      </w:r>
      <w:r w:rsidRPr="0056231B">
        <w:rPr>
          <w:u w:val="single"/>
        </w:rPr>
        <w:t>concrete change</w:t>
      </w:r>
      <w:r w:rsidRPr="0056231B">
        <w:t xml:space="preserve"> can undo </w:t>
      </w:r>
      <w:r w:rsidRPr="0056231B">
        <w:rPr>
          <w:u w:val="single"/>
        </w:rPr>
        <w:t>ableist</w:t>
      </w:r>
      <w:r w:rsidRPr="0056231B">
        <w:t xml:space="preserve"> power structures</w:t>
      </w:r>
      <w:r>
        <w:t xml:space="preserve">—vote aff to imagine the possibilities of a federal government that protects and supports disabled populations </w:t>
      </w:r>
    </w:p>
    <w:p w14:paraId="2D5DACA7" w14:textId="77777777" w:rsidR="00212072" w:rsidRDefault="00212072" w:rsidP="00212072">
      <w:r w:rsidRPr="0056231B">
        <w:t xml:space="preserve">Gisli </w:t>
      </w:r>
      <w:r w:rsidRPr="0056231B">
        <w:rPr>
          <w:rStyle w:val="Style13ptBold"/>
        </w:rPr>
        <w:t>Vogler 24</w:t>
      </w:r>
      <w:r w:rsidRPr="0056231B">
        <w:t>, Centre for Open Learning, University of Edinburgh, "Acting as if: the utopian political thought and actions of the US disability rights movement," Contemporary Political Theory, vol. 23, 2024, pp. 589-608</w:t>
      </w:r>
    </w:p>
    <w:p w14:paraId="7DB54906" w14:textId="77777777" w:rsidR="00212072" w:rsidRPr="0056231B" w:rsidRDefault="00212072" w:rsidP="00212072">
      <w:r w:rsidRPr="002A30D4">
        <w:t xml:space="preserve">This section articulates how the minor utopia of </w:t>
      </w:r>
      <w:r w:rsidRPr="00DE272A">
        <w:rPr>
          <w:b/>
          <w:bCs/>
          <w:highlight w:val="cyan"/>
          <w:u w:val="single"/>
        </w:rPr>
        <w:t>the US disability rights movement was in at least three ways focused on groundedness, that is, actualizing the emancipatory potential within existing power structures</w:t>
      </w:r>
      <w:r w:rsidRPr="002A30D4">
        <w:t xml:space="preserve">. Each example contributes to a practical criptopia that acts as if, by asserting the right to articulate in practical terms alternative, better ways of being centered on a positive vision of disability. Firstly, </w:t>
      </w:r>
      <w:r w:rsidRPr="00DE272A">
        <w:rPr>
          <w:b/>
          <w:bCs/>
          <w:highlight w:val="cyan"/>
          <w:u w:val="single"/>
        </w:rPr>
        <w:t>the movement actualized the emancipatory potential within existing power structures by challenging assumptions about what it means to be a member of society</w:t>
      </w:r>
      <w:r w:rsidRPr="002A30D4">
        <w:t xml:space="preserve">. Citizens are supposed to be autonomous, rational human beings that can sustain themselves economically and live without significant support. </w:t>
      </w:r>
      <w:r w:rsidRPr="00DE7EF4">
        <w:rPr>
          <w:b/>
          <w:bCs/>
          <w:u w:val="single"/>
        </w:rPr>
        <w:t xml:space="preserve">In overemphasizing the independence of average citizens, </w:t>
      </w:r>
      <w:r w:rsidRPr="00DE7EF4">
        <w:rPr>
          <w:b/>
          <w:bCs/>
          <w:highlight w:val="cyan"/>
          <w:u w:val="single"/>
        </w:rPr>
        <w:t>society is</w:t>
      </w:r>
      <w:r w:rsidRPr="00DE7EF4">
        <w:rPr>
          <w:b/>
          <w:bCs/>
          <w:u w:val="single"/>
        </w:rPr>
        <w:t xml:space="preserve">, in turn, </w:t>
      </w:r>
      <w:r w:rsidRPr="00DE7EF4">
        <w:rPr>
          <w:b/>
          <w:bCs/>
          <w:highlight w:val="cyan"/>
          <w:u w:val="single"/>
        </w:rPr>
        <w:t>badly placed to judge the ability of disabled people to live</w:t>
      </w:r>
      <w:r w:rsidRPr="00DE7EF4">
        <w:rPr>
          <w:b/>
          <w:bCs/>
          <w:u w:val="single"/>
        </w:rPr>
        <w:t xml:space="preserve"> as equal members </w:t>
      </w:r>
      <w:r w:rsidRPr="00DE7EF4">
        <w:rPr>
          <w:b/>
          <w:bCs/>
          <w:highlight w:val="cyan"/>
          <w:u w:val="single"/>
        </w:rPr>
        <w:t>in society</w:t>
      </w:r>
      <w:r w:rsidRPr="002A30D4">
        <w:t xml:space="preserve">. Against this view, the movement’s leaders held that </w:t>
      </w:r>
      <w:r w:rsidRPr="007017A5">
        <w:rPr>
          <w:b/>
          <w:bCs/>
          <w:highlight w:val="cyan"/>
          <w:u w:val="single"/>
        </w:rPr>
        <w:t>there ‘are very few people even with the most severe disabilities who can’t take control of their own life</w:t>
      </w:r>
      <w:r w:rsidRPr="00DE7EF4">
        <w:rPr>
          <w:b/>
          <w:bCs/>
          <w:u w:val="single"/>
        </w:rPr>
        <w:t xml:space="preserve">. The problem is, the </w:t>
      </w:r>
      <w:r w:rsidRPr="007017A5">
        <w:rPr>
          <w:b/>
          <w:bCs/>
          <w:highlight w:val="cyan"/>
          <w:u w:val="single"/>
        </w:rPr>
        <w:t>people around us don’t expect us to’</w:t>
      </w:r>
      <w:r w:rsidRPr="002A30D4">
        <w:t xml:space="preserve"> (Roberts, 1989). They founded independent living centers to help spread this inclusive vision of society and provide evidence in support of it. </w:t>
      </w:r>
      <w:r w:rsidRPr="00DE7EF4">
        <w:rPr>
          <w:b/>
          <w:bCs/>
          <w:u w:val="single"/>
        </w:rPr>
        <w:t>The ‘independent living philosophy’ emerged as part of the headway made by disability activists following World War II in their fight against institutionalization</w:t>
      </w:r>
      <w:r w:rsidRPr="002A30D4">
        <w:t xml:space="preserve"> and for inclusion into public life (Levy, 1988). As more and more disabled people gained access to urban spaces, </w:t>
      </w:r>
      <w:r w:rsidRPr="007017A5">
        <w:rPr>
          <w:b/>
          <w:bCs/>
          <w:u w:val="single"/>
        </w:rPr>
        <w:t>this created a need for support of people’s life outside of institutions and the family.</w:t>
      </w:r>
      <w:r w:rsidRPr="002A30D4">
        <w:t xml:space="preserve"> In response, independent living centers provided practical guidance and support on how to live as autonomously as possible</w:t>
      </w:r>
      <w:r>
        <w:t xml:space="preserve"> </w:t>
      </w:r>
      <w:r w:rsidRPr="006E617E">
        <w:t>in your decision-making</w:t>
      </w:r>
      <w:r w:rsidRPr="007017A5">
        <w:rPr>
          <w:b/>
          <w:bCs/>
          <w:u w:val="single"/>
        </w:rPr>
        <w:t>. As practical criptopias they were not ‘totalizing lifelong places</w:t>
      </w:r>
      <w:r w:rsidRPr="006E617E">
        <w:t xml:space="preserve">’ (Cooper, 2014, p. 8) </w:t>
      </w:r>
      <w:r w:rsidRPr="007017A5">
        <w:rPr>
          <w:b/>
          <w:bCs/>
          <w:u w:val="single"/>
        </w:rPr>
        <w:t>but instead pooled funding, expertise, and information to offer important points of contact in finding suitable accommodation, jobs, or personal assistance</w:t>
      </w:r>
      <w:r w:rsidRPr="006E617E">
        <w:t xml:space="preserve"> (Figueroa, 2000). They also introduced peer-counseling schemes to replace the paternalistic medical framework and became an often-preferred alternative to underfunded state-run services. At the same time, </w:t>
      </w:r>
      <w:r w:rsidRPr="007017A5">
        <w:rPr>
          <w:b/>
          <w:bCs/>
          <w:u w:val="single"/>
        </w:rPr>
        <w:t>the centers combined the services with teaching radical ideas of the de-institutionalization of disabled people, their self-determination by allowing disabled people to make choices that come with risks, and of consumer control over the services provided</w:t>
      </w:r>
      <w:r w:rsidRPr="006E617E">
        <w:t xml:space="preserve"> by the state (Nielsen, 2012, p. 163). They championed the uniqueness of each disabled person and their knowledge over their own body and needs (Bagenstos, 2009, p. 15).</w:t>
      </w:r>
    </w:p>
    <w:p w14:paraId="2EBF5A86" w14:textId="77777777" w:rsidR="00212072" w:rsidRPr="0056231B" w:rsidRDefault="00212072" w:rsidP="00212072">
      <w:pPr>
        <w:rPr>
          <w:sz w:val="14"/>
        </w:rPr>
      </w:pPr>
      <w:r w:rsidRPr="0056231B">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6231B">
        <w:rPr>
          <w:rStyle w:val="StyleUnderline"/>
        </w:rPr>
        <w:t xml:space="preserve">funneling </w:t>
      </w:r>
      <w:r w:rsidRPr="0056231B">
        <w:rPr>
          <w:rStyle w:val="Emphasis"/>
        </w:rPr>
        <w:t>federal</w:t>
      </w:r>
      <w:r w:rsidRPr="0056231B">
        <w:rPr>
          <w:rStyle w:val="StyleUnderline"/>
        </w:rPr>
        <w:t xml:space="preserve"> and </w:t>
      </w:r>
      <w:r w:rsidRPr="0056231B">
        <w:rPr>
          <w:rStyle w:val="Emphasis"/>
        </w:rPr>
        <w:t>local funds</w:t>
      </w:r>
      <w:r w:rsidRPr="0056231B">
        <w:rPr>
          <w:rStyle w:val="StyleUnderline"/>
        </w:rPr>
        <w:t xml:space="preserve"> towards supporting disabled people and activism and in forming </w:t>
      </w:r>
      <w:r w:rsidRPr="006A1AA6">
        <w:rPr>
          <w:rStyle w:val="StyleUnderline"/>
          <w:highlight w:val="cyan"/>
        </w:rPr>
        <w:t xml:space="preserve">a </w:t>
      </w:r>
      <w:r w:rsidRPr="006A1AA6">
        <w:rPr>
          <w:rStyle w:val="Emphasis"/>
          <w:highlight w:val="cyan"/>
        </w:rPr>
        <w:t>normative vision</w:t>
      </w:r>
      <w:r w:rsidRPr="006A1AA6">
        <w:rPr>
          <w:rStyle w:val="StyleUnderline"/>
          <w:highlight w:val="cyan"/>
        </w:rPr>
        <w:t xml:space="preserve"> of a better society</w:t>
      </w:r>
      <w:r w:rsidRPr="0056231B">
        <w:rPr>
          <w:sz w:val="14"/>
        </w:rPr>
        <w:t xml:space="preserve"> (Charlton, 2000, p. 132). The center </w:t>
      </w:r>
      <w:r w:rsidRPr="006A1AA6">
        <w:rPr>
          <w:rStyle w:val="StyleUnderline"/>
          <w:highlight w:val="cyan"/>
        </w:rPr>
        <w:t>offered one</w:t>
      </w:r>
      <w:r w:rsidRPr="006A1AA6">
        <w:rPr>
          <w:sz w:val="14"/>
          <w:highlight w:val="cyan"/>
        </w:rPr>
        <w:t xml:space="preserve">, </w:t>
      </w:r>
      <w:r w:rsidRPr="006A1AA6">
        <w:rPr>
          <w:rStyle w:val="StyleUnderline"/>
          <w:highlight w:val="cyan"/>
        </w:rPr>
        <w:t>important</w:t>
      </w:r>
      <w:r w:rsidRPr="006A1AA6">
        <w:rPr>
          <w:sz w:val="14"/>
          <w:highlight w:val="cyan"/>
        </w:rPr>
        <w:t xml:space="preserve">, </w:t>
      </w:r>
      <w:r w:rsidRPr="006A1AA6">
        <w:rPr>
          <w:rStyle w:val="Emphasis"/>
          <w:highlight w:val="cyan"/>
        </w:rPr>
        <w:t>launchpad</w:t>
      </w:r>
      <w:r w:rsidRPr="0056231B">
        <w:rPr>
          <w:sz w:val="14"/>
        </w:rPr>
        <w:t xml:space="preserve"> for the leadership of the disability rights movement </w:t>
      </w:r>
      <w:r w:rsidRPr="006A1AA6">
        <w:rPr>
          <w:rStyle w:val="StyleUnderline"/>
          <w:highlight w:val="cyan"/>
        </w:rPr>
        <w:t xml:space="preserve">to launch </w:t>
      </w:r>
      <w:r w:rsidRPr="006A1AA6">
        <w:rPr>
          <w:rStyle w:val="Emphasis"/>
          <w:highlight w:val="cyan"/>
        </w:rPr>
        <w:t>protests</w:t>
      </w:r>
      <w:r w:rsidRPr="006A1AA6">
        <w:rPr>
          <w:sz w:val="14"/>
          <w:highlight w:val="cyan"/>
        </w:rPr>
        <w:t xml:space="preserve">, </w:t>
      </w:r>
      <w:r w:rsidRPr="006A1AA6">
        <w:rPr>
          <w:rStyle w:val="Emphasis"/>
          <w:highlight w:val="cyan"/>
        </w:rPr>
        <w:t>inform</w:t>
      </w:r>
      <w:r w:rsidRPr="0056231B">
        <w:rPr>
          <w:rStyle w:val="StyleUnderline"/>
        </w:rPr>
        <w:t xml:space="preserve"> wider </w:t>
      </w:r>
      <w:r w:rsidRPr="006A1AA6">
        <w:rPr>
          <w:rStyle w:val="StyleUnderline"/>
          <w:highlight w:val="cyan"/>
        </w:rPr>
        <w:t>society</w:t>
      </w:r>
      <w:r w:rsidRPr="0056231B">
        <w:rPr>
          <w:rStyle w:val="StyleUnderline"/>
        </w:rPr>
        <w:t xml:space="preserve"> about</w:t>
      </w:r>
      <w:r w:rsidRPr="0056231B">
        <w:rPr>
          <w:sz w:val="14"/>
        </w:rPr>
        <w:t xml:space="preserve"> the efforts of </w:t>
      </w:r>
      <w:r w:rsidRPr="0056231B">
        <w:rPr>
          <w:rStyle w:val="StyleUnderline"/>
        </w:rPr>
        <w:t xml:space="preserve">the movement </w:t>
      </w:r>
      <w:r w:rsidRPr="006A1AA6">
        <w:rPr>
          <w:rStyle w:val="StyleUnderline"/>
          <w:highlight w:val="cyan"/>
        </w:rPr>
        <w:t xml:space="preserve">and changes to </w:t>
      </w:r>
      <w:r w:rsidRPr="006A1AA6">
        <w:rPr>
          <w:rStyle w:val="Emphasis"/>
          <w:highlight w:val="cyan"/>
        </w:rPr>
        <w:t>legal provisions</w:t>
      </w:r>
      <w:r w:rsidRPr="006A1AA6">
        <w:rPr>
          <w:rStyle w:val="StyleUnderline"/>
          <w:highlight w:val="cyan"/>
        </w:rPr>
        <w:t xml:space="preserve"> for disabled people</w:t>
      </w:r>
      <w:r w:rsidRPr="0056231B">
        <w:rPr>
          <w:sz w:val="14"/>
        </w:rPr>
        <w:t xml:space="preserve">, </w:t>
      </w:r>
      <w:r w:rsidRPr="0056231B">
        <w:rPr>
          <w:rStyle w:val="StyleUnderline"/>
        </w:rPr>
        <w:t xml:space="preserve">and coordinate with other groups to </w:t>
      </w:r>
      <w:r w:rsidRPr="0056231B">
        <w:rPr>
          <w:rStyle w:val="Emphasis"/>
        </w:rPr>
        <w:t>develop</w:t>
      </w:r>
      <w:r w:rsidRPr="0056231B">
        <w:rPr>
          <w:rStyle w:val="StyleUnderline"/>
        </w:rPr>
        <w:t xml:space="preserve"> and </w:t>
      </w:r>
      <w:r w:rsidRPr="0056231B">
        <w:rPr>
          <w:rStyle w:val="Emphasis"/>
        </w:rPr>
        <w:t>lobby</w:t>
      </w:r>
      <w:r w:rsidRPr="0056231B">
        <w:rPr>
          <w:rStyle w:val="StyleUnderline"/>
        </w:rPr>
        <w:t xml:space="preserve"> for new legislative initiatives</w:t>
      </w:r>
      <w:r w:rsidRPr="0056231B">
        <w:rPr>
          <w:sz w:val="14"/>
        </w:rPr>
        <w:t>. The independent living centers are thus practical criptopias that used the material and ideational structures of their time (such as federal and 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7E009D85" w14:textId="77777777" w:rsidR="00212072" w:rsidRPr="0056231B" w:rsidRDefault="00212072" w:rsidP="00212072">
      <w:pPr>
        <w:rPr>
          <w:sz w:val="14"/>
        </w:rPr>
      </w:pPr>
      <w:r w:rsidRPr="0056231B">
        <w:rPr>
          <w:sz w:val="14"/>
        </w:rPr>
        <w:t xml:space="preserve">Secondly, the movement pursued a grounded utopia by lobbying for the passing of legislation to enforce equal status as citizens and contributors to the economy. </w:t>
      </w:r>
      <w:r w:rsidRPr="0056231B">
        <w:rPr>
          <w:rStyle w:val="StyleUnderline"/>
        </w:rPr>
        <w:t xml:space="preserve">The </w:t>
      </w:r>
      <w:r w:rsidRPr="006A1AA6">
        <w:rPr>
          <w:rStyle w:val="StyleUnderline"/>
          <w:highlight w:val="cyan"/>
        </w:rPr>
        <w:t xml:space="preserve">focus on law may seem </w:t>
      </w:r>
      <w:r w:rsidRPr="006A1AA6">
        <w:rPr>
          <w:rStyle w:val="Emphasis"/>
          <w:highlight w:val="cyan"/>
        </w:rPr>
        <w:t>antithetical</w:t>
      </w:r>
      <w:r w:rsidRPr="0056231B">
        <w:rPr>
          <w:rStyle w:val="StyleUnderline"/>
        </w:rPr>
        <w:t xml:space="preserve"> to the utopian project</w:t>
      </w:r>
      <w:r w:rsidRPr="0056231B">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6A1AA6">
        <w:rPr>
          <w:rStyle w:val="StyleUnderline"/>
          <w:highlight w:val="cyan"/>
        </w:rPr>
        <w:t>utopianism</w:t>
      </w:r>
      <w:r w:rsidRPr="0056231B">
        <w:rPr>
          <w:rStyle w:val="StyleUnderline"/>
        </w:rPr>
        <w:t xml:space="preserve"> has since broadened </w:t>
      </w:r>
      <w:r w:rsidRPr="0056231B">
        <w:rPr>
          <w:rStyle w:val="Emphasis"/>
        </w:rPr>
        <w:t>beyond</w:t>
      </w:r>
      <w:r w:rsidRPr="0056231B">
        <w:rPr>
          <w:rStyle w:val="StyleUnderline"/>
        </w:rPr>
        <w:t xml:space="preserve"> the articulation of </w:t>
      </w:r>
      <w:r w:rsidRPr="0056231B">
        <w:rPr>
          <w:rStyle w:val="Emphasis"/>
        </w:rPr>
        <w:t>universal blueprints</w:t>
      </w:r>
      <w:r w:rsidRPr="0056231B">
        <w:rPr>
          <w:rStyle w:val="StyleUnderline"/>
        </w:rPr>
        <w:t xml:space="preserve"> of the perfect society and</w:t>
      </w:r>
      <w:r w:rsidRPr="0056231B">
        <w:rPr>
          <w:sz w:val="14"/>
        </w:rPr>
        <w:t xml:space="preserve"> this move </w:t>
      </w:r>
      <w:r w:rsidRPr="006A1AA6">
        <w:rPr>
          <w:rStyle w:val="Emphasis"/>
          <w:highlight w:val="cyan"/>
        </w:rPr>
        <w:t>necessitates</w:t>
      </w:r>
      <w:r w:rsidRPr="0056231B">
        <w:rPr>
          <w:rStyle w:val="StyleUnderline"/>
        </w:rPr>
        <w:t xml:space="preserve"> a </w:t>
      </w:r>
      <w:r w:rsidRPr="006A1AA6">
        <w:rPr>
          <w:rStyle w:val="Emphasis"/>
          <w:highlight w:val="cyan"/>
        </w:rPr>
        <w:t>greater concern</w:t>
      </w:r>
      <w:r w:rsidRPr="006A1AA6">
        <w:rPr>
          <w:rStyle w:val="StyleUnderline"/>
          <w:highlight w:val="cyan"/>
        </w:rPr>
        <w:t xml:space="preserve"> with how to </w:t>
      </w:r>
      <w:r w:rsidRPr="006A1AA6">
        <w:rPr>
          <w:rStyle w:val="Emphasis"/>
          <w:highlight w:val="cyan"/>
        </w:rPr>
        <w:t>transform an unjust legal system</w:t>
      </w:r>
      <w:r w:rsidRPr="0056231B">
        <w:rPr>
          <w:sz w:val="14"/>
        </w:rPr>
        <w:t xml:space="preserve">. </w:t>
      </w:r>
      <w:r w:rsidRPr="0056231B">
        <w:rPr>
          <w:rStyle w:val="StyleUnderline"/>
        </w:rPr>
        <w:t xml:space="preserve">A </w:t>
      </w:r>
      <w:r w:rsidRPr="006A1AA6">
        <w:rPr>
          <w:rStyle w:val="StyleUnderline"/>
          <w:highlight w:val="cyan"/>
        </w:rPr>
        <w:t>broader</w:t>
      </w:r>
      <w:r w:rsidRPr="0056231B">
        <w:rPr>
          <w:rStyle w:val="StyleUnderline"/>
        </w:rPr>
        <w:t xml:space="preserve"> conception of </w:t>
      </w:r>
      <w:r w:rsidRPr="006A1AA6">
        <w:rPr>
          <w:rStyle w:val="StyleUnderline"/>
          <w:highlight w:val="cyan"/>
        </w:rPr>
        <w:t>utopia</w:t>
      </w:r>
      <w:r w:rsidRPr="0056231B">
        <w:rPr>
          <w:rStyle w:val="StyleUnderline"/>
        </w:rPr>
        <w:t xml:space="preserve"> also </w:t>
      </w:r>
      <w:r w:rsidRPr="006A1AA6">
        <w:rPr>
          <w:rStyle w:val="StyleUnderline"/>
          <w:highlight w:val="cyan"/>
        </w:rPr>
        <w:t>reveals</w:t>
      </w:r>
      <w:r w:rsidRPr="0056231B">
        <w:rPr>
          <w:rStyle w:val="StyleUnderline"/>
        </w:rPr>
        <w:t xml:space="preserve"> the </w:t>
      </w:r>
      <w:r w:rsidRPr="006A1AA6">
        <w:rPr>
          <w:rStyle w:val="Emphasis"/>
          <w:highlight w:val="cyan"/>
        </w:rPr>
        <w:t>social dreaming</w:t>
      </w:r>
      <w:r w:rsidRPr="006A1AA6">
        <w:rPr>
          <w:rStyle w:val="StyleUnderline"/>
          <w:highlight w:val="cyan"/>
        </w:rPr>
        <w:t xml:space="preserve"> that motivates legislation</w:t>
      </w:r>
      <w:r w:rsidRPr="0056231B">
        <w:rPr>
          <w:sz w:val="14"/>
        </w:rPr>
        <w:t xml:space="preserve">, </w:t>
      </w:r>
      <w:r w:rsidRPr="0056231B">
        <w:rPr>
          <w:rStyle w:val="StyleUnderline"/>
        </w:rPr>
        <w:t xml:space="preserve">most obviously in the </w:t>
      </w:r>
      <w:r w:rsidRPr="0056231B">
        <w:rPr>
          <w:rStyle w:val="Emphasis"/>
        </w:rPr>
        <w:t>articulation</w:t>
      </w:r>
      <w:r w:rsidRPr="0056231B">
        <w:rPr>
          <w:rStyle w:val="StyleUnderline"/>
        </w:rPr>
        <w:t xml:space="preserve"> of</w:t>
      </w:r>
      <w:r w:rsidRPr="0056231B">
        <w:rPr>
          <w:sz w:val="14"/>
        </w:rPr>
        <w:t xml:space="preserve">, </w:t>
      </w:r>
      <w:r w:rsidRPr="0056231B">
        <w:rPr>
          <w:rStyle w:val="StyleUnderline"/>
        </w:rPr>
        <w:t xml:space="preserve">and struggle for the </w:t>
      </w:r>
      <w:r w:rsidRPr="0056231B">
        <w:rPr>
          <w:rStyle w:val="Emphasis"/>
        </w:rPr>
        <w:t>protection</w:t>
      </w:r>
      <w:r w:rsidRPr="0056231B">
        <w:rPr>
          <w:rStyle w:val="StyleUnderline"/>
        </w:rPr>
        <w:t xml:space="preserve"> of</w:t>
      </w:r>
      <w:r w:rsidRPr="0056231B">
        <w:rPr>
          <w:sz w:val="14"/>
        </w:rPr>
        <w:t xml:space="preserve">, </w:t>
      </w:r>
      <w:r w:rsidRPr="0056231B">
        <w:rPr>
          <w:rStyle w:val="StyleUnderline"/>
        </w:rPr>
        <w:t xml:space="preserve">human and civil </w:t>
      </w:r>
      <w:r w:rsidRPr="0056231B">
        <w:rPr>
          <w:rStyle w:val="Emphasis"/>
        </w:rPr>
        <w:t>rights</w:t>
      </w:r>
      <w:r w:rsidRPr="0056231B">
        <w:rPr>
          <w:sz w:val="14"/>
        </w:rPr>
        <w:t xml:space="preserve"> (cf. Moyn, 2012, p. 1).</w:t>
      </w:r>
    </w:p>
    <w:p w14:paraId="78A7E528" w14:textId="77777777" w:rsidR="00212072" w:rsidRPr="0056231B" w:rsidRDefault="00212072" w:rsidP="00212072">
      <w:pPr>
        <w:rPr>
          <w:sz w:val="14"/>
        </w:rPr>
      </w:pPr>
      <w:r w:rsidRPr="0056231B">
        <w:rPr>
          <w:rStyle w:val="StyleUnderline"/>
        </w:rPr>
        <w:t xml:space="preserve">Law’s utopian dimension has </w:t>
      </w:r>
      <w:r w:rsidRPr="0056231B">
        <w:rPr>
          <w:rStyle w:val="Emphasis"/>
        </w:rPr>
        <w:t>historically</w:t>
      </w:r>
      <w:r w:rsidRPr="0056231B">
        <w:rPr>
          <w:rStyle w:val="StyleUnderline"/>
        </w:rPr>
        <w:t xml:space="preserve"> had a </w:t>
      </w:r>
      <w:r w:rsidRPr="0056231B">
        <w:rPr>
          <w:rStyle w:val="Emphasis"/>
        </w:rPr>
        <w:t>negative impact</w:t>
      </w:r>
      <w:r w:rsidRPr="0056231B">
        <w:rPr>
          <w:rStyle w:val="StyleUnderline"/>
        </w:rPr>
        <w:t xml:space="preserve"> on disabled people</w:t>
      </w:r>
      <w:r w:rsidRPr="0056231B">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6231B">
        <w:rPr>
          <w:rStyle w:val="StyleUnderline"/>
        </w:rPr>
        <w:t xml:space="preserve">just as citizenship was defined by </w:t>
      </w:r>
      <w:r w:rsidRPr="0056231B">
        <w:rPr>
          <w:rStyle w:val="Emphasis"/>
        </w:rPr>
        <w:t>excluding</w:t>
      </w:r>
      <w:r w:rsidRPr="0056231B">
        <w:rPr>
          <w:rStyle w:val="StyleUnderline"/>
        </w:rPr>
        <w:t xml:space="preserve"> and </w:t>
      </w:r>
      <w:r w:rsidRPr="0056231B">
        <w:rPr>
          <w:rStyle w:val="Emphasis"/>
        </w:rPr>
        <w:t>controlling</w:t>
      </w:r>
      <w:r w:rsidRPr="0056231B">
        <w:rPr>
          <w:rStyle w:val="StyleUnderline"/>
        </w:rPr>
        <w:t xml:space="preserve"> those deemed different</w:t>
      </w:r>
      <w:r w:rsidRPr="0056231B">
        <w:rPr>
          <w:sz w:val="14"/>
        </w:rPr>
        <w:t xml:space="preserve">, </w:t>
      </w:r>
      <w:r w:rsidRPr="0056231B">
        <w:rPr>
          <w:rStyle w:val="StyleUnderline"/>
        </w:rPr>
        <w:t xml:space="preserve">the dominated found in the language of </w:t>
      </w:r>
      <w:r w:rsidRPr="0056231B">
        <w:rPr>
          <w:rStyle w:val="Emphasis"/>
        </w:rPr>
        <w:t>rights</w:t>
      </w:r>
      <w:r w:rsidRPr="0056231B">
        <w:rPr>
          <w:rStyle w:val="StyleUnderline"/>
        </w:rPr>
        <w:t xml:space="preserve"> and </w:t>
      </w:r>
      <w:r w:rsidRPr="0056231B">
        <w:rPr>
          <w:rStyle w:val="Emphasis"/>
        </w:rPr>
        <w:t>citizenship</w:t>
      </w:r>
      <w:r w:rsidRPr="0056231B">
        <w:rPr>
          <w:rStyle w:val="StyleUnderline"/>
        </w:rPr>
        <w:t xml:space="preserve"> a framework to </w:t>
      </w:r>
      <w:r w:rsidRPr="0056231B">
        <w:rPr>
          <w:rStyle w:val="Emphasis"/>
        </w:rPr>
        <w:t>voice</w:t>
      </w:r>
      <w:r w:rsidRPr="0056231B">
        <w:rPr>
          <w:rStyle w:val="StyleUnderline"/>
        </w:rPr>
        <w:t xml:space="preserve"> their oppression and how to </w:t>
      </w:r>
      <w:r w:rsidRPr="0056231B">
        <w:rPr>
          <w:rStyle w:val="Emphasis"/>
        </w:rPr>
        <w:t>transcend</w:t>
      </w:r>
      <w:r w:rsidRPr="0056231B">
        <w:rPr>
          <w:rStyle w:val="StyleUnderline"/>
        </w:rPr>
        <w:t xml:space="preserve"> it</w:t>
      </w:r>
      <w:r w:rsidRPr="0056231B">
        <w:rPr>
          <w:sz w:val="14"/>
        </w:rPr>
        <w:t xml:space="preserve"> (Nielsen, 2012, p. 133). </w:t>
      </w:r>
      <w:r w:rsidRPr="0056231B">
        <w:rPr>
          <w:rStyle w:val="StyleUnderline"/>
        </w:rPr>
        <w:t>The</w:t>
      </w:r>
      <w:r w:rsidRPr="0056231B">
        <w:rPr>
          <w:sz w:val="14"/>
        </w:rPr>
        <w:t xml:space="preserve"> expanding welfare </w:t>
      </w:r>
      <w:r w:rsidRPr="0056231B">
        <w:rPr>
          <w:rStyle w:val="StyleUnderline"/>
        </w:rPr>
        <w:t xml:space="preserve">state </w:t>
      </w:r>
      <w:r w:rsidRPr="0056231B">
        <w:rPr>
          <w:rStyle w:val="Emphasis"/>
        </w:rPr>
        <w:t>both</w:t>
      </w:r>
      <w:r w:rsidRPr="0056231B">
        <w:rPr>
          <w:rStyle w:val="StyleUnderline"/>
        </w:rPr>
        <w:t xml:space="preserve"> provided</w:t>
      </w:r>
      <w:r w:rsidRPr="0056231B">
        <w:rPr>
          <w:sz w:val="14"/>
        </w:rPr>
        <w:t xml:space="preserve"> at times humiliating </w:t>
      </w:r>
      <w:r w:rsidRPr="0056231B">
        <w:rPr>
          <w:rStyle w:val="Emphasis"/>
        </w:rPr>
        <w:t>hurdles</w:t>
      </w:r>
      <w:r w:rsidRPr="0056231B">
        <w:rPr>
          <w:sz w:val="14"/>
        </w:rPr>
        <w:t xml:space="preserve"> to a life of dignity </w:t>
      </w:r>
      <w:r w:rsidRPr="0056231B">
        <w:rPr>
          <w:rStyle w:val="StyleUnderline"/>
        </w:rPr>
        <w:t xml:space="preserve">and also a way to </w:t>
      </w:r>
      <w:r w:rsidRPr="0056231B">
        <w:rPr>
          <w:rStyle w:val="Emphasis"/>
        </w:rPr>
        <w:t>demand rights</w:t>
      </w:r>
      <w:r w:rsidRPr="0056231B">
        <w:rPr>
          <w:sz w:val="14"/>
        </w:rPr>
        <w:t xml:space="preserve">, </w:t>
      </w:r>
      <w:r w:rsidRPr="0056231B">
        <w:rPr>
          <w:rStyle w:val="Emphasis"/>
        </w:rPr>
        <w:t>services</w:t>
      </w:r>
      <w:r w:rsidRPr="0056231B">
        <w:rPr>
          <w:sz w:val="14"/>
        </w:rPr>
        <w:t xml:space="preserve">, </w:t>
      </w:r>
      <w:r w:rsidRPr="0056231B">
        <w:rPr>
          <w:rStyle w:val="StyleUnderline"/>
        </w:rPr>
        <w:t xml:space="preserve">and </w:t>
      </w:r>
      <w:r w:rsidRPr="0056231B">
        <w:rPr>
          <w:rStyle w:val="Emphasis"/>
        </w:rPr>
        <w:t>fund activism</w:t>
      </w:r>
      <w:r w:rsidRPr="0056231B">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56231B">
        <w:rPr>
          <w:rStyle w:val="StyleUnderline"/>
        </w:rPr>
        <w:t>Disabled people</w:t>
      </w:r>
      <w:r w:rsidRPr="0056231B">
        <w:rPr>
          <w:sz w:val="14"/>
        </w:rPr>
        <w:t xml:space="preserve"> (especially those otherwise privileged) </w:t>
      </w:r>
      <w:r w:rsidRPr="0056231B">
        <w:rPr>
          <w:rStyle w:val="StyleUnderline"/>
        </w:rPr>
        <w:t xml:space="preserve">often experience this </w:t>
      </w:r>
      <w:r w:rsidRPr="0056231B">
        <w:rPr>
          <w:rStyle w:val="Emphasis"/>
        </w:rPr>
        <w:t>sleight of hand</w:t>
      </w:r>
      <w:r w:rsidRPr="0056231B">
        <w:rPr>
          <w:rStyle w:val="StyleUnderline"/>
        </w:rPr>
        <w:t xml:space="preserve"> as they become subject to </w:t>
      </w:r>
      <w:r w:rsidRPr="0056231B">
        <w:rPr>
          <w:rStyle w:val="Emphasis"/>
        </w:rPr>
        <w:t>seemingly arbitrary decision-making</w:t>
      </w:r>
      <w:r w:rsidRPr="0056231B">
        <w:rPr>
          <w:rStyle w:val="StyleUnderline"/>
        </w:rPr>
        <w:t xml:space="preserve"> </w:t>
      </w:r>
      <w:r w:rsidRPr="0056231B">
        <w:rPr>
          <w:sz w:val="14"/>
        </w:rPr>
        <w:t xml:space="preserve">on their ability to work or receive federal benefits (Longmore &amp; Goldberger, 2000). </w:t>
      </w:r>
      <w:r w:rsidRPr="0056231B">
        <w:rPr>
          <w:rStyle w:val="StyleUnderline"/>
        </w:rPr>
        <w:t xml:space="preserve">Disability activists </w:t>
      </w:r>
      <w:r w:rsidRPr="0056231B">
        <w:rPr>
          <w:rStyle w:val="Emphasis"/>
        </w:rPr>
        <w:t>reverted</w:t>
      </w:r>
      <w:r w:rsidRPr="0056231B">
        <w:rPr>
          <w:rStyle w:val="StyleUnderline"/>
        </w:rPr>
        <w:t xml:space="preserve"> the sleight of hand by focusing on</w:t>
      </w:r>
      <w:r w:rsidRPr="0056231B">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5C0F3AD2" w14:textId="77777777" w:rsidR="00212072" w:rsidRPr="0056231B" w:rsidRDefault="00212072" w:rsidP="00212072">
      <w:pPr>
        <w:rPr>
          <w:sz w:val="14"/>
        </w:rPr>
      </w:pPr>
      <w:r w:rsidRPr="0056231B">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6231B">
        <w:rPr>
          <w:rStyle w:val="StyleUnderline"/>
        </w:rPr>
        <w:t xml:space="preserve">the importance of </w:t>
      </w:r>
      <w:r w:rsidRPr="0056231B">
        <w:rPr>
          <w:rStyle w:val="Emphasis"/>
        </w:rPr>
        <w:t>litigation</w:t>
      </w:r>
      <w:r w:rsidRPr="0056231B">
        <w:rPr>
          <w:sz w:val="14"/>
        </w:rPr>
        <w:t xml:space="preserve">, </w:t>
      </w:r>
      <w:r w:rsidRPr="0056231B">
        <w:rPr>
          <w:rStyle w:val="Emphasis"/>
        </w:rPr>
        <w:t>legislation</w:t>
      </w:r>
      <w:r w:rsidRPr="0056231B">
        <w:rPr>
          <w:sz w:val="14"/>
        </w:rPr>
        <w:t xml:space="preserve">, </w:t>
      </w:r>
      <w:r w:rsidRPr="0056231B">
        <w:rPr>
          <w:rStyle w:val="StyleUnderline"/>
        </w:rPr>
        <w:t xml:space="preserve">and </w:t>
      </w:r>
      <w:r w:rsidRPr="0056231B">
        <w:rPr>
          <w:rStyle w:val="Emphasis"/>
        </w:rPr>
        <w:t>demonstrations</w:t>
      </w:r>
      <w:r w:rsidRPr="0056231B">
        <w:rPr>
          <w:rStyle w:val="StyleUnderline"/>
        </w:rPr>
        <w:t xml:space="preserve"> and treating disability in terms of a </w:t>
      </w:r>
      <w:r w:rsidRPr="0056231B">
        <w:rPr>
          <w:rStyle w:val="Emphasis"/>
        </w:rPr>
        <w:t>rights</w:t>
      </w:r>
      <w:r w:rsidRPr="0056231B">
        <w:rPr>
          <w:rStyle w:val="StyleUnderline"/>
        </w:rPr>
        <w:t xml:space="preserve"> issue</w:t>
      </w:r>
      <w:r w:rsidRPr="0056231B">
        <w:rPr>
          <w:sz w:val="14"/>
        </w:rPr>
        <w:t xml:space="preserve"> (Winter, 2003).</w:t>
      </w:r>
    </w:p>
    <w:p w14:paraId="4F507DE7" w14:textId="77777777" w:rsidR="00212072" w:rsidRPr="0056231B" w:rsidRDefault="00212072" w:rsidP="00212072">
      <w:pPr>
        <w:rPr>
          <w:sz w:val="14"/>
        </w:rPr>
      </w:pPr>
      <w:r w:rsidRPr="0056231B">
        <w:rPr>
          <w:rStyle w:val="StyleUnderline"/>
        </w:rPr>
        <w:t xml:space="preserve">The struggle for equal rights before the law often involved a focus on </w:t>
      </w:r>
      <w:r w:rsidRPr="0056231B">
        <w:rPr>
          <w:rStyle w:val="Emphasis"/>
        </w:rPr>
        <w:t>concrete</w:t>
      </w:r>
      <w:r w:rsidRPr="0056231B">
        <w:rPr>
          <w:sz w:val="14"/>
        </w:rPr>
        <w:t xml:space="preserve">, </w:t>
      </w:r>
      <w:r w:rsidRPr="0056231B">
        <w:rPr>
          <w:rStyle w:val="Emphasis"/>
        </w:rPr>
        <w:t>immediate issues</w:t>
      </w:r>
      <w:r w:rsidRPr="0056231B">
        <w:rPr>
          <w:sz w:val="14"/>
        </w:rPr>
        <w:t xml:space="preserve">. </w:t>
      </w:r>
      <w:r w:rsidRPr="0056231B">
        <w:rPr>
          <w:rStyle w:val="StyleUnderline"/>
        </w:rPr>
        <w:t>The</w:t>
      </w:r>
      <w:r w:rsidRPr="0056231B">
        <w:rPr>
          <w:sz w:val="14"/>
        </w:rPr>
        <w:t xml:space="preserve"> Architectural Barriers Act (</w:t>
      </w:r>
      <w:r w:rsidRPr="0056231B">
        <w:rPr>
          <w:rStyle w:val="Emphasis"/>
        </w:rPr>
        <w:t>ABA</w:t>
      </w:r>
      <w:r w:rsidRPr="0056231B">
        <w:rPr>
          <w:sz w:val="14"/>
        </w:rPr>
        <w:t xml:space="preserve">) in 1968, for instance, </w:t>
      </w:r>
      <w:r w:rsidRPr="0056231B">
        <w:rPr>
          <w:rStyle w:val="StyleUnderline"/>
        </w:rPr>
        <w:t>offered the important requirement that buildings</w:t>
      </w:r>
      <w:r w:rsidRPr="0056231B">
        <w:rPr>
          <w:sz w:val="14"/>
        </w:rPr>
        <w:t xml:space="preserve"> leased or built and altered </w:t>
      </w:r>
      <w:r w:rsidRPr="0056231B">
        <w:rPr>
          <w:rStyle w:val="StyleUnderline"/>
        </w:rPr>
        <w:t>using federal funds be accessible</w:t>
      </w:r>
      <w:r w:rsidRPr="0056231B">
        <w:rPr>
          <w:sz w:val="14"/>
        </w:rPr>
        <w:t xml:space="preserve">. </w:t>
      </w:r>
      <w:r w:rsidRPr="0056231B">
        <w:rPr>
          <w:rStyle w:val="StyleUnderline"/>
        </w:rPr>
        <w:t xml:space="preserve">The </w:t>
      </w:r>
      <w:r w:rsidRPr="0056231B">
        <w:rPr>
          <w:rStyle w:val="Emphasis"/>
        </w:rPr>
        <w:t>Civil Rights Act</w:t>
      </w:r>
      <w:r w:rsidRPr="0056231B">
        <w:rPr>
          <w:sz w:val="14"/>
        </w:rPr>
        <w:t xml:space="preserve"> of 1964, which prohibited the discrimination on the basis of race, religion, sex, and country of origin but did not mention disability, </w:t>
      </w:r>
      <w:r w:rsidRPr="0056231B">
        <w:rPr>
          <w:rStyle w:val="StyleUnderline"/>
        </w:rPr>
        <w:t xml:space="preserve">sparked a </w:t>
      </w:r>
      <w:r w:rsidRPr="0056231B">
        <w:rPr>
          <w:rStyle w:val="Emphasis"/>
        </w:rPr>
        <w:t>decade</w:t>
      </w:r>
      <w:r w:rsidRPr="0056231B">
        <w:rPr>
          <w:rStyle w:val="StyleUnderline"/>
        </w:rPr>
        <w:t xml:space="preserve"> of struggles</w:t>
      </w:r>
      <w:r w:rsidRPr="0056231B">
        <w:t xml:space="preserve"> </w:t>
      </w:r>
      <w:r w:rsidRPr="0056231B">
        <w:rPr>
          <w:sz w:val="14"/>
        </w:rPr>
        <w:t xml:space="preserve">across US states </w:t>
      </w:r>
      <w:r w:rsidRPr="0056231B">
        <w:rPr>
          <w:rStyle w:val="StyleUnderline"/>
        </w:rPr>
        <w:t xml:space="preserve">centered on </w:t>
      </w:r>
      <w:r w:rsidRPr="0056231B">
        <w:rPr>
          <w:rStyle w:val="Emphasis"/>
        </w:rPr>
        <w:t>extending</w:t>
      </w:r>
      <w:r w:rsidRPr="0056231B">
        <w:rPr>
          <w:rStyle w:val="StyleUnderline"/>
        </w:rPr>
        <w:t xml:space="preserve"> the protections to disabled people</w:t>
      </w:r>
      <w:r w:rsidRPr="0056231B">
        <w:rPr>
          <w:sz w:val="14"/>
        </w:rPr>
        <w:t xml:space="preserve"> (Patterson, 2018, p. 418). </w:t>
      </w:r>
      <w:r w:rsidRPr="0056231B">
        <w:rPr>
          <w:rStyle w:val="StyleUnderline"/>
        </w:rPr>
        <w:t>Activists used</w:t>
      </w:r>
      <w:r w:rsidRPr="0056231B">
        <w:rPr>
          <w:sz w:val="14"/>
        </w:rPr>
        <w:t xml:space="preserve"> a 1972 reauthorization of </w:t>
      </w:r>
      <w:r w:rsidRPr="0056231B">
        <w:rPr>
          <w:rStyle w:val="StyleUnderline"/>
        </w:rPr>
        <w:t>the</w:t>
      </w:r>
      <w:r w:rsidRPr="0056231B">
        <w:rPr>
          <w:sz w:val="14"/>
        </w:rPr>
        <w:t xml:space="preserve"> </w:t>
      </w:r>
      <w:r w:rsidRPr="0056231B">
        <w:rPr>
          <w:rStyle w:val="Emphasis"/>
        </w:rPr>
        <w:t>F</w:t>
      </w:r>
      <w:r w:rsidRPr="0056231B">
        <w:rPr>
          <w:sz w:val="14"/>
        </w:rPr>
        <w:t xml:space="preserve">ederal </w:t>
      </w:r>
      <w:r w:rsidRPr="0056231B">
        <w:rPr>
          <w:rStyle w:val="Emphasis"/>
        </w:rPr>
        <w:t>R</w:t>
      </w:r>
      <w:r w:rsidRPr="0056231B">
        <w:rPr>
          <w:sz w:val="14"/>
        </w:rPr>
        <w:t xml:space="preserve">ehabilitation </w:t>
      </w:r>
      <w:r w:rsidRPr="0056231B">
        <w:rPr>
          <w:rStyle w:val="Emphasis"/>
        </w:rPr>
        <w:t>A</w:t>
      </w:r>
      <w:r w:rsidRPr="0056231B">
        <w:rPr>
          <w:sz w:val="14"/>
        </w:rPr>
        <w:t xml:space="preserve">ct </w:t>
      </w:r>
      <w:r w:rsidRPr="0056231B">
        <w:rPr>
          <w:rStyle w:val="StyleUnderline"/>
        </w:rPr>
        <w:t>to advance their cause</w:t>
      </w:r>
      <w:r w:rsidRPr="0056231B">
        <w:rPr>
          <w:sz w:val="14"/>
        </w:rPr>
        <w:t xml:space="preserve">. Specifically, an initially little-discussed addition of </w:t>
      </w:r>
      <w:r w:rsidRPr="0056231B">
        <w:rPr>
          <w:rStyle w:val="Emphasis"/>
        </w:rPr>
        <w:t>section 504</w:t>
      </w:r>
      <w:r w:rsidRPr="0056231B">
        <w:rPr>
          <w:sz w:val="14"/>
        </w:rPr>
        <w:t xml:space="preserve"> to the legislation by a liberal Democratic Senator, prohibiting discrimination against disabled people by services and activities receiving federal funds, </w:t>
      </w:r>
      <w:r w:rsidRPr="0056231B">
        <w:rPr>
          <w:rStyle w:val="StyleUnderline"/>
        </w:rPr>
        <w:t xml:space="preserve">provided the </w:t>
      </w:r>
      <w:r w:rsidRPr="0056231B">
        <w:rPr>
          <w:rStyle w:val="Emphasis"/>
        </w:rPr>
        <w:t>legislative foothold</w:t>
      </w:r>
      <w:r w:rsidRPr="0056231B">
        <w:rPr>
          <w:rStyle w:val="StyleUnderline"/>
        </w:rPr>
        <w:t xml:space="preserve"> for disability-centric anti-discrimination legislation</w:t>
      </w:r>
      <w:r w:rsidRPr="0056231B">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56231B">
        <w:rPr>
          <w:rStyle w:val="StyleUnderline"/>
        </w:rPr>
        <w:t>The</w:t>
      </w:r>
      <w:r w:rsidRPr="0056231B">
        <w:rPr>
          <w:sz w:val="14"/>
        </w:rPr>
        <w:t xml:space="preserve"> Americans with Disabilities Act (</w:t>
      </w:r>
      <w:r w:rsidRPr="0056231B">
        <w:rPr>
          <w:rStyle w:val="Emphasis"/>
        </w:rPr>
        <w:t>ADA</w:t>
      </w:r>
      <w:r w:rsidRPr="0056231B">
        <w:rPr>
          <w:sz w:val="14"/>
        </w:rPr>
        <w:t xml:space="preserve">) in 1990 promised to alleviate these problems by </w:t>
      </w:r>
      <w:r w:rsidRPr="0056231B">
        <w:rPr>
          <w:rStyle w:val="StyleUnderline"/>
        </w:rPr>
        <w:t>put</w:t>
      </w:r>
      <w:r w:rsidRPr="0056231B">
        <w:rPr>
          <w:sz w:val="14"/>
        </w:rPr>
        <w:t xml:space="preserve">ting </w:t>
      </w:r>
      <w:r w:rsidRPr="0056231B">
        <w:rPr>
          <w:rStyle w:val="StyleUnderline"/>
        </w:rPr>
        <w:t xml:space="preserve">into place </w:t>
      </w:r>
      <w:r w:rsidRPr="0056231B">
        <w:rPr>
          <w:rStyle w:val="Emphasis"/>
        </w:rPr>
        <w:t>protections</w:t>
      </w:r>
      <w:r w:rsidRPr="0056231B">
        <w:rPr>
          <w:rStyle w:val="StyleUnderline"/>
        </w:rPr>
        <w:t xml:space="preserve"> against discrimination</w:t>
      </w:r>
      <w:r w:rsidRPr="0056231B">
        <w:rPr>
          <w:sz w:val="14"/>
        </w:rPr>
        <w:t xml:space="preserve"> based on, </w:t>
      </w:r>
      <w:r w:rsidRPr="0056231B">
        <w:rPr>
          <w:rStyle w:val="StyleUnderline"/>
        </w:rPr>
        <w:t xml:space="preserve">and </w:t>
      </w:r>
      <w:r w:rsidRPr="0056231B">
        <w:rPr>
          <w:rStyle w:val="Emphasis"/>
        </w:rPr>
        <w:t>requirements</w:t>
      </w:r>
      <w:r w:rsidRPr="0056231B">
        <w:rPr>
          <w:rStyle w:val="StyleUnderline"/>
        </w:rPr>
        <w:t xml:space="preserve"> of reasonable accommodation</w:t>
      </w:r>
      <w:r w:rsidRPr="0056231B">
        <w:rPr>
          <w:sz w:val="14"/>
        </w:rPr>
        <w:t xml:space="preserve"> of, disability (Bagenstos, 2009; Winter, 2003). Again, </w:t>
      </w:r>
      <w:r w:rsidRPr="0056231B">
        <w:rPr>
          <w:rStyle w:val="StyleUnderline"/>
        </w:rPr>
        <w:t>disability activists</w:t>
      </w:r>
      <w:r w:rsidRPr="0056231B">
        <w:rPr>
          <w:sz w:val="14"/>
        </w:rPr>
        <w:t xml:space="preserve"> used common strategies to influence the ADA’s passing, including by </w:t>
      </w:r>
      <w:r w:rsidRPr="0056231B">
        <w:rPr>
          <w:rStyle w:val="StyleUnderline"/>
        </w:rPr>
        <w:t>set</w:t>
      </w:r>
      <w:r w:rsidRPr="0056231B">
        <w:rPr>
          <w:sz w:val="14"/>
        </w:rPr>
        <w:t xml:space="preserve">ting </w:t>
      </w:r>
      <w:r w:rsidRPr="0056231B">
        <w:rPr>
          <w:rStyle w:val="StyleUnderline"/>
        </w:rPr>
        <w:t xml:space="preserve">up </w:t>
      </w:r>
      <w:r w:rsidRPr="0056231B">
        <w:rPr>
          <w:rStyle w:val="Emphasis"/>
        </w:rPr>
        <w:t>sophisticated lobbying networks</w:t>
      </w:r>
      <w:r w:rsidRPr="0056231B">
        <w:rPr>
          <w:sz w:val="14"/>
        </w:rPr>
        <w:t xml:space="preserve"> in Washington and adding pressure through public protest. One example of this is activists in March 1990 ‘crawling up’ the US Capitol steps (Pelka, 2012, pp. 419, 515).</w:t>
      </w:r>
    </w:p>
    <w:p w14:paraId="5DFAEB2C" w14:textId="77777777" w:rsidR="00212072" w:rsidRPr="0056231B" w:rsidRDefault="00212072" w:rsidP="00212072">
      <w:pPr>
        <w:rPr>
          <w:sz w:val="14"/>
        </w:rPr>
      </w:pPr>
      <w:r w:rsidRPr="0056231B">
        <w:rPr>
          <w:rStyle w:val="StyleUnderline"/>
        </w:rPr>
        <w:t xml:space="preserve">Litigation and </w:t>
      </w:r>
      <w:r w:rsidRPr="006A1AA6">
        <w:rPr>
          <w:rStyle w:val="StyleUnderline"/>
          <w:highlight w:val="cyan"/>
        </w:rPr>
        <w:t xml:space="preserve">legislation offered </w:t>
      </w:r>
      <w:r w:rsidRPr="006A1AA6">
        <w:rPr>
          <w:rStyle w:val="Emphasis"/>
          <w:highlight w:val="cyan"/>
        </w:rPr>
        <w:t>important means</w:t>
      </w:r>
      <w:r w:rsidRPr="006A1AA6">
        <w:rPr>
          <w:rStyle w:val="StyleUnderline"/>
          <w:highlight w:val="cyan"/>
        </w:rPr>
        <w:t xml:space="preserve"> to utilize the toolkit developed by previous civil rights movements</w:t>
      </w:r>
      <w:r w:rsidRPr="0056231B">
        <w:rPr>
          <w:rStyle w:val="StyleUnderline"/>
        </w:rPr>
        <w:t xml:space="preserve"> </w:t>
      </w:r>
      <w:r w:rsidRPr="006A1AA6">
        <w:rPr>
          <w:rStyle w:val="StyleUnderline"/>
          <w:highlight w:val="cyan"/>
        </w:rPr>
        <w:t>to make</w:t>
      </w:r>
      <w:r w:rsidRPr="0056231B">
        <w:rPr>
          <w:sz w:val="14"/>
        </w:rPr>
        <w:t xml:space="preserve"> the </w:t>
      </w:r>
      <w:r w:rsidRPr="006A1AA6">
        <w:rPr>
          <w:rStyle w:val="StyleUnderline"/>
          <w:highlight w:val="cyan"/>
        </w:rPr>
        <w:t>utopian visions</w:t>
      </w:r>
      <w:r w:rsidRPr="0056231B">
        <w:rPr>
          <w:sz w:val="14"/>
        </w:rPr>
        <w:t xml:space="preserve"> of the social model </w:t>
      </w:r>
      <w:r w:rsidRPr="006A1AA6">
        <w:rPr>
          <w:rStyle w:val="Emphasis"/>
          <w:highlight w:val="cyan"/>
        </w:rPr>
        <w:t>concrete</w:t>
      </w:r>
      <w:r w:rsidRPr="0056231B">
        <w:rPr>
          <w:sz w:val="14"/>
        </w:rPr>
        <w:t xml:space="preserve">. Together with the independent living centers, </w:t>
      </w:r>
      <w:r w:rsidRPr="0056231B">
        <w:rPr>
          <w:rStyle w:val="StyleUnderline"/>
        </w:rPr>
        <w:t xml:space="preserve">legislation helped </w:t>
      </w:r>
      <w:r w:rsidRPr="0056231B">
        <w:rPr>
          <w:rStyle w:val="Emphasis"/>
        </w:rPr>
        <w:t>normalize</w:t>
      </w:r>
      <w:r w:rsidRPr="0056231B">
        <w:rPr>
          <w:rStyle w:val="StyleUnderline"/>
        </w:rPr>
        <w:t xml:space="preserve"> the</w:t>
      </w:r>
      <w:r w:rsidRPr="0056231B">
        <w:rPr>
          <w:sz w:val="14"/>
        </w:rPr>
        <w:t xml:space="preserve"> model’s </w:t>
      </w:r>
      <w:r w:rsidRPr="0056231B">
        <w:rPr>
          <w:rStyle w:val="Emphasis"/>
        </w:rPr>
        <w:t>radical assumption</w:t>
      </w:r>
      <w:r w:rsidRPr="0056231B">
        <w:rPr>
          <w:rStyle w:val="StyleUnderline"/>
        </w:rPr>
        <w:t xml:space="preserve"> that society needed to work towards enabling disabled people’s</w:t>
      </w:r>
      <w:r w:rsidRPr="0056231B">
        <w:rPr>
          <w:sz w:val="14"/>
        </w:rPr>
        <w:t xml:space="preserve"> equal </w:t>
      </w:r>
      <w:r w:rsidRPr="0056231B">
        <w:rPr>
          <w:rStyle w:val="StyleUnderline"/>
        </w:rPr>
        <w:t>access</w:t>
      </w:r>
      <w:r w:rsidRPr="0056231B">
        <w:rPr>
          <w:sz w:val="14"/>
        </w:rPr>
        <w:t xml:space="preserve"> to socio-economic activities. Acting ‘as if’, </w:t>
      </w:r>
      <w:r w:rsidRPr="006A1AA6">
        <w:rPr>
          <w:rStyle w:val="StyleUnderline"/>
          <w:highlight w:val="cyan"/>
        </w:rPr>
        <w:t xml:space="preserve">the movement helped </w:t>
      </w:r>
      <w:r w:rsidRPr="006A1AA6">
        <w:rPr>
          <w:rStyle w:val="Emphasis"/>
          <w:highlight w:val="cyan"/>
        </w:rPr>
        <w:t>shift the legislative focus</w:t>
      </w:r>
      <w:r w:rsidRPr="006A1AA6">
        <w:rPr>
          <w:rStyle w:val="StyleUnderline"/>
          <w:highlight w:val="cyan"/>
        </w:rPr>
        <w:t xml:space="preserve"> from</w:t>
      </w:r>
      <w:r w:rsidRPr="0056231B">
        <w:rPr>
          <w:sz w:val="14"/>
        </w:rPr>
        <w:t xml:space="preserve"> ‘managing’, </w:t>
      </w:r>
      <w:r w:rsidRPr="006A1AA6">
        <w:rPr>
          <w:rStyle w:val="Emphasis"/>
          <w:highlight w:val="cyan"/>
        </w:rPr>
        <w:t>erasing</w:t>
      </w:r>
      <w:r w:rsidRPr="0056231B">
        <w:rPr>
          <w:sz w:val="14"/>
        </w:rPr>
        <w:t xml:space="preserve">, or separating out </w:t>
      </w:r>
      <w:r w:rsidRPr="006A1AA6">
        <w:rPr>
          <w:rStyle w:val="StyleUnderline"/>
          <w:highlight w:val="cyan"/>
        </w:rPr>
        <w:t>disability</w:t>
      </w:r>
      <w:r w:rsidRPr="0056231B">
        <w:rPr>
          <w:sz w:val="14"/>
        </w:rPr>
        <w:t xml:space="preserve"> from society </w:t>
      </w:r>
      <w:r w:rsidRPr="006A1AA6">
        <w:rPr>
          <w:rStyle w:val="StyleUnderline"/>
          <w:highlight w:val="cyan"/>
        </w:rPr>
        <w:t xml:space="preserve">towards changing society to </w:t>
      </w:r>
      <w:r w:rsidRPr="006A1AA6">
        <w:rPr>
          <w:rStyle w:val="Emphasis"/>
          <w:highlight w:val="cyan"/>
        </w:rPr>
        <w:t>include</w:t>
      </w:r>
      <w:r w:rsidRPr="006A1AA6">
        <w:rPr>
          <w:rStyle w:val="StyleUnderline"/>
          <w:highlight w:val="cyan"/>
        </w:rPr>
        <w:t xml:space="preserve"> disabled people</w:t>
      </w:r>
      <w:r w:rsidRPr="0056231B">
        <w:rPr>
          <w:sz w:val="14"/>
        </w:rPr>
        <w:t>.</w:t>
      </w:r>
    </w:p>
    <w:p w14:paraId="7E1CD22B" w14:textId="77777777" w:rsidR="00212072" w:rsidRPr="0056231B" w:rsidRDefault="00212072" w:rsidP="00212072">
      <w:pPr>
        <w:rPr>
          <w:sz w:val="14"/>
        </w:rPr>
      </w:pPr>
      <w:r w:rsidRPr="0056231B">
        <w:rPr>
          <w:sz w:val="14"/>
        </w:rPr>
        <w:t xml:space="preserve">Thirdly, </w:t>
      </w:r>
      <w:r w:rsidRPr="006A1AA6">
        <w:rPr>
          <w:rStyle w:val="StyleUnderline"/>
          <w:highlight w:val="cyan"/>
        </w:rPr>
        <w:t xml:space="preserve">the movement </w:t>
      </w:r>
      <w:r w:rsidRPr="006A1AA6">
        <w:rPr>
          <w:rStyle w:val="Emphasis"/>
          <w:highlight w:val="cyan"/>
        </w:rPr>
        <w:t>actualized</w:t>
      </w:r>
      <w:r w:rsidRPr="006A1AA6">
        <w:rPr>
          <w:rStyle w:val="StyleUnderline"/>
          <w:highlight w:val="cyan"/>
        </w:rPr>
        <w:t xml:space="preserve"> the </w:t>
      </w:r>
      <w:r w:rsidRPr="006A1AA6">
        <w:rPr>
          <w:rStyle w:val="Emphasis"/>
          <w:highlight w:val="cyan"/>
        </w:rPr>
        <w:t>emancipatory potential</w:t>
      </w:r>
      <w:r w:rsidRPr="006A1AA6">
        <w:rPr>
          <w:rStyle w:val="StyleUnderline"/>
          <w:highlight w:val="cyan"/>
        </w:rPr>
        <w:t xml:space="preserve"> within existing power structures by </w:t>
      </w:r>
      <w:r w:rsidRPr="006A1AA6">
        <w:rPr>
          <w:rStyle w:val="Emphasis"/>
          <w:highlight w:val="cyan"/>
        </w:rPr>
        <w:t>challenging expectations</w:t>
      </w:r>
      <w:r w:rsidRPr="006A1AA6">
        <w:rPr>
          <w:rStyle w:val="StyleUnderline"/>
          <w:highlight w:val="cyan"/>
        </w:rPr>
        <w:t xml:space="preserve"> of what disabled people can do</w:t>
      </w:r>
      <w:r w:rsidRPr="006A1AA6">
        <w:rPr>
          <w:sz w:val="14"/>
          <w:highlight w:val="cyan"/>
        </w:rPr>
        <w:t>.</w:t>
      </w:r>
      <w:r w:rsidRPr="0056231B">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6A1AA6">
        <w:rPr>
          <w:rStyle w:val="StyleUnderline"/>
          <w:highlight w:val="cyan"/>
        </w:rPr>
        <w:t xml:space="preserve">activists had to become </w:t>
      </w:r>
      <w:r w:rsidRPr="006A1AA6">
        <w:rPr>
          <w:rStyle w:val="Emphasis"/>
          <w:highlight w:val="cyan"/>
        </w:rPr>
        <w:t>experts</w:t>
      </w:r>
      <w:r w:rsidRPr="006A1AA6">
        <w:rPr>
          <w:rStyle w:val="StyleUnderline"/>
          <w:highlight w:val="cyan"/>
        </w:rPr>
        <w:t xml:space="preserve"> in areas </w:t>
      </w:r>
      <w:r w:rsidRPr="006A1AA6">
        <w:rPr>
          <w:rStyle w:val="Emphasis"/>
          <w:highlight w:val="cyan"/>
        </w:rPr>
        <w:t>central</w:t>
      </w:r>
      <w:r w:rsidRPr="006A1AA6">
        <w:rPr>
          <w:rStyle w:val="StyleUnderline"/>
          <w:highlight w:val="cyan"/>
        </w:rPr>
        <w:t xml:space="preserve"> to the </w:t>
      </w:r>
      <w:r w:rsidRPr="006A1AA6">
        <w:rPr>
          <w:rStyle w:val="Emphasis"/>
          <w:highlight w:val="cyan"/>
        </w:rPr>
        <w:t>governance</w:t>
      </w:r>
      <w:r w:rsidRPr="006A1AA6">
        <w:rPr>
          <w:rStyle w:val="StyleUnderline"/>
          <w:highlight w:val="cyan"/>
        </w:rPr>
        <w:t xml:space="preserve"> of society</w:t>
      </w:r>
      <w:r w:rsidRPr="006A1AA6">
        <w:rPr>
          <w:sz w:val="14"/>
          <w:highlight w:val="cyan"/>
        </w:rPr>
        <w:t xml:space="preserve">, </w:t>
      </w:r>
      <w:r w:rsidRPr="006A1AA6">
        <w:rPr>
          <w:rStyle w:val="StyleUnderline"/>
          <w:highlight w:val="cyan"/>
        </w:rPr>
        <w:t xml:space="preserve">from </w:t>
      </w:r>
      <w:r w:rsidRPr="006A1AA6">
        <w:rPr>
          <w:rStyle w:val="Emphasis"/>
          <w:highlight w:val="cyan"/>
        </w:rPr>
        <w:t>city planning</w:t>
      </w:r>
      <w:r w:rsidRPr="006A1AA6">
        <w:rPr>
          <w:rStyle w:val="StyleUnderline"/>
          <w:highlight w:val="cyan"/>
        </w:rPr>
        <w:t xml:space="preserve"> to the </w:t>
      </w:r>
      <w:r w:rsidRPr="006A1AA6">
        <w:rPr>
          <w:rStyle w:val="Emphasis"/>
          <w:highlight w:val="cyan"/>
        </w:rPr>
        <w:t>lobbying of politicians</w:t>
      </w:r>
      <w:r w:rsidRPr="006A1AA6">
        <w:rPr>
          <w:sz w:val="14"/>
          <w:highlight w:val="cyan"/>
        </w:rPr>
        <w:t>:</w:t>
      </w:r>
      <w:r w:rsidRPr="0056231B">
        <w:rPr>
          <w:sz w:val="14"/>
        </w:rPr>
        <w:t xml:space="preserve"> ‘we really needed to develop expertise. It couldn’t just be “we have the right to get on the bus, we have a right to go to school”’, ‘</w:t>
      </w:r>
      <w:r w:rsidRPr="0056231B">
        <w:rPr>
          <w:rStyle w:val="StyleUnderline"/>
        </w:rPr>
        <w:t xml:space="preserve">we needed to become experts in areas that we </w:t>
      </w:r>
      <w:r w:rsidRPr="0056231B">
        <w:rPr>
          <w:rStyle w:val="Emphasis"/>
        </w:rPr>
        <w:t>never thought about</w:t>
      </w:r>
      <w:r w:rsidRPr="0056231B">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56231B">
        <w:rPr>
          <w:rStyle w:val="Emphasis"/>
        </w:rPr>
        <w:t>Karuth</w:t>
      </w:r>
      <w:r w:rsidRPr="0056231B">
        <w:rPr>
          <w:rStyle w:val="StyleUnderline"/>
        </w:rPr>
        <w:t xml:space="preserve"> served on the Massachusetts</w:t>
      </w:r>
      <w:r w:rsidRPr="0056231B">
        <w:rPr>
          <w:sz w:val="14"/>
        </w:rPr>
        <w:t xml:space="preserve"> </w:t>
      </w:r>
      <w:r w:rsidRPr="0056231B">
        <w:rPr>
          <w:rStyle w:val="Emphasis"/>
        </w:rPr>
        <w:t>G</w:t>
      </w:r>
      <w:r w:rsidRPr="0056231B">
        <w:rPr>
          <w:sz w:val="14"/>
        </w:rPr>
        <w:t xml:space="preserve">overnor’s </w:t>
      </w:r>
      <w:r w:rsidRPr="0056231B">
        <w:rPr>
          <w:rStyle w:val="Emphasis"/>
        </w:rPr>
        <w:t>C</w:t>
      </w:r>
      <w:r w:rsidRPr="0056231B">
        <w:rPr>
          <w:sz w:val="16"/>
          <w:szCs w:val="16"/>
        </w:rPr>
        <w:t>ommission on</w:t>
      </w:r>
      <w:r w:rsidRPr="0056231B">
        <w:rPr>
          <w:sz w:val="14"/>
        </w:rPr>
        <w:t xml:space="preserve"> </w:t>
      </w:r>
      <w:r w:rsidRPr="0056231B">
        <w:rPr>
          <w:rStyle w:val="Emphasis"/>
        </w:rPr>
        <w:t>A</w:t>
      </w:r>
      <w:r w:rsidRPr="0056231B">
        <w:rPr>
          <w:sz w:val="14"/>
        </w:rPr>
        <w:t xml:space="preserve">ccessible </w:t>
      </w:r>
      <w:r w:rsidRPr="0056231B">
        <w:rPr>
          <w:rStyle w:val="Emphasis"/>
        </w:rPr>
        <w:t>T</w:t>
      </w:r>
      <w:r w:rsidRPr="0056231B">
        <w:rPr>
          <w:sz w:val="14"/>
        </w:rPr>
        <w:t xml:space="preserve">ransportation, and Ed </w:t>
      </w:r>
      <w:r w:rsidRPr="0056231B">
        <w:rPr>
          <w:rStyle w:val="Emphasis"/>
        </w:rPr>
        <w:t>Roberts</w:t>
      </w:r>
      <w:r w:rsidRPr="0056231B">
        <w:rPr>
          <w:rStyle w:val="StyleUnderline"/>
        </w:rPr>
        <w:t xml:space="preserve"> was</w:t>
      </w:r>
      <w:r w:rsidRPr="0056231B">
        <w:rPr>
          <w:sz w:val="14"/>
        </w:rPr>
        <w:t xml:space="preserve"> appointed to the role of </w:t>
      </w:r>
      <w:r w:rsidRPr="0056231B">
        <w:rPr>
          <w:rStyle w:val="StyleUnderline"/>
        </w:rPr>
        <w:t>Director of the California</w:t>
      </w:r>
      <w:r w:rsidRPr="0056231B">
        <w:rPr>
          <w:sz w:val="14"/>
        </w:rPr>
        <w:t xml:space="preserve"> </w:t>
      </w:r>
      <w:r w:rsidRPr="0056231B">
        <w:rPr>
          <w:rStyle w:val="Emphasis"/>
        </w:rPr>
        <w:t>D</w:t>
      </w:r>
      <w:r w:rsidRPr="0056231B">
        <w:rPr>
          <w:sz w:val="14"/>
        </w:rPr>
        <w:t xml:space="preserve">epartment of </w:t>
      </w:r>
      <w:r w:rsidRPr="0056231B">
        <w:rPr>
          <w:rStyle w:val="Emphasis"/>
        </w:rPr>
        <w:t>V</w:t>
      </w:r>
      <w:r w:rsidRPr="0056231B">
        <w:rPr>
          <w:sz w:val="14"/>
        </w:rPr>
        <w:t xml:space="preserve">ocational </w:t>
      </w:r>
      <w:r w:rsidRPr="0056231B">
        <w:rPr>
          <w:rStyle w:val="Emphasis"/>
        </w:rPr>
        <w:t>R</w:t>
      </w:r>
      <w:r w:rsidRPr="0056231B">
        <w:rPr>
          <w:sz w:val="14"/>
        </w:rPr>
        <w:t xml:space="preserve">ehabilitation. Deidre </w:t>
      </w:r>
      <w:r w:rsidRPr="0056231B">
        <w:rPr>
          <w:rStyle w:val="Emphasis"/>
        </w:rPr>
        <w:t>Davis-Butler</w:t>
      </w:r>
      <w:r w:rsidRPr="0056231B">
        <w:rPr>
          <w:rStyle w:val="StyleUnderline"/>
        </w:rPr>
        <w:t xml:space="preserve"> and</w:t>
      </w:r>
      <w:r w:rsidRPr="0056231B">
        <w:rPr>
          <w:sz w:val="14"/>
        </w:rPr>
        <w:t xml:space="preserve"> Judith </w:t>
      </w:r>
      <w:r w:rsidRPr="0056231B">
        <w:rPr>
          <w:rStyle w:val="Emphasis"/>
        </w:rPr>
        <w:t>Heumann</w:t>
      </w:r>
      <w:r w:rsidRPr="0056231B">
        <w:rPr>
          <w:rStyle w:val="StyleUnderline"/>
        </w:rPr>
        <w:t xml:space="preserve"> worked for the</w:t>
      </w:r>
      <w:r w:rsidRPr="0056231B">
        <w:rPr>
          <w:sz w:val="14"/>
        </w:rPr>
        <w:t xml:space="preserve"> US </w:t>
      </w:r>
      <w:r w:rsidRPr="0056231B">
        <w:rPr>
          <w:rStyle w:val="Emphasis"/>
        </w:rPr>
        <w:t>D</w:t>
      </w:r>
      <w:r w:rsidRPr="0056231B">
        <w:rPr>
          <w:sz w:val="14"/>
        </w:rPr>
        <w:t xml:space="preserve">epartment </w:t>
      </w:r>
      <w:r w:rsidRPr="0056231B">
        <w:rPr>
          <w:rStyle w:val="Emphasis"/>
        </w:rPr>
        <w:t>o</w:t>
      </w:r>
      <w:r w:rsidRPr="0056231B">
        <w:rPr>
          <w:sz w:val="14"/>
        </w:rPr>
        <w:t xml:space="preserve">f </w:t>
      </w:r>
      <w:r w:rsidRPr="0056231B">
        <w:rPr>
          <w:rStyle w:val="Emphasis"/>
        </w:rPr>
        <w:t>E</w:t>
      </w:r>
      <w:r w:rsidRPr="0056231B">
        <w:rPr>
          <w:sz w:val="14"/>
        </w:rPr>
        <w:t xml:space="preserve">ducation. </w:t>
      </w:r>
      <w:r w:rsidRPr="0056231B">
        <w:rPr>
          <w:rStyle w:val="StyleUnderline"/>
        </w:rPr>
        <w:t>Many others founded and governed influential disability organizations</w:t>
      </w:r>
      <w:r w:rsidRPr="0056231B">
        <w:rPr>
          <w:sz w:val="14"/>
        </w:rPr>
        <w:t xml:space="preserve">, </w:t>
      </w:r>
      <w:r w:rsidRPr="0056231B">
        <w:rPr>
          <w:rStyle w:val="StyleUnderline"/>
        </w:rPr>
        <w:t>for example the</w:t>
      </w:r>
      <w:r w:rsidRPr="0056231B">
        <w:rPr>
          <w:sz w:val="14"/>
        </w:rPr>
        <w:t xml:space="preserve"> </w:t>
      </w:r>
      <w:r w:rsidRPr="0056231B">
        <w:rPr>
          <w:rStyle w:val="Emphasis"/>
        </w:rPr>
        <w:t>D</w:t>
      </w:r>
      <w:r w:rsidRPr="0056231B">
        <w:rPr>
          <w:sz w:val="14"/>
        </w:rPr>
        <w:t xml:space="preserve">isability </w:t>
      </w:r>
      <w:r w:rsidRPr="0056231B">
        <w:rPr>
          <w:rStyle w:val="Emphasis"/>
        </w:rPr>
        <w:t>R</w:t>
      </w:r>
      <w:r w:rsidRPr="0056231B">
        <w:rPr>
          <w:sz w:val="14"/>
        </w:rPr>
        <w:t xml:space="preserve">ights </w:t>
      </w:r>
      <w:r w:rsidRPr="0056231B">
        <w:rPr>
          <w:rStyle w:val="Emphasis"/>
        </w:rPr>
        <w:t>E</w:t>
      </w:r>
      <w:r w:rsidRPr="0056231B">
        <w:rPr>
          <w:sz w:val="14"/>
        </w:rPr>
        <w:t xml:space="preserve">ducation and </w:t>
      </w:r>
      <w:r w:rsidRPr="0056231B">
        <w:rPr>
          <w:rStyle w:val="Emphasis"/>
        </w:rPr>
        <w:t>D</w:t>
      </w:r>
      <w:r w:rsidRPr="0056231B">
        <w:rPr>
          <w:sz w:val="14"/>
        </w:rPr>
        <w:t xml:space="preserve">efense </w:t>
      </w:r>
      <w:r w:rsidRPr="0056231B">
        <w:rPr>
          <w:rStyle w:val="Emphasis"/>
        </w:rPr>
        <w:t>F</w:t>
      </w:r>
      <w:r w:rsidRPr="0056231B">
        <w:rPr>
          <w:sz w:val="14"/>
        </w:rPr>
        <w:t xml:space="preserve">und. The </w:t>
      </w:r>
      <w:r w:rsidRPr="0056231B">
        <w:rPr>
          <w:rStyle w:val="StyleUnderline"/>
        </w:rPr>
        <w:t>activists</w:t>
      </w:r>
      <w:r w:rsidRPr="0056231B">
        <w:rPr>
          <w:sz w:val="14"/>
        </w:rPr>
        <w:t xml:space="preserve"> often had to learn these new roles and expertise as they went along, not least as disabled people are in many cases thrown into activism by changes in circumstances or moments of social discrimination. They sometimes </w:t>
      </w:r>
      <w:r w:rsidRPr="0056231B">
        <w:rPr>
          <w:rStyle w:val="StyleUnderline"/>
        </w:rPr>
        <w:t xml:space="preserve">gained </w:t>
      </w:r>
      <w:r w:rsidRPr="0056231B">
        <w:rPr>
          <w:rStyle w:val="Emphasis"/>
        </w:rPr>
        <w:t>important support</w:t>
      </w:r>
      <w:r w:rsidRPr="0056231B">
        <w:rPr>
          <w:rStyle w:val="StyleUnderline"/>
        </w:rPr>
        <w:t xml:space="preserve"> and </w:t>
      </w:r>
      <w:r w:rsidRPr="0056231B">
        <w:rPr>
          <w:rStyle w:val="Emphasis"/>
        </w:rPr>
        <w:t>insight</w:t>
      </w:r>
      <w:r w:rsidRPr="0056231B">
        <w:rPr>
          <w:rStyle w:val="StyleUnderline"/>
        </w:rPr>
        <w:t xml:space="preserve"> from</w:t>
      </w:r>
      <w:r w:rsidRPr="0056231B">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activists in the process of imagining an alternative world.</w:t>
      </w:r>
    </w:p>
    <w:p w14:paraId="32B7BDFF" w14:textId="77777777" w:rsidR="00212072" w:rsidRDefault="00212072" w:rsidP="00212072">
      <w:pPr>
        <w:rPr>
          <w:sz w:val="14"/>
        </w:rPr>
      </w:pPr>
      <w:r w:rsidRPr="0056231B">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combine utopian everyday practices with </w:t>
      </w:r>
      <w:r w:rsidRPr="0056231B">
        <w:rPr>
          <w:rStyle w:val="StyleUnderline"/>
        </w:rPr>
        <w:t xml:space="preserve">an explicit focus on </w:t>
      </w:r>
      <w:r w:rsidRPr="0056231B">
        <w:rPr>
          <w:rStyle w:val="Emphasis"/>
        </w:rPr>
        <w:t>pressuring</w:t>
      </w:r>
      <w:r w:rsidRPr="0056231B">
        <w:rPr>
          <w:rStyle w:val="StyleUnderline"/>
        </w:rPr>
        <w:t xml:space="preserve"> and </w:t>
      </w:r>
      <w:r w:rsidRPr="0056231B">
        <w:rPr>
          <w:rStyle w:val="Emphasis"/>
        </w:rPr>
        <w:t>transforming</w:t>
      </w:r>
      <w:r w:rsidRPr="0056231B">
        <w:rPr>
          <w:rStyle w:val="StyleUnderline"/>
        </w:rPr>
        <w:t xml:space="preserve"> political and legal institutions</w:t>
      </w:r>
      <w:r w:rsidRPr="0056231B">
        <w:rPr>
          <w:sz w:val="14"/>
        </w:rPr>
        <w:t>—</w:t>
      </w:r>
      <w:r w:rsidRPr="0056231B">
        <w:rPr>
          <w:rStyle w:val="Emphasis"/>
        </w:rPr>
        <w:t>precisely because</w:t>
      </w:r>
      <w:r w:rsidRPr="0056231B">
        <w:rPr>
          <w:rStyle w:val="StyleUnderline"/>
        </w:rPr>
        <w:t xml:space="preserve"> these institutions have </w:t>
      </w:r>
      <w:r w:rsidRPr="0056231B">
        <w:rPr>
          <w:rStyle w:val="Emphasis"/>
        </w:rPr>
        <w:t>such an immediate impact</w:t>
      </w:r>
      <w:r w:rsidRPr="0056231B">
        <w:rPr>
          <w:rStyle w:val="StyleUnderline"/>
        </w:rPr>
        <w:t xml:space="preserve"> on disabled people’s lives</w:t>
      </w:r>
      <w:r w:rsidRPr="0056231B">
        <w:rPr>
          <w:sz w:val="14"/>
        </w:rPr>
        <w:t xml:space="preserve"> and utopian impulse. The divergence is typical of the acting ‘as if’ of oppressed group’s utopianism, which helps rethink the utopian process from the perspective of disability and disabled people.</w:t>
      </w:r>
    </w:p>
    <w:p w14:paraId="4E00BB93" w14:textId="77777777" w:rsidR="00212072" w:rsidRDefault="00212072" w:rsidP="00212072">
      <w:pPr>
        <w:rPr>
          <w:sz w:val="14"/>
        </w:rPr>
      </w:pPr>
    </w:p>
    <w:p w14:paraId="0D28CB60" w14:textId="77777777" w:rsidR="00212072" w:rsidRDefault="00212072" w:rsidP="00212072">
      <w:pPr>
        <w:rPr>
          <w:sz w:val="14"/>
        </w:rPr>
      </w:pPr>
    </w:p>
    <w:p w14:paraId="710ED499" w14:textId="77777777" w:rsidR="00212072" w:rsidRPr="00502E2D" w:rsidRDefault="00212072" w:rsidP="00212072">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  The affirmative is key to eliminating social stigmas that cause violence.  </w:t>
      </w:r>
    </w:p>
    <w:p w14:paraId="60FEF0A9" w14:textId="77777777" w:rsidR="00212072" w:rsidRDefault="00212072" w:rsidP="00212072">
      <w:r w:rsidRPr="00520E2C">
        <w:rPr>
          <w:rStyle w:val="Style13ptBold"/>
        </w:rPr>
        <w:t>Wildeman, 23</w:t>
      </w:r>
      <w:r>
        <w:t>—Associate Professor, Schulich School of Law, Dalhousie University (Sheila, “Critical Pathways to Disability Decarceration: Reading Liat Ben-Moshe and Linda Steele,” feminists@law, Vol 12, No 1 (2023))</w:t>
      </w:r>
    </w:p>
    <w:p w14:paraId="2F635FA2" w14:textId="77777777" w:rsidR="00212072" w:rsidRPr="00502E2D" w:rsidRDefault="00212072" w:rsidP="00212072">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A1AA6">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A1AA6">
        <w:rPr>
          <w:rStyle w:val="StyleUnderline"/>
          <w:highlight w:val="cyan"/>
        </w:rPr>
        <w:t xml:space="preserve">ableist power may be </w:t>
      </w:r>
      <w:r w:rsidRPr="006A1AA6">
        <w:rPr>
          <w:rStyle w:val="Emphasis"/>
          <w:highlight w:val="cyan"/>
        </w:rPr>
        <w:t>radically subverted</w:t>
      </w:r>
      <w:r w:rsidRPr="00502E2D">
        <w:rPr>
          <w:sz w:val="14"/>
        </w:rPr>
        <w:t xml:space="preserve">, </w:t>
      </w:r>
      <w:r w:rsidRPr="006A1AA6">
        <w:rPr>
          <w:rStyle w:val="StyleUnderline"/>
          <w:highlight w:val="cyan"/>
        </w:rPr>
        <w:t xml:space="preserve">not just </w:t>
      </w:r>
      <w:r w:rsidRPr="006A1AA6">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A1AA6">
        <w:rPr>
          <w:rStyle w:val="StyleUnderline"/>
          <w:highlight w:val="cyan"/>
        </w:rPr>
        <w:t>rather than giving</w:t>
      </w:r>
      <w:r w:rsidRPr="00502E2D">
        <w:rPr>
          <w:sz w:val="14"/>
        </w:rPr>
        <w:t xml:space="preserve"> readers (including lawyers) </w:t>
      </w:r>
      <w:r w:rsidRPr="006A1AA6">
        <w:rPr>
          <w:rStyle w:val="Emphasis"/>
          <w:highlight w:val="cyan"/>
        </w:rPr>
        <w:t>specific instructions</w:t>
      </w:r>
      <w:r w:rsidRPr="00502E2D">
        <w:rPr>
          <w:sz w:val="14"/>
        </w:rPr>
        <w:t xml:space="preserve">, the </w:t>
      </w:r>
      <w:r w:rsidRPr="006A1AA6">
        <w:rPr>
          <w:rStyle w:val="StyleUnderline"/>
          <w:highlight w:val="cyan"/>
        </w:rPr>
        <w:t>authors offer</w:t>
      </w:r>
      <w:r w:rsidRPr="000250D1">
        <w:rPr>
          <w:rStyle w:val="StyleUnderline"/>
        </w:rPr>
        <w:t xml:space="preserve"> </w:t>
      </w:r>
      <w:r w:rsidRPr="006A1AA6">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12589455" w14:textId="77777777" w:rsidR="00212072" w:rsidRDefault="00212072" w:rsidP="00212072">
      <w:pPr>
        <w:rPr>
          <w:rStyle w:val="Emphasis"/>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A1AA6">
        <w:rPr>
          <w:rStyle w:val="StyleUnderline"/>
          <w:highlight w:val="cyan"/>
        </w:rPr>
        <w:t xml:space="preserve">an </w:t>
      </w:r>
      <w:r w:rsidRPr="006A1AA6">
        <w:rPr>
          <w:rStyle w:val="Emphasis"/>
          <w:highlight w:val="cyan"/>
        </w:rPr>
        <w:t>epistemic shift</w:t>
      </w:r>
      <w:r w:rsidRPr="00502E2D">
        <w:rPr>
          <w:sz w:val="14"/>
        </w:rPr>
        <w:t xml:space="preserve"> . . . breaking down the rationality and legitimacy of confinement as a practice” (DD 236). This is developed </w:t>
      </w:r>
      <w:r w:rsidRPr="006A1AA6">
        <w:rPr>
          <w:rStyle w:val="StyleUnderline"/>
          <w:highlight w:val="cyan"/>
        </w:rPr>
        <w:t>through</w:t>
      </w:r>
      <w:r w:rsidRPr="00502E2D">
        <w:rPr>
          <w:sz w:val="14"/>
        </w:rPr>
        <w:t xml:space="preserve"> her idea of </w:t>
      </w:r>
      <w:r w:rsidRPr="006A1AA6">
        <w:rPr>
          <w:rStyle w:val="Emphasis"/>
          <w:highlight w:val="cyan"/>
        </w:rPr>
        <w:t>dis-epistemologies</w:t>
      </w:r>
      <w:r w:rsidRPr="00502E2D">
        <w:rPr>
          <w:sz w:val="14"/>
        </w:rPr>
        <w:t xml:space="preserve"> – </w:t>
      </w:r>
      <w:r w:rsidRPr="006A1AA6">
        <w:rPr>
          <w:rStyle w:val="StyleUnderline"/>
          <w:highlight w:val="cyan"/>
        </w:rPr>
        <w:t>the</w:t>
      </w:r>
      <w:r w:rsidRPr="00BD47C8">
        <w:rPr>
          <w:rStyle w:val="StyleUnderline"/>
        </w:rPr>
        <w:t xml:space="preserve"> deconstruction and </w:t>
      </w:r>
      <w:r w:rsidRPr="006A1AA6">
        <w:rPr>
          <w:rStyle w:val="StyleUnderline"/>
          <w:highlight w:val="cyan"/>
        </w:rPr>
        <w:t>reassembly of ideas already in play</w:t>
      </w:r>
      <w:r w:rsidRPr="00502E2D">
        <w:rPr>
          <w:sz w:val="14"/>
        </w:rPr>
        <w:t xml:space="preserve"> (</w:t>
      </w:r>
      <w:r w:rsidRPr="006A1AA6">
        <w:rPr>
          <w:rStyle w:val="StyleUnderline"/>
          <w:highlight w:val="cyan"/>
        </w:rPr>
        <w:t xml:space="preserve">including </w:t>
      </w:r>
      <w:r w:rsidRPr="006A1AA6">
        <w:rPr>
          <w:rStyle w:val="Emphasis"/>
          <w:highlight w:val="cyan"/>
        </w:rPr>
        <w:t>legal precedents</w:t>
      </w:r>
      <w:r w:rsidRPr="00502E2D">
        <w:rPr>
          <w:sz w:val="14"/>
        </w:rPr>
        <w:t xml:space="preserve">) </w:t>
      </w:r>
      <w:r w:rsidRPr="006A1AA6">
        <w:rPr>
          <w:rStyle w:val="StyleUnderline"/>
          <w:highlight w:val="cyan"/>
        </w:rPr>
        <w:t xml:space="preserve">in an environment </w:t>
      </w:r>
      <w:r w:rsidRPr="006A1AA6">
        <w:rPr>
          <w:rStyle w:val="Emphasis"/>
          <w:highlight w:val="cyan"/>
        </w:rPr>
        <w:t>never fully</w:t>
      </w:r>
      <w:r w:rsidRPr="00BD47C8">
        <w:rPr>
          <w:rStyle w:val="StyleUnderline"/>
        </w:rPr>
        <w:t xml:space="preserve"> or </w:t>
      </w:r>
      <w:r w:rsidRPr="00502E2D">
        <w:rPr>
          <w:rStyle w:val="Emphasis"/>
        </w:rPr>
        <w:t xml:space="preserve">hegemonically </w:t>
      </w:r>
      <w:r w:rsidRPr="006A1AA6">
        <w:rPr>
          <w:rStyle w:val="Emphasis"/>
          <w:highlight w:val="cyan"/>
        </w:rPr>
        <w:t>determined</w:t>
      </w:r>
      <w:r w:rsidRPr="00502E2D">
        <w:rPr>
          <w:sz w:val="14"/>
        </w:rPr>
        <w:t xml:space="preserve">. Still, the work of transforming carceral logics </w:t>
      </w:r>
      <w:r w:rsidRPr="006A1AA6">
        <w:rPr>
          <w:rStyle w:val="StyleUnderline"/>
          <w:highlight w:val="cyan"/>
        </w:rPr>
        <w:t>is</w:t>
      </w:r>
      <w:r w:rsidRPr="00502E2D">
        <w:rPr>
          <w:sz w:val="14"/>
        </w:rPr>
        <w:t xml:space="preserve"> proposed to be </w:t>
      </w:r>
      <w:r w:rsidRPr="006A1AA6">
        <w:rPr>
          <w:rStyle w:val="Emphasis"/>
          <w:highlight w:val="cyan"/>
        </w:rPr>
        <w:t>reconcilable with pragmatic action</w:t>
      </w:r>
      <w:r w:rsidRPr="00502E2D">
        <w:rPr>
          <w:sz w:val="14"/>
        </w:rPr>
        <w:t xml:space="preserve">. </w:t>
      </w:r>
      <w:r w:rsidRPr="006A1AA6">
        <w:rPr>
          <w:rStyle w:val="StyleUnderline"/>
          <w:highlight w:val="cyan"/>
        </w:rPr>
        <w:t xml:space="preserve">This includes </w:t>
      </w:r>
      <w:r w:rsidRPr="006A1AA6">
        <w:rPr>
          <w:rStyle w:val="Emphasis"/>
          <w:highlight w:val="cyan"/>
        </w:rPr>
        <w:t>using law</w:t>
      </w:r>
      <w:r w:rsidRPr="006A1AA6">
        <w:rPr>
          <w:rStyle w:val="StyleUnderline"/>
          <w:highlight w:val="cyan"/>
        </w:rPr>
        <w:t xml:space="preserve"> and </w:t>
      </w:r>
      <w:r w:rsidRPr="006A1AA6">
        <w:rPr>
          <w:rStyle w:val="Emphasis"/>
          <w:highlight w:val="cyan"/>
        </w:rPr>
        <w:t>political advocacy</w:t>
      </w:r>
      <w:r w:rsidRPr="006A1AA6">
        <w:rPr>
          <w:rStyle w:val="StyleUnderline"/>
          <w:highlight w:val="cyan"/>
        </w:rPr>
        <w:t xml:space="preserve"> to </w:t>
      </w:r>
      <w:r w:rsidRPr="006A1AA6">
        <w:rPr>
          <w:rStyle w:val="Emphasis"/>
          <w:highlight w:val="cyan"/>
        </w:rPr>
        <w:t>save lives</w:t>
      </w:r>
    </w:p>
    <w:p w14:paraId="6B3F497B" w14:textId="77777777" w:rsidR="00212072" w:rsidRPr="00502E2D" w:rsidRDefault="00212072" w:rsidP="00212072">
      <w:pPr>
        <w:rPr>
          <w:sz w:val="14"/>
        </w:rPr>
      </w:pP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75F2F442" w14:textId="77777777" w:rsidR="00212072" w:rsidRPr="00502E2D" w:rsidRDefault="00212072" w:rsidP="00212072">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04917C7E" w14:textId="77777777" w:rsidR="00212072" w:rsidRPr="00003EB5" w:rsidRDefault="00212072" w:rsidP="00212072">
      <w:pPr>
        <w:rPr>
          <w:sz w:val="14"/>
        </w:rPr>
      </w:pPr>
      <w:r w:rsidRPr="00502E2D">
        <w:rPr>
          <w:sz w:val="14"/>
        </w:rPr>
        <w:t xml:space="preserve">Steele’s book proposes a set of strategies through which </w:t>
      </w:r>
      <w:r w:rsidRPr="006A1AA6">
        <w:rPr>
          <w:rStyle w:val="StyleUnderline"/>
          <w:highlight w:val="cyan"/>
        </w:rPr>
        <w:t>lawyers and non-lawyers may</w:t>
      </w:r>
      <w:r w:rsidRPr="00502E2D">
        <w:rPr>
          <w:sz w:val="14"/>
        </w:rPr>
        <w:t xml:space="preserve"> “</w:t>
      </w:r>
      <w:r w:rsidRPr="006A1AA6">
        <w:rPr>
          <w:rStyle w:val="Emphasis"/>
          <w:highlight w:val="cyan"/>
        </w:rPr>
        <w:t>contest</w:t>
      </w:r>
      <w:r w:rsidRPr="006A1AA6">
        <w:rPr>
          <w:sz w:val="14"/>
          <w:highlight w:val="cyan"/>
        </w:rPr>
        <w:t xml:space="preserve">, </w:t>
      </w:r>
      <w:r w:rsidRPr="006A1AA6">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6A1AA6">
        <w:rPr>
          <w:rStyle w:val="Emphasis"/>
          <w:highlight w:val="cyan"/>
        </w:rPr>
        <w:t>the conditions</w:t>
      </w:r>
      <w:r w:rsidRPr="006A1AA6">
        <w:rPr>
          <w:rStyle w:val="StyleUnderline"/>
          <w:highlight w:val="cyan"/>
        </w:rPr>
        <w:t xml:space="preserve"> in which</w:t>
      </w:r>
      <w:r w:rsidRPr="00502E2D">
        <w:rPr>
          <w:sz w:val="14"/>
        </w:rPr>
        <w:t xml:space="preserve"> criminalised </w:t>
      </w:r>
      <w:r w:rsidRPr="006A1AA6">
        <w:rPr>
          <w:rStyle w:val="StyleUnderline"/>
          <w:highlight w:val="cyan"/>
        </w:rPr>
        <w:t>disabled people are situated</w:t>
      </w:r>
      <w:r w:rsidRPr="00502E2D">
        <w:rPr>
          <w:sz w:val="14"/>
        </w:rPr>
        <w:t xml:space="preserve">” (DCJL 22). </w:t>
      </w:r>
      <w:r w:rsidRPr="006A1AA6">
        <w:rPr>
          <w:rStyle w:val="StyleUnderline"/>
          <w:highlight w:val="cyan"/>
        </w:rPr>
        <w:t xml:space="preserve">This means </w:t>
      </w:r>
      <w:r w:rsidRPr="006A1AA6">
        <w:rPr>
          <w:rStyle w:val="Emphasis"/>
          <w:highlight w:val="cyan"/>
        </w:rPr>
        <w:t>using legal institutions</w:t>
      </w:r>
      <w:r w:rsidRPr="006A1AA6">
        <w:rPr>
          <w:rStyle w:val="StyleUnderline"/>
          <w:highlight w:val="cyan"/>
        </w:rPr>
        <w:t xml:space="preserve"> to </w:t>
      </w:r>
      <w:r w:rsidRPr="006A1AA6">
        <w:rPr>
          <w:rStyle w:val="Emphasis"/>
          <w:highlight w:val="cyan"/>
        </w:rPr>
        <w:t>disrupt law’s complicity</w:t>
      </w:r>
      <w:r w:rsidRPr="00502E2D">
        <w:rPr>
          <w:sz w:val="14"/>
        </w:rPr>
        <w:t xml:space="preserve"> in settler colonialism and ableist and racist injustice, </w:t>
      </w:r>
      <w:r w:rsidRPr="006A1AA6">
        <w:rPr>
          <w:rStyle w:val="StyleUnderline"/>
          <w:highlight w:val="cyan"/>
        </w:rPr>
        <w:t>and bringing disability</w:t>
      </w:r>
      <w:r w:rsidRPr="00B72FB9">
        <w:rPr>
          <w:rStyle w:val="StyleUnderline"/>
        </w:rPr>
        <w:t xml:space="preserve"> as a legal and social category </w:t>
      </w:r>
      <w:r w:rsidRPr="006A1AA6">
        <w:rPr>
          <w:rStyle w:val="StyleUnderline"/>
          <w:highlight w:val="cyan"/>
        </w:rPr>
        <w:t xml:space="preserve">into </w:t>
      </w:r>
      <w:r w:rsidRPr="006A1AA6">
        <w:rPr>
          <w:rStyle w:val="Emphasis"/>
          <w:highlight w:val="cyan"/>
        </w:rPr>
        <w:t>more direct relationship</w:t>
      </w:r>
      <w:r w:rsidRPr="006A1AA6">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6A1AA6">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5C61B2A2" w14:textId="77777777" w:rsidR="00212072" w:rsidRDefault="00212072" w:rsidP="00212072"/>
    <w:p w14:paraId="2B0EC7EB" w14:textId="77777777" w:rsidR="00212072" w:rsidRPr="00A00521" w:rsidRDefault="00212072" w:rsidP="00212072">
      <w:pPr>
        <w:pStyle w:val="Heading4"/>
      </w:pPr>
      <w:r>
        <w:t>Collective bargaining is a critical non-reformist reform that lays the groundwork for larger social transformation.</w:t>
      </w:r>
    </w:p>
    <w:p w14:paraId="71185EC1" w14:textId="77777777" w:rsidR="00212072" w:rsidRPr="00110861" w:rsidRDefault="00212072" w:rsidP="00212072">
      <w:pPr>
        <w:rPr>
          <w:b/>
          <w:bCs/>
          <w:sz w:val="26"/>
        </w:rPr>
      </w:pPr>
      <w:r w:rsidRPr="00BC1C7E">
        <w:rPr>
          <w:rStyle w:val="Style13ptBold"/>
        </w:rPr>
        <w:t>Fletcher 16</w:t>
      </w:r>
      <w:r>
        <w:rPr>
          <w:rStyle w:val="Style13ptBold"/>
        </w:rPr>
        <w:t xml:space="preserve"> </w:t>
      </w:r>
      <w:r>
        <w:t xml:space="preserve">Bill, “To Fight the Right, We Need to Understand It Better,” September 1, 2016, </w:t>
      </w:r>
      <w:hyperlink r:id="rId12" w:history="1">
        <w:r w:rsidRPr="00DE4E5A">
          <w:rPr>
            <w:rStyle w:val="Hyperlink"/>
          </w:rPr>
          <w:t>https://www.dissentmagazine.org/online_articles/fighting-trump-right-wing-populism-vs-neoliberalism</w:t>
        </w:r>
      </w:hyperlink>
    </w:p>
    <w:p w14:paraId="4EF810E4" w14:textId="77777777" w:rsidR="00212072" w:rsidRDefault="00212072" w:rsidP="00212072">
      <w:r>
        <w:t xml:space="preserve">The left, then, has both a defensive and offensive set of tasks. On the defensive side, it must be at the forefront of building a broad front to defeat the political right in all of its manifestations. This especially means recognizing the centrality of rebuilding a labor movement that embraces all segments of the working class and becomes an arena within which we can win white workers away from racism, sexism, and xenophobia. Such a task is, of course, formidable. For one, it involves altering the scope and objectives of trade unions, as well as building new working-class organizations (including but not limited to worker centers). But it also means building a broad electoral front capable of challenging both the neoliberals within the Democratic Party and the various stripes of the political right at the ballot box. This is a fight for political office at every level of government, </w:t>
      </w:r>
      <w:r w:rsidRPr="00A00521">
        <w:t>and it must be based on</w:t>
      </w:r>
      <w:r w:rsidRPr="00A00521">
        <w:rPr>
          <w:rStyle w:val="Emphasis"/>
        </w:rPr>
        <w:t xml:space="preserve"> a platform of progressive </w:t>
      </w:r>
      <w:r w:rsidRPr="00110861">
        <w:rPr>
          <w:rStyle w:val="Emphasis"/>
          <w:highlight w:val="cyan"/>
        </w:rPr>
        <w:t>structural reforms</w:t>
      </w:r>
      <w:r w:rsidRPr="00A00521">
        <w:rPr>
          <w:rStyle w:val="Emphasis"/>
        </w:rPr>
        <w:t>: single payer healthcare</w:t>
      </w:r>
      <w:r>
        <w:t xml:space="preserve">; a just transition away from fossil fuels; </w:t>
      </w:r>
      <w:r w:rsidRPr="00A00521">
        <w:rPr>
          <w:rStyle w:val="Emphasis"/>
        </w:rPr>
        <w:t>reparations for African Americans, Native Americans, and others whose land and labor power were stolen</w:t>
      </w:r>
      <w:r w:rsidRPr="00110861">
        <w:rPr>
          <w:rStyle w:val="Emphasis"/>
          <w:highlight w:val="cyan"/>
        </w:rPr>
        <w:t>; an unimpeded right of workers to join or organize labor unions and engage in collective activity</w:t>
      </w:r>
      <w:r w:rsidRPr="00110861">
        <w:rPr>
          <w:highlight w:val="cyan"/>
        </w:rPr>
        <w:t>;</w:t>
      </w:r>
      <w:r>
        <w:t xml:space="preserve"> </w:t>
      </w:r>
      <w:r w:rsidRPr="00A00521">
        <w:rPr>
          <w:rStyle w:val="Emphasis"/>
        </w:rPr>
        <w:t>and other policies</w:t>
      </w:r>
      <w:r w:rsidRPr="00A00521">
        <w:t xml:space="preserve"> that </w:t>
      </w:r>
      <w:r w:rsidRPr="00110861">
        <w:rPr>
          <w:rStyle w:val="Emphasis"/>
          <w:highlight w:val="cyan"/>
        </w:rPr>
        <w:t>challenge the logic of capitalism, even if they fall short of overturning it. These are</w:t>
      </w:r>
      <w:r w:rsidRPr="00110861">
        <w:rPr>
          <w:rStyle w:val="Emphasis"/>
        </w:rPr>
        <w:t xml:space="preserve"> what</w:t>
      </w:r>
      <w:r w:rsidRPr="00110861">
        <w:rPr>
          <w:highlight w:val="cyan"/>
        </w:rPr>
        <w:t xml:space="preserve"> </w:t>
      </w:r>
      <w:r w:rsidRPr="00110861">
        <w:t>the Marxist</w:t>
      </w:r>
      <w:r>
        <w:t xml:space="preserve"> philosopher André </w:t>
      </w:r>
      <w:r w:rsidRPr="00A00521">
        <w:rPr>
          <w:rStyle w:val="Emphasis"/>
        </w:rPr>
        <w:t>Gorz termed “</w:t>
      </w:r>
      <w:r w:rsidRPr="00110861">
        <w:rPr>
          <w:rStyle w:val="Emphasis"/>
          <w:highlight w:val="cyan"/>
        </w:rPr>
        <w:t>non-reformist reforms</w:t>
      </w:r>
      <w:r>
        <w:t>.”</w:t>
      </w:r>
    </w:p>
    <w:p w14:paraId="1DACE18F" w14:textId="77777777" w:rsidR="00212072" w:rsidRDefault="00212072" w:rsidP="00212072">
      <w:r w:rsidRPr="00A00521">
        <w:rPr>
          <w:rStyle w:val="Emphasis"/>
        </w:rPr>
        <w:t xml:space="preserve">It is </w:t>
      </w:r>
      <w:r w:rsidRPr="00110861">
        <w:rPr>
          <w:rStyle w:val="Emphasis"/>
          <w:highlight w:val="cyan"/>
        </w:rPr>
        <w:t>in fighting for such radical reforms</w:t>
      </w:r>
      <w:r w:rsidRPr="00A00521">
        <w:rPr>
          <w:rStyle w:val="Emphasis"/>
        </w:rPr>
        <w:t xml:space="preserve"> that </w:t>
      </w:r>
      <w:r w:rsidRPr="00110861">
        <w:rPr>
          <w:rStyle w:val="Emphasis"/>
          <w:highlight w:val="cyan"/>
        </w:rPr>
        <w:t>we begin to</w:t>
      </w:r>
      <w:r w:rsidRPr="00A00521">
        <w:rPr>
          <w:rStyle w:val="Emphasis"/>
        </w:rPr>
        <w:t xml:space="preserve"> turn toward our offensive task</w:t>
      </w:r>
      <w:r w:rsidRPr="00110861">
        <w:rPr>
          <w:rStyle w:val="Emphasis"/>
          <w:highlight w:val="cyan"/>
        </w:rPr>
        <w:t>: lay</w:t>
      </w:r>
      <w:r w:rsidRPr="00A00521">
        <w:rPr>
          <w:rStyle w:val="Emphasis"/>
        </w:rPr>
        <w:t xml:space="preserve">ing </w:t>
      </w:r>
      <w:r w:rsidRPr="00110861">
        <w:rPr>
          <w:rStyle w:val="Emphasis"/>
          <w:highlight w:val="cyan"/>
        </w:rPr>
        <w:t>the groundwork for socialism</w:t>
      </w:r>
      <w:r w:rsidRPr="00110861">
        <w:rPr>
          <w:highlight w:val="cyan"/>
        </w:rPr>
        <w:t>.</w:t>
      </w:r>
      <w:r>
        <w:t xml:space="preserve"> The environmental crisis, like few others before it, demonstrates on a daily basis that capitalism has no democratic and sustainable answers to the threat of total civilizational collapse. While we certainly need to fight for structural reforms within democratic capitalism, and specifically fight for consistent democracy, from the ballot box to the workplace to the abortion clinic, we must also continue to galvanize the millions of people who have indicated in poll after poll over the last eight years that they seek a society that transcends capitalism.</w:t>
      </w:r>
    </w:p>
    <w:p w14:paraId="0C55DF8D" w14:textId="77777777" w:rsidR="00212072" w:rsidRDefault="00212072" w:rsidP="00212072">
      <w:pPr>
        <w:rPr>
          <w:rStyle w:val="Emphasis"/>
        </w:rPr>
      </w:pPr>
      <w:r w:rsidRPr="00110861">
        <w:rPr>
          <w:rStyle w:val="Emphasis"/>
          <w:highlight w:val="cyan"/>
        </w:rPr>
        <w:t>This is not a utopian task. It is a matter of constructing an alternative to capitalism</w:t>
      </w:r>
      <w:r w:rsidRPr="00A00521">
        <w:rPr>
          <w:rStyle w:val="Emphasis"/>
        </w:rPr>
        <w:t xml:space="preserve"> that is democratic and green</w:t>
      </w:r>
      <w:r w:rsidRPr="00110861">
        <w:rPr>
          <w:rStyle w:val="Emphasis"/>
          <w:highlight w:val="cyan"/>
        </w:rPr>
        <w:t>, and there is no shortage of practical proposals for how to go about it</w:t>
      </w:r>
      <w:r w:rsidRPr="00A00521">
        <w:rPr>
          <w:rStyle w:val="Emphasis"/>
        </w:rPr>
        <w:t xml:space="preserve">. It can only be achieved, however, if we work to build socialist organizations that move beyond propagandist sects and groupings of fond comrades to shape a progressive, </w:t>
      </w:r>
      <w:r>
        <w:t xml:space="preserve">majoritarian </w:t>
      </w:r>
      <w:r w:rsidRPr="00A00521">
        <w:rPr>
          <w:rStyle w:val="Emphasis"/>
        </w:rPr>
        <w:t>coalition capable of winning power. Real social transformation is hard work. But now more than ever, it must be done.</w:t>
      </w:r>
    </w:p>
    <w:p w14:paraId="556DEB54" w14:textId="77777777" w:rsidR="00212072" w:rsidRDefault="00212072" w:rsidP="00212072"/>
    <w:p w14:paraId="74E9DDD0" w14:textId="77777777" w:rsidR="00212072" w:rsidRPr="00CA36DC" w:rsidRDefault="00212072" w:rsidP="00212072">
      <w:pPr>
        <w:pStyle w:val="Heading4"/>
      </w:pPr>
      <w:r>
        <w:t xml:space="preserve">Strategic engagement with the state is emancipatory for disabled people – it raises consciousness and helps to gain power in public policy arenas, that’s key to move forward </w:t>
      </w:r>
    </w:p>
    <w:p w14:paraId="4AEF6EC5" w14:textId="77777777" w:rsidR="00212072" w:rsidRPr="00A91F23" w:rsidRDefault="00212072" w:rsidP="00212072">
      <w:r w:rsidRPr="00A91F23">
        <w:rPr>
          <w:rStyle w:val="Style13ptBold"/>
        </w:rPr>
        <w:t>Harris 12 –</w:t>
      </w:r>
      <w:r>
        <w:t xml:space="preserve"> </w:t>
      </w:r>
      <w:r w:rsidRPr="00A91F23">
        <w:t xml:space="preserve">Sarah Parker Harris, is an assistant professor and Randall Owen is a postdoctoral research associate, both in the department of disability and human development. Cindy De Ruiter is a doctoral candidate in the department of occupational therapy. </w:t>
      </w:r>
      <w:hyperlink r:id="rId13" w:tooltip="View all posts in JCES Vol. 5 No. 1" w:history="1">
        <w:r w:rsidRPr="00A91F23">
          <w:t>JCES Vol. 5 No. 1</w:t>
        </w:r>
      </w:hyperlink>
      <w:r w:rsidRPr="00A91F23">
        <w:t>  “Civic Engagement and People with Disabilities: The Role of Advocacy and Technology”, http://jces.ua.edu/civic-engagement-and-people-with-disabilities-the-role-of-advocacy-and-technology/</w:t>
      </w:r>
    </w:p>
    <w:p w14:paraId="5E795F4B" w14:textId="77777777" w:rsidR="00212072" w:rsidRDefault="00212072" w:rsidP="00212072">
      <w:pPr>
        <w:rPr>
          <w:color w:val="000000" w:themeColor="text1"/>
          <w:sz w:val="16"/>
          <w:szCs w:val="20"/>
        </w:rPr>
      </w:pPr>
      <w:r w:rsidRPr="00A91F23">
        <w:rPr>
          <w:rStyle w:val="StyleUnderline"/>
          <w:szCs w:val="20"/>
        </w:rPr>
        <w:t>Research acknowledges the importance of direct involvement of people with disabilities in all aspects of policy debates, and civic engagement</w:t>
      </w:r>
      <w:r w:rsidRPr="00A91F23">
        <w:rPr>
          <w:sz w:val="16"/>
          <w:szCs w:val="20"/>
        </w:rPr>
        <w:t xml:space="preserve"> </w:t>
      </w:r>
      <w:r w:rsidRPr="00A91F23">
        <w:rPr>
          <w:rStyle w:val="StyleUnderline"/>
          <w:szCs w:val="20"/>
        </w:rPr>
        <w:t>is one means in which to create or influence change</w:t>
      </w:r>
      <w:r w:rsidRPr="00A91F23">
        <w:rPr>
          <w:sz w:val="16"/>
          <w:szCs w:val="20"/>
        </w:rPr>
        <w:t xml:space="preserve">. For people with disabilities, </w:t>
      </w:r>
      <w:r w:rsidRPr="00A91F23">
        <w:rPr>
          <w:rStyle w:val="StyleUnderline"/>
          <w:szCs w:val="20"/>
        </w:rPr>
        <w:t xml:space="preserve">civic engagement can help to create self-efficacy, promote social integration, and develop personal interests </w:t>
      </w:r>
      <w:r w:rsidRPr="00A91F23">
        <w:rPr>
          <w:sz w:val="16"/>
          <w:szCs w:val="20"/>
        </w:rPr>
        <w:t xml:space="preserve">(Barnartt et al., 2001; Hahn, 1985; Zola, 2005). Like other citizens, </w:t>
      </w:r>
      <w:r w:rsidRPr="00A91F23">
        <w:rPr>
          <w:rStyle w:val="StyleUnderline"/>
          <w:szCs w:val="20"/>
        </w:rPr>
        <w:t>people with disabilities want an equal voice in democratic debates and the opportunity to advocate for change</w:t>
      </w:r>
      <w:r w:rsidRPr="00A91F23">
        <w:rPr>
          <w:sz w:val="16"/>
          <w:szCs w:val="20"/>
        </w:rPr>
        <w:t xml:space="preserve"> (Barnartt et al., 2001). </w:t>
      </w:r>
      <w:r w:rsidRPr="00A91F23">
        <w:rPr>
          <w:rStyle w:val="StyleUnderline"/>
          <w:szCs w:val="20"/>
        </w:rPr>
        <w:t xml:space="preserve">Such </w:t>
      </w:r>
      <w:r w:rsidRPr="006A1AA6">
        <w:rPr>
          <w:rStyle w:val="StyleUnderline"/>
          <w:szCs w:val="20"/>
          <w:highlight w:val="cyan"/>
        </w:rPr>
        <w:t>participation</w:t>
      </w:r>
      <w:r w:rsidRPr="00A91F23">
        <w:rPr>
          <w:rStyle w:val="StyleUnderline"/>
          <w:szCs w:val="20"/>
        </w:rPr>
        <w:t xml:space="preserve"> </w:t>
      </w:r>
      <w:r w:rsidRPr="006A1AA6">
        <w:rPr>
          <w:rStyle w:val="Emphasis"/>
          <w:szCs w:val="20"/>
          <w:highlight w:val="cyan"/>
        </w:rPr>
        <w:t>and involvement in public policy</w:t>
      </w:r>
      <w:r w:rsidRPr="00A91F23">
        <w:rPr>
          <w:rStyle w:val="Emphasis"/>
          <w:szCs w:val="20"/>
        </w:rPr>
        <w:t xml:space="preserve"> efforts </w:t>
      </w:r>
      <w:r w:rsidRPr="006A1AA6">
        <w:rPr>
          <w:rStyle w:val="Emphasis"/>
          <w:szCs w:val="20"/>
          <w:highlight w:val="cyan"/>
        </w:rPr>
        <w:t>can have an emancipatory effect,</w:t>
      </w:r>
      <w:r w:rsidRPr="006A1AA6">
        <w:rPr>
          <w:sz w:val="16"/>
          <w:szCs w:val="20"/>
          <w:highlight w:val="cyan"/>
        </w:rPr>
        <w:t xml:space="preserve"> </w:t>
      </w:r>
      <w:r w:rsidRPr="006A1AA6">
        <w:rPr>
          <w:rStyle w:val="StyleUnderline"/>
          <w:szCs w:val="20"/>
          <w:highlight w:val="cyan"/>
        </w:rPr>
        <w:t>as marginalized groups are able to feel they</w:t>
      </w:r>
      <w:r w:rsidRPr="00A91F23">
        <w:rPr>
          <w:rStyle w:val="StyleUnderline"/>
          <w:szCs w:val="20"/>
        </w:rPr>
        <w:t xml:space="preserve"> </w:t>
      </w:r>
      <w:r w:rsidRPr="006A1AA6">
        <w:rPr>
          <w:rStyle w:val="StyleUnderline"/>
          <w:szCs w:val="20"/>
          <w:highlight w:val="cyan"/>
        </w:rPr>
        <w:t>are part of something, and</w:t>
      </w:r>
      <w:r w:rsidRPr="00A91F23">
        <w:rPr>
          <w:rStyle w:val="StyleUnderline"/>
          <w:szCs w:val="20"/>
        </w:rPr>
        <w:t xml:space="preserve"> in turn </w:t>
      </w:r>
      <w:r w:rsidRPr="006A1AA6">
        <w:rPr>
          <w:rStyle w:val="StyleUnderline"/>
          <w:szCs w:val="20"/>
          <w:highlight w:val="cyan"/>
        </w:rPr>
        <w:t>become more aware of their civic rights</w:t>
      </w:r>
      <w:r w:rsidRPr="00A91F23">
        <w:rPr>
          <w:rStyle w:val="StyleUnderline"/>
          <w:szCs w:val="20"/>
        </w:rPr>
        <w:t xml:space="preserve"> and responsibilities</w:t>
      </w:r>
      <w:r w:rsidRPr="00A91F23">
        <w:rPr>
          <w:sz w:val="16"/>
          <w:szCs w:val="20"/>
        </w:rPr>
        <w:t xml:space="preserve"> (Lewis, 2010). </w:t>
      </w:r>
      <w:r w:rsidRPr="006A1AA6">
        <w:rPr>
          <w:rStyle w:val="StyleUnderline"/>
          <w:szCs w:val="20"/>
          <w:highlight w:val="cyan"/>
        </w:rPr>
        <w:t>Disability advocate</w:t>
      </w:r>
      <w:r w:rsidRPr="00A91F23">
        <w:rPr>
          <w:sz w:val="16"/>
          <w:szCs w:val="20"/>
        </w:rPr>
        <w:t xml:space="preserve"> and scholar Jim </w:t>
      </w:r>
      <w:r w:rsidRPr="006A1AA6">
        <w:rPr>
          <w:rStyle w:val="StyleUnderline"/>
          <w:szCs w:val="20"/>
          <w:highlight w:val="cyan"/>
        </w:rPr>
        <w:t xml:space="preserve">Charlton cites civic engagement as a </w:t>
      </w:r>
      <w:r w:rsidRPr="006A1AA6">
        <w:rPr>
          <w:rStyle w:val="Emphasis"/>
          <w:szCs w:val="20"/>
          <w:highlight w:val="cyan"/>
        </w:rPr>
        <w:t>vital</w:t>
      </w:r>
      <w:r w:rsidRPr="006A1AA6">
        <w:rPr>
          <w:rStyle w:val="StyleUnderline"/>
          <w:szCs w:val="20"/>
          <w:highlight w:val="cyan"/>
        </w:rPr>
        <w:t xml:space="preserve"> strategy for people with disabilities to develop a raised consciousness</w:t>
      </w:r>
      <w:r w:rsidRPr="00A91F23">
        <w:rPr>
          <w:sz w:val="16"/>
          <w:szCs w:val="20"/>
        </w:rPr>
        <w:t xml:space="preserve"> as they engage in grassroots advocacy for change in local communities. The title of his book, Nothing About Us Without Us, is a mantra frequently heard in disability rights movements and calls for people with disabilities to be involved in decisions made about them (Charlton, 2000) </w:t>
      </w:r>
      <w:r w:rsidRPr="006A1AA6">
        <w:rPr>
          <w:rStyle w:val="StyleUnderline"/>
          <w:szCs w:val="20"/>
          <w:highlight w:val="cyan"/>
        </w:rPr>
        <w:t xml:space="preserve">Increasing the engagement of people with disabilities will ensure that </w:t>
      </w:r>
      <w:r w:rsidRPr="006A1AA6">
        <w:rPr>
          <w:rStyle w:val="Emphasis"/>
          <w:szCs w:val="20"/>
          <w:highlight w:val="cyan"/>
        </w:rPr>
        <w:t>new</w:t>
      </w:r>
      <w:r w:rsidRPr="00A91F23">
        <w:rPr>
          <w:rStyle w:val="Emphasis"/>
          <w:szCs w:val="20"/>
        </w:rPr>
        <w:t xml:space="preserve"> </w:t>
      </w:r>
      <w:r w:rsidRPr="006A1AA6">
        <w:rPr>
          <w:rStyle w:val="Emphasis"/>
          <w:szCs w:val="20"/>
          <w:highlight w:val="cyan"/>
        </w:rPr>
        <w:t>policies</w:t>
      </w:r>
      <w:r w:rsidRPr="006A1AA6">
        <w:rPr>
          <w:rStyle w:val="StyleUnderline"/>
          <w:szCs w:val="20"/>
          <w:highlight w:val="cyan"/>
        </w:rPr>
        <w:t xml:space="preserve"> do not continue</w:t>
      </w:r>
      <w:r w:rsidRPr="00A91F23">
        <w:rPr>
          <w:rStyle w:val="StyleUnderline"/>
          <w:szCs w:val="20"/>
        </w:rPr>
        <w:t xml:space="preserve"> the </w:t>
      </w:r>
      <w:r w:rsidRPr="006A1AA6">
        <w:rPr>
          <w:rStyle w:val="StyleUnderline"/>
          <w:szCs w:val="20"/>
          <w:highlight w:val="cyan"/>
        </w:rPr>
        <w:t>cycles of political marginalization</w:t>
      </w:r>
      <w:r w:rsidRPr="00A91F23">
        <w:rPr>
          <w:rStyle w:val="StyleUnderline"/>
          <w:szCs w:val="20"/>
        </w:rPr>
        <w:t xml:space="preserve"> historically experienced by this population</w:t>
      </w:r>
      <w:r w:rsidRPr="00A91F23">
        <w:rPr>
          <w:sz w:val="16"/>
          <w:szCs w:val="20"/>
        </w:rPr>
        <w:t>.</w:t>
      </w:r>
      <w:r w:rsidRPr="00A91F23">
        <w:rPr>
          <w:sz w:val="12"/>
          <w:szCs w:val="20"/>
        </w:rPr>
        <w:t>¶</w:t>
      </w:r>
      <w:r w:rsidRPr="00A91F23">
        <w:rPr>
          <w:sz w:val="16"/>
          <w:szCs w:val="20"/>
        </w:rPr>
        <w:t xml:space="preserve"> Disability Advocacy </w:t>
      </w:r>
      <w:r w:rsidRPr="00A91F23">
        <w:rPr>
          <w:sz w:val="12"/>
          <w:szCs w:val="20"/>
        </w:rPr>
        <w:t>¶</w:t>
      </w:r>
      <w:r w:rsidRPr="00A91F23">
        <w:rPr>
          <w:sz w:val="16"/>
          <w:szCs w:val="20"/>
        </w:rPr>
        <w:t xml:space="preserve"> The </w:t>
      </w:r>
      <w:r w:rsidRPr="006A1AA6">
        <w:rPr>
          <w:rStyle w:val="StyleUnderline"/>
          <w:szCs w:val="20"/>
          <w:highlight w:val="cyan"/>
        </w:rPr>
        <w:t>use</w:t>
      </w:r>
      <w:r w:rsidRPr="00A91F23">
        <w:rPr>
          <w:rStyle w:val="StyleUnderline"/>
          <w:szCs w:val="20"/>
        </w:rPr>
        <w:t xml:space="preserve"> </w:t>
      </w:r>
      <w:r w:rsidRPr="006A1AA6">
        <w:rPr>
          <w:rStyle w:val="StyleUnderline"/>
          <w:szCs w:val="20"/>
          <w:highlight w:val="cyan"/>
        </w:rPr>
        <w:t>of advocacy</w:t>
      </w:r>
      <w:r w:rsidRPr="00A91F23">
        <w:rPr>
          <w:rStyle w:val="StyleUnderline"/>
          <w:szCs w:val="20"/>
        </w:rPr>
        <w:t xml:space="preserve"> by people with disabilities </w:t>
      </w:r>
      <w:r w:rsidRPr="006A1AA6">
        <w:rPr>
          <w:rStyle w:val="Emphasis"/>
          <w:szCs w:val="20"/>
          <w:highlight w:val="cyan"/>
        </w:rPr>
        <w:t>has been successful</w:t>
      </w:r>
      <w:r w:rsidRPr="006A1AA6">
        <w:rPr>
          <w:rStyle w:val="StyleUnderline"/>
          <w:szCs w:val="20"/>
          <w:highlight w:val="cyan"/>
        </w:rPr>
        <w:t xml:space="preserve"> in changing policies</w:t>
      </w:r>
      <w:r w:rsidRPr="00A91F23">
        <w:rPr>
          <w:rStyle w:val="StyleUnderline"/>
          <w:szCs w:val="20"/>
        </w:rPr>
        <w:t xml:space="preserve"> </w:t>
      </w:r>
      <w:r w:rsidRPr="00421D00">
        <w:rPr>
          <w:rStyle w:val="StyleUnderline"/>
          <w:color w:val="000000" w:themeColor="text1"/>
          <w:szCs w:val="20"/>
        </w:rPr>
        <w:t>and programs</w:t>
      </w:r>
      <w:r w:rsidRPr="00421D00">
        <w:rPr>
          <w:color w:val="000000" w:themeColor="text1"/>
          <w:sz w:val="16"/>
          <w:szCs w:val="20"/>
        </w:rPr>
        <w:t xml:space="preserve">, </w:t>
      </w:r>
      <w:r w:rsidRPr="00421D00">
        <w:rPr>
          <w:rStyle w:val="StyleUnderline"/>
          <w:color w:val="000000" w:themeColor="text1"/>
          <w:szCs w:val="20"/>
        </w:rPr>
        <w:t>most of which are associated with protests organized by the disability rights movement.</w:t>
      </w:r>
      <w:r w:rsidRPr="00421D00">
        <w:rPr>
          <w:color w:val="000000" w:themeColor="text1"/>
          <w:sz w:val="16"/>
          <w:szCs w:val="20"/>
        </w:rPr>
        <w:t xml:space="preserve"> A historical analysis of the number of protests by disability organizations between 1972 and 1999 shows growth in political activism over the years (Barnartt &amp; Scotch, 2001). For instance, the group Disabled in Action developed strategies to block traffic to secure accessible public transportation in New York in 1977. That same year several groups of people with disabilities led sit-ins in 10 federal government offices until the government issued regulations for Section 504 of the Rehabilitation Act, and in 1988 deaf students at Gallaudet University protested until a deaf president was hired to lead them (Barnartt et al., 2001; Fleischer &amp; Zames, 2001; Shapiro, 1994). In 2003 representatives from a group known as Mad Pride in California received national attention for a hunger strike organized to bring attention to the rights of people with mental health issues (Lewis, 2010). In Chicago, there is a strong history of grassroots disability advocacy being used to elicit change and connect citizens with government. Disability organizations, including Access Living and the Progress Center for Independent Living, have played a significant role in disability policy debates across Illinois. This included efforts toward deinstitutionalization, transportation accessibility, and securing access to sign language interpreters. In addition, the Mayor’s Office for People with Disabilities in Chicago has been active in ensuring access around public sidewalks, voting, and schools. Non-profit organizations face legal restrictions on the amount of lobbying they can engage in, but they still manage to make a significant impact in policymaking (Vaughan &amp; Arsneault, 2008). </w:t>
      </w:r>
      <w:r w:rsidRPr="006A1AA6">
        <w:rPr>
          <w:rStyle w:val="StyleUnderline"/>
          <w:color w:val="000000" w:themeColor="text1"/>
          <w:szCs w:val="20"/>
          <w:highlight w:val="cyan"/>
        </w:rPr>
        <w:t>In order to create widespread change, forming relationships between people with disabilities and</w:t>
      </w:r>
      <w:r w:rsidRPr="00421D00">
        <w:rPr>
          <w:rStyle w:val="StyleUnderline"/>
          <w:color w:val="000000" w:themeColor="text1"/>
          <w:szCs w:val="20"/>
        </w:rPr>
        <w:t xml:space="preserve"> </w:t>
      </w:r>
      <w:r w:rsidRPr="006A1AA6">
        <w:rPr>
          <w:rStyle w:val="StyleUnderline"/>
          <w:color w:val="000000" w:themeColor="text1"/>
          <w:szCs w:val="20"/>
          <w:highlight w:val="cyan"/>
        </w:rPr>
        <w:t xml:space="preserve">state representatives is </w:t>
      </w:r>
      <w:r w:rsidRPr="006A1AA6">
        <w:rPr>
          <w:rStyle w:val="Emphasis"/>
          <w:color w:val="000000" w:themeColor="text1"/>
          <w:szCs w:val="20"/>
          <w:highlight w:val="cyan"/>
        </w:rPr>
        <w:t>critical</w:t>
      </w:r>
      <w:r w:rsidRPr="006A1AA6">
        <w:rPr>
          <w:rStyle w:val="StyleUnderline"/>
          <w:color w:val="000000" w:themeColor="text1"/>
          <w:szCs w:val="20"/>
          <w:highlight w:val="cyan"/>
        </w:rPr>
        <w:t xml:space="preserve"> because it helps citizens </w:t>
      </w:r>
      <w:r w:rsidRPr="006A1AA6">
        <w:rPr>
          <w:rStyle w:val="Emphasis"/>
          <w:color w:val="000000" w:themeColor="text1"/>
          <w:szCs w:val="20"/>
          <w:highlight w:val="cyan"/>
        </w:rPr>
        <w:t>gain power in the policy arena.</w:t>
      </w:r>
      <w:r w:rsidRPr="00421D00">
        <w:rPr>
          <w:rStyle w:val="StyleUnderline"/>
          <w:color w:val="000000" w:themeColor="text1"/>
          <w:szCs w:val="20"/>
        </w:rPr>
        <w:t xml:space="preserve"> </w:t>
      </w:r>
      <w:r w:rsidRPr="00421D00">
        <w:rPr>
          <w:color w:val="000000" w:themeColor="text1"/>
          <w:sz w:val="16"/>
          <w:szCs w:val="20"/>
        </w:rPr>
        <w:t xml:space="preserve">However, people with disabilities face various barriers to full involvement. Most barriers fall into one of three categories: intrapersonal (skills and competence); interpersonal (team dynamics); or organizational (resources, decision-making processes) (Foster-Fishman, Jimenez, Valenti, &amp; Kelly, 2007). One of the most common barriers is a lack of resources or funds to either purchase assistive devices or make trips to visit official, so having a voice in policy decisions can be challenging. Other barriers that hinder the development of advocacy skills in individuals with disabilities include inaccessible buildings, a lack of training experiences, negative attitudes, and few opportunities to practice learned skills. Increasing safe environments, supporting advocacy trainings, and forming mentor relationships can help facilitate the development of self-advocacy skills for people with disabilities. Technology for People with Disabilities While advocacy has been an essential strategy for promoting the rights and participation of people with disabilities, further efforts are needed to encourage and facilitate people with disabilities in public policy domains. </w:t>
      </w:r>
      <w:r w:rsidRPr="006A1AA6">
        <w:rPr>
          <w:rStyle w:val="StyleUnderline"/>
          <w:color w:val="000000" w:themeColor="text1"/>
          <w:szCs w:val="20"/>
          <w:highlight w:val="cyan"/>
        </w:rPr>
        <w:t>The use of adaptive technology is another vital strategy that empowers people with disabilities to connect with government</w:t>
      </w:r>
      <w:r w:rsidRPr="00421D00">
        <w:rPr>
          <w:rStyle w:val="StyleUnderline"/>
          <w:color w:val="000000" w:themeColor="text1"/>
          <w:szCs w:val="20"/>
        </w:rPr>
        <w:t>, as it facilitates communication and allows for full expression in policy debates; and are, at times, the only means by which they can access public debate. Furthermore, people with disabilities often use technology to relate to the real world. This is especially true for people who use augmentative and alternative communication devices as people with severe communication impairments face significant additional barriers in participation, attaining self-determination, and realizing a high quality of life (</w:t>
      </w:r>
      <w:r w:rsidRPr="00421D00">
        <w:rPr>
          <w:color w:val="000000" w:themeColor="text1"/>
          <w:sz w:val="16"/>
          <w:szCs w:val="20"/>
        </w:rPr>
        <w:t xml:space="preserve">Light et al., 2007). Research has demonstrated that </w:t>
      </w:r>
      <w:r w:rsidRPr="00421D00">
        <w:rPr>
          <w:rStyle w:val="StyleUnderline"/>
          <w:color w:val="000000" w:themeColor="text1"/>
          <w:szCs w:val="20"/>
        </w:rPr>
        <w:t>such technology</w:t>
      </w:r>
      <w:r w:rsidRPr="00421D00">
        <w:rPr>
          <w:color w:val="000000" w:themeColor="text1"/>
          <w:sz w:val="16"/>
          <w:szCs w:val="20"/>
        </w:rPr>
        <w:t>, when people are appropriately trained to use it</w:t>
      </w:r>
      <w:r w:rsidRPr="00421D00">
        <w:rPr>
          <w:rStyle w:val="StyleUnderline"/>
          <w:color w:val="000000" w:themeColor="text1"/>
          <w:szCs w:val="20"/>
        </w:rPr>
        <w:t xml:space="preserve">, can help people with disabilities overcome barriers to full and equal participation, </w:t>
      </w:r>
      <w:r w:rsidRPr="00421D00">
        <w:rPr>
          <w:color w:val="000000" w:themeColor="text1"/>
          <w:sz w:val="16"/>
          <w:szCs w:val="20"/>
        </w:rPr>
        <w:t xml:space="preserve">and develop socio-relational and problem-solving skills (Light et al., 2007; McCarthy et al., 2007). It is imperative that people with disabilities have opportunities for continued training and support in using technology, because increased participation implies a greater range of communication environments (McNaughton &amp; Bryen, 2007). </w:t>
      </w:r>
      <w:r w:rsidRPr="00421D00">
        <w:rPr>
          <w:rStyle w:val="StyleUnderline"/>
          <w:color w:val="000000" w:themeColor="text1"/>
          <w:szCs w:val="20"/>
        </w:rPr>
        <w:t>Adaptive technology is vital in allowing people with disabilities full participation in policy debates and the ability to become involved in the decision-making processes about policies that affect how they live in society.</w:t>
      </w:r>
      <w:r w:rsidRPr="00421D00">
        <w:rPr>
          <w:color w:val="000000" w:themeColor="text1"/>
          <w:sz w:val="16"/>
          <w:szCs w:val="20"/>
        </w:rPr>
        <w:t xml:space="preserve"> Aside from facilitating communication, technology can also be used as an organizational tool, it can help spark discussions about policy, and it can permit people with disabilities to find up-to-date information on government regulations and laws. Though seemingly all positive, some aspects of new technologies create additional barriers for people with disabilities who want to fully engage in civic society. There is a digital divide in society due to the fact that some individuals have access to internet and advanced technology and some do not (Rubaii-Barrett &amp; Wise, 2008). Cost, availability, accessibility features, and lack of knowledge in effective usage are all barriers to people with disabilities taking full advantage of different forms of technology. There are regulations in place that address the issue of inaccessible technology, but states are either unable or unwilling to carry out federal mandates. Instead of focusing on increased spending, lobbying for greater enforcement of existing state and federal policies can be effective in bringing about positive changes in technology for those with disabilities (Rubaii-Barrett &amp; Wise, 2008). Creating equal access to advanced technology for all people will help weaken the digital divide and increase opportunities for individuals with disabilities to become involved in policymaking processes.</w:t>
      </w:r>
    </w:p>
    <w:p w14:paraId="7149B761" w14:textId="77777777" w:rsidR="00212072" w:rsidRPr="006A0649" w:rsidRDefault="00212072" w:rsidP="00212072"/>
    <w:p w14:paraId="340CFD19" w14:textId="77777777" w:rsidR="00212072" w:rsidRDefault="00212072" w:rsidP="00212072"/>
    <w:p w14:paraId="71568178" w14:textId="77777777" w:rsidR="00212072" w:rsidRDefault="00212072" w:rsidP="00212072"/>
    <w:p w14:paraId="1EB1CD2F" w14:textId="77777777" w:rsidR="00212072" w:rsidRDefault="00212072" w:rsidP="00212072"/>
    <w:p w14:paraId="26194FD4" w14:textId="77777777" w:rsidR="00212072" w:rsidRDefault="00212072" w:rsidP="00212072">
      <w:pPr>
        <w:pStyle w:val="Heading4"/>
      </w:pPr>
      <w:r>
        <w:t xml:space="preserve">The aff functions as a minor utopia—it’s necessary to envision a better future and create small steps that are necessary to immediate improvements </w:t>
      </w:r>
    </w:p>
    <w:p w14:paraId="341843FE" w14:textId="77777777" w:rsidR="00212072" w:rsidRDefault="00212072" w:rsidP="00212072">
      <w:r w:rsidRPr="0056231B">
        <w:t xml:space="preserve">Gisli </w:t>
      </w:r>
      <w:r w:rsidRPr="0056231B">
        <w:rPr>
          <w:rStyle w:val="Style13ptBold"/>
        </w:rPr>
        <w:t>Vogler 24</w:t>
      </w:r>
      <w:r w:rsidRPr="0056231B">
        <w:t>, Centre for Open Learning, University of Edinburgh, "Acting as if: the utopian political thought and actions of the US disability rights movement," Contemporary Political Theory, vol. 23, 2024, pp. 589-608</w:t>
      </w:r>
    </w:p>
    <w:p w14:paraId="21F54828" w14:textId="77777777" w:rsidR="00212072" w:rsidRDefault="00212072" w:rsidP="00212072">
      <w:r w:rsidRPr="00E16623">
        <w:t xml:space="preserve">To further distinguish the approach to utopia adopted by social movements, I draw on Jay Winter. Winter (2006) introduced </w:t>
      </w:r>
      <w:r w:rsidRPr="00F048BD">
        <w:rPr>
          <w:highlight w:val="cyan"/>
        </w:rPr>
        <w:t>t</w:t>
      </w:r>
      <w:r w:rsidRPr="00F048BD">
        <w:rPr>
          <w:b/>
          <w:bCs/>
          <w:highlight w:val="cyan"/>
          <w:u w:val="single"/>
        </w:rPr>
        <w:t>he term minor utopia to move attention onto</w:t>
      </w:r>
      <w:r w:rsidRPr="00645E28">
        <w:rPr>
          <w:b/>
          <w:bCs/>
          <w:u w:val="single"/>
        </w:rPr>
        <w:t xml:space="preserve"> the rich culture of more fragmented and </w:t>
      </w:r>
      <w:r w:rsidRPr="00F048BD">
        <w:rPr>
          <w:b/>
          <w:bCs/>
          <w:highlight w:val="cyan"/>
          <w:u w:val="single"/>
        </w:rPr>
        <w:t>partial utopian endeavors</w:t>
      </w:r>
      <w:r w:rsidRPr="00645E28">
        <w:rPr>
          <w:b/>
          <w:bCs/>
          <w:u w:val="single"/>
        </w:rPr>
        <w:t xml:space="preserve"> </w:t>
      </w:r>
      <w:r w:rsidRPr="00E16623">
        <w:t xml:space="preserve">characterizing the left in Europe and the United States during the 20th century. </w:t>
      </w:r>
      <w:r w:rsidRPr="00645E28">
        <w:rPr>
          <w:b/>
          <w:bCs/>
          <w:u w:val="single"/>
        </w:rPr>
        <w:t xml:space="preserve">Minor utopias are </w:t>
      </w:r>
      <w:r w:rsidRPr="00F048BD">
        <w:rPr>
          <w:b/>
          <w:bCs/>
          <w:highlight w:val="cyan"/>
          <w:u w:val="single"/>
        </w:rPr>
        <w:t>not simply more ‘realist’ or ‘realistic’ in the sense that they are small-scale and dedicated to tackling ‘real world’ problems</w:t>
      </w:r>
      <w:r w:rsidRPr="00645E28">
        <w:rPr>
          <w:b/>
          <w:bCs/>
          <w:u w:val="single"/>
        </w:rPr>
        <w:t>.</w:t>
      </w:r>
      <w:r w:rsidRPr="00E16623">
        <w:t xml:space="preserve"> Otherwise, this would apply similarly to most localized, de-humanizing projects, including the numerous endeavors of the eugenics movement, and the category of major utopia would become untenably narrow. </w:t>
      </w:r>
      <w:r w:rsidRPr="00143922">
        <w:rPr>
          <w:b/>
          <w:bCs/>
          <w:sz w:val="32"/>
          <w:szCs w:val="32"/>
          <w:highlight w:val="cyan"/>
          <w:u w:val="single"/>
        </w:rPr>
        <w:t>Minor and major utopianism are also not mutually exclusive categories</w:t>
      </w:r>
      <w:r w:rsidRPr="00645E28">
        <w:rPr>
          <w:b/>
          <w:bCs/>
          <w:u w:val="single"/>
        </w:rPr>
        <w:t xml:space="preserve">; for both, </w:t>
      </w:r>
      <w:r w:rsidRPr="00F048BD">
        <w:rPr>
          <w:b/>
          <w:bCs/>
          <w:highlight w:val="cyan"/>
          <w:u w:val="single"/>
        </w:rPr>
        <w:t>the exercise of the utopian impulse</w:t>
      </w:r>
      <w:r w:rsidRPr="00645E28">
        <w:rPr>
          <w:b/>
          <w:bCs/>
          <w:u w:val="single"/>
        </w:rPr>
        <w:t xml:space="preserve"> potentially </w:t>
      </w:r>
      <w:r w:rsidRPr="00F048BD">
        <w:rPr>
          <w:b/>
          <w:bCs/>
          <w:highlight w:val="cyan"/>
          <w:u w:val="single"/>
        </w:rPr>
        <w:t>marks</w:t>
      </w:r>
      <w:r w:rsidRPr="00645E28">
        <w:rPr>
          <w:b/>
          <w:bCs/>
          <w:u w:val="single"/>
        </w:rPr>
        <w:t xml:space="preserve"> a moment of discontinuity and radical </w:t>
      </w:r>
      <w:r w:rsidRPr="00F048BD">
        <w:rPr>
          <w:b/>
          <w:bCs/>
          <w:highlight w:val="cyan"/>
          <w:u w:val="single"/>
        </w:rPr>
        <w:t>disjuncture to think and act freely, but also the realization ‘that we do not live there; we live here</w:t>
      </w:r>
      <w:r w:rsidRPr="00645E28">
        <w:rPr>
          <w:b/>
          <w:bCs/>
          <w:u w:val="single"/>
        </w:rPr>
        <w:t xml:space="preserve">, and we cannot but use the language of </w:t>
      </w:r>
      <w:r w:rsidRPr="00F048BD">
        <w:rPr>
          <w:b/>
          <w:bCs/>
          <w:highlight w:val="cyan"/>
          <w:u w:val="single"/>
        </w:rPr>
        <w:t>the here and now</w:t>
      </w:r>
      <w:r w:rsidRPr="00645E28">
        <w:rPr>
          <w:b/>
          <w:bCs/>
          <w:u w:val="single"/>
        </w:rPr>
        <w:t xml:space="preserve"> in all our imaginings’</w:t>
      </w:r>
      <w:r w:rsidRPr="00E16623">
        <w:t xml:space="preserve"> (Winter, 2006, p. 3). All uses of the utopian impulse are therefore ambiguous and prone to reproducing the exclusionary practices of the present. However, </w:t>
      </w:r>
      <w:r w:rsidRPr="00F048BD">
        <w:rPr>
          <w:b/>
          <w:bCs/>
          <w:highlight w:val="cyan"/>
          <w:u w:val="single"/>
        </w:rPr>
        <w:t>whereas major utopias tend to ignore or reject this ambiguity, minor utopianism affirms the limits of any vision of the future in the way it articulates a desire for a better world. Utopias are not conceived primarily as a goal</w:t>
      </w:r>
      <w:r w:rsidRPr="00645E28">
        <w:rPr>
          <w:b/>
          <w:bCs/>
          <w:u w:val="single"/>
        </w:rPr>
        <w:t xml:space="preserve">, </w:t>
      </w:r>
      <w:r w:rsidRPr="00F048BD">
        <w:rPr>
          <w:b/>
          <w:bCs/>
          <w:highlight w:val="cyan"/>
          <w:u w:val="single"/>
        </w:rPr>
        <w:t>in the form of a future world without discrimination towards disabled people, but a practice</w:t>
      </w:r>
      <w:r w:rsidRPr="00645E28">
        <w:rPr>
          <w:b/>
          <w:bCs/>
          <w:u w:val="single"/>
        </w:rPr>
        <w:t xml:space="preserve"> ‘accompanied by a recognition of provisionality, responsibility and necessary failure’</w:t>
      </w:r>
      <w:r w:rsidRPr="00E16623">
        <w:t xml:space="preserve"> (Levitas, 2007, p. 290</w:t>
      </w:r>
      <w:r w:rsidRPr="00F048BD">
        <w:rPr>
          <w:highlight w:val="cyan"/>
        </w:rPr>
        <w:t xml:space="preserve">). </w:t>
      </w:r>
      <w:r w:rsidRPr="00F048BD">
        <w:rPr>
          <w:b/>
          <w:bCs/>
          <w:highlight w:val="cyan"/>
          <w:u w:val="single"/>
        </w:rPr>
        <w:t>At the heart of a minor utopia must be an acceptance of necessary failure</w:t>
      </w:r>
      <w:r w:rsidRPr="00645E28">
        <w:rPr>
          <w:b/>
          <w:bCs/>
          <w:u w:val="single"/>
        </w:rPr>
        <w:t xml:space="preserve">—not any moment of failure but </w:t>
      </w:r>
      <w:r w:rsidRPr="00F048BD">
        <w:rPr>
          <w:b/>
          <w:bCs/>
          <w:highlight w:val="cyan"/>
          <w:u w:val="single"/>
        </w:rPr>
        <w:t>the inevitable fact that our visions of the future will raise further problems and prove inadequate in important ways. Our utopian impulse ‘can and will be disappointed’, but it is ‘nonetheless indispensable to the act of imagining transformation’</w:t>
      </w:r>
      <w:r w:rsidRPr="00E16623">
        <w:t xml:space="preserve"> (Muñoz, 2009, p. 9; Mrovlje, 2023). Minor utopias are therefore intentionally more open and dynamic in their formulation and realization. A focus on provisionality however does not imply deferring judgement or embracing vagueness. Instead, </w:t>
      </w:r>
      <w:r w:rsidRPr="00AB4CF6">
        <w:rPr>
          <w:b/>
          <w:bCs/>
          <w:highlight w:val="cyan"/>
          <w:u w:val="single"/>
        </w:rPr>
        <w:t>it is by accepting the complexity of reality without shying away from the need to come up with concrete proposals for changing an unjust world that we take responsibility for our capacity to transform society for the better.</w:t>
      </w:r>
      <w:r w:rsidRPr="00D8606A">
        <w:rPr>
          <w:b/>
          <w:bCs/>
          <w:u w:val="single"/>
        </w:rPr>
        <w:t xml:space="preserve"> Minor utopias are therefore to some extent grounded utopias, which ‘</w:t>
      </w:r>
      <w:r w:rsidRPr="00AB4CF6">
        <w:rPr>
          <w:b/>
          <w:bCs/>
          <w:highlight w:val="cyan"/>
          <w:u w:val="single"/>
        </w:rPr>
        <w:t>strive to actualize the utopian desire for change in the here and now’</w:t>
      </w:r>
      <w:r w:rsidRPr="00935D43">
        <w:t xml:space="preserve"> (Thaler, 2019, p. 1008). </w:t>
      </w:r>
      <w:r w:rsidRPr="00AB4CF6">
        <w:rPr>
          <w:b/>
          <w:bCs/>
          <w:highlight w:val="cyan"/>
          <w:u w:val="single"/>
        </w:rPr>
        <w:t>Grounded utopias combine a vision of a future world different from our own with efforts to ‘excavate emancipatory potentials that are latent in the status quo</w:t>
      </w:r>
      <w:r w:rsidRPr="00AB4CF6">
        <w:rPr>
          <w:highlight w:val="cyan"/>
        </w:rPr>
        <w:t>’</w:t>
      </w:r>
      <w:r w:rsidRPr="00935D43">
        <w:t xml:space="preserve"> (Thaler, 2019, p. 1004) by, for instance, exploring quotidian spaces open for alternative ways of living (Cooper, 2014). </w:t>
      </w:r>
      <w:r w:rsidRPr="00AB4CF6">
        <w:rPr>
          <w:b/>
          <w:bCs/>
          <w:highlight w:val="cyan"/>
          <w:u w:val="single"/>
        </w:rPr>
        <w:t>Groundedness retains the utopian impulse in that it undermines assumptions about the necessity and inevitability of the status quo and shows that ‘radical difference is possible</w:t>
      </w:r>
      <w:r w:rsidRPr="00D8606A">
        <w:rPr>
          <w:b/>
          <w:bCs/>
          <w:u w:val="single"/>
        </w:rPr>
        <w:t xml:space="preserve"> and that a break is necessary’</w:t>
      </w:r>
      <w:r w:rsidRPr="00935D43">
        <w:t xml:space="preserve"> (Jameson, 2005 p. 231f.). It does not give way to the distinction between ‘pragmatism’/’realism’ and ‘utopianism’/’idealism’ but </w:t>
      </w:r>
      <w:r w:rsidRPr="00D8606A">
        <w:rPr>
          <w:b/>
          <w:bCs/>
          <w:u w:val="single"/>
        </w:rPr>
        <w:t xml:space="preserve">explores the break from the status quo to show that </w:t>
      </w:r>
      <w:r w:rsidRPr="00143922">
        <w:rPr>
          <w:b/>
          <w:bCs/>
          <w:highlight w:val="cyan"/>
          <w:u w:val="single"/>
        </w:rPr>
        <w:t>what seems impossible and implausible can be a viable alternative to the present power arrangements</w:t>
      </w:r>
      <w:r w:rsidRPr="00D8606A">
        <w:rPr>
          <w:b/>
          <w:bCs/>
          <w:u w:val="single"/>
        </w:rPr>
        <w:t>. Lastly, at the center of these utopias is not the impossible dream of a perfect society, but the thoughts and actions of those who dream it and seek to make it reality</w:t>
      </w:r>
      <w:r w:rsidRPr="00935D43">
        <w:t xml:space="preserve"> (Chan, 2006; Moylan, 2014, p. xvii). In the following, I bring out how the movement’s </w:t>
      </w:r>
      <w:r w:rsidRPr="00143922">
        <w:rPr>
          <w:b/>
          <w:bCs/>
          <w:highlight w:val="cyan"/>
          <w:u w:val="single"/>
        </w:rPr>
        <w:t>minor utopian project offers a partial, limited attempt to imagine a better future that is by necessity ambiguous as it is formulated using the perspective of the present,</w:t>
      </w:r>
      <w:r w:rsidRPr="00D8606A">
        <w:rPr>
          <w:b/>
          <w:bCs/>
          <w:u w:val="single"/>
        </w:rPr>
        <w:t xml:space="preserve"> and affirms this ambiguity by relying extensively on a grounded and provisional mode of utopianism that explores the emancipatory potential in the present to make credible the not-yet</w:t>
      </w:r>
      <w:r w:rsidRPr="00935D43">
        <w:t xml:space="preserve"> and playfully extend boundaries of the social imaginary.</w:t>
      </w:r>
    </w:p>
    <w:p w14:paraId="59DDFB0D" w14:textId="77777777" w:rsidR="00212072" w:rsidRDefault="00212072" w:rsidP="00212072"/>
    <w:p w14:paraId="33F4F75E" w14:textId="77777777" w:rsidR="00212072" w:rsidRPr="00655C0B" w:rsidRDefault="00212072" w:rsidP="00212072">
      <w:pPr>
        <w:pStyle w:val="Heading4"/>
      </w:pPr>
      <w:r w:rsidRPr="00655C0B">
        <w:t xml:space="preserve">Our political strategy is important for </w:t>
      </w:r>
      <w:r w:rsidRPr="00655C0B">
        <w:rPr>
          <w:u w:val="single"/>
        </w:rPr>
        <w:t>interim gains</w:t>
      </w:r>
      <w:r>
        <w:t xml:space="preserve"> </w:t>
      </w:r>
      <w:r>
        <w:rPr>
          <w:rFonts w:ascii="Tahoma" w:hAnsi="Tahoma" w:cs="Tahoma"/>
        </w:rPr>
        <w:t>⁠</w:t>
      </w:r>
      <w:r>
        <w:rPr>
          <w:rFonts w:cs="Arial"/>
        </w:rPr>
        <w:t>—</w:t>
      </w:r>
      <w:r>
        <w:t xml:space="preserve"> </w:t>
      </w:r>
      <w:r w:rsidRPr="00655C0B">
        <w:t>those are valuable because they culminate in revolutionary politics</w:t>
      </w:r>
      <w:r>
        <w:t xml:space="preserve"> </w:t>
      </w:r>
      <w:r>
        <w:rPr>
          <w:rFonts w:ascii="Tahoma" w:hAnsi="Tahoma" w:cs="Tahoma"/>
        </w:rPr>
        <w:t>⁠</w:t>
      </w:r>
      <w:r>
        <w:rPr>
          <w:rFonts w:cs="Arial"/>
        </w:rPr>
        <w:t>—</w:t>
      </w:r>
      <w:r>
        <w:t xml:space="preserve"> </w:t>
      </w:r>
      <w:r w:rsidRPr="00655C0B">
        <w:t>seeking complete revolution without</w:t>
      </w:r>
      <w:r>
        <w:t xml:space="preserve"> </w:t>
      </w:r>
      <w:r w:rsidRPr="00655C0B">
        <w:rPr>
          <w:u w:val="single"/>
        </w:rPr>
        <w:t>state-centric</w:t>
      </w:r>
      <w:r w:rsidRPr="00655C0B">
        <w:t xml:space="preserve"> goals leads to </w:t>
      </w:r>
      <w:r w:rsidRPr="00655C0B">
        <w:rPr>
          <w:u w:val="single"/>
        </w:rPr>
        <w:t>inevitable failure</w:t>
      </w:r>
    </w:p>
    <w:p w14:paraId="57C29C3A" w14:textId="77777777" w:rsidR="00212072" w:rsidRPr="00A53EA9" w:rsidRDefault="00212072" w:rsidP="00212072">
      <w:r w:rsidRPr="00A53EA9">
        <w:rPr>
          <w:rStyle w:val="Style13ptBold"/>
        </w:rPr>
        <w:t>Connolly 13</w:t>
      </w:r>
      <w:r w:rsidRPr="00A53EA9">
        <w:t xml:space="preserve">, </w:t>
      </w:r>
      <w:r>
        <w:t xml:space="preserve">Krieger-Eisenhower Professor of Political Science at Johns Hopkins (William Connolly, 2013, </w:t>
      </w:r>
      <w:r w:rsidRPr="00A53EA9">
        <w:rPr>
          <w:i/>
        </w:rPr>
        <w:t>The Fragility of Things</w:t>
      </w:r>
      <w:r>
        <w:t>, pages 181-189)</w:t>
      </w:r>
    </w:p>
    <w:p w14:paraId="5FF0370F" w14:textId="77777777" w:rsidR="00212072" w:rsidRPr="00393012" w:rsidRDefault="00212072" w:rsidP="00212072">
      <w:pPr>
        <w:rPr>
          <w:rFonts w:eastAsia="Calibri"/>
        </w:rPr>
      </w:pPr>
      <w:r w:rsidRPr="00393012">
        <w:rPr>
          <w:rFonts w:eastAsia="Calibri"/>
        </w:rPr>
        <w:t xml:space="preserve">We begin by noting a dilemma haunting electoral politics in several countries. (1) </w:t>
      </w:r>
      <w:r w:rsidRPr="00EC2015">
        <w:rPr>
          <w:rFonts w:eastAsia="Calibri"/>
          <w:highlight w:val="cyan"/>
          <w:u w:val="single"/>
        </w:rPr>
        <w:t>It is tempting</w:t>
      </w:r>
      <w:r w:rsidRPr="00393012">
        <w:rPr>
          <w:rFonts w:eastAsia="Calibri"/>
          <w:u w:val="single"/>
        </w:rPr>
        <w:t xml:space="preserve"> for critics </w:t>
      </w:r>
      <w:r w:rsidRPr="00EC2015">
        <w:rPr>
          <w:rFonts w:eastAsia="Calibri"/>
          <w:highlight w:val="cyan"/>
          <w:u w:val="single"/>
        </w:rPr>
        <w:t xml:space="preserve">to forgo electoral politics because it is so dysfunctional. But to do so </w:t>
      </w:r>
      <w:r w:rsidRPr="00EC2015">
        <w:rPr>
          <w:rStyle w:val="Emphasis"/>
          <w:highlight w:val="cyan"/>
        </w:rPr>
        <w:t>cedes too much</w:t>
      </w:r>
      <w:r w:rsidRPr="00393012">
        <w:rPr>
          <w:rStyle w:val="Emphasis"/>
        </w:rPr>
        <w:t xml:space="preserve"> independent </w:t>
      </w:r>
      <w:r w:rsidRPr="00EC2015">
        <w:rPr>
          <w:rStyle w:val="Emphasis"/>
          <w:highlight w:val="cyan"/>
        </w:rPr>
        <w:t>power to</w:t>
      </w:r>
      <w:r w:rsidRPr="00393012">
        <w:rPr>
          <w:rStyle w:val="Emphasis"/>
        </w:rPr>
        <w:t xml:space="preserve"> corporate action and </w:t>
      </w:r>
      <w:r w:rsidRPr="00EC2015">
        <w:rPr>
          <w:rStyle w:val="Emphasis"/>
          <w:highlight w:val="cyan"/>
        </w:rPr>
        <w:t>the</w:t>
      </w:r>
      <w:r w:rsidRPr="00393012">
        <w:rPr>
          <w:rStyle w:val="Emphasis"/>
        </w:rPr>
        <w:t xml:space="preserve"> radical </w:t>
      </w:r>
      <w:r w:rsidRPr="00EC2015">
        <w:rPr>
          <w:rStyle w:val="Emphasis"/>
          <w:highlight w:val="cyan"/>
        </w:rPr>
        <w:t>right</w:t>
      </w:r>
      <w:r w:rsidRPr="00393012">
        <w:rPr>
          <w:rStyle w:val="StyleUnderline"/>
        </w:rPr>
        <w:t xml:space="preserve"> </w:t>
      </w:r>
      <w:r w:rsidRPr="00393012">
        <w:rPr>
          <w:rFonts w:eastAsia="Calibri"/>
          <w:u w:val="single"/>
        </w:rPr>
        <w:t xml:space="preserve">with respect to </w:t>
      </w:r>
      <w:r w:rsidRPr="00393012">
        <w:rPr>
          <w:rStyle w:val="StyleUnderline"/>
        </w:rPr>
        <w:t xml:space="preserve">state power. </w:t>
      </w:r>
      <w:r w:rsidRPr="00EC2015">
        <w:rPr>
          <w:rStyle w:val="StyleUnderline"/>
          <w:highlight w:val="cyan"/>
        </w:rPr>
        <w:t>The right loves</w:t>
      </w:r>
      <w:r w:rsidRPr="00EC2015">
        <w:rPr>
          <w:rFonts w:eastAsia="Calibri"/>
          <w:highlight w:val="cyan"/>
          <w:u w:val="single"/>
        </w:rPr>
        <w:t xml:space="preserve"> to make politics dysfunctional to make people lose confidence</w:t>
      </w:r>
      <w:r w:rsidRPr="00393012">
        <w:rPr>
          <w:rFonts w:eastAsia="Calibri"/>
          <w:u w:val="single"/>
        </w:rPr>
        <w:t xml:space="preserve"> in it </w:t>
      </w:r>
      <w:r w:rsidRPr="00EC2015">
        <w:rPr>
          <w:rFonts w:eastAsia="Calibri"/>
          <w:highlight w:val="cyan"/>
          <w:u w:val="single"/>
        </w:rPr>
        <w:t>and</w:t>
      </w:r>
      <w:r w:rsidRPr="00393012">
        <w:rPr>
          <w:rFonts w:eastAsia="Calibri"/>
          <w:u w:val="single"/>
        </w:rPr>
        <w:t xml:space="preserve"> to </w:t>
      </w:r>
      <w:r w:rsidRPr="00EC2015">
        <w:rPr>
          <w:rFonts w:eastAsia="Calibri"/>
          <w:highlight w:val="cyan"/>
          <w:u w:val="single"/>
        </w:rPr>
        <w:t>transfer</w:t>
      </w:r>
      <w:r w:rsidRPr="00393012">
        <w:rPr>
          <w:rFonts w:eastAsia="Calibri"/>
          <w:u w:val="single"/>
        </w:rPr>
        <w:t xml:space="preserve"> their confidence </w:t>
      </w:r>
      <w:r w:rsidRPr="00EC2015">
        <w:rPr>
          <w:rFonts w:eastAsia="Calibri"/>
          <w:highlight w:val="cyan"/>
          <w:u w:val="single"/>
        </w:rPr>
        <w:t>to the private sector</w:t>
      </w:r>
      <w:r w:rsidRPr="00393012">
        <w:rPr>
          <w:rFonts w:eastAsia="Calibri"/>
        </w:rPr>
        <w:t xml:space="preserve">. (2) Yet the logic of the media-electoral-corporate system does spawn a confined grid of electoral intelligibility that makes it difficult to think, experiment, and act outside its parameters. Think of the market initiating/state veto power of corporations, of media talking heads concentrating on differences between candidates, of the primacy of electoral strategists, of focus groups, of the role of scandal in the media and electoral politics, of the strategic location in elections of inattentive “undecided voters,” of billionaire super PACs, and so on. </w:t>
      </w:r>
      <w:r w:rsidRPr="00EC2015">
        <w:rPr>
          <w:rStyle w:val="Emphasis"/>
          <w:highlight w:val="cyan"/>
        </w:rPr>
        <w:t>The electoral grid cannot be ignored</w:t>
      </w:r>
      <w:r w:rsidRPr="00393012">
        <w:rPr>
          <w:rStyle w:val="Emphasis"/>
        </w:rPr>
        <w:t xml:space="preserve"> or ceded to the right</w:t>
      </w:r>
      <w:r w:rsidRPr="00393012">
        <w:rPr>
          <w:rStyle w:val="StyleUnderline"/>
        </w:rPr>
        <w:t>, b</w:t>
      </w:r>
      <w:r w:rsidRPr="00393012">
        <w:rPr>
          <w:rFonts w:eastAsia="Calibri"/>
          <w:u w:val="single"/>
        </w:rPr>
        <w:t xml:space="preserve">ut it also sucks experimental pursuits and bold ventures out of politics. </w:t>
      </w:r>
      <w:r w:rsidRPr="00EC2015">
        <w:rPr>
          <w:rFonts w:eastAsia="Calibri"/>
          <w:highlight w:val="cyan"/>
          <w:u w:val="single"/>
        </w:rPr>
        <w:t>How can we renegotiate this</w:t>
      </w:r>
      <w:r w:rsidRPr="00393012">
        <w:rPr>
          <w:rFonts w:eastAsia="Calibri"/>
          <w:u w:val="single"/>
        </w:rPr>
        <w:t xml:space="preserve"> dilemma</w:t>
      </w:r>
      <w:r w:rsidRPr="00393012">
        <w:rPr>
          <w:rFonts w:eastAsia="Calibri"/>
        </w:rPr>
        <w:t xml:space="preserve"> of electoral politics? That is the problematic within which I am working. </w:t>
      </w:r>
      <w:r w:rsidRPr="00393012">
        <w:rPr>
          <w:rFonts w:eastAsia="Calibri"/>
          <w:u w:val="single"/>
        </w:rPr>
        <w:t xml:space="preserve">I do not purport to have a perfect response to it. Perfect answers are suspect.  </w:t>
      </w:r>
      <w:r w:rsidRPr="00EC2015">
        <w:rPr>
          <w:rFonts w:eastAsia="Calibri"/>
          <w:highlight w:val="cyan"/>
          <w:u w:val="single"/>
        </w:rPr>
        <w:t>It may be wise to start with</w:t>
      </w:r>
      <w:r w:rsidRPr="00393012">
        <w:rPr>
          <w:rFonts w:eastAsia="Calibri"/>
          <w:u w:val="single"/>
        </w:rPr>
        <w:t xml:space="preserve"> the positive possibilities of </w:t>
      </w:r>
      <w:r w:rsidRPr="00EC2015">
        <w:rPr>
          <w:rFonts w:eastAsia="Calibri"/>
          <w:highlight w:val="cyan"/>
          <w:u w:val="single"/>
        </w:rPr>
        <w:t>micro-experimentation on several fronts. One thing that connects individuals</w:t>
      </w:r>
      <w:r w:rsidRPr="00393012">
        <w:rPr>
          <w:rFonts w:eastAsia="Calibri"/>
          <w:u w:val="single"/>
        </w:rPr>
        <w:t xml:space="preserve">, constituencies, </w:t>
      </w:r>
      <w:r w:rsidRPr="00EC2015">
        <w:rPr>
          <w:rFonts w:eastAsia="Calibri"/>
          <w:highlight w:val="cyan"/>
          <w:u w:val="single"/>
        </w:rPr>
        <w:t>and institutions is the roles that constitute an institutional matrix</w:t>
      </w:r>
      <w:r w:rsidRPr="00393012">
        <w:rPr>
          <w:rFonts w:eastAsia="Calibri"/>
          <w:u w:val="single"/>
        </w:rPr>
        <w:t xml:space="preserve">. </w:t>
      </w:r>
      <w:r w:rsidRPr="00393012">
        <w:rPr>
          <w:rFonts w:eastAsia="Calibri"/>
        </w:rPr>
        <w:t xml:space="preserve">The word connection is actually too weak. </w:t>
      </w:r>
      <w:r w:rsidRPr="00393012">
        <w:rPr>
          <w:rFonts w:eastAsia="Calibri"/>
          <w:u w:val="single"/>
        </w:rPr>
        <w:t xml:space="preserve">We are partly constituted by the array of roles we perform, and those </w:t>
      </w:r>
      <w:r w:rsidRPr="00EC2015">
        <w:rPr>
          <w:rFonts w:eastAsia="Calibri"/>
          <w:highlight w:val="cyan"/>
          <w:u w:val="single"/>
        </w:rPr>
        <w:t>performances resonate with the larger institutions in which they are set</w:t>
      </w:r>
      <w:r w:rsidRPr="00393012">
        <w:rPr>
          <w:rFonts w:eastAsia="Calibri"/>
        </w:rPr>
        <w:t xml:space="preserve">. </w:t>
      </w:r>
      <w:r w:rsidRPr="00393012">
        <w:rPr>
          <w:rFonts w:eastAsia="Calibri"/>
          <w:sz w:val="14"/>
        </w:rPr>
        <w:t xml:space="preserve">You are, say, a teacher, an athlete, a lover, a parent, a middle-aged child of an aging parent, a student, a worker, a voter, a churchgoer, a film addict, a citizen, a consumer, a member of a political party, an investor, a blogger, a musician, an artist, and so on endlessly. You are, in part, a composite of the roles in which you participate, even though you overflow that composite. Subcategories, of course, multiply within each abstract category. A “worker” may repair computers, cook hamburgers, serve tables, advise clients on investments, sell furniture, teach elementary school kids, give Sunday sermons, be a TV producer, be a film director, and so on. As a devotee, you may be an evangelical Christian, a Catholic, a reform Jew, an orthodox Jew, a Unitarian, a devotee of nontheistic reverence, a Muslim, a Hindu, or a follower of the kind of Buddhism that eschews a personal God. The degree of intensity within each of these modes of identification will also vary.  Many role performances are tacit, as when you follow accepted rules of eye contact on an urban street, stop automatically at a red light on the way to work, chew your food a set number of times before swallowing, unconsciously participate in a settled practice of consumption, watch and listen quietly to a film at the theater, glance at an attractive gym partner through the mirror rather than staring directly, close the door when you are in the bathroom, adopt a distinctive stride during casual walks, or never pick your nose in public. To break that last restraint would be disgusting, reminding us how tacit role performances are infused with affective judgments. Such practices have become habitual, often in ways that condense previous relations of overt power.  Other role performances are more clearly laden with degrees of power, as when you obey an order from a boss, pay your taxes on time, arrive at work punctually, bow your head during prayer to minimize family tensions, avoid eye contact with a cop, give your earnings to the pimp who oppresses you, obey the terms of your probation, buy a car because no other mode of transportation is available, conform to the pace of work on an assembly line, or conceal drugs from prison officials. Erving Goffman is brilliant at disclosing the tacit character of many shared role performances, as Judith Butler is in thinking about how they help to constitute a culture of gender practices. Here is one statement from Goffman, as he collects examples from multiple sources, exposing a series of tacit role performances that define and secure the modern sense of bodily integrity:  How very intimate the bodily sense is can be seen by performing a little experiment in your imagination. Think first of swallowing the saliva in your mouth, or do so. Then imagine expectorating it into a tumbler and drinking it! What seemed natural and “mine” suddenly becomes disgusting and alien. Or picture yourself sucking blood from a prick in your finger; then imagine sucking blood from a bandage around your finger! What I perceive as separate from my body becomes, in the twinkling of an eye, cold and foreign. 2  “In the twinkling of an eye.” Butler, in Gender Trouble, focuses on how experimental performances bring out tacit practices that constitute the dominant experience of gender. Here is what she says in an early book about the ambiguity of drag: “In imitating gender, drag implicitly reveals the imitative structure of gender itself—as well as its contingency. Indeed, part of the pleasure, the giddiness of the performance is in the recognition of a radical contingency in the relation between sex and gender in the face of cultural configurations of causal unities that are regularly assumed to be natural and necessary…; we see sex and gender denaturalized by means of a performance.” It is of course debatable how far such denaturalization proceeds, and drag does not guarantee, as Butler knows, which responses will be made to its strategy of denaturalization. But denaturalizing performances do open the door to new possibilities of enactment, as they disclose inner, nuanced relations between cultural performance and gender constitution. As another quote from Butler in a later edition of the same book reveals, the culturally infused sense of bodily integrity and disgust in Goffman's example carries implications for the unconscious norms of sexual experience historically built into this culture: “Those sexual practices in both heterosexual and homosexual contexts that open surfaces and orifices to erotic signification or close down others effectively reinscribe the boundaries of the body along new cultural lines. Anal sex among them.” 3 To reinscribe the cultural play of disgust and pleasure with respect to bodily fluids and orifices is to participate in the micropolitics of gender and sexual practice.  As these two thinkers reveal, </w:t>
      </w:r>
      <w:r w:rsidRPr="00393012">
        <w:rPr>
          <w:rFonts w:eastAsia="Calibri"/>
          <w:u w:val="single"/>
        </w:rPr>
        <w:t xml:space="preserve">there are significant relays between role performance, self-identity, and the formation of larger political constellations. </w:t>
      </w:r>
      <w:r w:rsidRPr="00393012">
        <w:rPr>
          <w:rFonts w:eastAsia="Calibri"/>
        </w:rPr>
        <w:t xml:space="preserve">Not in the sense that minor shifts in a series of role performances could by itself transform an entire political regime but in the sense that large-scale cultural investments in a set of role expectations tend to express and support the priorities of an established regime, while large-scale </w:t>
      </w:r>
      <w:r w:rsidRPr="00EC2015">
        <w:rPr>
          <w:rFonts w:eastAsia="Calibri"/>
          <w:highlight w:val="cyan"/>
          <w:u w:val="single"/>
        </w:rPr>
        <w:t>role experimentations</w:t>
      </w:r>
      <w:r w:rsidRPr="00EC2015">
        <w:rPr>
          <w:rStyle w:val="StyleUnderline"/>
          <w:highlight w:val="cyan"/>
        </w:rPr>
        <w:t xml:space="preserve"> </w:t>
      </w:r>
      <w:r w:rsidRPr="00EC2015">
        <w:rPr>
          <w:rFonts w:eastAsia="Calibri"/>
          <w:highlight w:val="cyan"/>
          <w:u w:val="single"/>
        </w:rPr>
        <w:t>can</w:t>
      </w:r>
      <w:r w:rsidRPr="00393012">
        <w:rPr>
          <w:rFonts w:eastAsia="Calibri"/>
          <w:u w:val="single"/>
        </w:rPr>
        <w:t xml:space="preserve"> both make a difference on their own and </w:t>
      </w:r>
      <w:r w:rsidRPr="00EC2015">
        <w:rPr>
          <w:rFonts w:eastAsia="Calibri"/>
          <w:highlight w:val="cyan"/>
          <w:u w:val="single"/>
        </w:rPr>
        <w:t xml:space="preserve">help to </w:t>
      </w:r>
      <w:r w:rsidRPr="00EC2015">
        <w:rPr>
          <w:rStyle w:val="Emphasis"/>
          <w:highlight w:val="cyan"/>
        </w:rPr>
        <w:t>set preconditions for</w:t>
      </w:r>
      <w:r w:rsidRPr="00393012">
        <w:rPr>
          <w:rFonts w:eastAsia="Calibri"/>
          <w:u w:val="single"/>
        </w:rPr>
        <w:t xml:space="preserve"> constituency </w:t>
      </w:r>
      <w:r w:rsidRPr="00EC2015">
        <w:rPr>
          <w:rStyle w:val="Emphasis"/>
          <w:highlight w:val="cyan"/>
        </w:rPr>
        <w:t>participation in more robust political movements</w:t>
      </w:r>
      <w:r w:rsidRPr="00393012">
        <w:rPr>
          <w:rStyle w:val="StyleUnderline"/>
        </w:rPr>
        <w:t>.</w:t>
      </w:r>
      <w:r w:rsidRPr="00393012">
        <w:t xml:space="preserve"> </w:t>
      </w:r>
      <w:r w:rsidRPr="00393012">
        <w:rPr>
          <w:rFonts w:eastAsia="Calibri"/>
          <w:sz w:val="14"/>
        </w:rPr>
        <w:t xml:space="preserve">The domains of gender and sexuality are important on their own, and recent success in these domains carries suggestions of how to act in others as well. The creative politics of gender and sexuality during the past forty years displays how potent the play back and forth can be among role experimentations, occupational practices, local assemblies, teaching routines, church struggles, state policies, judicial decisions, and legislative enactments. Here I focus on protean connections between role experimentation, self-identity, economic performance, and macropolitical actions.  To condense the flow chart, an institution is an organized hierarchy of roles in relation to energies and activities that overflow them, such as gossip, backdoor deals, confusion, whistle-blowing, care, revenge, and secrecy; roles mediate between identities and institutions; there is often a degree of slack within institutions as to how a role is to be performed; an accumulation of role experimentations in several venues can make a direct difference in politics; role experimentations by some can also set examples for others; and such experiments can filter into the sensibilities, beliefs, identities, and larger political activities of those who initiate and respond to them. 4 A series of shifts on this register, for instance, may dispose you to listen attentively to new proposals for large-scale political action. Powerful subterranean currents thus flow back and forth between role performance, existential orientation, belief, and larger political actions. Indeed as such oscillations proceed, moments of stuttering, unfocused shame, laughter, and hesitation periodically arise, drawn from the element of noise that inhabits the spaces between roles and role bearers. There is no zone of complete neutrality in a world of role performances. Obedient performances in cumulative effect tend to support the existing regime as they insinuate its dictates into our collective habits of perception, judgment, and action. Unless a dissident group of workers meticulously “works according to rule” to disrupt production through excruciating obedience in a way that discloses how tangled formal rules can become. Or a group creatively improvises on the performance of Bartleby the Scrivener, posing endless questions about the orders given to it until the machine overflows itself or is jammed. These indeed are creative role experimentations. So was the practice in Eastern Europe during the late stages of Soviet rule to clap endlessly when a Soviet stooge spoke, until the bewildered speaker was moved to sit down amid the roar around him. I recently attended a faculty meeting with the president of my university at which the entire faculty remained silent after his CEOstyle talk ended and he departed slowly up the aisle. Sometimes silence sends a </w:t>
      </w:r>
      <w:r w:rsidRPr="00393012">
        <w:rPr>
          <w:rFonts w:eastAsia="Calibri"/>
        </w:rPr>
        <w:t xml:space="preserve">message to power.  Our lives are messages. 5 </w:t>
      </w:r>
      <w:r w:rsidRPr="00EC2015">
        <w:rPr>
          <w:rFonts w:eastAsia="Calibri"/>
          <w:highlight w:val="cyan"/>
          <w:u w:val="single"/>
        </w:rPr>
        <w:t>Role experimentation can</w:t>
      </w:r>
      <w:r w:rsidRPr="00393012">
        <w:rPr>
          <w:rFonts w:eastAsia="Calibri"/>
          <w:u w:val="single"/>
        </w:rPr>
        <w:t xml:space="preserve"> disrupt and </w:t>
      </w:r>
      <w:r w:rsidRPr="00EC2015">
        <w:rPr>
          <w:rFonts w:eastAsia="Calibri"/>
          <w:highlight w:val="cyan"/>
          <w:u w:val="single"/>
        </w:rPr>
        <w:t>redirect</w:t>
      </w:r>
      <w:r w:rsidRPr="00393012">
        <w:rPr>
          <w:rFonts w:eastAsia="Calibri"/>
          <w:u w:val="single"/>
        </w:rPr>
        <w:t xml:space="preserve"> the flow of </w:t>
      </w:r>
      <w:r w:rsidRPr="00EC2015">
        <w:rPr>
          <w:rFonts w:eastAsia="Calibri"/>
          <w:highlight w:val="cyan"/>
          <w:u w:val="single"/>
        </w:rPr>
        <w:t>authority</w:t>
      </w:r>
      <w:r w:rsidRPr="00393012">
        <w:rPr>
          <w:rFonts w:eastAsia="Calibri"/>
          <w:u w:val="single"/>
        </w:rPr>
        <w:t xml:space="preserve">, habit, </w:t>
      </w:r>
      <w:r w:rsidRPr="00EC2015">
        <w:rPr>
          <w:rFonts w:eastAsia="Calibri"/>
          <w:highlight w:val="cyan"/>
          <w:u w:val="single"/>
        </w:rPr>
        <w:t xml:space="preserve">institutional regularity, and </w:t>
      </w:r>
      <w:r w:rsidRPr="00EC2015">
        <w:rPr>
          <w:rStyle w:val="Emphasis"/>
          <w:highlight w:val="cyan"/>
        </w:rPr>
        <w:t>future projection</w:t>
      </w:r>
      <w:r w:rsidRPr="00393012">
        <w:rPr>
          <w:rFonts w:eastAsia="Calibri"/>
          <w:u w:val="single"/>
        </w:rPr>
        <w:t>.</w:t>
      </w:r>
      <w:r w:rsidRPr="00393012">
        <w:rPr>
          <w:rFonts w:eastAsia="Calibri"/>
        </w:rPr>
        <w:t xml:space="preserve"> It can also encourage others to look more closely at their own performances in this or that domain. </w:t>
      </w:r>
      <w:r w:rsidRPr="00EC2015">
        <w:rPr>
          <w:rFonts w:eastAsia="Calibri"/>
          <w:highlight w:val="cyan"/>
          <w:u w:val="single"/>
        </w:rPr>
        <w:t>Such experiments can</w:t>
      </w:r>
      <w:r w:rsidRPr="00393012">
        <w:rPr>
          <w:rFonts w:eastAsia="Calibri"/>
        </w:rPr>
        <w:t xml:space="preserve"> also </w:t>
      </w:r>
      <w:r w:rsidRPr="00EC2015">
        <w:rPr>
          <w:rFonts w:eastAsia="Calibri"/>
          <w:highlight w:val="cyan"/>
          <w:u w:val="single"/>
        </w:rPr>
        <w:t>set the stage for</w:t>
      </w:r>
      <w:r w:rsidRPr="00393012">
        <w:rPr>
          <w:rFonts w:eastAsia="Calibri"/>
          <w:u w:val="single"/>
        </w:rPr>
        <w:t xml:space="preserve"> more adventurous and </w:t>
      </w:r>
      <w:r w:rsidRPr="00EC2015">
        <w:rPr>
          <w:rFonts w:eastAsia="Calibri"/>
          <w:highlight w:val="cyan"/>
          <w:u w:val="single"/>
        </w:rPr>
        <w:t>larger scale actions</w:t>
      </w:r>
      <w:r w:rsidRPr="00393012">
        <w:rPr>
          <w:rFonts w:eastAsia="Calibri"/>
          <w:u w:val="single"/>
        </w:rPr>
        <w:t>.</w:t>
      </w:r>
      <w:r w:rsidRPr="00393012">
        <w:rPr>
          <w:rFonts w:eastAsia="Calibri"/>
        </w:rPr>
        <w:t xml:space="preserve"> My examples will be limited to constituencies who are the most apt to read this book, though they could easily be adjusted to a broader array.  Suppose a constellation of students, studying to enter professional life, forms study groups to explore more closely how those professions presuppose and enforce a set of practices that contribute to the fragility of things as they simultaneously draw attention away from that contribution. The students may pose untimely questions in their political science, economics, engineering, medical, business, legal, and biology classes. If in a secular institution, they may seek out courses that complicate the assumptions of secularism. If in a religious school, they may organize a group to explore the history of atheism or of minority faiths that eschew the theme of a personal God. They can engage experimental artistic work that stretches their habitual patterns of perception and judgment. The nature- and soundscape compositions of John Luther Adams have salutary effects on many in this respect. </w:t>
      </w:r>
      <w:r w:rsidRPr="00393012">
        <w:rPr>
          <w:rFonts w:eastAsia="Calibri"/>
          <w:u w:val="single"/>
        </w:rPr>
        <w:t>Such activities can</w:t>
      </w:r>
      <w:r w:rsidRPr="00393012">
        <w:rPr>
          <w:rFonts w:eastAsia="Calibri"/>
        </w:rPr>
        <w:t xml:space="preserve"> also </w:t>
      </w:r>
      <w:r w:rsidRPr="00393012">
        <w:rPr>
          <w:rFonts w:eastAsia="Calibri"/>
          <w:u w:val="single"/>
        </w:rPr>
        <w:t>prime you to experiment</w:t>
      </w:r>
      <w:r w:rsidRPr="00393012">
        <w:rPr>
          <w:rFonts w:eastAsia="Calibri"/>
        </w:rPr>
        <w:t xml:space="preserve"> </w:t>
      </w:r>
      <w:r w:rsidRPr="00393012">
        <w:rPr>
          <w:rFonts w:eastAsia="Calibri"/>
          <w:u w:val="single"/>
        </w:rPr>
        <w:t xml:space="preserve">with other role performances once you enter professional life. If a lawyer, you may organize to rethink your connections to the </w:t>
      </w:r>
      <w:r w:rsidRPr="00393012">
        <w:rPr>
          <w:rFonts w:eastAsia="Calibri"/>
        </w:rPr>
        <w:t>ugly</w:t>
      </w:r>
      <w:r w:rsidRPr="00393012">
        <w:rPr>
          <w:rFonts w:eastAsia="Calibri"/>
          <w:u w:val="single"/>
        </w:rPr>
        <w:t xml:space="preserve"> prison system and to adjust your practice to protest its ugliness. </w:t>
      </w:r>
      <w:r w:rsidRPr="00393012">
        <w:rPr>
          <w:rFonts w:eastAsia="Calibri"/>
        </w:rPr>
        <w:t xml:space="preserve">Or you may give a portion of your time to challenge corporations, localities, and states that defile the environment. If a doctor, you may organize voluntary medical care for the poor and publicize what you are doing. In both cases these </w:t>
      </w:r>
      <w:r w:rsidRPr="00EC2015">
        <w:rPr>
          <w:rFonts w:eastAsia="Calibri"/>
          <w:highlight w:val="cyan"/>
          <w:u w:val="single"/>
        </w:rPr>
        <w:t>experimentations make a modest difference</w:t>
      </w:r>
      <w:r w:rsidRPr="00393012">
        <w:rPr>
          <w:rFonts w:eastAsia="Calibri"/>
          <w:u w:val="single"/>
        </w:rPr>
        <w:t xml:space="preserve"> on their own, </w:t>
      </w:r>
      <w:r w:rsidRPr="00EC2015">
        <w:rPr>
          <w:rStyle w:val="Emphasis"/>
          <w:highlight w:val="cyan"/>
        </w:rPr>
        <w:t>prime our capacities</w:t>
      </w:r>
      <w:r w:rsidRPr="00EC2015">
        <w:rPr>
          <w:rFonts w:eastAsia="Calibri"/>
          <w:highlight w:val="cyan"/>
          <w:u w:val="single"/>
        </w:rPr>
        <w:t xml:space="preserve"> for</w:t>
      </w:r>
      <w:r w:rsidRPr="00393012">
        <w:rPr>
          <w:rFonts w:eastAsia="Calibri"/>
          <w:u w:val="single"/>
        </w:rPr>
        <w:t xml:space="preserve"> more sensitive perception in </w:t>
      </w:r>
      <w:r w:rsidRPr="00EC2015">
        <w:rPr>
          <w:rFonts w:eastAsia="Calibri"/>
          <w:highlight w:val="cyan"/>
          <w:u w:val="single"/>
        </w:rPr>
        <w:t>other domains of life</w:t>
      </w:r>
      <w:r w:rsidRPr="00393012">
        <w:rPr>
          <w:rFonts w:eastAsia="Calibri"/>
          <w:u w:val="single"/>
        </w:rPr>
        <w:t>, and may prepare us to participate with others in yet more adventurous activities</w:t>
      </w:r>
      <w:r w:rsidRPr="00393012">
        <w:rPr>
          <w:rFonts w:eastAsia="Calibri"/>
          <w:sz w:val="14"/>
        </w:rPr>
        <w:t xml:space="preserve">. These are minor moments, but an accumulation of minor moments can jostle settled habits of perception; they can encourage a readiness to become more exploratory; and they can extend the time horizon within which we think and act.  Suppose, now, you are middle- or upper-middle-class citizens in a polity that has competitive elections. You have become increasingly dissatisfied with the course your society is taking. Voting, while pertinent, seems radically insufficient to the issues involved. Its time horizon is too short and the strategic place of ill-informed undecided voters in electoral politics skews campaigns too sharply. Inequality has been extended. The lower reaches of society are left out in the cold and often blamed for the suffering they undergo. The news media are organized around scandal and a brief time horizon. Racial differences are exploited to break up potential coalitions on the left. A large slice of the population is periodically susceptible to war fever. Climate change is widely subjected to deferral, denial, or formal acceptance disconnected from action. And the right wing actively promotes filibusters and legislative stalemates to encourage more and more people to withdraw from citizenship and to tolerate the privatization of more and more of life.  The sciences and professions with which you are familiar are often too narrowly defined. Too many churches either provide refuges from the world or serve as sites of aggressive attack on ecological concerns, homosexuality, carriers of alternative faiths, or poor minorities. You know what political party you support; you vote regularly; and you give time and money to your party. But you also find it difficult to connect the sentiments you profess to the role expectations sedimented into your practices of work, church, consumption, neighborhood association, investment portfolio, children's school, artistic pursuits, and local news reporting. Now is the time to join others in becoming role experimentalists.  You may actively support the farm-to-table movement in the restaurants you visit; you may support the slow food movement; you may frequent stores that offer food based on sustainable processes; you may buy a hybrid or, if feasible, join an urban zip-car collective, explaining to friends, family, and neighbors what effect such choices could have on late modern ecology if a majority of the populace did one or the other; you may press your neighborhood association and workplace to buy solar panels and install them yourself; you may use writing and media skills developed in school to write for a blog; you may shift a large portion of your retirement account into investments that support sustainable energy; you may withdraw from aggressive investments that presuppose an unsustainable growth pattern, threaten economic collapse, and/or undermine the collective future; you may bring new issues and visitors to your church, temple, or mosque to support rethinking about interdenominational issues and the contemporary fragility of things; you may found, join, or frequent a repair club, at which volunteers collect and repair old appliances, furniture, and vehicles to cut back on urban waste and increase the longevity of these items; you may probe and publicize the multimodal tactics by which twenty-four-hour news stations work on the visceral register of their viewers, as you explore ways to counter those techniques; you may travel to places where unconscious American assumptions about world entitlement are challenged on a regular basis; you may augment your pattern of films and artistic exhibits attended to stretch your habitual powers of perception and to challenge some affectimbued prejudgments embedded in them; you may seek out new friends who are also moving in these directions. You may regularly relay pregnant essays you encounter to friends, colleagues, and relatives. A series of minor role experiments As we proceed our aspirational selves may now begin to exceed our operational selves, and the shame we feel about the discrepancy between these two aspects of the self may generate energy to enter into yet new modes of role experimentation. 6 We thus begin to make ourselves and our engagements more experimental rather than simply falling into a ready-made set of role expectations. We have begun to become what Nietzsche calls “our own guinea pigs” rather than merely being the guinea pigs of those in charge of these institutions.  </w:t>
      </w:r>
      <w:r w:rsidRPr="00393012">
        <w:rPr>
          <w:rFonts w:eastAsia="Calibri"/>
          <w:u w:val="single"/>
        </w:rPr>
        <w:t>As such experiments accumulate, the ice in and around us begins to crack</w:t>
      </w:r>
      <w:r w:rsidRPr="00393012">
        <w:rPr>
          <w:rFonts w:eastAsia="Calibri"/>
        </w:rPr>
        <w:t xml:space="preserve">. First, the shaky perceptions, feelings, and beliefs with which we started these experimentations now become more refined and more entrenched. Second, </w:t>
      </w:r>
      <w:r w:rsidRPr="00393012">
        <w:rPr>
          <w:rFonts w:eastAsia="Calibri"/>
          <w:u w:val="single"/>
        </w:rPr>
        <w:t>we are now better situated to forge connections with yet larger constituencies engaging in similar experiments</w:t>
      </w:r>
      <w:r w:rsidRPr="00393012">
        <w:rPr>
          <w:rFonts w:eastAsia="Calibri"/>
        </w:rPr>
        <w:t xml:space="preserve">. Third, </w:t>
      </w:r>
      <w:r w:rsidRPr="00EC2015">
        <w:rPr>
          <w:rFonts w:eastAsia="Calibri"/>
          <w:highlight w:val="cyan"/>
          <w:u w:val="single"/>
        </w:rPr>
        <w:t xml:space="preserve">as these connections accumulate we may be more inspired to </w:t>
      </w:r>
      <w:r w:rsidRPr="00EC2015">
        <w:rPr>
          <w:rStyle w:val="Emphasis"/>
          <w:highlight w:val="cyan"/>
        </w:rPr>
        <w:t>join</w:t>
      </w:r>
      <w:r w:rsidRPr="00393012">
        <w:rPr>
          <w:rStyle w:val="Emphasis"/>
        </w:rPr>
        <w:t xml:space="preserve"> macropolitical </w:t>
      </w:r>
      <w:r w:rsidRPr="00EC2015">
        <w:rPr>
          <w:rStyle w:val="Emphasis"/>
          <w:highlight w:val="cyan"/>
        </w:rPr>
        <w:t>movements</w:t>
      </w:r>
      <w:r w:rsidRPr="00393012">
        <w:rPr>
          <w:rStyle w:val="Emphasis"/>
        </w:rPr>
        <w:t xml:space="preserve"> that speak to the issues</w:t>
      </w:r>
      <w:r w:rsidRPr="00393012">
        <w:rPr>
          <w:rFonts w:eastAsia="Calibri"/>
          <w:u w:val="single"/>
        </w:rPr>
        <w:t>.</w:t>
      </w:r>
      <w:r w:rsidRPr="00393012">
        <w:t xml:space="preserve"> </w:t>
      </w:r>
      <w:r w:rsidRPr="00393012">
        <w:rPr>
          <w:rFonts w:eastAsia="Calibri"/>
        </w:rPr>
        <w:t xml:space="preserve">Fourth, as we now join protests, slowdowns, and confrontational meetings with corporate managers, church leaders, union officials, university officials, and neighborhood leaders, we may now become more alert to the institutional pressures that propel these constituencies forward too. They are also both enmeshed in a web of roles that enable and constrain them and often more than mere role bearers. These roles too exhibit varying degrees of pressure and slack as they link the details of daily conduct to the strategic practices of the larger political economy.  </w:t>
      </w:r>
      <w:r w:rsidRPr="00393012">
        <w:rPr>
          <w:rFonts w:eastAsia="Calibri"/>
          <w:u w:val="single"/>
        </w:rPr>
        <w:t>One advantage of role experimentation by several constituencies at multiple sites is that it speaks to a time in which the drive to significant change must today be mobilized by a large, pluralist assemblage rather than by a single class</w:t>
      </w:r>
      <w:r w:rsidRPr="00393012">
        <w:rPr>
          <w:rFonts w:eastAsia="Calibri"/>
        </w:rPr>
        <w:t xml:space="preserve"> or other core constituency. </w:t>
      </w:r>
      <w:r w:rsidRPr="00393012">
        <w:rPr>
          <w:rFonts w:eastAsia="Calibri"/>
          <w:u w:val="single"/>
        </w:rPr>
        <w:t xml:space="preserve">Such an assemblage must be primed and loaded by several constituencies at many sites. Role experimentations and the shape of a pluralist assemblage thus inflect one another.  </w:t>
      </w:r>
      <w:r w:rsidRPr="00393012">
        <w:rPr>
          <w:rFonts w:eastAsia="Calibri"/>
        </w:rPr>
        <w:t xml:space="preserve">We must condense some of the steps involved. But </w:t>
      </w:r>
      <w:r w:rsidRPr="00393012">
        <w:rPr>
          <w:rFonts w:eastAsia="Calibri"/>
          <w:u w:val="single"/>
        </w:rPr>
        <w:t>perhaps</w:t>
      </w:r>
      <w:r w:rsidRPr="00393012">
        <w:rPr>
          <w:rFonts w:eastAsia="Calibri"/>
        </w:rPr>
        <w:t xml:space="preserve"> the multidimensional </w:t>
      </w:r>
      <w:r w:rsidRPr="00393012">
        <w:rPr>
          <w:rFonts w:eastAsia="Calibri"/>
          <w:u w:val="single"/>
        </w:rPr>
        <w:t>pluralist assemblage</w:t>
      </w:r>
      <w:r w:rsidRPr="00393012">
        <w:rPr>
          <w:rFonts w:eastAsia="Calibri"/>
        </w:rPr>
        <w:t xml:space="preserve"> in which you have now begun to participate </w:t>
      </w:r>
      <w:r w:rsidRPr="00393012">
        <w:rPr>
          <w:rFonts w:eastAsia="Calibri"/>
          <w:u w:val="single"/>
        </w:rPr>
        <w:t>approaches a tipping point</w:t>
      </w:r>
      <w:r w:rsidRPr="00393012">
        <w:rPr>
          <w:rFonts w:eastAsia="Calibri"/>
        </w:rPr>
        <w:t>—</w:t>
      </w:r>
      <w:r w:rsidRPr="00393012">
        <w:rPr>
          <w:rFonts w:eastAsia="Calibri"/>
          <w:u w:val="single"/>
        </w:rPr>
        <w:t>crystallized, say, by movement back and forth between role experiments, shifts in the priorities of some strategic institutions, and a change in the contours of electoral politics.</w:t>
      </w:r>
      <w:r w:rsidRPr="00393012">
        <w:rPr>
          <w:rFonts w:eastAsia="Calibri"/>
        </w:rPr>
        <w:t xml:space="preserve"> Now </w:t>
      </w:r>
      <w:r w:rsidRPr="00393012">
        <w:rPr>
          <w:rFonts w:eastAsia="Calibri"/>
          <w:u w:val="single"/>
        </w:rPr>
        <w:t xml:space="preserve">a surprising event may occur, allowing these emergent energies to be crystallized. At this point </w:t>
      </w:r>
      <w:r w:rsidRPr="00EC2015">
        <w:rPr>
          <w:rFonts w:eastAsia="Calibri"/>
          <w:highlight w:val="cyan"/>
          <w:u w:val="single"/>
        </w:rPr>
        <w:t>some will enter</w:t>
      </w:r>
      <w:r w:rsidRPr="00EC2015">
        <w:rPr>
          <w:rFonts w:eastAsia="Calibri"/>
          <w:u w:val="single"/>
        </w:rPr>
        <w:t xml:space="preserve"> </w:t>
      </w:r>
      <w:r w:rsidRPr="00393012">
        <w:rPr>
          <w:rFonts w:eastAsia="Calibri"/>
          <w:u w:val="single"/>
        </w:rPr>
        <w:t xml:space="preserve">the scene </w:t>
      </w:r>
      <w:r w:rsidRPr="00EC2015">
        <w:rPr>
          <w:rFonts w:eastAsia="Calibri"/>
          <w:highlight w:val="cyan"/>
          <w:u w:val="single"/>
        </w:rPr>
        <w:t>to say that no</w:t>
      </w:r>
      <w:r w:rsidRPr="00393012">
        <w:rPr>
          <w:rFonts w:eastAsia="Calibri"/>
          <w:u w:val="single"/>
        </w:rPr>
        <w:t xml:space="preserve"> kind of “</w:t>
      </w:r>
      <w:r w:rsidRPr="00EC2015">
        <w:rPr>
          <w:rFonts w:eastAsia="Calibri"/>
          <w:highlight w:val="cyan"/>
          <w:u w:val="single"/>
        </w:rPr>
        <w:t>reformism</w:t>
      </w:r>
      <w:r w:rsidRPr="00393012">
        <w:rPr>
          <w:rFonts w:eastAsia="Calibri"/>
          <w:u w:val="single"/>
        </w:rPr>
        <w:t xml:space="preserve">,” no matter how extensive, </w:t>
      </w:r>
      <w:r w:rsidRPr="00EC2015">
        <w:rPr>
          <w:rFonts w:eastAsia="Calibri"/>
          <w:highlight w:val="cyan"/>
          <w:u w:val="single"/>
        </w:rPr>
        <w:t>is acceptable</w:t>
      </w:r>
      <w:r w:rsidRPr="00393012">
        <w:rPr>
          <w:rFonts w:eastAsia="Calibri"/>
          <w:u w:val="single"/>
        </w:rPr>
        <w:t>.</w:t>
      </w:r>
      <w:r w:rsidRPr="00393012">
        <w:t xml:space="preserve"> </w:t>
      </w:r>
      <w:r w:rsidRPr="00393012">
        <w:rPr>
          <w:rFonts w:eastAsia="Calibri"/>
        </w:rPr>
        <w:t xml:space="preserve">We must wait for a bigger, more total transformation, they will say. </w:t>
      </w:r>
      <w:r w:rsidRPr="00393012">
        <w:rPr>
          <w:rFonts w:eastAsia="Calibri"/>
          <w:u w:val="single"/>
        </w:rPr>
        <w:t xml:space="preserve">Such an account will be offered </w:t>
      </w:r>
      <w:r w:rsidRPr="00393012">
        <w:rPr>
          <w:rFonts w:eastAsia="Calibri"/>
        </w:rPr>
        <w:t xml:space="preserve">at precisely this tipping point </w:t>
      </w:r>
      <w:r w:rsidRPr="00393012">
        <w:rPr>
          <w:rFonts w:eastAsia="Calibri"/>
          <w:u w:val="single"/>
        </w:rPr>
        <w:t xml:space="preserve">as the only sophisticated reading of the world. But it is not. </w:t>
      </w:r>
      <w:r w:rsidRPr="00EC2015">
        <w:rPr>
          <w:rFonts w:eastAsia="Calibri"/>
          <w:highlight w:val="cyan"/>
          <w:u w:val="single"/>
        </w:rPr>
        <w:t>Yes, roles, institutions</w:t>
      </w:r>
      <w:r w:rsidRPr="00393012">
        <w:rPr>
          <w:rFonts w:eastAsia="Calibri"/>
        </w:rPr>
        <w:t xml:space="preserve">, events, constitutive acts, </w:t>
      </w:r>
      <w:r w:rsidRPr="00EC2015">
        <w:rPr>
          <w:rFonts w:eastAsia="Calibri"/>
          <w:highlight w:val="cyan"/>
          <w:u w:val="single"/>
        </w:rPr>
        <w:t>and larger structures are interinvolved, with each</w:t>
      </w:r>
      <w:r w:rsidRPr="00393012">
        <w:rPr>
          <w:rFonts w:eastAsia="Calibri"/>
          <w:u w:val="single"/>
        </w:rPr>
        <w:t xml:space="preserve"> enabling and </w:t>
      </w:r>
      <w:r w:rsidRPr="00EC2015">
        <w:rPr>
          <w:rFonts w:eastAsia="Calibri"/>
          <w:highlight w:val="cyan"/>
          <w:u w:val="single"/>
        </w:rPr>
        <w:t>limiting others</w:t>
      </w:r>
      <w:r w:rsidRPr="00393012">
        <w:rPr>
          <w:rFonts w:eastAsia="Calibri"/>
          <w:u w:val="single"/>
        </w:rPr>
        <w:t>.</w:t>
      </w:r>
      <w:r w:rsidRPr="00393012">
        <w:rPr>
          <w:rFonts w:eastAsia="Calibri"/>
        </w:rPr>
        <w:t xml:space="preserve"> Yes, we do inhabit a world of multiple entanglements and interconnections. </w:t>
      </w:r>
      <w:r w:rsidRPr="00EC2015">
        <w:rPr>
          <w:rFonts w:eastAsia="Calibri"/>
          <w:highlight w:val="cyan"/>
          <w:u w:val="single"/>
        </w:rPr>
        <w:t>Yes</w:t>
      </w:r>
      <w:r w:rsidRPr="00393012">
        <w:rPr>
          <w:rFonts w:eastAsia="Calibri"/>
          <w:u w:val="single"/>
        </w:rPr>
        <w:t xml:space="preserve">, the primacy of capitalist </w:t>
      </w:r>
      <w:r w:rsidRPr="00EC2015">
        <w:rPr>
          <w:rFonts w:eastAsia="Calibri"/>
          <w:highlight w:val="cyan"/>
          <w:u w:val="single"/>
        </w:rPr>
        <w:t>markets</w:t>
      </w:r>
      <w:r w:rsidRPr="00393012">
        <w:rPr>
          <w:rFonts w:eastAsia="Calibri"/>
        </w:rPr>
        <w:t xml:space="preserve"> and private ownership does </w:t>
      </w:r>
      <w:r w:rsidRPr="00EC2015">
        <w:rPr>
          <w:rFonts w:eastAsia="Calibri"/>
          <w:highlight w:val="cyan"/>
          <w:u w:val="single"/>
        </w:rPr>
        <w:t>give</w:t>
      </w:r>
      <w:r w:rsidRPr="00393012">
        <w:rPr>
          <w:rFonts w:eastAsia="Calibri"/>
        </w:rPr>
        <w:t xml:space="preserve"> owners and high-rolling </w:t>
      </w:r>
      <w:r w:rsidRPr="00EC2015">
        <w:rPr>
          <w:rFonts w:eastAsia="Calibri"/>
          <w:highlight w:val="cyan"/>
          <w:u w:val="single"/>
        </w:rPr>
        <w:t>investors key advantages</w:t>
      </w:r>
      <w:r w:rsidRPr="00393012">
        <w:rPr>
          <w:rFonts w:eastAsia="Calibri"/>
          <w:u w:val="single"/>
        </w:rPr>
        <w:t xml:space="preserve"> in setting the agenda of the state.</w:t>
      </w:r>
      <w:r w:rsidRPr="00393012">
        <w:rPr>
          <w:rStyle w:val="StyleUnderline"/>
        </w:rPr>
        <w:t xml:space="preserve"> </w:t>
      </w:r>
      <w:r w:rsidRPr="00393012">
        <w:rPr>
          <w:rFonts w:eastAsia="Calibri"/>
          <w:u w:val="single"/>
        </w:rPr>
        <w:t>Yes, states subject to public elections are</w:t>
      </w:r>
      <w:r w:rsidRPr="00393012">
        <w:rPr>
          <w:rFonts w:eastAsia="Calibri"/>
        </w:rPr>
        <w:t xml:space="preserve"> also </w:t>
      </w:r>
      <w:r w:rsidRPr="00393012">
        <w:rPr>
          <w:rFonts w:eastAsia="Calibri"/>
          <w:u w:val="single"/>
        </w:rPr>
        <w:t>limited by systemic relations to corporate structures</w:t>
      </w:r>
      <w:r w:rsidRPr="00393012">
        <w:rPr>
          <w:rFonts w:eastAsia="Calibri"/>
        </w:rPr>
        <w:t xml:space="preserve"> and the threat of capital strikes. Yes, extreme inequality, combined with legislative and court decisions inspired by neoliberal ideology, do disenfranchise many as they release billions of dollars to right-wing electoral campaigns. Yes, private ownership of the media does give great advantages to the corporate establishment. Yes, dependent workers do face uphill battles in limiting capital through labor organization. </w:t>
      </w:r>
      <w:r w:rsidRPr="00393012">
        <w:rPr>
          <w:rFonts w:eastAsia="Calibri"/>
          <w:u w:val="single"/>
        </w:rPr>
        <w:t>Yes, the limited reach of semisovereign states in the global economy exerts corporate pressure on them</w:t>
      </w:r>
      <w:r w:rsidRPr="00393012">
        <w:rPr>
          <w:rFonts w:eastAsia="Calibri"/>
        </w:rPr>
        <w:t xml:space="preserve">, just as, inside the United States at least, the right-wing Supreme Court's devolution of authority to states in a federal system forces states to compete with each other for corporate favors. Yes, elected representatives are dependent on campaign money and their desires to find jobs as lobbyists after they leave office. Yes, there are pressures on many in the lower middle class to identify with the vision of the future publicized by those above them. </w:t>
      </w:r>
      <w:r w:rsidRPr="00393012">
        <w:rPr>
          <w:rFonts w:eastAsia="Calibri"/>
          <w:u w:val="single"/>
        </w:rPr>
        <w:t xml:space="preserve">It may therefore appear that there are no cracks and fissures in these interconnected processes. </w:t>
      </w:r>
      <w:r w:rsidRPr="00EC2015">
        <w:rPr>
          <w:rFonts w:eastAsia="Calibri"/>
          <w:highlight w:val="cyan"/>
          <w:u w:val="single"/>
        </w:rPr>
        <w:t xml:space="preserve">It may seem that you must either embrace the system with fervor, withdraw </w:t>
      </w:r>
      <w:r w:rsidRPr="00393012">
        <w:rPr>
          <w:rFonts w:eastAsia="Calibri"/>
          <w:u w:val="single"/>
        </w:rPr>
        <w:t xml:space="preserve">as much as possible from it, </w:t>
      </w:r>
      <w:r w:rsidRPr="00EC2015">
        <w:rPr>
          <w:rFonts w:eastAsia="Calibri"/>
          <w:highlight w:val="cyan"/>
          <w:u w:val="single"/>
        </w:rPr>
        <w:t>or wait for an explosion</w:t>
      </w:r>
      <w:r w:rsidRPr="00393012">
        <w:rPr>
          <w:rFonts w:eastAsia="Calibri"/>
          <w:u w:val="single"/>
        </w:rPr>
        <w:t xml:space="preserve"> that changes everything </w:t>
      </w:r>
      <w:r w:rsidRPr="00393012">
        <w:rPr>
          <w:rStyle w:val="StyleUnderline"/>
        </w:rPr>
        <w:t xml:space="preserve">rapidly. </w:t>
      </w:r>
      <w:r w:rsidRPr="00EC2015">
        <w:rPr>
          <w:rStyle w:val="Emphasis"/>
          <w:highlight w:val="cyan"/>
        </w:rPr>
        <w:t>The hegemony of neoliberal ideology reinforces such a reading of the alternatives</w:t>
      </w:r>
      <w:r w:rsidRPr="00393012">
        <w:rPr>
          <w:rFonts w:eastAsia="Calibri"/>
        </w:rPr>
        <w:t xml:space="preserve">, in its way, even as it otherwise emphasizes our inability to have a bird's-eye view of the system. It offers a bird's-eye view of the whole whenever it insists that market self-organization means impersonal market rationality. But repeated experience belies such an equation. There are numerous examples of surprising economic meltdowns, often ushered into being by submission to that very ideology. And </w:t>
      </w:r>
      <w:r w:rsidRPr="00393012">
        <w:rPr>
          <w:rFonts w:eastAsia="Calibri"/>
          <w:u w:val="single"/>
        </w:rPr>
        <w:t>periodically critical movements emerge, as if from nowhere, to challenge existing priorities at vulnerable sites. There is,</w:t>
      </w:r>
      <w:r w:rsidRPr="00393012">
        <w:rPr>
          <w:rFonts w:eastAsia="Calibri"/>
        </w:rPr>
        <w:t xml:space="preserve"> for starters, </w:t>
      </w:r>
      <w:r w:rsidRPr="00393012">
        <w:rPr>
          <w:rFonts w:eastAsia="Calibri"/>
          <w:u w:val="single"/>
        </w:rPr>
        <w:t>the surprise of the Arab Spring</w:t>
      </w:r>
      <w:r w:rsidRPr="00393012">
        <w:rPr>
          <w:rFonts w:eastAsia="Calibri"/>
        </w:rPr>
        <w:t xml:space="preserve">, with its ambivalent possibilities; </w:t>
      </w:r>
      <w:r w:rsidRPr="00393012">
        <w:rPr>
          <w:rFonts w:eastAsia="Calibri"/>
          <w:u w:val="single"/>
        </w:rPr>
        <w:t>the emergence of a New Left in Euro-American countries in the 1960s and 1970s; the birth of feminist and gay rights movements</w:t>
      </w:r>
      <w:r w:rsidRPr="00393012">
        <w:rPr>
          <w:rFonts w:eastAsia="Calibri"/>
        </w:rPr>
        <w:t xml:space="preserve"> in those same countries that have probed soft spots in churches, the media, corporate benefit packages, universities, state policy, and families; there is the “slut walk” by which young women challenged the idea that how they dress determines whether they deserve sexual assault; </w:t>
      </w:r>
      <w:r w:rsidRPr="00393012">
        <w:rPr>
          <w:rFonts w:eastAsia="Calibri"/>
          <w:u w:val="single"/>
        </w:rPr>
        <w:t>there is Tiananmen Square, which revealed currents of energy and protest in China that are still festering;</w:t>
      </w:r>
      <w:r w:rsidRPr="00393012">
        <w:rPr>
          <w:rFonts w:eastAsia="Calibri"/>
        </w:rPr>
        <w:t xml:space="preserve"> </w:t>
      </w:r>
      <w:r w:rsidRPr="00393012">
        <w:rPr>
          <w:rFonts w:eastAsia="Calibri"/>
          <w:u w:val="single"/>
        </w:rPr>
        <w:t>there is the Occupy movement, springing as if from nowhere, to galvanize previously isolated pockets of dissatisfaction</w:t>
      </w:r>
      <w:r w:rsidRPr="00393012">
        <w:rPr>
          <w:rFonts w:eastAsia="Calibri"/>
        </w:rPr>
        <w:t xml:space="preserve"> and unrest; </w:t>
      </w:r>
      <w:r w:rsidRPr="00393012">
        <w:rPr>
          <w:rFonts w:eastAsia="Calibri"/>
          <w:u w:val="single"/>
        </w:rPr>
        <w:t>there is the civil rights movement, which has reenergized itself several times; there are several ecological movements</w:t>
      </w:r>
      <w:r w:rsidRPr="00393012">
        <w:rPr>
          <w:rFonts w:eastAsia="Calibri"/>
        </w:rPr>
        <w:t xml:space="preserve">, mobilizing diffuse dissatisfactions with the direction neoliberal regimes have taken. </w:t>
      </w:r>
      <w:r w:rsidRPr="00393012">
        <w:rPr>
          <w:rFonts w:eastAsia="Calibri"/>
          <w:u w:val="single"/>
        </w:rPr>
        <w:t>Each of these events and movements exposes soft spots, cracks, uneven edges, and leakages in “the system,” through which new lines of creative activity can form and pass.</w:t>
      </w:r>
      <w:r w:rsidRPr="00393012">
        <w:rPr>
          <w:rFonts w:eastAsia="Calibri"/>
        </w:rPr>
        <w:t xml:space="preserve"> </w:t>
      </w:r>
    </w:p>
    <w:p w14:paraId="1D7D1A0F" w14:textId="77777777" w:rsidR="00212072" w:rsidRDefault="00212072" w:rsidP="00212072"/>
    <w:p w14:paraId="635D8298" w14:textId="77777777" w:rsidR="00212072" w:rsidRPr="00655C0B" w:rsidRDefault="00212072" w:rsidP="00212072">
      <w:pPr>
        <w:pStyle w:val="Heading4"/>
      </w:pPr>
      <w:r w:rsidRPr="00655C0B">
        <w:t xml:space="preserve">Governmental politics </w:t>
      </w:r>
      <w:r w:rsidRPr="00655C0B">
        <w:rPr>
          <w:u w:val="single"/>
        </w:rPr>
        <w:t>facilitates</w:t>
      </w:r>
      <w:r w:rsidRPr="00655C0B">
        <w:t xml:space="preserve"> and </w:t>
      </w:r>
      <w:r w:rsidRPr="00655C0B">
        <w:rPr>
          <w:u w:val="single"/>
        </w:rPr>
        <w:t>compliments</w:t>
      </w:r>
      <w:r w:rsidRPr="00655C0B">
        <w:t xml:space="preserve"> movements</w:t>
      </w:r>
      <w:r>
        <w:t xml:space="preserve">—the state as a site of struggle centers and catalyzes action </w:t>
      </w:r>
    </w:p>
    <w:p w14:paraId="1567F68F" w14:textId="77777777" w:rsidR="00212072" w:rsidRPr="00393012" w:rsidRDefault="00212072" w:rsidP="00212072">
      <w:bookmarkStart w:id="0" w:name="_Hlk42557357"/>
      <w:r w:rsidRPr="00393012">
        <w:rPr>
          <w:rStyle w:val="Style13ptBold"/>
        </w:rPr>
        <w:t xml:space="preserve">Srnicek </w:t>
      </w:r>
      <w:r>
        <w:rPr>
          <w:rStyle w:val="Style13ptBold"/>
        </w:rPr>
        <w:t>&amp;</w:t>
      </w:r>
      <w:r w:rsidRPr="00393012">
        <w:rPr>
          <w:rStyle w:val="Style13ptBold"/>
        </w:rPr>
        <w:t xml:space="preserve"> Williams 15</w:t>
      </w:r>
      <w:r>
        <w:t xml:space="preserve">, </w:t>
      </w:r>
      <w:r w:rsidRPr="00393012">
        <w:t xml:space="preserve">PhD in IR </w:t>
      </w:r>
      <w:r>
        <w:t>at</w:t>
      </w:r>
      <w:r w:rsidRPr="00393012">
        <w:t xml:space="preserve"> LSE</w:t>
      </w:r>
      <w:r>
        <w:t xml:space="preserve">; </w:t>
      </w:r>
      <w:r w:rsidRPr="00393012">
        <w:t xml:space="preserve">PhD student at the University of East London, presently at work on a thesis entitled Hegemony and Complexity (Nick </w:t>
      </w:r>
      <w:r>
        <w:t xml:space="preserve">Srnicek; </w:t>
      </w:r>
      <w:r w:rsidRPr="00393012">
        <w:t>Alex</w:t>
      </w:r>
      <w:r>
        <w:t xml:space="preserve"> Williams, 2015</w:t>
      </w:r>
      <w:r w:rsidRPr="00393012">
        <w:t>, “Inventing the Future: Postcapitalism and a World Without Work,” Kindle Book)</w:t>
      </w:r>
    </w:p>
    <w:bookmarkEnd w:id="0"/>
    <w:p w14:paraId="506A90A8" w14:textId="77777777" w:rsidR="00212072" w:rsidRDefault="00212072" w:rsidP="00212072">
      <w:r w:rsidRPr="00393012">
        <w:t xml:space="preserve">Lastly, </w:t>
      </w:r>
      <w:r w:rsidRPr="00EC2015">
        <w:rPr>
          <w:highlight w:val="cyan"/>
          <w:u w:val="single"/>
        </w:rPr>
        <w:t xml:space="preserve">the state </w:t>
      </w:r>
      <w:r w:rsidRPr="00EC2015">
        <w:rPr>
          <w:rStyle w:val="Emphasis"/>
          <w:highlight w:val="cyan"/>
        </w:rPr>
        <w:t>remains a site of struggle</w:t>
      </w:r>
      <w:r w:rsidRPr="00393012">
        <w:rPr>
          <w:u w:val="single"/>
        </w:rPr>
        <w:t xml:space="preserve">, and political parties will have a role </w:t>
      </w:r>
      <w:r w:rsidRPr="00EC2015">
        <w:rPr>
          <w:highlight w:val="cyan"/>
          <w:u w:val="single"/>
        </w:rPr>
        <w:t xml:space="preserve">in </w:t>
      </w:r>
      <w:r w:rsidRPr="00EC2015">
        <w:rPr>
          <w:rStyle w:val="Emphasis"/>
          <w:highlight w:val="cyan"/>
        </w:rPr>
        <w:t>any ecology of organisations</w:t>
      </w:r>
      <w:r w:rsidRPr="00393012">
        <w:t xml:space="preserve"> – particularly if the traditional social democratic parties continue to collapse and enable a new generation of parties to emerge. Ensuring a post-work society for all will require more than just individual workplaces; it demands success at the level of the state as well. 57 While parties are frequently denounced for their cynical consent to electoralism and the limits posed by international capital, this changes within an ecology of organisations. </w:t>
      </w:r>
      <w:r w:rsidRPr="00EC2015">
        <w:rPr>
          <w:highlight w:val="cyan"/>
          <w:u w:val="single"/>
        </w:rPr>
        <w:t>Rather than</w:t>
      </w:r>
      <w:r w:rsidRPr="00393012">
        <w:rPr>
          <w:u w:val="single"/>
        </w:rPr>
        <w:t xml:space="preserve"> making them </w:t>
      </w:r>
      <w:r w:rsidRPr="00EC2015">
        <w:rPr>
          <w:highlight w:val="cyan"/>
          <w:u w:val="single"/>
        </w:rPr>
        <w:t xml:space="preserve">the impossible vehicle of </w:t>
      </w:r>
      <w:r w:rsidRPr="00EC2015">
        <w:rPr>
          <w:rStyle w:val="Emphasis"/>
          <w:highlight w:val="cyan"/>
        </w:rPr>
        <w:t>revolution</w:t>
      </w:r>
      <w:r w:rsidRPr="00393012">
        <w:rPr>
          <w:u w:val="single"/>
        </w:rPr>
        <w:t>ary desires</w:t>
      </w:r>
      <w:r w:rsidRPr="00393012">
        <w:t xml:space="preserve"> – associated with the hopeless prospect of ‘voting in’ postcapitalism – </w:t>
      </w:r>
      <w:r w:rsidRPr="00EC2015">
        <w:rPr>
          <w:highlight w:val="cyan"/>
          <w:u w:val="single"/>
        </w:rPr>
        <w:t>they can</w:t>
      </w:r>
      <w:r w:rsidRPr="00393012">
        <w:rPr>
          <w:u w:val="single"/>
        </w:rPr>
        <w:t xml:space="preserve"> instead take on the more realistic task of forming the ‘tip of the iceberg’</w:t>
      </w:r>
      <w:r w:rsidRPr="00393012">
        <w:t xml:space="preserve"> in terms of political pressure, as well as </w:t>
      </w:r>
      <w:r w:rsidRPr="00393012">
        <w:rPr>
          <w:u w:val="single"/>
        </w:rPr>
        <w:t xml:space="preserve">developing the ability to </w:t>
      </w:r>
      <w:r w:rsidRPr="00EC2015">
        <w:rPr>
          <w:highlight w:val="cyan"/>
          <w:u w:val="single"/>
        </w:rPr>
        <w:t xml:space="preserve">bring together a </w:t>
      </w:r>
      <w:r w:rsidRPr="00EC2015">
        <w:rPr>
          <w:rStyle w:val="Emphasis"/>
          <w:highlight w:val="cyan"/>
        </w:rPr>
        <w:t>wide</w:t>
      </w:r>
      <w:r w:rsidRPr="00393012">
        <w:rPr>
          <w:u w:val="single"/>
        </w:rPr>
        <w:t xml:space="preserve">ly </w:t>
      </w:r>
      <w:r w:rsidRPr="00393012">
        <w:rPr>
          <w:rStyle w:val="Emphasis"/>
        </w:rPr>
        <w:t xml:space="preserve">varied </w:t>
      </w:r>
      <w:r w:rsidRPr="00EC2015">
        <w:rPr>
          <w:rStyle w:val="Emphasis"/>
          <w:highlight w:val="cyan"/>
        </w:rPr>
        <w:t>constituency</w:t>
      </w:r>
      <w:r w:rsidRPr="00393012">
        <w:t xml:space="preserve">. 58 </w:t>
      </w:r>
      <w:r w:rsidRPr="00EC2015">
        <w:rPr>
          <w:highlight w:val="cyan"/>
          <w:u w:val="single"/>
        </w:rPr>
        <w:t>The state can complement politics on the street</w:t>
      </w:r>
      <w:r w:rsidRPr="00393012">
        <w:rPr>
          <w:u w:val="single"/>
        </w:rPr>
        <w:t xml:space="preserve"> and in the workplace</w:t>
      </w:r>
      <w:r w:rsidRPr="00393012">
        <w:t xml:space="preserve">, just as the latter two can broaden the options for parties. </w:t>
      </w:r>
      <w:r w:rsidRPr="00393012">
        <w:rPr>
          <w:u w:val="single"/>
        </w:rPr>
        <w:t xml:space="preserve">The </w:t>
      </w:r>
      <w:r w:rsidRPr="00EC2015">
        <w:rPr>
          <w:highlight w:val="cyan"/>
          <w:u w:val="single"/>
        </w:rPr>
        <w:t>avoidance of the state</w:t>
      </w:r>
      <w:r w:rsidRPr="00393012">
        <w:t xml:space="preserve"> – </w:t>
      </w:r>
      <w:r w:rsidRPr="00393012">
        <w:rPr>
          <w:u w:val="single"/>
        </w:rPr>
        <w:t>common to so many folk-political approaches</w:t>
      </w:r>
      <w:r w:rsidRPr="00393012">
        <w:t xml:space="preserve"> – </w:t>
      </w:r>
      <w:r w:rsidRPr="00EC2015">
        <w:rPr>
          <w:highlight w:val="cyan"/>
          <w:u w:val="single"/>
        </w:rPr>
        <w:t xml:space="preserve">is a </w:t>
      </w:r>
      <w:r w:rsidRPr="00EC2015">
        <w:rPr>
          <w:rStyle w:val="Emphasis"/>
          <w:highlight w:val="cyan"/>
        </w:rPr>
        <w:t>mistake</w:t>
      </w:r>
      <w:r w:rsidRPr="00393012">
        <w:rPr>
          <w:u w:val="single"/>
        </w:rPr>
        <w:t>. Mass movements and parties should be seen as tools of the same populist movement</w:t>
      </w:r>
      <w:r w:rsidRPr="00393012">
        <w:t xml:space="preserve">, each capable of achieving different things. At their most general level, parties can integrate various tendencies within a social movement – from reformist to revolutionary – into a common project. While international capital and the inter-state system make radical change virtually impossible from within the state, </w:t>
      </w:r>
      <w:r w:rsidRPr="00EC2015">
        <w:rPr>
          <w:highlight w:val="cyan"/>
          <w:u w:val="single"/>
        </w:rPr>
        <w:t>there are</w:t>
      </w:r>
      <w:r w:rsidRPr="00393012">
        <w:t xml:space="preserve"> still</w:t>
      </w:r>
      <w:r w:rsidRPr="00393012">
        <w:rPr>
          <w:u w:val="single"/>
        </w:rPr>
        <w:t xml:space="preserve"> </w:t>
      </w:r>
      <w:r w:rsidRPr="00393012">
        <w:rPr>
          <w:rStyle w:val="Emphasis"/>
        </w:rPr>
        <w:t>basic</w:t>
      </w:r>
      <w:r w:rsidRPr="00393012">
        <w:rPr>
          <w:rStyle w:val="StyleUnderline"/>
        </w:rPr>
        <w:t xml:space="preserve"> and</w:t>
      </w:r>
      <w:r w:rsidRPr="00393012">
        <w:rPr>
          <w:u w:val="single"/>
        </w:rPr>
        <w:t xml:space="preserve"> </w:t>
      </w:r>
      <w:r w:rsidRPr="00EC2015">
        <w:rPr>
          <w:rStyle w:val="Emphasis"/>
          <w:highlight w:val="cyan"/>
        </w:rPr>
        <w:t>important</w:t>
      </w:r>
      <w:r w:rsidRPr="00393012">
        <w:rPr>
          <w:u w:val="single"/>
        </w:rPr>
        <w:t xml:space="preserve"> policy </w:t>
      </w:r>
      <w:r w:rsidRPr="00EC2015">
        <w:rPr>
          <w:highlight w:val="cyan"/>
          <w:u w:val="single"/>
        </w:rPr>
        <w:t>choices to be made about</w:t>
      </w:r>
      <w:r w:rsidRPr="00393012">
        <w:rPr>
          <w:u w:val="single"/>
        </w:rPr>
        <w:t xml:space="preserve"> </w:t>
      </w:r>
      <w:r w:rsidRPr="00393012">
        <w:rPr>
          <w:rStyle w:val="Emphasis"/>
        </w:rPr>
        <w:t>austerity</w:t>
      </w:r>
      <w:r w:rsidRPr="00393012">
        <w:rPr>
          <w:u w:val="single"/>
        </w:rPr>
        <w:t xml:space="preserve">, </w:t>
      </w:r>
      <w:r w:rsidRPr="00EC2015">
        <w:rPr>
          <w:rStyle w:val="Emphasis"/>
          <w:highlight w:val="cyan"/>
        </w:rPr>
        <w:t>housing</w:t>
      </w:r>
      <w:r w:rsidRPr="00393012">
        <w:rPr>
          <w:rStyle w:val="Emphasis"/>
        </w:rPr>
        <w:t xml:space="preserve"> support</w:t>
      </w:r>
      <w:r w:rsidRPr="00393012">
        <w:rPr>
          <w:u w:val="single"/>
        </w:rPr>
        <w:t xml:space="preserve">, </w:t>
      </w:r>
      <w:r w:rsidRPr="00EC2015">
        <w:rPr>
          <w:rStyle w:val="Emphasis"/>
          <w:highlight w:val="cyan"/>
        </w:rPr>
        <w:t>climate change</w:t>
      </w:r>
      <w:r w:rsidRPr="00393012">
        <w:rPr>
          <w:u w:val="single"/>
        </w:rPr>
        <w:t xml:space="preserve">, </w:t>
      </w:r>
      <w:r w:rsidRPr="00393012">
        <w:rPr>
          <w:rStyle w:val="Emphasis"/>
        </w:rPr>
        <w:t>childcare</w:t>
      </w:r>
      <w:r w:rsidRPr="00393012">
        <w:rPr>
          <w:u w:val="single"/>
        </w:rPr>
        <w:t xml:space="preserve">, </w:t>
      </w:r>
      <w:r w:rsidRPr="00EC2015">
        <w:rPr>
          <w:rStyle w:val="Emphasis"/>
          <w:highlight w:val="cyan"/>
        </w:rPr>
        <w:t>demilitarisation of the police</w:t>
      </w:r>
      <w:r w:rsidRPr="00393012">
        <w:rPr>
          <w:u w:val="single"/>
        </w:rPr>
        <w:t xml:space="preserve"> </w:t>
      </w:r>
      <w:r w:rsidRPr="00EC2015">
        <w:rPr>
          <w:highlight w:val="cyan"/>
          <w:u w:val="single"/>
        </w:rPr>
        <w:t xml:space="preserve">and </w:t>
      </w:r>
      <w:r w:rsidRPr="00EC2015">
        <w:rPr>
          <w:rStyle w:val="Emphasis"/>
          <w:highlight w:val="cyan"/>
        </w:rPr>
        <w:t>abortion</w:t>
      </w:r>
      <w:r w:rsidRPr="00393012">
        <w:rPr>
          <w:rStyle w:val="Emphasis"/>
        </w:rPr>
        <w:t xml:space="preserve"> rights</w:t>
      </w:r>
      <w:r w:rsidRPr="00393012">
        <w:rPr>
          <w:u w:val="single"/>
        </w:rPr>
        <w:t xml:space="preserve">. Simply </w:t>
      </w:r>
      <w:r w:rsidRPr="00EC2015">
        <w:rPr>
          <w:highlight w:val="cyan"/>
          <w:u w:val="single"/>
        </w:rPr>
        <w:t>to reject</w:t>
      </w:r>
      <w:r w:rsidRPr="00393012">
        <w:t xml:space="preserve"> parliamentary </w:t>
      </w:r>
      <w:r w:rsidRPr="00EC2015">
        <w:rPr>
          <w:highlight w:val="cyan"/>
          <w:u w:val="single"/>
        </w:rPr>
        <w:t>politics is to ignore</w:t>
      </w:r>
      <w:r w:rsidRPr="00393012">
        <w:rPr>
          <w:u w:val="single"/>
        </w:rPr>
        <w:t xml:space="preserve"> the </w:t>
      </w:r>
      <w:r w:rsidRPr="00EC2015">
        <w:rPr>
          <w:highlight w:val="cyan"/>
          <w:u w:val="single"/>
        </w:rPr>
        <w:t>real advances these policies can make. It takes</w:t>
      </w:r>
      <w:r w:rsidRPr="00393012">
        <w:rPr>
          <w:u w:val="single"/>
        </w:rPr>
        <w:t xml:space="preserve"> quite a </w:t>
      </w:r>
      <w:r w:rsidRPr="00393012">
        <w:rPr>
          <w:rStyle w:val="Emphasis"/>
        </w:rPr>
        <w:t>privileged position</w:t>
      </w:r>
      <w:r w:rsidRPr="00393012">
        <w:rPr>
          <w:u w:val="single"/>
        </w:rPr>
        <w:t xml:space="preserve"> to </w:t>
      </w:r>
      <w:r w:rsidRPr="00393012">
        <w:rPr>
          <w:rStyle w:val="Emphasis"/>
        </w:rPr>
        <w:t xml:space="preserve">not </w:t>
      </w:r>
      <w:r w:rsidRPr="00EC2015">
        <w:rPr>
          <w:rStyle w:val="Emphasis"/>
          <w:highlight w:val="cyan"/>
        </w:rPr>
        <w:t>care</w:t>
      </w:r>
      <w:r w:rsidRPr="00EC2015">
        <w:rPr>
          <w:highlight w:val="cyan"/>
          <w:u w:val="single"/>
        </w:rPr>
        <w:t xml:space="preserve"> about </w:t>
      </w:r>
      <w:r w:rsidRPr="00EC2015">
        <w:rPr>
          <w:rStyle w:val="Emphasis"/>
          <w:highlight w:val="cyan"/>
        </w:rPr>
        <w:t>minimum wage</w:t>
      </w:r>
      <w:r w:rsidRPr="00393012">
        <w:rPr>
          <w:rStyle w:val="Emphasis"/>
        </w:rPr>
        <w:t xml:space="preserve"> regulations</w:t>
      </w:r>
      <w:r w:rsidRPr="00393012">
        <w:rPr>
          <w:u w:val="single"/>
        </w:rPr>
        <w:t xml:space="preserve">, </w:t>
      </w:r>
      <w:r w:rsidRPr="00EC2015">
        <w:rPr>
          <w:rStyle w:val="Emphasis"/>
          <w:highlight w:val="cyan"/>
        </w:rPr>
        <w:t>immigration</w:t>
      </w:r>
      <w:r w:rsidRPr="00393012">
        <w:rPr>
          <w:rStyle w:val="Emphasis"/>
        </w:rPr>
        <w:t xml:space="preserve"> laws</w:t>
      </w:r>
      <w:r w:rsidRPr="00393012">
        <w:rPr>
          <w:u w:val="single"/>
        </w:rPr>
        <w:t xml:space="preserve">, </w:t>
      </w:r>
      <w:r w:rsidRPr="00393012">
        <w:rPr>
          <w:rStyle w:val="Emphasis"/>
        </w:rPr>
        <w:t xml:space="preserve">changes to legal support or rulings on </w:t>
      </w:r>
      <w:r w:rsidRPr="00EC2015">
        <w:rPr>
          <w:rStyle w:val="Emphasis"/>
          <w:highlight w:val="cyan"/>
        </w:rPr>
        <w:t>abortion</w:t>
      </w:r>
      <w:r w:rsidRPr="00393012">
        <w:t xml:space="preserve">. At their best, </w:t>
      </w:r>
      <w:r w:rsidRPr="00EC2015">
        <w:rPr>
          <w:highlight w:val="cyan"/>
          <w:u w:val="single"/>
        </w:rPr>
        <w:t>electoral entities can act as a disruptive</w:t>
      </w:r>
      <w:r w:rsidRPr="00393012">
        <w:rPr>
          <w:u w:val="single"/>
        </w:rPr>
        <w:t xml:space="preserve"> force</w:t>
      </w:r>
      <w:r w:rsidRPr="00393012">
        <w:t xml:space="preserve"> (stalling, publicising controversies, articulating popular outrage), </w:t>
      </w:r>
      <w:r w:rsidRPr="00EC2015">
        <w:rPr>
          <w:highlight w:val="cyan"/>
          <w:u w:val="single"/>
        </w:rPr>
        <w:t>and</w:t>
      </w:r>
      <w:r w:rsidRPr="00393012">
        <w:rPr>
          <w:u w:val="single"/>
        </w:rPr>
        <w:t xml:space="preserve"> even</w:t>
      </w:r>
      <w:r w:rsidRPr="00393012">
        <w:t xml:space="preserve"> act as </w:t>
      </w:r>
      <w:r w:rsidRPr="00393012">
        <w:rPr>
          <w:u w:val="single"/>
        </w:rPr>
        <w:t xml:space="preserve">a </w:t>
      </w:r>
      <w:r w:rsidRPr="00EC2015">
        <w:rPr>
          <w:highlight w:val="cyan"/>
          <w:u w:val="single"/>
        </w:rPr>
        <w:t>progressive force</w:t>
      </w:r>
      <w:r w:rsidRPr="00393012">
        <w:t xml:space="preserve"> in some situations. This does not imply that social movements should simply be turned into the vote-mobilising wings of political parties. The relationship between parties and social movements should extend far beyond this, into a process of two-way communication. On the one hand, financial support can be given from the party to community initiatives, and various </w:t>
      </w:r>
      <w:r w:rsidRPr="00EC2015">
        <w:rPr>
          <w:highlight w:val="cyan"/>
          <w:u w:val="single"/>
        </w:rPr>
        <w:t>policies</w:t>
      </w:r>
      <w:r w:rsidRPr="00393012">
        <w:t xml:space="preserve"> – such as laws on public protest – </w:t>
      </w:r>
      <w:r w:rsidRPr="00EC2015">
        <w:rPr>
          <w:highlight w:val="cyan"/>
          <w:u w:val="single"/>
        </w:rPr>
        <w:t>can</w:t>
      </w:r>
      <w:r w:rsidRPr="00393012">
        <w:rPr>
          <w:u w:val="single"/>
        </w:rPr>
        <w:t xml:space="preserve"> be amended to </w:t>
      </w:r>
      <w:r w:rsidRPr="00EC2015">
        <w:rPr>
          <w:highlight w:val="cyan"/>
          <w:u w:val="single"/>
        </w:rPr>
        <w:t>facilitate</w:t>
      </w:r>
      <w:r w:rsidRPr="00393012">
        <w:rPr>
          <w:u w:val="single"/>
        </w:rPr>
        <w:t xml:space="preserve"> the activities of </w:t>
      </w:r>
      <w:r w:rsidRPr="00EC2015">
        <w:rPr>
          <w:highlight w:val="cyan"/>
          <w:u w:val="single"/>
        </w:rPr>
        <w:t>social movements</w:t>
      </w:r>
      <w:r w:rsidRPr="00393012">
        <w:t xml:space="preserve">. In Venezuela, for instance, the state supported the creation of neighbourhood communes as a way to embed socialism in everyday practices. 59 On the other hand, resources for new parties can be mobilised collectively – Podemos, for example, got started through crowd-funding € 150,000 – and the vitality of the party can be maintained through constant institutionalised negotiations between local movements, party members and central party structures. 60 Podemos, for instance, has aimed to build mechanisms for popular governance while also seeking a way into established institutions. 61 It is a multi-pronged approach to social change and offers greater potential for real transformation than either option on its own. 62 Meanwhile, Brazil’s Partido dos Trabalhadores has maintained openness to multiple groups (liberation theology groups, peasant movements) while still organising around an essentially union-based core. In the words of one researcher, ‘this combination of grassroots and vanguard constituted a Leninism that was not very Leninist’. 63 What all these experiences show, however, is the mass mobilisation of the people is necessary in order to transform the state into a meaningful tool of their interests, and to overcome the blunt division between the power of movements and the power of the state. </w:t>
      </w:r>
      <w:r w:rsidRPr="00393012">
        <w:rPr>
          <w:u w:val="single"/>
        </w:rPr>
        <w:t>The aim must be to avoid both ‘the tendency to fetishise the state</w:t>
      </w:r>
      <w:r w:rsidRPr="00393012">
        <w:t xml:space="preserve">, official power, and its institutions </w:t>
      </w:r>
      <w:r w:rsidRPr="00393012">
        <w:rPr>
          <w:u w:val="single"/>
        </w:rPr>
        <w:t>and the opposing tendency to fetishise antipower’</w:t>
      </w:r>
      <w:r w:rsidRPr="00393012">
        <w:t xml:space="preserve">. 64 </w:t>
      </w:r>
      <w:r w:rsidRPr="00393012">
        <w:rPr>
          <w:u w:val="single"/>
        </w:rPr>
        <w:t>In a context of widespread discontent with the political system, this remains possible</w:t>
      </w:r>
      <w:r w:rsidRPr="00393012">
        <w:t xml:space="preserve"> – though, again, the importance of having a discursive framework in place to channel this discontent is obvious. In the end, </w:t>
      </w:r>
      <w:r w:rsidRPr="00EC2015">
        <w:rPr>
          <w:highlight w:val="cyan"/>
          <w:u w:val="single"/>
        </w:rPr>
        <w:t>parties still hold</w:t>
      </w:r>
      <w:r w:rsidRPr="00393012">
        <w:rPr>
          <w:u w:val="single"/>
        </w:rPr>
        <w:t xml:space="preserve"> significant political </w:t>
      </w:r>
      <w:r w:rsidRPr="00EC2015">
        <w:rPr>
          <w:highlight w:val="cyan"/>
          <w:u w:val="single"/>
        </w:rPr>
        <w:t>power, and the struggle over their future should</w:t>
      </w:r>
      <w:r w:rsidRPr="00393012">
        <w:rPr>
          <w:u w:val="single"/>
        </w:rPr>
        <w:t xml:space="preserve"> certainly </w:t>
      </w:r>
      <w:r w:rsidRPr="00EC2015">
        <w:rPr>
          <w:highlight w:val="cyan"/>
          <w:u w:val="single"/>
        </w:rPr>
        <w:t>not be abandoned to reactionary forces</w:t>
      </w:r>
      <w:r w:rsidRPr="00393012">
        <w:t xml:space="preserve">. It should be clear how far away we now are from the folk-political fetishism of localism, horizontalism and direct democracy. An ecology of organisations does not deny that such organisational forms may have a role, but it rejects the idea that they are sufficient. </w:t>
      </w:r>
      <w:r w:rsidRPr="00393012">
        <w:rPr>
          <w:u w:val="single"/>
        </w:rPr>
        <w:t>This is</w:t>
      </w:r>
      <w:r w:rsidRPr="00393012">
        <w:t xml:space="preserve"> doubly </w:t>
      </w:r>
      <w:r w:rsidRPr="00393012">
        <w:rPr>
          <w:u w:val="single"/>
        </w:rPr>
        <w:t xml:space="preserve">true for a counter-hegemonic project that requires the toppling of neoliberal common sense. </w:t>
      </w:r>
      <w:r w:rsidRPr="00EC2015">
        <w:rPr>
          <w:highlight w:val="cyan"/>
          <w:u w:val="single"/>
        </w:rPr>
        <w:t>What we are calling for</w:t>
      </w:r>
      <w:r w:rsidRPr="00393012">
        <w:t xml:space="preserve">, therefore, </w:t>
      </w:r>
      <w:r w:rsidRPr="00EC2015">
        <w:rPr>
          <w:rStyle w:val="Emphasis"/>
          <w:highlight w:val="cyan"/>
        </w:rPr>
        <w:t>is</w:t>
      </w:r>
      <w:r w:rsidRPr="00393012">
        <w:t xml:space="preserve"> a </w:t>
      </w:r>
      <w:r w:rsidRPr="00393012">
        <w:rPr>
          <w:rStyle w:val="Emphasis"/>
        </w:rPr>
        <w:t xml:space="preserve">functional </w:t>
      </w:r>
      <w:r w:rsidRPr="00EC2015">
        <w:rPr>
          <w:rStyle w:val="Emphasis"/>
          <w:highlight w:val="cyan"/>
        </w:rPr>
        <w:t>complementarity</w:t>
      </w:r>
      <w:r w:rsidRPr="00393012">
        <w:rPr>
          <w:rStyle w:val="StyleUnderline"/>
        </w:rPr>
        <w:t xml:space="preserve"> between organisations</w:t>
      </w:r>
      <w:r w:rsidRPr="00393012">
        <w:t>, rather than the fetishising of specific organisations or organisational forms.</w:t>
      </w:r>
    </w:p>
    <w:p w14:paraId="233C6C87" w14:textId="77777777" w:rsidR="00212072" w:rsidRPr="00C85B6A" w:rsidRDefault="00212072" w:rsidP="00212072"/>
    <w:p w14:paraId="601C354F" w14:textId="77777777" w:rsidR="00212072" w:rsidRPr="00350AD7" w:rsidRDefault="00212072" w:rsidP="00212072"/>
    <w:p w14:paraId="3535EF5E" w14:textId="77777777" w:rsidR="00212072" w:rsidRDefault="00212072" w:rsidP="00212072"/>
    <w:p w14:paraId="712CB08D" w14:textId="77777777" w:rsidR="00212072" w:rsidRDefault="00212072" w:rsidP="00212072"/>
    <w:p w14:paraId="5A7E1565" w14:textId="77777777" w:rsidR="00212072" w:rsidRDefault="00212072"/>
    <w:sectPr w:rsidR="002120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361644A"/>
    <w:multiLevelType w:val="hybridMultilevel"/>
    <w:tmpl w:val="1BFE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434C75"/>
    <w:multiLevelType w:val="hybridMultilevel"/>
    <w:tmpl w:val="B47816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2854564">
    <w:abstractNumId w:val="15"/>
  </w:num>
  <w:num w:numId="16" w16cid:durableId="177126989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072"/>
    <w:rsid w:val="00212072"/>
    <w:rsid w:val="0035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45DA4"/>
  <w15:chartTrackingRefBased/>
  <w15:docId w15:val="{06E3B6F3-1A8A-4C55-B45A-F1C87FF79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207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120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20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20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21,ta,CD - Cite, Ch,t,Ta,Ca"/>
    <w:basedOn w:val="Normal"/>
    <w:next w:val="Normal"/>
    <w:link w:val="Heading4Char"/>
    <w:uiPriority w:val="3"/>
    <w:qFormat/>
    <w:rsid w:val="002120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207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12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20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2072"/>
  </w:style>
  <w:style w:type="character" w:customStyle="1" w:styleId="Heading1Char">
    <w:name w:val="Heading 1 Char"/>
    <w:aliases w:val="Pocket Char"/>
    <w:basedOn w:val="DefaultParagraphFont"/>
    <w:link w:val="Heading1"/>
    <w:rsid w:val="0021207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1207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2072"/>
    <w:rPr>
      <w:rFonts w:ascii="Calibri" w:eastAsiaTheme="majorEastAsia" w:hAnsi="Calibri" w:cstheme="majorBidi"/>
      <w:b/>
      <w:kern w:val="0"/>
      <w:sz w:val="32"/>
      <w:u w:val="single"/>
      <w14:ligatures w14:val="non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21207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1207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12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072"/>
    <w:rPr>
      <w:rFonts w:eastAsiaTheme="majorEastAsia" w:cstheme="majorBidi"/>
      <w:color w:val="272727" w:themeColor="text1" w:themeTint="D8"/>
    </w:rPr>
  </w:style>
  <w:style w:type="paragraph" w:styleId="Title">
    <w:name w:val="Title"/>
    <w:basedOn w:val="Normal"/>
    <w:next w:val="Normal"/>
    <w:link w:val="TitleChar"/>
    <w:uiPriority w:val="10"/>
    <w:qFormat/>
    <w:rsid w:val="00212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072"/>
    <w:pPr>
      <w:spacing w:before="160"/>
      <w:jc w:val="center"/>
    </w:pPr>
    <w:rPr>
      <w:i/>
      <w:iCs/>
      <w:color w:val="404040" w:themeColor="text1" w:themeTint="BF"/>
    </w:rPr>
  </w:style>
  <w:style w:type="character" w:customStyle="1" w:styleId="QuoteChar">
    <w:name w:val="Quote Char"/>
    <w:basedOn w:val="DefaultParagraphFont"/>
    <w:link w:val="Quote"/>
    <w:uiPriority w:val="29"/>
    <w:rsid w:val="00212072"/>
    <w:rPr>
      <w:i/>
      <w:iCs/>
      <w:color w:val="404040" w:themeColor="text1" w:themeTint="BF"/>
    </w:rPr>
  </w:style>
  <w:style w:type="paragraph" w:styleId="ListParagraph">
    <w:name w:val="List Paragraph"/>
    <w:basedOn w:val="Normal"/>
    <w:uiPriority w:val="34"/>
    <w:qFormat/>
    <w:rsid w:val="00212072"/>
    <w:pPr>
      <w:ind w:left="720"/>
      <w:contextualSpacing/>
    </w:pPr>
  </w:style>
  <w:style w:type="character" w:styleId="IntenseEmphasis">
    <w:name w:val="Intense Emphasis"/>
    <w:basedOn w:val="DefaultParagraphFont"/>
    <w:uiPriority w:val="21"/>
    <w:qFormat/>
    <w:rsid w:val="00212072"/>
    <w:rPr>
      <w:i/>
      <w:iCs/>
      <w:color w:val="0F4761" w:themeColor="accent1" w:themeShade="BF"/>
    </w:rPr>
  </w:style>
  <w:style w:type="paragraph" w:styleId="IntenseQuote">
    <w:name w:val="Intense Quote"/>
    <w:basedOn w:val="Normal"/>
    <w:next w:val="Normal"/>
    <w:link w:val="IntenseQuoteChar"/>
    <w:uiPriority w:val="30"/>
    <w:qFormat/>
    <w:rsid w:val="00212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072"/>
    <w:rPr>
      <w:i/>
      <w:iCs/>
      <w:color w:val="0F4761" w:themeColor="accent1" w:themeShade="BF"/>
    </w:rPr>
  </w:style>
  <w:style w:type="character" w:styleId="IntenseReference">
    <w:name w:val="Intense Reference"/>
    <w:basedOn w:val="DefaultParagraphFont"/>
    <w:uiPriority w:val="32"/>
    <w:qFormat/>
    <w:rsid w:val="00212072"/>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21207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1207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12072"/>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212072"/>
    <w:rPr>
      <w:b w:val="0"/>
      <w:sz w:val="22"/>
      <w:u w:val="single"/>
    </w:rPr>
  </w:style>
  <w:style w:type="character" w:styleId="Strong">
    <w:name w:val="Strong"/>
    <w:basedOn w:val="DefaultParagraphFont"/>
    <w:uiPriority w:val="22"/>
    <w:qFormat/>
    <w:rsid w:val="00212072"/>
    <w:rPr>
      <w:b/>
      <w:bCs/>
    </w:rPr>
  </w:style>
  <w:style w:type="character" w:styleId="BookTitle">
    <w:name w:val="Book Title"/>
    <w:basedOn w:val="DefaultParagraphFont"/>
    <w:uiPriority w:val="33"/>
    <w:qFormat/>
    <w:rsid w:val="00212072"/>
    <w:rPr>
      <w:b/>
      <w:bCs/>
      <w:i/>
      <w:iCs/>
      <w:spacing w:val="5"/>
    </w:rPr>
  </w:style>
  <w:style w:type="numbering" w:styleId="111111">
    <w:name w:val="Outline List 2"/>
    <w:basedOn w:val="NoList"/>
    <w:uiPriority w:val="99"/>
    <w:semiHidden/>
    <w:unhideWhenUsed/>
    <w:rsid w:val="00212072"/>
  </w:style>
  <w:style w:type="paragraph" w:styleId="Header">
    <w:name w:val="header"/>
    <w:basedOn w:val="Normal"/>
    <w:link w:val="HeaderChar"/>
    <w:uiPriority w:val="99"/>
    <w:semiHidden/>
    <w:rsid w:val="002120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2072"/>
    <w:rPr>
      <w:rFonts w:ascii="Calibri" w:hAnsi="Calibri" w:cs="Calibri"/>
      <w:kern w:val="0"/>
      <w:sz w:val="22"/>
      <w:szCs w:val="22"/>
      <w14:ligatures w14:val="none"/>
    </w:rPr>
  </w:style>
  <w:style w:type="paragraph" w:styleId="Footer">
    <w:name w:val="footer"/>
    <w:basedOn w:val="Normal"/>
    <w:link w:val="FooterChar"/>
    <w:uiPriority w:val="99"/>
    <w:semiHidden/>
    <w:rsid w:val="002120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207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12072"/>
    <w:pPr>
      <w:spacing w:after="120"/>
    </w:pPr>
  </w:style>
  <w:style w:type="character" w:customStyle="1" w:styleId="BodyTextChar">
    <w:name w:val="Body Text Char"/>
    <w:basedOn w:val="DefaultParagraphFont"/>
    <w:link w:val="BodyText"/>
    <w:uiPriority w:val="99"/>
    <w:semiHidden/>
    <w:rsid w:val="00212072"/>
    <w:rPr>
      <w:rFonts w:ascii="Calibri" w:hAnsi="Calibri" w:cs="Calibri"/>
      <w:kern w:val="0"/>
      <w:sz w:val="22"/>
      <w:szCs w:val="22"/>
      <w14:ligatures w14:val="none"/>
    </w:rPr>
  </w:style>
  <w:style w:type="paragraph" w:styleId="NoSpacing">
    <w:name w:val="No Spacing"/>
    <w:link w:val="NoSpacingChar"/>
    <w:uiPriority w:val="99"/>
    <w:unhideWhenUsed/>
    <w:qFormat/>
    <w:rsid w:val="0021207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12072"/>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212072"/>
    <w:rPr>
      <w:color w:val="467886" w:themeColor="hyperlink"/>
      <w:u w:val="single"/>
    </w:rPr>
  </w:style>
  <w:style w:type="character" w:styleId="UnresolvedMention">
    <w:name w:val="Unresolved Mention"/>
    <w:basedOn w:val="DefaultParagraphFont"/>
    <w:uiPriority w:val="99"/>
    <w:semiHidden/>
    <w:unhideWhenUsed/>
    <w:rsid w:val="0021207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12072"/>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Emphasis1">
    <w:name w:val="Emphasis1"/>
    <w:basedOn w:val="Normal"/>
    <w:link w:val="Emphasis"/>
    <w:autoRedefine/>
    <w:uiPriority w:val="8"/>
    <w:qFormat/>
    <w:rsid w:val="00212072"/>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212072"/>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212072"/>
    <w:pPr>
      <w:widowControl w:val="0"/>
      <w:pBdr>
        <w:top w:val="single" w:sz="8" w:space="0" w:color="auto"/>
        <w:left w:val="single" w:sz="8" w:space="0" w:color="auto"/>
        <w:bottom w:val="single" w:sz="8" w:space="0" w:color="auto"/>
        <w:right w:val="single" w:sz="8" w:space="0" w:color="auto"/>
      </w:pBdr>
      <w:spacing w:line="256" w:lineRule="auto"/>
      <w:ind w:left="720"/>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penn.edu/cgi/viewcontent.cgi?article=1299&amp;context=jlasc" TargetMode="External"/><Relationship Id="rId13" Type="http://schemas.openxmlformats.org/officeDocument/2006/relationships/hyperlink" Target="http://jces.ua.edu/category/jces-vol-5-no-1/" TargetMode="External"/><Relationship Id="rId3" Type="http://schemas.openxmlformats.org/officeDocument/2006/relationships/settings" Target="settings.xml"/><Relationship Id="rId7" Type="http://schemas.openxmlformats.org/officeDocument/2006/relationships/hyperlink" Target="https://scholarship.law.upenn.edu/cgi/viewcontent.cgi?article=1299&amp;context=jlasc" TargetMode="External"/><Relationship Id="rId12" Type="http://schemas.openxmlformats.org/officeDocument/2006/relationships/hyperlink" Target="https://www.dissentmagazine.org/online_articles/fighting-trump-right-wing-populism-vs-neoliberal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olarship.law.upenn.edu/cgi/viewcontent.cgi?article=1299&amp;context=jlasc" TargetMode="External"/><Relationship Id="rId11" Type="http://schemas.openxmlformats.org/officeDocument/2006/relationships/hyperlink" Target="https://scholarship.law.upenn.edu/cgi/viewcontent.cgi?article=1299&amp;context=jlasc" TargetMode="External"/><Relationship Id="rId5" Type="http://schemas.openxmlformats.org/officeDocument/2006/relationships/hyperlink" Target="https://scholarship.law.upenn.edu/cgi/viewcontent.cgi?article=1299&amp;context=jlasc" TargetMode="External"/><Relationship Id="rId15" Type="http://schemas.openxmlformats.org/officeDocument/2006/relationships/theme" Target="theme/theme1.xml"/><Relationship Id="rId10" Type="http://schemas.openxmlformats.org/officeDocument/2006/relationships/hyperlink" Target="https://scholarship.law.upenn.edu/cgi/viewcontent.cgi?article=1299&amp;context=jlasc" TargetMode="External"/><Relationship Id="rId4" Type="http://schemas.openxmlformats.org/officeDocument/2006/relationships/webSettings" Target="webSettings.xml"/><Relationship Id="rId9" Type="http://schemas.openxmlformats.org/officeDocument/2006/relationships/hyperlink" Target="https://scholarship.law.upenn.edu/cgi/viewcontent.cgi?article=1299&amp;context=jlasc"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15298</Words>
  <Characters>87205</Characters>
  <Application>Microsoft Office Word</Application>
  <DocSecurity>0</DocSecurity>
  <Lines>726</Lines>
  <Paragraphs>204</Paragraphs>
  <ScaleCrop>false</ScaleCrop>
  <Company/>
  <LinksUpToDate>false</LinksUpToDate>
  <CharactersWithSpaces>102299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Lawrence</dc:creator>
  <cp:keywords/>
  <dc:description/>
  <cp:lastModifiedBy>Jake Lawrence</cp:lastModifiedBy>
  <cp:revision>1</cp:revision>
  <dcterms:created xsi:type="dcterms:W3CDTF">2026-03-27T18:00:00Z</dcterms:created>
  <dcterms:modified xsi:type="dcterms:W3CDTF">2026-03-27T18:00:00Z</dcterms:modified>
</cp:coreProperties>
</file>