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CFC" w14:textId="77777777" w:rsidR="007F70D8" w:rsidRDefault="007F70D8" w:rsidP="007F70D8">
      <w:pPr>
        <w:pStyle w:val="Heading4"/>
        <w:rPr>
          <w:rStyle w:val="Style13ptBold"/>
          <w:b w:val="0"/>
          <w:bCs w:val="0"/>
        </w:rPr>
      </w:pPr>
      <w:r>
        <w:rPr>
          <w:rStyle w:val="Style13ptBold"/>
          <w:bCs w:val="0"/>
        </w:rPr>
        <w:t>Under settler colonialism – the terms of racial categorization are undergirded by a logic of disposability. This means that there is an a priori economy of genocidal violence that is prior to the economic economy that the affirmative adjusts through collective bargaining rights.</w:t>
      </w:r>
    </w:p>
    <w:p w14:paraId="615AFD76" w14:textId="77777777" w:rsidR="007F70D8" w:rsidRPr="00BF5236" w:rsidRDefault="007F70D8" w:rsidP="007F70D8"/>
    <w:p w14:paraId="7ABA72C0" w14:textId="77777777" w:rsidR="007F70D8" w:rsidRDefault="007F70D8" w:rsidP="007F70D8">
      <w:r w:rsidRPr="00BF5236">
        <w:rPr>
          <w:rStyle w:val="Style13ptBold"/>
        </w:rPr>
        <w:t>Scarritt 2024</w:t>
      </w:r>
      <w:r>
        <w:t xml:space="preserve"> [</w:t>
      </w:r>
      <w:r w:rsidRPr="0074712E">
        <w:t>Arthur. "Extractive labor: A lethal legacy of racialized colonial rule." Critical sociology 50, no. 1 (2024): 65-84.</w:t>
      </w:r>
      <w:r>
        <w:t>]</w:t>
      </w:r>
    </w:p>
    <w:p w14:paraId="5DD13C9D" w14:textId="77777777" w:rsidR="007F70D8" w:rsidRDefault="007F70D8" w:rsidP="007F70D8"/>
    <w:p w14:paraId="3F0F3F75" w14:textId="77777777" w:rsidR="007F70D8" w:rsidRDefault="007F70D8" w:rsidP="007F70D8">
      <w:r>
        <w:t xml:space="preserve">In contrast to the productive logic of class struggle wherein workers have some leverage because capitalists depend on their labor, the arbitrariness of death in eliminatory logics further enhances elite power as it undermines workers. In Peru, death largely struck indiscriminately and unrelated to productivity, with workers unable to negotiate with elites based on some shared dependence on the means of labor procurement. </w:t>
      </w:r>
      <w:r w:rsidRPr="00BF5236">
        <w:rPr>
          <w:b/>
          <w:bCs/>
          <w:highlight w:val="cyan"/>
          <w:u w:val="single"/>
        </w:rPr>
        <w:t>In North America, elite rule depended upon non-elite settlers’ employment of random vigilante violence.</w:t>
      </w:r>
      <w:r>
        <w:t xml:space="preserve"> Indeed, </w:t>
      </w:r>
      <w:r w:rsidRPr="00BF5236">
        <w:rPr>
          <w:b/>
          <w:bCs/>
          <w:highlight w:val="cyan"/>
          <w:u w:val="single"/>
        </w:rPr>
        <w:t>these were major terms in the racial contract</w:t>
      </w:r>
      <w:r>
        <w:t xml:space="preserve"> (Mills, 1997), non-elite settlers unleashing violence </w:t>
      </w:r>
      <w:proofErr w:type="gramStart"/>
      <w:r>
        <w:t>as a way to</w:t>
      </w:r>
      <w:proofErr w:type="gramEnd"/>
      <w:r>
        <w:t xml:space="preserve"> stay in elites’ good graces and not slip back into the disposable labor category. That is, the whimsical nature of violence and death further set the elite apart as operating according to an esoteric logic rendered incomprehensible in the everyday lives of the racialized—while keeping racialized labor in a constant state of fear. Herein, understanding racialization as a settler versus native dichotomy makes little sense, as it cannot conceive of settler inequality growing in relation to racial inequality. In this, conceiving of settler class relations as about ‘discontinuing unequal relationships’ or as the working-class fighting for a greater redistribution of booty are equally misleading. Rather, it is a much more complex process wherein elites strategically provide specific racialized resources with the aim of making non-elite actions perpetuate elite domination. In late 16th-century Peru, these were the civilizing resources of concentrating native populations in towns. In late 17th-century British North America, these were a host of policies and jobs that crafted racialized Others as the lethal culprit of non-elite colonialists’ lowly status. Particularly as shown in the British case, </w:t>
      </w:r>
      <w:r w:rsidRPr="00BF5236">
        <w:rPr>
          <w:b/>
          <w:bCs/>
          <w:highlight w:val="cyan"/>
          <w:u w:val="single"/>
        </w:rPr>
        <w:t>racialization therein works to further inequality both within colonials and between colonials and the colonized. Furthermore, by creating this mark of meanness that draws boundaries between non-elites, racialization consolidates the terms through which extractive labor regimes can be perpetuated.</w:t>
      </w:r>
      <w:r>
        <w:t xml:space="preserve"> And this inevitably involves increases in violence and lethality, a continuous upping of the means through which racialized extractive labor regimes enhance elite domination. This helps make racial sense of the observation about today’s society that ‘the chance to be exploited in a long-term job is now experienced as a privilege’ (Žižek, 2012: 9). </w:t>
      </w:r>
      <w:r w:rsidRPr="00BF5236">
        <w:rPr>
          <w:b/>
          <w:bCs/>
          <w:highlight w:val="cyan"/>
          <w:u w:val="single"/>
        </w:rPr>
        <w:t>Racial privileges are not resources for upward mobility but are a ‘consolation prize’ for fighting off slippage back into the disposable labor category</w:t>
      </w:r>
      <w:r>
        <w:t xml:space="preserve"> (Harris, 1993: 1758; cf. </w:t>
      </w:r>
      <w:proofErr w:type="spellStart"/>
      <w:r>
        <w:t>HoSang</w:t>
      </w:r>
      <w:proofErr w:type="spellEnd"/>
      <w:r>
        <w:t xml:space="preserve"> and Lowndes, 2019). Thus, exploitation and extermination intertwine, even for non-elite members of the dominant racial group.</w:t>
      </w:r>
    </w:p>
    <w:p w14:paraId="47023EF9" w14:textId="77777777" w:rsidR="007F70D8" w:rsidRDefault="007F70D8" w:rsidP="007F70D8"/>
    <w:p w14:paraId="3C36BDA2" w14:textId="77777777" w:rsidR="007F70D8" w:rsidRDefault="007F70D8" w:rsidP="007F70D8"/>
    <w:p w14:paraId="1B15CE44" w14:textId="77777777" w:rsidR="007F70D8" w:rsidRDefault="007F70D8" w:rsidP="007F70D8"/>
    <w:p w14:paraId="2E96B516" w14:textId="77777777" w:rsidR="007F70D8" w:rsidRDefault="007F70D8" w:rsidP="007F70D8">
      <w:pPr>
        <w:pStyle w:val="Heading4"/>
      </w:pPr>
      <w:r>
        <w:t xml:space="preserve">And the political ground of settler contract advocacy is a violent incorporation for Indigenous life. </w:t>
      </w:r>
    </w:p>
    <w:p w14:paraId="66ADD12D" w14:textId="77777777" w:rsidR="007F70D8" w:rsidRPr="00BF5236" w:rsidRDefault="007F70D8" w:rsidP="007F70D8"/>
    <w:p w14:paraId="353E906D" w14:textId="77777777" w:rsidR="007F70D8" w:rsidRPr="0074712E" w:rsidRDefault="007F70D8" w:rsidP="007F70D8">
      <w:r w:rsidRPr="0074712E">
        <w:lastRenderedPageBreak/>
        <w:t xml:space="preserve">Geoff </w:t>
      </w:r>
      <w:r w:rsidRPr="00BF5236">
        <w:rPr>
          <w:rStyle w:val="Style13ptBold"/>
        </w:rPr>
        <w:t xml:space="preserve">Mann </w:t>
      </w:r>
      <w:proofErr w:type="gramStart"/>
      <w:r w:rsidRPr="00BF5236">
        <w:rPr>
          <w:rStyle w:val="Style13ptBold"/>
        </w:rPr>
        <w:t>2020</w:t>
      </w:r>
      <w:r>
        <w:t xml:space="preserve"> </w:t>
      </w:r>
      <w:r w:rsidRPr="0074712E">
        <w:t xml:space="preserve"> Settler</w:t>
      </w:r>
      <w:proofErr w:type="gramEnd"/>
      <w:r w:rsidRPr="0074712E">
        <w:rPr>
          <w:rFonts w:ascii="Cambria Math" w:hAnsi="Cambria Math" w:cs="Cambria Math"/>
        </w:rPr>
        <w:t>‐</w:t>
      </w:r>
      <w:r w:rsidRPr="0074712E">
        <w:t>colonialism’s anti</w:t>
      </w:r>
      <w:r w:rsidRPr="0074712E">
        <w:rPr>
          <w:rFonts w:ascii="Cambria Math" w:hAnsi="Cambria Math" w:cs="Cambria Math"/>
        </w:rPr>
        <w:t>‐</w:t>
      </w:r>
      <w:r w:rsidRPr="0074712E">
        <w:t xml:space="preserve">social contract The Wiley Invited Lecture at the 2019 annual meeting of the Canadian Association of Geographers. Canadian Geographies / </w:t>
      </w:r>
      <w:proofErr w:type="spellStart"/>
      <w:r w:rsidRPr="0074712E">
        <w:t>Géographies</w:t>
      </w:r>
      <w:proofErr w:type="spellEnd"/>
      <w:r w:rsidRPr="0074712E">
        <w:t xml:space="preserve"> Canadiennes, 64, 433–444. https://doi-org.libproxy.unm.edu/10.1111/cag.12645</w:t>
      </w:r>
    </w:p>
    <w:p w14:paraId="3C3780B6" w14:textId="77777777" w:rsidR="007F70D8" w:rsidRDefault="007F70D8" w:rsidP="007F70D8"/>
    <w:p w14:paraId="38519B29" w14:textId="77777777" w:rsidR="007F70D8" w:rsidRDefault="007F70D8" w:rsidP="007F70D8">
      <w:r w:rsidRPr="00BF5236">
        <w:rPr>
          <w:b/>
          <w:bCs/>
          <w:highlight w:val="cyan"/>
          <w:u w:val="single"/>
        </w:rPr>
        <w:t>The problem for the settler</w:t>
      </w:r>
      <w:r>
        <w:t xml:space="preserve">, of course, </w:t>
      </w:r>
      <w:r w:rsidRPr="00BF5236">
        <w:rPr>
          <w:b/>
          <w:bCs/>
          <w:highlight w:val="cyan"/>
          <w:u w:val="single"/>
        </w:rPr>
        <w:t>is that contractual agreement—the very basis and limit of liberal institutions’ powers, i.e., “all we can do”— has justifiably uncertain purchase in Indigenous</w:t>
      </w:r>
      <w:r w:rsidRPr="00BF5236">
        <w:rPr>
          <w:rFonts w:ascii="Cambria Math" w:hAnsi="Cambria Math" w:cs="Cambria Math"/>
          <w:b/>
          <w:bCs/>
          <w:highlight w:val="cyan"/>
          <w:u w:val="single"/>
        </w:rPr>
        <w:t>‐</w:t>
      </w:r>
      <w:r w:rsidRPr="00BF5236">
        <w:rPr>
          <w:b/>
          <w:bCs/>
          <w:highlight w:val="cyan"/>
          <w:u w:val="single"/>
        </w:rPr>
        <w:t xml:space="preserve"> settler relations, for at least two reasons. First, because the “static,” </w:t>
      </w:r>
      <w:proofErr w:type="spellStart"/>
      <w:r w:rsidRPr="00BF5236">
        <w:rPr>
          <w:b/>
          <w:bCs/>
          <w:highlight w:val="cyan"/>
          <w:u w:val="single"/>
        </w:rPr>
        <w:t>dehistoricized</w:t>
      </w:r>
      <w:proofErr w:type="spellEnd"/>
      <w:r w:rsidRPr="00BF5236">
        <w:rPr>
          <w:b/>
          <w:bCs/>
          <w:highlight w:val="cyan"/>
          <w:u w:val="single"/>
        </w:rPr>
        <w:t xml:space="preserve"> relations of contract are foreign to Indigenous political economic orders</w:t>
      </w:r>
      <w:r>
        <w:t xml:space="preserve">. The eminent </w:t>
      </w:r>
      <w:proofErr w:type="spellStart"/>
      <w:r>
        <w:t>Anishinabe</w:t>
      </w:r>
      <w:proofErr w:type="spellEnd"/>
      <w:r>
        <w:t xml:space="preserve"> legal scholar John Borrows (quoted in Borrows and Rotman 1998, 112) tells how in those orders, “[r]</w:t>
      </w:r>
      <w:proofErr w:type="spellStart"/>
      <w:r>
        <w:t>enewal</w:t>
      </w:r>
      <w:proofErr w:type="spellEnd"/>
      <w:r>
        <w:t xml:space="preserve"> and re</w:t>
      </w:r>
      <w:r>
        <w:rPr>
          <w:rFonts w:ascii="Cambria Math" w:hAnsi="Cambria Math" w:cs="Cambria Math"/>
        </w:rPr>
        <w:t>‐</w:t>
      </w:r>
      <w:r>
        <w:t xml:space="preserve">interpretation were practiced </w:t>
      </w:r>
      <w:proofErr w:type="gramStart"/>
      <w:r>
        <w:t>to bring</w:t>
      </w:r>
      <w:proofErr w:type="gramEnd"/>
      <w:r>
        <w:t xml:space="preserve"> past agreements into harmony with changing circumstances …. The idea of the principles of a treaty being ‘frozen’ through terms written on paper was an alien concept.”3 Treaty on these grounds is a process, not an event. As Cliff Atleo put it, reflecting on the chasm between liberal contract and Indigenous conceptions of treaty like the “great belt” wampum of the Covenant</w:t>
      </w:r>
      <w:r>
        <w:rPr>
          <w:rFonts w:ascii="Cambria Math" w:hAnsi="Cambria Math" w:cs="Cambria Math"/>
        </w:rPr>
        <w:t>‐</w:t>
      </w:r>
      <w:r>
        <w:t xml:space="preserve">Chain, it is as if Indigenous peoples understood treaty as a marriage, while the colonists treated it as a divorce (Atleo 2019). </w:t>
      </w:r>
      <w:r w:rsidRPr="00BF5236">
        <w:rPr>
          <w:b/>
          <w:bCs/>
          <w:highlight w:val="cyan"/>
          <w:u w:val="single"/>
        </w:rPr>
        <w:t>Second, even if we “paper over the very conditions of force and violence that beget ‘consent’”</w:t>
      </w:r>
      <w:r>
        <w:t xml:space="preserve"> (A. Simpson 2017, 21), </w:t>
      </w:r>
      <w:r w:rsidRPr="00BF5236">
        <w:rPr>
          <w:b/>
          <w:bCs/>
          <w:highlight w:val="cyan"/>
          <w:u w:val="single"/>
        </w:rPr>
        <w:t xml:space="preserve">many of the consequences for Indigenous peoples of </w:t>
      </w:r>
      <w:proofErr w:type="gramStart"/>
      <w:r w:rsidRPr="00BF5236">
        <w:rPr>
          <w:b/>
          <w:bCs/>
          <w:highlight w:val="cyan"/>
          <w:u w:val="single"/>
        </w:rPr>
        <w:t>entering into</w:t>
      </w:r>
      <w:proofErr w:type="gramEnd"/>
      <w:r w:rsidRPr="00BF5236">
        <w:rPr>
          <w:b/>
          <w:bCs/>
          <w:highlight w:val="cyan"/>
          <w:u w:val="single"/>
        </w:rPr>
        <w:t xml:space="preserve"> contract with the colonial and settler</w:t>
      </w:r>
      <w:r w:rsidRPr="00BF5236">
        <w:rPr>
          <w:rFonts w:ascii="Cambria Math" w:hAnsi="Cambria Math" w:cs="Cambria Math"/>
          <w:b/>
          <w:bCs/>
          <w:highlight w:val="cyan"/>
          <w:u w:val="single"/>
        </w:rPr>
        <w:t>‐</w:t>
      </w:r>
      <w:r w:rsidRPr="00BF5236">
        <w:rPr>
          <w:b/>
          <w:bCs/>
          <w:highlight w:val="cyan"/>
          <w:u w:val="single"/>
        </w:rPr>
        <w:t>colonial states</w:t>
      </w:r>
      <w:r>
        <w:t xml:space="preserve">, via treaty and other forms, </w:t>
      </w:r>
      <w:r w:rsidRPr="00BF5236">
        <w:rPr>
          <w:b/>
          <w:bCs/>
          <w:highlight w:val="cyan"/>
          <w:u w:val="single"/>
        </w:rPr>
        <w:t>are indefensible</w:t>
      </w:r>
      <w:r>
        <w:t xml:space="preserve">. Virtually all the European “divorce” treaties, even the most recent ones, seem as </w:t>
      </w:r>
      <w:proofErr w:type="gramStart"/>
      <w:r>
        <w:t>much</w:t>
      </w:r>
      <w:proofErr w:type="gramEnd"/>
      <w:r>
        <w:t xml:space="preserve"> constraints on as instruments of Indigenous prosperity, autonomy, and assertion. A “land grab” was made possible by the state’s entirely non</w:t>
      </w:r>
      <w:r>
        <w:rPr>
          <w:rFonts w:ascii="Cambria Math" w:hAnsi="Cambria Math" w:cs="Cambria Math"/>
        </w:rPr>
        <w:t>‐</w:t>
      </w:r>
      <w:r>
        <w:t>metaphorical interpretive violence in what A. Simpson (2017, 28) calls “the move from the model of relationship to contract.” While the legal and political landscape of treaty rights and title varies enormously, and Indigenous peoples have occasionally been able to use these institutions to operationalize their claims, it nonetheless can sometimes seem like the most advantageous position an Indigenous nation can hold relative to the Canadian settler state is never to have signed a treaty at all. This concatenation of injustice—even, it must be said, on the thin procedural terms of liberal colonialism—has produced a conjuncture in which, at least according to some, much of what the settler</w:t>
      </w:r>
      <w:r>
        <w:rPr>
          <w:rFonts w:ascii="Cambria Math" w:hAnsi="Cambria Math" w:cs="Cambria Math"/>
        </w:rPr>
        <w:t>‐</w:t>
      </w:r>
      <w:r>
        <w:t>colonial social formation regards as given, common sense, even unquestionable, does not and cannot impinge upon Indigenous political discourse and practice. Or, rather, it impinges only insofar as it is refused. Its truths are evidently not true, its common senses are evidently not common, and its givens are not given but demanded. A. Simpson (2017, 26, 20) associates this with “the presumptive falsity of recognition via contractual thinking”: “[</w:t>
      </w:r>
      <w:proofErr w:type="spellStart"/>
      <w:r>
        <w:t>i</w:t>
      </w:r>
      <w:proofErr w:type="spellEnd"/>
      <w:r>
        <w:t>]n such political configurations, there are no further matters to be discussed. Time starts anew; the matter is done.”</w:t>
      </w:r>
    </w:p>
    <w:p w14:paraId="2DBA53F4" w14:textId="77777777" w:rsidR="007F70D8" w:rsidRDefault="007F70D8" w:rsidP="007F70D8"/>
    <w:p w14:paraId="60338C3C" w14:textId="77777777" w:rsidR="007F70D8" w:rsidRPr="00015112" w:rsidRDefault="007F70D8" w:rsidP="007F70D8">
      <w:pPr>
        <w:pStyle w:val="Heading4"/>
        <w:rPr>
          <w:rFonts w:cs="Times New Roman"/>
        </w:rPr>
      </w:pPr>
      <w:r w:rsidRPr="00015112">
        <w:rPr>
          <w:rFonts w:cs="Times New Roman"/>
        </w:rPr>
        <w:t>Coloniality naturalizes a non-ethics of death and generalizes the condition of damnation – ongoing genocide, enslavement, ecological destruction and unending war is produced by and reproduces colonial epistemologies.</w:t>
      </w:r>
    </w:p>
    <w:p w14:paraId="3497B669" w14:textId="77777777" w:rsidR="007F70D8" w:rsidRPr="00015112" w:rsidRDefault="007F70D8" w:rsidP="007F70D8">
      <w:r w:rsidRPr="00015112">
        <w:rPr>
          <w:rStyle w:val="Style13ptBold"/>
          <w:rFonts w:eastAsiaTheme="majorEastAsia"/>
        </w:rPr>
        <w:t>Maldonado-Torres 8</w:t>
      </w:r>
      <w:r w:rsidRPr="00015112">
        <w:t xml:space="preserve"> </w:t>
      </w:r>
      <w:r w:rsidRPr="00015112">
        <w:rPr>
          <w:sz w:val="12"/>
          <w:szCs w:val="12"/>
        </w:rPr>
        <w:t xml:space="preserve">[Nelson, “Against </w:t>
      </w:r>
      <w:proofErr w:type="gramStart"/>
      <w:r w:rsidRPr="00015112">
        <w:rPr>
          <w:sz w:val="12"/>
          <w:szCs w:val="12"/>
        </w:rPr>
        <w:t>War :</w:t>
      </w:r>
      <w:proofErr w:type="gramEnd"/>
      <w:r w:rsidRPr="00015112">
        <w:rPr>
          <w:sz w:val="12"/>
          <w:szCs w:val="12"/>
        </w:rPr>
        <w:t xml:space="preserve"> Views from the Underside of </w:t>
      </w:r>
      <w:proofErr w:type="gramStart"/>
      <w:r w:rsidRPr="00015112">
        <w:rPr>
          <w:sz w:val="12"/>
          <w:szCs w:val="12"/>
        </w:rPr>
        <w:t>Modernity”¶</w:t>
      </w:r>
      <w:proofErr w:type="gramEnd"/>
      <w:r w:rsidRPr="00015112">
        <w:rPr>
          <w:sz w:val="12"/>
          <w:szCs w:val="12"/>
        </w:rPr>
        <w:t xml:space="preserve"> Durham, NC, USA: Duke University Press, 2008. p 215-217¶ http://site.ebrary.com/lib/utexas/Doc?id=10217191&amp;ppg=52]</w:t>
      </w:r>
    </w:p>
    <w:p w14:paraId="3B3DA11A" w14:textId="77777777" w:rsidR="007F70D8" w:rsidRPr="00BF5236" w:rsidRDefault="007F70D8" w:rsidP="007F70D8">
      <w:pPr>
        <w:rPr>
          <w:sz w:val="16"/>
          <w:szCs w:val="16"/>
        </w:rPr>
      </w:pPr>
      <w:r w:rsidRPr="00015112">
        <w:rPr>
          <w:sz w:val="10"/>
          <w:szCs w:val="10"/>
        </w:rPr>
        <w:t xml:space="preserve">Dussel, Quijano, and Wynter lead us to the understanding that what happened in the Americas was a transformation and naturalization of the non-ethics of war— which represented a sort of exception to the ethics that regulate normal conduct in Christian countries— into a more stable and long-standing reality of damnation, and that this epistemic and material shift occurred in the colony. </w:t>
      </w:r>
      <w:r w:rsidRPr="00015112">
        <w:rPr>
          <w:rStyle w:val="StyleUnderline"/>
          <w:rFonts w:eastAsiaTheme="majorEastAsia"/>
        </w:rPr>
        <w:t>Damnation, life in hell, is colonialism: a reality characterized by the naturalization of war</w:t>
      </w:r>
      <w:r w:rsidRPr="00015112">
        <w:rPr>
          <w:sz w:val="10"/>
          <w:szCs w:val="10"/>
        </w:rPr>
        <w:t xml:space="preserve"> by means of the naturalization of slavery, now justified in relation to the very constitution of people and no longer solely or principally to their faith or belief. </w:t>
      </w:r>
      <w:r w:rsidRPr="00015112">
        <w:rPr>
          <w:rStyle w:val="StyleUnderline"/>
          <w:rFonts w:eastAsiaTheme="majorEastAsia"/>
        </w:rPr>
        <w:t xml:space="preserve">That human beings become slaves when they are vanquished in a war translates in the Americas into the suspicion that the conquered people, and then non-European peoples in general, are constitutively inferior </w:t>
      </w:r>
      <w:r w:rsidRPr="00015112">
        <w:rPr>
          <w:sz w:val="10"/>
          <w:szCs w:val="10"/>
        </w:rPr>
        <w:t xml:space="preserve">and that therefore they should assume a position of slavery and serfdom. </w:t>
      </w:r>
      <w:proofErr w:type="gramStart"/>
      <w:r w:rsidRPr="00015112">
        <w:rPr>
          <w:sz w:val="10"/>
          <w:szCs w:val="10"/>
        </w:rPr>
        <w:t>Later on</w:t>
      </w:r>
      <w:proofErr w:type="gramEnd"/>
      <w:r w:rsidRPr="00015112">
        <w:rPr>
          <w:sz w:val="10"/>
          <w:szCs w:val="10"/>
        </w:rPr>
        <w:t xml:space="preserve">, this idea would be solidified with respect to the slavery of African </w:t>
      </w:r>
      <w:r w:rsidRPr="00015112">
        <w:rPr>
          <w:sz w:val="10"/>
          <w:szCs w:val="10"/>
        </w:rPr>
        <w:lastRenderedPageBreak/>
        <w:t>peoples, achieving stability up to the present with the tragic reality of different forms of racism. Through this process, what looked like a “state of exception” in the colonies became the rule in the modern world. However, deviating from Giorgio Agamben’s diagnosis, one must say that the colony— long before the concentration camp and the Nazi politics of extermination— served as the testing ground for the limits and possibilities of modernity, thereby revealing its darkest secrets.61 It is race, the coloniality of power, and its concomitant Eurocentrism (and</w:t>
      </w:r>
      <w:r w:rsidRPr="00015112">
        <w:rPr>
          <w:sz w:val="12"/>
          <w:szCs w:val="12"/>
        </w:rPr>
        <w:t>¶</w:t>
      </w:r>
      <w:r w:rsidRPr="00015112">
        <w:rPr>
          <w:sz w:val="10"/>
          <w:szCs w:val="10"/>
        </w:rPr>
        <w:t xml:space="preserve"> not only national socialisms or expressed forms of fascism) that allow the “state of exception” to continue to define ordinary relations in this, our so-called postmodern world. Race emerges within a permanent state of exception where forms of behavior that are legitimate in war become a natural part of the ordinary way of life. In that world, an otherwise extraordinary affair becomes the norm and living in it requires extraordinary effort.62 In the racial/ colonial world, the </w:t>
      </w:r>
      <w:r w:rsidRPr="00015112">
        <w:rPr>
          <w:rStyle w:val="StyleUnderline"/>
          <w:rFonts w:eastAsiaTheme="majorEastAsia"/>
        </w:rPr>
        <w:t>“hell” of war becomes a condition that defines the reality</w:t>
      </w:r>
      <w:r w:rsidRPr="00015112">
        <w:rPr>
          <w:sz w:val="10"/>
          <w:szCs w:val="10"/>
        </w:rPr>
        <w:t xml:space="preserve"> of racialized selves, which Fanon referred to as the </w:t>
      </w:r>
      <w:proofErr w:type="spellStart"/>
      <w:r w:rsidRPr="00015112">
        <w:rPr>
          <w:sz w:val="10"/>
          <w:szCs w:val="10"/>
        </w:rPr>
        <w:t>damnés</w:t>
      </w:r>
      <w:proofErr w:type="spellEnd"/>
      <w:r w:rsidRPr="00015112">
        <w:rPr>
          <w:sz w:val="10"/>
          <w:szCs w:val="10"/>
        </w:rPr>
        <w:t xml:space="preserve"> de la terre (condemned of the earth). The </w:t>
      </w:r>
      <w:proofErr w:type="spellStart"/>
      <w:r w:rsidRPr="00015112">
        <w:rPr>
          <w:sz w:val="10"/>
          <w:szCs w:val="10"/>
        </w:rPr>
        <w:t>damné</w:t>
      </w:r>
      <w:proofErr w:type="spellEnd"/>
      <w:r w:rsidRPr="00015112">
        <w:rPr>
          <w:sz w:val="10"/>
          <w:szCs w:val="10"/>
        </w:rPr>
        <w:t xml:space="preserve"> (condemned) is a subject who exists in a permanent “hell,” and as such, this figure serves as the main referent or liminal other 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 The racialized subject is ultimately a dispensable source of value, and exploitation is conceived in this context as due torture, and not solely as the extraction of surplus value. Moreover, it is this very same conception that gives rise to the </w:t>
      </w:r>
      <w:proofErr w:type="gramStart"/>
      <w:r w:rsidRPr="00015112">
        <w:rPr>
          <w:sz w:val="10"/>
          <w:szCs w:val="10"/>
        </w:rPr>
        <w:t>particular erotic</w:t>
      </w:r>
      <w:proofErr w:type="gramEnd"/>
      <w:r w:rsidRPr="00015112">
        <w:rPr>
          <w:sz w:val="10"/>
          <w:szCs w:val="10"/>
        </w:rPr>
        <w:t xml:space="preserve"> dynamics that characterize the relation between the master and its slaves or racialized workers. The condemned, in short, inhabit a context in which the confrontation with death and murder is ordinary. Their “hell” is not simply “other people,” as Sartre would have put it— at least at one point— but rather racist perceptions that are responsible for the suspension of ethical behavior toward peoples at the bottom of the color line. Through racial </w:t>
      </w:r>
      <w:r w:rsidRPr="00015112">
        <w:rPr>
          <w:rStyle w:val="StyleUnderline"/>
          <w:rFonts w:eastAsiaTheme="majorEastAsia"/>
        </w:rPr>
        <w:t>conceptions that became central to the modern self, modernity and coloniality produced a permanent state of war that racialized and colonized subjects cannot evade or escape.</w:t>
      </w:r>
      <w:r w:rsidRPr="00015112">
        <w:rPr>
          <w:sz w:val="10"/>
          <w:szCs w:val="10"/>
        </w:rPr>
        <w:t xml:space="preserve"> The modern function of race and the coloniality of power, I am suggesting here, can be understood as a radicalization and naturalization of the non-ethics of war in colonialism.63 This non-ethics included the practices of eliminating and enslaving certain subjects— for example, indigenous and black— as part of the enterprise of colonization. From here one could as well refer to them as the death ethics of war. War, however, is not only about killing or enslaving; it also includes a particular treatment of sexuality and femininity: rape. Coloniality is an order of things that places people of color within the murderous and rapist view of a vigilant ego, and the primary targets of this rape are women. But men of color are also seen through these lenses and feminized, to become fundamentally penetrable subjects for the ego </w:t>
      </w:r>
      <w:proofErr w:type="spellStart"/>
      <w:r w:rsidRPr="00015112">
        <w:rPr>
          <w:sz w:val="10"/>
          <w:szCs w:val="10"/>
        </w:rPr>
        <w:t>conquiro</w:t>
      </w:r>
      <w:proofErr w:type="spellEnd"/>
      <w:r w:rsidRPr="00015112">
        <w:rPr>
          <w:sz w:val="10"/>
          <w:szCs w:val="10"/>
        </w:rPr>
        <w:t xml:space="preserve">. Racialization functions through gender and sex, and the ego </w:t>
      </w:r>
      <w:proofErr w:type="spellStart"/>
      <w:r w:rsidRPr="00015112">
        <w:rPr>
          <w:sz w:val="10"/>
          <w:szCs w:val="10"/>
        </w:rPr>
        <w:t>conquiro</w:t>
      </w:r>
      <w:proofErr w:type="spellEnd"/>
      <w:r w:rsidRPr="00015112">
        <w:rPr>
          <w:sz w:val="10"/>
          <w:szCs w:val="10"/>
        </w:rPr>
        <w:t xml:space="preserve"> is thereby constitutively a phallic ego as well.64 Dussel, who presents this thesis of the phallic character of the ego cogito, also makes links, albeit indirectly, with the reality of war. And thus, in the beginning of modernity, before Descartes discovered . . . a terrifying anthropological dualism in Europe, the Spanish conquistadors arrived in America. The phallic conception of the European-medieval world is now added to the forms of submission of the vanquished Indians. “Males,” Bartolomé de las Casas writes, are reduced through “the hardest, most horrible, and harshest serfdom”; but this only occurs with those who have remained alive, because many of them have died; however, “in war typically they only leave alive young men (mozos) and women.”65 The </w:t>
      </w:r>
      <w:r w:rsidRPr="00BF5236">
        <w:rPr>
          <w:rStyle w:val="StyleUnderline"/>
          <w:rFonts w:eastAsiaTheme="majorEastAsia"/>
          <w:b/>
          <w:bCs/>
          <w:highlight w:val="cyan"/>
        </w:rPr>
        <w:t>indigenous people who survive the massacre or are left alive have to contend with a world that considers them to be dispensable.</w:t>
      </w:r>
      <w:r w:rsidRPr="00BF5236">
        <w:rPr>
          <w:b/>
          <w:bCs/>
          <w:sz w:val="10"/>
          <w:szCs w:val="10"/>
          <w:highlight w:val="cyan"/>
          <w:u w:val="single"/>
        </w:rPr>
        <w:t xml:space="preserve"> And </w:t>
      </w:r>
      <w:r w:rsidRPr="00BF5236">
        <w:rPr>
          <w:rStyle w:val="StyleUnderline"/>
          <w:rFonts w:eastAsiaTheme="majorEastAsia"/>
          <w:b/>
          <w:bCs/>
          <w:highlight w:val="cyan"/>
        </w:rPr>
        <w:t>since their bodies have been conceived of as inherently inferior or violent, they must be constantly subdued or civilized, which requires renewed acts of conquest and colonization</w:t>
      </w:r>
      <w:r w:rsidRPr="00015112">
        <w:rPr>
          <w:sz w:val="10"/>
          <w:szCs w:val="10"/>
        </w:rPr>
        <w:t xml:space="preserve">. The survivors continue to live in a world defined by war, and this situation is peculiar in the case of women. As T. Denean Sharpley-Whiting and Renée T. White put it in the preface to their anthology Spoils of War: Women of Color, Cultures, and Revolutions: A sexist and/or racist patriarchal culture and order posts and attempts to maintain, through violent acts of </w:t>
      </w:r>
      <w:proofErr w:type="gramStart"/>
      <w:r w:rsidRPr="00015112">
        <w:rPr>
          <w:sz w:val="10"/>
          <w:szCs w:val="10"/>
        </w:rPr>
        <w:t>force</w:t>
      </w:r>
      <w:proofErr w:type="gramEnd"/>
      <w:r w:rsidRPr="00015112">
        <w:rPr>
          <w:sz w:val="10"/>
          <w:szCs w:val="10"/>
        </w:rPr>
        <w:t xml:space="preserve"> if necessary, the subjugation and inferiority of women of color. As Joy James notes, “its explicit, </w:t>
      </w:r>
      <w:r w:rsidRPr="00015112">
        <w:rPr>
          <w:rStyle w:val="StyleUnderline"/>
          <w:rFonts w:eastAsiaTheme="majorEastAsia"/>
        </w:rPr>
        <w:t>general premise constructs a conceptual framework of male [and/or white] as normative in order to enforce a political [racial, economic, cultural, sexual] and intellectual mandate of male [and/or white] as superior.</w:t>
      </w:r>
      <w:r w:rsidRPr="00015112">
        <w:rPr>
          <w:sz w:val="10"/>
          <w:szCs w:val="10"/>
        </w:rPr>
        <w:t xml:space="preserve">” </w:t>
      </w:r>
      <w:r w:rsidRPr="00015112">
        <w:rPr>
          <w:rStyle w:val="StyleUnderline"/>
          <w:rFonts w:eastAsiaTheme="majorEastAsia"/>
        </w:rPr>
        <w:t>The warfront has always been a “feminized” and “colored” space for women of color. Their experiences and perceptions of war, conflict, resistance, and struggle emerge from their specific racial-ethnic and gendered locations</w:t>
      </w:r>
      <w:r w:rsidRPr="00015112">
        <w:rPr>
          <w:sz w:val="10"/>
          <w:szCs w:val="10"/>
        </w:rPr>
        <w:t xml:space="preserve">. “Inter </w:t>
      </w:r>
      <w:proofErr w:type="spellStart"/>
      <w:r w:rsidRPr="00015112">
        <w:rPr>
          <w:sz w:val="10"/>
          <w:szCs w:val="10"/>
        </w:rPr>
        <w:t>arma</w:t>
      </w:r>
      <w:proofErr w:type="spellEnd"/>
      <w:r w:rsidRPr="00015112">
        <w:rPr>
          <w:sz w:val="10"/>
          <w:szCs w:val="10"/>
        </w:rPr>
        <w:t xml:space="preserve"> silent leges: in time of war the law is silent,” Walzer notes. Thus, this volume operates from the premise that war has been and is presently in our midst.66 The links between war, conquest, and the exploitation of women’s bodies are hardly accidental. In his study of war and gender, Joshua Goldstein argues that conquest usually proceeds through an extension of the rape and exploitation of women in wartime.67 He argues that to understand conquest, one needs to examine: 1) male sexuality as a cause of aggression; 2) the feminization of enemies as symbolic domination; and 3) dependence on the exploitation of women’s labor— including reproduction.68 My argument is, first, that these three elements came together in a powerful way in the idea of race that began to emerge in the conquest and colonization of the Americas. My second point is that through the idea of race, these elements exceed the activity of conquest and come to define what from that point on passes as the idea of a “normal” world. As a result, the phenomenology of a racial context resembles, if it is not fundamentally </w:t>
      </w:r>
      <w:r w:rsidRPr="00BF5236">
        <w:rPr>
          <w:sz w:val="16"/>
          <w:szCs w:val="16"/>
        </w:rPr>
        <w:t xml:space="preserve">identical to, the phenomenology of war and conquest. Racism posits its targets as racialized and sexualized subjects that, once vanquished, are said to be inherently servile and whose bodies come to form part of an economy of sexual abuse, exploitation, and control. </w:t>
      </w:r>
      <w:r w:rsidRPr="00BF5236">
        <w:rPr>
          <w:b/>
          <w:bCs/>
          <w:sz w:val="20"/>
          <w:szCs w:val="20"/>
          <w:highlight w:val="cyan"/>
          <w:u w:val="single"/>
        </w:rPr>
        <w:t>The coloniality of power cannot be fully understood without reference to the transformation and naturalization of war and conquest in modern times. Hellish existence in the colonial world carries with it both the racial and the gendered aspects of the naturalization of the non-ethics of war. “</w:t>
      </w:r>
      <w:proofErr w:type="spellStart"/>
      <w:r w:rsidRPr="00BF5236">
        <w:rPr>
          <w:b/>
          <w:bCs/>
          <w:sz w:val="20"/>
          <w:szCs w:val="20"/>
          <w:highlight w:val="cyan"/>
          <w:u w:val="single"/>
        </w:rPr>
        <w:t>Killability</w:t>
      </w:r>
      <w:proofErr w:type="spellEnd"/>
      <w:r w:rsidRPr="00BF5236">
        <w:rPr>
          <w:b/>
          <w:bCs/>
          <w:sz w:val="20"/>
          <w:szCs w:val="20"/>
          <w:highlight w:val="cyan"/>
          <w:u w:val="single"/>
        </w:rPr>
        <w:t>” and “</w:t>
      </w:r>
      <w:proofErr w:type="spellStart"/>
      <w:r w:rsidRPr="00BF5236">
        <w:rPr>
          <w:b/>
          <w:bCs/>
          <w:sz w:val="20"/>
          <w:szCs w:val="20"/>
          <w:highlight w:val="cyan"/>
          <w:u w:val="single"/>
        </w:rPr>
        <w:t>rapeability</w:t>
      </w:r>
      <w:proofErr w:type="spellEnd"/>
      <w:r w:rsidRPr="00BF5236">
        <w:rPr>
          <w:b/>
          <w:bCs/>
          <w:sz w:val="20"/>
          <w:szCs w:val="20"/>
          <w:highlight w:val="cyan"/>
          <w:u w:val="single"/>
        </w:rPr>
        <w:t>” are inscribed into the images of colonial bodies and deeply mark their ordinary existence.</w:t>
      </w:r>
      <w:r w:rsidRPr="00BF5236">
        <w:rPr>
          <w:sz w:val="16"/>
          <w:szCs w:val="16"/>
        </w:rPr>
        <w:t xml:space="preserve"> Lacking real authority, colonized men are permanently feminized and simultaneously represent a constant threat for whom any amount of authority, any visible trace of the phallus is multiplied in a symbolic hysteria that knows no limits.69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w:t>
      </w:r>
      <w:proofErr w:type="gramStart"/>
      <w:r w:rsidRPr="00BF5236">
        <w:rPr>
          <w:sz w:val="16"/>
          <w:szCs w:val="16"/>
        </w:rPr>
        <w:t>—“</w:t>
      </w:r>
      <w:proofErr w:type="gramEnd"/>
      <w:r w:rsidRPr="00BF5236">
        <w:rPr>
          <w:sz w:val="16"/>
          <w:szCs w:val="16"/>
        </w:rPr>
        <w:t>raping”—while the black woman is seen as the most legitimate victim of rape</w:t>
      </w:r>
      <w:proofErr w:type="gramStart"/>
      <w:r w:rsidRPr="00BF5236">
        <w:rPr>
          <w:sz w:val="16"/>
          <w:szCs w:val="16"/>
        </w:rPr>
        <w:t>—“</w:t>
      </w:r>
      <w:proofErr w:type="gramEnd"/>
      <w:r w:rsidRPr="00BF5236">
        <w:rPr>
          <w:sz w:val="16"/>
          <w:szCs w:val="16"/>
        </w:rPr>
        <w:t xml:space="preserve">being raped.” In an antiblack world black women appear as subjects who deserve to be raped and to suffer the consequences— in terms of a lack of protection from the legal system, sexual abuse, and lack of financial assistance to sustain themselves and their families— just as black men deserve to be penalized for raping, even without having committed the act. Both “raping” and “being raped” are attached to blackness as if they form part of the essence of black folk, who are seen as a dispensable population. </w:t>
      </w:r>
      <w:r w:rsidRPr="00BF5236">
        <w:rPr>
          <w:rStyle w:val="StyleUnderline"/>
          <w:rFonts w:eastAsiaTheme="majorEastAsia"/>
          <w:sz w:val="16"/>
          <w:szCs w:val="16"/>
        </w:rPr>
        <w:t>Black bodies are seen as excessively violent and erotic, as well as being the legitimate recipients of excessive violence, erotic and otherwise.70 “</w:t>
      </w:r>
      <w:proofErr w:type="spellStart"/>
      <w:r w:rsidRPr="00BF5236">
        <w:rPr>
          <w:rStyle w:val="StyleUnderline"/>
          <w:rFonts w:eastAsiaTheme="majorEastAsia"/>
          <w:sz w:val="16"/>
          <w:szCs w:val="16"/>
        </w:rPr>
        <w:t>Killability</w:t>
      </w:r>
      <w:proofErr w:type="spellEnd"/>
      <w:r w:rsidRPr="00BF5236">
        <w:rPr>
          <w:sz w:val="16"/>
          <w:szCs w:val="16"/>
        </w:rPr>
        <w:t>” and “</w:t>
      </w:r>
      <w:proofErr w:type="spellStart"/>
      <w:r w:rsidRPr="00BF5236">
        <w:rPr>
          <w:strike/>
          <w:sz w:val="16"/>
          <w:szCs w:val="16"/>
        </w:rPr>
        <w:t>rapeability</w:t>
      </w:r>
      <w:proofErr w:type="spellEnd"/>
      <w:r w:rsidRPr="00BF5236">
        <w:rPr>
          <w:sz w:val="16"/>
          <w:szCs w:val="16"/>
        </w:rPr>
        <w:t>”</w:t>
      </w:r>
      <w:r w:rsidRPr="00BF5236">
        <w:rPr>
          <w:rStyle w:val="StyleUnderline"/>
          <w:rFonts w:eastAsiaTheme="majorEastAsia"/>
          <w:sz w:val="16"/>
          <w:szCs w:val="16"/>
        </w:rPr>
        <w:t xml:space="preserve"> are part of their essence, understood in a phenomenological way. The “essence” of blackness in a colonial anti-black world is part of a larger context of meaning in which the death ethics of war gradually becomes a constitutive part of an allegedly normal world.</w:t>
      </w:r>
      <w:r w:rsidRPr="00BF5236">
        <w:rPr>
          <w:sz w:val="16"/>
          <w:szCs w:val="16"/>
        </w:rPr>
        <w:t xml:space="preserve"> In its modern racial and colonial connotations and uses, blackness is the invention and the projection of a social body oriented by the death ethics of war.71 This murderous and raping social body projects the features that define it onto sub-Others in order to be able to legitimate the same behavior that is allegedly descriptive of them. The same ideas that inspire perverted acts in war— particularly slavery, murder, and rape— are legitimized in modernity through the idea of race and gradually come to be seen as more or less normal thanks to the alleged obviousness and non-problematic character of black slavery and anti-black racism. To be sure, those who suffer the consequences of such a system are primarily blacks and indigenous peoples, but it also deeply affects all of those who appear as colored or close to darkness. In short, </w:t>
      </w:r>
      <w:r w:rsidRPr="00BF5236">
        <w:rPr>
          <w:rStyle w:val="StyleUnderline"/>
          <w:rFonts w:eastAsiaTheme="majorEastAsia"/>
          <w:sz w:val="16"/>
          <w:szCs w:val="16"/>
        </w:rPr>
        <w:t>this system of symbolic representations, the material conditions that in part produce and continue to legitimate it, and the existential dynamics that occur therein (which are also at the same time derivative and constitutive of such a context) are part of a process that naturalizes the non-ethics or death ethics of war. Sub-ontological difference is the result of such naturalization and is legitimized through the idea of race. In such a world, ontology collapses into a Manicheanism</w:t>
      </w:r>
      <w:r w:rsidRPr="00BF5236">
        <w:rPr>
          <w:sz w:val="16"/>
          <w:szCs w:val="16"/>
        </w:rPr>
        <w:t>, as Fanon suggested.72</w:t>
      </w:r>
    </w:p>
    <w:p w14:paraId="465A3CCF" w14:textId="77777777" w:rsidR="007F70D8" w:rsidRDefault="007F70D8" w:rsidP="007F70D8"/>
    <w:p w14:paraId="0EDBAD4A" w14:textId="77777777" w:rsidR="007F70D8" w:rsidRPr="00BF5236" w:rsidRDefault="007F70D8" w:rsidP="007F70D8">
      <w:pPr>
        <w:pStyle w:val="Heading4"/>
      </w:pPr>
      <w:r>
        <w:lastRenderedPageBreak/>
        <w:t xml:space="preserve">The alternative is a refusal of the affirmative case </w:t>
      </w:r>
      <w:proofErr w:type="gramStart"/>
      <w:r>
        <w:t>for</w:t>
      </w:r>
      <w:proofErr w:type="gramEnd"/>
      <w:r>
        <w:t xml:space="preserve"> and an endorsement of politics based in the structural incommensurability of settler workers and indigenous resistance as analytic starting points.</w:t>
      </w:r>
    </w:p>
    <w:p w14:paraId="1C93AC6D" w14:textId="77777777" w:rsidR="007F70D8" w:rsidRDefault="007F70D8" w:rsidP="007F70D8"/>
    <w:p w14:paraId="684AA271" w14:textId="77777777" w:rsidR="007F70D8" w:rsidRPr="0074712E" w:rsidRDefault="007F70D8" w:rsidP="007F70D8">
      <w:r w:rsidRPr="0074712E">
        <w:t xml:space="preserve">Elizabeth </w:t>
      </w:r>
      <w:r w:rsidRPr="00392C40">
        <w:rPr>
          <w:b/>
          <w:bCs/>
        </w:rPr>
        <w:t>Strakosch</w:t>
      </w:r>
      <w:r w:rsidRPr="0074712E">
        <w:t xml:space="preserve">, </w:t>
      </w:r>
      <w:r w:rsidRPr="00392C40">
        <w:rPr>
          <w:b/>
          <w:bCs/>
        </w:rPr>
        <w:t>&amp;</w:t>
      </w:r>
      <w:r w:rsidRPr="0074712E">
        <w:t xml:space="preserve"> Alissa </w:t>
      </w:r>
      <w:r w:rsidRPr="00392C40">
        <w:rPr>
          <w:b/>
          <w:bCs/>
        </w:rPr>
        <w:t>Macoun. (2020)</w:t>
      </w:r>
      <w:r w:rsidRPr="0074712E">
        <w:t>. The violence of analogy: abstraction, neoliberalism and settler colonial possession. Postcolonial Studies, 23, 505–526. https://doi-org.libproxy.unm.edu/10.1080/13688790.2020.1834930</w:t>
      </w:r>
    </w:p>
    <w:p w14:paraId="1246C8E2" w14:textId="77777777" w:rsidR="007F70D8" w:rsidRDefault="007F70D8" w:rsidP="007F70D8"/>
    <w:p w14:paraId="409534EF" w14:textId="77777777" w:rsidR="007F70D8" w:rsidRDefault="007F70D8" w:rsidP="007F70D8">
      <w:r>
        <w:t xml:space="preserve">Fortunately, however, it is not necessary for it to do so. Political transformation has never been solely an intellectual puzzle, and as we have noted elsewhere, non-Indigenous people cannot and should not expect to </w:t>
      </w:r>
      <w:proofErr w:type="spellStart"/>
      <w:r>
        <w:t>theorise</w:t>
      </w:r>
      <w:proofErr w:type="spellEnd"/>
      <w:r>
        <w:t xml:space="preserve"> </w:t>
      </w:r>
      <w:proofErr w:type="spellStart"/>
      <w:r>
        <w:t>decolonisation</w:t>
      </w:r>
      <w:proofErr w:type="spellEnd"/>
      <w:r>
        <w:t xml:space="preserve"> on our own. Possibilities for changing our material political circumstances and finding ways to move towards lawful relations with Indigenous peoples are entirely dependent on </w:t>
      </w:r>
      <w:proofErr w:type="spellStart"/>
      <w:r>
        <w:t>colonisers</w:t>
      </w:r>
      <w:proofErr w:type="spellEnd"/>
      <w:r>
        <w:t xml:space="preserve"> </w:t>
      </w:r>
      <w:proofErr w:type="spellStart"/>
      <w:r>
        <w:t>recognising</w:t>
      </w:r>
      <w:proofErr w:type="spellEnd"/>
      <w:r>
        <w:t xml:space="preserve"> that we do not have the intellectual capacity nor the political right to frame the struggles of the present and future; we are often problems rather than providers of solutions, and we might need to learn very much more than we need to lead.83 Further, it is likely that pathways to dissolution of settler colonial political regimes will look radically different in different locations, according to the differing ontologies, sovereignties, political orders and priorities of the First Nations peoples in whose lands and under whose authorities this work is conducted. </w:t>
      </w:r>
      <w:r w:rsidRPr="00BF5236">
        <w:rPr>
          <w:b/>
          <w:bCs/>
          <w:highlight w:val="cyan"/>
          <w:u w:val="single"/>
        </w:rPr>
        <w:t xml:space="preserve">Rather than seeking to evade our position as </w:t>
      </w:r>
      <w:proofErr w:type="spellStart"/>
      <w:r w:rsidRPr="00BF5236">
        <w:rPr>
          <w:b/>
          <w:bCs/>
          <w:highlight w:val="cyan"/>
          <w:u w:val="single"/>
        </w:rPr>
        <w:t>colonisers</w:t>
      </w:r>
      <w:proofErr w:type="spellEnd"/>
      <w:r w:rsidRPr="00BF5236">
        <w:rPr>
          <w:b/>
          <w:bCs/>
          <w:highlight w:val="cyan"/>
          <w:u w:val="single"/>
        </w:rPr>
        <w:t xml:space="preserve"> embedded in and empowered by colonial political structures</w:t>
      </w:r>
      <w:r>
        <w:t xml:space="preserve">, assuming that this is necessary to give us agency to act in solidarity, </w:t>
      </w:r>
      <w:r w:rsidRPr="00BF5236">
        <w:rPr>
          <w:b/>
          <w:bCs/>
          <w:highlight w:val="cyan"/>
          <w:u w:val="single"/>
        </w:rPr>
        <w:t>we can act towards justice from our own particular locations.</w:t>
      </w:r>
      <w:r>
        <w:t xml:space="preserve"> This may require identifying and taking responsibility for our own violence, and in doing so we may frustrate colonial goals. It may require refusal to perform roles that our institutions and society demand of us. It may require a more radical overthrowing of existing systems, and involvement in imagining possibilities beyond settler futures. The political and intellectual leadership of Indigenous scholars, activists and communities will determine what is required of us to act in lawful or ethical relation and provide pathways for us to contribute to radical </w:t>
      </w:r>
      <w:proofErr w:type="spellStart"/>
      <w:r>
        <w:t>decolonising</w:t>
      </w:r>
      <w:proofErr w:type="spellEnd"/>
      <w:r>
        <w:t xml:space="preserve"> practices already taking place, in the places in which we are located. We write from a position of complicity in racism and colonialism, and from a belief that we will never find an ‘innocent’ place to land. Yet long traditions of activist scholarship show us how we can forge coalitions and act in solidarity across differences, without reducing these differences to sameness. As Tuck and Yang note, ‘[o</w:t>
      </w:r>
      <w:r w:rsidRPr="00BF5236">
        <w:rPr>
          <w:b/>
          <w:bCs/>
          <w:highlight w:val="cyan"/>
          <w:u w:val="single"/>
        </w:rPr>
        <w:t>]</w:t>
      </w:r>
      <w:proofErr w:type="spellStart"/>
      <w:r w:rsidRPr="00BF5236">
        <w:rPr>
          <w:b/>
          <w:bCs/>
          <w:highlight w:val="cyan"/>
          <w:u w:val="single"/>
        </w:rPr>
        <w:t>pportunities</w:t>
      </w:r>
      <w:proofErr w:type="spellEnd"/>
      <w:r w:rsidRPr="00BF5236">
        <w:rPr>
          <w:b/>
          <w:bCs/>
          <w:highlight w:val="cyan"/>
          <w:u w:val="single"/>
        </w:rPr>
        <w:t xml:space="preserve"> for solidarity lie in what is incommensurable rather than what is common’</w:t>
      </w:r>
      <w:r>
        <w:t xml:space="preserve">. 84 </w:t>
      </w:r>
      <w:r w:rsidRPr="00BF5236">
        <w:rPr>
          <w:b/>
          <w:bCs/>
          <w:highlight w:val="cyan"/>
          <w:u w:val="single"/>
        </w:rPr>
        <w:t xml:space="preserve">If political solidarity can be formed and guided by ‘an ethic of incommensurability, which </w:t>
      </w:r>
      <w:proofErr w:type="spellStart"/>
      <w:r w:rsidRPr="00BF5236">
        <w:rPr>
          <w:b/>
          <w:bCs/>
          <w:highlight w:val="cyan"/>
          <w:u w:val="single"/>
        </w:rPr>
        <w:t>recognises</w:t>
      </w:r>
      <w:proofErr w:type="spellEnd"/>
      <w:r w:rsidRPr="00BF5236">
        <w:rPr>
          <w:b/>
          <w:bCs/>
          <w:highlight w:val="cyan"/>
          <w:u w:val="single"/>
        </w:rPr>
        <w:t xml:space="preserve"> what is distinct, what is sovereign’</w:t>
      </w:r>
      <w:r>
        <w:t xml:space="preserve">, 85 </w:t>
      </w:r>
      <w:r w:rsidRPr="00BF5236">
        <w:rPr>
          <w:b/>
          <w:bCs/>
          <w:highlight w:val="cyan"/>
          <w:u w:val="single"/>
        </w:rPr>
        <w:t xml:space="preserve">intellectual </w:t>
      </w:r>
      <w:proofErr w:type="gramStart"/>
      <w:r w:rsidRPr="00BF5236">
        <w:rPr>
          <w:b/>
          <w:bCs/>
          <w:highlight w:val="cyan"/>
          <w:u w:val="single"/>
        </w:rPr>
        <w:t>work</w:t>
      </w:r>
      <w:proofErr w:type="gramEnd"/>
      <w:r w:rsidRPr="00BF5236">
        <w:rPr>
          <w:b/>
          <w:bCs/>
          <w:highlight w:val="cyan"/>
          <w:u w:val="single"/>
        </w:rPr>
        <w:t xml:space="preserve"> must also be guided by this recognition</w:t>
      </w:r>
      <w:r>
        <w:t xml:space="preserve">. We might learn from Roseann Liu and Savannah Shange’s observation that attempts to identify similarities in experience can result in erasure rather than </w:t>
      </w:r>
      <w:proofErr w:type="gramStart"/>
      <w:r>
        <w:t>solidarity, and</w:t>
      </w:r>
      <w:proofErr w:type="gramEnd"/>
      <w:r>
        <w:t xml:space="preserve"> instead work towards a thicker solidarity that does not rely on false equivalences ‘but rather pushes into the specificity, irreducibility, and incommensurability of racialized </w:t>
      </w:r>
      <w:proofErr w:type="gramStart"/>
      <w:r>
        <w:t>experiences’</w:t>
      </w:r>
      <w:proofErr w:type="gramEnd"/>
      <w:r>
        <w:t xml:space="preserve">. 86 When we write as though our connections to colonial histories, our embodiments, and our locations – geographic, relational, racial, political – do not shape our epistemologies, we make a claim to unmarked, disembodied and objective knowledge that binds us to colonialism and white supremacy.87 If, on the other hand, we act from our position of complicity rather than seeking to be saved from it via analytical transcendence, we might already be working in solidarity. This solidarity can then be, as Snelgrove, </w:t>
      </w:r>
      <w:proofErr w:type="spellStart"/>
      <w:r>
        <w:t>Dhamoon</w:t>
      </w:r>
      <w:proofErr w:type="spellEnd"/>
      <w:r>
        <w:t xml:space="preserve"> and Corntassel suggest, ‘grounded in actual practices and </w:t>
      </w:r>
      <w:proofErr w:type="spellStart"/>
      <w:r>
        <w:t>placebased</w:t>
      </w:r>
      <w:proofErr w:type="spellEnd"/>
      <w:r>
        <w:t xml:space="preserve"> relationships, and be approached as incommensurable but not incompatible’. 88 Todd makes a </w:t>
      </w:r>
      <w:r>
        <w:lastRenderedPageBreak/>
        <w:t xml:space="preserve">similar political argument in her critique of the ontological turn using the concept of ethical relationality, and draws on the work of Indigenous scholar Dwayne Donald: Ethical relationality is an ecological understanding of human relationality that does not deny difference, but rather seeks to more deeply understand how our different histories and experiences position us in relation to each other. This form of relationality is ethical because it does not overlook or </w:t>
      </w:r>
      <w:proofErr w:type="spellStart"/>
      <w:r>
        <w:t>invisibilize</w:t>
      </w:r>
      <w:proofErr w:type="spellEnd"/>
      <w:r>
        <w:t xml:space="preserve"> the </w:t>
      </w:r>
      <w:proofErr w:type="gramStart"/>
      <w:r>
        <w:t>particular historical</w:t>
      </w:r>
      <w:proofErr w:type="gramEnd"/>
      <w:r>
        <w:t xml:space="preserve">, cultural, and social contexts from which a particular person understands and experiences living in the world. It puts these considerations at the forefront of engagements across frontiers of difference.89 </w:t>
      </w:r>
      <w:r w:rsidRPr="00BF5236">
        <w:rPr>
          <w:b/>
          <w:bCs/>
          <w:highlight w:val="cyan"/>
          <w:u w:val="single"/>
        </w:rPr>
        <w:t>Solidarity built through incommensurability involves engaging with the complexities of the locations and power formations in which we are enmeshed</w:t>
      </w:r>
      <w:r>
        <w:t xml:space="preserve">. Sometimes, this may involve a refusal of easy binaries. In relation to the </w:t>
      </w:r>
      <w:proofErr w:type="gramStart"/>
      <w:r>
        <w:t>debates</w:t>
      </w:r>
      <w:proofErr w:type="gramEnd"/>
      <w:r>
        <w:t xml:space="preserve"> we discuss here, for example, it is important to consider that dispossession is not always bad, and possession is not always good, depending upon who is being dispossessed and of what. In asking ‘What makes political responsiveness possible?’ Judith Butler and Athena Athanasiou note the dual aspect of dispossession.90 It is the violent, unjust process by which Indigenous societies and others are harmed through ‘forced migration, unemployment, homelessness, occupation and conquest’. 91 Yet dispossession of dominant subjects (in the sense of being ‘moved by what one sees, feels and comes to know … into a social world in which one is not the center’) can be a productive process of ‘responsiveness that gives rise to action and resistance’ by fragmenting the ‘sovereign self’ that is at the </w:t>
      </w:r>
      <w:proofErr w:type="spellStart"/>
      <w:r>
        <w:t>centre</w:t>
      </w:r>
      <w:proofErr w:type="spellEnd"/>
      <w:r>
        <w:t xml:space="preserve"> of these epistemic regimes of harm.92 Politically, in these terms, new transformative possibilities might open up as some of us are dispossessed, </w:t>
      </w:r>
      <w:proofErr w:type="spellStart"/>
      <w:r>
        <w:t>destabilised</w:t>
      </w:r>
      <w:proofErr w:type="spellEnd"/>
      <w:r>
        <w:t xml:space="preserve"> and rendered less authoritative.</w:t>
      </w:r>
    </w:p>
    <w:p w14:paraId="71D5FF35" w14:textId="77777777" w:rsidR="00A1029C" w:rsidRDefault="00A1029C"/>
    <w:sectPr w:rsidR="00A10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D8"/>
    <w:rsid w:val="001F489F"/>
    <w:rsid w:val="00796985"/>
    <w:rsid w:val="007F70D8"/>
    <w:rsid w:val="008315B5"/>
    <w:rsid w:val="00A10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11AD4"/>
  <w15:chartTrackingRefBased/>
  <w15:docId w15:val="{DD26D11B-848B-FA4A-8FED-2AE863D0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70D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F70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F70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F70D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unhideWhenUsed/>
    <w:qFormat/>
    <w:rsid w:val="007F70D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F70D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F70D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F70D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F70D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F70D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D8"/>
    <w:rPr>
      <w:rFonts w:eastAsiaTheme="majorEastAsia" w:cstheme="majorBidi"/>
      <w:color w:val="0F4761" w:themeColor="accent1" w:themeShade="BF"/>
      <w:sz w:val="28"/>
      <w:szCs w:val="28"/>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7F7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D8"/>
    <w:rPr>
      <w:rFonts w:eastAsiaTheme="majorEastAsia" w:cstheme="majorBidi"/>
      <w:color w:val="272727" w:themeColor="text1" w:themeTint="D8"/>
    </w:rPr>
  </w:style>
  <w:style w:type="paragraph" w:styleId="Title">
    <w:name w:val="Title"/>
    <w:basedOn w:val="Normal"/>
    <w:next w:val="Normal"/>
    <w:link w:val="TitleChar"/>
    <w:uiPriority w:val="10"/>
    <w:qFormat/>
    <w:rsid w:val="007F70D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F7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D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F7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D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F70D8"/>
    <w:rPr>
      <w:i/>
      <w:iCs/>
      <w:color w:val="404040" w:themeColor="text1" w:themeTint="BF"/>
    </w:rPr>
  </w:style>
  <w:style w:type="paragraph" w:styleId="ListParagraph">
    <w:name w:val="List Paragraph"/>
    <w:basedOn w:val="Normal"/>
    <w:uiPriority w:val="34"/>
    <w:qFormat/>
    <w:rsid w:val="007F70D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F70D8"/>
    <w:rPr>
      <w:i/>
      <w:iCs/>
      <w:color w:val="0F4761" w:themeColor="accent1" w:themeShade="BF"/>
    </w:rPr>
  </w:style>
  <w:style w:type="paragraph" w:styleId="IntenseQuote">
    <w:name w:val="Intense Quote"/>
    <w:basedOn w:val="Normal"/>
    <w:next w:val="Normal"/>
    <w:link w:val="IntenseQuoteChar"/>
    <w:uiPriority w:val="30"/>
    <w:qFormat/>
    <w:rsid w:val="007F70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F70D8"/>
    <w:rPr>
      <w:i/>
      <w:iCs/>
      <w:color w:val="0F4761" w:themeColor="accent1" w:themeShade="BF"/>
    </w:rPr>
  </w:style>
  <w:style w:type="character" w:styleId="IntenseReference">
    <w:name w:val="Intense Reference"/>
    <w:basedOn w:val="DefaultParagraphFont"/>
    <w:uiPriority w:val="32"/>
    <w:qFormat/>
    <w:rsid w:val="007F70D8"/>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70D8"/>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Cards + Font: 12 pt Char,Bold Cite Char,Style,ci,Bo"/>
    <w:basedOn w:val="DefaultParagraphFont"/>
    <w:uiPriority w:val="6"/>
    <w:qFormat/>
    <w:rsid w:val="007F70D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3623</Words>
  <Characters>20654</Characters>
  <Application>Microsoft Office Word</Application>
  <DocSecurity>0</DocSecurity>
  <Lines>172</Lines>
  <Paragraphs>48</Paragraphs>
  <ScaleCrop>false</ScaleCrop>
  <Company/>
  <LinksUpToDate>false</LinksUpToDate>
  <CharactersWithSpaces>24229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Weddington</dc:creator>
  <cp:keywords/>
  <dc:description/>
  <cp:lastModifiedBy>George Weddington</cp:lastModifiedBy>
  <cp:revision>1</cp:revision>
  <dcterms:created xsi:type="dcterms:W3CDTF">2026-01-31T20:59:00Z</dcterms:created>
  <dcterms:modified xsi:type="dcterms:W3CDTF">2026-01-31T20:59:00Z</dcterms:modified>
</cp:coreProperties>
</file>