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430B4A" w:rsidRDefault="00000000" w:rsidP="00ED5D9B">
      <w:pPr>
        <w:pStyle w:val="Heading2"/>
      </w:pPr>
      <w:r>
        <w:t>Observation 1:</w:t>
      </w:r>
    </w:p>
    <w:p w14:paraId="00000003" w14:textId="77777777" w:rsidR="00430B4A" w:rsidRDefault="00000000" w:rsidP="00ED5D9B">
      <w:pPr>
        <w:pStyle w:val="Heading4"/>
      </w:pPr>
      <w:r>
        <w:t>One-Third of US workers are excluded from Collective Bargaining due to job classification, and the number is growing. Schneider 23</w:t>
      </w:r>
    </w:p>
    <w:p w14:paraId="00000004" w14:textId="77777777" w:rsidR="00430B4A" w:rsidRDefault="00000000">
      <w:pPr>
        <w:spacing w:before="240" w:after="240"/>
        <w:rPr>
          <w:sz w:val="20"/>
          <w:szCs w:val="20"/>
        </w:rPr>
      </w:pPr>
      <w:r>
        <w:rPr>
          <w:sz w:val="20"/>
          <w:szCs w:val="20"/>
        </w:rPr>
        <w:t xml:space="preserve">Mark D. Schneider; </w:t>
      </w:r>
      <w:r>
        <w:rPr>
          <w:i/>
          <w:sz w:val="20"/>
          <w:szCs w:val="20"/>
        </w:rPr>
        <w:t>Unions for Independent Contractors</w:t>
      </w:r>
      <w:r>
        <w:rPr>
          <w:sz w:val="20"/>
          <w:szCs w:val="20"/>
        </w:rPr>
        <w:t>; ABA Journal of Labor &amp; Employment, Law 3; 2023. Adjunct Professor of Law, New York University School of Law. https://share.google/Xe49LDPyj8oWWHUWU</w:t>
      </w:r>
    </w:p>
    <w:p w14:paraId="00000005" w14:textId="77777777" w:rsidR="00430B4A" w:rsidRDefault="00000000">
      <w:pPr>
        <w:spacing w:before="240" w:after="240"/>
      </w:pPr>
      <w:r>
        <w:rPr>
          <w:b/>
          <w:highlight w:val="yellow"/>
          <w:u w:val="single"/>
        </w:rPr>
        <w:t xml:space="preserve">The </w:t>
      </w:r>
      <w:r>
        <w:t xml:space="preserve">National Labor Relations Act </w:t>
      </w:r>
      <w:r>
        <w:rPr>
          <w:highlight w:val="yellow"/>
        </w:rPr>
        <w:t>(</w:t>
      </w:r>
      <w:r>
        <w:rPr>
          <w:b/>
          <w:highlight w:val="yellow"/>
          <w:u w:val="single"/>
        </w:rPr>
        <w:t>NLRA</w:t>
      </w:r>
      <w:r>
        <w:rPr>
          <w:highlight w:val="yellow"/>
        </w:rPr>
        <w:t xml:space="preserve">) </w:t>
      </w:r>
      <w:r>
        <w:rPr>
          <w:b/>
          <w:highlight w:val="yellow"/>
          <w:u w:val="single"/>
        </w:rPr>
        <w:t>was enacted at a time when a great majority of the nation’s workers were “employees” in the traditional sense of that term: workers who directly worked for and were paid by their employers. That is no longer the case. Over a third of the nation’s workers are now characterized as “contingent workers” who are either independent contractors, moonlighters, freelance business owners, or other kinds of temporary workers</w:t>
      </w:r>
      <w:r>
        <w:rPr>
          <w:highlight w:val="white"/>
        </w:rPr>
        <w:t>.</w:t>
      </w:r>
      <w:r>
        <w:t xml:space="preserve">1 </w:t>
      </w:r>
      <w:r>
        <w:rPr>
          <w:b/>
          <w:u w:val="single"/>
        </w:rPr>
        <w:t xml:space="preserve">Of that number, about </w:t>
      </w:r>
      <w:r>
        <w:rPr>
          <w:b/>
          <w:highlight w:val="yellow"/>
          <w:u w:val="single"/>
        </w:rPr>
        <w:t>fifteen percent</w:t>
      </w:r>
      <w:r>
        <w:rPr>
          <w:b/>
          <w:u w:val="single"/>
        </w:rPr>
        <w:t xml:space="preserve"> of adults may be </w:t>
      </w:r>
      <w:r>
        <w:rPr>
          <w:b/>
          <w:highlight w:val="yellow"/>
          <w:u w:val="single"/>
        </w:rPr>
        <w:t>classified as independent contractors</w:t>
      </w:r>
      <w:r>
        <w:t xml:space="preserve">.2 </w:t>
      </w:r>
      <w:r>
        <w:rPr>
          <w:b/>
          <w:u w:val="single"/>
        </w:rPr>
        <w:t>That percentage has also increased over the last twenty years</w:t>
      </w:r>
      <w:r>
        <w:t xml:space="preserve">,3 </w:t>
      </w:r>
      <w:r>
        <w:rPr>
          <w:b/>
          <w:u w:val="single"/>
        </w:rPr>
        <w:t xml:space="preserve">as a result of a fissured workplace in which </w:t>
      </w:r>
      <w:r>
        <w:rPr>
          <w:b/>
          <w:highlight w:val="yellow"/>
          <w:u w:val="single"/>
        </w:rPr>
        <w:t>traditional employers have contracted out many of the functions traditionally performed by the employer’s own employees</w:t>
      </w:r>
      <w:r>
        <w:t xml:space="preserve">.4 </w:t>
      </w:r>
      <w:r>
        <w:rPr>
          <w:b/>
          <w:highlight w:val="yellow"/>
          <w:u w:val="single"/>
        </w:rPr>
        <w:t>This issue has taken on new prominence with the growth of the</w:t>
      </w:r>
      <w:r>
        <w:rPr>
          <w:b/>
          <w:u w:val="single"/>
        </w:rPr>
        <w:t xml:space="preserve"> so-called </w:t>
      </w:r>
      <w:r>
        <w:rPr>
          <w:b/>
          <w:highlight w:val="yellow"/>
          <w:u w:val="single"/>
        </w:rPr>
        <w:t>“gig economy,</w:t>
      </w:r>
      <w:r>
        <w:rPr>
          <w:b/>
          <w:u w:val="single"/>
        </w:rPr>
        <w:t>” with sixteen percent of Americans now earning money from an online gig platform, and with thirty-one percent of current gig workers indicating that the gig work is their main job</w:t>
      </w:r>
      <w:r>
        <w:t xml:space="preserve">—representing three percent of the adult workforce.5 </w:t>
      </w:r>
      <w:r>
        <w:rPr>
          <w:b/>
          <w:highlight w:val="yellow"/>
          <w:u w:val="single"/>
        </w:rPr>
        <w:t>Most of these gig personal service workers are categorized as independent contractors</w:t>
      </w:r>
      <w:r>
        <w:rPr>
          <w:b/>
          <w:u w:val="single"/>
        </w:rPr>
        <w:t>.</w:t>
      </w:r>
      <w:r>
        <w:t>6</w:t>
      </w:r>
    </w:p>
    <w:p w14:paraId="00000006" w14:textId="77777777" w:rsidR="00430B4A" w:rsidRDefault="00000000">
      <w:pPr>
        <w:spacing w:before="240" w:after="240"/>
      </w:pPr>
      <w:r>
        <w:t xml:space="preserve"> </w:t>
      </w:r>
    </w:p>
    <w:p w14:paraId="00000007" w14:textId="77777777" w:rsidR="00430B4A" w:rsidRDefault="00000000" w:rsidP="00ED5D9B">
      <w:pPr>
        <w:pStyle w:val="Heading4"/>
      </w:pPr>
      <w:r>
        <w:t>Current law excludes Independent Contractors from the definition of “employees” prohibiting union organization. Schneider 23</w:t>
      </w:r>
    </w:p>
    <w:p w14:paraId="00000008" w14:textId="77777777" w:rsidR="00430B4A" w:rsidRDefault="00000000">
      <w:pPr>
        <w:spacing w:before="240" w:after="240"/>
        <w:rPr>
          <w:sz w:val="20"/>
          <w:szCs w:val="20"/>
        </w:rPr>
      </w:pPr>
      <w:r>
        <w:rPr>
          <w:sz w:val="20"/>
          <w:szCs w:val="20"/>
        </w:rPr>
        <w:t xml:space="preserve">Mark D. Schneider; </w:t>
      </w:r>
      <w:r>
        <w:rPr>
          <w:i/>
          <w:sz w:val="20"/>
          <w:szCs w:val="20"/>
        </w:rPr>
        <w:t>Unions for Independent Contractors</w:t>
      </w:r>
      <w:r>
        <w:rPr>
          <w:sz w:val="20"/>
          <w:szCs w:val="20"/>
        </w:rPr>
        <w:t xml:space="preserve">; ABA </w:t>
      </w:r>
      <w:proofErr w:type="spellStart"/>
      <w:r>
        <w:rPr>
          <w:sz w:val="20"/>
          <w:szCs w:val="20"/>
        </w:rPr>
        <w:t>JournaL</w:t>
      </w:r>
      <w:proofErr w:type="spellEnd"/>
      <w:r>
        <w:rPr>
          <w:sz w:val="20"/>
          <w:szCs w:val="20"/>
        </w:rPr>
        <w:t xml:space="preserve"> of Labor &amp; Employment, Law 3; 2023. Adjunct Professor of Law, New York University School of Law. https://share.google/Xe49LDPyj8oWWHUWU</w:t>
      </w:r>
    </w:p>
    <w:p w14:paraId="00000009" w14:textId="77777777" w:rsidR="00430B4A" w:rsidRDefault="00000000">
      <w:pPr>
        <w:spacing w:before="240" w:after="240"/>
        <w:rPr>
          <w:b/>
          <w:sz w:val="24"/>
          <w:szCs w:val="24"/>
        </w:rPr>
      </w:pPr>
      <w:r>
        <w:rPr>
          <w:b/>
          <w:sz w:val="24"/>
          <w:szCs w:val="24"/>
        </w:rPr>
        <w:t xml:space="preserve"> </w:t>
      </w:r>
    </w:p>
    <w:p w14:paraId="0000000A" w14:textId="77777777" w:rsidR="00430B4A" w:rsidRDefault="00000000">
      <w:pPr>
        <w:spacing w:before="240" w:after="240"/>
        <w:rPr>
          <w:b/>
          <w:u w:val="single"/>
        </w:rPr>
      </w:pPr>
      <w:r>
        <w:rPr>
          <w:b/>
          <w:highlight w:val="yellow"/>
          <w:u w:val="single"/>
        </w:rPr>
        <w:t xml:space="preserve">Our labor laws were not designed to address this workforce, and its growth tears at our social fabric because so many of our country’s safety net social programs apply through the traditional employment relationship. </w:t>
      </w:r>
      <w:r>
        <w:rPr>
          <w:b/>
          <w:u w:val="single"/>
        </w:rPr>
        <w:t>The regulatory response to this issue to date has been to impose or extend certain minimum labor standards and related laws to cover specific classes of gig workers</w:t>
      </w:r>
      <w:proofErr w:type="gramStart"/>
      <w:r>
        <w:t>.7</w:t>
      </w:r>
      <w:proofErr w:type="gramEnd"/>
      <w:r>
        <w:rPr>
          <w:highlight w:val="yellow"/>
        </w:rPr>
        <w:t xml:space="preserve"> </w:t>
      </w:r>
      <w:r>
        <w:rPr>
          <w:b/>
          <w:highlight w:val="yellow"/>
          <w:u w:val="single"/>
        </w:rPr>
        <w:t>None of these laws provides the full panoply of rights and benefits available to statutory employees</w:t>
      </w:r>
      <w:r>
        <w:rPr>
          <w:b/>
          <w:u w:val="single"/>
        </w:rPr>
        <w:t>. This has happened once at the federal level,</w:t>
      </w:r>
      <w:r>
        <w:t xml:space="preserve">8 </w:t>
      </w:r>
      <w:r>
        <w:rPr>
          <w:b/>
          <w:u w:val="single"/>
        </w:rPr>
        <w:t>and sporadically at the state and municipal levels.</w:t>
      </w:r>
      <w:r>
        <w:t xml:space="preserve">9 </w:t>
      </w:r>
      <w:r>
        <w:rPr>
          <w:b/>
          <w:highlight w:val="yellow"/>
          <w:u w:val="single"/>
        </w:rPr>
        <w:t>What has been entirely left out of the equation, to date, has been collective bargaining. National labor policy promotes collective bargaining as a mechanism to secure appropriate wages and other terms and conditions of employment for worker</w:t>
      </w:r>
      <w:r>
        <w:rPr>
          <w:b/>
          <w:u w:val="single"/>
        </w:rPr>
        <w:t>s</w:t>
      </w:r>
      <w:r>
        <w:t xml:space="preserve">.10 </w:t>
      </w:r>
      <w:r>
        <w:rPr>
          <w:b/>
          <w:u w:val="single"/>
        </w:rPr>
        <w:t xml:space="preserve">However, there is no easy path forward for independent contractors who wish to bargain collectively through a union. In </w:t>
      </w:r>
      <w:r>
        <w:rPr>
          <w:b/>
          <w:highlight w:val="yellow"/>
          <w:u w:val="single"/>
        </w:rPr>
        <w:t>the 1948 Taft-Hartley amendments to the NLRA,</w:t>
      </w:r>
      <w:r>
        <w:rPr>
          <w:highlight w:val="yellow"/>
        </w:rPr>
        <w:t>11</w:t>
      </w:r>
      <w:r>
        <w:rPr>
          <w:b/>
          <w:highlight w:val="yellow"/>
          <w:u w:val="single"/>
        </w:rPr>
        <w:t xml:space="preserve"> in response to a Supreme Court decision allowing independent contractor newsboys to organize under the NLRA,</w:t>
      </w:r>
      <w:r>
        <w:rPr>
          <w:highlight w:val="yellow"/>
        </w:rPr>
        <w:t>12</w:t>
      </w:r>
      <w:r>
        <w:rPr>
          <w:b/>
          <w:highlight w:val="yellow"/>
          <w:u w:val="single"/>
        </w:rPr>
        <w:t xml:space="preserve"> Congress excluded independent contractors from the definition of “employee” under the Act</w:t>
      </w:r>
      <w:r>
        <w:t xml:space="preserve">.13 </w:t>
      </w:r>
      <w:r>
        <w:rPr>
          <w:b/>
          <w:u w:val="single"/>
        </w:rPr>
        <w:t>Thus, independent contractors generally cannot organize under the NLRA, and typically there can be no NLRA unions of independent contractors</w:t>
      </w:r>
      <w:r>
        <w:t>.</w:t>
      </w:r>
    </w:p>
    <w:p w14:paraId="0000000B" w14:textId="77777777" w:rsidR="00430B4A" w:rsidRDefault="00430B4A" w:rsidP="00ED5D9B">
      <w:pPr>
        <w:pStyle w:val="Heading4"/>
      </w:pPr>
    </w:p>
    <w:p w14:paraId="0000000C" w14:textId="77777777" w:rsidR="00430B4A" w:rsidRDefault="00000000" w:rsidP="00ED5D9B">
      <w:pPr>
        <w:pStyle w:val="Heading4"/>
      </w:pPr>
      <w:r>
        <w:t>Plan:  The United States federal government should repeal the Taft-Hartley amendment to the NLRA excluding independent contractors from the definition of “employee”.</w:t>
      </w:r>
    </w:p>
    <w:p w14:paraId="0000000D" w14:textId="77777777" w:rsidR="00430B4A" w:rsidRDefault="00430B4A">
      <w:pPr>
        <w:spacing w:before="240" w:after="240"/>
        <w:rPr>
          <w:b/>
        </w:rPr>
      </w:pPr>
    </w:p>
    <w:p w14:paraId="0000000E" w14:textId="77777777" w:rsidR="00430B4A" w:rsidRDefault="00000000" w:rsidP="00ED5D9B">
      <w:pPr>
        <w:pStyle w:val="Heading2"/>
      </w:pPr>
      <w:r>
        <w:t xml:space="preserve">ADVANTAGE 1: MISCLASSIFICATION </w:t>
      </w:r>
    </w:p>
    <w:p w14:paraId="0000000F" w14:textId="77777777" w:rsidR="00430B4A" w:rsidRDefault="00000000" w:rsidP="00ED5D9B">
      <w:pPr>
        <w:pStyle w:val="Heading4"/>
      </w:pPr>
      <w:r>
        <w:t>Employers are incentivized to categorize individuals as independent contractors instead of employees to reduce their labor costs with employee benefits, making the affected workers more vulnerable and less financially secure. Economic Policy Institute 25</w:t>
      </w:r>
    </w:p>
    <w:p w14:paraId="00000010" w14:textId="77777777" w:rsidR="00430B4A" w:rsidRDefault="00000000">
      <w:pPr>
        <w:spacing w:before="240" w:after="240"/>
      </w:pPr>
      <w:r>
        <w:t>Adewale A. Maye, Daniel Perez, and Margaret Poydock, January 22, 2025; “Misclassifying workers as independent contractors is costly for workers and states”; Economic Policy Institute; https://www.epi.org/publication/misclassifying-workers-2025-update/</w:t>
      </w:r>
    </w:p>
    <w:p w14:paraId="00000011" w14:textId="77777777" w:rsidR="00430B4A" w:rsidRDefault="00000000">
      <w:pPr>
        <w:spacing w:before="240" w:after="240"/>
      </w:pPr>
      <w:r>
        <w:rPr>
          <w:b/>
          <w:highlight w:val="yellow"/>
          <w:u w:val="single"/>
        </w:rPr>
        <w:t>Misclassification is when an employer wrongly classifies an employee as an independent contractor. The problem of workers being misclassified as independent contractors is pervasive and widespread. An analysis from the National Employment Law Project focusing on state-level reports on misclassification estimated that as many as 10–30% of employers misclassify their workers</w:t>
      </w:r>
      <w:r>
        <w:t>.1 A</w:t>
      </w:r>
      <w:r>
        <w:rPr>
          <w:b/>
          <w:u w:val="single"/>
        </w:rPr>
        <w:t>n earlier study commissioned by the Department of Labor in 2000 found 10–30% of employers misclassified at least some workers.</w:t>
      </w:r>
      <w:r>
        <w:t xml:space="preserve">2 </w:t>
      </w:r>
    </w:p>
    <w:p w14:paraId="00000012" w14:textId="77777777" w:rsidR="00430B4A" w:rsidRDefault="00000000">
      <w:pPr>
        <w:spacing w:before="240" w:after="240"/>
        <w:rPr>
          <w:b/>
          <w:highlight w:val="yellow"/>
          <w:u w:val="single"/>
        </w:rPr>
      </w:pPr>
      <w:r>
        <w:rPr>
          <w:b/>
          <w:highlight w:val="yellow"/>
          <w:u w:val="single"/>
        </w:rPr>
        <w:t xml:space="preserve">The way a worker is classified has serious implications for their labor rights and costs to their economic security. Federal, state, and local labor laws provide extensive </w:t>
      </w:r>
      <w:proofErr w:type="gramStart"/>
      <w:r>
        <w:rPr>
          <w:b/>
          <w:highlight w:val="yellow"/>
          <w:u w:val="single"/>
        </w:rPr>
        <w:t>protections</w:t>
      </w:r>
      <w:proofErr w:type="gramEnd"/>
      <w:r>
        <w:rPr>
          <w:b/>
          <w:highlight w:val="yellow"/>
          <w:u w:val="single"/>
        </w:rPr>
        <w:t xml:space="preserve"> for employees that are not available to independent contractors, for example:</w:t>
      </w:r>
    </w:p>
    <w:p w14:paraId="00000013" w14:textId="77777777" w:rsidR="00430B4A" w:rsidRDefault="00000000">
      <w:pPr>
        <w:spacing w:before="240" w:after="240"/>
        <w:rPr>
          <w:b/>
          <w:u w:val="single"/>
        </w:rPr>
      </w:pPr>
      <w:r>
        <w:rPr>
          <w:b/>
          <w:u w:val="single"/>
        </w:rPr>
        <w:t xml:space="preserve">When a worker is misclassified as an independent contractor, they are no longer eligible to earn </w:t>
      </w:r>
      <w:r>
        <w:rPr>
          <w:b/>
          <w:highlight w:val="yellow"/>
          <w:u w:val="single"/>
        </w:rPr>
        <w:t>minimum wage or overtime pay</w:t>
      </w:r>
      <w:r>
        <w:rPr>
          <w:b/>
          <w:u w:val="single"/>
        </w:rPr>
        <w:t>.</w:t>
      </w:r>
    </w:p>
    <w:p w14:paraId="00000014" w14:textId="77777777" w:rsidR="00430B4A" w:rsidRDefault="00000000">
      <w:pPr>
        <w:spacing w:before="240" w:after="240"/>
        <w:rPr>
          <w:b/>
          <w:u w:val="single"/>
        </w:rPr>
      </w:pPr>
      <w:r>
        <w:rPr>
          <w:b/>
          <w:u w:val="single"/>
        </w:rPr>
        <w:t xml:space="preserve">These misclassified workers are no longer eligible to participate in </w:t>
      </w:r>
      <w:r>
        <w:rPr>
          <w:b/>
          <w:highlight w:val="yellow"/>
          <w:u w:val="single"/>
        </w:rPr>
        <w:t>unemployment insurance systems or to qualify for workers’ compensation insurance</w:t>
      </w:r>
      <w:r>
        <w:rPr>
          <w:b/>
          <w:u w:val="single"/>
        </w:rPr>
        <w:t>.</w:t>
      </w:r>
    </w:p>
    <w:p w14:paraId="00000015" w14:textId="77777777" w:rsidR="00430B4A" w:rsidRDefault="00000000">
      <w:pPr>
        <w:spacing w:before="240" w:after="240"/>
        <w:rPr>
          <w:b/>
          <w:highlight w:val="yellow"/>
          <w:u w:val="single"/>
        </w:rPr>
      </w:pPr>
      <w:r>
        <w:rPr>
          <w:b/>
          <w:u w:val="single"/>
        </w:rPr>
        <w:t xml:space="preserve">They do not qualify for </w:t>
      </w:r>
      <w:r>
        <w:rPr>
          <w:b/>
          <w:highlight w:val="yellow"/>
          <w:u w:val="single"/>
        </w:rPr>
        <w:t>paid sick or family leave</w:t>
      </w:r>
      <w:r>
        <w:rPr>
          <w:b/>
          <w:u w:val="single"/>
        </w:rPr>
        <w:t xml:space="preserve"> in places where those benefits are statutorily prescribed </w:t>
      </w:r>
      <w:r>
        <w:rPr>
          <w:b/>
          <w:highlight w:val="yellow"/>
          <w:u w:val="single"/>
        </w:rPr>
        <w:t>and they do not receive employer-provided health insurance or retirement benefits.</w:t>
      </w:r>
    </w:p>
    <w:p w14:paraId="00000016" w14:textId="77777777" w:rsidR="00430B4A" w:rsidRDefault="00000000">
      <w:pPr>
        <w:spacing w:before="240" w:after="240"/>
        <w:rPr>
          <w:b/>
          <w:u w:val="single"/>
        </w:rPr>
      </w:pPr>
      <w:r>
        <w:rPr>
          <w:b/>
          <w:u w:val="single"/>
        </w:rPr>
        <w:t>They are no longer protected by the National Labor Relations Act, which ensures workers’ rights to form unions and bargain collectively to improve their working conditions.</w:t>
      </w:r>
    </w:p>
    <w:p w14:paraId="00000017" w14:textId="77777777" w:rsidR="00430B4A" w:rsidRDefault="00000000">
      <w:pPr>
        <w:spacing w:before="240" w:after="240"/>
      </w:pPr>
      <w:r>
        <w:rPr>
          <w:b/>
          <w:highlight w:val="yellow"/>
          <w:u w:val="single"/>
        </w:rPr>
        <w:t>In most states, misclassified workers no longer receive federal anti-discrimination and sexual harassment protections</w:t>
      </w:r>
      <w:r>
        <w:t>.3</w:t>
      </w:r>
    </w:p>
    <w:p w14:paraId="00000018" w14:textId="77777777" w:rsidR="00430B4A" w:rsidRDefault="00000000">
      <w:pPr>
        <w:spacing w:before="240" w:after="240"/>
        <w:rPr>
          <w:b/>
          <w:highlight w:val="yellow"/>
          <w:u w:val="single"/>
        </w:rPr>
      </w:pPr>
      <w:r>
        <w:rPr>
          <w:b/>
          <w:highlight w:val="yellow"/>
          <w:u w:val="single"/>
        </w:rPr>
        <w:t>Workers misclassified as independent contractors also must assume the full financial cost of Social Security and Medicare contributions, rather than split it evenly with their employer when classified as employees.</w:t>
      </w:r>
    </w:p>
    <w:p w14:paraId="00000019" w14:textId="77777777" w:rsidR="00430B4A" w:rsidRDefault="00000000">
      <w:pPr>
        <w:spacing w:before="240" w:after="240"/>
        <w:rPr>
          <w:b/>
          <w:highlight w:val="yellow"/>
          <w:u w:val="single"/>
        </w:rPr>
      </w:pPr>
      <w:r>
        <w:rPr>
          <w:b/>
          <w:highlight w:val="yellow"/>
          <w:u w:val="single"/>
        </w:rPr>
        <w:t>Losing these protections leaves independent contractors in a far more vulnerable position than employees when it comes to their basic rights on the job.</w:t>
      </w:r>
    </w:p>
    <w:p w14:paraId="0000001A" w14:textId="77777777" w:rsidR="00430B4A" w:rsidRDefault="00000000">
      <w:pPr>
        <w:spacing w:before="240" w:after="240"/>
        <w:rPr>
          <w:b/>
          <w:sz w:val="24"/>
          <w:szCs w:val="24"/>
        </w:rPr>
      </w:pPr>
      <w:r>
        <w:rPr>
          <w:b/>
          <w:sz w:val="24"/>
          <w:szCs w:val="24"/>
        </w:rPr>
        <w:t xml:space="preserve"> </w:t>
      </w:r>
    </w:p>
    <w:p w14:paraId="0000001B" w14:textId="77777777" w:rsidR="00430B4A" w:rsidRDefault="00000000" w:rsidP="00ED5D9B">
      <w:pPr>
        <w:pStyle w:val="Heading4"/>
      </w:pPr>
      <w:r>
        <w:t xml:space="preserve">B. Misclassification is functionally </w:t>
      </w:r>
      <w:proofErr w:type="gramStart"/>
      <w:r>
        <w:t>wage</w:t>
      </w:r>
      <w:proofErr w:type="gramEnd"/>
      <w:r>
        <w:t xml:space="preserve"> theft but remains an issue in part because it is evaluated at the individual worker, not the collective practice. Economic Policy Institute 25</w:t>
      </w:r>
    </w:p>
    <w:p w14:paraId="0000001C" w14:textId="77777777" w:rsidR="00430B4A" w:rsidRDefault="00000000">
      <w:pPr>
        <w:spacing w:before="240" w:after="240"/>
        <w:rPr>
          <w:b/>
          <w:sz w:val="24"/>
          <w:szCs w:val="24"/>
        </w:rPr>
      </w:pPr>
      <w:r>
        <w:t>Adewale A. Maye, Daniel Perez, and Margaret Poydock, January 22, 2025; “Misclassifying workers as independent contractors is costly for workers and states”; Economic Policy Institute; https://www.epi.org/publication/misclassifying-workers-2025-update/</w:t>
      </w:r>
    </w:p>
    <w:p w14:paraId="0000001D" w14:textId="77777777" w:rsidR="00430B4A" w:rsidRDefault="00000000">
      <w:pPr>
        <w:spacing w:before="240" w:after="240"/>
        <w:rPr>
          <w:b/>
          <w:sz w:val="24"/>
          <w:szCs w:val="24"/>
          <w:highlight w:val="yellow"/>
          <w:u w:val="single"/>
        </w:rPr>
      </w:pPr>
      <w:r>
        <w:rPr>
          <w:b/>
          <w:sz w:val="24"/>
          <w:szCs w:val="24"/>
          <w:highlight w:val="yellow"/>
          <w:u w:val="single"/>
        </w:rPr>
        <w:t>Misclassification remains pervasive because the costs to individual workers are hard to quantify and thus easy to obscure. Prior research has estimated the costs of misclassification by quantifying the number of workers misclassified; the amount of wage theft experienced by misclassified workers; and the loss in federal and state tax revenues resulting from employers not paying payroll taxes and workers’ compensation insurance</w:t>
      </w:r>
    </w:p>
    <w:p w14:paraId="0000001E" w14:textId="77777777" w:rsidR="00430B4A" w:rsidRDefault="00430B4A">
      <w:pPr>
        <w:spacing w:before="240" w:after="240"/>
        <w:rPr>
          <w:b/>
          <w:sz w:val="24"/>
          <w:szCs w:val="24"/>
        </w:rPr>
      </w:pPr>
    </w:p>
    <w:p w14:paraId="0000001F" w14:textId="77777777" w:rsidR="00430B4A" w:rsidRDefault="00000000" w:rsidP="00ED5D9B">
      <w:pPr>
        <w:pStyle w:val="Heading4"/>
      </w:pPr>
      <w:r>
        <w:t>C. Misclassification harms the social safety net for everyone. Economic Policy Institute 25</w:t>
      </w:r>
    </w:p>
    <w:p w14:paraId="00000020" w14:textId="77777777" w:rsidR="00430B4A" w:rsidRDefault="00000000">
      <w:pPr>
        <w:spacing w:before="240" w:after="240"/>
        <w:rPr>
          <w:b/>
          <w:sz w:val="24"/>
          <w:szCs w:val="24"/>
        </w:rPr>
      </w:pPr>
      <w:r>
        <w:t>Adewale A. Maye, Daniel Perez, and Margaret Poydock, January 22, 2025; “Misclassifying workers as independent contractors is costly for workers and states”; Economic Policy Institute; https://www.epi.org/publication/misclassifying-workers-2025-update/</w:t>
      </w:r>
    </w:p>
    <w:p w14:paraId="00000021" w14:textId="77777777" w:rsidR="00430B4A" w:rsidRDefault="00000000">
      <w:pPr>
        <w:spacing w:before="240" w:after="240"/>
        <w:rPr>
          <w:b/>
          <w:sz w:val="24"/>
          <w:szCs w:val="24"/>
        </w:rPr>
      </w:pPr>
      <w:r>
        <w:rPr>
          <w:b/>
          <w:sz w:val="24"/>
          <w:szCs w:val="24"/>
          <w:highlight w:val="yellow"/>
          <w:u w:val="single"/>
        </w:rPr>
        <w:t>When a worker is misclassified as an independent contractor, the entire cost of Social Security and Medicare contributions is shifted to the worker but no contributions are made to federal and state unemployment insurance and workers’ compensation funds</w:t>
      </w:r>
      <w:r>
        <w:rPr>
          <w:sz w:val="24"/>
          <w:szCs w:val="24"/>
        </w:rPr>
        <w:t>.7</w:t>
      </w:r>
      <w:r>
        <w:rPr>
          <w:b/>
          <w:sz w:val="24"/>
          <w:szCs w:val="24"/>
        </w:rPr>
        <w:t xml:space="preserve"> </w:t>
      </w:r>
      <w:r>
        <w:rPr>
          <w:sz w:val="24"/>
          <w:szCs w:val="24"/>
        </w:rPr>
        <w:t>Under our first set of assumptions (independent contractors are paid only their regular pay on a job when they are classified as independent contractors with no health or retirement benefits),</w:t>
      </w:r>
      <w:r>
        <w:rPr>
          <w:b/>
          <w:sz w:val="24"/>
          <w:szCs w:val="24"/>
          <w:highlight w:val="yellow"/>
        </w:rPr>
        <w:t xml:space="preserve"> </w:t>
      </w:r>
      <w:r>
        <w:rPr>
          <w:b/>
          <w:sz w:val="24"/>
          <w:szCs w:val="24"/>
          <w:highlight w:val="yellow"/>
          <w:u w:val="single"/>
        </w:rPr>
        <w:t>total contributions to social insurance fall</w:t>
      </w:r>
      <w:r>
        <w:rPr>
          <w:b/>
          <w:sz w:val="24"/>
          <w:szCs w:val="24"/>
          <w:u w:val="single"/>
        </w:rPr>
        <w:t xml:space="preserve"> </w:t>
      </w:r>
      <w:r>
        <w:rPr>
          <w:sz w:val="24"/>
          <w:szCs w:val="24"/>
        </w:rPr>
        <w:t>for construction workers</w:t>
      </w:r>
      <w:r>
        <w:rPr>
          <w:b/>
          <w:sz w:val="24"/>
          <w:szCs w:val="24"/>
        </w:rPr>
        <w:t xml:space="preserve"> </w:t>
      </w:r>
      <w:r>
        <w:rPr>
          <w:b/>
          <w:sz w:val="24"/>
          <w:szCs w:val="24"/>
          <w:highlight w:val="yellow"/>
          <w:u w:val="single"/>
        </w:rPr>
        <w:t>by close to 30%</w:t>
      </w:r>
      <w:r>
        <w:rPr>
          <w:b/>
          <w:sz w:val="24"/>
          <w:szCs w:val="24"/>
          <w:u w:val="single"/>
        </w:rPr>
        <w:t xml:space="preserve"> </w:t>
      </w:r>
      <w:r>
        <w:rPr>
          <w:sz w:val="24"/>
          <w:szCs w:val="24"/>
        </w:rPr>
        <w:t>($3,070)</w:t>
      </w:r>
      <w:r>
        <w:rPr>
          <w:b/>
          <w:sz w:val="24"/>
          <w:szCs w:val="24"/>
        </w:rPr>
        <w:t>.</w:t>
      </w:r>
      <w:r>
        <w:rPr>
          <w:sz w:val="24"/>
          <w:szCs w:val="24"/>
        </w:rPr>
        <w:t xml:space="preserve"> Under our second set of assumptions (independent contractors receive the regular pay on the job plus the full cost of insurance and retirement benefits), payments to social insurance drop by less</w:t>
      </w:r>
      <w:r>
        <w:rPr>
          <w:b/>
          <w:sz w:val="24"/>
          <w:szCs w:val="24"/>
        </w:rPr>
        <w:t>—</w:t>
      </w:r>
      <w:r>
        <w:rPr>
          <w:b/>
          <w:sz w:val="24"/>
          <w:szCs w:val="24"/>
          <w:u w:val="single"/>
        </w:rPr>
        <w:t xml:space="preserve">17.3% </w:t>
      </w:r>
      <w:r>
        <w:rPr>
          <w:b/>
          <w:sz w:val="24"/>
          <w:szCs w:val="24"/>
        </w:rPr>
        <w:t xml:space="preserve">($1,790) </w:t>
      </w:r>
      <w:r>
        <w:rPr>
          <w:sz w:val="24"/>
          <w:szCs w:val="24"/>
        </w:rPr>
        <w:t>due to the higher base pay</w:t>
      </w:r>
      <w:r>
        <w:rPr>
          <w:b/>
          <w:sz w:val="24"/>
          <w:szCs w:val="24"/>
        </w:rPr>
        <w:t>.</w:t>
      </w:r>
    </w:p>
    <w:p w14:paraId="00000022" w14:textId="77777777" w:rsidR="00430B4A" w:rsidRDefault="00000000">
      <w:pPr>
        <w:spacing w:before="240" w:after="240"/>
        <w:rPr>
          <w:sz w:val="24"/>
          <w:szCs w:val="24"/>
        </w:rPr>
      </w:pPr>
      <w:r>
        <w:rPr>
          <w:sz w:val="24"/>
          <w:szCs w:val="24"/>
        </w:rPr>
        <w:t>Expanding this methodology to states reveals how</w:t>
      </w:r>
      <w:r>
        <w:rPr>
          <w:b/>
          <w:sz w:val="24"/>
          <w:szCs w:val="24"/>
          <w:u w:val="single"/>
        </w:rPr>
        <w:t xml:space="preserve"> </w:t>
      </w:r>
      <w:r>
        <w:rPr>
          <w:b/>
          <w:sz w:val="24"/>
          <w:szCs w:val="24"/>
          <w:highlight w:val="yellow"/>
          <w:u w:val="single"/>
        </w:rPr>
        <w:t>misclassification deprives state social insurance funds of crucial dollars needed to maintain safety net programs, such as unemployment insurance and Workers’ Compensation</w:t>
      </w:r>
      <w:r>
        <w:rPr>
          <w:b/>
          <w:sz w:val="24"/>
          <w:szCs w:val="24"/>
        </w:rPr>
        <w:t xml:space="preserve">. </w:t>
      </w:r>
      <w:r>
        <w:rPr>
          <w:sz w:val="24"/>
          <w:szCs w:val="24"/>
        </w:rPr>
        <w:t xml:space="preserve">Figure B maps the difference in contributions to social insurance funds between W-2 employees and independent contractors without compensation for health and retirement benefits. The </w:t>
      </w:r>
      <w:proofErr w:type="gramStart"/>
      <w:r>
        <w:rPr>
          <w:sz w:val="24"/>
          <w:szCs w:val="24"/>
        </w:rPr>
        <w:t>median,</w:t>
      </w:r>
      <w:proofErr w:type="gramEnd"/>
      <w:r>
        <w:rPr>
          <w:sz w:val="24"/>
          <w:szCs w:val="24"/>
        </w:rPr>
        <w:t xml:space="preserve"> annual, per-person cost to social insurance funds ranges from $609 for pedicurists and manicurists in Oklahoma to $3,713 for construction workers in Hawaii. See Appendix Table 3 and Appendix Table 4 for a detailed breakdown of costs to social insurance funds by occupation and state for independent contractors with and without compensation for health and retirement benefits.</w:t>
      </w:r>
    </w:p>
    <w:p w14:paraId="00000023" w14:textId="77777777" w:rsidR="00430B4A" w:rsidRDefault="00430B4A">
      <w:pPr>
        <w:spacing w:before="240" w:after="240"/>
        <w:rPr>
          <w:b/>
          <w:sz w:val="24"/>
          <w:szCs w:val="24"/>
        </w:rPr>
      </w:pPr>
    </w:p>
    <w:p w14:paraId="00000024" w14:textId="256E1026" w:rsidR="00430B4A" w:rsidRDefault="00000000" w:rsidP="00ED5D9B">
      <w:pPr>
        <w:pStyle w:val="Heading4"/>
      </w:pPr>
      <w:r>
        <w:t>D. The Social Safety net is already on the Brink because of the Big, Beautiful Bill, with unemployment looming from the latest cuts.  Independent Contractors will have no shield from these impacts if affected.</w:t>
      </w:r>
      <w:r w:rsidR="00ED5D9B">
        <w:t xml:space="preserve"> Ku et al 25.</w:t>
      </w:r>
    </w:p>
    <w:p w14:paraId="00000025" w14:textId="77777777" w:rsidR="00430B4A" w:rsidRDefault="00000000">
      <w:pPr>
        <w:spacing w:before="240" w:after="240"/>
        <w:rPr>
          <w:sz w:val="20"/>
          <w:szCs w:val="20"/>
        </w:rPr>
      </w:pPr>
      <w:r>
        <w:rPr>
          <w:sz w:val="20"/>
          <w:szCs w:val="20"/>
        </w:rPr>
        <w:t xml:space="preserve">Leighton Ku, Kristine </w:t>
      </w:r>
      <w:proofErr w:type="spellStart"/>
      <w:r>
        <w:rPr>
          <w:sz w:val="20"/>
          <w:szCs w:val="20"/>
        </w:rPr>
        <w:t>Namhee</w:t>
      </w:r>
      <w:proofErr w:type="spellEnd"/>
      <w:r>
        <w:rPr>
          <w:sz w:val="20"/>
          <w:szCs w:val="20"/>
        </w:rPr>
        <w:t xml:space="preserve"> Kwon, Maddie Krips, Taylor Gorak, Joseph J. Cordes;</w:t>
      </w:r>
      <w:r>
        <w:t xml:space="preserve"> </w:t>
      </w:r>
      <w:r>
        <w:rPr>
          <w:sz w:val="20"/>
          <w:szCs w:val="20"/>
        </w:rPr>
        <w:t xml:space="preserve">June 23, </w:t>
      </w:r>
      <w:proofErr w:type="gramStart"/>
      <w:r>
        <w:rPr>
          <w:sz w:val="20"/>
          <w:szCs w:val="20"/>
        </w:rPr>
        <w:t>2025 ;</w:t>
      </w:r>
      <w:proofErr w:type="gramEnd"/>
      <w:r>
        <w:rPr>
          <w:sz w:val="20"/>
          <w:szCs w:val="20"/>
        </w:rPr>
        <w:t>“How Medicaid and SNAP Cutbacks in the “One Big Beautiful Bill” Would Trigger Big and Bigger Job Losses Across States”; The Commonwealth Fund; https://www.commonwealthfund.org/publications/issue-briefs/2025/jun/how-medicaid-snap-cutbacks-one-big-beautiful-bill-trigger-job-losses-states</w:t>
      </w:r>
    </w:p>
    <w:p w14:paraId="00000026" w14:textId="77777777" w:rsidR="00430B4A" w:rsidRDefault="00000000">
      <w:pPr>
        <w:spacing w:before="240" w:after="240"/>
        <w:rPr>
          <w:sz w:val="24"/>
          <w:szCs w:val="24"/>
        </w:rPr>
      </w:pPr>
      <w:r>
        <w:rPr>
          <w:sz w:val="24"/>
          <w:szCs w:val="24"/>
        </w:rPr>
        <w:t xml:space="preserve">Our analyses of the economic, employment, and tax effects of the Medicaid and SNAP cutbacks are based on the estimated federal funding reductions for each state in 2029. We analyzed these data using the IMPLAN economic modeling system to estimate the impacts on state economies, jobs, and state and local tax revenues.18 </w:t>
      </w:r>
      <w:r>
        <w:rPr>
          <w:b/>
          <w:sz w:val="24"/>
          <w:szCs w:val="24"/>
        </w:rPr>
        <w:t>u</w:t>
      </w:r>
      <w:r>
        <w:rPr>
          <w:sz w:val="24"/>
          <w:szCs w:val="24"/>
        </w:rPr>
        <w:t xml:space="preserve"> IMPLAN </w:t>
      </w:r>
      <w:r>
        <w:rPr>
          <w:b/>
          <w:sz w:val="24"/>
          <w:szCs w:val="24"/>
          <w:u w:val="single"/>
        </w:rPr>
        <w:t>system estimates</w:t>
      </w:r>
      <w:r>
        <w:rPr>
          <w:b/>
          <w:sz w:val="24"/>
          <w:szCs w:val="24"/>
          <w:highlight w:val="yellow"/>
          <w:u w:val="single"/>
        </w:rPr>
        <w:t xml:space="preserve"> the “multiplier effect” of the federal funding losses as they ripple across the states, first lowering revenue for health care providers (or food-related businesses) and then affecting other businesses in their supply chains and the employment and incomes of people they employ.</w:t>
      </w:r>
      <w:r>
        <w:rPr>
          <w:b/>
          <w:sz w:val="24"/>
          <w:szCs w:val="24"/>
          <w:u w:val="single"/>
        </w:rPr>
        <w:t xml:space="preserve"> All projections are compared to an estimated baseline of economic conditions in 2029 to provide estimates in the absence of legislative changes</w:t>
      </w:r>
      <w:r>
        <w:rPr>
          <w:sz w:val="24"/>
          <w:szCs w:val="24"/>
        </w:rPr>
        <w:t>. Following are key findings at the national level.</w:t>
      </w:r>
    </w:p>
    <w:p w14:paraId="00000027" w14:textId="77777777" w:rsidR="00430B4A" w:rsidRDefault="00000000">
      <w:pPr>
        <w:spacing w:before="240" w:after="240"/>
        <w:rPr>
          <w:b/>
          <w:sz w:val="24"/>
          <w:szCs w:val="24"/>
          <w:u w:val="single"/>
        </w:rPr>
      </w:pPr>
      <w:r>
        <w:rPr>
          <w:b/>
          <w:sz w:val="24"/>
          <w:szCs w:val="24"/>
          <w:highlight w:val="yellow"/>
          <w:u w:val="single"/>
        </w:rPr>
        <w:t>State gross domestic products</w:t>
      </w:r>
      <w:r>
        <w:rPr>
          <w:sz w:val="24"/>
          <w:szCs w:val="24"/>
          <w:highlight w:val="yellow"/>
        </w:rPr>
        <w:t xml:space="preserve"> </w:t>
      </w:r>
      <w:r>
        <w:rPr>
          <w:sz w:val="24"/>
          <w:szCs w:val="24"/>
        </w:rPr>
        <w:t>(GDPs)</w:t>
      </w:r>
      <w:r>
        <w:rPr>
          <w:b/>
          <w:sz w:val="24"/>
          <w:szCs w:val="24"/>
          <w:u w:val="single"/>
        </w:rPr>
        <w:t xml:space="preserve"> will </w:t>
      </w:r>
      <w:r>
        <w:rPr>
          <w:b/>
          <w:sz w:val="24"/>
          <w:szCs w:val="24"/>
          <w:highlight w:val="yellow"/>
          <w:u w:val="single"/>
        </w:rPr>
        <w:t>fall by $154.3 billion, 18 percent more than the federal savings</w:t>
      </w:r>
      <w:r>
        <w:rPr>
          <w:b/>
          <w:sz w:val="24"/>
          <w:szCs w:val="24"/>
          <w:u w:val="single"/>
        </w:rPr>
        <w:t xml:space="preserve"> </w:t>
      </w:r>
      <w:r>
        <w:rPr>
          <w:sz w:val="24"/>
          <w:szCs w:val="24"/>
        </w:rPr>
        <w:t xml:space="preserve">($131.1 billion) gained from the funding cuts. </w:t>
      </w:r>
      <w:r>
        <w:rPr>
          <w:b/>
          <w:sz w:val="24"/>
          <w:szCs w:val="24"/>
          <w:u w:val="single"/>
        </w:rPr>
        <w:t>The cuts in Medicaid and SNAP would lead to massive reductions in revenue for health care providers and food-related businesses (grocery stores, food producers, and farms), the effects of which would then ripple across other state economic sectors. The severe economic losses sustained by states, including their businesses and residents, would outweigh the federal savings.</w:t>
      </w:r>
    </w:p>
    <w:p w14:paraId="00000028" w14:textId="77777777" w:rsidR="00430B4A" w:rsidRDefault="00000000">
      <w:pPr>
        <w:spacing w:before="240" w:after="240"/>
        <w:rPr>
          <w:sz w:val="24"/>
          <w:szCs w:val="24"/>
        </w:rPr>
      </w:pPr>
      <w:r>
        <w:rPr>
          <w:b/>
          <w:sz w:val="24"/>
          <w:szCs w:val="24"/>
          <w:highlight w:val="yellow"/>
          <w:u w:val="single"/>
        </w:rPr>
        <w:t>Nationwide, 1.22 million jobs could be lost in 2029 due to Medicaid and SNAP cuts. The economic setbacks will, in turn, reduce the number of jobs in each state and increase unemployment rates.</w:t>
      </w:r>
      <w:r>
        <w:rPr>
          <w:b/>
          <w:sz w:val="24"/>
          <w:szCs w:val="24"/>
          <w:u w:val="single"/>
        </w:rPr>
        <w:t xml:space="preserve"> </w:t>
      </w:r>
      <w:r>
        <w:rPr>
          <w:sz w:val="24"/>
          <w:szCs w:val="24"/>
        </w:rPr>
        <w:t>Nearly 500,000 jobs would be lost in health care (for example, hospitals, physician and clinic offices, pharmacies, and long-term care providers), while the rest would be spread across other sectors of the economy, especially food-related sectors.19</w:t>
      </w:r>
    </w:p>
    <w:p w14:paraId="00000029" w14:textId="77777777" w:rsidR="00430B4A" w:rsidRDefault="00000000">
      <w:pPr>
        <w:spacing w:before="240" w:after="240"/>
        <w:rPr>
          <w:sz w:val="24"/>
          <w:szCs w:val="24"/>
        </w:rPr>
      </w:pPr>
      <w:r>
        <w:rPr>
          <w:sz w:val="24"/>
          <w:szCs w:val="24"/>
        </w:rPr>
        <w:t>The loss of 1.22 million jobs lost is roughly equivalent to a 0.8-percentage-point increase in the U.S. unemployment rate. About 7.2 million people were unemployed in May 2025 (4.2%). The impact of the Medicaid and SNAP cutbacks is comparable to increasing the national unemployment rate by one-sixth.</w:t>
      </w:r>
    </w:p>
    <w:p w14:paraId="0000002A" w14:textId="77777777" w:rsidR="00430B4A" w:rsidRDefault="00000000">
      <w:pPr>
        <w:spacing w:before="240" w:after="240"/>
        <w:rPr>
          <w:sz w:val="24"/>
          <w:szCs w:val="24"/>
        </w:rPr>
      </w:pPr>
      <w:r>
        <w:rPr>
          <w:b/>
          <w:sz w:val="24"/>
          <w:szCs w:val="24"/>
          <w:u w:val="single"/>
        </w:rPr>
        <w:t>The total impact of the program cutbacks related to the House budget reconciliation bill would be even larger.</w:t>
      </w:r>
      <w:r>
        <w:rPr>
          <w:sz w:val="24"/>
          <w:szCs w:val="24"/>
        </w:rPr>
        <w:t xml:space="preserve"> In a previous brief, we noted that the expiration of </w:t>
      </w:r>
      <w:r>
        <w:rPr>
          <w:b/>
          <w:sz w:val="24"/>
          <w:szCs w:val="24"/>
          <w:u w:val="single"/>
        </w:rPr>
        <w:t>the ACA’s enhanced premium tax credits in 2026 would lead to the loss of some 300,000 jobs.20 Other changes to the ACA marketplace would lead to further job losses too. In addition, the increase in the federal budget deficit due to the legislation could trigger “sequestration” that could require another $500 billion reduction in Medicare funding</w:t>
      </w:r>
      <w:r>
        <w:rPr>
          <w:sz w:val="24"/>
          <w:szCs w:val="24"/>
        </w:rPr>
        <w:t>.21 These will cause additional job losses, particularly in health care.</w:t>
      </w:r>
    </w:p>
    <w:p w14:paraId="0000002B" w14:textId="77777777" w:rsidR="00430B4A" w:rsidRDefault="00000000">
      <w:pPr>
        <w:spacing w:before="240" w:after="240"/>
        <w:rPr>
          <w:sz w:val="24"/>
          <w:szCs w:val="24"/>
        </w:rPr>
      </w:pPr>
      <w:r>
        <w:rPr>
          <w:b/>
          <w:sz w:val="24"/>
          <w:szCs w:val="24"/>
          <w:u w:val="single"/>
        </w:rPr>
        <w:t xml:space="preserve">The income lost by businesses and individuals would lead to $12.2 billion in reduced state and local tax revenues in 2029. These revenue losses would make it harder for state and local governments to balance their budgets, jeopardizing funding for education, infrastructure, and other state and local public services. </w:t>
      </w:r>
      <w:r>
        <w:rPr>
          <w:sz w:val="24"/>
          <w:szCs w:val="24"/>
        </w:rPr>
        <w:t>The House budget reconciliation bill places additional fiscal burdens on states with such policies as the required state match for SNAP funding and limitations on health care provider taxes, which would put further fiscal pressure on state and local governments.</w:t>
      </w:r>
    </w:p>
    <w:p w14:paraId="0000002C" w14:textId="77777777" w:rsidR="00430B4A" w:rsidRDefault="00430B4A">
      <w:pPr>
        <w:spacing w:before="240" w:after="240"/>
        <w:rPr>
          <w:b/>
          <w:sz w:val="24"/>
          <w:szCs w:val="24"/>
        </w:rPr>
      </w:pPr>
    </w:p>
    <w:p w14:paraId="0000002D" w14:textId="77777777" w:rsidR="00430B4A" w:rsidRDefault="00430B4A">
      <w:pPr>
        <w:spacing w:before="240" w:after="240"/>
        <w:rPr>
          <w:b/>
          <w:sz w:val="24"/>
          <w:szCs w:val="24"/>
        </w:rPr>
      </w:pPr>
    </w:p>
    <w:p w14:paraId="0000002E" w14:textId="77777777" w:rsidR="00430B4A" w:rsidRDefault="00430B4A">
      <w:pPr>
        <w:spacing w:before="240" w:after="240"/>
        <w:rPr>
          <w:b/>
          <w:sz w:val="24"/>
          <w:szCs w:val="24"/>
        </w:rPr>
      </w:pPr>
    </w:p>
    <w:p w14:paraId="0000002F" w14:textId="77777777" w:rsidR="00430B4A" w:rsidRDefault="00430B4A">
      <w:pPr>
        <w:spacing w:before="240" w:after="240"/>
        <w:rPr>
          <w:b/>
          <w:sz w:val="24"/>
          <w:szCs w:val="24"/>
        </w:rPr>
      </w:pPr>
    </w:p>
    <w:p w14:paraId="00000030" w14:textId="77777777" w:rsidR="00430B4A" w:rsidRDefault="00000000" w:rsidP="00ED5D9B">
      <w:pPr>
        <w:pStyle w:val="Heading2"/>
      </w:pPr>
      <w:r>
        <w:t>ADV 2: ARTISTS</w:t>
      </w:r>
    </w:p>
    <w:p w14:paraId="00000031" w14:textId="77777777" w:rsidR="00430B4A" w:rsidRDefault="00000000" w:rsidP="00ED5D9B">
      <w:pPr>
        <w:pStyle w:val="Heading4"/>
      </w:pPr>
      <w:r>
        <w:t>The Arts have historically misused the Independent Contractor label to limit legal and financial accountability. Sigety 24</w:t>
      </w:r>
    </w:p>
    <w:p w14:paraId="00000032" w14:textId="77777777" w:rsidR="00430B4A" w:rsidRDefault="00000000">
      <w:pPr>
        <w:spacing w:before="240" w:after="240"/>
      </w:pPr>
      <w:r>
        <w:t xml:space="preserve">Katie </w:t>
      </w:r>
      <w:proofErr w:type="gramStart"/>
      <w:r>
        <w:t>Sigety ;</w:t>
      </w:r>
      <w:proofErr w:type="gramEnd"/>
      <w:r>
        <w:t xml:space="preserve"> “The Impact of the “Misclassification” of Employees as Independent Contractors on New York City’s Performing Arts Institutions and Gig-Based Performers”; Cardozo Arts &amp; Entertainment Law Journal </w:t>
      </w:r>
      <w:proofErr w:type="gramStart"/>
      <w:r>
        <w:t>Blog ;</w:t>
      </w:r>
      <w:proofErr w:type="gramEnd"/>
      <w:r>
        <w:t xml:space="preserve"> April 26, 2024; https://cardozoaelj.com/2024/04/26/the-impact-of-the-misclassification-of-employees-as-independent-contractors-on-new-york-citys-performing-arts-institutions-and-gig-based-performers/</w:t>
      </w:r>
    </w:p>
    <w:p w14:paraId="00000033" w14:textId="77777777" w:rsidR="00430B4A" w:rsidRDefault="00000000">
      <w:pPr>
        <w:spacing w:before="240" w:after="240"/>
      </w:pPr>
      <w:r>
        <w:rPr>
          <w:b/>
          <w:u w:val="single"/>
        </w:rPr>
        <w:t>During the height of the COVID-19 pandemic</w:t>
      </w:r>
      <w:r>
        <w:rPr>
          <w:b/>
          <w:highlight w:val="yellow"/>
          <w:u w:val="single"/>
        </w:rPr>
        <w:t>, the</w:t>
      </w:r>
      <w:r>
        <w:t xml:space="preserve"> Coronavirus Aid, Relief, and Economic Security Act</w:t>
      </w:r>
      <w:r>
        <w:rPr>
          <w:highlight w:val="yellow"/>
        </w:rPr>
        <w:t xml:space="preserve"> </w:t>
      </w:r>
      <w:r>
        <w:rPr>
          <w:b/>
          <w:highlight w:val="yellow"/>
          <w:u w:val="single"/>
        </w:rPr>
        <w:t>(“CARES Act”)</w:t>
      </w:r>
      <w:r>
        <w:rPr>
          <w:highlight w:val="yellow"/>
        </w:rPr>
        <w:t xml:space="preserve"> </w:t>
      </w:r>
      <w:r>
        <w:rPr>
          <w:b/>
          <w:highlight w:val="yellow"/>
          <w:u w:val="single"/>
        </w:rPr>
        <w:t>made it possible for independent contractors to access unemployment benefits, or “Pandemic Unemployment Assistance”</w:t>
      </w:r>
      <w:r>
        <w:t xml:space="preserve"> (“PUA”), </w:t>
      </w:r>
      <w:r>
        <w:rPr>
          <w:b/>
          <w:highlight w:val="yellow"/>
          <w:u w:val="single"/>
        </w:rPr>
        <w:t>for the first time. This created a new awareness for how many gig-based performing artists were considered independent contractors</w:t>
      </w:r>
      <w:r>
        <w:t>.</w:t>
      </w:r>
      <w:r>
        <w:rPr>
          <w:b/>
          <w:u w:val="single"/>
        </w:rPr>
        <w:t xml:space="preserve">1 </w:t>
      </w:r>
      <w:r>
        <w:t>In the wake of the PUA program expiration in 2021, the DOL identified 425,000 fraudulent unemployment benefit claims filed, totaling $5.5 billion, during the COVID-19 pandemic.2 The fraudulent claims were filed using the real identities of individuals who were not employed, which were likely stolen during previous data breaches of banks, insurance companies, and employers.3</w:t>
      </w:r>
      <w:r>
        <w:rPr>
          <w:highlight w:val="yellow"/>
        </w:rPr>
        <w:t xml:space="preserve"> </w:t>
      </w:r>
      <w:r>
        <w:rPr>
          <w:b/>
          <w:highlight w:val="yellow"/>
          <w:u w:val="single"/>
        </w:rPr>
        <w:t xml:space="preserve">The extension of unemployment benefits and the following fraud claims ignited a renewed interest in independent contractor misclassification </w:t>
      </w:r>
      <w:r>
        <w:rPr>
          <w:b/>
          <w:u w:val="single"/>
        </w:rPr>
        <w:t>at the New York State Insurance Fund (“NYSIF”) and the New York State Department of Labor (“DOL”) in independent contractor misclassification.</w:t>
      </w:r>
      <w:r>
        <w:t>4</w:t>
      </w:r>
    </w:p>
    <w:p w14:paraId="00000034" w14:textId="77777777" w:rsidR="00430B4A" w:rsidRDefault="00000000">
      <w:pPr>
        <w:spacing w:before="240" w:after="240"/>
      </w:pPr>
      <w:r>
        <w:t xml:space="preserve"> </w:t>
      </w:r>
    </w:p>
    <w:p w14:paraId="00000035" w14:textId="77777777" w:rsidR="00430B4A" w:rsidRDefault="00000000" w:rsidP="00ED5D9B">
      <w:pPr>
        <w:pStyle w:val="Heading4"/>
      </w:pPr>
      <w:r>
        <w:t>The Independent Contractor label is misused to avoid benefits and prevent collective bargaining for employees. Sigety 24</w:t>
      </w:r>
    </w:p>
    <w:p w14:paraId="00000036" w14:textId="77777777" w:rsidR="00430B4A" w:rsidRDefault="00000000">
      <w:pPr>
        <w:spacing w:before="240" w:after="240"/>
      </w:pPr>
      <w:r>
        <w:t xml:space="preserve">Katie </w:t>
      </w:r>
      <w:proofErr w:type="gramStart"/>
      <w:r>
        <w:t>Sigety ;</w:t>
      </w:r>
      <w:proofErr w:type="gramEnd"/>
      <w:r>
        <w:t xml:space="preserve"> “The Impact of the “Misclassification” of Employees as Independent Contractors on New York City’s Performing Arts Institutions and Gig-Based Performers”; Cardozo Arts &amp; Entertainment Law Journal </w:t>
      </w:r>
      <w:proofErr w:type="gramStart"/>
      <w:r>
        <w:t>Blog ;</w:t>
      </w:r>
      <w:proofErr w:type="gramEnd"/>
      <w:r>
        <w:t xml:space="preserve"> April 26, 2024; https://cardozoaelj.com/2024/04/26/the-impact-of-the-misclassification-of-employees-as-independent-contractors-on-new-york-citys-performing-arts-institutions-and-gig-based-performers/</w:t>
      </w:r>
    </w:p>
    <w:p w14:paraId="00000037" w14:textId="77777777" w:rsidR="00430B4A" w:rsidRDefault="00000000">
      <w:pPr>
        <w:spacing w:before="240" w:after="240"/>
      </w:pPr>
      <w:r>
        <w:rPr>
          <w:b/>
          <w:highlight w:val="yellow"/>
          <w:u w:val="single"/>
        </w:rPr>
        <w:t>It is important to consider that, especially with the rise of the gig economy, the “independent contractor” label shifts risk and cost from organizations to artists themselves and deprives them of core rights and protections such as minimum wage, overtime pay, contributions to Social Security, the right to collective bargaining under the National Labor Relations Act, workers’ compensation, unemployment compensation, and protection from discrimination</w:t>
      </w:r>
      <w:r>
        <w:t xml:space="preserve">.22 </w:t>
      </w:r>
      <w:r>
        <w:rPr>
          <w:b/>
          <w:highlight w:val="yellow"/>
          <w:u w:val="single"/>
        </w:rPr>
        <w:t>Additionally, state reports show that 10 to 30 percent of employers (or more) misclassify their employees as independent contractors, which indicates that several million workers nationally may be misclassified. Which in turn causes state and federal governments to lose billions in annual revenu</w:t>
      </w:r>
      <w:r>
        <w:rPr>
          <w:b/>
          <w:u w:val="single"/>
        </w:rPr>
        <w:t>e.</w:t>
      </w:r>
      <w:r>
        <w:t xml:space="preserve">23 NYSIF and the DOL must remain vigilant in enforcing these requirements, but </w:t>
      </w:r>
      <w:r>
        <w:rPr>
          <w:b/>
          <w:u w:val="single"/>
        </w:rPr>
        <w:t>there must be a re-assessment of how this enforcement is being conducted on small performing arts institutions, especially considering that the performing arts space</w:t>
      </w:r>
      <w:r>
        <w:t xml:space="preserve"> in New York City </w:t>
      </w:r>
      <w:r>
        <w:rPr>
          <w:b/>
          <w:u w:val="single"/>
        </w:rPr>
        <w:t>has struggled to recover since the pandemic</w:t>
      </w:r>
      <w:proofErr w:type="gramStart"/>
      <w:r>
        <w:t>.24</w:t>
      </w:r>
      <w:proofErr w:type="gramEnd"/>
    </w:p>
    <w:p w14:paraId="00000038" w14:textId="77777777" w:rsidR="00430B4A" w:rsidRDefault="00430B4A">
      <w:pPr>
        <w:spacing w:before="240" w:after="240"/>
      </w:pPr>
    </w:p>
    <w:p w14:paraId="00000039" w14:textId="77777777" w:rsidR="00430B4A" w:rsidRDefault="00000000" w:rsidP="00ED5D9B">
      <w:pPr>
        <w:pStyle w:val="Heading4"/>
      </w:pPr>
      <w:r>
        <w:t>Protecting the Performing Arts is critical to the very fabric of society and overall individual well-being. Hall 24</w:t>
      </w:r>
    </w:p>
    <w:p w14:paraId="0000003A" w14:textId="77777777" w:rsidR="00430B4A" w:rsidRDefault="00000000">
      <w:pPr>
        <w:spacing w:before="240" w:after="240"/>
      </w:pPr>
      <w:r>
        <w:rPr>
          <w:rFonts w:ascii="Times New Roman" w:eastAsia="Times New Roman" w:hAnsi="Times New Roman" w:cs="Times New Roman"/>
          <w:color w:val="05103E"/>
        </w:rPr>
        <w:t xml:space="preserve">Hall, T. (2024, November 4). </w:t>
      </w:r>
      <w:r>
        <w:rPr>
          <w:rFonts w:ascii="Times New Roman" w:eastAsia="Times New Roman" w:hAnsi="Times New Roman" w:cs="Times New Roman"/>
          <w:i/>
          <w:color w:val="05103E"/>
        </w:rPr>
        <w:t>Why performing arts matter: Its impact on communities</w:t>
      </w:r>
      <w:r>
        <w:rPr>
          <w:rFonts w:ascii="Times New Roman" w:eastAsia="Times New Roman" w:hAnsi="Times New Roman" w:cs="Times New Roman"/>
          <w:color w:val="05103E"/>
        </w:rPr>
        <w:t>. The Artisan Magazine. https://theartisanmagazine.com/why-performing-arts-matter-its-impact-on-communities/</w:t>
      </w:r>
    </w:p>
    <w:p w14:paraId="0000003B" w14:textId="77777777" w:rsidR="00430B4A" w:rsidRDefault="00000000">
      <w:pPr>
        <w:spacing w:before="240" w:after="240"/>
        <w:rPr>
          <w:b/>
          <w:highlight w:val="yellow"/>
          <w:u w:val="single"/>
        </w:rPr>
      </w:pPr>
      <w:r>
        <w:rPr>
          <w:b/>
          <w:highlight w:val="yellow"/>
          <w:u w:val="single"/>
        </w:rPr>
        <w:t xml:space="preserve">Beyond economic </w:t>
      </w:r>
      <w:proofErr w:type="gramStart"/>
      <w:r>
        <w:rPr>
          <w:b/>
          <w:highlight w:val="yellow"/>
          <w:u w:val="single"/>
        </w:rPr>
        <w:t>benefits</w:t>
      </w:r>
      <w:r>
        <w:rPr>
          <w:highlight w:val="yellow"/>
        </w:rPr>
        <w:t>,</w:t>
      </w:r>
      <w:r>
        <w:t>(</w:t>
      </w:r>
      <w:proofErr w:type="gramEnd"/>
      <w:r>
        <w:t>2) t</w:t>
      </w:r>
      <w:r>
        <w:rPr>
          <w:b/>
          <w:highlight w:val="yellow"/>
          <w:u w:val="single"/>
        </w:rPr>
        <w:t>he arts profoundly impact individual and community well-being. Research from the World Health Organization shows that arts engagement plays a crucial role in every stage of life. It supports child development, encourages healthier lifestyle choices, assists in managing mental health challenges, and even provides comfort in end-of-life care. These findings underscore the arts’ power to transform lives and foster a healthier, more connected society and quality of life.</w:t>
      </w:r>
    </w:p>
    <w:p w14:paraId="0000003C" w14:textId="77777777" w:rsidR="00430B4A" w:rsidRDefault="00000000">
      <w:pPr>
        <w:spacing w:before="240" w:after="240"/>
        <w:rPr>
          <w:b/>
          <w:u w:val="single"/>
        </w:rPr>
      </w:pPr>
      <w:r>
        <w:rPr>
          <w:b/>
          <w:u w:val="single"/>
        </w:rPr>
        <w:t xml:space="preserve">Performing arts serve as a powerful bridge that unites diverse cultures, providing a platform for preserving traditions and nurturing creativity. Through dance, theater, music, and storytelling, cultural narratives are shared in ways that transcend language, enabling people from different backgrounds to connect and appreciate one another’s heritage. </w:t>
      </w:r>
      <w:r>
        <w:t xml:space="preserve">Traditional dances like flamenco or Indian Bharatanatyam, for example, encapsulate centuries of history, </w:t>
      </w:r>
      <w:r>
        <w:rPr>
          <w:b/>
          <w:u w:val="single"/>
        </w:rPr>
        <w:t>passing down values, stories, and customs to new generations, ensuring that cultural legacies continue to thrive.</w:t>
      </w:r>
    </w:p>
    <w:p w14:paraId="0000003D" w14:textId="77777777" w:rsidR="00430B4A" w:rsidRDefault="00000000">
      <w:pPr>
        <w:spacing w:before="240" w:after="240"/>
        <w:rPr>
          <w:b/>
          <w:u w:val="single"/>
        </w:rPr>
      </w:pPr>
      <w:r>
        <w:t xml:space="preserve">Festivals and performances featuring </w:t>
      </w:r>
      <w:r>
        <w:rPr>
          <w:b/>
          <w:u w:val="single"/>
        </w:rPr>
        <w:t>multicultural arts encourage dialogue and collaboration between communities, reinforcing the idea that, despite differences, art is a universal language that can bring people together. Thus, the performing arts are pivotal in celebrating diversity, fostering creativity, and building a more inclusive society.</w:t>
      </w:r>
    </w:p>
    <w:p w14:paraId="0000003E" w14:textId="77777777" w:rsidR="00430B4A" w:rsidRDefault="00430B4A">
      <w:pPr>
        <w:spacing w:before="240" w:after="240"/>
      </w:pPr>
    </w:p>
    <w:p w14:paraId="0000003F" w14:textId="77777777" w:rsidR="00430B4A" w:rsidRDefault="00000000" w:rsidP="00ED5D9B">
      <w:pPr>
        <w:pStyle w:val="Heading4"/>
      </w:pPr>
      <w:r>
        <w:t xml:space="preserve">Independent and </w:t>
      </w:r>
      <w:proofErr w:type="spellStart"/>
      <w:proofErr w:type="gramStart"/>
      <w:r>
        <w:t>Non Profit</w:t>
      </w:r>
      <w:proofErr w:type="spellEnd"/>
      <w:proofErr w:type="gramEnd"/>
      <w:r>
        <w:t xml:space="preserve"> Performing Arts contributes to the overall economic health of communities. Forbes 23</w:t>
      </w:r>
    </w:p>
    <w:p w14:paraId="00000040" w14:textId="77777777" w:rsidR="00430B4A" w:rsidRDefault="00000000">
      <w:pPr>
        <w:spacing w:before="240" w:after="240"/>
      </w:pPr>
      <w:r>
        <w:rPr>
          <w:rFonts w:ascii="Times New Roman" w:eastAsia="Times New Roman" w:hAnsi="Times New Roman" w:cs="Times New Roman"/>
          <w:color w:val="05103E"/>
        </w:rPr>
        <w:t xml:space="preserve">McClimon, T. J. (2023, October 16). </w:t>
      </w:r>
      <w:r>
        <w:rPr>
          <w:rFonts w:ascii="Times New Roman" w:eastAsia="Times New Roman" w:hAnsi="Times New Roman" w:cs="Times New Roman"/>
          <w:i/>
          <w:color w:val="05103E"/>
        </w:rPr>
        <w:t>The economic impact of local arts and culture businesses</w:t>
      </w:r>
      <w:r>
        <w:rPr>
          <w:rFonts w:ascii="Times New Roman" w:eastAsia="Times New Roman" w:hAnsi="Times New Roman" w:cs="Times New Roman"/>
          <w:color w:val="05103E"/>
        </w:rPr>
        <w:t>. Forbes. https://www.forbes.com/sites/timothyjmcclimon/2023/10/16/the-economic-impact-of-local-arts-and-culture-businesses/</w:t>
      </w:r>
    </w:p>
    <w:p w14:paraId="00000041" w14:textId="77777777" w:rsidR="00430B4A" w:rsidRDefault="00000000">
      <w:pPr>
        <w:spacing w:before="240" w:after="240"/>
        <w:rPr>
          <w:highlight w:val="yellow"/>
        </w:rPr>
      </w:pPr>
      <w:r>
        <w:rPr>
          <w:b/>
          <w:highlight w:val="yellow"/>
          <w:u w:val="single"/>
        </w:rPr>
        <w:t>Nationally, the nonprofit arts and culture sector generated $151.7 billion of economic activity in 2022 — $73.3 billion in spending by arts and culture organizations and an additional $78.4 billion in event-related expenditures by their audiences. The industry supported over 2.6 million jobs, provided $101 billion in personal income to residents, and generated $29.1 billion in tax revenue to local, state, and federal governments.</w:t>
      </w:r>
    </w:p>
    <w:p w14:paraId="00000042" w14:textId="77777777" w:rsidR="00430B4A" w:rsidRDefault="00000000">
      <w:pPr>
        <w:spacing w:before="240" w:after="240"/>
        <w:rPr>
          <w:highlight w:val="yellow"/>
        </w:rPr>
      </w:pPr>
      <w:r>
        <w:t xml:space="preserve">“Mayors understand the connection between the arts industry and city revenues,” said Reno, Nevada Mayor Hillary Schieve. </w:t>
      </w:r>
      <w:r>
        <w:rPr>
          <w:b/>
          <w:highlight w:val="yellow"/>
          <w:u w:val="single"/>
        </w:rPr>
        <w:t>“Arts activity creates thousands of direct and indirect jobs and generates billions in government and business revenues. The arts also make our cities destinations for tourists, help attract and retain businesses, and play an important role in the economic revitalization of cities and the vibrancy of our neighborhoods.</w:t>
      </w:r>
      <w:r>
        <w:rPr>
          <w:highlight w:val="yellow"/>
        </w:rPr>
        <w:t>”</w:t>
      </w:r>
    </w:p>
    <w:p w14:paraId="00000043" w14:textId="77777777" w:rsidR="00430B4A" w:rsidRDefault="00430B4A">
      <w:pPr>
        <w:spacing w:before="240" w:after="240"/>
      </w:pPr>
    </w:p>
    <w:p w14:paraId="00000044" w14:textId="77777777" w:rsidR="00430B4A" w:rsidRDefault="00000000" w:rsidP="00ED5D9B">
      <w:pPr>
        <w:pStyle w:val="Heading4"/>
      </w:pPr>
      <w:r>
        <w:t>Performing Arts are key to political resistance.  Hall 24</w:t>
      </w:r>
    </w:p>
    <w:p w14:paraId="00000045" w14:textId="77777777" w:rsidR="00430B4A" w:rsidRDefault="00000000">
      <w:pPr>
        <w:spacing w:before="240" w:after="240"/>
      </w:pPr>
      <w:r>
        <w:rPr>
          <w:rFonts w:ascii="Times New Roman" w:eastAsia="Times New Roman" w:hAnsi="Times New Roman" w:cs="Times New Roman"/>
          <w:color w:val="05103E"/>
        </w:rPr>
        <w:t xml:space="preserve">Hall, T. (2024, November 4). </w:t>
      </w:r>
      <w:r>
        <w:rPr>
          <w:rFonts w:ascii="Times New Roman" w:eastAsia="Times New Roman" w:hAnsi="Times New Roman" w:cs="Times New Roman"/>
          <w:i/>
          <w:color w:val="05103E"/>
        </w:rPr>
        <w:t>Why performing arts matter: Its impact on communities</w:t>
      </w:r>
      <w:r>
        <w:rPr>
          <w:rFonts w:ascii="Times New Roman" w:eastAsia="Times New Roman" w:hAnsi="Times New Roman" w:cs="Times New Roman"/>
          <w:color w:val="05103E"/>
        </w:rPr>
        <w:t>. The Artisan Magazine. https://theartisanmagazine.com/why-performing-arts-matter-its-impact-on-communities/</w:t>
      </w:r>
    </w:p>
    <w:p w14:paraId="00000046" w14:textId="77777777" w:rsidR="00430B4A" w:rsidRDefault="00430B4A">
      <w:pPr>
        <w:spacing w:before="240" w:after="240"/>
        <w:rPr>
          <w:highlight w:val="yellow"/>
        </w:rPr>
      </w:pPr>
    </w:p>
    <w:p w14:paraId="00000047" w14:textId="77777777" w:rsidR="00430B4A" w:rsidRDefault="00000000">
      <w:pPr>
        <w:spacing w:before="240" w:after="240"/>
        <w:rPr>
          <w:b/>
          <w:highlight w:val="yellow"/>
          <w:u w:val="single"/>
        </w:rPr>
      </w:pPr>
      <w:r>
        <w:rPr>
          <w:b/>
          <w:highlight w:val="yellow"/>
          <w:u w:val="single"/>
        </w:rPr>
        <w:t xml:space="preserve">Performances often tackle social, political, and environmental issues, using the arts to raise awareness and challenge norms. By engaging audiences, they educate them and highlight essential causes. Post-performance </w:t>
      </w:r>
      <w:proofErr w:type="gramStart"/>
      <w:r>
        <w:rPr>
          <w:b/>
          <w:highlight w:val="yellow"/>
          <w:u w:val="single"/>
        </w:rPr>
        <w:t>discussions—</w:t>
      </w:r>
      <w:proofErr w:type="gramEnd"/>
      <w:r>
        <w:rPr>
          <w:b/>
          <w:highlight w:val="yellow"/>
          <w:u w:val="single"/>
        </w:rPr>
        <w:t xml:space="preserve">whether through formal panels or informal </w:t>
      </w:r>
      <w:proofErr w:type="gramStart"/>
      <w:r>
        <w:rPr>
          <w:b/>
          <w:highlight w:val="yellow"/>
          <w:u w:val="single"/>
        </w:rPr>
        <w:t>conversations—</w:t>
      </w:r>
      <w:proofErr w:type="gramEnd"/>
      <w:r>
        <w:rPr>
          <w:b/>
          <w:highlight w:val="yellow"/>
          <w:u w:val="single"/>
        </w:rPr>
        <w:t>can spark meaningful dialogue, fostering more profound understanding and inspiring collective action.</w:t>
      </w:r>
    </w:p>
    <w:p w14:paraId="00000048" w14:textId="77777777" w:rsidR="00430B4A" w:rsidRDefault="00430B4A">
      <w:pPr>
        <w:spacing w:before="240" w:after="240"/>
      </w:pPr>
    </w:p>
    <w:p w14:paraId="00000049" w14:textId="77777777" w:rsidR="00430B4A" w:rsidRDefault="00430B4A">
      <w:pPr>
        <w:spacing w:before="240" w:after="240"/>
      </w:pPr>
    </w:p>
    <w:p w14:paraId="0000004A" w14:textId="77777777" w:rsidR="00430B4A" w:rsidRDefault="00430B4A">
      <w:pPr>
        <w:spacing w:before="240" w:after="240"/>
      </w:pPr>
    </w:p>
    <w:p w14:paraId="00000054" w14:textId="63FFA1F8" w:rsidR="00430B4A" w:rsidRDefault="00430B4A">
      <w:pPr>
        <w:spacing w:before="240" w:after="240"/>
      </w:pPr>
    </w:p>
    <w:sectPr w:rsidR="00430B4A">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39B5D" w14:textId="77777777" w:rsidR="007327F5" w:rsidRDefault="007327F5">
      <w:pPr>
        <w:spacing w:after="0" w:line="240" w:lineRule="auto"/>
      </w:pPr>
      <w:r>
        <w:separator/>
      </w:r>
    </w:p>
  </w:endnote>
  <w:endnote w:type="continuationSeparator" w:id="0">
    <w:p w14:paraId="41A73F97" w14:textId="77777777" w:rsidR="007327F5" w:rsidRDefault="00732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0E5A666-7D1E-4337-874C-17AD2DD5ACCF}"/>
    <w:embedBold r:id="rId2" w:fontKey="{42AB5EC8-A656-44BA-AA7F-65364D569738}"/>
    <w:embedItalic r:id="rId3" w:fontKey="{859DFB58-B462-44CB-B757-F0F899AF7DA7}"/>
  </w:font>
  <w:font w:name="Cambria">
    <w:panose1 w:val="02040503050406030204"/>
    <w:charset w:val="00"/>
    <w:family w:val="roman"/>
    <w:pitch w:val="variable"/>
    <w:sig w:usb0="E00006FF" w:usb1="420024FF" w:usb2="02000000" w:usb3="00000000" w:csb0="0000019F" w:csb1="00000000"/>
    <w:embedRegular r:id="rId4" w:fontKey="{C1627C1C-227B-4BBB-82C3-96B891691044}"/>
    <w:embedBold r:id="rId5" w:fontKey="{ED196ADA-B012-47E1-B48B-9DD12347CD72}"/>
    <w:embedItalic r:id="rId6" w:fontKey="{EF7346B3-18D3-4567-B27A-29A241D2C197}"/>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5" w14:textId="77777777" w:rsidR="00430B4A" w:rsidRDefault="00000000">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61373" w14:textId="77777777" w:rsidR="007327F5" w:rsidRDefault="007327F5">
      <w:pPr>
        <w:spacing w:after="0" w:line="240" w:lineRule="auto"/>
      </w:pPr>
      <w:r>
        <w:separator/>
      </w:r>
    </w:p>
  </w:footnote>
  <w:footnote w:type="continuationSeparator" w:id="0">
    <w:p w14:paraId="0F41F213" w14:textId="77777777" w:rsidR="007327F5" w:rsidRDefault="007327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77463B"/>
    <w:multiLevelType w:val="multilevel"/>
    <w:tmpl w:val="27CC3B6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DDD2223"/>
    <w:multiLevelType w:val="multilevel"/>
    <w:tmpl w:val="A058DCE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E203B9B"/>
    <w:multiLevelType w:val="multilevel"/>
    <w:tmpl w:val="AF7E1E8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69056268">
    <w:abstractNumId w:val="16"/>
  </w:num>
  <w:num w:numId="2" w16cid:durableId="964652029">
    <w:abstractNumId w:val="15"/>
  </w:num>
  <w:num w:numId="3" w16cid:durableId="552545426">
    <w:abstractNumId w:val="10"/>
  </w:num>
  <w:num w:numId="4" w16cid:durableId="909073978">
    <w:abstractNumId w:val="14"/>
  </w:num>
  <w:num w:numId="5" w16cid:durableId="1170870560">
    <w:abstractNumId w:val="9"/>
  </w:num>
  <w:num w:numId="6" w16cid:durableId="833834185">
    <w:abstractNumId w:val="7"/>
  </w:num>
  <w:num w:numId="7" w16cid:durableId="483855610">
    <w:abstractNumId w:val="6"/>
  </w:num>
  <w:num w:numId="8" w16cid:durableId="490291629">
    <w:abstractNumId w:val="5"/>
  </w:num>
  <w:num w:numId="9" w16cid:durableId="1864976328">
    <w:abstractNumId w:val="4"/>
  </w:num>
  <w:num w:numId="10" w16cid:durableId="2064716988">
    <w:abstractNumId w:val="8"/>
  </w:num>
  <w:num w:numId="11" w16cid:durableId="1002856598">
    <w:abstractNumId w:val="3"/>
  </w:num>
  <w:num w:numId="12" w16cid:durableId="1377390552">
    <w:abstractNumId w:val="2"/>
  </w:num>
  <w:num w:numId="13" w16cid:durableId="1014767844">
    <w:abstractNumId w:val="1"/>
  </w:num>
  <w:num w:numId="14" w16cid:durableId="183520292">
    <w:abstractNumId w:val="0"/>
  </w:num>
  <w:num w:numId="15" w16cid:durableId="1205605210">
    <w:abstractNumId w:val="13"/>
  </w:num>
  <w:num w:numId="16" w16cid:durableId="1695883432">
    <w:abstractNumId w:val="12"/>
  </w:num>
  <w:num w:numId="17"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B4A"/>
    <w:rsid w:val="00430B4A"/>
    <w:rsid w:val="007327F5"/>
    <w:rsid w:val="008D2738"/>
    <w:rsid w:val="00B204C4"/>
    <w:rsid w:val="00ED5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18D80"/>
  <w15:docId w15:val="{94D7290E-417F-4806-9102-A010EE08E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D2738"/>
    <w:pPr>
      <w:spacing w:after="160" w:line="259" w:lineRule="auto"/>
    </w:pPr>
    <w:rPr>
      <w:rFonts w:ascii="Calibri" w:eastAsiaTheme="minorHAnsi" w:hAnsi="Calibri" w:cs="Calibri"/>
      <w:lang w:val="en-US"/>
    </w:rPr>
  </w:style>
  <w:style w:type="paragraph" w:styleId="Heading1">
    <w:name w:val="heading 1"/>
    <w:aliases w:val="Pocket"/>
    <w:basedOn w:val="Normal"/>
    <w:next w:val="Normal"/>
    <w:link w:val="Heading1Char"/>
    <w:qFormat/>
    <w:rsid w:val="008D27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D27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D27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8D273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D2738"/>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rsid w:val="008D27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2738"/>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character" w:styleId="Emphasis">
    <w:name w:val="Emphasis"/>
    <w:basedOn w:val="DefaultParagraphFont"/>
    <w:uiPriority w:val="8"/>
    <w:qFormat/>
    <w:rsid w:val="008D273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D2738"/>
    <w:rPr>
      <w:color w:val="auto"/>
      <w:u w:val="none"/>
    </w:rPr>
  </w:style>
  <w:style w:type="character" w:customStyle="1" w:styleId="Heading1Char">
    <w:name w:val="Heading 1 Char"/>
    <w:aliases w:val="Pocket Char"/>
    <w:basedOn w:val="DefaultParagraphFont"/>
    <w:link w:val="Heading1"/>
    <w:rsid w:val="008D2738"/>
    <w:rPr>
      <w:rFonts w:ascii="Calibri" w:eastAsiaTheme="majorEastAsia" w:hAnsi="Calibri" w:cstheme="majorBidi"/>
      <w:b/>
      <w:sz w:val="52"/>
      <w:szCs w:val="32"/>
      <w:lang w:val="en-US"/>
    </w:rPr>
  </w:style>
  <w:style w:type="character" w:customStyle="1" w:styleId="Heading2Char">
    <w:name w:val="Heading 2 Char"/>
    <w:aliases w:val="Hat Char"/>
    <w:basedOn w:val="DefaultParagraphFont"/>
    <w:link w:val="Heading2"/>
    <w:uiPriority w:val="1"/>
    <w:rsid w:val="008D2738"/>
    <w:rPr>
      <w:rFonts w:ascii="Calibri" w:eastAsiaTheme="majorEastAsia" w:hAnsi="Calibri" w:cstheme="majorBidi"/>
      <w:b/>
      <w:sz w:val="44"/>
      <w:szCs w:val="26"/>
      <w:u w:val="double"/>
      <w:lang w:val="en-US"/>
    </w:rPr>
  </w:style>
  <w:style w:type="character" w:customStyle="1" w:styleId="Heading3Char">
    <w:name w:val="Heading 3 Char"/>
    <w:aliases w:val="Block Char"/>
    <w:basedOn w:val="DefaultParagraphFont"/>
    <w:link w:val="Heading3"/>
    <w:uiPriority w:val="2"/>
    <w:rsid w:val="008D2738"/>
    <w:rPr>
      <w:rFonts w:ascii="Calibri" w:eastAsiaTheme="majorEastAsia" w:hAnsi="Calibri" w:cstheme="majorBidi"/>
      <w:b/>
      <w:sz w:val="32"/>
      <w:szCs w:val="24"/>
      <w:u w:val="single"/>
      <w:lang w:val="en-US"/>
    </w:rPr>
  </w:style>
  <w:style w:type="character" w:customStyle="1" w:styleId="Heading4Char">
    <w:name w:val="Heading 4 Char"/>
    <w:aliases w:val="Tag Char"/>
    <w:basedOn w:val="DefaultParagraphFont"/>
    <w:link w:val="Heading4"/>
    <w:uiPriority w:val="3"/>
    <w:rsid w:val="008D2738"/>
    <w:rPr>
      <w:rFonts w:ascii="Calibri" w:eastAsiaTheme="majorEastAsia" w:hAnsi="Calibri" w:cstheme="majorBidi"/>
      <w:b/>
      <w:iCs/>
      <w:sz w:val="26"/>
      <w:lang w:val="en-US"/>
    </w:rPr>
  </w:style>
  <w:style w:type="character" w:customStyle="1" w:styleId="Style13ptBold">
    <w:name w:val="Style 13 pt Bold"/>
    <w:aliases w:val="Cite"/>
    <w:basedOn w:val="DefaultParagraphFont"/>
    <w:uiPriority w:val="6"/>
    <w:qFormat/>
    <w:rsid w:val="008D2738"/>
    <w:rPr>
      <w:b/>
      <w:bCs/>
      <w:sz w:val="26"/>
      <w:u w:val="none"/>
    </w:rPr>
  </w:style>
  <w:style w:type="character" w:customStyle="1" w:styleId="StyleUnderline">
    <w:name w:val="Style Underline"/>
    <w:aliases w:val="Underline"/>
    <w:basedOn w:val="DefaultParagraphFont"/>
    <w:uiPriority w:val="7"/>
    <w:qFormat/>
    <w:rsid w:val="008D2738"/>
    <w:rPr>
      <w:b w:val="0"/>
      <w:sz w:val="22"/>
      <w:u w:val="single"/>
    </w:rPr>
  </w:style>
  <w:style w:type="character" w:styleId="Strong">
    <w:name w:val="Strong"/>
    <w:basedOn w:val="DefaultParagraphFont"/>
    <w:uiPriority w:val="22"/>
    <w:qFormat/>
    <w:rsid w:val="008D2738"/>
    <w:rPr>
      <w:b/>
      <w:bCs/>
    </w:rPr>
  </w:style>
  <w:style w:type="character" w:styleId="BookTitle">
    <w:name w:val="Book Title"/>
    <w:basedOn w:val="DefaultParagraphFont"/>
    <w:uiPriority w:val="33"/>
    <w:qFormat/>
    <w:rsid w:val="008D2738"/>
    <w:rPr>
      <w:b/>
      <w:bCs/>
      <w:i/>
      <w:iCs/>
      <w:spacing w:val="5"/>
    </w:rPr>
  </w:style>
  <w:style w:type="character" w:customStyle="1" w:styleId="Heading5Char">
    <w:name w:val="Heading 5 Char"/>
    <w:basedOn w:val="DefaultParagraphFont"/>
    <w:link w:val="Heading5"/>
    <w:uiPriority w:val="9"/>
    <w:semiHidden/>
    <w:rsid w:val="008D2738"/>
    <w:rPr>
      <w:rFonts w:asciiTheme="majorHAnsi" w:eastAsiaTheme="majorEastAsia" w:hAnsiTheme="majorHAnsi" w:cstheme="majorBidi"/>
      <w:color w:val="365F91" w:themeColor="accent1" w:themeShade="BF"/>
      <w:lang w:val="en-US"/>
    </w:rPr>
  </w:style>
  <w:style w:type="numbering" w:styleId="111111">
    <w:name w:val="Outline List 2"/>
    <w:basedOn w:val="NoList"/>
    <w:uiPriority w:val="99"/>
    <w:semiHidden/>
    <w:unhideWhenUsed/>
    <w:rsid w:val="008D2738"/>
  </w:style>
  <w:style w:type="paragraph" w:styleId="Header">
    <w:name w:val="header"/>
    <w:basedOn w:val="Normal"/>
    <w:link w:val="HeaderChar"/>
    <w:uiPriority w:val="99"/>
    <w:semiHidden/>
    <w:rsid w:val="008D273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D2738"/>
    <w:rPr>
      <w:rFonts w:ascii="Calibri" w:eastAsiaTheme="minorHAnsi" w:hAnsi="Calibri" w:cs="Calibri"/>
      <w:lang w:val="en-US"/>
    </w:rPr>
  </w:style>
  <w:style w:type="paragraph" w:styleId="Footer">
    <w:name w:val="footer"/>
    <w:basedOn w:val="Normal"/>
    <w:link w:val="FooterChar"/>
    <w:uiPriority w:val="99"/>
    <w:semiHidden/>
    <w:rsid w:val="008D273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D2738"/>
    <w:rPr>
      <w:rFonts w:ascii="Calibri" w:eastAsiaTheme="minorHAnsi" w:hAnsi="Calibri" w:cs="Calibri"/>
      <w:lang w:val="en-US"/>
    </w:rPr>
  </w:style>
  <w:style w:type="paragraph" w:styleId="BodyText">
    <w:name w:val="Body Text"/>
    <w:basedOn w:val="Normal"/>
    <w:link w:val="BodyTextChar"/>
    <w:uiPriority w:val="99"/>
    <w:semiHidden/>
    <w:unhideWhenUsed/>
    <w:rsid w:val="008D2738"/>
    <w:pPr>
      <w:spacing w:after="120"/>
    </w:pPr>
  </w:style>
  <w:style w:type="character" w:customStyle="1" w:styleId="BodyTextChar">
    <w:name w:val="Body Text Char"/>
    <w:basedOn w:val="DefaultParagraphFont"/>
    <w:link w:val="BodyText"/>
    <w:uiPriority w:val="99"/>
    <w:semiHidden/>
    <w:rsid w:val="008D2738"/>
    <w:rPr>
      <w:rFonts w:ascii="Calibri" w:eastAsiaTheme="minorHAnsi" w:hAnsi="Calibri" w:cs="Calibri"/>
      <w:lang w:val="en-US"/>
    </w:rPr>
  </w:style>
  <w:style w:type="paragraph" w:styleId="NoSpacing">
    <w:name w:val="No Spacing"/>
    <w:link w:val="NoSpacingChar"/>
    <w:uiPriority w:val="99"/>
    <w:unhideWhenUsed/>
    <w:qFormat/>
    <w:rsid w:val="008D2738"/>
    <w:pPr>
      <w:spacing w:line="240" w:lineRule="auto"/>
    </w:pPr>
    <w:rPr>
      <w:rFonts w:ascii="Calibri" w:eastAsiaTheme="minorHAnsi" w:hAnsi="Calibri" w:cs="Calibri"/>
      <w:lang w:val="en-US"/>
    </w:rPr>
  </w:style>
  <w:style w:type="character" w:customStyle="1" w:styleId="NoSpacingChar">
    <w:name w:val="No Spacing Char"/>
    <w:basedOn w:val="DefaultParagraphFont"/>
    <w:link w:val="NoSpacing"/>
    <w:uiPriority w:val="99"/>
    <w:rsid w:val="008D2738"/>
    <w:rPr>
      <w:rFonts w:ascii="Calibri" w:eastAsiaTheme="minorHAnsi" w:hAnsi="Calibri" w:cs="Calibri"/>
      <w:lang w:val="en-US"/>
    </w:rPr>
  </w:style>
  <w:style w:type="character" w:styleId="Hyperlink">
    <w:name w:val="Hyperlink"/>
    <w:basedOn w:val="DefaultParagraphFont"/>
    <w:uiPriority w:val="99"/>
    <w:unhideWhenUsed/>
    <w:rsid w:val="008D2738"/>
    <w:rPr>
      <w:color w:val="0000FF" w:themeColor="hyperlink"/>
      <w:u w:val="single"/>
    </w:rPr>
  </w:style>
  <w:style w:type="character" w:styleId="UnresolvedMention">
    <w:name w:val="Unresolved Mention"/>
    <w:basedOn w:val="DefaultParagraphFont"/>
    <w:uiPriority w:val="99"/>
    <w:semiHidden/>
    <w:unhideWhenUsed/>
    <w:rsid w:val="008D27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k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4</TotalTime>
  <Pages>1</Pages>
  <Words>2873</Words>
  <Characters>16381</Characters>
  <Application>Microsoft Office Word</Application>
  <DocSecurity>0</DocSecurity>
  <Lines>136</Lines>
  <Paragraphs>38</Paragraphs>
  <ScaleCrop>false</ScaleCrop>
  <Company/>
  <LinksUpToDate>false</LinksUpToDate>
  <CharactersWithSpaces>19216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 School Debate</dc:creator>
  <cp:lastModifiedBy>V Keenan</cp:lastModifiedBy>
  <cp:revision>3</cp:revision>
  <dcterms:created xsi:type="dcterms:W3CDTF">2025-11-08T14:07:00Z</dcterms:created>
  <dcterms:modified xsi:type="dcterms:W3CDTF">2025-11-08T14:10:00Z</dcterms:modified>
</cp:coreProperties>
</file>