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E75B" w14:textId="77777777" w:rsidR="001E49AB" w:rsidRDefault="001E49AB" w:rsidP="001E49AB">
      <w:pPr>
        <w:pStyle w:val="Heading2"/>
      </w:pPr>
      <w:r>
        <w:rPr>
          <w:rFonts w:ascii="Calibri" w:eastAsia="Calibri" w:hAnsi="Calibri" w:cs="Calibri"/>
        </w:rPr>
        <w:t>Observation 1: The Sqo</w:t>
      </w:r>
    </w:p>
    <w:p w14:paraId="38EF7576" w14:textId="77777777" w:rsidR="001E49AB" w:rsidRDefault="001E49AB" w:rsidP="001E49AB">
      <w:pPr>
        <w:pStyle w:val="Heading4"/>
        <w:numPr>
          <w:ilvl w:val="0"/>
          <w:numId w:val="3"/>
        </w:numPr>
        <w:tabs>
          <w:tab w:val="num" w:pos="360"/>
        </w:tabs>
        <w:ind w:left="0" w:firstLine="0"/>
      </w:pPr>
      <w:r>
        <w:t>Current federal laws place significant income restrictions on those who claim disability benefits.  Social Security Administration, 2025</w:t>
      </w:r>
    </w:p>
    <w:p w14:paraId="5579FCD1" w14:textId="77777777" w:rsidR="001E49AB" w:rsidRDefault="001E49AB" w:rsidP="001E49AB">
      <w:r>
        <w:t xml:space="preserve">Social Security Administration Website-Substantial Gainful Activity, Year 2025; </w:t>
      </w:r>
      <w:hyperlink r:id="rId5">
        <w:r>
          <w:rPr>
            <w:color w:val="000000"/>
          </w:rPr>
          <w:t>https://www.ssa.gov/oact/cola/sga.html</w:t>
        </w:r>
      </w:hyperlink>
    </w:p>
    <w:p w14:paraId="43E4CCAB" w14:textId="77777777" w:rsidR="001E49AB" w:rsidRDefault="001E49AB" w:rsidP="001E49AB">
      <w:pPr>
        <w:spacing w:line="240" w:lineRule="auto"/>
        <w:rPr>
          <w:b/>
          <w:u w:val="single"/>
        </w:rPr>
      </w:pPr>
      <w:bookmarkStart w:id="0" w:name="_heading=h.yg79433vdiou" w:colFirst="0" w:colLast="0"/>
      <w:bookmarkEnd w:id="0"/>
      <w:r>
        <w:rPr>
          <w:b/>
          <w:highlight w:val="yellow"/>
          <w:u w:val="single"/>
        </w:rPr>
        <w:t>To be eligible for disability benefits, a person must be unable to engage in substantial gainful activity</w:t>
      </w:r>
      <w:r>
        <w:rPr>
          <w:b/>
        </w:rPr>
        <w:t xml:space="preserve"> </w:t>
      </w:r>
      <w:r>
        <w:t>(SGA).</w:t>
      </w:r>
      <w:r>
        <w:rPr>
          <w:b/>
          <w:u w:val="single"/>
        </w:rPr>
        <w:t xml:space="preserve"> A person who is earning more than a certain monthly amount (net of impairment-related work expenses) is ordinarily considered to be engaging in SGA. </w:t>
      </w:r>
      <w:r>
        <w:rPr>
          <w:b/>
          <w:highlight w:val="yellow"/>
          <w:u w:val="single"/>
        </w:rPr>
        <w:t>The amount of monthly earnings considered as SGA depends on the nature of a person's disability. The Social Security Act specifies a higher SGA amount for statutorily blind individuals; Federal regulations specify a lower SGA amount for non-blind individuals.</w:t>
      </w:r>
      <w:r>
        <w:rPr>
          <w:b/>
          <w:u w:val="single"/>
        </w:rPr>
        <w:t xml:space="preserve"> Both SGA amounts generally change with changes in the national average wage index.</w:t>
      </w:r>
    </w:p>
    <w:p w14:paraId="3B8CA7CB" w14:textId="77777777" w:rsidR="001E49AB" w:rsidRDefault="001E49AB" w:rsidP="001E49AB">
      <w:pPr>
        <w:spacing w:line="240" w:lineRule="auto"/>
      </w:pPr>
      <w:r>
        <w:t>Amounts for 2025</w:t>
      </w:r>
    </w:p>
    <w:p w14:paraId="1E0DF143" w14:textId="77777777" w:rsidR="001E49AB" w:rsidRDefault="001E49AB" w:rsidP="001E49AB">
      <w:pPr>
        <w:spacing w:line="240" w:lineRule="auto"/>
      </w:pPr>
      <w:r>
        <w:rPr>
          <w:b/>
          <w:highlight w:val="yellow"/>
          <w:u w:val="single"/>
        </w:rPr>
        <w:t>The monthly SGA amount for statutorily blind individuals for 2025 is $2700. For non-blind individuals, the monthly SGA amount for 2025 is $1620. SGA for the blind does not apply to Supplemental Security Income (SSI) benefits, while SGA for the non-blind disabled applies to Social Security and SSI benefits</w:t>
      </w:r>
      <w:r>
        <w:rPr>
          <w:b/>
        </w:rPr>
        <w:t xml:space="preserve">. </w:t>
      </w:r>
      <w:r>
        <w:t>See historical series of SGA amounts below.</w:t>
      </w:r>
    </w:p>
    <w:p w14:paraId="17ED5B01" w14:textId="77777777" w:rsidR="001E49AB" w:rsidRDefault="001E49AB" w:rsidP="001E49AB">
      <w:pPr>
        <w:spacing w:line="240" w:lineRule="auto"/>
      </w:pPr>
    </w:p>
    <w:p w14:paraId="07C8E9AB" w14:textId="77777777" w:rsidR="001E49AB" w:rsidRDefault="001E49AB" w:rsidP="001E49AB">
      <w:pPr>
        <w:pStyle w:val="Heading4"/>
        <w:numPr>
          <w:ilvl w:val="0"/>
          <w:numId w:val="3"/>
        </w:numPr>
        <w:tabs>
          <w:tab w:val="num" w:pos="360"/>
        </w:tabs>
        <w:ind w:left="0" w:firstLine="0"/>
      </w:pPr>
      <w:r>
        <w:t>Minimum wage would exceed the SGA in most states. The SSA definitions functionally force a choice between claiming disability support services or the ability to earn income.  Brooks, 24</w:t>
      </w:r>
    </w:p>
    <w:p w14:paraId="41B8F05B"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Brooks, Jennifer; Nov 4, 2024; “For Many Disabled People, Work Has a Price Tag”; Center for Applied Research on Work - Carow Policy Lab; Cornell School of Industrial and Labor  Relations; Jennifer Brooks is a Research Associate, Yang-Tan Institute on Employment and Disability; </w:t>
      </w:r>
      <w:hyperlink r:id="rId6">
        <w:r>
          <w:rPr>
            <w:rFonts w:ascii="Times New Roman" w:eastAsia="Times New Roman" w:hAnsi="Times New Roman" w:cs="Times New Roman"/>
            <w:color w:val="000000"/>
          </w:rPr>
          <w:t>https://www.ilr.cornell.edu/carow/carow-policy/many-disabled-people-work-has-price-tag</w:t>
        </w:r>
      </w:hyperlink>
    </w:p>
    <w:p w14:paraId="6EE9A57A" w14:textId="77777777" w:rsidR="001E49AB" w:rsidRDefault="001E49AB" w:rsidP="001E49AB">
      <w:p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p>
    <w:p w14:paraId="147E3208" w14:textId="77777777" w:rsidR="001E49AB" w:rsidRDefault="001E49AB" w:rsidP="001E49AB">
      <w:pPr>
        <w:pBdr>
          <w:top w:val="nil"/>
          <w:left w:val="nil"/>
          <w:bottom w:val="nil"/>
          <w:right w:val="nil"/>
          <w:between w:val="nil"/>
        </w:pBdr>
        <w:shd w:val="clear" w:color="auto" w:fill="FFFFFF"/>
        <w:spacing w:after="280"/>
        <w:rPr>
          <w:rFonts w:ascii="Times New Roman" w:eastAsia="Times New Roman" w:hAnsi="Times New Roman" w:cs="Times New Roman"/>
          <w:color w:val="000000"/>
          <w:sz w:val="24"/>
          <w:szCs w:val="24"/>
          <w:highlight w:val="yellow"/>
        </w:rPr>
      </w:pPr>
      <w:r>
        <w:rPr>
          <w:rFonts w:ascii="Arial" w:eastAsia="Arial" w:hAnsi="Arial" w:cs="Arial"/>
          <w:color w:val="222222"/>
          <w:highlight w:val="white"/>
        </w:rPr>
        <w:t xml:space="preserve">An example is </w:t>
      </w:r>
      <w:r>
        <w:rPr>
          <w:rFonts w:ascii="Arial" w:eastAsia="Arial" w:hAnsi="Arial" w:cs="Arial"/>
          <w:b/>
          <w:color w:val="222222"/>
          <w:highlight w:val="yellow"/>
          <w:u w:val="single"/>
        </w:rPr>
        <w:t>the Substantial Gainful Activity threshold</w:t>
      </w:r>
      <w:r>
        <w:rPr>
          <w:rFonts w:ascii="Arial" w:eastAsia="Arial" w:hAnsi="Arial" w:cs="Arial"/>
          <w:color w:val="222222"/>
          <w:highlight w:val="white"/>
        </w:rPr>
        <w:t xml:space="preserve">. This amount </w:t>
      </w:r>
      <w:r>
        <w:rPr>
          <w:rFonts w:ascii="Arial" w:eastAsia="Arial" w:hAnsi="Arial" w:cs="Arial"/>
          <w:b/>
          <w:color w:val="222222"/>
          <w:highlight w:val="yellow"/>
          <w:u w:val="single"/>
        </w:rPr>
        <w:t>is so low that even those earning the minimum wage at 40 hours a week in most states would far exceed it.</w:t>
      </w:r>
      <w:r>
        <w:rPr>
          <w:rFonts w:ascii="Arial" w:eastAsia="Arial" w:hAnsi="Arial" w:cs="Arial"/>
          <w:b/>
          <w:color w:val="222222"/>
          <w:highlight w:val="white"/>
          <w:u w:val="single"/>
        </w:rPr>
        <w:t xml:space="preserve"> The SSA has put in place various “work incentives” to encourage disabled beneficiaries to find and maintain employment, and </w:t>
      </w:r>
      <w:r>
        <w:rPr>
          <w:rFonts w:ascii="Arial" w:eastAsia="Arial" w:hAnsi="Arial" w:cs="Arial"/>
          <w:b/>
          <w:color w:val="222222"/>
          <w:highlight w:val="yellow"/>
          <w:u w:val="single"/>
        </w:rPr>
        <w:t>while these incentives can allow a disabled worker to earn at a higher level, the rules are so confusing that even if a worker understands the rules and reports their work incentives to the SSA correctly, the SSA may not process them properly. This has created a situation where many beneficiaries are afraid to even attempt to enter the labor market.</w:t>
      </w:r>
    </w:p>
    <w:p w14:paraId="4852285C" w14:textId="77777777" w:rsidR="001E49AB" w:rsidRDefault="001E49AB" w:rsidP="001E49AB">
      <w:pPr>
        <w:pBdr>
          <w:top w:val="nil"/>
          <w:left w:val="nil"/>
          <w:bottom w:val="nil"/>
          <w:right w:val="nil"/>
          <w:between w:val="nil"/>
        </w:pBdr>
        <w:rPr>
          <w:b/>
          <w:color w:val="000000"/>
          <w:sz w:val="26"/>
          <w:szCs w:val="26"/>
        </w:rPr>
      </w:pPr>
    </w:p>
    <w:p w14:paraId="12E327E4" w14:textId="77777777" w:rsidR="001E49AB" w:rsidRDefault="001E49AB" w:rsidP="001E49AB"/>
    <w:p w14:paraId="2F7E20D5" w14:textId="77777777" w:rsidR="001E49AB" w:rsidRDefault="001E49AB" w:rsidP="001E49AB"/>
    <w:p w14:paraId="14BE5E67" w14:textId="77777777" w:rsidR="001E49AB" w:rsidRDefault="001E49AB" w:rsidP="001E49AB">
      <w:pPr>
        <w:pStyle w:val="Heading4"/>
        <w:numPr>
          <w:ilvl w:val="0"/>
          <w:numId w:val="3"/>
        </w:numPr>
        <w:tabs>
          <w:tab w:val="num" w:pos="360"/>
        </w:tabs>
        <w:ind w:left="0" w:firstLine="0"/>
      </w:pPr>
      <w:r>
        <w:t>Current laws punish those with disabilities who want to engage in employment by removing critical support services or imposing significant financial penalties. Brooks, 24</w:t>
      </w:r>
    </w:p>
    <w:p w14:paraId="663852C8"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Brooks, Jennifer; Nov 4, 2024; “For Many Disabled People, Work Has a Price Tag”; Center for Applied Research on Work - Carow Policy Lab; Cornell School of Industrial and Labor  Relations; Jennifer </w:t>
      </w:r>
      <w:r>
        <w:rPr>
          <w:rFonts w:ascii="Times New Roman" w:eastAsia="Times New Roman" w:hAnsi="Times New Roman" w:cs="Times New Roman"/>
          <w:color w:val="000000"/>
        </w:rPr>
        <w:lastRenderedPageBreak/>
        <w:t xml:space="preserve">Brooks is a Research Associate, Yang-Tan Institute on Employment and Disability; </w:t>
      </w:r>
      <w:hyperlink r:id="rId7">
        <w:r>
          <w:rPr>
            <w:rFonts w:ascii="Times New Roman" w:eastAsia="Times New Roman" w:hAnsi="Times New Roman" w:cs="Times New Roman"/>
            <w:color w:val="000000"/>
          </w:rPr>
          <w:t>https://www.ilr.cornell.edu/carow/carow-policy/many-disabled-people-work-has-price-tag</w:t>
        </w:r>
      </w:hyperlink>
    </w:p>
    <w:p w14:paraId="19CCB9CB" w14:textId="77777777" w:rsidR="001E49AB" w:rsidRDefault="001E49AB" w:rsidP="001E49AB"/>
    <w:p w14:paraId="5E00733E"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Arial" w:eastAsia="Arial" w:hAnsi="Arial" w:cs="Arial"/>
          <w:b/>
          <w:color w:val="222222"/>
          <w:highlight w:val="yellow"/>
          <w:u w:val="single"/>
        </w:rPr>
        <w:t>Disabled people</w:t>
      </w:r>
      <w:r>
        <w:rPr>
          <w:rFonts w:ascii="Arial" w:eastAsia="Arial" w:hAnsi="Arial" w:cs="Arial"/>
          <w:color w:val="222222"/>
          <w:highlight w:val="white"/>
        </w:rPr>
        <w:t xml:space="preserve"> are </w:t>
      </w:r>
      <w:r>
        <w:rPr>
          <w:rFonts w:ascii="Arial" w:eastAsia="Arial" w:hAnsi="Arial" w:cs="Arial"/>
          <w:b/>
          <w:color w:val="222222"/>
          <w:highlight w:val="yellow"/>
          <w:u w:val="single"/>
        </w:rPr>
        <w:t>capable and willing to work</w:t>
      </w:r>
      <w:r>
        <w:rPr>
          <w:rFonts w:ascii="Arial" w:eastAsia="Arial" w:hAnsi="Arial" w:cs="Arial"/>
          <w:color w:val="222222"/>
          <w:highlight w:val="yellow"/>
        </w:rPr>
        <w:t>.</w:t>
      </w:r>
      <w:r>
        <w:rPr>
          <w:rFonts w:ascii="Arial" w:eastAsia="Arial" w:hAnsi="Arial" w:cs="Arial"/>
          <w:color w:val="222222"/>
          <w:highlight w:val="white"/>
        </w:rPr>
        <w:t xml:space="preserve"> However, here’s the hard truth: we have a system that won’t let us. Those </w:t>
      </w:r>
      <w:r>
        <w:rPr>
          <w:rFonts w:ascii="Arial" w:eastAsia="Arial" w:hAnsi="Arial" w:cs="Arial"/>
          <w:b/>
          <w:color w:val="222222"/>
          <w:highlight w:val="white"/>
          <w:u w:val="single"/>
        </w:rPr>
        <w:t xml:space="preserve">who do find even a little success in the labor market are punished through work-related overpayments and denial of support and services that are available only through public health care. </w:t>
      </w:r>
      <w:r>
        <w:rPr>
          <w:rFonts w:ascii="Arial" w:eastAsia="Arial" w:hAnsi="Arial" w:cs="Arial"/>
          <w:b/>
          <w:color w:val="222222"/>
          <w:highlight w:val="yellow"/>
          <w:u w:val="single"/>
        </w:rPr>
        <w:t>Disabled people deserve the right to work without fear of financial penalties and losing the support they need to live their lives. The only way to achieve this is to completely overhaul the social safety net from a system designed to trap people with disabilities in poverty and government dependence</w:t>
      </w:r>
      <w:r>
        <w:rPr>
          <w:rFonts w:ascii="Arial" w:eastAsia="Arial" w:hAnsi="Arial" w:cs="Arial"/>
          <w:color w:val="222222"/>
          <w:highlight w:val="yellow"/>
        </w:rPr>
        <w:t xml:space="preserve"> </w:t>
      </w:r>
      <w:r>
        <w:rPr>
          <w:rFonts w:ascii="Arial" w:eastAsia="Arial" w:hAnsi="Arial" w:cs="Arial"/>
          <w:color w:val="222222"/>
          <w:highlight w:val="white"/>
        </w:rPr>
        <w:t>to one that helps disabled people live meaningful lives.</w:t>
      </w:r>
    </w:p>
    <w:p w14:paraId="5251EAD6" w14:textId="77777777" w:rsidR="001E49AB" w:rsidRDefault="001E49AB" w:rsidP="001E49AB">
      <w:pPr>
        <w:spacing w:line="240" w:lineRule="auto"/>
      </w:pPr>
    </w:p>
    <w:p w14:paraId="2BAB015D" w14:textId="77777777" w:rsidR="001E49AB" w:rsidRDefault="001E49AB" w:rsidP="001E49AB">
      <w:pPr>
        <w:pStyle w:val="Heading4"/>
        <w:numPr>
          <w:ilvl w:val="0"/>
          <w:numId w:val="3"/>
        </w:numPr>
        <w:tabs>
          <w:tab w:val="num" w:pos="360"/>
        </w:tabs>
        <w:ind w:left="0" w:firstLine="0"/>
      </w:pPr>
      <w:r>
        <w:rPr>
          <w:highlight w:val="white"/>
        </w:rPr>
        <w:t>Disability Benefits in the United States are a complicated combination of supplemental income, health benefits, and leave policies operating at the federal and state level.  Critical support services such as mobility devices and attendant care are not financially accessible without these benefits, but retaining these benefits comes with income limitations that penalize those living with disabilities who wish to pursue engagement in the US labor market. Brooks 24</w:t>
      </w:r>
    </w:p>
    <w:p w14:paraId="5A601CA8"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p>
    <w:p w14:paraId="34384B00"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Brooks, Jennifer; Nov 4, 2024; “For Many Disabled People, Work Has a Price Tag”; Center for Applied Research on Work - Carow Policy Lab; Cornell School of Industrial and Labor  Relations; Jennifer Brooks is a Research Associate, Yang-Tan Institute on Employment and Disability; </w:t>
      </w:r>
      <w:hyperlink r:id="rId8">
        <w:r>
          <w:rPr>
            <w:rFonts w:ascii="Times New Roman" w:eastAsia="Times New Roman" w:hAnsi="Times New Roman" w:cs="Times New Roman"/>
            <w:color w:val="000000"/>
          </w:rPr>
          <w:t>https://www.ilr.cornell.edu/carow/carow-policy/many-disabled-people-work-has-price-tag</w:t>
        </w:r>
      </w:hyperlink>
    </w:p>
    <w:p w14:paraId="6EA1FD0A" w14:textId="77777777" w:rsidR="001E49AB" w:rsidRDefault="001E49AB" w:rsidP="001E49AB"/>
    <w:p w14:paraId="577551C2" w14:textId="77777777" w:rsidR="001E49AB" w:rsidRDefault="001E49AB" w:rsidP="001E49AB">
      <w:p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highlight w:val="yellow"/>
        </w:rPr>
      </w:pPr>
      <w:hyperlink r:id="rId9">
        <w:r>
          <w:rPr>
            <w:rFonts w:ascii="Arial" w:eastAsia="Arial" w:hAnsi="Arial" w:cs="Arial"/>
            <w:b/>
            <w:color w:val="B31B1B"/>
            <w:highlight w:val="yellow"/>
            <w:u w:val="single"/>
          </w:rPr>
          <w:t>Medicaid</w:t>
        </w:r>
      </w:hyperlink>
      <w:r>
        <w:rPr>
          <w:rFonts w:ascii="Arial" w:eastAsia="Arial" w:hAnsi="Arial" w:cs="Arial"/>
          <w:b/>
          <w:color w:val="222222"/>
          <w:highlight w:val="yellow"/>
          <w:u w:val="single"/>
        </w:rPr>
        <w:t xml:space="preserve"> provides life-sustaining services and supports that most private insurers do not offer, such as funding for wheelchairs and attendant care.</w:t>
      </w:r>
    </w:p>
    <w:p w14:paraId="4ACE5352" w14:textId="77777777" w:rsidR="001E49AB" w:rsidRDefault="001E49AB" w:rsidP="001E49AB">
      <w:p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Arial" w:eastAsia="Arial" w:hAnsi="Arial" w:cs="Arial"/>
          <w:b/>
          <w:color w:val="222222"/>
          <w:highlight w:val="yellow"/>
          <w:u w:val="single"/>
        </w:rPr>
        <w:t>Many disabled people</w:t>
      </w:r>
      <w:r>
        <w:rPr>
          <w:rFonts w:ascii="Arial" w:eastAsia="Arial" w:hAnsi="Arial" w:cs="Arial"/>
          <w:color w:val="222222"/>
          <w:highlight w:val="yellow"/>
        </w:rPr>
        <w:t>,</w:t>
      </w:r>
      <w:r>
        <w:rPr>
          <w:rFonts w:ascii="Arial" w:eastAsia="Arial" w:hAnsi="Arial" w:cs="Arial"/>
          <w:color w:val="222222"/>
          <w:highlight w:val="white"/>
        </w:rPr>
        <w:t xml:space="preserve"> including myself, </w:t>
      </w:r>
      <w:r>
        <w:rPr>
          <w:rFonts w:ascii="Arial" w:eastAsia="Arial" w:hAnsi="Arial" w:cs="Arial"/>
          <w:b/>
          <w:color w:val="222222"/>
          <w:highlight w:val="yellow"/>
          <w:u w:val="single"/>
        </w:rPr>
        <w:t>could never afford these vital supports on their own, even with a “good job,</w:t>
      </w:r>
      <w:r>
        <w:rPr>
          <w:rFonts w:ascii="Arial" w:eastAsia="Arial" w:hAnsi="Arial" w:cs="Arial"/>
          <w:color w:val="222222"/>
          <w:highlight w:val="yellow"/>
        </w:rPr>
        <w:t>”</w:t>
      </w:r>
      <w:r>
        <w:rPr>
          <w:rFonts w:ascii="Arial" w:eastAsia="Arial" w:hAnsi="Arial" w:cs="Arial"/>
          <w:b/>
          <w:color w:val="222222"/>
          <w:highlight w:val="yellow"/>
          <w:u w:val="single"/>
        </w:rPr>
        <w:t xml:space="preserve"> so</w:t>
      </w:r>
      <w:r>
        <w:rPr>
          <w:rFonts w:ascii="Arial" w:eastAsia="Arial" w:hAnsi="Arial" w:cs="Arial"/>
          <w:color w:val="222222"/>
          <w:highlight w:val="white"/>
        </w:rPr>
        <w:t xml:space="preserve"> we </w:t>
      </w:r>
      <w:r>
        <w:rPr>
          <w:rFonts w:ascii="Arial" w:eastAsia="Arial" w:hAnsi="Arial" w:cs="Arial"/>
          <w:b/>
          <w:color w:val="222222"/>
          <w:highlight w:val="yellow"/>
          <w:u w:val="single"/>
        </w:rPr>
        <w:t>essentially have two options</w:t>
      </w:r>
      <w:r>
        <w:rPr>
          <w:rFonts w:ascii="Arial" w:eastAsia="Arial" w:hAnsi="Arial" w:cs="Arial"/>
          <w:color w:val="222222"/>
          <w:highlight w:val="yellow"/>
        </w:rPr>
        <w:t>: we can</w:t>
      </w:r>
      <w:r>
        <w:rPr>
          <w:rFonts w:ascii="Arial" w:eastAsia="Arial" w:hAnsi="Arial" w:cs="Arial"/>
          <w:b/>
          <w:color w:val="222222"/>
          <w:highlight w:val="yellow"/>
          <w:u w:val="single"/>
        </w:rPr>
        <w:t xml:space="preserve"> choose not to work so the support and services</w:t>
      </w:r>
      <w:r>
        <w:rPr>
          <w:rFonts w:ascii="Arial" w:eastAsia="Arial" w:hAnsi="Arial" w:cs="Arial"/>
          <w:color w:val="222222"/>
          <w:highlight w:val="white"/>
        </w:rPr>
        <w:t xml:space="preserve"> we need</w:t>
      </w:r>
      <w:r>
        <w:rPr>
          <w:rFonts w:ascii="Arial" w:eastAsia="Arial" w:hAnsi="Arial" w:cs="Arial"/>
          <w:b/>
          <w:color w:val="222222"/>
          <w:highlight w:val="white"/>
          <w:u w:val="single"/>
        </w:rPr>
        <w:t xml:space="preserve"> </w:t>
      </w:r>
      <w:r>
        <w:rPr>
          <w:rFonts w:ascii="Arial" w:eastAsia="Arial" w:hAnsi="Arial" w:cs="Arial"/>
          <w:b/>
          <w:color w:val="222222"/>
          <w:highlight w:val="yellow"/>
          <w:u w:val="single"/>
        </w:rPr>
        <w:t>are never put in jeopardy, or</w:t>
      </w:r>
      <w:r>
        <w:rPr>
          <w:rFonts w:ascii="Arial" w:eastAsia="Arial" w:hAnsi="Arial" w:cs="Arial"/>
          <w:color w:val="222222"/>
          <w:highlight w:val="white"/>
        </w:rPr>
        <w:t xml:space="preserve"> we can</w:t>
      </w:r>
      <w:r>
        <w:rPr>
          <w:rFonts w:ascii="Arial" w:eastAsia="Arial" w:hAnsi="Arial" w:cs="Arial"/>
          <w:b/>
          <w:color w:val="222222"/>
          <w:highlight w:val="white"/>
          <w:u w:val="single"/>
        </w:rPr>
        <w:t xml:space="preserve"> </w:t>
      </w:r>
      <w:r>
        <w:rPr>
          <w:rFonts w:ascii="Arial" w:eastAsia="Arial" w:hAnsi="Arial" w:cs="Arial"/>
          <w:b/>
          <w:color w:val="222222"/>
          <w:highlight w:val="yellow"/>
          <w:u w:val="single"/>
        </w:rPr>
        <w:t xml:space="preserve">hire a team of attorneys to create a series of trusts so we can never “touch” </w:t>
      </w:r>
      <w:r>
        <w:rPr>
          <w:rFonts w:ascii="Arial" w:eastAsia="Arial" w:hAnsi="Arial" w:cs="Arial"/>
          <w:color w:val="222222"/>
          <w:highlight w:val="yellow"/>
        </w:rPr>
        <w:t xml:space="preserve">our </w:t>
      </w:r>
      <w:r>
        <w:rPr>
          <w:rFonts w:ascii="Arial" w:eastAsia="Arial" w:hAnsi="Arial" w:cs="Arial"/>
          <w:b/>
          <w:color w:val="222222"/>
          <w:highlight w:val="yellow"/>
          <w:u w:val="single"/>
        </w:rPr>
        <w:t xml:space="preserve">work earnings in hopes that it will “save” </w:t>
      </w:r>
      <w:r>
        <w:rPr>
          <w:rFonts w:ascii="Arial" w:eastAsia="Arial" w:hAnsi="Arial" w:cs="Arial"/>
          <w:color w:val="222222"/>
          <w:highlight w:val="yellow"/>
        </w:rPr>
        <w:t xml:space="preserve">our </w:t>
      </w:r>
      <w:r>
        <w:rPr>
          <w:rFonts w:ascii="Arial" w:eastAsia="Arial" w:hAnsi="Arial" w:cs="Arial"/>
          <w:b/>
          <w:color w:val="222222"/>
          <w:highlight w:val="yellow"/>
          <w:u w:val="single"/>
        </w:rPr>
        <w:t>benefits.</w:t>
      </w:r>
      <w:r>
        <w:rPr>
          <w:rFonts w:ascii="Arial" w:eastAsia="Arial" w:hAnsi="Arial" w:cs="Arial"/>
          <w:color w:val="222222"/>
          <w:highlight w:val="white"/>
        </w:rPr>
        <w:t xml:space="preserve"> I chose the latter. I trusted my experts to save my benefits. Those experts were wrong.</w:t>
      </w:r>
    </w:p>
    <w:p w14:paraId="685F5471" w14:textId="77777777" w:rsidR="001E49AB" w:rsidRDefault="001E49AB" w:rsidP="001E49AB">
      <w:pPr>
        <w:pBdr>
          <w:top w:val="nil"/>
          <w:left w:val="nil"/>
          <w:bottom w:val="nil"/>
          <w:right w:val="nil"/>
          <w:between w:val="nil"/>
        </w:pBdr>
        <w:shd w:val="clear" w:color="auto" w:fill="FFFFFF"/>
        <w:spacing w:after="280"/>
        <w:rPr>
          <w:rFonts w:ascii="Times New Roman" w:eastAsia="Times New Roman" w:hAnsi="Times New Roman" w:cs="Times New Roman"/>
          <w:color w:val="000000"/>
          <w:sz w:val="24"/>
          <w:szCs w:val="24"/>
        </w:rPr>
      </w:pPr>
      <w:r>
        <w:rPr>
          <w:rFonts w:ascii="Arial" w:eastAsia="Arial" w:hAnsi="Arial" w:cs="Arial"/>
          <w:color w:val="222222"/>
          <w:highlight w:val="white"/>
        </w:rPr>
        <w:t>Two years after I started my dream job, SSA put a price tag on my success – a $100,000 one. While my story may seem extraordinary,</w:t>
      </w:r>
      <w:r>
        <w:rPr>
          <w:rFonts w:ascii="Arial" w:eastAsia="Arial" w:hAnsi="Arial" w:cs="Arial"/>
          <w:b/>
          <w:color w:val="222222"/>
          <w:highlight w:val="white"/>
          <w:u w:val="single"/>
        </w:rPr>
        <w:t xml:space="preserve"> it is, rather ordinary. In fact, according to a </w:t>
      </w:r>
      <w:hyperlink r:id="rId10">
        <w:r>
          <w:rPr>
            <w:rFonts w:ascii="Arial" w:eastAsia="Arial" w:hAnsi="Arial" w:cs="Arial"/>
            <w:b/>
            <w:color w:val="B31B1B"/>
            <w:highlight w:val="white"/>
          </w:rPr>
          <w:t>study published by the SSA</w:t>
        </w:r>
      </w:hyperlink>
      <w:r>
        <w:rPr>
          <w:rFonts w:ascii="Arial" w:eastAsia="Arial" w:hAnsi="Arial" w:cs="Arial"/>
          <w:b/>
          <w:color w:val="222222"/>
          <w:highlight w:val="white"/>
          <w:u w:val="single"/>
        </w:rPr>
        <w:t>, tens of thousands of people with disabilities receive an overpayment notice annually.</w:t>
      </w:r>
    </w:p>
    <w:p w14:paraId="2C376338" w14:textId="77777777" w:rsidR="001E49AB" w:rsidRDefault="001E49AB" w:rsidP="001E49AB">
      <w:pPr>
        <w:spacing w:line="240" w:lineRule="auto"/>
      </w:pPr>
    </w:p>
    <w:p w14:paraId="63E631F6" w14:textId="77777777" w:rsidR="001E49AB" w:rsidRDefault="001E49AB" w:rsidP="001E49AB">
      <w:pPr>
        <w:pStyle w:val="Heading4"/>
        <w:numPr>
          <w:ilvl w:val="0"/>
          <w:numId w:val="3"/>
        </w:numPr>
        <w:tabs>
          <w:tab w:val="num" w:pos="360"/>
        </w:tabs>
        <w:ind w:left="0" w:firstLine="0"/>
        <w:rPr>
          <w:b/>
        </w:rPr>
      </w:pPr>
      <w:r>
        <w:rPr>
          <w:highlight w:val="white"/>
        </w:rPr>
        <w:t>A significant disincentive to employment is the risk of overpayments. While current laws embed trial and grace periods, individuals can be charged significant “overpayments” due to changes in their employment status and the failure of the federal government to adequately maintain their own payment records.  Brooks 24</w:t>
      </w:r>
    </w:p>
    <w:p w14:paraId="1117834F"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p>
    <w:p w14:paraId="4E15387A"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Brooks, Jennifer; Nov 4, 2024; “For Many Disabled People, Work Has a Price Tag”; Center for Applied Research on Work - Carow Policy Lab; Cornell School of Industrial and Labor  Relations; Jennifer </w:t>
      </w:r>
      <w:r>
        <w:rPr>
          <w:rFonts w:ascii="Times New Roman" w:eastAsia="Times New Roman" w:hAnsi="Times New Roman" w:cs="Times New Roman"/>
          <w:color w:val="000000"/>
        </w:rPr>
        <w:lastRenderedPageBreak/>
        <w:t xml:space="preserve">Brooks is a Research Associate, Yang-Tan Institute on Employment and Disability; </w:t>
      </w:r>
      <w:hyperlink r:id="rId11">
        <w:r>
          <w:rPr>
            <w:rFonts w:ascii="Times New Roman" w:eastAsia="Times New Roman" w:hAnsi="Times New Roman" w:cs="Times New Roman"/>
            <w:color w:val="000000"/>
          </w:rPr>
          <w:t>https://www.ilr.cornell.edu/carow/carow-policy/many-disabled-people-work-has-price-tag</w:t>
        </w:r>
      </w:hyperlink>
    </w:p>
    <w:p w14:paraId="1F2484CD" w14:textId="77777777" w:rsidR="001E49AB" w:rsidRDefault="001E49AB" w:rsidP="001E49AB"/>
    <w:p w14:paraId="57077633" w14:textId="77777777" w:rsidR="001E49AB" w:rsidRDefault="001E49AB" w:rsidP="001E49AB">
      <w:pPr>
        <w:pBdr>
          <w:top w:val="nil"/>
          <w:left w:val="nil"/>
          <w:bottom w:val="nil"/>
          <w:right w:val="nil"/>
          <w:between w:val="nil"/>
        </w:pBdr>
        <w:shd w:val="clear" w:color="auto" w:fill="FFFFFF"/>
        <w:spacing w:after="0"/>
        <w:ind w:left="720"/>
        <w:rPr>
          <w:rFonts w:ascii="Times New Roman" w:eastAsia="Times New Roman" w:hAnsi="Times New Roman" w:cs="Times New Roman"/>
          <w:color w:val="000000"/>
          <w:sz w:val="24"/>
          <w:szCs w:val="24"/>
        </w:rPr>
      </w:pPr>
      <w:r>
        <w:rPr>
          <w:rFonts w:ascii="Arial" w:eastAsia="Arial" w:hAnsi="Arial" w:cs="Arial"/>
          <w:b/>
          <w:color w:val="222222"/>
          <w:highlight w:val="yellow"/>
          <w:u w:val="single"/>
        </w:rPr>
        <w:t>In general, overpayments occur when the SSA claims that a beneficiary has received more money than they should have.</w:t>
      </w:r>
      <w:r>
        <w:rPr>
          <w:rFonts w:ascii="Arial" w:eastAsia="Arial" w:hAnsi="Arial" w:cs="Arial"/>
          <w:b/>
          <w:color w:val="222222"/>
          <w:highlight w:val="white"/>
          <w:u w:val="single"/>
        </w:rPr>
        <w:t xml:space="preserve"> Typically, the SSA requires the beneficiary to repay the extra funds, which can amount to tens of thousands of dollars or more. </w:t>
      </w:r>
      <w:r>
        <w:rPr>
          <w:rFonts w:ascii="Arial" w:eastAsia="Arial" w:hAnsi="Arial" w:cs="Arial"/>
          <w:b/>
          <w:color w:val="222222"/>
          <w:highlight w:val="yellow"/>
          <w:u w:val="single"/>
        </w:rPr>
        <w:t>These overpayments occur for various reasons, including changes in income, assets</w:t>
      </w:r>
      <w:r>
        <w:rPr>
          <w:rFonts w:ascii="Arial" w:eastAsia="Arial" w:hAnsi="Arial" w:cs="Arial"/>
          <w:color w:val="222222"/>
          <w:highlight w:val="white"/>
        </w:rPr>
        <w:t>, living situations and marital status.</w:t>
      </w:r>
    </w:p>
    <w:p w14:paraId="544E788A" w14:textId="77777777" w:rsidR="001E49AB" w:rsidRDefault="001E49AB" w:rsidP="001E49AB">
      <w:pPr>
        <w:pBdr>
          <w:top w:val="nil"/>
          <w:left w:val="nil"/>
          <w:bottom w:val="nil"/>
          <w:right w:val="nil"/>
          <w:between w:val="nil"/>
        </w:pBdr>
        <w:shd w:val="clear" w:color="auto" w:fill="FFFFFF"/>
        <w:spacing w:after="0"/>
        <w:ind w:left="720"/>
        <w:rPr>
          <w:rFonts w:ascii="Times New Roman" w:eastAsia="Times New Roman" w:hAnsi="Times New Roman" w:cs="Times New Roman"/>
          <w:color w:val="000000"/>
          <w:sz w:val="24"/>
          <w:szCs w:val="24"/>
          <w:highlight w:val="yellow"/>
        </w:rPr>
      </w:pPr>
      <w:r>
        <w:rPr>
          <w:rFonts w:ascii="Arial" w:eastAsia="Arial" w:hAnsi="Arial" w:cs="Arial"/>
          <w:b/>
          <w:color w:val="222222"/>
          <w:highlight w:val="yellow"/>
          <w:u w:val="single"/>
        </w:rPr>
        <w:t>Work-related overpayments for those receiving Social Security Disability Insurance (SSDI)</w:t>
      </w:r>
      <w:r>
        <w:rPr>
          <w:rFonts w:ascii="Arial" w:eastAsia="Arial" w:hAnsi="Arial" w:cs="Arial"/>
          <w:color w:val="222222"/>
          <w:highlight w:val="yellow"/>
        </w:rPr>
        <w:t>,</w:t>
      </w:r>
      <w:r>
        <w:rPr>
          <w:rFonts w:ascii="Arial" w:eastAsia="Arial" w:hAnsi="Arial" w:cs="Arial"/>
          <w:color w:val="222222"/>
          <w:highlight w:val="white"/>
        </w:rPr>
        <w:t xml:space="preserve"> like my own, </w:t>
      </w:r>
      <w:r>
        <w:rPr>
          <w:rFonts w:ascii="Arial" w:eastAsia="Arial" w:hAnsi="Arial" w:cs="Arial"/>
          <w:b/>
          <w:color w:val="222222"/>
          <w:highlight w:val="yellow"/>
          <w:u w:val="single"/>
        </w:rPr>
        <w:t xml:space="preserve">occur when a beneficiary receives a monthly SSDI payment even though they are ineligible for that month’s payment. </w:t>
      </w:r>
      <w:r>
        <w:rPr>
          <w:rFonts w:ascii="Arial" w:eastAsia="Arial" w:hAnsi="Arial" w:cs="Arial"/>
          <w:b/>
          <w:color w:val="222222"/>
          <w:highlight w:val="white"/>
          <w:u w:val="single"/>
        </w:rPr>
        <w:t xml:space="preserve">A beneficiary may be ineligible </w:t>
      </w:r>
      <w:hyperlink r:id="rId12" w:anchor=":~:text=Substantial%20Gainful%20Activity%20(SGA),Decide%20If%20You%20Are%20Disabled.">
        <w:r>
          <w:rPr>
            <w:rFonts w:ascii="Arial" w:eastAsia="Arial" w:hAnsi="Arial" w:cs="Arial"/>
            <w:b/>
            <w:color w:val="B31B1B"/>
            <w:highlight w:val="white"/>
          </w:rPr>
          <w:t>if their monthly earnings exceed a certain amount</w:t>
        </w:r>
      </w:hyperlink>
      <w:r>
        <w:rPr>
          <w:rFonts w:ascii="Arial" w:eastAsia="Arial" w:hAnsi="Arial" w:cs="Arial"/>
          <w:b/>
          <w:color w:val="222222"/>
          <w:highlight w:val="white"/>
          <w:u w:val="single"/>
        </w:rPr>
        <w:t>, known as the Substantial Gainful Activity (SGA) level. The first time a beneficiary earns over this level in a month</w:t>
      </w:r>
      <w:r>
        <w:rPr>
          <w:rFonts w:ascii="Arial" w:eastAsia="Arial" w:hAnsi="Arial" w:cs="Arial"/>
          <w:color w:val="222222"/>
          <w:highlight w:val="white"/>
        </w:rPr>
        <w:t xml:space="preserve">, as I do as a full-time Cornell employee, </w:t>
      </w:r>
      <w:r>
        <w:rPr>
          <w:rFonts w:ascii="Arial" w:eastAsia="Arial" w:hAnsi="Arial" w:cs="Arial"/>
          <w:b/>
          <w:color w:val="222222"/>
          <w:highlight w:val="white"/>
          <w:u w:val="single"/>
        </w:rPr>
        <w:t xml:space="preserve">a multi-year process begins. </w:t>
      </w:r>
      <w:r>
        <w:rPr>
          <w:rFonts w:ascii="Arial" w:eastAsia="Arial" w:hAnsi="Arial" w:cs="Arial"/>
          <w:b/>
          <w:color w:val="222222"/>
          <w:highlight w:val="yellow"/>
          <w:u w:val="single"/>
        </w:rPr>
        <w:t>During this process, for any given month, the beneficiary is either eligible for their full monthly payment or they are not. If they receive this payment during a month when they are not eligible, that is an overpayment.</w:t>
      </w:r>
    </w:p>
    <w:p w14:paraId="61732331" w14:textId="77777777" w:rsidR="001E49AB" w:rsidRDefault="001E49AB" w:rsidP="001E49AB">
      <w:pPr>
        <w:pBdr>
          <w:top w:val="nil"/>
          <w:left w:val="nil"/>
          <w:bottom w:val="nil"/>
          <w:right w:val="nil"/>
          <w:between w:val="nil"/>
        </w:pBdr>
        <w:shd w:val="clear" w:color="auto" w:fill="FFFFFF"/>
        <w:spacing w:after="0"/>
        <w:ind w:left="720"/>
        <w:rPr>
          <w:rFonts w:ascii="Times New Roman" w:eastAsia="Times New Roman" w:hAnsi="Times New Roman" w:cs="Times New Roman"/>
          <w:color w:val="000000"/>
          <w:sz w:val="24"/>
          <w:szCs w:val="24"/>
        </w:rPr>
      </w:pPr>
      <w:r>
        <w:rPr>
          <w:rFonts w:ascii="Arial" w:eastAsia="Arial" w:hAnsi="Arial" w:cs="Arial"/>
          <w:b/>
          <w:color w:val="222222"/>
          <w:highlight w:val="yellow"/>
          <w:u w:val="single"/>
        </w:rPr>
        <w:t>SSA has complex rules for calculating monthly payment amounts and eligibility, and these rules are quite different for those receiving SSDI versus those receiving Supplemental Security Insurance (SSI). I</w:t>
      </w:r>
      <w:r>
        <w:rPr>
          <w:rFonts w:ascii="Arial" w:eastAsia="Arial" w:hAnsi="Arial" w:cs="Arial"/>
          <w:b/>
          <w:color w:val="222222"/>
          <w:u w:val="single"/>
        </w:rPr>
        <w:t>t can be difficult or impossible for a recipient of either program to be aware that they have received an overpayment until they receive a notice from the SSA. In the case of SSI, a recipient is not allowed to maintain their SSI benefits and keep more than $2,000 in any bank account or similar asset. Due to this strict resource limit, even if it were possible to be aware of an overpayment, an SSI recipient might be unable to keep it in case the SSA wants it back.</w:t>
      </w:r>
      <w:r>
        <w:rPr>
          <w:rFonts w:ascii="Arial" w:eastAsia="Arial" w:hAnsi="Arial" w:cs="Arial"/>
          <w:b/>
          <w:color w:val="222222"/>
          <w:highlight w:val="yellow"/>
          <w:u w:val="single"/>
        </w:rPr>
        <w:t xml:space="preserve"> Further, many working people with disabilities live in poverty or experience financial instability and may need to spend their benefit on basic needs, regardless of the chance that some of it may be an overpayment.</w:t>
      </w:r>
      <w:r>
        <w:rPr>
          <w:rFonts w:ascii="Arial" w:eastAsia="Arial" w:hAnsi="Arial" w:cs="Arial"/>
          <w:color w:val="222222"/>
          <w:highlight w:val="white"/>
        </w:rPr>
        <w:t xml:space="preserve"> You can learn more about these rules in </w:t>
      </w:r>
      <w:hyperlink r:id="rId13">
        <w:r>
          <w:rPr>
            <w:rFonts w:ascii="Arial" w:eastAsia="Arial" w:hAnsi="Arial" w:cs="Arial"/>
            <w:color w:val="B31B1B"/>
            <w:highlight w:val="white"/>
          </w:rPr>
          <w:t>Disability Benefits at Work</w:t>
        </w:r>
      </w:hyperlink>
      <w:r>
        <w:rPr>
          <w:rFonts w:ascii="Arial" w:eastAsia="Arial" w:hAnsi="Arial" w:cs="Arial"/>
          <w:color w:val="222222"/>
          <w:highlight w:val="white"/>
        </w:rPr>
        <w:t>, a website published by Cornell ILR’s Yang-Tan Institute, through the institute’s Work Incentive Support Center.</w:t>
      </w:r>
    </w:p>
    <w:p w14:paraId="1919FF92" w14:textId="77777777" w:rsidR="001E49AB" w:rsidRDefault="001E49AB" w:rsidP="001E49AB">
      <w:pPr>
        <w:pBdr>
          <w:top w:val="nil"/>
          <w:left w:val="nil"/>
          <w:bottom w:val="nil"/>
          <w:right w:val="nil"/>
          <w:between w:val="nil"/>
        </w:pBdr>
        <w:shd w:val="clear" w:color="auto" w:fill="FFFFFF"/>
        <w:spacing w:after="280"/>
        <w:ind w:left="720"/>
        <w:rPr>
          <w:rFonts w:ascii="Times New Roman" w:eastAsia="Times New Roman" w:hAnsi="Times New Roman" w:cs="Times New Roman"/>
          <w:color w:val="000000"/>
          <w:sz w:val="24"/>
          <w:szCs w:val="24"/>
        </w:rPr>
      </w:pPr>
    </w:p>
    <w:p w14:paraId="156E45AE" w14:textId="77777777" w:rsidR="001E49AB" w:rsidRDefault="001E49AB" w:rsidP="001E49AB">
      <w:pPr>
        <w:pBdr>
          <w:top w:val="nil"/>
          <w:left w:val="nil"/>
          <w:bottom w:val="nil"/>
          <w:right w:val="nil"/>
          <w:between w:val="nil"/>
        </w:pBdr>
        <w:shd w:val="clear" w:color="auto" w:fill="FFFFFF"/>
        <w:spacing w:after="280"/>
        <w:ind w:left="720"/>
        <w:rPr>
          <w:rFonts w:ascii="Times New Roman" w:eastAsia="Times New Roman" w:hAnsi="Times New Roman" w:cs="Times New Roman"/>
          <w:color w:val="000000"/>
          <w:sz w:val="24"/>
          <w:szCs w:val="24"/>
        </w:rPr>
      </w:pPr>
    </w:p>
    <w:p w14:paraId="4273DC2F" w14:textId="77777777" w:rsidR="001E49AB" w:rsidRDefault="001E49AB" w:rsidP="001E49AB">
      <w:pPr>
        <w:pStyle w:val="Heading4"/>
        <w:numPr>
          <w:ilvl w:val="0"/>
          <w:numId w:val="3"/>
        </w:numPr>
        <w:tabs>
          <w:tab w:val="num" w:pos="360"/>
        </w:tabs>
        <w:ind w:left="0" w:firstLine="0"/>
        <w:rPr>
          <w:highlight w:val="white"/>
        </w:rPr>
      </w:pPr>
      <w:r>
        <w:rPr>
          <w:highlight w:val="white"/>
        </w:rPr>
        <w:t>The overwhelming majority of individuals receiving SSDI benefits are charged overpayment, resulting in the decision to reduce their overall income or leave the workforce. Brooks 24</w:t>
      </w:r>
    </w:p>
    <w:p w14:paraId="71D2C4D9" w14:textId="77777777" w:rsidR="001E49AB" w:rsidRDefault="001E49AB" w:rsidP="001E49AB"/>
    <w:p w14:paraId="3DD6A780"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Brooks, Jennifer; Nov 4, 2024; “For Many Disabled People, Work Has a Price Tag”; Center for Applied Research on Work - Carow Policy Lab; Cornell School of Industrial and Labor  Relations; Jennifer Brooks is a Research Associate, Yang-Tan Institute on Employment and Disability; </w:t>
      </w:r>
      <w:hyperlink r:id="rId14">
        <w:r>
          <w:rPr>
            <w:rFonts w:ascii="Times New Roman" w:eastAsia="Times New Roman" w:hAnsi="Times New Roman" w:cs="Times New Roman"/>
            <w:color w:val="000000"/>
          </w:rPr>
          <w:t>https://www.ilr.cornell.edu/carow/carow-policy/many-disabled-people-work-has-price-tag</w:t>
        </w:r>
      </w:hyperlink>
    </w:p>
    <w:p w14:paraId="6EE4BE47"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p>
    <w:p w14:paraId="58648F65" w14:textId="77777777" w:rsidR="001E49AB" w:rsidRDefault="001E49AB" w:rsidP="001E49AB">
      <w:pPr>
        <w:pBdr>
          <w:top w:val="nil"/>
          <w:left w:val="nil"/>
          <w:bottom w:val="nil"/>
          <w:right w:val="nil"/>
          <w:between w:val="nil"/>
        </w:pBdr>
        <w:spacing w:after="0"/>
        <w:rPr>
          <w:rFonts w:ascii="Arial" w:eastAsia="Arial" w:hAnsi="Arial" w:cs="Arial"/>
          <w:b/>
          <w:color w:val="222222"/>
          <w:highlight w:val="white"/>
          <w:u w:val="single"/>
        </w:rPr>
      </w:pPr>
      <w:hyperlink r:id="rId15">
        <w:r>
          <w:rPr>
            <w:rFonts w:ascii="Arial" w:eastAsia="Arial" w:hAnsi="Arial" w:cs="Arial"/>
            <w:b/>
            <w:color w:val="B31B1B"/>
            <w:highlight w:val="white"/>
          </w:rPr>
          <w:t>Research published by the SSA</w:t>
        </w:r>
      </w:hyperlink>
      <w:r>
        <w:rPr>
          <w:rFonts w:ascii="Arial" w:eastAsia="Arial" w:hAnsi="Arial" w:cs="Arial"/>
          <w:b/>
          <w:color w:val="222222"/>
          <w:highlight w:val="white"/>
          <w:u w:val="single"/>
        </w:rPr>
        <w:t xml:space="preserve"> </w:t>
      </w:r>
      <w:r>
        <w:rPr>
          <w:rFonts w:ascii="Arial" w:eastAsia="Arial" w:hAnsi="Arial" w:cs="Arial"/>
          <w:b/>
          <w:color w:val="222222"/>
          <w:highlight w:val="yellow"/>
          <w:u w:val="single"/>
        </w:rPr>
        <w:t xml:space="preserve">shows that between 70% and 82% of working disabled SSDI beneficiaries receive a work-related overpayment, averaging about $9,282. </w:t>
      </w:r>
      <w:r>
        <w:rPr>
          <w:rFonts w:ascii="Arial" w:eastAsia="Arial" w:hAnsi="Arial" w:cs="Arial"/>
          <w:b/>
          <w:color w:val="222222"/>
          <w:highlight w:val="white"/>
          <w:u w:val="single"/>
        </w:rPr>
        <w:t xml:space="preserve">Experts indicate, however, that these overpayments can be much higher, easily climbing to </w:t>
      </w:r>
      <w:r>
        <w:rPr>
          <w:rFonts w:ascii="Arial" w:eastAsia="Arial" w:hAnsi="Arial" w:cs="Arial"/>
          <w:b/>
          <w:color w:val="222222"/>
          <w:highlight w:val="white"/>
          <w:u w:val="single"/>
        </w:rPr>
        <w:lastRenderedPageBreak/>
        <w:t xml:space="preserve">$50,000 or more. </w:t>
      </w:r>
      <w:r>
        <w:rPr>
          <w:rFonts w:ascii="Arial" w:eastAsia="Arial" w:hAnsi="Arial" w:cs="Arial"/>
          <w:b/>
          <w:color w:val="222222"/>
          <w:highlight w:val="yellow"/>
          <w:u w:val="single"/>
        </w:rPr>
        <w:t>These work-related overpayments disrupt the lives of most working disabled beneficiaries.</w:t>
      </w:r>
      <w:r>
        <w:rPr>
          <w:rFonts w:ascii="Arial" w:eastAsia="Arial" w:hAnsi="Arial" w:cs="Arial"/>
          <w:b/>
          <w:color w:val="222222"/>
          <w:highlight w:val="white"/>
          <w:u w:val="single"/>
        </w:rPr>
        <w:t xml:space="preserve"> For example, </w:t>
      </w:r>
      <w:hyperlink r:id="rId16">
        <w:r>
          <w:rPr>
            <w:rFonts w:ascii="Arial" w:eastAsia="Arial" w:hAnsi="Arial" w:cs="Arial"/>
            <w:b/>
            <w:color w:val="B31B1B"/>
            <w:highlight w:val="white"/>
          </w:rPr>
          <w:t>research from Mathematica Policy Research</w:t>
        </w:r>
      </w:hyperlink>
      <w:r>
        <w:rPr>
          <w:rFonts w:ascii="Arial" w:eastAsia="Arial" w:hAnsi="Arial" w:cs="Arial"/>
          <w:b/>
          <w:color w:val="222222"/>
          <w:highlight w:val="white"/>
          <w:u w:val="single"/>
        </w:rPr>
        <w:t xml:space="preserve"> shows that after receiving an overpayment notice, </w:t>
      </w:r>
      <w:r>
        <w:rPr>
          <w:rFonts w:ascii="Arial" w:eastAsia="Arial" w:hAnsi="Arial" w:cs="Arial"/>
          <w:b/>
          <w:color w:val="222222"/>
          <w:highlight w:val="yellow"/>
          <w:u w:val="single"/>
        </w:rPr>
        <w:t>roughly 75% of working beneficiaries either reduce their hours or leave the workforce altogether.</w:t>
      </w:r>
      <w:r>
        <w:rPr>
          <w:rFonts w:ascii="Arial" w:eastAsia="Arial" w:hAnsi="Arial" w:cs="Arial"/>
          <w:b/>
          <w:color w:val="222222"/>
          <w:highlight w:val="white"/>
          <w:u w:val="single"/>
        </w:rPr>
        <w:t xml:space="preserve"> Overpayments also place significant stress on beneficiaries, with a large majority reporting being extremely concerned about their financial situation and losing access to their health care.</w:t>
      </w:r>
    </w:p>
    <w:p w14:paraId="24DDFB39"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sz w:val="24"/>
          <w:szCs w:val="24"/>
        </w:rPr>
      </w:pPr>
    </w:p>
    <w:p w14:paraId="72FB71E7" w14:textId="77777777" w:rsidR="001E49AB" w:rsidRDefault="001E49AB" w:rsidP="001E49AB">
      <w:pPr>
        <w:pStyle w:val="Heading4"/>
        <w:numPr>
          <w:ilvl w:val="0"/>
          <w:numId w:val="3"/>
        </w:numPr>
        <w:tabs>
          <w:tab w:val="num" w:pos="360"/>
        </w:tabs>
        <w:ind w:left="0" w:firstLine="0"/>
        <w:rPr>
          <w:rFonts w:ascii="Arial" w:eastAsia="Arial" w:hAnsi="Arial" w:cs="Arial"/>
          <w:color w:val="222222"/>
        </w:rPr>
      </w:pPr>
      <w:r>
        <w:rPr>
          <w:rFonts w:ascii="Arial" w:eastAsia="Arial" w:hAnsi="Arial" w:cs="Arial"/>
          <w:color w:val="222222"/>
          <w:highlight w:val="white"/>
        </w:rPr>
        <w:t>Flawed Social Security Administration definitions are tied to antiquated conceptions of disability in relation to the labor force. Federal policy needs to be amended with inclusive policies for disability and health services. Brooks 2024. </w:t>
      </w:r>
    </w:p>
    <w:p w14:paraId="334D8D9A"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p>
    <w:p w14:paraId="413E08F7"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Brooks, Jennifer; Nov 4, 2024; “For Many Disabled People, Work Has a Price Tag”; Center for Applied Research on Work - Carow Policy Lab; Cornell School of Industrial and Labor  Relations; Jennifer Brooks is a Research Associate, Yang-Tan Institute on Employment and Disability; </w:t>
      </w:r>
      <w:hyperlink r:id="rId17">
        <w:r>
          <w:rPr>
            <w:rFonts w:ascii="Times New Roman" w:eastAsia="Times New Roman" w:hAnsi="Times New Roman" w:cs="Times New Roman"/>
            <w:color w:val="000000"/>
          </w:rPr>
          <w:t>https://www.ilr.cornell.edu/carow/carow-policy/many-disabled-people-work-has-price-tag</w:t>
        </w:r>
      </w:hyperlink>
    </w:p>
    <w:p w14:paraId="03EAB22B" w14:textId="77777777" w:rsidR="001E49AB" w:rsidRDefault="001E49AB" w:rsidP="001E49AB"/>
    <w:p w14:paraId="5DC1C534" w14:textId="77777777" w:rsidR="001E49AB" w:rsidRDefault="001E49AB" w:rsidP="001E49AB">
      <w:pPr>
        <w:pBdr>
          <w:top w:val="nil"/>
          <w:left w:val="nil"/>
          <w:bottom w:val="nil"/>
          <w:right w:val="nil"/>
          <w:between w:val="nil"/>
        </w:pBdr>
        <w:shd w:val="clear" w:color="auto" w:fill="FFFFFF"/>
        <w:spacing w:after="280"/>
        <w:rPr>
          <w:rFonts w:ascii="Times New Roman" w:eastAsia="Times New Roman" w:hAnsi="Times New Roman" w:cs="Times New Roman"/>
          <w:color w:val="000000"/>
          <w:sz w:val="24"/>
          <w:szCs w:val="24"/>
        </w:rPr>
      </w:pPr>
      <w:r>
        <w:rPr>
          <w:rFonts w:ascii="Arial" w:eastAsia="Arial" w:hAnsi="Arial" w:cs="Arial"/>
          <w:color w:val="222222"/>
          <w:highlight w:val="white"/>
        </w:rPr>
        <w:t xml:space="preserve">As I have noted, </w:t>
      </w:r>
      <w:r>
        <w:rPr>
          <w:rFonts w:ascii="Arial" w:eastAsia="Arial" w:hAnsi="Arial" w:cs="Arial"/>
          <w:b/>
          <w:color w:val="222222"/>
          <w:highlight w:val="yellow"/>
          <w:u w:val="single"/>
        </w:rPr>
        <w:t>overpayments are rarely the fault of individual beneficiaries but are instead the manifestation of the SSA’s insistence on linking disability with the inability to work.</w:t>
      </w:r>
      <w:r>
        <w:rPr>
          <w:rFonts w:ascii="Arial" w:eastAsia="Arial" w:hAnsi="Arial" w:cs="Arial"/>
          <w:b/>
          <w:color w:val="222222"/>
          <w:highlight w:val="white"/>
          <w:u w:val="single"/>
        </w:rPr>
        <w:t xml:space="preserve"> If policymakers truly want to create a more inclusive society for people with disabilities, they should</w:t>
      </w:r>
      <w:r>
        <w:rPr>
          <w:rFonts w:ascii="Arial" w:eastAsia="Arial" w:hAnsi="Arial" w:cs="Arial"/>
          <w:color w:val="222222"/>
          <w:highlight w:val="white"/>
        </w:rPr>
        <w:t xml:space="preserve"> consider the following:</w:t>
      </w:r>
    </w:p>
    <w:p w14:paraId="6DB754D3" w14:textId="77777777" w:rsidR="001E49AB" w:rsidRDefault="001E49AB" w:rsidP="001E49AB">
      <w:pPr>
        <w:numPr>
          <w:ilvl w:val="0"/>
          <w:numId w:val="1"/>
        </w:numPr>
        <w:pBdr>
          <w:top w:val="nil"/>
          <w:left w:val="nil"/>
          <w:bottom w:val="nil"/>
          <w:right w:val="nil"/>
          <w:between w:val="nil"/>
        </w:pBdr>
        <w:shd w:val="clear" w:color="auto" w:fill="FFFFFF"/>
        <w:spacing w:before="280" w:after="0" w:line="240" w:lineRule="auto"/>
        <w:rPr>
          <w:rFonts w:ascii="Arial" w:eastAsia="Arial" w:hAnsi="Arial" w:cs="Arial"/>
          <w:b/>
          <w:color w:val="222222"/>
          <w:highlight w:val="yellow"/>
        </w:rPr>
      </w:pPr>
      <w:r>
        <w:rPr>
          <w:rFonts w:ascii="Arial" w:eastAsia="Arial" w:hAnsi="Arial" w:cs="Arial"/>
          <w:b/>
          <w:color w:val="222222"/>
          <w:highlight w:val="yellow"/>
          <w:u w:val="single"/>
        </w:rPr>
        <w:t>Passing legislation that immediately stops the collection of overpayments that are not the result of intentional fraud.</w:t>
      </w:r>
    </w:p>
    <w:p w14:paraId="2D3E02F0" w14:textId="77777777" w:rsidR="001E49AB" w:rsidRDefault="001E49AB" w:rsidP="001E49AB">
      <w:pPr>
        <w:numPr>
          <w:ilvl w:val="0"/>
          <w:numId w:val="1"/>
        </w:numPr>
        <w:pBdr>
          <w:top w:val="nil"/>
          <w:left w:val="nil"/>
          <w:bottom w:val="nil"/>
          <w:right w:val="nil"/>
          <w:between w:val="nil"/>
        </w:pBdr>
        <w:shd w:val="clear" w:color="auto" w:fill="FFFFFF"/>
        <w:spacing w:after="0" w:line="240" w:lineRule="auto"/>
        <w:rPr>
          <w:rFonts w:ascii="Arial" w:eastAsia="Arial" w:hAnsi="Arial" w:cs="Arial"/>
          <w:b/>
          <w:color w:val="222222"/>
          <w:highlight w:val="yellow"/>
        </w:rPr>
      </w:pPr>
      <w:r>
        <w:rPr>
          <w:rFonts w:ascii="Arial" w:eastAsia="Arial" w:hAnsi="Arial" w:cs="Arial"/>
          <w:b/>
          <w:color w:val="222222"/>
          <w:highlight w:val="yellow"/>
          <w:u w:val="single"/>
        </w:rPr>
        <w:t>Updating the SSA definition of disability to align it with current understandings and to ensure that people can work while retaining eligibility for disability-related government assistance programs</w:t>
      </w:r>
    </w:p>
    <w:p w14:paraId="3F037466" w14:textId="77777777" w:rsidR="001E49AB" w:rsidRDefault="001E49AB" w:rsidP="001E49AB">
      <w:pPr>
        <w:numPr>
          <w:ilvl w:val="0"/>
          <w:numId w:val="1"/>
        </w:numPr>
        <w:pBdr>
          <w:top w:val="nil"/>
          <w:left w:val="nil"/>
          <w:bottom w:val="nil"/>
          <w:right w:val="nil"/>
          <w:between w:val="nil"/>
        </w:pBdr>
        <w:shd w:val="clear" w:color="auto" w:fill="FFFFFF"/>
        <w:spacing w:after="280" w:line="240" w:lineRule="auto"/>
        <w:rPr>
          <w:rFonts w:ascii="Arial" w:eastAsia="Arial" w:hAnsi="Arial" w:cs="Arial"/>
          <w:b/>
          <w:color w:val="222222"/>
          <w:highlight w:val="yellow"/>
        </w:rPr>
      </w:pPr>
      <w:r>
        <w:rPr>
          <w:rFonts w:ascii="Arial" w:eastAsia="Arial" w:hAnsi="Arial" w:cs="Arial"/>
          <w:b/>
          <w:color w:val="222222"/>
          <w:highlight w:val="yellow"/>
          <w:u w:val="single"/>
        </w:rPr>
        <w:t xml:space="preserve">Increasing the SSA, Medicaid and Medicare income and asset limits so that only the top 5% of earners would experience </w:t>
      </w:r>
      <w:r>
        <w:rPr>
          <w:rFonts w:ascii="Arial" w:eastAsia="Arial" w:hAnsi="Arial" w:cs="Arial"/>
          <w:b/>
          <w:i/>
          <w:color w:val="222222"/>
          <w:highlight w:val="yellow"/>
          <w:u w:val="single"/>
        </w:rPr>
        <w:t>some</w:t>
      </w:r>
      <w:r>
        <w:rPr>
          <w:rFonts w:ascii="Arial" w:eastAsia="Arial" w:hAnsi="Arial" w:cs="Arial"/>
          <w:b/>
          <w:color w:val="222222"/>
          <w:highlight w:val="yellow"/>
          <w:u w:val="single"/>
        </w:rPr>
        <w:t xml:space="preserve"> restrictions on their benefits</w:t>
      </w:r>
    </w:p>
    <w:p w14:paraId="02954446" w14:textId="77777777" w:rsidR="001E49AB" w:rsidRDefault="001E49AB" w:rsidP="001E49AB">
      <w:pPr>
        <w:rPr>
          <w:rFonts w:ascii="Times New Roman" w:eastAsia="Times New Roman" w:hAnsi="Times New Roman" w:cs="Times New Roman"/>
          <w:sz w:val="24"/>
          <w:szCs w:val="24"/>
        </w:rPr>
      </w:pPr>
    </w:p>
    <w:p w14:paraId="3368F564" w14:textId="77777777" w:rsidR="001E49AB" w:rsidRDefault="001E49AB" w:rsidP="001E49AB">
      <w:pPr>
        <w:pStyle w:val="Heading4"/>
      </w:pPr>
      <w:r>
        <w:t xml:space="preserve">PLAN:  </w:t>
      </w:r>
    </w:p>
    <w:p w14:paraId="5C9ACD81" w14:textId="77777777" w:rsidR="001E49AB" w:rsidRDefault="001E49AB" w:rsidP="001E49AB">
      <w:pPr>
        <w:pBdr>
          <w:top w:val="nil"/>
          <w:left w:val="nil"/>
          <w:bottom w:val="nil"/>
          <w:right w:val="nil"/>
          <w:between w:val="nil"/>
        </w:pBdr>
        <w:rPr>
          <w:b/>
          <w:color w:val="000000"/>
          <w:sz w:val="26"/>
          <w:szCs w:val="26"/>
        </w:rPr>
      </w:pPr>
      <w:r>
        <w:rPr>
          <w:b/>
          <w:color w:val="000000"/>
          <w:sz w:val="26"/>
          <w:szCs w:val="26"/>
        </w:rPr>
        <w:t>The United States federal government should substantially strengthen collective bargaining rights for workers by amending the Social Security Administration definition of disability to retain eligibility for disability-related government assistance programs, including an increase in the Medicaid, Medicare, and SSA income and asset limits for all but the 5% of income earners.</w:t>
      </w:r>
    </w:p>
    <w:p w14:paraId="39CAA5FB" w14:textId="77777777" w:rsidR="001E49AB" w:rsidRDefault="001E49AB" w:rsidP="001E49AB">
      <w:pPr>
        <w:pStyle w:val="Heading2"/>
      </w:pPr>
      <w:r>
        <w:br/>
      </w:r>
      <w:r>
        <w:rPr>
          <w:rFonts w:ascii="Calibri" w:eastAsia="Calibri" w:hAnsi="Calibri" w:cs="Calibri"/>
        </w:rPr>
        <w:t>Advantage 1:</w:t>
      </w:r>
    </w:p>
    <w:p w14:paraId="2E4E590A" w14:textId="77777777" w:rsidR="001E49AB" w:rsidRDefault="001E49AB" w:rsidP="001E49AB">
      <w:pPr>
        <w:pBdr>
          <w:top w:val="nil"/>
          <w:left w:val="nil"/>
          <w:bottom w:val="nil"/>
          <w:right w:val="nil"/>
          <w:between w:val="nil"/>
        </w:pBdr>
        <w:rPr>
          <w:b/>
          <w:color w:val="000000"/>
          <w:sz w:val="26"/>
          <w:szCs w:val="26"/>
        </w:rPr>
      </w:pPr>
    </w:p>
    <w:p w14:paraId="0EBA99B8" w14:textId="77777777" w:rsidR="001E49AB" w:rsidRDefault="001E49AB" w:rsidP="001E49AB">
      <w:pPr>
        <w:pStyle w:val="Heading4"/>
        <w:numPr>
          <w:ilvl w:val="0"/>
          <w:numId w:val="2"/>
        </w:numPr>
        <w:tabs>
          <w:tab w:val="num" w:pos="360"/>
        </w:tabs>
        <w:ind w:left="0" w:firstLine="0"/>
      </w:pPr>
      <w:r>
        <w:rPr>
          <w:highlight w:val="white"/>
        </w:rPr>
        <w:lastRenderedPageBreak/>
        <w:t>Outdated definitions of “disability” within specific government agencies perpetuate ableism despite technological and legal advancements, perpetuating ableism.  Brooks 24. </w:t>
      </w:r>
    </w:p>
    <w:p w14:paraId="27A7ED74"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p>
    <w:p w14:paraId="704D4B29"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Brooks, Jennifer; Nov 4, 2024; “For Many Disabled People, Work Has a Price Tag”; Center for Applied Research on Work - Carow Policy Lab; Cornell School of Industrial and Labor  Relations; Jennifer Brooks is a Research Associate, Yang-Tan Institute on Employment and Disability; </w:t>
      </w:r>
      <w:hyperlink r:id="rId18">
        <w:r>
          <w:rPr>
            <w:rFonts w:ascii="Times New Roman" w:eastAsia="Times New Roman" w:hAnsi="Times New Roman" w:cs="Times New Roman"/>
            <w:color w:val="000000"/>
          </w:rPr>
          <w:t>https://www.ilr.cornell.edu/carow/carow-policy/many-disabled-people-work-has-price-tag</w:t>
        </w:r>
      </w:hyperlink>
    </w:p>
    <w:p w14:paraId="604963CC" w14:textId="77777777" w:rsidR="001E49AB" w:rsidRDefault="001E49AB" w:rsidP="001E49AB"/>
    <w:p w14:paraId="7A866558" w14:textId="77777777" w:rsidR="001E49AB" w:rsidRDefault="001E49AB" w:rsidP="001E49AB">
      <w:p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highlight w:val="yellow"/>
        </w:rPr>
      </w:pPr>
      <w:r>
        <w:rPr>
          <w:rFonts w:ascii="Arial" w:eastAsia="Arial" w:hAnsi="Arial" w:cs="Arial"/>
          <w:color w:val="222222"/>
          <w:highlight w:val="white"/>
        </w:rPr>
        <w:t xml:space="preserve">If overpayments are a major problem for both the federal government and individual beneficiaries, why do they happen so often? </w:t>
      </w:r>
      <w:r>
        <w:rPr>
          <w:rFonts w:ascii="Arial" w:eastAsia="Arial" w:hAnsi="Arial" w:cs="Arial"/>
          <w:b/>
          <w:color w:val="222222"/>
          <w:highlight w:val="white"/>
          <w:u w:val="single"/>
        </w:rPr>
        <w:t xml:space="preserve">While researchers and policymakers have cited various reasons for these overpayments, including SSA’s backward and confusing policies and practices related to working beneficiaries, lack of communication regarding these policies to beneficiaries, and SSA’s own financial mismanagement, </w:t>
      </w:r>
      <w:r>
        <w:rPr>
          <w:rFonts w:ascii="Arial" w:eastAsia="Arial" w:hAnsi="Arial" w:cs="Arial"/>
          <w:b/>
          <w:color w:val="222222"/>
          <w:highlight w:val="yellow"/>
          <w:u w:val="single"/>
        </w:rPr>
        <w:t>all these issues can be traced back to the fact that the SSA defines disability as the inability to work.</w:t>
      </w:r>
    </w:p>
    <w:p w14:paraId="10EAD1D0" w14:textId="77777777" w:rsidR="001E49AB" w:rsidRDefault="001E49AB" w:rsidP="001E49AB">
      <w:p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Arial" w:eastAsia="Arial" w:hAnsi="Arial" w:cs="Arial"/>
          <w:b/>
          <w:color w:val="222222"/>
          <w:highlight w:val="yellow"/>
          <w:u w:val="single"/>
        </w:rPr>
        <w:t xml:space="preserve">In other words, the </w:t>
      </w:r>
      <w:hyperlink r:id="rId19">
        <w:r>
          <w:rPr>
            <w:rFonts w:ascii="Arial" w:eastAsia="Arial" w:hAnsi="Arial" w:cs="Arial"/>
            <w:b/>
            <w:color w:val="B31B1B"/>
            <w:highlight w:val="yellow"/>
            <w:u w:val="single"/>
          </w:rPr>
          <w:t>SSA’s definition of disability</w:t>
        </w:r>
      </w:hyperlink>
      <w:r>
        <w:rPr>
          <w:rFonts w:ascii="Arial" w:eastAsia="Arial" w:hAnsi="Arial" w:cs="Arial"/>
          <w:b/>
          <w:color w:val="222222"/>
          <w:highlight w:val="yellow"/>
          <w:u w:val="single"/>
        </w:rPr>
        <w:t xml:space="preserve"> considers a person disabled only if their impairments prevent them from participating in gainful employment.</w:t>
      </w:r>
      <w:r>
        <w:rPr>
          <w:rFonts w:ascii="Arial" w:eastAsia="Arial" w:hAnsi="Arial" w:cs="Arial"/>
          <w:b/>
          <w:color w:val="222222"/>
          <w:highlight w:val="white"/>
          <w:u w:val="single"/>
        </w:rPr>
        <w:t xml:space="preserve"> While this may have been true when programs such as SSDI and SSI were first created in the 1950s, advancements in society, technology and workplace accommodations have changed the playing field for people with disabilities – allowing most </w:t>
      </w:r>
      <w:r>
        <w:rPr>
          <w:rFonts w:ascii="Arial" w:eastAsia="Arial" w:hAnsi="Arial" w:cs="Arial"/>
          <w:color w:val="222222"/>
          <w:highlight w:val="white"/>
        </w:rPr>
        <w:t xml:space="preserve">of us </w:t>
      </w:r>
      <w:r>
        <w:rPr>
          <w:rFonts w:ascii="Arial" w:eastAsia="Arial" w:hAnsi="Arial" w:cs="Arial"/>
          <w:b/>
          <w:color w:val="222222"/>
          <w:highlight w:val="white"/>
          <w:u w:val="single"/>
        </w:rPr>
        <w:t>to work and live as independently as possible, if we so choose.</w:t>
      </w:r>
    </w:p>
    <w:p w14:paraId="1B7FE152" w14:textId="77777777" w:rsidR="001E49AB" w:rsidRDefault="001E49AB" w:rsidP="001E49AB">
      <w:pPr>
        <w:pBdr>
          <w:top w:val="nil"/>
          <w:left w:val="nil"/>
          <w:bottom w:val="nil"/>
          <w:right w:val="nil"/>
          <w:between w:val="nil"/>
        </w:pBdr>
        <w:shd w:val="clear" w:color="auto" w:fill="FFFFFF"/>
        <w:spacing w:after="280"/>
        <w:rPr>
          <w:rFonts w:ascii="Times New Roman" w:eastAsia="Times New Roman" w:hAnsi="Times New Roman" w:cs="Times New Roman"/>
          <w:color w:val="000000"/>
          <w:sz w:val="24"/>
          <w:szCs w:val="24"/>
        </w:rPr>
      </w:pPr>
      <w:r>
        <w:rPr>
          <w:rFonts w:ascii="Arial" w:eastAsia="Arial" w:hAnsi="Arial" w:cs="Arial"/>
          <w:b/>
          <w:color w:val="222222"/>
          <w:highlight w:val="yellow"/>
          <w:u w:val="single"/>
        </w:rPr>
        <w:t>While these advances have changed the way that most of society views people with disabilities, the SSA has not changed how it defines disability – insisting that if a disabled person gets a job, they are somehow magically no longer disabled.</w:t>
      </w:r>
      <w:r>
        <w:rPr>
          <w:rFonts w:ascii="Arial" w:eastAsia="Arial" w:hAnsi="Arial" w:cs="Arial"/>
          <w:b/>
          <w:color w:val="222222"/>
          <w:highlight w:val="white"/>
          <w:u w:val="single"/>
        </w:rPr>
        <w:t xml:space="preserve"> This </w:t>
      </w:r>
      <w:r>
        <w:rPr>
          <w:rFonts w:ascii="Arial" w:eastAsia="Arial" w:hAnsi="Arial" w:cs="Arial"/>
          <w:b/>
          <w:color w:val="222222"/>
          <w:highlight w:val="yellow"/>
          <w:u w:val="single"/>
        </w:rPr>
        <w:t>promotes an environment within the SSA that allows them to create and maintain policies and practices that lead directly to the majority of disabled beneficiaries choosing not to work</w:t>
      </w:r>
      <w:r>
        <w:rPr>
          <w:rFonts w:ascii="Arial" w:eastAsia="Arial" w:hAnsi="Arial" w:cs="Arial"/>
          <w:b/>
          <w:color w:val="222222"/>
          <w:highlight w:val="white"/>
          <w:u w:val="single"/>
        </w:rPr>
        <w:t xml:space="preserve"> out of fear of losing their benefits and the health care that often comes with them.</w:t>
      </w:r>
    </w:p>
    <w:p w14:paraId="13F3C894" w14:textId="77777777" w:rsidR="001E49AB" w:rsidRDefault="001E49AB" w:rsidP="001E49AB">
      <w:pPr>
        <w:pStyle w:val="Heading4"/>
        <w:numPr>
          <w:ilvl w:val="0"/>
          <w:numId w:val="2"/>
        </w:numPr>
        <w:tabs>
          <w:tab w:val="num" w:pos="360"/>
        </w:tabs>
        <w:ind w:left="0" w:firstLine="0"/>
      </w:pPr>
      <w:r>
        <w:t>Overpayment penalties generated by limited income requirements by the SSA result in debt cycles and additional government assistance while removing disabled workers from the work force. Brooks 24. </w:t>
      </w:r>
    </w:p>
    <w:p w14:paraId="0A629BAD"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p>
    <w:p w14:paraId="03FB0163"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Brooks, Jennifer; Nov 4, 2024; “For Many Disabled People, Work Has a Price Tag”; Center for Applied Research on Work - Carow Policy Lab; Cornell School of Industrial and Labor  Relations; Jennifer Brooks is a Research Associate, Yang-Tan Institute on Employment and Disability; </w:t>
      </w:r>
      <w:hyperlink r:id="rId20">
        <w:r>
          <w:rPr>
            <w:rFonts w:ascii="Times New Roman" w:eastAsia="Times New Roman" w:hAnsi="Times New Roman" w:cs="Times New Roman"/>
            <w:color w:val="000000"/>
          </w:rPr>
          <w:t>https://www.ilr.cornell.edu/carow/carow-policy/many-disabled-people-work-has-price-tag</w:t>
        </w:r>
      </w:hyperlink>
    </w:p>
    <w:p w14:paraId="4F70D5A8" w14:textId="77777777" w:rsidR="001E49AB" w:rsidRDefault="001E49AB" w:rsidP="001E49AB">
      <w:p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p>
    <w:p w14:paraId="36C16BB1" w14:textId="77777777" w:rsidR="001E49AB" w:rsidRDefault="001E49AB" w:rsidP="001E49AB">
      <w:p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Arial" w:eastAsia="Arial" w:hAnsi="Arial" w:cs="Arial"/>
          <w:color w:val="222222"/>
          <w:highlight w:val="white"/>
        </w:rPr>
        <w:t>The way</w:t>
      </w:r>
      <w:r>
        <w:rPr>
          <w:rFonts w:ascii="Arial" w:eastAsia="Arial" w:hAnsi="Arial" w:cs="Arial"/>
          <w:b/>
          <w:color w:val="222222"/>
          <w:highlight w:val="white"/>
          <w:u w:val="single"/>
        </w:rPr>
        <w:t xml:space="preserve"> </w:t>
      </w:r>
      <w:r>
        <w:rPr>
          <w:rFonts w:ascii="Arial" w:eastAsia="Arial" w:hAnsi="Arial" w:cs="Arial"/>
          <w:b/>
          <w:color w:val="222222"/>
          <w:highlight w:val="yellow"/>
          <w:u w:val="single"/>
        </w:rPr>
        <w:t>the SSA is handling work-related overpayments is yet another example of how the SSA’s backward notion of disability as the inability to work puts a price tag on work for people with disabilities.</w:t>
      </w:r>
      <w:r>
        <w:rPr>
          <w:rFonts w:ascii="Arial" w:eastAsia="Arial" w:hAnsi="Arial" w:cs="Arial"/>
          <w:color w:val="222222"/>
          <w:highlight w:val="white"/>
        </w:rPr>
        <w:t xml:space="preserve"> My experience demonstrates that </w:t>
      </w:r>
      <w:r>
        <w:rPr>
          <w:rFonts w:ascii="Arial" w:eastAsia="Arial" w:hAnsi="Arial" w:cs="Arial"/>
          <w:b/>
          <w:color w:val="222222"/>
          <w:highlight w:val="white"/>
          <w:u w:val="single"/>
        </w:rPr>
        <w:t xml:space="preserve">when the SSA fails to accurately track a beneficiary’s benefits due to work earnings, they demand that the beneficiary pay back the difference, regardless of the amount. </w:t>
      </w:r>
      <w:r>
        <w:rPr>
          <w:rFonts w:ascii="Arial" w:eastAsia="Arial" w:hAnsi="Arial" w:cs="Arial"/>
          <w:b/>
          <w:color w:val="222222"/>
          <w:highlight w:val="yellow"/>
          <w:u w:val="single"/>
        </w:rPr>
        <w:t xml:space="preserve">This request assumes that the beneficiary is no longer disabled and has somehow managed to build the financial capital to pay back the debt, which, in most cases, wasn’t of their own making. </w:t>
      </w:r>
      <w:r>
        <w:rPr>
          <w:rFonts w:ascii="Arial" w:eastAsia="Arial" w:hAnsi="Arial" w:cs="Arial"/>
          <w:b/>
          <w:color w:val="222222"/>
          <w:highlight w:val="white"/>
          <w:u w:val="single"/>
        </w:rPr>
        <w:t>This absurd assumption, given that the majority of people with disabilities are in low-wage, low-skill jobs, is what drives many of us who receive overpayment notices out of the labor market and in need of even more government assistance.</w:t>
      </w:r>
    </w:p>
    <w:p w14:paraId="354D4117" w14:textId="77777777" w:rsidR="001E49AB" w:rsidRDefault="001E49AB" w:rsidP="001E49AB">
      <w:pPr>
        <w:pBdr>
          <w:top w:val="nil"/>
          <w:left w:val="nil"/>
          <w:bottom w:val="nil"/>
          <w:right w:val="nil"/>
          <w:between w:val="nil"/>
        </w:pBdr>
        <w:shd w:val="clear" w:color="auto" w:fill="FFFFFF"/>
        <w:spacing w:after="280"/>
        <w:rPr>
          <w:rFonts w:ascii="Times New Roman" w:eastAsia="Times New Roman" w:hAnsi="Times New Roman" w:cs="Times New Roman"/>
          <w:color w:val="000000"/>
          <w:sz w:val="24"/>
          <w:szCs w:val="24"/>
        </w:rPr>
      </w:pPr>
    </w:p>
    <w:p w14:paraId="6FC6D663" w14:textId="77777777" w:rsidR="001E49AB" w:rsidRDefault="001E49AB" w:rsidP="001E49AB">
      <w:pPr>
        <w:pStyle w:val="Heading4"/>
        <w:numPr>
          <w:ilvl w:val="0"/>
          <w:numId w:val="2"/>
        </w:numPr>
        <w:tabs>
          <w:tab w:val="num" w:pos="360"/>
        </w:tabs>
        <w:ind w:left="0" w:firstLine="0"/>
        <w:rPr>
          <w:b/>
        </w:rPr>
      </w:pPr>
      <w:r>
        <w:t>When the disabled body is deemed “unemployable”, disabled people are pushed to the periphery – the construction of the productivity hierarchy fuels capitalist accumulation and turns disability into a rehabilitative site of value extraction as the neoliberal medical model creates economies that maintain research funding through their attempts to “cure” disablement </w:t>
      </w:r>
      <w:r>
        <w:rPr>
          <w:color w:val="000000"/>
        </w:rPr>
        <w:t xml:space="preserve">Snyder and Mitchell 10 </w:t>
      </w:r>
    </w:p>
    <w:p w14:paraId="3A1B754C" w14:textId="77777777" w:rsidR="001E49AB" w:rsidRDefault="001E49AB" w:rsidP="001E49AB">
      <w:pPr>
        <w:pStyle w:val="Heading4"/>
        <w:rPr>
          <w:b/>
        </w:rPr>
      </w:pPr>
      <w:r>
        <w:t>(Sharon Snyder and David Micthell are both Associate Professors of Disability and Human Development at the University of Illinois-Chicago, Journal of Literary and Cultural Disability Studies Volume 4 Number 2, pages 179-194, January 1, 2010,  https://www.liverpooluniversitypress.co.uk/doi/10.3828/jlcds.2010.10) MM</w:t>
      </w:r>
    </w:p>
    <w:p w14:paraId="4A6FBCA6" w14:textId="77777777" w:rsidR="001E49AB" w:rsidRDefault="001E49AB" w:rsidP="001E49AB"/>
    <w:p w14:paraId="3BA5168E" w14:textId="77777777" w:rsidR="001E49AB" w:rsidRDefault="001E49AB" w:rsidP="001E49AB">
      <w:pPr>
        <w:pBdr>
          <w:top w:val="nil"/>
          <w:left w:val="nil"/>
          <w:bottom w:val="nil"/>
          <w:right w:val="nil"/>
          <w:between w:val="nil"/>
        </w:pBdr>
        <w:rPr>
          <w:b/>
          <w:color w:val="000000"/>
          <w:sz w:val="26"/>
          <w:szCs w:val="26"/>
        </w:rPr>
      </w:pPr>
      <w:r>
        <w:rPr>
          <w:b/>
          <w:color w:val="000000"/>
          <w:sz w:val="16"/>
          <w:szCs w:val="16"/>
        </w:rPr>
        <w:t xml:space="preserve">One significant contribution of Disability Studies to the field of Cultural Studies has been in charting transformations in historical understandings of human variation. Whereas the term handicapped marked individual bodies as insufficient, </w:t>
      </w:r>
      <w:r>
        <w:rPr>
          <w:b/>
          <w:color w:val="000000"/>
          <w:highlight w:val="cyan"/>
          <w:u w:val="single"/>
        </w:rPr>
        <w:t>disability re-orients critique away from individual malfunction and toward interactions of bodies with inadequately adapted environments</w:t>
      </w:r>
      <w:r>
        <w:rPr>
          <w:b/>
          <w:color w:val="000000"/>
          <w:sz w:val="16"/>
          <w:szCs w:val="16"/>
        </w:rPr>
        <w:t xml:space="preserve">. Further, the term disability also identifies material bodies (the corporeal) adjusted to approximate norms, average capacities, and subjective aesthetic standards. Dis- ability moves away from late eighteenth-century ideas of individual incapacity (and, ultimately, social Darwinian “unfitness”) toward populations that experience socially produced exclusions based on sensory, cognitive, and/or bodily “typicality.” In other words, as a result of Disability Studies scholarship and mod- ern day disability movements, </w:t>
      </w:r>
      <w:r>
        <w:rPr>
          <w:b/>
          <w:color w:val="000000"/>
          <w:highlight w:val="cyan"/>
          <w:u w:val="single"/>
        </w:rPr>
        <w:t xml:space="preserve">disabled people </w:t>
      </w:r>
      <w:r>
        <w:rPr>
          <w:b/>
          <w:color w:val="000000"/>
          <w:u w:val="single"/>
        </w:rPr>
        <w:t xml:space="preserve">have </w:t>
      </w:r>
      <w:r>
        <w:rPr>
          <w:b/>
          <w:color w:val="000000"/>
          <w:highlight w:val="cyan"/>
          <w:u w:val="single"/>
        </w:rPr>
        <w:t>shifted</w:t>
      </w:r>
      <w:r>
        <w:rPr>
          <w:b/>
          <w:color w:val="000000"/>
          <w:u w:val="single"/>
        </w:rPr>
        <w:t xml:space="preserve"> </w:t>
      </w:r>
      <w:r>
        <w:rPr>
          <w:b/>
          <w:color w:val="000000"/>
          <w:highlight w:val="cyan"/>
          <w:u w:val="single"/>
        </w:rPr>
        <w:t>from</w:t>
      </w:r>
      <w:r>
        <w:rPr>
          <w:b/>
          <w:color w:val="000000"/>
          <w:u w:val="single"/>
        </w:rPr>
        <w:t xml:space="preserve"> </w:t>
      </w:r>
      <w:r>
        <w:rPr>
          <w:b/>
          <w:color w:val="000000"/>
          <w:highlight w:val="cyan"/>
          <w:u w:val="single"/>
        </w:rPr>
        <w:t>modernity’s exception</w:t>
      </w:r>
      <w:r>
        <w:rPr>
          <w:b/>
          <w:color w:val="000000"/>
          <w:u w:val="single"/>
        </w:rPr>
        <w:t xml:space="preserve"> (a lineage of defect to be isolated and eradicated</w:t>
      </w:r>
      <w:r>
        <w:rPr>
          <w:b/>
          <w:color w:val="000000"/>
          <w:highlight w:val="cyan"/>
          <w:u w:val="single"/>
        </w:rPr>
        <w:t>) to postmodern exceptionality</w:t>
      </w:r>
      <w:r>
        <w:rPr>
          <w:b/>
          <w:color w:val="000000"/>
          <w:u w:val="single"/>
        </w:rPr>
        <w:t xml:space="preserve"> (failing bodies resuscitated by an increasingly medicalized state). In the latter state, the</w:t>
      </w:r>
      <w:r>
        <w:rPr>
          <w:b/>
          <w:color w:val="000000"/>
          <w:highlight w:val="cyan"/>
          <w:u w:val="single"/>
        </w:rPr>
        <w:t xml:space="preserve"> ontology of disability retrieves a formerly fallen object and makes it </w:t>
      </w:r>
      <w:r>
        <w:rPr>
          <w:b/>
          <w:color w:val="000000"/>
          <w:u w:val="single"/>
        </w:rPr>
        <w:t xml:space="preserve">newly </w:t>
      </w:r>
      <w:r>
        <w:rPr>
          <w:b/>
          <w:color w:val="000000"/>
          <w:highlight w:val="cyan"/>
          <w:u w:val="single"/>
        </w:rPr>
        <w:t>available for cultural rehabilitation</w:t>
      </w:r>
      <w:r>
        <w:rPr>
          <w:b/>
          <w:color w:val="000000"/>
          <w:sz w:val="16"/>
          <w:szCs w:val="16"/>
        </w:rPr>
        <w:t>. While rehabilitation often refers to a productive process of recovery, leading to a return to employment and the activities of civic life, here the term suggests something less optimal yet equally significant</w:t>
      </w:r>
      <w:r>
        <w:rPr>
          <w:b/>
          <w:color w:val="000000"/>
          <w:u w:val="single"/>
        </w:rPr>
        <w:t>. Cultural rehabilitation refers to normalization practices through which non-normative (i.e. non-productive) bodies become culturally docile</w:t>
      </w:r>
      <w:r>
        <w:rPr>
          <w:b/>
          <w:color w:val="000000"/>
          <w:sz w:val="16"/>
          <w:szCs w:val="16"/>
        </w:rPr>
        <w:t xml:space="preserve">. This process accomplishes its task of adjustment through the exercise of neo-liberal power that is both benign and disciplinary. </w:t>
      </w:r>
      <w:r>
        <w:rPr>
          <w:b/>
          <w:color w:val="000000"/>
          <w:u w:val="single"/>
        </w:rPr>
        <w:t xml:space="preserve">Rather than social pariahs, </w:t>
      </w:r>
      <w:r>
        <w:rPr>
          <w:b/>
          <w:color w:val="000000"/>
          <w:highlight w:val="cyan"/>
          <w:u w:val="single"/>
        </w:rPr>
        <w:t xml:space="preserve">disabled people </w:t>
      </w:r>
      <w:r>
        <w:rPr>
          <w:b/>
          <w:color w:val="000000"/>
          <w:u w:val="single"/>
        </w:rPr>
        <w:t xml:space="preserve">increasingly </w:t>
      </w:r>
      <w:r>
        <w:rPr>
          <w:b/>
          <w:color w:val="000000"/>
          <w:highlight w:val="cyan"/>
          <w:u w:val="single"/>
        </w:rPr>
        <w:t>represent</w:t>
      </w:r>
      <w:r>
        <w:rPr>
          <w:b/>
          <w:color w:val="000000"/>
          <w:u w:val="single"/>
        </w:rPr>
        <w:t xml:space="preserve"> </w:t>
      </w:r>
      <w:r>
        <w:rPr>
          <w:b/>
          <w:color w:val="000000"/>
          <w:highlight w:val="cyan"/>
          <w:u w:val="single"/>
        </w:rPr>
        <w:t xml:space="preserve">“research opportunities” </w:t>
      </w:r>
      <w:r>
        <w:rPr>
          <w:b/>
          <w:color w:val="000000"/>
          <w:u w:val="single"/>
        </w:rPr>
        <w:t xml:space="preserve">in the sense that medical sociologist </w:t>
      </w:r>
      <w:r>
        <w:rPr>
          <w:b/>
          <w:color w:val="000000"/>
          <w:sz w:val="16"/>
          <w:szCs w:val="16"/>
        </w:rPr>
        <w:t xml:space="preserve">Aihwa Ong means when she </w:t>
      </w:r>
      <w:r>
        <w:rPr>
          <w:b/>
          <w:color w:val="000000"/>
          <w:u w:val="single"/>
        </w:rPr>
        <w:t>argues that “</w:t>
      </w:r>
      <w:r>
        <w:rPr>
          <w:b/>
          <w:color w:val="000000"/>
          <w:highlight w:val="cyan"/>
          <w:u w:val="single"/>
        </w:rPr>
        <w:t>treating” ill and disabled Cambodian refugees in the U.S. increasingly “became the justification for state and local clinics to obtain</w:t>
      </w:r>
      <w:r>
        <w:rPr>
          <w:b/>
          <w:color w:val="000000"/>
          <w:u w:val="single"/>
        </w:rPr>
        <w:t xml:space="preserve"> much- needed </w:t>
      </w:r>
      <w:r>
        <w:rPr>
          <w:b/>
          <w:color w:val="000000"/>
          <w:highlight w:val="cyan"/>
          <w:u w:val="single"/>
        </w:rPr>
        <w:t>funding from the fed</w:t>
      </w:r>
      <w:r>
        <w:rPr>
          <w:b/>
          <w:color w:val="000000"/>
          <w:u w:val="single"/>
        </w:rPr>
        <w:t>eral government”</w:t>
      </w:r>
      <w:r>
        <w:rPr>
          <w:b/>
          <w:color w:val="000000"/>
          <w:sz w:val="16"/>
          <w:szCs w:val="16"/>
        </w:rPr>
        <w:t xml:space="preserve"> (96). </w:t>
      </w:r>
      <w:r>
        <w:rPr>
          <w:b/>
          <w:color w:val="000000"/>
          <w:u w:val="single"/>
        </w:rPr>
        <w:t xml:space="preserve">Rather than a former era’s eonomic “burden,” then, </w:t>
      </w:r>
      <w:r>
        <w:rPr>
          <w:b/>
          <w:color w:val="000000"/>
          <w:highlight w:val="cyan"/>
          <w:u w:val="single"/>
        </w:rPr>
        <w:t>disabled people have become</w:t>
      </w:r>
      <w:r>
        <w:rPr>
          <w:b/>
          <w:color w:val="000000"/>
          <w:u w:val="single"/>
        </w:rPr>
        <w:t xml:space="preserve"> </w:t>
      </w:r>
      <w:r>
        <w:rPr>
          <w:b/>
          <w:color w:val="000000"/>
          <w:highlight w:val="cyan"/>
          <w:u w:val="single"/>
        </w:rPr>
        <w:t xml:space="preserve">objects of care </w:t>
      </w:r>
      <w:r>
        <w:rPr>
          <w:b/>
          <w:color w:val="000000"/>
          <w:u w:val="single"/>
        </w:rPr>
        <w:t xml:space="preserve">in which </w:t>
      </w:r>
      <w:r>
        <w:rPr>
          <w:b/>
          <w:color w:val="000000"/>
          <w:highlight w:val="cyan"/>
          <w:u w:val="single"/>
        </w:rPr>
        <w:t xml:space="preserve">enormous sectors of </w:t>
      </w:r>
      <w:r>
        <w:rPr>
          <w:b/>
          <w:color w:val="000000"/>
          <w:u w:val="single"/>
        </w:rPr>
        <w:t>post-capitalist</w:t>
      </w:r>
      <w:r>
        <w:rPr>
          <w:b/>
          <w:color w:val="000000"/>
          <w:highlight w:val="cyan"/>
          <w:u w:val="single"/>
        </w:rPr>
        <w:t xml:space="preserve"> service economies </w:t>
      </w:r>
      <w:r>
        <w:rPr>
          <w:b/>
          <w:color w:val="000000"/>
          <w:u w:val="single"/>
        </w:rPr>
        <w:t>are</w:t>
      </w:r>
      <w:r>
        <w:rPr>
          <w:b/>
          <w:color w:val="000000"/>
          <w:highlight w:val="cyan"/>
          <w:u w:val="single"/>
        </w:rPr>
        <w:t xml:space="preserve"> invested</w:t>
      </w:r>
      <w:r>
        <w:rPr>
          <w:b/>
          <w:color w:val="000000"/>
          <w:sz w:val="16"/>
          <w:szCs w:val="16"/>
        </w:rPr>
        <w:t xml:space="preserve">. In the terms of recent theories of political economy, </w:t>
      </w:r>
      <w:r>
        <w:rPr>
          <w:b/>
          <w:color w:val="000000"/>
          <w:u w:val="single"/>
        </w:rPr>
        <w:t xml:space="preserve">disability has been </w:t>
      </w:r>
      <w:r>
        <w:rPr>
          <w:b/>
          <w:color w:val="000000"/>
          <w:highlight w:val="cyan"/>
          <w:u w:val="single"/>
        </w:rPr>
        <w:t>transformed</w:t>
      </w:r>
      <w:r>
        <w:rPr>
          <w:b/>
          <w:color w:val="000000"/>
          <w:u w:val="single"/>
        </w:rPr>
        <w:t xml:space="preserve"> </w:t>
      </w:r>
      <w:r>
        <w:rPr>
          <w:b/>
          <w:color w:val="000000"/>
          <w:highlight w:val="cyan"/>
          <w:u w:val="single"/>
        </w:rPr>
        <w:t>into</w:t>
      </w:r>
      <w:r>
        <w:rPr>
          <w:b/>
          <w:color w:val="000000"/>
          <w:u w:val="single"/>
        </w:rPr>
        <w:t xml:space="preserve"> a target of </w:t>
      </w:r>
      <w:r>
        <w:rPr>
          <w:b/>
          <w:color w:val="000000"/>
          <w:highlight w:val="cyan"/>
          <w:u w:val="single"/>
        </w:rPr>
        <w:t>neo-liberal intervention strategies</w:t>
      </w:r>
      <w:r>
        <w:rPr>
          <w:b/>
          <w:color w:val="000000"/>
          <w:u w:val="single"/>
        </w:rPr>
        <w:t xml:space="preserve">. </w:t>
      </w:r>
      <w:r>
        <w:rPr>
          <w:b/>
          <w:color w:val="000000"/>
          <w:highlight w:val="cyan"/>
          <w:u w:val="single"/>
        </w:rPr>
        <w:t>Disabled people</w:t>
      </w:r>
      <w:r>
        <w:rPr>
          <w:b/>
          <w:color w:val="000000"/>
          <w:u w:val="single"/>
        </w:rPr>
        <w:t xml:space="preserve">, once thrown out of the labor system because of their lack of productivity in a competitive labor market, </w:t>
      </w:r>
      <w:r>
        <w:rPr>
          <w:b/>
          <w:color w:val="000000"/>
          <w:highlight w:val="cyan"/>
          <w:u w:val="single"/>
        </w:rPr>
        <w:t>now find themselves “at hand for [the] purposes of accumulation</w:t>
      </w:r>
      <w:r>
        <w:rPr>
          <w:b/>
          <w:color w:val="000000"/>
          <w:sz w:val="16"/>
          <w:szCs w:val="16"/>
        </w:rPr>
        <w:t xml:space="preserve"> at a later point in time. Put in the language of contemporary postmodern political theory, we might say that capitalism necessarily and always creates its own ‘other’” (Harvey, 141). The historical production of others situates bodies in a position tantamount to un(der)explored geographies: </w:t>
      </w:r>
      <w:r>
        <w:rPr>
          <w:b/>
          <w:color w:val="000000"/>
          <w:highlight w:val="cyan"/>
          <w:u w:val="single"/>
        </w:rPr>
        <w:t>they come to be recognized as sites for the exercise of the primitive accumulation that fuels capitalism</w:t>
      </w:r>
      <w:r>
        <w:rPr>
          <w:b/>
          <w:color w:val="000000"/>
          <w:sz w:val="16"/>
          <w:szCs w:val="16"/>
        </w:rPr>
        <w:t>.</w:t>
      </w:r>
    </w:p>
    <w:p w14:paraId="475F0ECA" w14:textId="77777777" w:rsidR="001E49AB" w:rsidRDefault="001E49AB" w:rsidP="001E49AB">
      <w:pPr>
        <w:pBdr>
          <w:top w:val="nil"/>
          <w:left w:val="nil"/>
          <w:bottom w:val="nil"/>
          <w:right w:val="nil"/>
          <w:between w:val="nil"/>
        </w:pBdr>
        <w:rPr>
          <w:b/>
          <w:color w:val="000000"/>
          <w:sz w:val="26"/>
          <w:szCs w:val="26"/>
        </w:rPr>
      </w:pPr>
    </w:p>
    <w:p w14:paraId="24C746FB" w14:textId="77777777" w:rsidR="001E49AB" w:rsidRDefault="001E49AB" w:rsidP="001E49AB">
      <w:pPr>
        <w:pStyle w:val="Heading4"/>
        <w:numPr>
          <w:ilvl w:val="0"/>
          <w:numId w:val="2"/>
        </w:numPr>
        <w:tabs>
          <w:tab w:val="num" w:pos="360"/>
        </w:tabs>
        <w:ind w:left="0" w:firstLine="0"/>
      </w:pPr>
      <w:r>
        <w:t xml:space="preserve">These policies segregate disabled folk and kill them off with eugenics. </w:t>
      </w:r>
      <w:r>
        <w:rPr>
          <w:color w:val="000000"/>
        </w:rPr>
        <w:t xml:space="preserve">Snyder and Mitchell 10 </w:t>
      </w:r>
    </w:p>
    <w:p w14:paraId="0BFADEBB" w14:textId="77777777" w:rsidR="001E49AB" w:rsidRDefault="001E49AB" w:rsidP="001E49AB">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(Sharon Snyder and David Micthell are both Associate Professors of Disability and Human Development at the University of Illinois-Chicago, Journal of Literary and Cultural Disability Studies Volume 4 Number 2, pages 179-194, January 1, 2010,  https://www.liverpooluniversitypress.co.uk/doi/10.3828/jlcds.2010.10) MM</w:t>
      </w:r>
    </w:p>
    <w:p w14:paraId="323F73B7" w14:textId="77777777" w:rsidR="001E49AB" w:rsidRDefault="001E49AB" w:rsidP="001E49AB">
      <w:pPr>
        <w:pBdr>
          <w:top w:val="nil"/>
          <w:left w:val="nil"/>
          <w:bottom w:val="nil"/>
          <w:right w:val="nil"/>
          <w:between w:val="nil"/>
        </w:pBdr>
        <w:rPr>
          <w:rFonts w:ascii="Times New Roman" w:eastAsia="Times New Roman" w:hAnsi="Times New Roman" w:cs="Times New Roman"/>
          <w:color w:val="000000"/>
          <w:sz w:val="24"/>
          <w:szCs w:val="24"/>
        </w:rPr>
      </w:pPr>
      <w:r>
        <w:rPr>
          <w:color w:val="000000"/>
          <w:sz w:val="16"/>
          <w:szCs w:val="16"/>
        </w:rPr>
        <w:lastRenderedPageBreak/>
        <w:t xml:space="preserve">By the end of the nineteenth century, </w:t>
      </w:r>
      <w:r>
        <w:rPr>
          <w:color w:val="000000"/>
          <w:highlight w:val="cyan"/>
          <w:u w:val="single"/>
        </w:rPr>
        <w:t>efforts to segregate, restrict, and oppress populations</w:t>
      </w:r>
      <w:r>
        <w:rPr>
          <w:color w:val="000000"/>
          <w:u w:val="single"/>
        </w:rPr>
        <w:t xml:space="preserve">, identified variously as “feebleminded,” “subnormal,” “deviant,” etc., </w:t>
      </w:r>
      <w:r>
        <w:rPr>
          <w:color w:val="000000"/>
          <w:highlight w:val="cyan"/>
          <w:u w:val="single"/>
        </w:rPr>
        <w:t xml:space="preserve">went </w:t>
      </w:r>
      <w:r>
        <w:rPr>
          <w:color w:val="000000"/>
          <w:u w:val="single"/>
        </w:rPr>
        <w:t xml:space="preserve">increasingly </w:t>
      </w:r>
      <w:r>
        <w:rPr>
          <w:color w:val="000000"/>
          <w:highlight w:val="cyan"/>
          <w:u w:val="single"/>
        </w:rPr>
        <w:t>trans-national</w:t>
      </w:r>
      <w:r>
        <w:rPr>
          <w:color w:val="000000"/>
          <w:u w:val="single"/>
        </w:rPr>
        <w:t xml:space="preserve">. </w:t>
      </w:r>
      <w:r>
        <w:rPr>
          <w:color w:val="000000"/>
          <w:highlight w:val="cyan"/>
          <w:u w:val="single"/>
        </w:rPr>
        <w:t>Eugenics</w:t>
      </w:r>
      <w:r>
        <w:rPr>
          <w:color w:val="000000"/>
          <w:u w:val="single"/>
        </w:rPr>
        <w:t xml:space="preserve">, the social engineering project that </w:t>
      </w:r>
      <w:r>
        <w:rPr>
          <w:color w:val="000000"/>
          <w:highlight w:val="cyan"/>
          <w:u w:val="single"/>
        </w:rPr>
        <w:t>sought to</w:t>
      </w:r>
      <w:r>
        <w:rPr>
          <w:color w:val="000000"/>
          <w:u w:val="single"/>
        </w:rPr>
        <w:t xml:space="preserve"> </w:t>
      </w:r>
      <w:r>
        <w:rPr>
          <w:color w:val="000000"/>
          <w:highlight w:val="cyan"/>
          <w:u w:val="single"/>
        </w:rPr>
        <w:t>eradicate defective traits from</w:t>
      </w:r>
      <w:r>
        <w:rPr>
          <w:color w:val="000000"/>
          <w:u w:val="single"/>
        </w:rPr>
        <w:t xml:space="preserve"> a </w:t>
      </w:r>
      <w:r>
        <w:rPr>
          <w:color w:val="000000"/>
          <w:highlight w:val="cyan"/>
          <w:u w:val="single"/>
        </w:rPr>
        <w:t>nation</w:t>
      </w:r>
      <w:r>
        <w:rPr>
          <w:color w:val="000000"/>
          <w:u w:val="single"/>
        </w:rPr>
        <w:t xml:space="preserve">’s hereditary pool, </w:t>
      </w:r>
      <w:r>
        <w:rPr>
          <w:color w:val="000000"/>
          <w:highlight w:val="cyan"/>
          <w:u w:val="single"/>
        </w:rPr>
        <w:t>went global</w:t>
      </w:r>
      <w:r>
        <w:rPr>
          <w:color w:val="000000"/>
          <w:u w:val="single"/>
        </w:rPr>
        <w:t>. </w:t>
      </w:r>
    </w:p>
    <w:p w14:paraId="47470DC5" w14:textId="77777777" w:rsidR="001E49AB" w:rsidRDefault="001E49AB" w:rsidP="001E49AB">
      <w:pPr>
        <w:pBdr>
          <w:top w:val="nil"/>
          <w:left w:val="nil"/>
          <w:bottom w:val="nil"/>
          <w:right w:val="nil"/>
          <w:between w:val="nil"/>
        </w:pBdr>
        <w:rPr>
          <w:rFonts w:ascii="Times New Roman" w:eastAsia="Times New Roman" w:hAnsi="Times New Roman" w:cs="Times New Roman"/>
          <w:color w:val="000000"/>
          <w:sz w:val="24"/>
          <w:szCs w:val="24"/>
        </w:rPr>
      </w:pPr>
      <w:r>
        <w:rPr>
          <w:color w:val="000000"/>
          <w:u w:val="single"/>
        </w:rPr>
        <w:t xml:space="preserve">Scientific collectives were formed, </w:t>
      </w:r>
      <w:r>
        <w:rPr>
          <w:color w:val="000000"/>
          <w:highlight w:val="cyan"/>
          <w:u w:val="single"/>
        </w:rPr>
        <w:t>restrictive policies</w:t>
      </w:r>
      <w:r>
        <w:rPr>
          <w:color w:val="000000"/>
          <w:u w:val="single"/>
        </w:rPr>
        <w:t xml:space="preserve"> were translated from one cultural context to another with relative ease</w:t>
      </w:r>
      <w:r>
        <w:rPr>
          <w:color w:val="000000"/>
          <w:sz w:val="16"/>
          <w:szCs w:val="16"/>
        </w:rPr>
        <w:t xml:space="preserve">, categories of pathology proliferated, and parallel populations found themselves increasingly the subjects of incarceration practices. </w:t>
      </w:r>
      <w:r>
        <w:rPr>
          <w:color w:val="000000"/>
          <w:highlight w:val="cyan"/>
          <w:u w:val="single"/>
        </w:rPr>
        <w:t>Policy-makers</w:t>
      </w:r>
      <w:r>
        <w:rPr>
          <w:color w:val="000000"/>
          <w:sz w:val="16"/>
          <w:szCs w:val="16"/>
        </w:rPr>
        <w:t xml:space="preserve">, scientists, psychiatrists, and institutional administrators </w:t>
      </w:r>
      <w:r>
        <w:rPr>
          <w:color w:val="000000"/>
          <w:highlight w:val="cyan"/>
          <w:u w:val="single"/>
        </w:rPr>
        <w:t xml:space="preserve">referenced </w:t>
      </w:r>
      <w:r>
        <w:rPr>
          <w:color w:val="000000"/>
          <w:u w:val="single"/>
        </w:rPr>
        <w:t xml:space="preserve">the </w:t>
      </w:r>
      <w:r>
        <w:rPr>
          <w:color w:val="000000"/>
          <w:highlight w:val="cyan"/>
          <w:u w:val="single"/>
        </w:rPr>
        <w:t xml:space="preserve">effective restrictions at work in other nations in order to put pressure </w:t>
      </w:r>
      <w:r>
        <w:rPr>
          <w:color w:val="000000"/>
          <w:u w:val="single"/>
        </w:rPr>
        <w:t xml:space="preserve">on </w:t>
      </w:r>
      <w:r>
        <w:rPr>
          <w:color w:val="000000"/>
          <w:highlight w:val="cyan"/>
          <w:u w:val="single"/>
        </w:rPr>
        <w:t>their home legislatures to adopt “firm measures.”</w:t>
      </w:r>
      <w:r>
        <w:rPr>
          <w:color w:val="000000"/>
          <w:u w:val="single"/>
        </w:rPr>
        <w:t xml:space="preserve"> In other words, modern capitalism recognized the utility of international markets in segregation strategies toward disabled people (and others deemed non-normal) and actively </w:t>
      </w:r>
      <w:r>
        <w:rPr>
          <w:color w:val="000000"/>
          <w:highlight w:val="cyan"/>
          <w:u w:val="single"/>
        </w:rPr>
        <w:t>traded in their dissemination</w:t>
      </w:r>
      <w:r>
        <w:rPr>
          <w:color w:val="000000"/>
          <w:sz w:val="16"/>
          <w:szCs w:val="16"/>
        </w:rPr>
        <w:t xml:space="preserve"> (there are echoes of Homi Bhabha’s “DIS-semi-nation” here). In Cultural Locations of Disability, we point out that a profound and devastating irony was at work in the progressive period</w:t>
      </w:r>
      <w:r>
        <w:rPr>
          <w:color w:val="000000"/>
          <w:u w:val="single"/>
        </w:rPr>
        <w:t xml:space="preserve">: as the </w:t>
      </w:r>
      <w:r>
        <w:rPr>
          <w:color w:val="000000"/>
          <w:highlight w:val="cyan"/>
          <w:u w:val="single"/>
        </w:rPr>
        <w:t xml:space="preserve">discourse of disciplinary eugenics </w:t>
      </w:r>
      <w:r>
        <w:rPr>
          <w:color w:val="000000"/>
          <w:u w:val="single"/>
        </w:rPr>
        <w:t xml:space="preserve">became increasingly </w:t>
      </w:r>
      <w:r>
        <w:rPr>
          <w:color w:val="000000"/>
          <w:highlight w:val="cyan"/>
          <w:u w:val="single"/>
        </w:rPr>
        <w:t>mobile and international</w:t>
      </w:r>
      <w:r>
        <w:rPr>
          <w:color w:val="000000"/>
          <w:u w:val="single"/>
        </w:rPr>
        <w:t xml:space="preserve">, </w:t>
      </w:r>
      <w:r>
        <w:rPr>
          <w:color w:val="000000"/>
          <w:highlight w:val="cyan"/>
          <w:u w:val="single"/>
        </w:rPr>
        <w:t>disabled people</w:t>
      </w:r>
      <w:r>
        <w:rPr>
          <w:color w:val="000000"/>
          <w:u w:val="single"/>
        </w:rPr>
        <w:t>—the very subjects of that discourse—found themselves</w:t>
      </w:r>
      <w:r>
        <w:rPr>
          <w:color w:val="000000"/>
          <w:highlight w:val="cyan"/>
          <w:u w:val="single"/>
        </w:rPr>
        <w:t xml:space="preserve"> increasingly immobilized</w:t>
      </w:r>
      <w:r>
        <w:rPr>
          <w:color w:val="000000"/>
          <w:u w:val="single"/>
        </w:rPr>
        <w:t xml:space="preserve">. </w:t>
      </w:r>
      <w:r>
        <w:rPr>
          <w:color w:val="000000"/>
          <w:highlight w:val="cyan"/>
          <w:u w:val="single"/>
        </w:rPr>
        <w:t>Their labor was not absent</w:t>
      </w:r>
      <w:r>
        <w:rPr>
          <w:color w:val="000000"/>
          <w:u w:val="single"/>
        </w:rPr>
        <w:t xml:space="preserve">, </w:t>
      </w:r>
      <w:r>
        <w:rPr>
          <w:color w:val="000000"/>
          <w:highlight w:val="cyan"/>
          <w:u w:val="single"/>
        </w:rPr>
        <w:t>but</w:t>
      </w:r>
      <w:r>
        <w:rPr>
          <w:color w:val="000000"/>
          <w:u w:val="single"/>
        </w:rPr>
        <w:t xml:space="preserve"> rather cordoned off and </w:t>
      </w:r>
      <w:r>
        <w:rPr>
          <w:color w:val="000000"/>
          <w:highlight w:val="cyan"/>
          <w:u w:val="single"/>
        </w:rPr>
        <w:t>contained</w:t>
      </w:r>
      <w:r>
        <w:rPr>
          <w:color w:val="000000"/>
          <w:u w:val="single"/>
        </w:rPr>
        <w:t xml:space="preserve"> </w:t>
      </w:r>
      <w:r>
        <w:rPr>
          <w:color w:val="000000"/>
          <w:highlight w:val="cyan"/>
          <w:u w:val="single"/>
        </w:rPr>
        <w:t>within</w:t>
      </w:r>
      <w:r>
        <w:rPr>
          <w:color w:val="000000"/>
          <w:u w:val="single"/>
        </w:rPr>
        <w:t xml:space="preserve"> the </w:t>
      </w:r>
      <w:r>
        <w:rPr>
          <w:color w:val="000000"/>
          <w:highlight w:val="cyan"/>
          <w:u w:val="single"/>
        </w:rPr>
        <w:t>parameters</w:t>
      </w:r>
      <w:r>
        <w:rPr>
          <w:color w:val="000000"/>
          <w:u w:val="single"/>
        </w:rPr>
        <w:t xml:space="preserve"> </w:t>
      </w:r>
      <w:r>
        <w:rPr>
          <w:color w:val="000000"/>
          <w:highlight w:val="cyan"/>
          <w:u w:val="single"/>
        </w:rPr>
        <w:t>of</w:t>
      </w:r>
      <w:r>
        <w:rPr>
          <w:color w:val="000000"/>
          <w:u w:val="single"/>
        </w:rPr>
        <w:t xml:space="preserve"> </w:t>
      </w:r>
      <w:r>
        <w:rPr>
          <w:color w:val="000000"/>
          <w:highlight w:val="cyan"/>
          <w:u w:val="single"/>
        </w:rPr>
        <w:t>the</w:t>
      </w:r>
      <w:r>
        <w:rPr>
          <w:color w:val="000000"/>
          <w:u w:val="single"/>
        </w:rPr>
        <w:t xml:space="preserve"> modern-day </w:t>
      </w:r>
      <w:r>
        <w:rPr>
          <w:color w:val="000000"/>
          <w:highlight w:val="cyan"/>
          <w:u w:val="single"/>
        </w:rPr>
        <w:t>institution</w:t>
      </w:r>
      <w:r>
        <w:rPr>
          <w:color w:val="000000"/>
          <w:u w:val="single"/>
        </w:rPr>
        <w:t>.</w:t>
      </w:r>
    </w:p>
    <w:p w14:paraId="0BE813B0" w14:textId="77777777" w:rsidR="001E49AB" w:rsidRDefault="001E49AB" w:rsidP="001E49AB"/>
    <w:p w14:paraId="61480799" w14:textId="77777777" w:rsidR="001E49AB" w:rsidRDefault="001E49AB" w:rsidP="001E49AB">
      <w:p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p>
    <w:p w14:paraId="23586F6C" w14:textId="77777777" w:rsidR="001E49AB" w:rsidRDefault="001E49AB" w:rsidP="001E49AB">
      <w:pPr>
        <w:pBdr>
          <w:top w:val="nil"/>
          <w:left w:val="nil"/>
          <w:bottom w:val="nil"/>
          <w:right w:val="nil"/>
          <w:between w:val="nil"/>
        </w:pBdr>
        <w:spacing w:after="0"/>
        <w:rPr>
          <w:rFonts w:ascii="Arial" w:eastAsia="Arial" w:hAnsi="Arial" w:cs="Arial"/>
          <w:color w:val="222222"/>
          <w:highlight w:val="white"/>
          <w:u w:val="single"/>
        </w:rPr>
      </w:pPr>
    </w:p>
    <w:p w14:paraId="12B738DC" w14:textId="77777777" w:rsidR="001E49AB" w:rsidRDefault="001E49AB" w:rsidP="001E49AB">
      <w:pPr>
        <w:pStyle w:val="Heading2"/>
      </w:pPr>
      <w:r>
        <w:rPr>
          <w:rFonts w:ascii="Calibri" w:eastAsia="Calibri" w:hAnsi="Calibri" w:cs="Calibri"/>
        </w:rPr>
        <w:t>Advantage 2:</w:t>
      </w:r>
    </w:p>
    <w:p w14:paraId="1A0D135C" w14:textId="77777777" w:rsidR="001E49AB" w:rsidRDefault="001E49AB" w:rsidP="001E49AB"/>
    <w:p w14:paraId="02AC762F" w14:textId="77777777" w:rsidR="001E49AB" w:rsidRDefault="001E49AB" w:rsidP="001E49AB">
      <w:pPr>
        <w:pStyle w:val="Heading4"/>
        <w:numPr>
          <w:ilvl w:val="0"/>
          <w:numId w:val="4"/>
        </w:numPr>
        <w:tabs>
          <w:tab w:val="num" w:pos="360"/>
        </w:tabs>
        <w:ind w:left="0" w:firstLine="0"/>
      </w:pPr>
      <w:r>
        <w:t>U.S. Labor Unions Are on the rise, NOW is the time to do the plan. Kullgren, 21 </w:t>
      </w:r>
    </w:p>
    <w:p w14:paraId="2D3EA0AC" w14:textId="77777777" w:rsidR="001E49AB" w:rsidRDefault="001E49AB" w:rsidP="001E49AB">
      <w:pPr>
        <w:pStyle w:val="Heading4"/>
        <w:rPr>
          <w:b/>
        </w:rPr>
      </w:pPr>
      <w:r>
        <w:t>(Ian Kullgren, 10-17-2021, accessed on 10-7-2022, Time, "U.S. Labor Unions Are Having a Moment", https://time.com/6107676/labor-unions/)</w:t>
      </w:r>
    </w:p>
    <w:p w14:paraId="56A6B7C8" w14:textId="77777777" w:rsidR="001E49AB" w:rsidRDefault="001E49AB" w:rsidP="001E49AB">
      <w:pPr>
        <w:spacing w:before="15" w:after="180" w:line="240" w:lineRule="auto"/>
      </w:pPr>
      <w:r>
        <w:rPr>
          <w:highlight w:val="cyan"/>
        </w:rPr>
        <w:t>U.S. organized labor is having a moment</w:t>
      </w:r>
      <w:r>
        <w:t xml:space="preserve"> after decades of erosion in both influence and power</w:t>
      </w:r>
      <w:r>
        <w:rPr>
          <w:highlight w:val="cyan"/>
        </w:rPr>
        <w:t>, giving workers their best chance</w:t>
      </w:r>
      <w:r>
        <w:t xml:space="preserve"> in recent memory </w:t>
      </w:r>
      <w:r>
        <w:rPr>
          <w:highlight w:val="cyan"/>
        </w:rPr>
        <w:t>to claw back lost ground.</w:t>
      </w:r>
      <w:r>
        <w:t xml:space="preserve"> </w:t>
      </w:r>
      <w:r>
        <w:rPr>
          <w:sz w:val="16"/>
          <w:szCs w:val="16"/>
        </w:rPr>
        <w:t xml:space="preserve">In the wake of the Covid-19 pandemic, </w:t>
      </w:r>
      <w:r>
        <w:rPr>
          <w:highlight w:val="cyan"/>
        </w:rPr>
        <w:t>unions are finding they suddenly have the upper hand</w:t>
      </w:r>
      <w:r>
        <w:rPr>
          <w:sz w:val="16"/>
          <w:szCs w:val="16"/>
        </w:rPr>
        <w:t>—or at least, more solid footing—when it comes to</w:t>
      </w:r>
      <w:r>
        <w:t xml:space="preserve"> negotiating wages and benefits, spurring a flurry of new picket lines. </w:t>
      </w:r>
      <w:r>
        <w:rPr>
          <w:sz w:val="16"/>
          <w:szCs w:val="16"/>
        </w:rPr>
        <w:t>Nearly 40 workplaces across the nation have gone on strike since Aug. 1, according to Bloomberg Law’s database of work stoppages, almost double the number during the same period last year. From Deere &amp; Co.’s factories and Kellogg Co.’s U.S. cereal plants to nurses in Massachusetts and distillery workers in Kentucky, tens of thousands of union workers across a vast swath of industries are either on strike or close to it, leading some to dub this month “Strike-tober.” One of Hollywood’s most powerful unions settled over the weekend to avoid a strike — the first in its 128-year history — that had been set to begin Monday. “</w:t>
      </w:r>
      <w:r>
        <w:rPr>
          <w:highlight w:val="cyan"/>
        </w:rPr>
        <w:t>Workers are right to think the ball is in their court</w:t>
      </w:r>
      <w:r>
        <w:rPr>
          <w:sz w:val="16"/>
          <w:szCs w:val="16"/>
        </w:rPr>
        <w:t xml:space="preserve">,” said Adam Seth Litwin, a professor of industrial and labor relations at Cornell University. </w:t>
      </w:r>
      <w:r>
        <w:t xml:space="preserve">“They need to take a really big bite of the apple </w:t>
      </w:r>
      <w:r>
        <w:rPr>
          <w:highlight w:val="cyan"/>
        </w:rPr>
        <w:t>right now,</w:t>
      </w:r>
      <w:r>
        <w:t xml:space="preserve"> </w:t>
      </w:r>
      <w:r>
        <w:rPr>
          <w:sz w:val="13"/>
          <w:szCs w:val="13"/>
        </w:rPr>
        <w:t>because whatever they get they’re going to have it in their mouth for a long time.” The newfound forcefulness of labor unions is in stark contrast to the direction of the last several decades. Private-sector unionization has plummeted for generations as some industries decamped to the largely ununionized American South and a slack labor market made it easier to replace striking workers. Only 10.8% of the U.S. workforce belonged to unions last year, Bureau of Labor Statistics data show. That’s down from a peak of 34.8% in 1954, according to Pew Research Center. Amid threats of automation or offshoring, and companies taking full advantage of the leeway afforded to them by the courts, those dwindling unionized workers made significant concessions in past contract fights, unsure they had a better alternative. But now employees, trying to reclaim what they gave up before, have been emboldened by a series of related events: soaring company profits, a renewed respect for essential workers and rekindled political will in Washington. Plus there’s the hard truth of today’s labor market: Companies in many industries are finding employees downright impossible to replace. Here are several key factors at play:</w:t>
      </w:r>
      <w:r>
        <w:t xml:space="preserve"> Working through the pandemic has been a transformative experience for many laborers, </w:t>
      </w:r>
      <w:r>
        <w:rPr>
          <w:sz w:val="16"/>
          <w:szCs w:val="16"/>
        </w:rPr>
        <w:t xml:space="preserve">who garnered public support as “essential workers.” At the same time, </w:t>
      </w:r>
      <w:r>
        <w:rPr>
          <w:sz w:val="21"/>
          <w:szCs w:val="21"/>
          <w:highlight w:val="cyan"/>
        </w:rPr>
        <w:t>many</w:t>
      </w:r>
      <w:r>
        <w:rPr>
          <w:sz w:val="16"/>
          <w:szCs w:val="16"/>
        </w:rPr>
        <w:t xml:space="preserve"> </w:t>
      </w:r>
      <w:r>
        <w:rPr>
          <w:highlight w:val="cyan"/>
        </w:rPr>
        <w:t>felt the companies they worked for didn’t do what was necessary to keep them safe or reward their sacrifices</w:t>
      </w:r>
      <w:r>
        <w:rPr>
          <w:sz w:val="16"/>
          <w:szCs w:val="16"/>
        </w:rPr>
        <w:t xml:space="preserve">. “Essential workers are tired of being thanked one day and then treated as expendable the next day,” Liz Shuler, president of the AFL-CIO, said in a speech Wednesday in Washington. “The headline isn’t that there’s a shortage of people willing to return to work. Instead, it’s a scarcity story. </w:t>
      </w:r>
      <w:r>
        <w:rPr>
          <w:highlight w:val="cyan"/>
        </w:rPr>
        <w:t>We have a shortage of safe, good-paying, sustainable jobs</w:t>
      </w:r>
      <w:r>
        <w:rPr>
          <w:sz w:val="13"/>
          <w:szCs w:val="13"/>
        </w:rPr>
        <w:t xml:space="preserve">.” That’s the feeling at Deere, where assembly employees were categorized as front-line workers to continue operations, creating a sense that the company owes them. Kellogg workers, too, </w:t>
      </w:r>
      <w:r>
        <w:rPr>
          <w:sz w:val="13"/>
          <w:szCs w:val="13"/>
        </w:rPr>
        <w:lastRenderedPageBreak/>
        <w:t xml:space="preserve">feel like they put themselves at risk in order to keep America’s pantries full during lockdowns. “When it comes to the contract, that raises the bar for what they’d like to see and what they think they deserve,” said Harley Shaiken, a labor professor at the University of California at Berkeley. Above all, the pandemic made a lot of workers rethink their values and priorities, and that’s coming to a head in collective bargaining. “Covid put the rat race in perspective,” said Amy Thurlow, a Los Angeles-based script coordinator represented by the International Alliance of Theatrical Stage Employees union. Thurlow, 33, said it isn’t uncommon for her to work 80-hour weeks and on weekends. Now it’s, “Oh wait, getting to see your family is very important.” Also at play are rising profits. Deere has already posted a record $4.7 billion profit this year, creating a perception among some workers that the manufacturer is holding out on wages and benefits. “My message is they have a righteous strike and they have a right to demand higher wages,’’ President Joe Biden said on Friday, of the Deere workers. There’s a similar feeling at Kellogg. Before the pandemic, cereal was almost an albatross around the company’s neck, as consumers found more exciting breakfast options. But that changed as everyone got locked up at home—U.S. consumption of Kellogg’s cereal was up almost 16% year-on-year at the start of the pandemic. Kellogg Chief Executive Officer Steven Cahillane was awarded a compensation package valued at $11.67 million for 2020, creating a ratio of 279 to 1 when compared with the median total compensation for the rest of the company’s employees, filings show. Nationally, CEO pay in 2020 grew 19% over the previous year, according to the left-leaning Economic Policy Institute. “Workers are producing food that’s increased in demand and increased profits during the pandemic,” said Rebecca Givan, an associate professor of labor studies and employment relations in the School of Management and Labor Relations at Rutgers University. “And now they’re being required to work extremely long hours and not getting any share of those increased profits.” A shortage of workers is also giving unions more confidence they can walk off the job without being replaced. The latest jobs report from the Labor Department showed the U.S. added just 194,000 people to payrolls in September, the smallest gain this year. The slower pace of hiring in part reflected employers’ struggle to recruit and retain qualified workers. “In this period of labor shortages, candidly, you’re going to have to step up as an employer,” said Chris Thornberg, founding partner of independent research firm Beacon Economics LLC. “You’re going to have offer more: better training, better quality of life.” Job openings in the U.S. currently sit near a record 11 million, while the quits rate was at 2.9% in August, the highest since 2000. “Workers feel it,” Thornberg said. “They know it’s a seller’s market.” </w:t>
      </w:r>
      <w:r>
        <w:t xml:space="preserve">For the first time in awhile, unions feel like Washington is on their side, given the Biden administration’s union bent and left-wing politicians like Senator Bernie Sanders and Representative Alexandria Ocasio-Cortez amplifying their voices. “Not only the economic power, but the political power, is on their side,” </w:t>
      </w:r>
      <w:r>
        <w:rPr>
          <w:sz w:val="16"/>
          <w:szCs w:val="16"/>
        </w:rPr>
        <w:t xml:space="preserve">Cornell’s Litwin said. </w:t>
      </w:r>
      <w:r>
        <w:t>“</w:t>
      </w:r>
      <w:r>
        <w:rPr>
          <w:highlight w:val="cyan"/>
        </w:rPr>
        <w:t>Employers are going to cave because they know they have to.”</w:t>
      </w:r>
      <w:r>
        <w:t xml:space="preserve"> </w:t>
      </w:r>
      <w:r>
        <w:rPr>
          <w:sz w:val="16"/>
          <w:szCs w:val="16"/>
        </w:rPr>
        <w:t xml:space="preserve">Each successful union win is also galvanizing for those still in the throes of collective bargaining. </w:t>
      </w:r>
      <w:r>
        <w:t>“</w:t>
      </w:r>
      <w:r>
        <w:rPr>
          <w:highlight w:val="cyan"/>
        </w:rPr>
        <w:t xml:space="preserve">Strikes are contagious in that every time a worker sees a successful strike, they can see what they can win </w:t>
      </w:r>
      <w:r>
        <w:t>by going on strike</w:t>
      </w:r>
      <w:r>
        <w:rPr>
          <w:sz w:val="16"/>
          <w:szCs w:val="16"/>
        </w:rPr>
        <w:t>,” said Givan, the Rutgers professor. The Kellogg cereal workers are members of the Bakery, Confectionery, Tobacco Workers and Grain Millers International Union—the same ones that represented the Nabisco workers in their strike this summer, which brought increased wages and more flexible work schedules. “</w:t>
      </w:r>
      <w:r>
        <w:t>It’s become more of a movement than ever before</w:t>
      </w:r>
      <w:r>
        <w:rPr>
          <w:sz w:val="16"/>
          <w:szCs w:val="16"/>
        </w:rPr>
        <w:t>,” said Dan Osborn, local president of the Omaha chapter of the BCTGM. “</w:t>
      </w:r>
      <w:r>
        <w:t xml:space="preserve">The more we win, the more we’re going to continue to win.” </w:t>
      </w:r>
    </w:p>
    <w:p w14:paraId="54E56792" w14:textId="77777777" w:rsidR="001E49AB" w:rsidRDefault="001E49AB" w:rsidP="001E49AB">
      <w:pPr>
        <w:spacing w:before="15" w:after="180" w:line="240" w:lineRule="auto"/>
      </w:pPr>
    </w:p>
    <w:p w14:paraId="7FC325CD" w14:textId="77777777" w:rsidR="001E49AB" w:rsidRDefault="001E49AB" w:rsidP="001E49AB">
      <w:pPr>
        <w:pStyle w:val="Heading4"/>
        <w:numPr>
          <w:ilvl w:val="0"/>
          <w:numId w:val="4"/>
        </w:numPr>
        <w:tabs>
          <w:tab w:val="num" w:pos="360"/>
        </w:tabs>
        <w:ind w:left="0" w:firstLine="0"/>
        <w:rPr>
          <w:b/>
        </w:rPr>
      </w:pPr>
      <w:r>
        <w:t>Covid and Post Covid era concerns reveal that disability activism is critical to the ability to strengthen unions and the types of protections they claim for workers. Smith 24</w:t>
      </w:r>
    </w:p>
    <w:p w14:paraId="7C8E1A89" w14:textId="77777777" w:rsidR="001E49AB" w:rsidRDefault="001E49AB" w:rsidP="001E49AB">
      <w:r>
        <w:t>S E Smith ;September 17, 2024;The Nation; “Disabled Union Members Are Strengthening the Labor Movement”; https://www.thenation.com/article/activism/disability-union-labor-movement/</w:t>
      </w:r>
    </w:p>
    <w:p w14:paraId="729CFDB7" w14:textId="77777777" w:rsidR="001E49AB" w:rsidRDefault="001E49AB" w:rsidP="001E49AB">
      <w:pPr>
        <w:rPr>
          <w:b/>
          <w:highlight w:val="yellow"/>
          <w:u w:val="single"/>
        </w:rPr>
      </w:pPr>
      <w:r>
        <w:rPr>
          <w:b/>
          <w:highlight w:val="yellow"/>
          <w:u w:val="single"/>
        </w:rPr>
        <w:t>The Covid-19 pandemic, which drove a number of health-related workplace concerns, and George Floyd’s murder, which sparked a diversity, equity, and inclusion “boom,” influenced disability organizing in union settings.</w:t>
      </w:r>
      <w:r>
        <w:rPr>
          <w:b/>
          <w:u w:val="single"/>
        </w:rPr>
        <w:t xml:space="preserve"> The disability community, which counts one in four US adults, has an especially significant stake in labor organizing. </w:t>
      </w:r>
      <w:r>
        <w:rPr>
          <w:b/>
          <w:highlight w:val="yellow"/>
          <w:u w:val="single"/>
        </w:rPr>
        <w:t>The consequences of failing to address the needs of disabled workers across industries are stark; disabled people are twice as likely as the able-bodied to live in poverty, and they face similarly poor performance along a range of other economic indicators.</w:t>
      </w:r>
    </w:p>
    <w:p w14:paraId="0BBE50BE" w14:textId="77777777" w:rsidR="001E49AB" w:rsidRDefault="001E49AB" w:rsidP="001E49AB">
      <w:pPr>
        <w:rPr>
          <w:b/>
          <w:u w:val="single"/>
        </w:rPr>
      </w:pPr>
      <w:r>
        <w:t xml:space="preserve"> “With our [California Faculty Association] meetings and in daily life, I see the ableism in pretty much everything. With our meetings, bringing those issues to the table has made our meetings better,” said Leslie Bryan, a retired arts professor from California State University’s San Bernardino campus who now chairs the California Faculty Association’s Disability Caucus. </w:t>
      </w:r>
      <w:r>
        <w:rPr>
          <w:b/>
          <w:highlight w:val="yellow"/>
          <w:u w:val="single"/>
        </w:rPr>
        <w:t>Thoughtfully including issues of concern to disabled people—such as campus and meeting accessibility, resources for disabled students and faculty, and training for those serving and working with disabled people—improves meeting turnout and engagement, mobilizing more members to work on causes important to the union.</w:t>
      </w:r>
      <w:r>
        <w:rPr>
          <w:b/>
          <w:u w:val="single"/>
        </w:rPr>
        <w:t xml:space="preserve"> This also benefits nondisabled people—greater numbers of active union members make for more robust labor actions and solidarity work, and workplace gains for disabled people are good for nondisabled people too. For example, more generous sick leave with reduced barriers to access helps everyone. Similar trends can be seen with increased diversity, equity, and inclusion (DEI) in unions in general; when more people feel included, respected, and supported by the union, they’re more invested in that union’s work.</w:t>
      </w:r>
    </w:p>
    <w:p w14:paraId="1F2C34DC" w14:textId="77777777" w:rsidR="001E49AB" w:rsidRDefault="001E49AB" w:rsidP="001E49AB">
      <w:pPr>
        <w:spacing w:before="15" w:after="180" w:line="240" w:lineRule="auto"/>
        <w:rPr>
          <w:b/>
        </w:rPr>
      </w:pPr>
    </w:p>
    <w:p w14:paraId="7DF4995C" w14:textId="77777777" w:rsidR="001E49AB" w:rsidRDefault="001E49AB" w:rsidP="001E49AB">
      <w:pPr>
        <w:pStyle w:val="Heading4"/>
        <w:numPr>
          <w:ilvl w:val="0"/>
          <w:numId w:val="4"/>
        </w:numPr>
        <w:tabs>
          <w:tab w:val="num" w:pos="360"/>
        </w:tabs>
        <w:ind w:left="0" w:firstLine="0"/>
      </w:pPr>
      <w:r>
        <w:t>Disabled workers must be able to access union membership as employees to create interunion solidarities and intersectional inclusive advocacies in order to resolve ongoing economic inequities. Smith 24.</w:t>
      </w:r>
    </w:p>
    <w:p w14:paraId="2BAC5C87" w14:textId="77777777" w:rsidR="001E49AB" w:rsidRDefault="001E49AB" w:rsidP="001E49AB">
      <w:pPr>
        <w:pBdr>
          <w:top w:val="nil"/>
          <w:left w:val="nil"/>
          <w:bottom w:val="nil"/>
          <w:right w:val="nil"/>
          <w:between w:val="nil"/>
        </w:pBdr>
        <w:spacing w:after="0"/>
        <w:rPr>
          <w:color w:val="000000"/>
        </w:rPr>
      </w:pPr>
    </w:p>
    <w:p w14:paraId="0E66757F" w14:textId="77777777" w:rsidR="001E49AB" w:rsidRDefault="001E49AB" w:rsidP="001E49AB">
      <w:pPr>
        <w:pBdr>
          <w:top w:val="nil"/>
          <w:left w:val="nil"/>
          <w:bottom w:val="nil"/>
          <w:right w:val="nil"/>
          <w:between w:val="nil"/>
        </w:pBdr>
        <w:spacing w:after="0"/>
        <w:rPr>
          <w:color w:val="000000"/>
        </w:rPr>
      </w:pPr>
      <w:r>
        <w:rPr>
          <w:color w:val="000000"/>
        </w:rPr>
        <w:t>S E Smith ;September 17, 2024;The Nation; “Disabled Union Members Are Strengthening the Labor Movement”; https://www.thenation.com/article/activism/disability-union-labor-movement/</w:t>
      </w:r>
    </w:p>
    <w:p w14:paraId="0BB6436F" w14:textId="77777777" w:rsidR="001E49AB" w:rsidRDefault="001E49AB" w:rsidP="001E49AB">
      <w:pPr>
        <w:pBdr>
          <w:top w:val="nil"/>
          <w:left w:val="nil"/>
          <w:bottom w:val="nil"/>
          <w:right w:val="nil"/>
          <w:between w:val="nil"/>
        </w:pBdr>
        <w:spacing w:after="0"/>
        <w:rPr>
          <w:b/>
          <w:color w:val="000000"/>
          <w:highlight w:val="yellow"/>
          <w:u w:val="single"/>
        </w:rPr>
      </w:pPr>
      <w:r>
        <w:rPr>
          <w:b/>
          <w:color w:val="000000"/>
          <w:highlight w:val="yellow"/>
          <w:u w:val="single"/>
        </w:rPr>
        <w:t xml:space="preserve">The increased role of disability rights and justice conversations in union spaces will likely lead to employment opportunities, more affirming workplaces for disabled people, better conditions for learning and teaching in the disability community, and innovative new forms of inter-union solidarity. </w:t>
      </w:r>
      <w:r>
        <w:rPr>
          <w:color w:val="000000"/>
        </w:rPr>
        <w:t xml:space="preserve">The visibility of public education in California may also make it a valuable resource for organizers across the country—and </w:t>
      </w:r>
      <w:r>
        <w:rPr>
          <w:b/>
          <w:color w:val="000000"/>
          <w:highlight w:val="yellow"/>
          <w:u w:val="single"/>
        </w:rPr>
        <w:t>advocates</w:t>
      </w:r>
      <w:r>
        <w:rPr>
          <w:color w:val="000000"/>
          <w:highlight w:val="yellow"/>
        </w:rPr>
        <w:t xml:space="preserve"> </w:t>
      </w:r>
      <w:r>
        <w:rPr>
          <w:color w:val="000000"/>
        </w:rPr>
        <w:t>such as Ringo</w:t>
      </w:r>
      <w:r>
        <w:rPr>
          <w:color w:val="000000"/>
          <w:highlight w:val="yellow"/>
        </w:rPr>
        <w:t xml:space="preserve"> </w:t>
      </w:r>
      <w:r>
        <w:rPr>
          <w:b/>
          <w:color w:val="000000"/>
          <w:highlight w:val="yellow"/>
          <w:u w:val="single"/>
        </w:rPr>
        <w:t>are hoping that other organizers learn from their experiences and implement more disability-forward policies, particularly as the nation deals with the lingering effects of the pandemic and long Covid’s effects on workers.</w:t>
      </w:r>
    </w:p>
    <w:p w14:paraId="6A45B8F0" w14:textId="77777777" w:rsidR="001E49AB" w:rsidRDefault="001E49AB" w:rsidP="001E49AB">
      <w:pPr>
        <w:pBdr>
          <w:top w:val="nil"/>
          <w:left w:val="nil"/>
          <w:bottom w:val="nil"/>
          <w:right w:val="nil"/>
          <w:between w:val="nil"/>
        </w:pBdr>
        <w:spacing w:after="0"/>
        <w:rPr>
          <w:b/>
          <w:color w:val="000000"/>
          <w:u w:val="single"/>
        </w:rPr>
      </w:pPr>
      <w:r>
        <w:rPr>
          <w:b/>
          <w:color w:val="000000"/>
          <w:highlight w:val="yellow"/>
          <w:u w:val="single"/>
        </w:rPr>
        <w:t>Union members must organize to force employers to invest in their disabled workers</w:t>
      </w:r>
      <w:r>
        <w:rPr>
          <w:color w:val="000000"/>
        </w:rPr>
        <w:t xml:space="preserve">, Ringo told me: </w:t>
      </w:r>
      <w:r>
        <w:rPr>
          <w:b/>
          <w:color w:val="000000"/>
          <w:u w:val="single"/>
        </w:rPr>
        <w:t>“It’s a case of you make more work for them to fight than it is for [employers to provide accommodations].” On their own, disabled workers can flounder in jobs where their needs are ignored, and only an active and inclusive union can force management to accommodate everyone—and everyone benefits from a more disability-friendly workplace.</w:t>
      </w:r>
    </w:p>
    <w:p w14:paraId="0FD4B132" w14:textId="77777777" w:rsidR="001E49AB" w:rsidRDefault="001E49AB" w:rsidP="001E49AB">
      <w:pPr>
        <w:pBdr>
          <w:top w:val="nil"/>
          <w:left w:val="nil"/>
          <w:bottom w:val="nil"/>
          <w:right w:val="nil"/>
          <w:between w:val="nil"/>
        </w:pBdr>
        <w:ind w:left="720"/>
        <w:rPr>
          <w:color w:val="000000"/>
        </w:rPr>
      </w:pPr>
    </w:p>
    <w:p w14:paraId="6D9E951E" w14:textId="77777777" w:rsidR="001E49AB" w:rsidRDefault="001E49AB" w:rsidP="001E49AB">
      <w:pPr>
        <w:spacing w:before="15" w:after="180" w:line="240" w:lineRule="auto"/>
        <w:rPr>
          <w:b/>
        </w:rPr>
      </w:pPr>
    </w:p>
    <w:p w14:paraId="77CB8473" w14:textId="77777777" w:rsidR="001E49AB" w:rsidRDefault="001E49AB" w:rsidP="001E49AB">
      <w:pPr>
        <w:spacing w:before="15" w:after="180" w:line="240" w:lineRule="auto"/>
      </w:pPr>
    </w:p>
    <w:p w14:paraId="55A526FD" w14:textId="77777777" w:rsidR="001E49AB" w:rsidRDefault="001E49AB" w:rsidP="001E49AB"/>
    <w:p w14:paraId="3BD59173" w14:textId="77777777" w:rsidR="000B28BF" w:rsidRDefault="000B28BF"/>
    <w:sectPr w:rsidR="000B28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532A1"/>
    <w:multiLevelType w:val="multilevel"/>
    <w:tmpl w:val="13B692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6936873"/>
    <w:multiLevelType w:val="multilevel"/>
    <w:tmpl w:val="B64861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717362E"/>
    <w:multiLevelType w:val="multilevel"/>
    <w:tmpl w:val="698CA77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B873AF8"/>
    <w:multiLevelType w:val="multilevel"/>
    <w:tmpl w:val="D6A6400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50939585">
    <w:abstractNumId w:val="1"/>
  </w:num>
  <w:num w:numId="2" w16cid:durableId="1613707353">
    <w:abstractNumId w:val="0"/>
  </w:num>
  <w:num w:numId="3" w16cid:durableId="2034643925">
    <w:abstractNumId w:val="3"/>
  </w:num>
  <w:num w:numId="4" w16cid:durableId="772673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9AB"/>
    <w:rsid w:val="000B28BF"/>
    <w:rsid w:val="000F1D2B"/>
    <w:rsid w:val="001E49AB"/>
    <w:rsid w:val="004175EA"/>
    <w:rsid w:val="00646F96"/>
    <w:rsid w:val="007E0477"/>
    <w:rsid w:val="00A55E19"/>
    <w:rsid w:val="00E13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CDB53E"/>
  <w15:chartTrackingRefBased/>
  <w15:docId w15:val="{6F6AB14D-3549-49F1-B700-71FD36981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9AB"/>
    <w:pPr>
      <w:spacing w:line="259"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1E4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4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4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4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E4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9AB"/>
    <w:rPr>
      <w:rFonts w:eastAsiaTheme="majorEastAsia" w:cstheme="majorBidi"/>
      <w:color w:val="272727" w:themeColor="text1" w:themeTint="D8"/>
    </w:rPr>
  </w:style>
  <w:style w:type="paragraph" w:styleId="Title">
    <w:name w:val="Title"/>
    <w:basedOn w:val="Normal"/>
    <w:next w:val="Normal"/>
    <w:link w:val="TitleChar"/>
    <w:uiPriority w:val="10"/>
    <w:qFormat/>
    <w:rsid w:val="001E4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9AB"/>
    <w:pPr>
      <w:spacing w:before="160"/>
      <w:jc w:val="center"/>
    </w:pPr>
    <w:rPr>
      <w:i/>
      <w:iCs/>
      <w:color w:val="404040" w:themeColor="text1" w:themeTint="BF"/>
    </w:rPr>
  </w:style>
  <w:style w:type="character" w:customStyle="1" w:styleId="QuoteChar">
    <w:name w:val="Quote Char"/>
    <w:basedOn w:val="DefaultParagraphFont"/>
    <w:link w:val="Quote"/>
    <w:uiPriority w:val="29"/>
    <w:rsid w:val="001E49AB"/>
    <w:rPr>
      <w:i/>
      <w:iCs/>
      <w:color w:val="404040" w:themeColor="text1" w:themeTint="BF"/>
    </w:rPr>
  </w:style>
  <w:style w:type="paragraph" w:styleId="ListParagraph">
    <w:name w:val="List Paragraph"/>
    <w:basedOn w:val="Normal"/>
    <w:uiPriority w:val="34"/>
    <w:qFormat/>
    <w:rsid w:val="001E49AB"/>
    <w:pPr>
      <w:ind w:left="720"/>
      <w:contextualSpacing/>
    </w:pPr>
  </w:style>
  <w:style w:type="character" w:styleId="IntenseEmphasis">
    <w:name w:val="Intense Emphasis"/>
    <w:basedOn w:val="DefaultParagraphFont"/>
    <w:uiPriority w:val="21"/>
    <w:qFormat/>
    <w:rsid w:val="001E49AB"/>
    <w:rPr>
      <w:i/>
      <w:iCs/>
      <w:color w:val="0F4761" w:themeColor="accent1" w:themeShade="BF"/>
    </w:rPr>
  </w:style>
  <w:style w:type="paragraph" w:styleId="IntenseQuote">
    <w:name w:val="Intense Quote"/>
    <w:basedOn w:val="Normal"/>
    <w:next w:val="Normal"/>
    <w:link w:val="IntenseQuoteChar"/>
    <w:uiPriority w:val="30"/>
    <w:qFormat/>
    <w:rsid w:val="001E4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9AB"/>
    <w:rPr>
      <w:i/>
      <w:iCs/>
      <w:color w:val="0F4761" w:themeColor="accent1" w:themeShade="BF"/>
    </w:rPr>
  </w:style>
  <w:style w:type="character" w:styleId="IntenseReference">
    <w:name w:val="Intense Reference"/>
    <w:basedOn w:val="DefaultParagraphFont"/>
    <w:uiPriority w:val="32"/>
    <w:qFormat/>
    <w:rsid w:val="001E4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lr.cornell.edu/carow/carow-policy/many-disabled-people-work-has-price-tag" TargetMode="External"/><Relationship Id="rId13" Type="http://schemas.openxmlformats.org/officeDocument/2006/relationships/hyperlink" Target="https://www.disabilitybenefitsatwork.org/" TargetMode="External"/><Relationship Id="rId18" Type="http://schemas.openxmlformats.org/officeDocument/2006/relationships/hyperlink" Target="https://www.ilr.cornell.edu/carow/carow-policy/many-disabled-people-work-has-price-ta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ilr.cornell.edu/carow/carow-policy/many-disabled-people-work-has-price-tag" TargetMode="External"/><Relationship Id="rId12" Type="http://schemas.openxmlformats.org/officeDocument/2006/relationships/hyperlink" Target="https://www.ssa.gov/redbook/newfor2024.htm" TargetMode="External"/><Relationship Id="rId17" Type="http://schemas.openxmlformats.org/officeDocument/2006/relationships/hyperlink" Target="https://www.ilr.cornell.edu/carow/carow-policy/many-disabled-people-work-has-price-tag" TargetMode="External"/><Relationship Id="rId2" Type="http://schemas.openxmlformats.org/officeDocument/2006/relationships/styles" Target="styles.xml"/><Relationship Id="rId16" Type="http://schemas.openxmlformats.org/officeDocument/2006/relationships/hyperlink" Target="https://www.mathematica.org/publications/a-qualitative-study-of-employment-experiences-of-di-beneficiaries-after-receipt-of-an-overpayment" TargetMode="External"/><Relationship Id="rId20" Type="http://schemas.openxmlformats.org/officeDocument/2006/relationships/hyperlink" Target="https://www.ilr.cornell.edu/carow/carow-policy/many-disabled-people-work-has-price-tag" TargetMode="External"/><Relationship Id="rId1" Type="http://schemas.openxmlformats.org/officeDocument/2006/relationships/numbering" Target="numbering.xml"/><Relationship Id="rId6" Type="http://schemas.openxmlformats.org/officeDocument/2006/relationships/hyperlink" Target="https://www.ilr.cornell.edu/carow/carow-policy/many-disabled-people-work-has-price-tag" TargetMode="External"/><Relationship Id="rId11" Type="http://schemas.openxmlformats.org/officeDocument/2006/relationships/hyperlink" Target="https://www.ilr.cornell.edu/carow/carow-policy/many-disabled-people-work-has-price-tag" TargetMode="External"/><Relationship Id="rId5" Type="http://schemas.openxmlformats.org/officeDocument/2006/relationships/hyperlink" Target="https://www.ssa.gov/oact/cola/sga.html" TargetMode="External"/><Relationship Id="rId15" Type="http://schemas.openxmlformats.org/officeDocument/2006/relationships/hyperlink" Target="https://www.ssa.gov/policy/docs/ssb/v84n1/v84n1p49.html" TargetMode="External"/><Relationship Id="rId10" Type="http://schemas.openxmlformats.org/officeDocument/2006/relationships/hyperlink" Target="https://www.ssa.gov/policy/docs/ssb/v84n1/v84n1p49.html" TargetMode="External"/><Relationship Id="rId19" Type="http://schemas.openxmlformats.org/officeDocument/2006/relationships/hyperlink" Target="https://www.ssa.gov/redbook/eng/definedisability.htm?tl=0" TargetMode="External"/><Relationship Id="rId4" Type="http://schemas.openxmlformats.org/officeDocument/2006/relationships/webSettings" Target="webSettings.xml"/><Relationship Id="rId9" Type="http://schemas.openxmlformats.org/officeDocument/2006/relationships/hyperlink" Target="https://www.medicaid.gov/about-us/program-history/medicaid-50th-anniversary/entry/47691" TargetMode="External"/><Relationship Id="rId14" Type="http://schemas.openxmlformats.org/officeDocument/2006/relationships/hyperlink" Target="https://www.ilr.cornell.edu/carow/carow-policy/many-disabled-people-work-has-price-ta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4719</Words>
  <Characters>28525</Characters>
  <Application>Microsoft Office Word</Application>
  <DocSecurity>0</DocSecurity>
  <Lines>396</Lines>
  <Paragraphs>75</Paragraphs>
  <ScaleCrop>false</ScaleCrop>
  <Company/>
  <LinksUpToDate>false</LinksUpToDate>
  <CharactersWithSpaces>33169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Keenan</dc:creator>
  <cp:keywords/>
  <dc:description/>
  <cp:lastModifiedBy>V Keenan</cp:lastModifiedBy>
  <cp:revision>1</cp:revision>
  <dcterms:created xsi:type="dcterms:W3CDTF">2025-09-27T11:07:00Z</dcterms:created>
  <dcterms:modified xsi:type="dcterms:W3CDTF">2025-09-27T11:09:00Z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ea68270c-140c-4be0-9bf5-f8743ed6bdbb</vt:lpwstr>
  </property>
</Properties>
</file>