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8D46F" w14:textId="77777777" w:rsidR="006C5EA1" w:rsidRPr="006A6ED7" w:rsidRDefault="006C5EA1" w:rsidP="006C5EA1">
      <w:pPr>
        <w:pStyle w:val="Heading4"/>
      </w:pPr>
      <w:r w:rsidRPr="006A6ED7">
        <w:t>Our Earth is near its end, but the voices of the ancestors shout in Sioux dreams - in the face of a destructive and non-relenting machine that threatens our very existence, The Zuzeca Sape prophecy is on the horizon – and the ghosts calling us to unify against Zuzeca Sape. </w:t>
      </w:r>
    </w:p>
    <w:p w14:paraId="3BEA9EA9" w14:textId="77777777" w:rsidR="006C5EA1" w:rsidRPr="006A6ED7" w:rsidRDefault="006C5EA1" w:rsidP="006C5EA1">
      <w:r w:rsidRPr="006A6ED7">
        <w:rPr>
          <w:rFonts w:eastAsiaTheme="majorEastAsia" w:cstheme="majorBidi"/>
          <w:b/>
          <w:iCs/>
          <w:sz w:val="26"/>
        </w:rPr>
        <w:t>Matta</w:t>
      </w:r>
      <w:r w:rsidRPr="006A6ED7">
        <w:rPr>
          <w:rFonts w:eastAsiaTheme="majorEastAsia" w:cstheme="majorBidi"/>
          <w:bCs/>
          <w:iCs/>
          <w:sz w:val="16"/>
          <w:szCs w:val="16"/>
        </w:rPr>
        <w:t>,</w:t>
      </w:r>
      <w:r w:rsidRPr="006A6ED7">
        <w:rPr>
          <w:bCs/>
          <w:sz w:val="16"/>
          <w:szCs w:val="16"/>
        </w:rPr>
        <w:t xml:space="preserve"> </w:t>
      </w:r>
      <w:r w:rsidRPr="006A6ED7">
        <w:rPr>
          <w:sz w:val="16"/>
          <w:szCs w:val="16"/>
        </w:rPr>
        <w:t>S. (20</w:t>
      </w:r>
      <w:r w:rsidRPr="006A6ED7">
        <w:rPr>
          <w:rFonts w:eastAsiaTheme="majorEastAsia" w:cstheme="majorBidi"/>
          <w:b/>
          <w:iCs/>
          <w:sz w:val="26"/>
        </w:rPr>
        <w:t>21</w:t>
      </w:r>
      <w:r w:rsidRPr="006A6ED7">
        <w:rPr>
          <w:sz w:val="16"/>
          <w:szCs w:val="16"/>
        </w:rPr>
        <w:t>, August</w:t>
      </w:r>
      <w:r w:rsidRPr="006A6ED7">
        <w:rPr>
          <w:b/>
          <w:bCs/>
          <w:sz w:val="16"/>
          <w:szCs w:val="16"/>
        </w:rPr>
        <w:t xml:space="preserve"> </w:t>
      </w:r>
      <w:r w:rsidRPr="006A6ED7">
        <w:rPr>
          <w:sz w:val="16"/>
          <w:szCs w:val="16"/>
        </w:rPr>
        <w:t xml:space="preserve">5). </w:t>
      </w:r>
      <w:r w:rsidRPr="006A6ED7">
        <w:rPr>
          <w:i/>
          <w:iCs/>
          <w:sz w:val="16"/>
          <w:szCs w:val="16"/>
        </w:rPr>
        <w:t>The eternal fire: Standing rock and the (re)awaking of dreams</w:t>
      </w:r>
      <w:r w:rsidRPr="006A6ED7">
        <w:rPr>
          <w:sz w:val="16"/>
          <w:szCs w:val="16"/>
        </w:rPr>
        <w:t>. Oregon Humanities. https://www.oregonhumanities.org/rll/beyond-the-margins/the-eternal-fire/</w:t>
      </w:r>
      <w:r w:rsidRPr="006A6ED7">
        <w:t> </w:t>
      </w:r>
    </w:p>
    <w:p w14:paraId="32D59F4C" w14:textId="77777777" w:rsidR="006C5EA1" w:rsidRPr="006A6ED7" w:rsidRDefault="006C5EA1" w:rsidP="006C5EA1">
      <w:r w:rsidRPr="006A6ED7">
        <w:rPr>
          <w:rStyle w:val="StyleUnderline"/>
          <w:b/>
          <w:sz w:val="26"/>
          <w:highlight w:val="cyan"/>
        </w:rPr>
        <w:t>In the still water quieted by pale dams, there is a whisper of dreams. A whisper that used to drive and propel hope through the changing landscape of "Indian Country</w:t>
      </w:r>
      <w:r w:rsidRPr="006A6ED7">
        <w:rPr>
          <w:rStyle w:val="StyleUnderline"/>
          <w:b/>
          <w:sz w:val="26"/>
        </w:rPr>
        <w:t>"</w:t>
      </w:r>
      <w:r w:rsidRPr="006A6ED7">
        <w:rPr>
          <w:sz w:val="16"/>
          <w:szCs w:val="16"/>
        </w:rPr>
        <w:t xml:space="preserve"> during the 1800s. </w:t>
      </w:r>
      <w:r w:rsidRPr="006A6ED7">
        <w:rPr>
          <w:rStyle w:val="Style13ptBold"/>
          <w:highlight w:val="cyan"/>
        </w:rPr>
        <w:t>In a time of great death and cultural genocide, many prophets spoke of dreams. Dreams that would bring the old ways back to the people. Dreams were a fabric in which to weave stories of resilience and hope. These dreams kept the people fed and brought prophecy. The dreamer brought the people a sense of peace that one day their Ancestors would rise again from their untimely deaths brought about from settler colonialism. These are old dreams dressed in new clothes, a way for the Ancestors to keep speaking to us. Many felt that a dream led them to the Standing Rock Sioux Reservation in 2016 to fight the Dakota Access Pipeline,</w:t>
      </w:r>
      <w:r w:rsidRPr="006A6ED7">
        <w:t xml:space="preserve"> </w:t>
      </w:r>
      <w:r w:rsidRPr="006A6ED7">
        <w:rPr>
          <w:sz w:val="16"/>
          <w:szCs w:val="16"/>
        </w:rPr>
        <w:t>including me. Many spoke of how</w:t>
      </w:r>
      <w:r w:rsidRPr="006A6ED7">
        <w:t xml:space="preserve"> </w:t>
      </w:r>
      <w:r w:rsidRPr="006A6ED7">
        <w:rPr>
          <w:rStyle w:val="Style13ptBold"/>
          <w:highlight w:val="cyan"/>
        </w:rPr>
        <w:t>it felt like their Ancestors had nudged them awake, as if the Earth was rising in a chorus of resistance to a machine that is hell-bent on destruction and greed</w:t>
      </w:r>
      <w:r w:rsidRPr="006A6ED7">
        <w:rPr>
          <w:b/>
          <w:bCs/>
        </w:rPr>
        <w:t>.</w:t>
      </w:r>
      <w:r w:rsidRPr="006A6ED7">
        <w:t xml:space="preserve"> </w:t>
      </w:r>
      <w:r w:rsidRPr="006A6ED7">
        <w:rPr>
          <w:sz w:val="16"/>
          <w:szCs w:val="16"/>
        </w:rPr>
        <w:t xml:space="preserve">I recently read a </w:t>
      </w:r>
      <w:hyperlink r:id="rId4" w:history="1">
        <w:r w:rsidRPr="006A6ED7">
          <w:rPr>
            <w:rStyle w:val="Hyperlink"/>
            <w:color w:val="000000" w:themeColor="text1"/>
            <w:sz w:val="16"/>
            <w:szCs w:val="16"/>
            <w:u w:val="none"/>
          </w:rPr>
          <w:t>Time magazine article</w:t>
        </w:r>
      </w:hyperlink>
      <w:r w:rsidRPr="006A6ED7">
        <w:rPr>
          <w:color w:val="000000" w:themeColor="text1"/>
          <w:sz w:val="16"/>
          <w:szCs w:val="16"/>
        </w:rPr>
        <w:t xml:space="preserve"> </w:t>
      </w:r>
      <w:r w:rsidRPr="006A6ED7">
        <w:rPr>
          <w:sz w:val="16"/>
          <w:szCs w:val="16"/>
        </w:rPr>
        <w:t>about Standing Rock, that begins:  “Almost everyone who came to Standing Rock repeated the same legend. Someone, maybe</w:t>
      </w:r>
      <w:r w:rsidRPr="006A6ED7">
        <w:rPr>
          <w:b/>
          <w:bCs/>
        </w:rPr>
        <w:t xml:space="preserve"> </w:t>
      </w:r>
      <w:r w:rsidRPr="006A6ED7">
        <w:rPr>
          <w:rFonts w:eastAsiaTheme="majorEastAsia" w:cstheme="majorBidi"/>
          <w:b/>
          <w:iCs/>
          <w:sz w:val="26"/>
          <w:highlight w:val="cyan"/>
        </w:rPr>
        <w:t>Crazy Horse, had made a prophecy a long time ago</w:t>
      </w:r>
      <w:r w:rsidRPr="006A6ED7">
        <w:t xml:space="preserve">—probably </w:t>
      </w:r>
      <w:r w:rsidRPr="006A6ED7">
        <w:rPr>
          <w:rFonts w:eastAsiaTheme="majorEastAsia" w:cstheme="majorBidi"/>
          <w:b/>
          <w:iCs/>
          <w:sz w:val="26"/>
          <w:highlight w:val="cyan"/>
        </w:rPr>
        <w:t>in the late 1870s</w:t>
      </w:r>
      <w:r w:rsidRPr="006A6ED7">
        <w:t>—</w:t>
      </w:r>
      <w:r w:rsidRPr="006A6ED7">
        <w:rPr>
          <w:rStyle w:val="Style13ptBold"/>
          <w:highlight w:val="cyan"/>
        </w:rPr>
        <w:t>about the looming destruction of the planet</w:t>
      </w:r>
      <w:r w:rsidRPr="006A6ED7">
        <w:rPr>
          <w:b/>
          <w:bCs/>
        </w:rPr>
        <w:t>.</w:t>
      </w:r>
      <w:r w:rsidRPr="006A6ED7">
        <w:t xml:space="preserve">” </w:t>
      </w:r>
      <w:r w:rsidRPr="006A6ED7">
        <w:rPr>
          <w:sz w:val="16"/>
          <w:szCs w:val="16"/>
        </w:rPr>
        <w:t>And that is exactly what called me there. The liminal essence of dreaming was the fabric of everyday conversation in camp.</w:t>
      </w:r>
      <w:r w:rsidRPr="006A6ED7">
        <w:t xml:space="preserve"> </w:t>
      </w:r>
      <w:r w:rsidRPr="006A6ED7">
        <w:rPr>
          <w:rStyle w:val="Style13ptBold"/>
          <w:highlight w:val="cyan"/>
        </w:rPr>
        <w:t>From the morning prayers at the Sacred Fire to the frontlines of resistance, prophecy was on everyone's lips</w:t>
      </w:r>
      <w:r w:rsidRPr="006A6ED7">
        <w:rPr>
          <w:rStyle w:val="Style13ptBold"/>
        </w:rPr>
        <w:t>.</w:t>
      </w:r>
      <w:r w:rsidRPr="006A6ED7">
        <w:rPr>
          <w:sz w:val="16"/>
          <w:szCs w:val="16"/>
        </w:rPr>
        <w:t xml:space="preserve"> But to me, this was more than an Awakening. It was a confirmation that my dreams have always been telling me such things. Things I was beginning to finally understand. I was a young six-year-old; she was a timeless maiden. She changed my life! So clear the memory. So clear the vision. Awaken, the plume of ash on the horizon, safe near my parents. Several nights before, the whole house shook, the earth quaked, and I remember my curious thoughts: How did the Earth shake? What caused it? At that age, I was more of a scientist than an artist. But something changed in me, and my dreams would never be the same. I was beginning to understand what my grandmother was telling me. She talked about the Bridge of the Gods, and the Mountains of Fire, and how the brothers Wyeast¹ and Pahtoe² would battle and argue for the love and admiration of Loowit³, or how Coyote made the N’ch-iwana⁴, and the stories of Thunderbird. She would talk about the little people, the Wah-Tee-Tahs, how they would lure you in with their mischief, all the supernatural stories of ghosts, and old burial sites, and my family’s struggle to make meaning out of the changing world around them. She would tell me these stories and end them with, “But we don’t believe like that anymore.”  It was true. She and so many members of my family stopped believing in the old stories and ways of our tribe and traded them in for a fundamentalist, vengeful god. When I was six and saw the timeless maiden Loowit blow her top on May 18, 1980, the old stories awoke in me. I wanted to know more about the old ways and how to practice them, but all I had to go off of were stories. And then the dreams came</w:t>
      </w:r>
      <w:r w:rsidRPr="006A6ED7">
        <w:rPr>
          <w:sz w:val="16"/>
          <w:szCs w:val="16"/>
          <w:highlight w:val="cyan"/>
        </w:rPr>
        <w:t xml:space="preserve">.  </w:t>
      </w:r>
      <w:r w:rsidRPr="006A6ED7">
        <w:rPr>
          <w:rStyle w:val="Style13ptBold"/>
          <w:highlight w:val="cyan"/>
        </w:rPr>
        <w:t>I used to pray, even if the sounds echoed into empty space. I had some faith that those words would reach some distant star, and portals would open up in the night sky. But instead I would dream. I would dream until I forgot what I was dreaming about. What was the reason for the journey? I often find the journey is the only thing that keeps me still most times, nodding off to the narcotic rhetoric of the modern age. It is in these journeys I meet my guides, who, with unforeseen hands, move the air of the fates in and out of existence.</w:t>
      </w:r>
      <w:r w:rsidRPr="006A6ED7">
        <w:rPr>
          <w:rStyle w:val="Style13ptBold"/>
        </w:rPr>
        <w:t xml:space="preserve"> </w:t>
      </w:r>
      <w:r w:rsidRPr="006A6ED7">
        <w:rPr>
          <w:rStyle w:val="Style13ptBold"/>
          <w:sz w:val="16"/>
          <w:szCs w:val="16"/>
        </w:rPr>
        <w:t>Coyote always seems to wake me up right before the climax. I was being shown a new way, a new story, if only I would listen.The dream was this: Coyote was coming down the N’ch-iwana. He would stop at the lodges, rip open the doors, and yell, “Get up! The Salmon need you!” He would stop at the fishing platforms dotted along the banks, yelling, “Stay alert! The Salmon are leaving! They need you!”  Everyone was bewildered.  “What is he talking about? Crazy trickster. He is always up to something!”  He would say back to them, “Get up! The Salmon need you!” Back and forth up the river he would go, telling anyone, whether they wanted to hear it or not, “Stay alert! The Salmon need you!”  I awoke to the feeling of sweat upon my brow, the dream resting on the tip of my tongue, goosebumps skimming my flesh, and my heart heavy with the message. “Get up! The Salmon need you!” I knew what was being asked of me; I felt it in my tired bones.</w:t>
      </w:r>
      <w:r w:rsidRPr="006A6ED7">
        <w:rPr>
          <w:rStyle w:val="Style13ptBold"/>
        </w:rPr>
        <w:t xml:space="preserve"> </w:t>
      </w:r>
      <w:r w:rsidRPr="006A6ED7">
        <w:rPr>
          <w:rStyle w:val="Style13ptBold"/>
          <w:highlight w:val="cyan"/>
        </w:rPr>
        <w:t>It was the morning of October 26, 2016</w:t>
      </w:r>
      <w:r w:rsidRPr="006A6ED7">
        <w:rPr>
          <w:b/>
          <w:bCs/>
          <w:sz w:val="16"/>
          <w:szCs w:val="16"/>
        </w:rPr>
        <w:t xml:space="preserve">. </w:t>
      </w:r>
      <w:r w:rsidRPr="006A6ED7">
        <w:rPr>
          <w:sz w:val="16"/>
          <w:szCs w:val="16"/>
        </w:rPr>
        <w:t>I was still sore and relearning the sacrament of swallowing. Just a week prior, I had a surgery on my esophagus to help cure a disease that nearly took my life. A month before my surgery, I had to live with a feeding tube in my esophagus, so it could start its healing process. I laid in bed, watching as the standoff at Standing Rock was unfolding</w:t>
      </w:r>
      <w:r w:rsidRPr="006A6ED7">
        <w:t>.</w:t>
      </w:r>
      <w:r w:rsidRPr="006A6ED7">
        <w:rPr>
          <w:rStyle w:val="Style13ptBold"/>
          <w:highlight w:val="cyan"/>
        </w:rPr>
        <w:t xml:space="preserve">I felt a calling to be there, to help my cousins in North Dakota fight for their Sovereignty, and for the Mni Wiconi⁵, </w:t>
      </w:r>
      <w:r w:rsidRPr="006A6ED7">
        <w:rPr>
          <w:rStyle w:val="Style13ptBold"/>
          <w:sz w:val="16"/>
          <w:szCs w:val="16"/>
        </w:rPr>
        <w:t>but was certain I would have to help from afar.</w:t>
      </w:r>
      <w:r w:rsidRPr="006A6ED7">
        <w:rPr>
          <w:rStyle w:val="Style13ptBold"/>
        </w:rPr>
        <w:t xml:space="preserve"> </w:t>
      </w:r>
      <w:r w:rsidRPr="006A6ED7">
        <w:rPr>
          <w:rStyle w:val="Style13ptBold"/>
          <w:highlight w:val="cyan"/>
        </w:rPr>
        <w:t>On that cold October morning, I knew it was time to go</w:t>
      </w:r>
      <w:r w:rsidRPr="006A6ED7">
        <w:rPr>
          <w:b/>
          <w:bCs/>
          <w:sz w:val="16"/>
          <w:szCs w:val="16"/>
        </w:rPr>
        <w:t>.  </w:t>
      </w:r>
      <w:r w:rsidRPr="006A6ED7">
        <w:rPr>
          <w:sz w:val="16"/>
          <w:szCs w:val="16"/>
        </w:rPr>
        <w:t>I felt the old trickster’s words resonate in my heart. Indeed, the Salmon needed us. Since the first contact,</w:t>
      </w:r>
      <w:r w:rsidRPr="006A6ED7">
        <w:t xml:space="preserve"> </w:t>
      </w:r>
      <w:r w:rsidRPr="006A6ED7">
        <w:rPr>
          <w:rStyle w:val="Style13ptBold"/>
          <w:sz w:val="16"/>
          <w:szCs w:val="16"/>
        </w:rPr>
        <w:t>Coyote had seen so much: from a river so fat with Salmon you could walk across it on top of their backs, to a silent dragon stuck in the gold pockets of a civilization determined to save a “savage” from its blasphemous ways. The roar of Wyam⁶ had grown silent to Coyote. And the Salmon, who fueled the stories and myth of old, were becoming ghosts before the spawn</w:t>
      </w:r>
      <w:r w:rsidRPr="006A6ED7">
        <w:rPr>
          <w:b/>
          <w:bCs/>
          <w:sz w:val="16"/>
          <w:szCs w:val="16"/>
        </w:rPr>
        <w:t>.</w:t>
      </w:r>
      <w:r w:rsidRPr="006A6ED7">
        <w:rPr>
          <w:b/>
          <w:bCs/>
        </w:rPr>
        <w:t xml:space="preserve"> </w:t>
      </w:r>
      <w:r w:rsidRPr="006A6ED7">
        <w:rPr>
          <w:sz w:val="16"/>
          <w:szCs w:val="16"/>
        </w:rPr>
        <w:t>Many of us River People speak about still hearing those waters fall, like a longing at the doors of our dreams or a remembering that we know in the beating of our hearts. Each pump a drum of longing to be home amongst the joyful jumping of Salmon. A familiar smoke drifting from shacks holding old stories, the repeating patterns of metaphor, and the sound of Echoes of Water Against Rocks.</w:t>
      </w:r>
      <w:r w:rsidRPr="006A6ED7">
        <w:t xml:space="preserve">  </w:t>
      </w:r>
      <w:r w:rsidRPr="006A6ED7">
        <w:rPr>
          <w:rStyle w:val="Style13ptBold"/>
          <w:highlight w:val="cyan"/>
        </w:rPr>
        <w:t>After the dream, I knew I had to go and stand with others who were standing against these mythical beasts. The sleeping dragon had awoken to the slithering snake of the Dakota Access Pipeline. I packed my things and headed to Lakota country.  In Lakota prophecy, Zuzeca Sape is the snake that comes into the land, breeding division and destruction in its path</w:t>
      </w:r>
      <w:r w:rsidRPr="006A6ED7">
        <w:t xml:space="preserve">. </w:t>
      </w:r>
      <w:r w:rsidRPr="006A6ED7">
        <w:rPr>
          <w:sz w:val="16"/>
          <w:szCs w:val="16"/>
        </w:rPr>
        <w:t>I had heard this prophecy before from my Aunty Teri, who had learned much of the Lakota’s stories from her early activism with the American Indian Movement in the early 1970s. But</w:t>
      </w:r>
      <w:r w:rsidRPr="006A6ED7">
        <w:t xml:space="preserve"> </w:t>
      </w:r>
      <w:r w:rsidRPr="006A6ED7">
        <w:rPr>
          <w:rStyle w:val="Style13ptBold"/>
          <w:highlight w:val="cyan"/>
        </w:rPr>
        <w:t>only now were some of the meanings becoming apparent</w:t>
      </w:r>
      <w:r w:rsidRPr="006A6ED7">
        <w:t xml:space="preserve">. </w:t>
      </w:r>
      <w:r w:rsidRPr="006A6ED7">
        <w:rPr>
          <w:sz w:val="16"/>
          <w:szCs w:val="16"/>
        </w:rPr>
        <w:t>Many tribes of</w:t>
      </w:r>
      <w:r w:rsidRPr="006A6ED7">
        <w:rPr>
          <w:b/>
          <w:bCs/>
        </w:rPr>
        <w:t xml:space="preserve"> </w:t>
      </w:r>
      <w:r w:rsidRPr="006A6ED7">
        <w:rPr>
          <w:rStyle w:val="Style13ptBold"/>
          <w:highlight w:val="cyan"/>
        </w:rPr>
        <w:t>People talked about the NoDAPL movement being Zuzeca Sape</w:t>
      </w:r>
      <w:r w:rsidRPr="006A6ED7">
        <w:rPr>
          <w:highlight w:val="cyan"/>
        </w:rPr>
        <w:t>,</w:t>
      </w:r>
      <w:r w:rsidRPr="006A6ED7">
        <w:t xml:space="preserve"> </w:t>
      </w:r>
      <w:r w:rsidRPr="006A6ED7">
        <w:rPr>
          <w:sz w:val="16"/>
          <w:szCs w:val="16"/>
        </w:rPr>
        <w:t>and many</w:t>
      </w:r>
      <w:r w:rsidRPr="006A6ED7">
        <w:t xml:space="preserve"> </w:t>
      </w:r>
      <w:r w:rsidRPr="006A6ED7">
        <w:rPr>
          <w:sz w:val="16"/>
          <w:szCs w:val="16"/>
        </w:rPr>
        <w:t xml:space="preserve">People talked about their dreams. We left the Volcanoes and Rivers of my homeland and began our trek across mountains and endless plains in a van packed with donated supplies gathered in the haste of a great battle. We traveled excitedly and quietly. I was still finding it hard to swallow from my surgery. I felt weak, but determined. My words sat in my guts, and the drums of Pow-Wow CDs played a battle hymn to our coffee-fueled mission to the </w:t>
      </w:r>
      <w:hyperlink r:id="rId5" w:history="1">
        <w:r w:rsidRPr="006A6ED7">
          <w:rPr>
            <w:rStyle w:val="Hyperlink"/>
            <w:color w:val="000000" w:themeColor="text1"/>
            <w:sz w:val="16"/>
            <w:szCs w:val="16"/>
            <w:u w:val="none"/>
          </w:rPr>
          <w:t>Oceti Sakowin</w:t>
        </w:r>
      </w:hyperlink>
      <w:r w:rsidRPr="006A6ED7">
        <w:rPr>
          <w:color w:val="000000" w:themeColor="text1"/>
          <w:sz w:val="16"/>
          <w:szCs w:val="16"/>
        </w:rPr>
        <w:t>.</w:t>
      </w:r>
      <w:r w:rsidRPr="006A6ED7">
        <w:rPr>
          <w:color w:val="000000" w:themeColor="text1"/>
        </w:rPr>
        <w:t xml:space="preserve">  </w:t>
      </w:r>
      <w:r w:rsidRPr="006A6ED7">
        <w:rPr>
          <w:rStyle w:val="Style13ptBold"/>
          <w:sz w:val="16"/>
          <w:szCs w:val="16"/>
        </w:rPr>
        <w:t>“Get up! The Salmon need you!</w:t>
      </w:r>
      <w:r w:rsidRPr="006A6ED7">
        <w:rPr>
          <w:b/>
          <w:bCs/>
          <w:sz w:val="16"/>
          <w:szCs w:val="16"/>
        </w:rPr>
        <w:t xml:space="preserve">” </w:t>
      </w:r>
      <w:r w:rsidRPr="006A6ED7">
        <w:rPr>
          <w:sz w:val="16"/>
          <w:szCs w:val="16"/>
        </w:rPr>
        <w:t>With the dream dancing in my head, we pulled into camp. Before us stood an encampment of so many others that had heard the call to show up and stand. We quickly set up our camp, got donations to their proper places, and made our way to the Sacred Fire of the Oceti Sakowin</w:t>
      </w:r>
      <w:r w:rsidRPr="006A6ED7">
        <w:rPr>
          <w:rStyle w:val="Style13ptBold"/>
          <w:sz w:val="16"/>
          <w:szCs w:val="16"/>
        </w:rPr>
        <w:t xml:space="preserve">. </w:t>
      </w:r>
      <w:r w:rsidRPr="006A6ED7">
        <w:rPr>
          <w:rStyle w:val="Style13ptBold"/>
          <w:highlight w:val="cyan"/>
        </w:rPr>
        <w:t>I walked to the fire in the middle of a large circle of smiling faces, some with tears in their eyes—tears of joy and from the tear gas that had been poured upon the People with impunity</w:t>
      </w:r>
      <w:r w:rsidRPr="006A6ED7">
        <w:t xml:space="preserve">. There was </w:t>
      </w:r>
      <w:r w:rsidRPr="006A6ED7">
        <w:rPr>
          <w:rStyle w:val="Style13ptBold"/>
          <w:highlight w:val="cyan"/>
        </w:rPr>
        <w:t>an Elder</w:t>
      </w:r>
      <w:r w:rsidRPr="006A6ED7">
        <w:rPr>
          <w:b/>
          <w:bCs/>
        </w:rPr>
        <w:t xml:space="preserve"> </w:t>
      </w:r>
      <w:r w:rsidRPr="006A6ED7">
        <w:t xml:space="preserve">tending the Fire, </w:t>
      </w:r>
      <w:r w:rsidRPr="006A6ED7">
        <w:rPr>
          <w:rStyle w:val="Style13ptBold"/>
          <w:highlight w:val="cyan"/>
        </w:rPr>
        <w:t>his hand outstretched to mine as he handed me the tobacco to put into the flames. Our eyes locked, and as the tears began to pour down my thin face he said, “Welcome home, brother.” I prayed harder than I had ever prayed before as I walked clockwise around the Fire</w:t>
      </w:r>
      <w:r w:rsidRPr="006A6ED7">
        <w:rPr>
          <w:rStyle w:val="Style13ptBold"/>
        </w:rPr>
        <w:t xml:space="preserve"> </w:t>
      </w:r>
      <w:r w:rsidRPr="006A6ED7">
        <w:rPr>
          <w:sz w:val="16"/>
          <w:szCs w:val="16"/>
        </w:rPr>
        <w:t>and put my offering into the thick smoke.</w:t>
      </w:r>
      <w:r w:rsidRPr="006A6ED7">
        <w:t xml:space="preserve"> </w:t>
      </w:r>
      <w:r w:rsidRPr="006A6ED7">
        <w:rPr>
          <w:rStyle w:val="Style13ptBold"/>
          <w:highlight w:val="cyan"/>
        </w:rPr>
        <w:t>The marriage of dream and prayer, complete in union</w:t>
      </w:r>
      <w:r w:rsidRPr="006A6ED7">
        <w:t xml:space="preserve">. </w:t>
      </w:r>
    </w:p>
    <w:p w14:paraId="484D01A6" w14:textId="77777777" w:rsidR="006C5EA1" w:rsidRPr="006A6ED7" w:rsidRDefault="006C5EA1" w:rsidP="006C5EA1"/>
    <w:p w14:paraId="4D450B61" w14:textId="77777777" w:rsidR="006C5EA1" w:rsidRPr="006A6ED7" w:rsidRDefault="006C5EA1" w:rsidP="006C5EA1">
      <w:r w:rsidRPr="006A6ED7">
        <w:t xml:space="preserve">The Ghosts that linger in the plains of Standing Rock are the result of colonial expansion and power that doesn’t view native life grievable – they are stuck in limbo. They were killed before finishing the ghost dance, and if you don’t finish the death ceremony, you are refused a way into the afterlife. Where families, friends, buffalo, and all kin to the Sioux and ally tribes await their return to the steps of the great plains where life was peaceful before whiteness smeared itself with genocide on the sacred lands. Now, they haunt the Settler psyche to </w:t>
      </w:r>
    </w:p>
    <w:p w14:paraId="6CD26C6A" w14:textId="77777777" w:rsidR="006C5EA1" w:rsidRPr="006A6ED7" w:rsidRDefault="006C5EA1" w:rsidP="006C5EA1"/>
    <w:p w14:paraId="5F961917" w14:textId="77777777" w:rsidR="006C5EA1" w:rsidRPr="006A6ED7" w:rsidRDefault="006C5EA1" w:rsidP="006C5EA1">
      <w:pPr>
        <w:pStyle w:val="Heading4"/>
      </w:pPr>
      <w:r w:rsidRPr="006A6ED7">
        <w:t>The ghosts of the dead haunt this space—however, decolonization is not an exorcism, it’s a séance. The gratuitous violence of genocide marks the entry way for Settler being. The throngs of the dead chant in mournful sorrow, the beating tell-tale heart of the Settler’s psyche.</w:t>
      </w:r>
    </w:p>
    <w:p w14:paraId="1C4D677E" w14:textId="77777777" w:rsidR="006C5EA1" w:rsidRPr="006A6ED7" w:rsidRDefault="006C5EA1" w:rsidP="006C5EA1">
      <w:r w:rsidRPr="006A6ED7">
        <w:rPr>
          <w:rStyle w:val="Style13ptBold"/>
        </w:rPr>
        <w:t>Kouri &amp; Skott-Myhre 16</w:t>
      </w:r>
      <w:r w:rsidRPr="006A6ED7">
        <w:t xml:space="preserve"> (Scott, Researcher in the School of Child &amp; Youth Care at the University of Victoria; Hans, Adjunct Professor of Child and Youth Studies at Brock University “Catastrophe: A Transversal Mapping of Colonialism and Settler Subjectivity” </w:t>
      </w:r>
      <w:r w:rsidRPr="006A6ED7">
        <w:rPr>
          <w:i/>
        </w:rPr>
        <w:t>Settler Colonial Studies</w:t>
      </w:r>
      <w:r w:rsidRPr="006A6ED7">
        <w:t xml:space="preserve"> 6, no. 3, pp. 281-284) NIJ</w:t>
      </w:r>
    </w:p>
    <w:p w14:paraId="608801F9" w14:textId="77777777" w:rsidR="006C5EA1" w:rsidRPr="006A6ED7" w:rsidRDefault="006C5EA1" w:rsidP="006C5EA1">
      <w:pPr>
        <w:rPr>
          <w:sz w:val="12"/>
        </w:rPr>
      </w:pPr>
      <w:r w:rsidRPr="006A6ED7">
        <w:rPr>
          <w:sz w:val="12"/>
        </w:rPr>
        <w:t xml:space="preserve">To open the field of our own subjectivity as a mode for apprehending catastrophe means to engage the realm of sense, the ineffable, or, in psychoanalytic terms, the unconscious. In the catastrophe of colonial settlement, the unconscious might well be read in both Freudian/Lacanian and Deleuzo–Guattarian registers. We use the term Freudian/Lacanian to indicate a theoretical entangling of Freudian and Lacanian readings of the genetic unconscious as foundationally representative. In the Freudian aspect, the unconscious is a space of forbidden representations of desire, while in the Lacanian it is the space of that which cannot be articulated. In our Freudian/Lacanian reading, </w:t>
      </w:r>
      <w:r w:rsidRPr="006A6ED7">
        <w:rPr>
          <w:rStyle w:val="StyleUnderline"/>
          <w:highlight w:val="cyan"/>
        </w:rPr>
        <w:t>we see the unconscious as a space of repression in which the term settler signifies both that which must not be spoken</w:t>
      </w:r>
      <w:r w:rsidRPr="006A6ED7">
        <w:rPr>
          <w:rStyle w:val="StyleUnderline"/>
        </w:rPr>
        <w:t xml:space="preserve"> – because it is forbidden knowledge – </w:t>
      </w:r>
      <w:r w:rsidRPr="006A6ED7">
        <w:rPr>
          <w:rStyle w:val="StyleUnderline"/>
          <w:highlight w:val="cyan"/>
        </w:rPr>
        <w:t>and that which cannot be spoken</w:t>
      </w:r>
      <w:r w:rsidRPr="006A6ED7">
        <w:rPr>
          <w:rStyle w:val="StyleUnderline"/>
        </w:rPr>
        <w:t xml:space="preserve"> – because it is ineffable, both in the sense that it is too great or too extreme to be spoken and because it is taboo. The production of the term settler then holds a very specific function within the genocidal project of colonization in North America in settling and smoothing the massively disruptive effects of the catastrophe. </w:t>
      </w:r>
      <w:r w:rsidRPr="006A6ED7">
        <w:rPr>
          <w:sz w:val="12"/>
        </w:rPr>
        <w:t xml:space="preserve">Hutchison examines the settler unconscious via Žižek’s reading of Lacan and proposes that </w:t>
      </w:r>
      <w:r w:rsidRPr="006A6ED7">
        <w:rPr>
          <w:rStyle w:val="StyleUnderline"/>
        </w:rPr>
        <w:t>a psychoanalytic examination of affective investments helps us understand the unconscious bonds that settlers have to nationalist discourse.</w:t>
      </w:r>
      <w:r w:rsidRPr="006A6ED7">
        <w:rPr>
          <w:sz w:val="12"/>
        </w:rPr>
        <w:t xml:space="preserve">5 Using Lacan’s concept of jouissance (enjoyment in Žižek) as his primary heuristic tool, Hutchison argues that </w:t>
      </w:r>
      <w:r w:rsidRPr="006A6ED7">
        <w:rPr>
          <w:rStyle w:val="StyleUnderline"/>
          <w:highlight w:val="cyan"/>
        </w:rPr>
        <w:t>the settler is constituted by a desire trapped in a dialectic with lack, a perpetually deferred longing for ‘an imaged lost fullness of the nation’</w:t>
      </w:r>
      <w:r w:rsidRPr="006A6ED7">
        <w:rPr>
          <w:sz w:val="12"/>
        </w:rPr>
        <w:t xml:space="preserve"> (p. 49). </w:t>
      </w:r>
      <w:r w:rsidRPr="006A6ED7">
        <w:rPr>
          <w:rStyle w:val="StyleUnderline"/>
          <w:highlight w:val="cyan"/>
        </w:rPr>
        <w:t>Settler societies are bound by affective investments in an Other that prevents the realization of this fullness and therefore conceals the impossibility of ever attaining it</w:t>
      </w:r>
      <w:r w:rsidRPr="006A6ED7">
        <w:rPr>
          <w:rStyle w:val="StyleUnderline"/>
        </w:rPr>
        <w:t xml:space="preserve"> – as it was never there – in the first place. Lack therefore comes to manifest itself in a painful or transgressive enjoyment of the series of substitutes which come to stand in for the unattainable fullness and the settler unconscious of illusion only becomes stronger as the fragility of the original myth is challenged. </w:t>
      </w:r>
      <w:r w:rsidRPr="006A6ED7">
        <w:rPr>
          <w:sz w:val="12"/>
        </w:rPr>
        <w:t xml:space="preserve">For Hutchison </w:t>
      </w:r>
      <w:r w:rsidRPr="006A6ED7">
        <w:rPr>
          <w:rStyle w:val="Emphasis"/>
          <w:highlight w:val="cyan"/>
        </w:rPr>
        <w:t>challenging the discourse of settler nationalism is insufficient because a transgressive enjoyment will perpetually fuel the colonial project when the Other can be imagined to be the threat to the nation’s realization of fullness.</w:t>
      </w:r>
      <w:r w:rsidRPr="006A6ED7">
        <w:rPr>
          <w:rStyle w:val="StyleUnderline"/>
        </w:rPr>
        <w:t xml:space="preserve"> </w:t>
      </w:r>
      <w:r w:rsidRPr="006A6ED7">
        <w:rPr>
          <w:sz w:val="12"/>
        </w:rPr>
        <w:t xml:space="preserve">The colonial Freudian/Lacanian unconscious that produces the settler in this way then produces both a mythical subject free of the disruptive and forbidden activities engaged in during the extensive historical conquest of Indigenous peoples (European, African, Asian, and North American) and a mythical event horizon that obscures and eviscerates memory, producing the settler as innocent and desiring of democracy, fullness, and opportunity. </w:t>
      </w:r>
      <w:r w:rsidRPr="006A6ED7">
        <w:rPr>
          <w:rStyle w:val="StyleUnderline"/>
        </w:rPr>
        <w:t>The colonial unconscious</w:t>
      </w:r>
      <w:r w:rsidRPr="006A6ED7">
        <w:rPr>
          <w:sz w:val="12"/>
        </w:rPr>
        <w:t xml:space="preserve"> read in this way </w:t>
      </w:r>
      <w:r w:rsidRPr="006A6ED7">
        <w:rPr>
          <w:rStyle w:val="StyleUnderline"/>
        </w:rPr>
        <w:t>is a site of primary repression of that which it is taboo to know. Such an unconscious produces the settler as an identity-cypher to stand in for a subjectivity overwhelmed with shame and guilt and in desperate need of a sociopathic overlay to defer any debt due on the terms of its survival.</w:t>
      </w:r>
      <w:r w:rsidRPr="006A6ED7">
        <w:rPr>
          <w:sz w:val="12"/>
        </w:rPr>
        <w:t xml:space="preserve"> We, as </w:t>
      </w:r>
      <w:r w:rsidRPr="006A6ED7">
        <w:rPr>
          <w:rStyle w:val="StyleUnderline"/>
        </w:rPr>
        <w:t>settlers, must not know</w:t>
      </w:r>
      <w:r w:rsidRPr="006A6ED7">
        <w:rPr>
          <w:sz w:val="12"/>
        </w:rPr>
        <w:t xml:space="preserve">, in any existential or phenomenological sense, </w:t>
      </w:r>
      <w:r w:rsidRPr="006A6ED7">
        <w:rPr>
          <w:rStyle w:val="StyleUnderline"/>
        </w:rPr>
        <w:t>the price we have exacted from the land, from the Other, or from our own desire.</w:t>
      </w:r>
      <w:r w:rsidRPr="006A6ED7">
        <w:rPr>
          <w:sz w:val="12"/>
        </w:rPr>
        <w:t xml:space="preserve"> Regan6 masterfully elaborates the many denials that underlie contemporary Canadian settler consciousness such as the residential school system and our work here is to provide a theoretical framework to analyze such denials. </w:t>
      </w:r>
      <w:r w:rsidRPr="006A6ED7">
        <w:rPr>
          <w:rStyle w:val="StyleUnderline"/>
        </w:rPr>
        <w:t>It is the nature of the psychotic delusion of the settler that such knowing must be denied in the fundamental constitution of identity, and any threat to this systematic denial must be met with the highest degree of savagery to sustain our system of paranoiac foreclosure. Under such a foreclosure of knowledge, the settler must believe that history is in the past and that any and all harm, trauma, and associated accountability has no contemporary actuality.</w:t>
      </w:r>
      <w:r w:rsidRPr="006A6ED7">
        <w:rPr>
          <w:sz w:val="12"/>
        </w:rPr>
        <w:t xml:space="preserve"> The fact that the lands that are currently known as North America have been the home of Indigenous peoples for millennia7 is only of historical interest. It is something to be taught as an event whose time has passed. The reality of an alternative sociocultural ecology of living peoples with significant diversity among their different cultures, societies, and language groups ‘bound together by a perspective that supports a holistic interdependent worldview, communal rights and a commitment to sustainable decision making’ 8 must be glossed over and homogenized into an element of how we as settlers manage multiculturalism or human rights. </w:t>
      </w:r>
      <w:r w:rsidRPr="006A6ED7">
        <w:rPr>
          <w:rStyle w:val="StyleUnderline"/>
        </w:rPr>
        <w:t>The history of thousands of years in which Indigenous peoples across Turtle Island</w:t>
      </w:r>
      <w:r w:rsidRPr="006A6ED7">
        <w:rPr>
          <w:sz w:val="12"/>
        </w:rPr>
        <w:t xml:space="preserve">9 developed complex and functional systems of politics, economics, education, health, and spirituality10 </w:t>
      </w:r>
      <w:r w:rsidRPr="006A6ED7">
        <w:rPr>
          <w:rStyle w:val="StyleUnderline"/>
        </w:rPr>
        <w:t>is to be reductively and selectively denied and subsumed within the discourses that valorize European and American models of democracy and progress.</w:t>
      </w:r>
      <w:r w:rsidRPr="006A6ED7">
        <w:rPr>
          <w:sz w:val="12"/>
        </w:rPr>
        <w:t xml:space="preserve"> Veracini here uses the psychoanalytic concept of the primal scene to interpret settler disavowal of Indigenous histories and explain the flipped temporalization which follows when settlers see Indigenous peoples as entering settler space subsequent to the onset of colonization.11 Indigenous peoples’ own accounts of their historical origins through creation stories are produced as quaint, antiquated mythological accounts to be measured against anthropological and archeological evidence produced and legitimated by settler science.12 </w:t>
      </w:r>
      <w:r w:rsidRPr="006A6ED7">
        <w:rPr>
          <w:rStyle w:val="StyleUnderline"/>
        </w:rPr>
        <w:t>The</w:t>
      </w:r>
      <w:r w:rsidRPr="006A6ED7">
        <w:rPr>
          <w:sz w:val="12"/>
        </w:rPr>
        <w:t xml:space="preserve"> Freudian/Lacanian </w:t>
      </w:r>
      <w:r w:rsidRPr="006A6ED7">
        <w:rPr>
          <w:rStyle w:val="StyleUnderline"/>
        </w:rPr>
        <w:t xml:space="preserve">settler unconscious erases and reconfigures the history of contact to foreground the settler as the origin point for all relations to follow. This maneuver precludes any history of independent ‘intricate systems of political and commercial alliances’ </w:t>
      </w:r>
      <w:r w:rsidRPr="006A6ED7">
        <w:rPr>
          <w:sz w:val="12"/>
        </w:rPr>
        <w:t xml:space="preserve">13 </w:t>
      </w:r>
      <w:r w:rsidRPr="006A6ED7">
        <w:rPr>
          <w:rStyle w:val="StyleUnderline"/>
        </w:rPr>
        <w:t>among</w:t>
      </w:r>
      <w:r w:rsidRPr="006A6ED7">
        <w:rPr>
          <w:sz w:val="12"/>
        </w:rPr>
        <w:t xml:space="preserve"> ethnically and linguistically diverse </w:t>
      </w:r>
      <w:r w:rsidRPr="006A6ED7">
        <w:rPr>
          <w:rStyle w:val="StyleUnderline"/>
        </w:rPr>
        <w:t>Indigenous peoples of Turtle Island. The delusional paranoid constructions derived from the repressive apparatus of the settler unconscious produce the history of first contact of Indigenous peoples with Europeans through</w:t>
      </w:r>
      <w:r w:rsidRPr="006A6ED7">
        <w:rPr>
          <w:sz w:val="12"/>
        </w:rPr>
        <w:t xml:space="preserve"> the telling of John Cabot’s meeting with the Beothuk or the voyages of Christopher </w:t>
      </w:r>
      <w:r w:rsidRPr="006A6ED7">
        <w:rPr>
          <w:rStyle w:val="StyleUnderline"/>
        </w:rPr>
        <w:t>Columbus. To derive this construction, the history of Indigenous</w:t>
      </w:r>
      <w:r w:rsidRPr="006A6ED7">
        <w:rPr>
          <w:sz w:val="12"/>
        </w:rPr>
        <w:t xml:space="preserve"> and non-Indigenous peoples’ </w:t>
      </w:r>
      <w:r w:rsidRPr="006A6ED7">
        <w:rPr>
          <w:rStyle w:val="StyleUnderline"/>
        </w:rPr>
        <w:t>interactions</w:t>
      </w:r>
      <w:r w:rsidRPr="006A6ED7">
        <w:rPr>
          <w:sz w:val="12"/>
        </w:rPr>
        <w:t xml:space="preserve"> across four periods spanning a thousand years14 </w:t>
      </w:r>
      <w:r w:rsidRPr="006A6ED7">
        <w:rPr>
          <w:rStyle w:val="StyleUnderline"/>
        </w:rPr>
        <w:t xml:space="preserve">must be foreclosed and rewritten to create a narrative in which the colonial project of settlement not only is foregrounded but also becomes the only story of consequence. </w:t>
      </w:r>
      <w:r w:rsidRPr="006A6ED7">
        <w:rPr>
          <w:sz w:val="12"/>
        </w:rPr>
        <w:t xml:space="preserve">Veracini calls this disavowal of Indigenous presence and history a ‘non-encounter’ that structures settler colonialism. As a structure, he adds, </w:t>
      </w:r>
      <w:r w:rsidRPr="006A6ED7">
        <w:rPr>
          <w:rStyle w:val="StyleUnderline"/>
        </w:rPr>
        <w:t>settler colonialism erases the distinction between colony and metropole, and works toward self-fulfillment as a settled state.</w:t>
      </w:r>
      <w:r w:rsidRPr="006A6ED7">
        <w:rPr>
          <w:sz w:val="12"/>
        </w:rPr>
        <w:t xml:space="preserve">15 In this telling, conquest and settlement are inevitable and the resulting set of relations the only possible outcome. The construction of any history of relationship, however, has significant implications, not just in terms of the accurate reporting of events, but also in the very production of who we settlers imagine ourselves and the Other to be. If we misapprehend and misconstrue, through repression and denial, key constitutive events that compose us affectively through our interactions with others, then the ways in we become subjectified are significantly impoverished. In this sense, the process of reiterating abstract accounts of colonial history as the development of imperial European institutions and policies in a new land sanitizes the actual corporeal encounters between bodies. </w:t>
      </w:r>
      <w:r w:rsidRPr="006A6ED7">
        <w:rPr>
          <w:rStyle w:val="StyleUnderline"/>
        </w:rPr>
        <w:t xml:space="preserve">The production of the subject as settler also inadvertently opens the realm of abstract colonialism by suggesting that </w:t>
      </w:r>
      <w:r w:rsidRPr="006A6ED7">
        <w:rPr>
          <w:rStyle w:val="StyleUnderline"/>
          <w:highlight w:val="cyan"/>
        </w:rPr>
        <w:t>settler colonialism ‘is different from other forms of colonialism in that settlers come with the intention of making a new home</w:t>
      </w:r>
      <w:r w:rsidRPr="006A6ED7">
        <w:rPr>
          <w:rStyle w:val="StyleUnderline"/>
        </w:rPr>
        <w:t xml:space="preserve"> on the land, a homemaking that insists on settler sovereignty over all things in their new domain’. </w:t>
      </w:r>
      <w:r w:rsidRPr="006A6ED7">
        <w:rPr>
          <w:sz w:val="12"/>
        </w:rPr>
        <w:t xml:space="preserve">16 Here we have a subtle move away from sovereignty as the province of the imperial state and the introduction of an individuated subject whose modes of dominance, coercion, and appropriation are founded, not on the state, whose interests are of course intertwined, but on the home and family. </w:t>
      </w:r>
      <w:r w:rsidRPr="006A6ED7">
        <w:rPr>
          <w:rStyle w:val="StyleUnderline"/>
        </w:rPr>
        <w:t>This home and family could be interpreted as the home and family of the</w:t>
      </w:r>
      <w:r w:rsidRPr="006A6ED7">
        <w:rPr>
          <w:sz w:val="12"/>
        </w:rPr>
        <w:t xml:space="preserve"> Freudian/</w:t>
      </w:r>
      <w:r w:rsidRPr="006A6ED7">
        <w:rPr>
          <w:rStyle w:val="StyleUnderline"/>
        </w:rPr>
        <w:t>Lacanian</w:t>
      </w:r>
      <w:r w:rsidRPr="006A6ED7">
        <w:rPr>
          <w:sz w:val="12"/>
        </w:rPr>
        <w:t xml:space="preserve"> Oedipal/phallic </w:t>
      </w:r>
      <w:r w:rsidRPr="006A6ED7">
        <w:rPr>
          <w:rStyle w:val="StyleUnderline"/>
        </w:rPr>
        <w:t xml:space="preserve">unconscious. </w:t>
      </w:r>
      <w:r w:rsidRPr="006A6ED7">
        <w:rPr>
          <w:rStyle w:val="StyleUnderline"/>
          <w:highlight w:val="cyan"/>
        </w:rPr>
        <w:t>Family and home</w:t>
      </w:r>
      <w:r w:rsidRPr="006A6ED7">
        <w:rPr>
          <w:sz w:val="12"/>
        </w:rPr>
        <w:t xml:space="preserve"> in the vernacular of psychoanalysis </w:t>
      </w:r>
      <w:r w:rsidRPr="006A6ED7">
        <w:rPr>
          <w:rStyle w:val="StyleUnderline"/>
          <w:highlight w:val="cyan"/>
        </w:rPr>
        <w:t>are founded in primary trauma</w:t>
      </w:r>
      <w:r w:rsidRPr="006A6ED7">
        <w:rPr>
          <w:rStyle w:val="StyleUnderline"/>
        </w:rPr>
        <w:t xml:space="preserve">, and the system of rule deployed in relation to such trauma is founded in the phallic assertion of the father and the primary space of lack as desire that is the mother. </w:t>
      </w:r>
      <w:r w:rsidRPr="006A6ED7">
        <w:rPr>
          <w:rStyle w:val="StyleUnderline"/>
          <w:highlight w:val="cyan"/>
        </w:rPr>
        <w:t>To produce the home requires an erasure and sublimation of desire and the dialectic productive capacities of lack. To sustain the family and the home, the rule of the father must eradicate and clear all preceding forms of sovereignty and any alternative modes of production.</w:t>
      </w:r>
      <w:r w:rsidRPr="006A6ED7">
        <w:rPr>
          <w:rStyle w:val="StyleUnderline"/>
        </w:rPr>
        <w:t xml:space="preserve"> Settler colonialism, read as such a system of patriarchal rule, is principally about remapping the land and deploying imperial institutions and policies that forcibly erase Indigenous presence, traditions, and life from such maps and from the land itself. </w:t>
      </w:r>
      <w:r w:rsidRPr="006A6ED7">
        <w:rPr>
          <w:rStyle w:val="StyleUnderline"/>
          <w:highlight w:val="cyan"/>
        </w:rPr>
        <w:t>Canada and the USA</w:t>
      </w:r>
      <w:r w:rsidRPr="006A6ED7">
        <w:rPr>
          <w:sz w:val="12"/>
        </w:rPr>
        <w:t xml:space="preserve">, as settler colonial states, </w:t>
      </w:r>
      <w:r w:rsidRPr="006A6ED7">
        <w:rPr>
          <w:rStyle w:val="StyleUnderline"/>
          <w:highlight w:val="cyan"/>
        </w:rPr>
        <w:t>were predicated on the discourse of terra nullius</w:t>
      </w:r>
      <w:r w:rsidRPr="006A6ED7">
        <w:rPr>
          <w:rStyle w:val="StyleUnderline"/>
        </w:rPr>
        <w:t>, empty land.</w:t>
      </w:r>
      <w:r w:rsidRPr="006A6ED7">
        <w:rPr>
          <w:sz w:val="12"/>
        </w:rPr>
        <w:t xml:space="preserve"> Lawson describes how in almost unending repetition, </w:t>
      </w:r>
      <w:r w:rsidRPr="006A6ED7">
        <w:rPr>
          <w:rStyle w:val="StyleUnderline"/>
          <w:highlight w:val="cyan"/>
        </w:rPr>
        <w:t>colonial space is figured as</w:t>
      </w:r>
      <w:r w:rsidRPr="006A6ED7">
        <w:rPr>
          <w:rStyle w:val="StyleUnderline"/>
        </w:rPr>
        <w:t xml:space="preserve"> absence, </w:t>
      </w:r>
      <w:r w:rsidRPr="006A6ED7">
        <w:rPr>
          <w:rStyle w:val="StyleUnderline"/>
          <w:highlight w:val="cyan"/>
        </w:rPr>
        <w:t>lack</w:t>
      </w:r>
      <w:r w:rsidRPr="006A6ED7">
        <w:rPr>
          <w:rStyle w:val="StyleUnderline"/>
        </w:rPr>
        <w:t>, or emptiness.</w:t>
      </w:r>
      <w:r w:rsidRPr="006A6ED7">
        <w:rPr>
          <w:sz w:val="12"/>
        </w:rPr>
        <w:t xml:space="preserve">17 </w:t>
      </w:r>
      <w:r w:rsidRPr="006A6ED7">
        <w:rPr>
          <w:rStyle w:val="StyleUnderline"/>
        </w:rPr>
        <w:t>This absence or lack</w:t>
      </w:r>
      <w:r w:rsidRPr="006A6ED7">
        <w:rPr>
          <w:sz w:val="12"/>
        </w:rPr>
        <w:t xml:space="preserve">, in Freudian/Lacanian terms, </w:t>
      </w:r>
      <w:r w:rsidRPr="006A6ED7">
        <w:rPr>
          <w:rStyle w:val="StyleUnderline"/>
        </w:rPr>
        <w:t>constitutes the land as the feminine and is at the heart of the dialectics of desire that utilizes the anxiety of absence to generate the imaginary and the symbolic.</w:t>
      </w:r>
      <w:r w:rsidRPr="006A6ED7">
        <w:rPr>
          <w:sz w:val="12"/>
        </w:rPr>
        <w:t xml:space="preserve"> The dialectics of desire is premised on the lack of phenomenological being or, in another term, the ineffability of coherent subjectivity. </w:t>
      </w:r>
      <w:r w:rsidRPr="006A6ED7">
        <w:rPr>
          <w:rStyle w:val="StyleUnderline"/>
        </w:rPr>
        <w:t xml:space="preserve">Producing a new subject within a new world required symbolically castrating the old world order. </w:t>
      </w:r>
      <w:r w:rsidRPr="006A6ED7">
        <w:rPr>
          <w:rStyle w:val="StyleUnderline"/>
          <w:highlight w:val="cyan"/>
        </w:rPr>
        <w:t>The ambivalence of the symbolic patricide of the old order leaves a residue of shame only partially resolved by a symbolic return to the new world as</w:t>
      </w:r>
      <w:r w:rsidRPr="006A6ED7">
        <w:rPr>
          <w:rStyle w:val="StyleUnderline"/>
        </w:rPr>
        <w:t xml:space="preserve"> an empty space or </w:t>
      </w:r>
      <w:r w:rsidRPr="006A6ED7">
        <w:rPr>
          <w:rStyle w:val="StyleUnderline"/>
          <w:highlight w:val="cyan"/>
        </w:rPr>
        <w:t>pure possibility. If there is no terra nullius, then there is no escape into a utopic future through the murder of the father. However, the father, as European Empire, is not yet dead and demands a rebirth through the symbolic (and literal) rape of the realm of the feminine that is the new world.</w:t>
      </w:r>
      <w:r w:rsidRPr="006A6ED7">
        <w:rPr>
          <w:rStyle w:val="StyleUnderline"/>
        </w:rPr>
        <w:t xml:space="preserve"> This complex set of force relations intersects with the existing sets of Indigenous relations in entanglements of old and new, but the dialectic construction of the settler subjectivity is always to be found in the reading of the Indigenous and all colonial others as lack that will provide and provision the empty canvas of the settlement.</w:t>
      </w:r>
      <w:r w:rsidRPr="006A6ED7">
        <w:rPr>
          <w:sz w:val="12"/>
        </w:rPr>
        <w:t xml:space="preserve"> As Veracini points out ‘only a sustained disavowal of any founding violence can allow a seamless process of territorialisation’. 18 It is in these terms that we can come to understand how the British and French colonists acknowledged First Nations land occupation when it served their purposes, such as in trade and strategies of war. This dialectical simultaneous appropriation and evisceration of native sovereignty was designed to open a clear field for the establishment of the homeland for the settler to settle. Alfred explains that during conflicts between the French and British in North America, these powers needed the alliances of Indigenous nations to defeat one another and therefore recognized the original sovereignty of Indigenous nations.19 Britain, once it defeated France in the Seven Years War and asserted control over North America, both recognized Indigenous presence through the Royal Proclamation of 1763 and simultaneously initiated a systematic process of removing Indigenous peoples, language, and culture from the land to profit settler institutions and individuals. The Royal Proclamation established British rule of French-claimed territory in North America and determined that the emerging government would have responsibilities to Indigenous peoples, particularly in land and other treaty negotiation. By the late nineteenth century, however, ‘Canada decided to abandon its responsibility to settle Treaties’ 20 and focused instead on a program of assimilation, community dislocation, and genocide. Wesley-Esquimaux and Smolewshi explain that, following the pandemics and wars, ‘there would have been no one to stem the tide of colonialism because so few would have been left standing and those who survived did not have the strength of mind or body’. 21 Already weakened Indigenous communities could not protect themselves from assimilationist policies set out in the Indian Act and enacted through such bodies as the residential school system. Canadian </w:t>
      </w:r>
      <w:r w:rsidRPr="006A6ED7">
        <w:rPr>
          <w:rStyle w:val="StyleUnderline"/>
          <w:highlight w:val="cyan"/>
        </w:rPr>
        <w:t>settler colonization</w:t>
      </w:r>
      <w:r w:rsidRPr="006A6ED7">
        <w:rPr>
          <w:sz w:val="12"/>
        </w:rPr>
        <w:t xml:space="preserve">, including land theft, cultural extermination, the forcible removal of children, and the deliberate spread of disease and pandemics, </w:t>
      </w:r>
      <w:r w:rsidRPr="006A6ED7">
        <w:rPr>
          <w:rStyle w:val="StyleUnderline"/>
          <w:highlight w:val="cyan"/>
        </w:rPr>
        <w:t>was responsible for the deaths of up to 90% of the Indigenous population and rendered Indigenous peoples ‘physically, spiritually, emotionally and psychically traumatized by deep and unresolved grief’</w:t>
      </w:r>
      <w:r w:rsidRPr="006A6ED7">
        <w:rPr>
          <w:rStyle w:val="StyleUnderline"/>
        </w:rPr>
        <w:t xml:space="preserve">. </w:t>
      </w:r>
      <w:r w:rsidRPr="006A6ED7">
        <w:rPr>
          <w:sz w:val="12"/>
        </w:rPr>
        <w:t xml:space="preserve">22 Clearly what we are describing here is a catastrophe, and the catastrophe continues today. As Alfred and Corntassel explain, </w:t>
      </w:r>
      <w:r w:rsidRPr="006A6ED7">
        <w:rPr>
          <w:rStyle w:val="StyleUnderline"/>
        </w:rPr>
        <w:t>contemporary settlers follow the mandate provided for them by their imperial forefathers’ colonial legacy</w:t>
      </w:r>
      <w:r w:rsidRPr="006A6ED7">
        <w:rPr>
          <w:sz w:val="12"/>
        </w:rPr>
        <w:t xml:space="preserve">, not by attempting to eradicate the physical signs of Indigenous Peoples as human bodies, but by trying to eradicate their existence as peoples through the erasure of the histories and geographies that provide the foundation for Indigenous cultural identities and sense of self.23 In the reading of catastrophe we provided at the beginning of this writing, we identified two ways to manage the affective dislocations of such rupture. Here we see the first in full extension: the appeal to a transcendent outside that delivers us from the contested and contradictory set of relations that compose the catastrophe as immanent event and hence divert our attention from the actuality of rupture. </w:t>
      </w:r>
      <w:r w:rsidRPr="006A6ED7">
        <w:rPr>
          <w:rStyle w:val="StyleUnderline"/>
        </w:rPr>
        <w:t>To produce the Other as pure abstraction is to reify the Other as lack and deny any material and corporeal actuality to their existence. This erasure of the Other as anything other than a sociopolitical abstraction to be differentially dealt with through juridical, ideological, and biopolitical regimes of control and discipline is an appeal to the transcendent as absolute.</w:t>
      </w:r>
      <w:r w:rsidRPr="006A6ED7">
        <w:rPr>
          <w:sz w:val="12"/>
        </w:rPr>
        <w:t xml:space="preserve"> Such a move, however, is not without consequence to the settler as subjectivity in relation to the Other. It was Freud24 who pointed out that </w:t>
      </w:r>
      <w:r w:rsidRPr="006A6ED7">
        <w:rPr>
          <w:rStyle w:val="StyleUnderline"/>
        </w:rPr>
        <w:t>denial of trauma through repression can only be sustained through ongoing violence to the integrity of self-production.</w:t>
      </w:r>
      <w:r w:rsidRPr="006A6ED7">
        <w:rPr>
          <w:sz w:val="12"/>
        </w:rPr>
        <w:t xml:space="preserve"> Put simply, </w:t>
      </w:r>
      <w:r w:rsidRPr="006A6ED7">
        <w:rPr>
          <w:rStyle w:val="StyleUnderline"/>
        </w:rPr>
        <w:t xml:space="preserve">that which is repressed will surface in ways that warp and distort the autopoietic capacities of the body. Since trauma always engages the Other, repression is always a collective act centered and focused through the unique and idiosyncratic capacities of the singular body. </w:t>
      </w:r>
      <w:r w:rsidRPr="006A6ED7">
        <w:rPr>
          <w:rStyle w:val="Emphasis"/>
          <w:highlight w:val="cyan"/>
        </w:rPr>
        <w:t>The logic of settlement as an act of traumatic erasure that must be repressed through an appeal to the transcendent so as to elide the corporeal affective horror of genocide cannot avoid the inevitable radical alienation of the settlers from the actuality of their own lived experience.</w:t>
      </w:r>
      <w:r w:rsidRPr="006A6ED7">
        <w:rPr>
          <w:sz w:val="12"/>
        </w:rPr>
        <w:t xml:space="preserve"> In this way the settler is doomed to live within a simulacrum of family, home, and culture. </w:t>
      </w:r>
      <w:r w:rsidRPr="006A6ED7">
        <w:rPr>
          <w:rStyle w:val="StyleUnderline"/>
        </w:rPr>
        <w:t>Through the process of settlement, each of these social institutions becomes a symptom of deep malaise complete with neurosis and constant slippage into paranoia and delusional thought.</w:t>
      </w:r>
      <w:r w:rsidRPr="006A6ED7">
        <w:rPr>
          <w:sz w:val="12"/>
        </w:rPr>
        <w:t xml:space="preserve"> Ironically, </w:t>
      </w:r>
      <w:r w:rsidRPr="006A6ED7">
        <w:rPr>
          <w:rStyle w:val="StyleUnderline"/>
        </w:rPr>
        <w:t>the ostensible logic of the settlement project to create home and family undermines any possibility of actual affiliations of either home or family.</w:t>
      </w:r>
      <w:r w:rsidRPr="006A6ED7">
        <w:rPr>
          <w:sz w:val="12"/>
        </w:rPr>
        <w:t xml:space="preserve"> Indeed, as Marx and Engels25 and Hardt and Negri26 point out, </w:t>
      </w:r>
      <w:r w:rsidRPr="006A6ED7">
        <w:rPr>
          <w:rStyle w:val="StyleUnderline"/>
        </w:rPr>
        <w:t>the family and home become deep sites of social corruption that undermine possibilities of love and affiliation. It is not surprising that the colonial project finds its deepest and most extensive sovereign logic through the development of capitalism within settler nations</w:t>
      </w:r>
      <w:r w:rsidRPr="006A6ED7">
        <w:rPr>
          <w:sz w:val="12"/>
        </w:rPr>
        <w:t xml:space="preserve"> such as the USA. It is, after all, through capitalism that absolute transcendent simulacra can become the social and cultural logic of our age. Following Michael Hardt,27 we might note that </w:t>
      </w:r>
      <w:r w:rsidRPr="006A6ED7">
        <w:rPr>
          <w:rStyle w:val="StyleUnderline"/>
        </w:rPr>
        <w:t>capitalism as a cultural logic that eviscerates civil society for the North American settler extends the very logic of settlement that made every attempt to eviscerate Indigenous modes of living. Thus the catastrophe cascades out and leaves none of us unsullied or invulnerable</w:t>
      </w:r>
      <w:r w:rsidRPr="006A6ED7">
        <w:rPr>
          <w:sz w:val="12"/>
        </w:rPr>
        <w:t xml:space="preserve">, as Deleuze and Guattari suggest in relation to another genocide (or possibly a reasonable extension of the one we are mapping): It is not only our States but each of us, every democrat, who finds him or herself not responsible for Nazism but sullied by it. There is indeed catastrophe, but it consists in the society of brothers or friends having undergone such an ordeal that brothers and friends can no longer look at each other, or each at himself, without a ‘weariness,’ perhaps a ‘mistrust’. 28 </w:t>
      </w:r>
    </w:p>
    <w:p w14:paraId="5CC085F2" w14:textId="77777777" w:rsidR="006C5EA1" w:rsidRPr="006A6ED7" w:rsidRDefault="006C5EA1" w:rsidP="006C5EA1">
      <w:pPr>
        <w:pStyle w:val="Heading4"/>
      </w:pPr>
      <w:r w:rsidRPr="006A6ED7">
        <w:t>While native tribes like the Paiute were participating in wage labor, many other tribes sought this as a means to adapt to settler ways of living. However, it didn’t last long before it started to fail, resulting in tribes having to give up rights to receive resources to barely live. The settler way of living through wage labor fails native tribes which is why tribes transitioned the Ghost Dance away from working for the white man to what it is known from the Wounded Knee Massacre</w:t>
      </w:r>
    </w:p>
    <w:p w14:paraId="60DF829B" w14:textId="77777777" w:rsidR="006C5EA1" w:rsidRPr="006A6ED7" w:rsidRDefault="006C5EA1" w:rsidP="006C5EA1">
      <w:pPr>
        <w:rPr>
          <w:sz w:val="16"/>
          <w:szCs w:val="16"/>
        </w:rPr>
      </w:pPr>
      <w:r w:rsidRPr="006A6ED7">
        <w:rPr>
          <w:rFonts w:eastAsiaTheme="majorEastAsia" w:cstheme="majorBidi"/>
          <w:b/>
          <w:iCs/>
          <w:sz w:val="26"/>
        </w:rPr>
        <w:t>Warren</w:t>
      </w:r>
      <w:r w:rsidRPr="006A6ED7">
        <w:rPr>
          <w:sz w:val="16"/>
          <w:szCs w:val="16"/>
        </w:rPr>
        <w:t>, L. S. (20</w:t>
      </w:r>
      <w:r w:rsidRPr="006A6ED7">
        <w:rPr>
          <w:rFonts w:eastAsiaTheme="majorEastAsia" w:cstheme="majorBidi"/>
          <w:b/>
          <w:iCs/>
          <w:sz w:val="26"/>
        </w:rPr>
        <w:t>15</w:t>
      </w:r>
      <w:r w:rsidRPr="006A6ED7">
        <w:rPr>
          <w:sz w:val="16"/>
          <w:szCs w:val="16"/>
        </w:rPr>
        <w:t xml:space="preserve">). Wage work in the Sacred Circle: The ghost dance as modern religion. </w:t>
      </w:r>
      <w:r w:rsidRPr="006A6ED7">
        <w:rPr>
          <w:i/>
          <w:iCs/>
          <w:sz w:val="16"/>
          <w:szCs w:val="16"/>
        </w:rPr>
        <w:t>The Western Historical Quarterly</w:t>
      </w:r>
      <w:r w:rsidRPr="006A6ED7">
        <w:rPr>
          <w:sz w:val="16"/>
          <w:szCs w:val="16"/>
        </w:rPr>
        <w:t xml:space="preserve">, </w:t>
      </w:r>
      <w:r w:rsidRPr="006A6ED7">
        <w:rPr>
          <w:i/>
          <w:iCs/>
          <w:sz w:val="16"/>
          <w:szCs w:val="16"/>
        </w:rPr>
        <w:t>46</w:t>
      </w:r>
      <w:r w:rsidRPr="006A6ED7">
        <w:rPr>
          <w:sz w:val="16"/>
          <w:szCs w:val="16"/>
        </w:rPr>
        <w:t xml:space="preserve">(2), 141–168. https://doi.org/10.2307/westhistquar.46.2.0141 </w:t>
      </w:r>
    </w:p>
    <w:p w14:paraId="79A27183" w14:textId="77777777" w:rsidR="006C5EA1" w:rsidRPr="006A6ED7" w:rsidRDefault="006C5EA1" w:rsidP="006C5EA1">
      <w:pPr>
        <w:rPr>
          <w:sz w:val="16"/>
          <w:szCs w:val="16"/>
          <w:u w:val="single"/>
        </w:rPr>
      </w:pPr>
      <w:r w:rsidRPr="006A6ED7">
        <w:rPr>
          <w:sz w:val="16"/>
          <w:szCs w:val="16"/>
        </w:rPr>
        <w:t>Two striking features of these prophecies are worth noting. First, they came from a relative newcomer. Paiutes were a famously local people, with strong networks of kinship that wove them into communities oriented to particular river valleys or, more often, sections of river valleys. They recognized no authority higher than the local “talker,” or headman, who was usually a relative. But the migrations of Paiutes for work and food had fractured and dislocated many of the old outfits. At Walker River, Wodziwob’s nickname evolved from his home in the small Paiute community at Fish Lake, Nevada, some 100 miles south. In moving from there to Walker River sometime before 1870, he joined thousands of other Paiutes who relocated to places where work and food could be had. To a large degree,</w:t>
      </w:r>
      <w:r w:rsidRPr="006A6ED7">
        <w:t xml:space="preserve"> </w:t>
      </w:r>
      <w:r w:rsidRPr="006A6ED7">
        <w:rPr>
          <w:highlight w:val="cyan"/>
          <w:u w:val="single"/>
        </w:rPr>
        <w:t>the Ghost Dance movement served the needs of Indian communities that had been radically reshuffled</w:t>
      </w:r>
      <w:r w:rsidRPr="006A6ED7">
        <w:rPr>
          <w:u w:val="single"/>
        </w:rPr>
        <w:t xml:space="preserve">, becoming more cosmopolitan and often more internally conflicted. In addition to bringing on the millennium, </w:t>
      </w:r>
      <w:r w:rsidRPr="006A6ED7">
        <w:rPr>
          <w:highlight w:val="cyan"/>
          <w:u w:val="single"/>
        </w:rPr>
        <w:t>the Ghost Dance provided a ceremonial form</w:t>
      </w:r>
      <w:r w:rsidRPr="006A6ED7">
        <w:rPr>
          <w:u w:val="single"/>
        </w:rPr>
        <w:t>—</w:t>
      </w:r>
      <w:r w:rsidRPr="006A6ED7">
        <w:rPr>
          <w:highlight w:val="cyan"/>
          <w:u w:val="single"/>
        </w:rPr>
        <w:t>a circle for all, ritual cleansing, and bodily health—that could address the daily challenges of casual laborers thrown among strangers.</w:t>
      </w:r>
      <w:r w:rsidRPr="006A6ED7">
        <w:rPr>
          <w:u w:val="single"/>
        </w:rPr>
        <w:t xml:space="preserve">34  </w:t>
      </w:r>
      <w:r w:rsidRPr="006A6ED7">
        <w:rPr>
          <w:highlight w:val="cyan"/>
          <w:u w:val="single"/>
        </w:rPr>
        <w:t>The second</w:t>
      </w:r>
      <w:r w:rsidRPr="006A6ED7">
        <w:rPr>
          <w:u w:val="single"/>
        </w:rPr>
        <w:t xml:space="preserve"> feature of these </w:t>
      </w:r>
      <w:r w:rsidRPr="006A6ED7">
        <w:rPr>
          <w:highlight w:val="cyan"/>
          <w:u w:val="single"/>
        </w:rPr>
        <w:t>prophecies is that whatever their meaning, they combined imagery from a newly industrializing world—trains and mines (white people disappearing into the earth)—with some very old traditions in order to address the needs of people newly integrated into cash markets.</w:t>
      </w:r>
      <w:r w:rsidRPr="006A6ED7">
        <w:t xml:space="preserve"> </w:t>
      </w:r>
      <w:r w:rsidRPr="006A6ED7">
        <w:rPr>
          <w:sz w:val="16"/>
          <w:szCs w:val="16"/>
        </w:rPr>
        <w:t>A millennial strain had long characterized belief among Paiutes—a people “less concerned with how it all began,” in the words of one scholar—“than with . . . how it might end.”35 End-of-the-world prophecies, anticipation of the imminent salvation of the virtuous by a benevolent creator, and the need to hasten the event through dancing were associated with the so-called Prophet Dance revivals of the Columbia Plateau—the geographic province north of the Great Basin where Northern Paiute communities dot the southern fringes. Whether because of this tradition or because of the teachings of Christian missionaries or both, a wave of prophecy met the advent of urban life and industrial-era wage work and flowed into the Ghost Dance. In Virginia City, the all-night millenarian preaching of Paiutes (exactly the kind that characterized the Ghost Dance) attracted the occasional attention of outsiders. “They have preachers,” a Virginia City journalist explained, “who preach very good Methodist doctrine. They sometimes begin preaching early in the evening and preach all night—telling the Indians that if they lie, steal, and murder, they are sure to bring up in the great desert . . . when they die.” The allusion to Methodism was ironic, but in fact, Ghost Dancing and Methodism shared certain characteristics. Both flourished in the wake of wage work and industrial capitalism; both served as havens for members of newly created working classes; and both expressed a longing for new forms of religious observance under the control of worshippers.36</w:t>
      </w:r>
      <w:r w:rsidRPr="006A6ED7">
        <w:rPr>
          <w:b/>
        </w:rPr>
        <w:t xml:space="preserve"> </w:t>
      </w:r>
      <w:r w:rsidRPr="006A6ED7">
        <w:rPr>
          <w:highlight w:val="cyan"/>
          <w:u w:val="single"/>
        </w:rPr>
        <w:t>The Ghost Dance movement thrived in Virginia City, where Paiute enthusiasm for the teachings was evident in a vast gathering in 1871</w:t>
      </w:r>
      <w:r w:rsidRPr="006A6ED7">
        <w:t xml:space="preserve">. </w:t>
      </w:r>
      <w:r w:rsidRPr="006A6ED7">
        <w:rPr>
          <w:sz w:val="16"/>
          <w:szCs w:val="16"/>
        </w:rPr>
        <w:t>A journalist captured the look of the ritual: many Paiutes coming together to sing prayers with great solemnity as they formed themselves into a large circle. With the first notes from the singers, “as a solid mass” the circle of dancers revolved and, “like a huge laboring water wheel, creeped slowly around for hours.”37 Resident Indians set signal fires on Virginia City hilltops to call dancers from Walker River, Pyramid Lake, Carson Valley, and elsewhere.38</w:t>
      </w:r>
      <w:r w:rsidRPr="006A6ED7">
        <w:t xml:space="preserve"> </w:t>
      </w:r>
      <w:r w:rsidRPr="006A6ED7">
        <w:rPr>
          <w:u w:val="single"/>
        </w:rPr>
        <w:t xml:space="preserve">Over the next two decades, </w:t>
      </w:r>
      <w:r w:rsidRPr="006A6ED7">
        <w:rPr>
          <w:highlight w:val="cyan"/>
          <w:u w:val="single"/>
        </w:rPr>
        <w:t>Paiute dance and religion grew out of this explosive urban center and the countryside of resource extraction that surrounded it—especially in Walker River, a place where cash markets and wage labor had supplanted hunting and gathering in the short space of a decade.</w:t>
      </w:r>
      <w:r w:rsidRPr="006A6ED7">
        <w:t xml:space="preserve"> </w:t>
      </w:r>
      <w:r w:rsidRPr="006A6ED7">
        <w:rPr>
          <w:sz w:val="16"/>
          <w:szCs w:val="16"/>
        </w:rPr>
        <w:t xml:space="preserve">Among Wodziwob’s assistants was a noted shaman named Numutaivo, whose son, Wovoka, was born in 1856. As a boy, Wovoka was doubtless influenced by the wave of religious feeling that his father helped set in motion. Religious revivals flare and fade for reasons that are not always clear, and so it was with the Ghost Dance of 1870 at Walker River. Whether because Wodziwob was caught using trickery in a display of his powers, as one account alleges, or from some other causes, the enthusiasm soon diminished at Walker River. Nevertheless, it captivated wage-earning Indian communities as far afield as Oregon, California, and Idaho, where dances to fulfill Wodziwob’s vision continued through the 1870s.39 Meanwhile, two broad shifts—one economic and one environmental—rendered the refashioned livelihoods of Paiutes nearly impossible in the last two decades of the nineteenth century, the very years in which Wovoka emerged into adulthood and began to prophesy. Anthropologists and ethnohistorians have rightly hailed Paiute success in transitioning to the modern workplace; the ability to gather dollars in addition to wild garlic and pine nuts constitutes a remarkable cultural adaptation.40 </w:t>
      </w:r>
      <w:r w:rsidRPr="006A6ED7">
        <w:rPr>
          <w:sz w:val="16"/>
          <w:szCs w:val="16"/>
          <w:u w:val="single"/>
        </w:rPr>
        <w:t>But</w:t>
      </w:r>
      <w:r w:rsidRPr="006A6ED7">
        <w:rPr>
          <w:u w:val="single"/>
        </w:rPr>
        <w:t xml:space="preserve"> </w:t>
      </w:r>
      <w:r w:rsidRPr="006A6ED7">
        <w:rPr>
          <w:highlight w:val="cyan"/>
          <w:u w:val="single"/>
        </w:rPr>
        <w:t>the boom-and-bust cycles of Gilded Age business rendered wage work an especially precarious way to live</w:t>
      </w:r>
      <w:r w:rsidRPr="006A6ED7">
        <w:rPr>
          <w:sz w:val="16"/>
          <w:szCs w:val="16"/>
          <w:u w:val="single"/>
        </w:rPr>
        <w:t>.</w:t>
      </w:r>
      <w:r w:rsidRPr="006A6ED7">
        <w:rPr>
          <w:sz w:val="16"/>
          <w:szCs w:val="16"/>
        </w:rPr>
        <w:t xml:space="preserve"> </w:t>
      </w:r>
      <w:r w:rsidRPr="006A6ED7">
        <w:rPr>
          <w:sz w:val="16"/>
          <w:szCs w:val="16"/>
          <w:u w:val="single"/>
        </w:rPr>
        <w:t>And even as</w:t>
      </w:r>
      <w:r w:rsidRPr="006A6ED7">
        <w:rPr>
          <w:u w:val="single"/>
        </w:rPr>
        <w:t xml:space="preserve"> </w:t>
      </w:r>
      <w:r w:rsidRPr="006A6ED7">
        <w:rPr>
          <w:highlight w:val="cyan"/>
          <w:u w:val="single"/>
        </w:rPr>
        <w:t>Paiutes looked away from their decimated landscape and embraced the new economy of wage labor, it too began to fail</w:t>
      </w:r>
      <w:r w:rsidRPr="006A6ED7">
        <w:rPr>
          <w:u w:val="single"/>
        </w:rPr>
        <w:t xml:space="preserve">. </w:t>
      </w:r>
      <w:r w:rsidRPr="006A6ED7">
        <w:rPr>
          <w:highlight w:val="cyan"/>
          <w:u w:val="single"/>
        </w:rPr>
        <w:t>The Silver State fell on hard times, and by 1889, the year Wilson’s prophecies began to propagate, few places were more in need of a redeemer. The first harbinger of the downturn appeared on the Comstock in the late 1870s, as diminishing returns led to corporate contraction and unemployment</w:t>
      </w:r>
      <w:r w:rsidRPr="006A6ED7">
        <w:rPr>
          <w:sz w:val="16"/>
          <w:szCs w:val="16"/>
          <w:u w:val="single"/>
        </w:rPr>
        <w:t>.</w:t>
      </w:r>
      <w:r w:rsidRPr="006A6ED7">
        <w:rPr>
          <w:sz w:val="16"/>
          <w:szCs w:val="16"/>
        </w:rPr>
        <w:t xml:space="preserve"> While the decade between 1880 and 1890 saw a 25 percent growth in the U.S. population, the same period marked a 25 percent drop in Nevada’s population. By 1890 the state had fewer people than San Francisco. Settler abandonment of the “dying state” preoccupied commentators from Carson City to the U.S. Congress.41 In other places and times, a declining population might imply labor scarcity and higher returns for workers. But Nevada wages, which had been among the nation’s highest prior to 1880, plummeted as the Comstock went quiet.42 The only economic sector that improved in Nevada was ranching. Corporate consolidation allowed for more cattle than ever, but for Paiutes, gaining a few jobs as cowboys could not compensate for the corresponding decline of bunchgrasses.43 What we might call Nevada’s first Great Depression deepened with the arrival of a terrible drought in 1888, the advent of which marked the second general change that threatened Paiute survival. Precipitation tapered off in the late 1880s and then, in 1888–1889, practically ceased. Wild foods were nearly obliterated and the Walker River ceased flowing halfway along its course, withering Paiutes’ hay and barley fields at the reservation.44 Paradoxically, both the advance of the mining economy through the 1870s and its retreat from 1880 onward had profound and threatening ramifications for Paiutes. In 1882 Sarah Winnemucca, a chief’s daughter and a prominent Paiute advocate in the press, observed that her people could not survive without wages. “If the white people leave us, to go over the mountains to California, as some people tell us,” she warned, “we must go over the mountains with them too, or else starve.”45 Jack Wilson’s response to the drought proved key to building the Ghost Dance movement. Claiming that God had given him the ability to change the weather, he fulfilled a promise to bring a series of storms in fall 1889, culminating with seven consecutive days of blizzards that began Nevada’s legendary “white winter,” a season of epic cold and snow. By New Year’s Day, valleys throughout the region were “belly deep to a horse.” Deep snow on the railroad tracks stalled cattle shipments for weeks.46 Paiutes considered weather making to be a customary expression of spiritual power, but Wovoka’s display rocked Indian communities in the region, enhancing the reputation of the charismatic young man who only a few years before, in the words of a white friend, “began to dream,” falling into days-long trances from which he awoke with word from heaven and the creator. In February 1890, two hundred Paiutes heard him preach at the Walker River Reservation, in the face of a driving snowstorm. “He claims that he alone is responsible for the storms of this season and they all firmly believe it,” wrote Nevada Agency farmer J. O. Gregory.47 Storms promised both food and work, and labor was among the goals Wovoka set for his followers. Contemporaries described him as an “honest, hard-working Indian” with “a reputation for industry and reliability.” Fitting indeed that he should carry the word of God, “that he must tell the Indians that they must work all the time and not lie down in idleness.” In addition to performing the new dance, they must “not lie or steal,” must “put away all the old practices that savored of war,” and, the prophet emphasized again and again, “must work.”48 Proscriptions against lying and theft and the exaltation of peace and work were in many ways in keeping with older ideals. But the emphasis on wage work as a key to “right living” marked a considerable innovation. In the Ghost Dance, wage work became an order from God. At the same time, it was a commandment meant only for earthly life, as a path toward the glorious salvation that awaited Indians in the afterlife, where there would be only “dancing, gambling, playing ball and having all kinds of sports.”49</w:t>
      </w:r>
      <w:r w:rsidRPr="006A6ED7">
        <w:rPr>
          <w:sz w:val="16"/>
          <w:szCs w:val="16"/>
          <w:u w:val="single"/>
        </w:rPr>
        <w:t xml:space="preserve"> </w:t>
      </w:r>
      <w:r w:rsidRPr="006A6ED7">
        <w:rPr>
          <w:sz w:val="16"/>
          <w:szCs w:val="16"/>
        </w:rPr>
        <w:t>Sources are unclear on the degree of Christian inspiration for Wilson’s own beliefs. Some trace his new religion to Bible readings at the table of David Wilson, the rancher for whom he worked from boyhood (and from whom he took his last name). Methodist “concerts of prayer” may have influenced him. Speculation that Mormons may have had a hand in inventing the prophecies has circulated since 1890. But Nevada’s rate of church membership was notoriously low (12.84 percent in the 1890 census); Jack Wilson had only tenuous connections to Mormonism; and it is entirely possible that his millenarian spirit came more out of the Prophet Dance tradition than from Christian teachings.50</w:t>
      </w:r>
      <w:r w:rsidRPr="006A6ED7">
        <w:rPr>
          <w:b/>
          <w:sz w:val="16"/>
          <w:szCs w:val="16"/>
        </w:rPr>
        <w:t xml:space="preserve"> </w:t>
      </w:r>
      <w:r w:rsidRPr="006A6ED7">
        <w:rPr>
          <w:sz w:val="16"/>
          <w:szCs w:val="16"/>
        </w:rPr>
        <w:t>Whatever the sources of Wilson’s visionary theology, the effects of the movement he led in key ways resembled other evangelical revivals of the era. The Ghost Dance religion appealed to followers partly through its ability to reconcile the faithful to the exhaustion, tedium, and danger of the industrial workplace by making diligent work a virtue and a commandment and holding out the promise of an imminent, glorious, and restful millennium.51 Paiute dependence on wages might seem to make them anomalous, but the exhortation to earn cash also spoke to the concerns of other Indians. This teaching became a key part of the bundle of lessons that Indians took with them as they carried the Ghost Dance to the Great Plains. In adopting Wovoka’s teachings, Lakotas and other Indians also altered and adapted them to suit their own circumstances. But some elements remained consistent, in particular, the exhortation to make money.</w:t>
      </w:r>
      <w:r w:rsidRPr="006A6ED7">
        <w:t xml:space="preserve"> </w:t>
      </w:r>
      <w:r w:rsidRPr="006A6ED7">
        <w:rPr>
          <w:rStyle w:val="StyleUnderline"/>
          <w:highlight w:val="cyan"/>
        </w:rPr>
        <w:t>By 1890 environmental change and territorial dispossession across Indian country compelled a broad shift toward wage work</w:t>
      </w:r>
      <w:r w:rsidRPr="006A6ED7">
        <w:rPr>
          <w:rStyle w:val="StyleUnderline"/>
        </w:rPr>
        <w:t xml:space="preserve">. The </w:t>
      </w:r>
      <w:r w:rsidRPr="006A6ED7">
        <w:rPr>
          <w:rStyle w:val="StyleUnderline"/>
          <w:highlight w:val="cyan"/>
        </w:rPr>
        <w:t>annexation of Plains</w:t>
      </w:r>
      <w:r w:rsidRPr="006A6ED7">
        <w:rPr>
          <w:rStyle w:val="StyleUnderline"/>
        </w:rPr>
        <w:t xml:space="preserve"> Indian homelands </w:t>
      </w:r>
      <w:r w:rsidRPr="006A6ED7">
        <w:rPr>
          <w:rStyle w:val="StyleUnderline"/>
          <w:highlight w:val="cyan"/>
        </w:rPr>
        <w:t>into the hinterlands of Chicago and St. Louis</w:t>
      </w:r>
      <w:r w:rsidRPr="006A6ED7">
        <w:rPr>
          <w:rStyle w:val="StyleUnderline"/>
        </w:rPr>
        <w:t xml:space="preserve"> in the second half of the nineteenth century </w:t>
      </w:r>
      <w:r w:rsidRPr="006A6ED7">
        <w:rPr>
          <w:rStyle w:val="StyleUnderline"/>
          <w:highlight w:val="cyan"/>
        </w:rPr>
        <w:t>brought dramatic environmental changes</w:t>
      </w:r>
      <w:r w:rsidRPr="006A6ED7">
        <w:rPr>
          <w:rStyle w:val="StyleUnderline"/>
        </w:rPr>
        <w:t xml:space="preserve">, including </w:t>
      </w:r>
      <w:r w:rsidRPr="006A6ED7">
        <w:rPr>
          <w:rStyle w:val="StyleUnderline"/>
          <w:highlight w:val="cyan"/>
        </w:rPr>
        <w:t>the reduction of</w:t>
      </w:r>
      <w:r w:rsidRPr="006A6ED7">
        <w:rPr>
          <w:rStyle w:val="StyleUnderline"/>
        </w:rPr>
        <w:t xml:space="preserve"> perhaps </w:t>
      </w:r>
      <w:r w:rsidRPr="006A6ED7">
        <w:rPr>
          <w:rStyle w:val="StyleUnderline"/>
          <w:highlight w:val="cyan"/>
        </w:rPr>
        <w:t>30 million bison to a few hundred animals</w:t>
      </w:r>
      <w:r w:rsidRPr="006A6ED7">
        <w:rPr>
          <w:rStyle w:val="StyleUnderline"/>
        </w:rPr>
        <w:t xml:space="preserve">, the </w:t>
      </w:r>
      <w:r w:rsidRPr="006A6ED7">
        <w:rPr>
          <w:rStyle w:val="StyleUnderline"/>
          <w:highlight w:val="cyan"/>
        </w:rPr>
        <w:t>enclosure of vast stretches of land in barbed wire</w:t>
      </w:r>
      <w:r w:rsidRPr="006A6ED7">
        <w:rPr>
          <w:rStyle w:val="StyleUnderline"/>
        </w:rPr>
        <w:t xml:space="preserve">, and </w:t>
      </w:r>
      <w:r w:rsidRPr="006A6ED7">
        <w:rPr>
          <w:rStyle w:val="StyleUnderline"/>
          <w:highlight w:val="cyan"/>
        </w:rPr>
        <w:t>the stocking of the newly made “range” with mostly white-owned cattle by 1885</w:t>
      </w:r>
      <w:r w:rsidRPr="006A6ED7">
        <w:rPr>
          <w:rStyle w:val="StyleUnderline"/>
        </w:rPr>
        <w:t xml:space="preserve">. Such complete </w:t>
      </w:r>
      <w:r w:rsidRPr="006A6ED7">
        <w:rPr>
          <w:rStyle w:val="StyleUnderline"/>
          <w:highlight w:val="cyan"/>
        </w:rPr>
        <w:t>destruction of the Indian economy</w:t>
      </w:r>
      <w:r w:rsidRPr="006A6ED7">
        <w:rPr>
          <w:rStyle w:val="StyleUnderline"/>
        </w:rPr>
        <w:t xml:space="preserve"> </w:t>
      </w:r>
      <w:r w:rsidRPr="006A6ED7">
        <w:rPr>
          <w:rStyle w:val="StyleUnderline"/>
          <w:highlight w:val="cyan"/>
        </w:rPr>
        <w:t>meant that by the time the Ghost Dance emerged, the hunt for game and wild plants had basically given way to the hunt for work—or more accurately, the hunt for dollars.</w:t>
      </w:r>
      <w:r w:rsidRPr="006A6ED7">
        <w:rPr>
          <w:rStyle w:val="StyleUnderline"/>
        </w:rPr>
        <w:t xml:space="preserve"> As early as 1879, Cheyennes and Arapahos in Indian Territory and Oglala and Brule Lakota men in South Dakota—some of them future </w:t>
      </w:r>
      <w:r w:rsidRPr="006A6ED7">
        <w:rPr>
          <w:rStyle w:val="StyleUnderline"/>
          <w:highlight w:val="cyan"/>
        </w:rPr>
        <w:t>Ghost Dancers</w:t>
      </w:r>
      <w:r w:rsidRPr="006A6ED7">
        <w:rPr>
          <w:rStyle w:val="StyleUnderline"/>
        </w:rPr>
        <w:t>—</w:t>
      </w:r>
      <w:r w:rsidRPr="006A6ED7">
        <w:rPr>
          <w:rStyle w:val="StyleUnderline"/>
          <w:highlight w:val="cyan"/>
        </w:rPr>
        <w:t>acquired wagons and teams and hired themselves out to haul</w:t>
      </w:r>
      <w:r w:rsidRPr="006A6ED7">
        <w:rPr>
          <w:rStyle w:val="StyleUnderline"/>
        </w:rPr>
        <w:t xml:space="preserve"> millions of pounds of </w:t>
      </w:r>
      <w:r w:rsidRPr="006A6ED7">
        <w:rPr>
          <w:rStyle w:val="StyleUnderline"/>
          <w:highlight w:val="cyan"/>
        </w:rPr>
        <w:t>goods.</w:t>
      </w:r>
      <w:r w:rsidRPr="006A6ED7">
        <w:rPr>
          <w:rStyle w:val="StyleUnderline"/>
        </w:rPr>
        <w:t xml:space="preserve"> </w:t>
      </w:r>
      <w:r w:rsidRPr="006A6ED7">
        <w:rPr>
          <w:rStyle w:val="StyleUnderline"/>
          <w:highlight w:val="cyan"/>
        </w:rPr>
        <w:t>“The Indians make good freighters,” observed the agent at Pine Ridge in 1888.</w:t>
      </w:r>
      <w:r w:rsidRPr="006A6ED7">
        <w:rPr>
          <w:rStyle w:val="StyleUnderline"/>
        </w:rPr>
        <w:t xml:space="preserve"> “They like the business and apparently never tire of it.”52 Indians also looked to other industries for wages</w:t>
      </w:r>
      <w:r w:rsidRPr="006A6ED7">
        <w:t xml:space="preserve">. </w:t>
      </w:r>
      <w:r w:rsidRPr="006A6ED7">
        <w:rPr>
          <w:sz w:val="16"/>
          <w:szCs w:val="16"/>
        </w:rPr>
        <w:t>Among the Southern Cheyenne camps at Darlington, men flocked to building sites in such numbers by the early 1880s that supervisors had to monitor stone hauling, brick making, and lime burning to ensure that all the men on the job had in fact been hired. By the time of Wilson’s prophecies, Northern Arapahos at the Wind River Reservation in Wyoming cut wood and hay, hauled coal, dug irrigation ditches for the government, and scrambled for practically any paying job.53 Further impetus in this direction came through the education of Indian children. Indian schools were overwhelmingly vocational, emphasizing tasks like baking, carpentry, and livestock management for boys and laundry, sewing, and cooking for girls. (The Ghost Dance proved popular among former students.)54 But for all the eagerness for work, far too little of it existed</w:t>
      </w:r>
      <w:r w:rsidRPr="006A6ED7">
        <w:t xml:space="preserve">. </w:t>
      </w:r>
      <w:r w:rsidRPr="006A6ED7">
        <w:rPr>
          <w:u w:val="single"/>
        </w:rPr>
        <w:t>Unlike Northern Paiutes, who could live away from reservations and near towns and other work sites, Plains Indians were generally confined to reservations in remote areas. Only a small minority could earn money in traveling Wild West shows.</w:t>
      </w:r>
      <w:r w:rsidRPr="006A6ED7">
        <w:t xml:space="preserve"> </w:t>
      </w:r>
      <w:r w:rsidRPr="006A6ED7">
        <w:rPr>
          <w:highlight w:val="cyan"/>
          <w:u w:val="single"/>
        </w:rPr>
        <w:t>As a consequence, most Plains Indian workers found themselves dependent on government rations promised in return for land cessions and on limited employment at the agencies, in jobs ranging from woodcutting to freighting</w:t>
      </w:r>
      <w:r w:rsidRPr="006A6ED7">
        <w:rPr>
          <w:sz w:val="16"/>
          <w:szCs w:val="16"/>
        </w:rPr>
        <w:t>. Additionally, acquiescin</w:t>
      </w:r>
      <w:r w:rsidRPr="006A6ED7">
        <w:rPr>
          <w:sz w:val="16"/>
          <w:szCs w:val="16"/>
          <w:u w:val="single"/>
        </w:rPr>
        <w:t>g</w:t>
      </w:r>
      <w:r w:rsidRPr="006A6ED7">
        <w:rPr>
          <w:sz w:val="16"/>
          <w:szCs w:val="16"/>
        </w:rPr>
        <w:t xml:space="preserve"> to American policy initiatives and emulating the comparatively wealthy and powerful Americans they saw around them, Plains Indians made serious, often enthusiastic, efforts at farming. By 1886 Northern Arapaho chiefs operated large fields and gardens that produced hay for market and food for the community. In Oklahoma, officials were so slow in providing plows and harrows that anxious—perhaps desperate—Southern Arapaho cultivators chopped through the prairie with hand axes and worked the soil with their fingers. Lakota teamsters too pushed into farming. They pooled earnings to buy communal farm implements at Rosebud and Pine Ridge, where in 1888 Indian farmers grew 21,000 bushels of corn and 6,000 bushels of potatoes.55 But a drying climate devastated all these efforts in the late 1880s. Diminished rainfall in 1886 was followed by patchy rains in 1887 and 1888 and overwhelming drought in 1889. Farmers suffered especially in South Dakota, where the governor observed that had it not been for charity from other settlers and states, “many of our people must have perished during the past winter.” With cuts in rations compounding the damage of the drought, many Indians did just that. According to Red Cloud, 217 people starved to death at Pine Ridge in 1889–1890.56 The history of the Ghost Dance on the Plains is, of course, dominated by events at Pine Ridge and the other Western Sioux reservations, where developments severely tested the new religion and its evangelists. Indeed, contemporaries began a long tradition of blaming the dark turn in South Dakota on the Brule and Oglala emissaries who returned from a meeting with Wilson in 1889–1890 and supposedly distorted his teaching into a war cry. “At first, the teaching of the new religion was one of peace,” related General Nelson A. Miles, a month before the Wounded Knee massacre. But “false prophets, medicine men, and disaffected leaders” had altered it to inspire the “savage spirits” of their followers, and the only remedy was to put the Sioux “entirely under military control, and at once.”57 A more careful reading of the sources suggests that events ran ahead of the teachings and that blame for the violence lies with Americans. Of the Lakota emissaries, only one, a Brule holy man named Short Bull, left a detailed account of his meeting with the prophet. (See figure 2.) Partly because he dictated his account to a civilian, not a soldier or other official, and partly because it was filed away in a Denver area museum rather than in Washington, researchers long overlooked it. Only in recent years have historians paid it serious attention.58 A key figure in the dispersion of the Ghost Dance, Short Bull led the flight into the Badlands and was the last of the new religion’s leaders to come to the agency in January 1891. Shortly thereafter he became one of nearly two dozen Ghost Dance leaders taken into government custody. Subsequently, he went with most of the others to Europe with Buffalo Bill’s Wild West show. Probably that same year he dictated his memoir of the Ghost Dance to the show’s interpreter.59 An accomplished warrior who fought the Crows and the Americans, Short Bull had distinguished himself as a stalwart defender of the old religion, in which he had become a wicasa wakan, or holy man. Short Bull was about forty-two years old in fall 1889 and working as a teamster, hauling goods from the railroad depot to the Lakota reservations, when a messenger approached him with a letter and instructed him to carry it to the chiefs’ council at Rosebud. Short Bull did so. The letter announced the arrival of a “Messiah” in the West, and the council selected Short Bull and several others to journey to Nevada to assess this news.60 Traveling by railroad and wagon, Short Bull and perhaps eleven other Lakota emissaries arrived in Nevada with thirty-two other Indians (including Porcupine) and joined a crowd of 1,600 people waiting to hear the prophet. When Wilson finally addressed them, his words were translated from Paiute to English, and then into Plains sign language. It is hard to believe the translation did not change his meaning, but his teachings, as related by Short Bull, were remarkably consistent with his instructions to others. To the Sioux, they seemed providential in part because they spoke to Lakota concerns about wage work, farming, church attendance, and reservation life: “Have your people work the ground so they do not get idle, help your agents, and get farms to live on.” Just as important: “Educate your children. Send them to schools.” Lakotas should ignore denominational disputes (they were pressured to join both Catholic and Episcopal churches): “When you get back, go to church. All these churches are mine.” He warned them to keep the peace: “I want no more fighting. . . . [W]henever you do anything that is bad something will happen to you. I mean fights between Indians and whites.” Before very long, Wilson promised, “all nations will talk one tongue,” but until then, “all over the world one should be like the other and no distinction made.”61 The gospel according to Short Bull is so peaceful that when he repeated it in future years, some critics alleged he made it up to exonerate himself from his Badlands militancy.62 It appears to address contemporary Lakota concerns so directly as to suggest he misheard or altered the prophet’s words. Farms, churches, and schools were seemingly more appropriate subjects for Lakotas—urged to accept allotments for cultivation, pressured to choose between Catholic and Episcopal missions, and forced to send their children to reservation day schools—than for Walker River Paiutes, who had little arable land, almost no missionaries, and prior to 1890, only one school. But evidence for the authenticity of these teachings weighs heavily in Short Bull’s favor. First, the key exhortations of his version of the teachings—farm, go to church, send your children to school, remain at peace, and love one another—closely approximate what Wovoka preached to others. If the injunction to work seems to have been absorbed as “work the ground” and “get yourself farms to live on,” it may be that Wovoka actually did include farming as a category of virtuous work. He was, after all, speaking at the reservation on Walker River, where his audience included those very Northern Paiutes who had excavated eight miles of irrigation ditch and turned themselves into commercial farmers. So, too, his call to education would have resonated among Paiutes: a boarding school in Carson City had been authorized since 1888; after it opened in 1890, Wilson sent his own children there and urged others to do the same.63 Finally, since other evangelists—notably Porcupine—recounted instructions very similar to Short Bull’s, it seems likely that the prophet himself composed them, perhaps in part to address the needs of his Plains followers. His religious movement had become pan-Indian, and by 1890 Wovoka self-consciously sought political power. Only weeks before his sermon at Walker River, the rainmaker had dictated a letter to President Harrison offering him a deal. In return for a small monthly stipend and political authority over the West, he could promise to bring regular rain and weekly news from heaven. As he later explained his vision to Mooney, when God gave him power as a weather maker, he also “appointed him his deputy to take charge of affairs in the [W]est, while ‘Governor Harrison’ would attend to matters in the [E]ast, and he, God, would look after the world above.”64</w:t>
      </w:r>
      <w:r w:rsidRPr="006A6ED7">
        <w:rPr>
          <w:sz w:val="16"/>
          <w:szCs w:val="16"/>
          <w:u w:val="single"/>
        </w:rPr>
        <w:t xml:space="preserve"> </w:t>
      </w:r>
      <w:r w:rsidRPr="006A6ED7">
        <w:rPr>
          <w:rStyle w:val="StyleUnderline"/>
        </w:rPr>
        <w:t xml:space="preserve">However the teachings came about, in the spring of 1890, </w:t>
      </w:r>
      <w:r w:rsidRPr="006A6ED7">
        <w:rPr>
          <w:rStyle w:val="StyleUnderline"/>
          <w:highlight w:val="cyan"/>
        </w:rPr>
        <w:t>Short Bull took away from Nevada a set of instructions that addressed head-on the seemingly insurmountable challenges facing Lakotas.</w:t>
      </w:r>
      <w:r w:rsidRPr="006A6ED7">
        <w:rPr>
          <w:rStyle w:val="StyleUnderline"/>
        </w:rPr>
        <w:t xml:space="preserve"> The Ghost Dance would have many attractions for the Western Sioux, including the reconstituting of a ceremonial circle that had been destroyed by the government ban on ritual dances, particularly the Sun Dance, in 1883. In the words of the holy man and chief Little Wound, a leader of the new religion at Pine Ridge, the Ghost Dance would enable Lakotas “to be Indians” again.65 </w:t>
      </w:r>
      <w:r w:rsidRPr="006A6ED7">
        <w:rPr>
          <w:rStyle w:val="StyleUnderline"/>
          <w:highlight w:val="cyan"/>
        </w:rPr>
        <w:t>The attractions were especially great given the profound crisis in which Lakotas found themselves. The forced cession of lands in the Sioux Act of 1889, the looming prospect of allotment, the confrontations with the army, the drought, and a severe cut in rations that reduced many Lakotas to starvation pushed many to the brink of despair</w:t>
      </w:r>
      <w:r w:rsidRPr="006A6ED7">
        <w:rPr>
          <w:sz w:val="16"/>
          <w:szCs w:val="16"/>
        </w:rPr>
        <w:t>.</w:t>
      </w:r>
      <w:r w:rsidRPr="006A6ED7">
        <w:rPr>
          <w:bCs/>
          <w:sz w:val="16"/>
          <w:szCs w:val="16"/>
        </w:rPr>
        <w:t xml:space="preserve"> In this context, the millenarian promise of the new religion found an eager audience. The promise of earthly renewal through prayer and dancing resonated with Lakota traditions and inspired immense hope.66 How did Wilson’s teachings fare in this environment? The history of the Lakota Ghost Dance and the relentless march to the massacre is rife with speculation and so-called firsthand accounts of dubious provenance, among them various incendiary remarks attributed to Short Bull. Much of the writing on these events is preoccupied with “Ghost Shirts,” sacred garments alleged by some to be bulletproof and supposed evidence of the hostile intentions behind the Ghost Dance.67 Official documents reveal almost no reference to exhortations to work, school, or church. But sacred garments and other talismans to ward off physical harm were ubiquitous in the period and across cultures (one wonders how many troopers at Pine Ridge wore Saint Christopher medals).68 And whatever else Short Bull may have said, seemingly irrefutable evidence shows that at Pine Ridge and Rosebud, he and other evangelists did preach the message of farming, work, education, and Christian churchgoing Documentation comes from January 1891. One month after the massacre at Wounded Knee, and only two weeks after Short Bull and his militants had ceased to dance and returned from the Badlands, a newspaper reporter interviewed Lakota leaders and transcribed the teachings as explained to him by an Oglala believer named Big Road. Big Road was no novice. A holy man and a leader of the Ghost Dance at Wounded Knee Creek, that fall he allegedly told his followers that he “intended to keep up the dance all winter, or fight.”69 In the group interview, Big Road’s articulation of the religion so impressed other Ghost Dancers in the room that they could not help affirming its truthfulness. Little Wound—according to his agent, the “high priest over all the ghost dances”—prefaced his own remarks with the statement “I want to say that Big Road has talked straight about the dance.” According to Crow Dog, another believer who had been in the Badlands with Short Bull, “Big Road told the truth about the dance. . . . Big Road talked straight.”70 And what did Big Road say? His account of the teachings is too similar to Short Bull’s to leave any doubt about the consistency of Wovoka’s message in the Badlands and across the Lakota reservations: I want to say something about the ghost dance. Many people do not understand it because the truth has not been told them. Most of the Indians here belong to the [Christian] church; we have many church houses. This dance was like religion; it was religion. Those who brought the dance here from the west said that to dance was the same as going to church. . . . We danced and prayed that we might live forever; that everything we planted might grow up to give us plenty and happiness. There was no harm in the dance. The Messiah told us to send our children to school, to work on our farms all the time and to do the best we could. He also told us not to drop our church. We and our children could dance and go to church, too; that would be like going to two churches. I never heard that the Messiah had promised that the Indians should be supreme or that the white men should be destroyed. We never prayed for anything but happiness.71 And if Big Road’s remarkable testimony is not enough, further evidence shows that such teachings circulated among those who made the journey with Short Bull. According to an account by George Sword, chief of the Indian police at Pine Ridge, Wilson told the emissary Good Thunder, “My grandchildren, when you get home, go to farming and send all your children to school.” And as we have seen, such messages went beyond the Lakota. Porcupine’s injunction to work, and perhaps to farm (thus the reference to gardens that “will grow nice”), was echoed in the teachings Southern Arapaho and Southern Cheyenne believers gave to James Mooney after they visited the prophet in 1891. As we have seen, according to these accounts, in addition to instructions not to lie and to conduct the dance at regular intervals, Wilson told his followers to “work for white men.”72 The teachings that Short Bull and the others brought to South Dakota offered both the promise of transforming society and the earth, which would return Indian autonomy and buffalo, and individual redemption through right living (i.e., working, school, and church). That lessons in right living could remain a feature of the religion even at the height of millenarian fervor for transformation suggests their power for some believers.73 Officials and white observers, obsessed with fears of resurgent primitives, mostly failed to hear such teachings. But their appeal stretched across divisions between socalled traditional and progressive camps. Despite contemporary assertions that only nonprogressives joined the circle, so too, did some educated Lakotas and Christian converts. Among the most alarming features of the Ghost Dance was that it laid bare the porosity of nonprogressive and progressive categories and called assimilation into question. Thus, agent James McLaughlin wrote in mid-October that at Standing Rock, the religion “now includes some of the Indians who were formerly numbered with the progressive and more intelligent” and that instead of denouncing the faith, “many of our very best Indians appear ‘dazed’ and undecided when talking of it.” At Pine Ridge, Ghost Dancers included farmers who owned modern machinery, and one observer would lament the “converted and educated Indians who have become infected with the craze, and have been swept by it back into pristine barbarism.” An Episcopalian missionary reported seeing “quite a number of Christian Indians among the dancers” on the Cheyenne River Reservation, and agent Perain Palmer acknowledged that some of his anti–Ghost Dance Christians had actually joined the dances, although he claimed they did so merely “out of curiosity.”74 Lakota Christians who joined the Ghost Dance probably understood themselves not to be rejecting Christianity but rather combining the teachings of missionaries with those of Short Bull and other Ghost Dance evangelists. Lakota religion is fundamentally nondoctrinal, leaving people generally free to adopt spiritual practices in accordance with their own visions and experience. Something in the Ghost Dance spoke to the hearts of some who had been attending Christian services. A number of Lakotas, including no less an eminence than Black Elk, reported having “seen the son of the Great Spirit himself” in their Ghost Dance visions. It may be that for some believers it represented a kind of Christianity that spoke to Indian needs. And in appealing to both Christian converts and followers of the old religion, the Ghost Dance also held out the promise of religious unity, something that had proved ever more elusive in these early decades of the reservation era.75 But government persecution foreclosed any promise of unity and peace. Lakota divisions over the new religion became entrenched as the army cracked down, and many Christian Lakotas denounced the Ghost Dance as the threat of violence mounted. Still, prior to that, when the fate of the dances had not yet been sealed, something had drawn many erstwhile “progressives” to the circle. Whatever that was, it is suggestive that Wilson’s teachings validated the efforts of those Lakotas who were educating their children in the new reservation schools, attending church, and trying to farm. What may have become of their religious experiment, whether it might have become a Christian church or some other, we will never know. </w:t>
      </w:r>
      <w:r w:rsidRPr="006A6ED7">
        <w:rPr>
          <w:sz w:val="16"/>
          <w:szCs w:val="16"/>
        </w:rPr>
        <w:t>While many popular accounts insist that the new religion died at Wounded Knee, the remarkable survival and expansion of the Ghost Dance after 1890, as well as its development of new rituals that in some cases replaced dancing, has long been noted</w:t>
      </w:r>
      <w:r w:rsidRPr="006A6ED7">
        <w:t xml:space="preserve">. </w:t>
      </w:r>
      <w:r w:rsidRPr="006A6ED7">
        <w:rPr>
          <w:bCs/>
          <w:sz w:val="16"/>
          <w:szCs w:val="16"/>
        </w:rPr>
        <w:t>Amidst these changes, it is not easy to discover the continuing role of Wilson’s teachings about good living. The religion continued underground at Pine Ridge and other Lakota reservations. Kicking Bear, one of the evangelists who traveled with Short Bull, took the teachings to Montana in 1902. He and other adherents continued to meet with Wilson in Nevada at least through 1906.76</w:t>
      </w:r>
      <w:r w:rsidRPr="006A6ED7">
        <w:t xml:space="preserve"> </w:t>
      </w:r>
      <w:r w:rsidRPr="006A6ED7">
        <w:rPr>
          <w:highlight w:val="cyan"/>
        </w:rPr>
        <w:t>The Ghost Dance revived at Standing Rock among the Yanktonai in 1897, and from there it went to Saskatchewan, Canada, where the central rituals became feasting and prayer, in what was known as the New Tidings Congregation. It proved most enduring among Santee Sioux refugees from the Dakota Uprising of 1862, who had become wageworkers and dryland farmers, much praised for their “judgment and industry,” as noted by one inspector</w:t>
      </w:r>
      <w:r w:rsidRPr="006A6ED7">
        <w:rPr>
          <w:bCs/>
          <w:sz w:val="16"/>
          <w:szCs w:val="16"/>
        </w:rPr>
        <w:t>. As late as the 1960s, some Santee yet professed the faith.77 Beginning in 1905, Wovoka himself made repeated journeys to the Southern Plains, where the religion spread among Southern Arapahos at least into the 1910s. By the 1920s</w:t>
      </w:r>
      <w:r w:rsidRPr="006A6ED7">
        <w:t xml:space="preserve">, </w:t>
      </w:r>
      <w:r w:rsidRPr="006A6ED7">
        <w:rPr>
          <w:highlight w:val="cyan"/>
        </w:rPr>
        <w:t>Caddos had turned the Ghost Dance into a central tribal event around which other activities were organized. Kiowas carried on devotions derived from the Ghost Dance until around 1920, while in the same years, Kiowa Apaches attended the “Ghost Dance Church”</w:t>
      </w:r>
      <w:r w:rsidRPr="006A6ED7">
        <w:rPr>
          <w:sz w:val="16"/>
          <w:szCs w:val="16"/>
        </w:rPr>
        <w:t xml:space="preserve">—Sunday lodge meetings where women painted their faces with crosses and prayed to God and Jesus. </w:t>
      </w:r>
      <w:r w:rsidRPr="006A6ED7">
        <w:rPr>
          <w:bCs/>
          <w:sz w:val="16"/>
          <w:szCs w:val="16"/>
        </w:rPr>
        <w:t>Pawnees sent a delegation to hear Wilson in 1904 and continued to practice the religion and new ceremonies connected with it at least into the 1930s.78</w:t>
      </w:r>
      <w:r w:rsidRPr="006A6ED7">
        <w:rPr>
          <w:sz w:val="16"/>
          <w:szCs w:val="16"/>
        </w:rPr>
        <w:t xml:space="preserve"> As the Ghost Dance continued to develop, it became ever more identified with traditionalism, in part because of the hostility of agents, who repeatedly sought to ban it in the early decades of the twentieth century. The harder the government pushed against the new religion, the more dancing and other elements of ritual became, of necessity, gestures of opposition to the government; the more officials tried to push Ghost Dancers to become something else, the more Ghost Dancing came to represent those elements of tribal cultures the government wanted to obliterate. I</w:t>
      </w:r>
      <w:r w:rsidRPr="006A6ED7">
        <w:rPr>
          <w:bCs/>
          <w:sz w:val="16"/>
          <w:szCs w:val="16"/>
        </w:rPr>
        <w:t>n this way, for some believers,</w:t>
      </w:r>
      <w:r w:rsidRPr="006A6ED7">
        <w:t xml:space="preserve"> </w:t>
      </w:r>
      <w:r w:rsidRPr="006A6ED7">
        <w:rPr>
          <w:highlight w:val="cyan"/>
        </w:rPr>
        <w:t>the ritual of the Ghost Dance itself developed into a more traditionalist, anti-assimilationist expression.</w:t>
      </w:r>
      <w:r w:rsidRPr="006A6ED7">
        <w:t xml:space="preserve"> </w:t>
      </w:r>
      <w:r w:rsidRPr="006A6ED7">
        <w:rPr>
          <w:sz w:val="16"/>
          <w:szCs w:val="16"/>
        </w:rPr>
        <w:t xml:space="preserve">In 1916 anthropologist Clark Wissler observed that since 1890, </w:t>
      </w:r>
      <w:r w:rsidRPr="006A6ED7">
        <w:rPr>
          <w:highlight w:val="cyan"/>
        </w:rPr>
        <w:t>the Ghost Dance had been central to a broad reworking of ritual and dance traditions that had occurred across the Plains</w:t>
      </w:r>
      <w:r w:rsidRPr="006A6ED7">
        <w:rPr>
          <w:sz w:val="16"/>
          <w:szCs w:val="16"/>
        </w:rPr>
        <w:t>. Among different peoples,</w:t>
      </w:r>
      <w:r w:rsidRPr="006A6ED7">
        <w:t xml:space="preserve"> </w:t>
      </w:r>
      <w:r w:rsidRPr="006A6ED7">
        <w:rPr>
          <w:highlight w:val="cyan"/>
        </w:rPr>
        <w:t>Ghost Dance believers experienced trance visions in which they encountered spirits who instructed them how to revive and reintroduce older traditions and ceremonies that had vanished or faded</w:t>
      </w:r>
      <w:r w:rsidRPr="006A6ED7">
        <w:t xml:space="preserve">. </w:t>
      </w:r>
      <w:r w:rsidRPr="006A6ED7">
        <w:rPr>
          <w:sz w:val="16"/>
          <w:szCs w:val="16"/>
        </w:rPr>
        <w:t>The result was a florescence of new and revived ceremonial forms.79 Between</w:t>
      </w:r>
      <w:r w:rsidRPr="006A6ED7">
        <w:t xml:space="preserve"> </w:t>
      </w:r>
      <w:r w:rsidRPr="006A6ED7">
        <w:rPr>
          <w:highlight w:val="cyan"/>
        </w:rPr>
        <w:t>its spiritual power and the allure of the dance circle itself as an expression of Indianness, the Ghost Dance offered a portal to cultural renewal and became a key component of what is conventionally known as religious traditionalism.</w:t>
      </w:r>
      <w:r w:rsidRPr="006A6ED7">
        <w:t xml:space="preserve"> </w:t>
      </w:r>
      <w:r w:rsidRPr="006A6ED7">
        <w:rPr>
          <w:highlight w:val="cyan"/>
        </w:rPr>
        <w:t>It seems possible that, in this context, exhortations to labor, school, and church dropped out of Ghost Dance teachings. And yet, at least in the beginning, education and wage work were intimately bound up in these developments.</w:t>
      </w:r>
      <w:r w:rsidRPr="006A6ED7">
        <w:t xml:space="preserve"> </w:t>
      </w:r>
    </w:p>
    <w:p w14:paraId="67E99C6F" w14:textId="77777777" w:rsidR="006C5EA1" w:rsidRPr="006A6ED7" w:rsidRDefault="006C5EA1" w:rsidP="006C5EA1">
      <w:pPr>
        <w:rPr>
          <w:sz w:val="12"/>
        </w:rPr>
      </w:pPr>
    </w:p>
    <w:p w14:paraId="08233342" w14:textId="77777777" w:rsidR="006C5EA1" w:rsidRPr="006A6ED7" w:rsidRDefault="006C5EA1" w:rsidP="006C5EA1">
      <w:pPr>
        <w:rPr>
          <w:sz w:val="12"/>
        </w:rPr>
      </w:pPr>
    </w:p>
    <w:p w14:paraId="497211CA" w14:textId="77777777" w:rsidR="006C5EA1" w:rsidRPr="006A6ED7" w:rsidRDefault="006C5EA1" w:rsidP="006C5EA1">
      <w:pPr>
        <w:pStyle w:val="Heading4"/>
      </w:pPr>
      <w:r w:rsidRPr="006A6ED7">
        <w:t xml:space="preserve">Thus the plan, is to Affirm the Ghost Dance </w:t>
      </w:r>
    </w:p>
    <w:p w14:paraId="38214FAB" w14:textId="77777777" w:rsidR="006C5EA1" w:rsidRPr="006A6ED7" w:rsidRDefault="006C5EA1" w:rsidP="006C5EA1">
      <w:pPr>
        <w:rPr>
          <w:sz w:val="12"/>
        </w:rPr>
      </w:pPr>
    </w:p>
    <w:p w14:paraId="70FA326D" w14:textId="77777777" w:rsidR="006C5EA1" w:rsidRPr="006A6ED7" w:rsidRDefault="006C5EA1" w:rsidP="006C5EA1">
      <w:pPr>
        <w:pStyle w:val="Heading4"/>
      </w:pPr>
      <w:r w:rsidRPr="006A6ED7">
        <w:t>The ghostly chants of the Native roar out amidst the world-building res</w:t>
      </w:r>
      <w:r>
        <w:t>o</w:t>
      </w:r>
      <w:r w:rsidRPr="006A6ED7">
        <w:t>lution. Topical 1AC’s are just another shovel of dirt on the physical grave of the native – but they still shout to us in our dreams to unify for the Ghost Dance</w:t>
      </w:r>
    </w:p>
    <w:p w14:paraId="496D8199" w14:textId="77777777" w:rsidR="006C5EA1" w:rsidRPr="006A6ED7" w:rsidRDefault="006C5EA1" w:rsidP="006C5EA1">
      <w:r w:rsidRPr="006A6ED7">
        <w:rPr>
          <w:rStyle w:val="Style13ptBold"/>
        </w:rPr>
        <w:t>Byrd 11</w:t>
      </w:r>
      <w:r w:rsidRPr="006A6ED7">
        <w:t xml:space="preserve"> (Jodi, (Chickasaw) Associate Professor of English and Gender and Women's Studies at the University of Illinois </w:t>
      </w:r>
      <w:r w:rsidRPr="006A6ED7">
        <w:rPr>
          <w:i/>
        </w:rPr>
        <w:t>The Transit of Empire: Indigenous Critiques of Colonialism</w:t>
      </w:r>
      <w:r w:rsidRPr="006A6ED7">
        <w:t>, pp. 36-38.</w:t>
      </w:r>
    </w:p>
    <w:p w14:paraId="0911AA1F" w14:textId="77777777" w:rsidR="006C5EA1" w:rsidRPr="006A6ED7" w:rsidRDefault="006C5EA1" w:rsidP="006C5EA1">
      <w:pPr>
        <w:rPr>
          <w:sz w:val="12"/>
        </w:rPr>
      </w:pPr>
      <w:r w:rsidRPr="006A6ED7">
        <w:rPr>
          <w:sz w:val="12"/>
        </w:rPr>
        <w:t xml:space="preserve">In many ways, one might argue that </w:t>
      </w:r>
      <w:r w:rsidRPr="006A6ED7">
        <w:rPr>
          <w:rStyle w:val="StyleUnderline"/>
        </w:rPr>
        <w:t xml:space="preserve">this transit of </w:t>
      </w:r>
      <w:r w:rsidRPr="006A6ED7">
        <w:rPr>
          <w:rStyle w:val="StyleUnderline"/>
          <w:highlight w:val="cyan"/>
        </w:rPr>
        <w:t>Indianness is the condition of possibility that informs</w:t>
      </w:r>
      <w:r w:rsidRPr="006A6ED7">
        <w:rPr>
          <w:sz w:val="12"/>
        </w:rPr>
        <w:t xml:space="preserve"> even Berlant’s understanding of </w:t>
      </w:r>
      <w:r w:rsidRPr="006A6ED7">
        <w:rPr>
          <w:rStyle w:val="StyleUnderline"/>
          <w:highlight w:val="cyan"/>
        </w:rPr>
        <w:t>the “slow death”</w:t>
      </w:r>
      <w:r w:rsidRPr="006A6ED7">
        <w:rPr>
          <w:sz w:val="12"/>
        </w:rPr>
        <w:t xml:space="preserve"> of obesity </w:t>
      </w:r>
      <w:r w:rsidRPr="006A6ED7">
        <w:rPr>
          <w:rStyle w:val="StyleUnderline"/>
          <w:highlight w:val="cyan"/>
        </w:rPr>
        <w:t>that “refers to the physical wearing out of a population and the deterioration of people in that population that is very nearly a defining condition of their experience and historical existence.”</w:t>
      </w:r>
      <w:r w:rsidRPr="006A6ED7">
        <w:rPr>
          <w:sz w:val="12"/>
        </w:rPr>
        <w:t xml:space="preserve"> ¹²¹ Here, in the interstices of affect and queer theory, between Lauren Berlant and Judith Butler, I want to elaborate on what indigenous critical theory might offer to such understandings of “bare life.” According to Butler and Berlant, the contemporary present is a necessary condition for affect and relation to draw lives into commensurable vulnerability and may, they hope, re- structure governance and help make lives more livable. A core set of questions emerges for me as I read Berlant’s discussions of “cruel optimism” and “slow death,” and they revolve around her delineations of ordinary life. Judith Butler in Precarious Life and Frames of War takes up Berlant’s concerns with the ordinary life in the overwhelmingly present moment and reframes them in the question </w:t>
      </w:r>
      <w:r w:rsidRPr="006A6ED7">
        <w:rPr>
          <w:rStyle w:val="StyleUnderline"/>
          <w:highlight w:val="cyan"/>
        </w:rPr>
        <w:t>“When is life grievable?” The concern for me is to consider whether indigenous peoples are understood to be a part of the present</w:t>
      </w:r>
      <w:r w:rsidRPr="006A6ED7">
        <w:rPr>
          <w:sz w:val="12"/>
        </w:rPr>
        <w:t xml:space="preserve"> within liberal democracy and within the theories Butler and Berlant are articulating to provide possible reframings of relation to reconcile questions of citizenship, sovereignty, recognition, and nationalism. </w:t>
      </w:r>
      <w:r w:rsidRPr="006A6ED7">
        <w:rPr>
          <w:rStyle w:val="StyleUnderline"/>
        </w:rPr>
        <w:t xml:space="preserve">Do Indians live the ordinary life in the contemporary now? Are Indians part of the present tense? And finally, </w:t>
      </w:r>
      <w:r w:rsidRPr="006A6ED7">
        <w:rPr>
          <w:rStyle w:val="StyleUnderline"/>
          <w:highlight w:val="cyan"/>
        </w:rPr>
        <w:t>do Indians live grievable lives?</w:t>
      </w:r>
      <w:r w:rsidRPr="006A6ED7">
        <w:rPr>
          <w:rStyle w:val="StyleUnderline"/>
        </w:rPr>
        <w:t xml:space="preserve"> </w:t>
      </w:r>
      <w:r w:rsidRPr="006A6ED7">
        <w:rPr>
          <w:sz w:val="12"/>
        </w:rPr>
        <w:t xml:space="preserve">I may be begging the question here, given that Butler does not really consider Indians and that Berlant avoids indigeneity even when it is a thematic concern within the text, as her reading of Was indicates. But because their projects work to dismantle the normative state structures that also op- press indigenous peoples whether they actively involve indigenous peoples in their theorizations or not, here we can see how indigenous critical theory transforms queer theory and critical theory more broadly to intervene in the colonialist structures that continue to underwrite racialized and gendered oppressions despite every attempt to disrupt or refuse those structures. To return to Tocqueville and Michelle Obama, we can notice this problem with tenses present—and that Indians are not present at all in the case of the latter. </w:t>
      </w:r>
      <w:r w:rsidRPr="006A6ED7">
        <w:rPr>
          <w:rStyle w:val="StyleUnderline"/>
          <w:highlight w:val="cyan"/>
        </w:rPr>
        <w:t>As Tocqueville describes the Choctaw, “their calamities were of ancient date, and they knew them to be irremediable.” Even in the present of their removal, the Choctaws are always already past perfect</w:t>
      </w:r>
      <w:r w:rsidRPr="006A6ED7">
        <w:rPr>
          <w:rStyle w:val="StyleUnderline"/>
        </w:rPr>
        <w:t>: they had left, they had stepped, they had been promised.</w:t>
      </w:r>
      <w:r w:rsidRPr="006A6ED7">
        <w:rPr>
          <w:sz w:val="12"/>
        </w:rPr>
        <w:t xml:space="preserve"> According to Butler, </w:t>
      </w:r>
      <w:r w:rsidRPr="006A6ED7">
        <w:rPr>
          <w:rStyle w:val="StyleUnderline"/>
          <w:highlight w:val="cyan"/>
        </w:rPr>
        <w:t>in order for life to be grievable, it needs to be faceable; to exist, it needs to “cast a face, a life, in the tense of the future anterior”</w:t>
      </w:r>
      <w:r w:rsidRPr="006A6ED7">
        <w:rPr>
          <w:sz w:val="12"/>
        </w:rPr>
        <w:t xml:space="preserve"> in what Barthes has described as the present absolute pastness of the photograph. Butler writes: “The photograph relays less the present moment than the perspective, the pathos, of a time in which ‘this will have been.’” ¹²² Even for Ryman’s Dorothy, who perceives Indians in spite of their invisibility, </w:t>
      </w:r>
      <w:r w:rsidRPr="006A6ED7">
        <w:rPr>
          <w:rStyle w:val="Emphasis"/>
        </w:rPr>
        <w:t xml:space="preserve">Indians are “Was.” </w:t>
      </w:r>
      <w:r w:rsidRPr="006A6ED7">
        <w:rPr>
          <w:sz w:val="12"/>
        </w:rPr>
        <w:t xml:space="preserve">So </w:t>
      </w:r>
      <w:r w:rsidRPr="006A6ED7">
        <w:rPr>
          <w:rStyle w:val="StyleUnderline"/>
          <w:highlight w:val="cyan"/>
        </w:rPr>
        <w:t>the most we can say, given the lack of possibility of an Indian future anteriority in which Indians will have been decolonized, is that Indians are lamentable, but not grievable</w:t>
      </w:r>
      <w:r w:rsidRPr="006A6ED7">
        <w:rPr>
          <w:rStyle w:val="StyleUnderline"/>
        </w:rPr>
        <w:t>.</w:t>
      </w:r>
      <w:r w:rsidRPr="006A6ED7">
        <w:rPr>
          <w:sz w:val="12"/>
        </w:rPr>
        <w:t xml:space="preserve"> The dogs howl and throw themselves to their deaths in the frozen waters of the Mississippi, but the humanity of the scene is still: “No cry, no sob was heard amongst the assembled crowd; all were silent.” </w:t>
      </w:r>
      <w:r w:rsidRPr="006A6ED7">
        <w:rPr>
          <w:rStyle w:val="StyleUnderline"/>
          <w:highlight w:val="cyan"/>
        </w:rPr>
        <w:t>The lamentable is pitiable, but not remediable.</w:t>
      </w:r>
      <w:r w:rsidRPr="006A6ED7">
        <w:rPr>
          <w:rStyle w:val="StyleUnderline"/>
        </w:rPr>
        <w:t xml:space="preserve"> It is past and regrettable. </w:t>
      </w:r>
      <w:r w:rsidRPr="006A6ED7">
        <w:rPr>
          <w:rStyle w:val="StyleUnderline"/>
          <w:highlight w:val="cyan"/>
        </w:rPr>
        <w:t>Grieving</w:t>
      </w:r>
      <w:r w:rsidRPr="006A6ED7">
        <w:rPr>
          <w:sz w:val="12"/>
        </w:rPr>
        <w:t xml:space="preserve">, on the other hand, </w:t>
      </w:r>
      <w:r w:rsidRPr="006A6ED7">
        <w:rPr>
          <w:rStyle w:val="StyleUnderline"/>
          <w:highlight w:val="cyan"/>
        </w:rPr>
        <w:t>calls people to acknowledge, to see, and to grapple with lived lives and the commensurable suffering, and</w:t>
      </w:r>
      <w:r w:rsidRPr="006A6ED7">
        <w:rPr>
          <w:sz w:val="12"/>
        </w:rPr>
        <w:t xml:space="preserve"> in Butler’s frame </w:t>
      </w:r>
      <w:r w:rsidRPr="006A6ED7">
        <w:rPr>
          <w:rStyle w:val="StyleUnderline"/>
          <w:highlight w:val="cyan"/>
        </w:rPr>
        <w:t>apprehend</w:t>
      </w:r>
      <w:r w:rsidRPr="006A6ED7">
        <w:rPr>
          <w:sz w:val="12"/>
        </w:rPr>
        <w:t>—in the sense of both its definitions that include to under- stand and to stop—</w:t>
      </w:r>
      <w:r w:rsidRPr="006A6ED7">
        <w:rPr>
          <w:rStyle w:val="StyleUnderline"/>
        </w:rPr>
        <w:t>t</w:t>
      </w:r>
      <w:r w:rsidRPr="006A6ED7">
        <w:rPr>
          <w:rStyle w:val="StyleUnderline"/>
          <w:highlight w:val="cyan"/>
        </w:rPr>
        <w:t>he policies creating unlivable, ungrievable conditions</w:t>
      </w:r>
      <w:r w:rsidRPr="006A6ED7">
        <w:rPr>
          <w:rStyle w:val="StyleUnderline"/>
        </w:rPr>
        <w:t xml:space="preserve"> within the state-sponsored economies of slow death and letting die. </w:t>
      </w:r>
      <w:r w:rsidRPr="006A6ED7">
        <w:rPr>
          <w:sz w:val="12"/>
        </w:rPr>
        <w:t xml:space="preserve">As the queer makes claims to an affective indigenous generosity that can welcome all arrivants in the hope that those moves, those approximations of traditional kinship sovereignties and tribal affiliations will transform the normative and transgress the dialectics of state sovereignty that conscript, expel, and police whose bodies and lives count as full citizens in the United States, </w:t>
      </w:r>
      <w:r w:rsidRPr="006A6ED7">
        <w:rPr>
          <w:rStyle w:val="StyleUnderline"/>
        </w:rPr>
        <w:t>the indigenous must be absent both from the contemporary now and from the spaces and tenses of grief.</w:t>
      </w:r>
      <w:r w:rsidRPr="006A6ED7">
        <w:rPr>
          <w:sz w:val="12"/>
        </w:rPr>
        <w:t xml:space="preserve"> In order to transcend what many theorists engaged in confronting state-sponsored violence perceive as a retrograde return to nativism, claims of indigeneity are read as conservative neoliberal discourses of normativity rather than a reassertion of the basic fundamental principles of restorative justice in the face of colonization and genocide. Given the push toward kinship, affect, and futurity that queer theory troubles as a way to intervene within and through discourses of sovereignty, nationalism, and citizenship, it seems that </w:t>
      </w:r>
      <w:r w:rsidRPr="006A6ED7">
        <w:rPr>
          <w:rStyle w:val="StyleUnderline"/>
        </w:rPr>
        <w:t xml:space="preserve">indigenous strategies should not be just a return push that demonstrates difference—that move is anticipated and already silenced. </w:t>
      </w:r>
      <w:r w:rsidRPr="006A6ED7">
        <w:rPr>
          <w:rStyle w:val="Emphasis"/>
          <w:highlight w:val="cyan"/>
        </w:rPr>
        <w:t>Possible sites of intervention depend then on interrogating how the impulse to world is the setting-to-work of the colonizer, even if that work is to reconfigure the world so that it might be kinder and gentler and be a world more possible to live, and grieve, within.</w:t>
      </w:r>
      <w:r w:rsidRPr="006A6ED7">
        <w:rPr>
          <w:sz w:val="12"/>
        </w:rPr>
        <w:t xml:space="preserve"> The future anterior of such a world that exists outside the cruel optimisms and violences constitutive of liberalism’s very structures must also be a future in which indigenous peoples will have been and will remain decolonized, if there is to be any hope at all.</w:t>
      </w:r>
    </w:p>
    <w:p w14:paraId="05B80B15" w14:textId="77777777" w:rsidR="006C5EA1" w:rsidRPr="006A6ED7" w:rsidRDefault="006C5EA1" w:rsidP="006C5EA1">
      <w:pPr>
        <w:rPr>
          <w:sz w:val="12"/>
        </w:rPr>
      </w:pPr>
    </w:p>
    <w:p w14:paraId="008DD15E" w14:textId="77777777" w:rsidR="006C5EA1" w:rsidRPr="006A6ED7" w:rsidRDefault="006C5EA1" w:rsidP="006C5EA1">
      <w:pPr>
        <w:pStyle w:val="Heading4"/>
      </w:pPr>
      <w:r w:rsidRPr="006A6ED7">
        <w:t xml:space="preserve">Affirming The Ghost Dance cleanses the land tainted by colonial settlements and remedies the land and all living things  </w:t>
      </w:r>
    </w:p>
    <w:p w14:paraId="5BA5A11E" w14:textId="77777777" w:rsidR="006C5EA1" w:rsidRPr="006A6ED7" w:rsidRDefault="006C5EA1" w:rsidP="006C5EA1">
      <w:r w:rsidRPr="006A6ED7">
        <w:rPr>
          <w:rFonts w:eastAsiaTheme="majorEastAsia" w:cstheme="majorBidi"/>
          <w:b/>
          <w:iCs/>
          <w:sz w:val="26"/>
        </w:rPr>
        <w:t>Estes</w:t>
      </w:r>
      <w:r w:rsidRPr="006A6ED7">
        <w:t xml:space="preserve">, N. </w:t>
      </w:r>
      <w:r w:rsidRPr="006A6ED7">
        <w:rPr>
          <w:sz w:val="16"/>
          <w:szCs w:val="16"/>
        </w:rPr>
        <w:t>(20</w:t>
      </w:r>
      <w:r w:rsidRPr="006A6ED7">
        <w:rPr>
          <w:b/>
          <w:bCs/>
        </w:rPr>
        <w:t>26</w:t>
      </w:r>
      <w:r w:rsidRPr="006A6ED7">
        <w:rPr>
          <w:sz w:val="16"/>
          <w:szCs w:val="16"/>
        </w:rPr>
        <w:t>, February 26). Our history is the future: Standing Rock Versus The Dakota Access Pipeline, and the Long Traditions of Indigenous Resistance. https://digitalrepository.unm.edu/cgi/viewcontent.cgi?article=1059&amp;context=amst_etds</w:t>
      </w:r>
      <w:r w:rsidRPr="006A6ED7">
        <w:t xml:space="preserve"> </w:t>
      </w:r>
    </w:p>
    <w:p w14:paraId="7C22EEE9" w14:textId="77777777" w:rsidR="006C5EA1" w:rsidRPr="006A6ED7" w:rsidRDefault="006C5EA1" w:rsidP="006C5EA1">
      <w:r w:rsidRPr="006A6ED7">
        <w:rPr>
          <w:sz w:val="16"/>
          <w:szCs w:val="16"/>
        </w:rPr>
        <w:t>Indeed, the</w:t>
      </w:r>
      <w:r w:rsidRPr="006A6ED7">
        <w:t xml:space="preserve"> </w:t>
      </w:r>
      <w:r w:rsidRPr="006A6ED7">
        <w:rPr>
          <w:rStyle w:val="StyleUnderline"/>
          <w:highlight w:val="cyan"/>
        </w:rPr>
        <w:t>new reservation political order had attempted to sever the heads of the Oceti Sakowin by taking children, usurping land, killing the buffalo nations, and diminishing political authority</w:t>
      </w:r>
      <w:r w:rsidRPr="006A6ED7">
        <w:t xml:space="preserve">. </w:t>
      </w:r>
      <w:r w:rsidRPr="006A6ED7">
        <w:rPr>
          <w:sz w:val="16"/>
          <w:szCs w:val="16"/>
        </w:rPr>
        <w:t xml:space="preserve">With the necessary signatures to enforce allotment, the “permanent reservation” guaranteed under the 1868 Treaty was now open for white settlement. Crook’s commission left </w:t>
      </w:r>
      <w:r w:rsidRPr="006A6ED7">
        <w:rPr>
          <w:rStyle w:val="StyleUnderline"/>
        </w:rPr>
        <w:t>the western divisions of the Oceti Sakowin deeply divided and in disarray after it destroyed the unified effort to resist the sale and further dissolution of remaining reservation lands</w:t>
      </w:r>
      <w:r w:rsidRPr="006A6ED7">
        <w:t xml:space="preserve">. </w:t>
      </w:r>
      <w:r w:rsidRPr="006A6ED7">
        <w:rPr>
          <w:sz w:val="16"/>
          <w:szCs w:val="16"/>
        </w:rPr>
        <w:t>Now the Black Hills were taken and nine million acres of land were opened for white settlement. What became known as the 1889 Sioux Agreement created the six modern reservation boundaries for the Pine Ridge, Rosebud, Cheyenne River, Standing Rock, Lower Brule, and Crow Creek reservations. During the late 1880s —</w:t>
      </w:r>
      <w:r w:rsidRPr="006A6ED7">
        <w:t xml:space="preserve"> </w:t>
      </w:r>
      <w:r w:rsidRPr="006A6ED7">
        <w:rPr>
          <w:rStyle w:val="StyleUnderline"/>
        </w:rPr>
        <w:t>disarmed, hungry, horseless, confined to concentration camps, their land broken up and taken, the buffalo nearly exterminated, and their children stolen from them</w:t>
      </w:r>
      <w:r w:rsidRPr="006A6ED7">
        <w:t xml:space="preserve"> — </w:t>
      </w:r>
      <w:r w:rsidRPr="006A6ED7">
        <w:rPr>
          <w:sz w:val="16"/>
          <w:szCs w:val="16"/>
        </w:rPr>
        <w:t xml:space="preserve">a new political movement spread like prairie fire across the West promising Indigenous rebirth. </w:t>
      </w:r>
      <w:r w:rsidRPr="006A6ED7">
        <w:rPr>
          <w:rStyle w:val="StyleUnderline"/>
          <w:highlight w:val="cyan"/>
        </w:rPr>
        <w:t>Dead relatives and the buffalo nations, it was prophesied, would once again walk the earth. Wovoka</w:t>
      </w:r>
      <w:r w:rsidRPr="006A6ED7">
        <w:rPr>
          <w:rStyle w:val="StyleUnderline"/>
        </w:rPr>
        <w:t xml:space="preserve">, a Paiute holy man, </w:t>
      </w:r>
      <w:r w:rsidRPr="006A6ED7">
        <w:rPr>
          <w:rStyle w:val="StyleUnderline"/>
          <w:highlight w:val="cyan"/>
        </w:rPr>
        <w:t>had a vision that assured the restoration of Indigenous peoples to their rightful place in a world taken from them</w:t>
      </w:r>
      <w:r w:rsidRPr="006A6ED7">
        <w:rPr>
          <w:rStyle w:val="StyleUnderline"/>
        </w:rPr>
        <w:t xml:space="preserve">. </w:t>
      </w:r>
      <w:r w:rsidRPr="006A6ED7">
        <w:rPr>
          <w:rStyle w:val="StyleUnderline"/>
          <w:b/>
          <w:bCs/>
          <w:highlight w:val="cyan"/>
        </w:rPr>
        <w:t>The Ghost Dance prophecy envisioned the end of the present world by wiping the earth of settlers and the return of human and nonhuman relations vanquished by colonialism.</w:t>
      </w:r>
      <w:r w:rsidRPr="006A6ED7">
        <w:rPr>
          <w:rStyle w:val="StyleUnderline"/>
        </w:rPr>
        <w:t xml:space="preserve"> </w:t>
      </w:r>
      <w:r w:rsidRPr="006A6ED7">
        <w:rPr>
          <w:rStyle w:val="StyleUnderline"/>
          <w:sz w:val="16"/>
          <w:szCs w:val="16"/>
        </w:rPr>
        <w:t>It was foretold, at some unspecified time in the near future, a cataclysmic event — such as an earthquake or whirlwind — would wipe the US off the surface of the earth.</w:t>
      </w:r>
      <w:r w:rsidRPr="006A6ED7">
        <w:rPr>
          <w:rStyle w:val="StyleUnderline"/>
        </w:rPr>
        <w:t xml:space="preserve"> </w:t>
      </w:r>
      <w:r w:rsidRPr="006A6ED7">
        <w:rPr>
          <w:rStyle w:val="StyleUnderline"/>
          <w:b/>
          <w:bCs/>
          <w:highlight w:val="cyan"/>
        </w:rPr>
        <w:t>Once the land was cleansed, life afterwards would be disease- and colonialism-free and correct relations among human and nonhuman worlds would be restored</w:t>
      </w:r>
      <w:r w:rsidRPr="006A6ED7">
        <w:rPr>
          <w:highlight w:val="cyan"/>
        </w:rPr>
        <w:t>.</w:t>
      </w:r>
      <w:r w:rsidRPr="006A6ED7">
        <w:t xml:space="preserve"> </w:t>
      </w:r>
    </w:p>
    <w:p w14:paraId="5C2B1DC9" w14:textId="77777777" w:rsidR="000D377C" w:rsidRDefault="000D377C"/>
    <w:sectPr w:rsidR="000D37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EA1"/>
    <w:rsid w:val="00001CAB"/>
    <w:rsid w:val="00036F69"/>
    <w:rsid w:val="000D377C"/>
    <w:rsid w:val="00407DB6"/>
    <w:rsid w:val="00551327"/>
    <w:rsid w:val="006C5EA1"/>
    <w:rsid w:val="007676B5"/>
    <w:rsid w:val="00974F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499AA5"/>
  <w15:chartTrackingRefBased/>
  <w15:docId w15:val="{83E64FDD-E746-47B8-BD7F-693A1B088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C5EA1"/>
    <w:pPr>
      <w:spacing w:line="259" w:lineRule="auto"/>
    </w:pPr>
    <w:rPr>
      <w:rFonts w:ascii="Calibri" w:hAnsi="Calibri" w:cs="Calibri"/>
      <w:kern w:val="0"/>
      <w:sz w:val="22"/>
      <w:szCs w:val="22"/>
      <w14:ligatures w14:val="none"/>
    </w:rPr>
  </w:style>
  <w:style w:type="paragraph" w:styleId="Heading1">
    <w:name w:val="heading 1"/>
    <w:basedOn w:val="Normal"/>
    <w:next w:val="Normal"/>
    <w:link w:val="Heading1Char"/>
    <w:uiPriority w:val="9"/>
    <w:qFormat/>
    <w:rsid w:val="006C5EA1"/>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6C5EA1"/>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6C5EA1"/>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aliases w:val="Tag,Big card,Normal Tag,small text,body,heading 2,Ch,no read,No Spacing211,No Spacing12,No Spacing2111,No Spacing4,No Spacing11111,No Spacing5,ta,small space,T,nonunderlined,Clear,t,Ta,Heading 2 Char2 Char,Heading 2 Char1 Char Char, Ch,TAG,Ca"/>
    <w:basedOn w:val="Normal"/>
    <w:next w:val="Normal"/>
    <w:link w:val="Heading4Char"/>
    <w:uiPriority w:val="3"/>
    <w:unhideWhenUsed/>
    <w:qFormat/>
    <w:rsid w:val="006C5EA1"/>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6C5EA1"/>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6C5EA1"/>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6C5EA1"/>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6C5EA1"/>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6C5EA1"/>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E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5E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5EA1"/>
    <w:rPr>
      <w:rFonts w:eastAsiaTheme="majorEastAsia" w:cstheme="majorBidi"/>
      <w:color w:val="0F4761" w:themeColor="accent1" w:themeShade="BF"/>
      <w:sz w:val="28"/>
      <w:szCs w:val="28"/>
    </w:rPr>
  </w:style>
  <w:style w:type="character" w:customStyle="1" w:styleId="Heading4Char">
    <w:name w:val="Heading 4 Char"/>
    <w:aliases w:val="Tag Char,Big card Char,Normal Tag Char,small text Char,body Char,heading 2 Char,Ch Char,no read Char,No Spacing211 Char,No Spacing12 Char,No Spacing2111 Char,No Spacing4 Char,No Spacing11111 Char,No Spacing5 Char,ta Char,small space Char"/>
    <w:basedOn w:val="DefaultParagraphFont"/>
    <w:link w:val="Heading4"/>
    <w:uiPriority w:val="3"/>
    <w:rsid w:val="006C5E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5E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5E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E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E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EA1"/>
    <w:rPr>
      <w:rFonts w:eastAsiaTheme="majorEastAsia" w:cstheme="majorBidi"/>
      <w:color w:val="272727" w:themeColor="text1" w:themeTint="D8"/>
    </w:rPr>
  </w:style>
  <w:style w:type="paragraph" w:styleId="Title">
    <w:name w:val="Title"/>
    <w:basedOn w:val="Normal"/>
    <w:next w:val="Normal"/>
    <w:link w:val="TitleChar"/>
    <w:uiPriority w:val="10"/>
    <w:qFormat/>
    <w:rsid w:val="006C5EA1"/>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C5E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EA1"/>
    <w:pPr>
      <w:numPr>
        <w:ilvl w:val="1"/>
      </w:numPr>
      <w:spacing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C5E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EA1"/>
    <w:pPr>
      <w:spacing w:before="160" w:line="278" w:lineRule="auto"/>
      <w:jc w:val="center"/>
    </w:pPr>
    <w:rPr>
      <w:rFonts w:ascii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6C5EA1"/>
    <w:rPr>
      <w:i/>
      <w:iCs/>
      <w:color w:val="404040" w:themeColor="text1" w:themeTint="BF"/>
    </w:rPr>
  </w:style>
  <w:style w:type="paragraph" w:styleId="ListParagraph">
    <w:name w:val="List Paragraph"/>
    <w:basedOn w:val="Normal"/>
    <w:uiPriority w:val="34"/>
    <w:qFormat/>
    <w:rsid w:val="006C5EA1"/>
    <w:pPr>
      <w:spacing w:line="278" w:lineRule="auto"/>
      <w:ind w:left="720"/>
      <w:contextualSpacing/>
    </w:pPr>
    <w:rPr>
      <w:rFonts w:ascii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6C5EA1"/>
    <w:rPr>
      <w:i/>
      <w:iCs/>
      <w:color w:val="0F4761" w:themeColor="accent1" w:themeShade="BF"/>
    </w:rPr>
  </w:style>
  <w:style w:type="paragraph" w:styleId="IntenseQuote">
    <w:name w:val="Intense Quote"/>
    <w:basedOn w:val="Normal"/>
    <w:next w:val="Normal"/>
    <w:link w:val="IntenseQuoteChar"/>
    <w:uiPriority w:val="30"/>
    <w:qFormat/>
    <w:rsid w:val="006C5EA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6C5EA1"/>
    <w:rPr>
      <w:i/>
      <w:iCs/>
      <w:color w:val="0F4761" w:themeColor="accent1" w:themeShade="BF"/>
    </w:rPr>
  </w:style>
  <w:style w:type="character" w:styleId="IntenseReference">
    <w:name w:val="Intense Reference"/>
    <w:basedOn w:val="DefaultParagraphFont"/>
    <w:uiPriority w:val="32"/>
    <w:qFormat/>
    <w:rsid w:val="006C5EA1"/>
    <w:rPr>
      <w:b/>
      <w:bCs/>
      <w:smallCaps/>
      <w:color w:val="0F4761" w:themeColor="accent1" w:themeShade="BF"/>
      <w:spacing w:val="5"/>
    </w:rPr>
  </w:style>
  <w:style w:type="character" w:styleId="Emphasis">
    <w:name w:val="Emphasis"/>
    <w:aliases w:val="Underlined,Minimized,minimized,tag2,Size 10,emphasis in card,Evidence,Highlighted,CD Card,ED - Tag,emphasis,Bold Underline,Emphasis!!,small,Qualifications,Heading 3 Char1,Char Char Char,Char Char Char Char Char Char Char Char Char1,bold underli"/>
    <w:basedOn w:val="DefaultParagraphFont"/>
    <w:link w:val="textbold"/>
    <w:uiPriority w:val="8"/>
    <w:qFormat/>
    <w:rsid w:val="006C5EA1"/>
    <w:rPr>
      <w:rFonts w:ascii="Calibri" w:hAnsi="Calibri" w:cs="Calibri"/>
      <w:b/>
      <w:iCs/>
      <w:sz w:val="22"/>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C5EA1"/>
    <w:rPr>
      <w:b/>
      <w:bCs/>
      <w:sz w:val="26"/>
      <w:u w:val="none"/>
    </w:rPr>
  </w:style>
  <w:style w:type="character" w:customStyle="1" w:styleId="StyleUnderline">
    <w:name w:val="Style Underline"/>
    <w:aliases w:val="Underline,Intense Emphasis1,Style Bold Underline,Intense Emphasis11,Style,apple-style-span + 6 pt,Bold,Kern at 16 pt,Intense Emphasis2,HHeading 3 + 12 pt,Bold Cite Char,Intense Emphasis111,ci,c,Intense Emphasis1111,Bo,B,Underline Char,8"/>
    <w:basedOn w:val="DefaultParagraphFont"/>
    <w:uiPriority w:val="7"/>
    <w:qFormat/>
    <w:rsid w:val="006C5EA1"/>
    <w:rPr>
      <w:b w:val="0"/>
      <w:sz w:val="22"/>
      <w:u w:val="single"/>
    </w:rPr>
  </w:style>
  <w:style w:type="character" w:styleId="Hyperlink">
    <w:name w:val="Hyperlink"/>
    <w:basedOn w:val="DefaultParagraphFont"/>
    <w:uiPriority w:val="99"/>
    <w:unhideWhenUsed/>
    <w:rsid w:val="006C5EA1"/>
    <w:rPr>
      <w:color w:val="467886" w:themeColor="hyperlink"/>
      <w:u w:val="single"/>
    </w:rPr>
  </w:style>
  <w:style w:type="paragraph" w:customStyle="1" w:styleId="textbold">
    <w:name w:val="text bold"/>
    <w:basedOn w:val="Normal"/>
    <w:link w:val="Emphasis"/>
    <w:uiPriority w:val="8"/>
    <w:qFormat/>
    <w:rsid w:val="006C5EA1"/>
    <w:pPr>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usdakotawar.org/history/dakota-homeland/oceti-%C5%A1akowi%C5%8B-seven-council-fires" TargetMode="External"/><Relationship Id="rId4" Type="http://schemas.openxmlformats.org/officeDocument/2006/relationships/hyperlink" Target="https://time.com/5786180/alexandria-ocasio-cortez-standing-ro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10956</Words>
  <Characters>58291</Characters>
  <Application>Microsoft Office Word</Application>
  <DocSecurity>0</DocSecurity>
  <Lines>607</Lines>
  <Paragraphs>62</Paragraphs>
  <ScaleCrop>false</ScaleCrop>
  <Company/>
  <LinksUpToDate>false</LinksUpToDate>
  <CharactersWithSpaces>69185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Tekah Morales</dc:creator>
  <cp:keywords/>
  <dc:description/>
  <cp:lastModifiedBy>Tekah Morales</cp:lastModifiedBy>
  <cp:revision>1</cp:revision>
  <dcterms:created xsi:type="dcterms:W3CDTF">2025-10-11T13:56:00Z</dcterms:created>
  <dcterms:modified xsi:type="dcterms:W3CDTF">2025-10-11T13:57:00Z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42600057-da54-4aa7-bd4b-cdaeb6cf0911</vt:lpwstr>
  </property>
</Properties>
</file>