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A6A6" w14:textId="3B88CA0D" w:rsidR="003B292A" w:rsidRPr="00B60264" w:rsidRDefault="003B292A" w:rsidP="003B292A">
      <w:pPr>
        <w:pStyle w:val="Heading3"/>
      </w:pPr>
      <w:bookmarkStart w:id="0" w:name="_Hlk210644209"/>
      <w:r>
        <w:t xml:space="preserve">1AC </w:t>
      </w:r>
    </w:p>
    <w:p w14:paraId="58DD12A2" w14:textId="77777777" w:rsidR="003B292A" w:rsidRDefault="003B292A" w:rsidP="003B292A">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3420B302" w14:textId="77777777" w:rsidR="003B292A" w:rsidRPr="000124FB" w:rsidRDefault="003B292A" w:rsidP="003B292A">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65802B9E" w14:textId="77777777" w:rsidR="003B292A" w:rsidRPr="00A548CC" w:rsidRDefault="003B292A" w:rsidP="003B292A">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011628B7" w14:textId="77777777" w:rsidR="003B292A" w:rsidRDefault="003B292A" w:rsidP="003B292A">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4A249F90" w14:textId="77777777" w:rsidR="003B292A" w:rsidRDefault="003B292A" w:rsidP="003B292A">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7A0A4228" w14:textId="77777777" w:rsidR="003B292A" w:rsidRPr="00275068" w:rsidRDefault="003B292A" w:rsidP="003B292A">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769904F2" w14:textId="77777777" w:rsidR="003B292A" w:rsidRPr="005C58E0" w:rsidRDefault="003B292A" w:rsidP="003B292A">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675FA109" w14:textId="77777777" w:rsidR="003B292A" w:rsidRPr="007442A6" w:rsidRDefault="003B292A" w:rsidP="003B292A">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5AB1D07A" w14:textId="77777777" w:rsidR="003B292A" w:rsidRPr="00477E11" w:rsidRDefault="003B292A" w:rsidP="003B292A">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7297BBF9" w14:textId="77777777" w:rsidR="003B292A" w:rsidRDefault="003B292A" w:rsidP="003B292A">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42132FA0" w14:textId="77777777" w:rsidR="003B292A" w:rsidRPr="007442A6" w:rsidRDefault="003B292A" w:rsidP="003B292A">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7516E3D0" w14:textId="77777777" w:rsidR="003B292A" w:rsidRPr="001236AA" w:rsidRDefault="003B292A" w:rsidP="003B292A">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0A2EA8D6" w14:textId="77777777" w:rsidR="003B292A" w:rsidRDefault="003B292A" w:rsidP="003B292A">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3B0FE066" w14:textId="77777777" w:rsidR="003B292A" w:rsidRPr="007442A6" w:rsidRDefault="003B292A" w:rsidP="003B292A">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6B208DE8" w14:textId="77777777" w:rsidR="003B292A" w:rsidRPr="00477E11" w:rsidRDefault="003B292A" w:rsidP="003B292A">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5AF0E9DA" w14:textId="77777777" w:rsidR="003B292A" w:rsidRPr="00F036D9" w:rsidRDefault="003B292A" w:rsidP="003B292A">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674831AD" w14:textId="77777777" w:rsidR="003B292A" w:rsidRPr="00352BA9" w:rsidRDefault="003B292A" w:rsidP="003B292A">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57A69FC0" w14:textId="77777777" w:rsidR="003B292A" w:rsidRPr="00B60264" w:rsidRDefault="003B292A" w:rsidP="003B292A">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2E4B63CA" w14:textId="77777777" w:rsidR="003B292A" w:rsidRDefault="003B292A" w:rsidP="003B292A">
      <w:pPr>
        <w:rPr>
          <w:rStyle w:val="StyleUnderline"/>
          <w:sz w:val="14"/>
        </w:rPr>
      </w:pPr>
    </w:p>
    <w:p w14:paraId="1D400A76" w14:textId="77777777" w:rsidR="003B292A" w:rsidRPr="00477E11" w:rsidRDefault="003B292A" w:rsidP="003B292A">
      <w:pPr>
        <w:rPr>
          <w:rStyle w:val="StyleUnderline"/>
          <w:sz w:val="14"/>
        </w:rPr>
      </w:pPr>
    </w:p>
    <w:bookmarkEnd w:id="1"/>
    <w:p w14:paraId="3CDE0EAF" w14:textId="77777777" w:rsidR="003B292A" w:rsidRPr="00D53BBA" w:rsidRDefault="003B292A" w:rsidP="003B292A">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2DE623CC" w14:textId="77777777" w:rsidR="003B292A" w:rsidRPr="00352BA9" w:rsidRDefault="003B292A" w:rsidP="003B292A">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70F802E0" w14:textId="77777777" w:rsidR="003B292A" w:rsidRPr="00477E11" w:rsidRDefault="003B292A" w:rsidP="003B292A">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75934D4C" w14:textId="77777777" w:rsidR="003B292A" w:rsidRPr="00B60264" w:rsidRDefault="003B292A" w:rsidP="003B292A"/>
    <w:p w14:paraId="2F095B9D" w14:textId="77777777" w:rsidR="003B292A" w:rsidRPr="007221E6" w:rsidRDefault="003B292A" w:rsidP="003B292A">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150C6B62" w14:textId="77777777" w:rsidR="003B292A" w:rsidRPr="007442A6" w:rsidRDefault="003B292A" w:rsidP="003B292A">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18803DCF" w14:textId="77777777" w:rsidR="003B292A" w:rsidRDefault="003B292A" w:rsidP="003B292A">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523AEF26" w14:textId="77777777" w:rsidR="004E25BA" w:rsidRDefault="004E25BA" w:rsidP="004E25BA">
      <w:pPr>
        <w:pStyle w:val="Heading4"/>
      </w:pPr>
      <w:r>
        <w:t>Grounded normativity offers a stasis of collective organizing of labor and research without invisibalizing other forms of labor. P</w:t>
      </w:r>
      <w:r w:rsidRPr="007442A6">
        <w:t>luriversal</w:t>
      </w:r>
      <w:r>
        <w:t xml:space="preserve"> knowledge production fosters radical possibilities that combat the intersectional forms of violence</w:t>
      </w:r>
    </w:p>
    <w:p w14:paraId="39F5658A" w14:textId="77777777" w:rsidR="004E25BA" w:rsidRPr="00012607" w:rsidRDefault="004E25BA" w:rsidP="004E25BA">
      <w:pPr>
        <w:rPr>
          <w:rStyle w:val="Style13ptBold"/>
        </w:rPr>
      </w:pPr>
      <w:r w:rsidRPr="00012607">
        <w:rPr>
          <w:rStyle w:val="Style13ptBold"/>
        </w:rPr>
        <w:t>Ahmed, 202</w:t>
      </w:r>
      <w:r>
        <w:rPr>
          <w:rStyle w:val="Style13ptBold"/>
        </w:rPr>
        <w:t>4</w:t>
      </w:r>
    </w:p>
    <w:p w14:paraId="164525B8" w14:textId="77777777" w:rsidR="004E25BA" w:rsidRPr="00FF2E55" w:rsidRDefault="004E25BA" w:rsidP="004E25BA">
      <w:r>
        <w:t>[Binish, Ryerson University Researcher, “Decolonizing Policy Research as Restorative Research Justice: Applying an Indigenous Policy Research Framework (IPRF)”, Critical Policy Studies, Volume 18, Issue 2, 2024, https://doi.org/10.1080/19460171.2022.2158481, UTD]</w:t>
      </w:r>
    </w:p>
    <w:p w14:paraId="75C4BB5D" w14:textId="77777777" w:rsidR="004E25BA" w:rsidRPr="00012607" w:rsidRDefault="004E25BA" w:rsidP="004E25BA">
      <w:pPr>
        <w:rPr>
          <w:rStyle w:val="StyleUnderline"/>
        </w:rPr>
      </w:pPr>
      <w:r w:rsidRPr="00104498">
        <w:rPr>
          <w:rStyle w:val="StyleUnderline"/>
        </w:rPr>
        <w:t xml:space="preserve">All </w:t>
      </w:r>
      <w:r w:rsidRPr="00012607">
        <w:rPr>
          <w:rStyle w:val="StyleUnderline"/>
          <w:highlight w:val="green"/>
        </w:rPr>
        <w:t xml:space="preserve">research </w:t>
      </w:r>
      <w:r w:rsidRPr="00150B51">
        <w:rPr>
          <w:rStyle w:val="StyleUnderline"/>
        </w:rPr>
        <w:t xml:space="preserve">work </w:t>
      </w:r>
      <w:r w:rsidRPr="00012607">
        <w:rPr>
          <w:rStyle w:val="StyleUnderline"/>
          <w:highlight w:val="green"/>
        </w:rPr>
        <w:t>exists within</w:t>
      </w:r>
      <w:r w:rsidRPr="00104498">
        <w:rPr>
          <w:rStyle w:val="StyleUnderline"/>
          <w:highlight w:val="green"/>
        </w:rPr>
        <w:t xml:space="preserve"> systems </w:t>
      </w:r>
      <w:r w:rsidRPr="00012607">
        <w:rPr>
          <w:rStyle w:val="StyleUnderline"/>
          <w:highlight w:val="green"/>
        </w:rPr>
        <w:t xml:space="preserve">of power </w:t>
      </w:r>
      <w:r w:rsidRPr="00150B51">
        <w:rPr>
          <w:rStyle w:val="StyleUnderline"/>
        </w:rPr>
        <w:t>and has a politic</w:t>
      </w:r>
      <w:r w:rsidRPr="00C53EC3">
        <w:rPr>
          <w:sz w:val="14"/>
        </w:rPr>
        <w:t xml:space="preserve">. </w:t>
      </w:r>
      <w:r w:rsidRPr="00104498">
        <w:rPr>
          <w:rStyle w:val="StyleUnderline"/>
        </w:rPr>
        <w:t xml:space="preserve">From </w:t>
      </w:r>
      <w:r w:rsidRPr="00150B51">
        <w:rPr>
          <w:rStyle w:val="StyleUnderline"/>
        </w:rPr>
        <w:t xml:space="preserve">what </w:t>
      </w:r>
      <w:r w:rsidRPr="00104498">
        <w:rPr>
          <w:rStyle w:val="StyleUnderline"/>
        </w:rPr>
        <w:t>research questions get asked, to how the research is conducted, and the ways researchers locate themselves in relation to the research topics -</w:t>
      </w:r>
      <w:r w:rsidRPr="00C53EC3">
        <w:rPr>
          <w:sz w:val="14"/>
        </w:rPr>
        <w:t xml:space="preserve"> </w:t>
      </w:r>
      <w:r w:rsidRPr="00012607">
        <w:rPr>
          <w:rStyle w:val="StyleUnderline"/>
          <w:highlight w:val="green"/>
        </w:rPr>
        <w:t xml:space="preserve">no research work is politically </w:t>
      </w:r>
      <w:r w:rsidRPr="00CC28C6">
        <w:rPr>
          <w:rStyle w:val="StyleUnderline"/>
        </w:rPr>
        <w:t xml:space="preserve">objective or </w:t>
      </w:r>
      <w:r w:rsidRPr="00012607">
        <w:rPr>
          <w:rStyle w:val="StyleUnderline"/>
          <w:highlight w:val="green"/>
        </w:rPr>
        <w:t>neutral</w:t>
      </w:r>
      <w:r w:rsidRPr="00C53EC3">
        <w:rPr>
          <w:sz w:val="14"/>
          <w:highlight w:val="green"/>
        </w:rPr>
        <w:t xml:space="preserve">. </w:t>
      </w:r>
      <w:r w:rsidRPr="00012607">
        <w:rPr>
          <w:rStyle w:val="Emphasis"/>
          <w:highlight w:val="green"/>
        </w:rPr>
        <w:t>The objective</w:t>
      </w:r>
      <w:r w:rsidRPr="00104498">
        <w:rPr>
          <w:rStyle w:val="Emphasis"/>
        </w:rPr>
        <w:t xml:space="preserve">, ‘universalist’ </w:t>
      </w:r>
      <w:r w:rsidRPr="00012607">
        <w:rPr>
          <w:rStyle w:val="Emphasis"/>
          <w:highlight w:val="green"/>
        </w:rPr>
        <w:t xml:space="preserve">standpoint </w:t>
      </w:r>
      <w:r w:rsidRPr="00715FCF">
        <w:rPr>
          <w:rStyle w:val="Emphasis"/>
          <w:highlight w:val="green"/>
        </w:rPr>
        <w:t xml:space="preserve">research </w:t>
      </w:r>
      <w:r w:rsidRPr="00715FCF">
        <w:rPr>
          <w:rStyle w:val="Emphasis"/>
        </w:rPr>
        <w:t xml:space="preserve">that </w:t>
      </w:r>
      <w:r w:rsidRPr="00715FCF">
        <w:rPr>
          <w:rStyle w:val="Emphasis"/>
          <w:highlight w:val="green"/>
        </w:rPr>
        <w:t xml:space="preserve">has </w:t>
      </w:r>
      <w:r w:rsidRPr="00012607">
        <w:rPr>
          <w:rStyle w:val="Emphasis"/>
          <w:highlight w:val="green"/>
        </w:rPr>
        <w:t xml:space="preserve">been color and race invisiblizing, class invisiblizing, gender invisiblizing, age invisiblizing, sexuality invisiblizing, religion invisiblizing, ableist and generally invisiblizing </w:t>
      </w:r>
      <w:r w:rsidRPr="00150B51">
        <w:rPr>
          <w:rStyle w:val="Emphasis"/>
        </w:rPr>
        <w:t xml:space="preserve">of </w:t>
      </w:r>
      <w:r w:rsidRPr="00012607">
        <w:rPr>
          <w:rStyle w:val="Emphasis"/>
          <w:highlight w:val="green"/>
        </w:rPr>
        <w:t>systems of power and privilege</w:t>
      </w:r>
      <w:r w:rsidRPr="00CC28C6">
        <w:rPr>
          <w:rStyle w:val="Emphasis"/>
        </w:rPr>
        <w:t xml:space="preserve">, and treats research as neutral </w:t>
      </w:r>
      <w:r w:rsidRPr="00012607">
        <w:rPr>
          <w:rStyle w:val="Emphasis"/>
          <w:highlight w:val="green"/>
        </w:rPr>
        <w:t>comes from a positivist and structuralist historical origins of policy research</w:t>
      </w:r>
      <w:r w:rsidRPr="00C53EC3">
        <w:rPr>
          <w:sz w:val="14"/>
          <w:highlight w:val="green"/>
        </w:rPr>
        <w:t>.</w:t>
      </w:r>
      <w:r w:rsidRPr="00C53EC3">
        <w:rPr>
          <w:sz w:val="14"/>
        </w:rPr>
        <w:t xml:space="preserve"> The former research </w:t>
      </w:r>
      <w:r w:rsidRPr="00CC28C6">
        <w:rPr>
          <w:rStyle w:val="StyleUnderline"/>
        </w:rPr>
        <w:t>reproduces dominant norms and systems</w:t>
      </w:r>
      <w:r w:rsidRPr="00C53EC3">
        <w:rPr>
          <w:sz w:val="14"/>
        </w:rPr>
        <w:t xml:space="preserve"> (just and unjust) </w:t>
      </w:r>
      <w:r w:rsidRPr="00CC28C6">
        <w:rPr>
          <w:rStyle w:val="StyleUnderline"/>
        </w:rPr>
        <w:t>by invisibilizing the intersecting axioms of power and privilege</w:t>
      </w:r>
      <w:r w:rsidRPr="00C53EC3">
        <w:rPr>
          <w:sz w:val="14"/>
        </w:rPr>
        <w:t xml:space="preserve">. For example, </w:t>
      </w:r>
      <w:r w:rsidRPr="00012607">
        <w:rPr>
          <w:rStyle w:val="StyleUnderline"/>
        </w:rPr>
        <w:t>some critical policy researchers visibilize gender in their anlaysis, however, they invisiblize race, thereby treating it as an irrelevant axiom of power and analysis.</w:t>
      </w:r>
    </w:p>
    <w:p w14:paraId="1754CF7B" w14:textId="77777777" w:rsidR="004E25BA" w:rsidRPr="00012607" w:rsidRDefault="004E25BA" w:rsidP="004E25BA">
      <w:pPr>
        <w:rPr>
          <w:rStyle w:val="Emphasis"/>
        </w:rPr>
      </w:pPr>
      <w:r w:rsidRPr="00111A03">
        <w:rPr>
          <w:rStyle w:val="StyleUnderline"/>
        </w:rPr>
        <w:t>Some critical race scholars visiblize race and gender, but not Indigeneity</w:t>
      </w:r>
      <w:r w:rsidRPr="00012607">
        <w:rPr>
          <w:rStyle w:val="StyleUnderline"/>
        </w:rPr>
        <w:t xml:space="preserve"> </w:t>
      </w:r>
      <w:r w:rsidRPr="00C53EC3">
        <w:rPr>
          <w:sz w:val="14"/>
        </w:rPr>
        <w:t xml:space="preserve">or the name of the traditional territory they are on, even while conducting research on and with Indigenous peoples while being located on Indigenous territories. </w:t>
      </w:r>
      <w:r w:rsidRPr="00012607">
        <w:rPr>
          <w:rStyle w:val="StyleUnderline"/>
        </w:rPr>
        <w:t xml:space="preserve">They </w:t>
      </w:r>
      <w:r w:rsidRPr="00312367">
        <w:rPr>
          <w:rStyle w:val="StyleUnderline"/>
          <w:highlight w:val="green"/>
        </w:rPr>
        <w:t>make</w:t>
      </w:r>
      <w:r w:rsidRPr="00312367">
        <w:rPr>
          <w:rStyle w:val="StyleUnderline"/>
        </w:rPr>
        <w:t xml:space="preserve"> </w:t>
      </w:r>
      <w:r w:rsidRPr="00CC28C6">
        <w:rPr>
          <w:rStyle w:val="StyleUnderline"/>
        </w:rPr>
        <w:t xml:space="preserve">this </w:t>
      </w:r>
      <w:r w:rsidRPr="00012607">
        <w:rPr>
          <w:rStyle w:val="StyleUnderline"/>
          <w:highlight w:val="green"/>
        </w:rPr>
        <w:t>omission while they</w:t>
      </w:r>
      <w:r w:rsidRPr="00012607">
        <w:rPr>
          <w:rStyle w:val="StyleUnderline"/>
        </w:rPr>
        <w:t xml:space="preserve"> reside in, and </w:t>
      </w:r>
      <w:r w:rsidRPr="00012607">
        <w:rPr>
          <w:rStyle w:val="StyleUnderline"/>
          <w:highlight w:val="green"/>
        </w:rPr>
        <w:t xml:space="preserve">benefit from a settler-colonial-states-structure built upon genocidal-Indigenous displacement and dispossession. </w:t>
      </w:r>
      <w:r w:rsidRPr="00312367">
        <w:rPr>
          <w:rStyle w:val="StyleUnderline"/>
        </w:rPr>
        <w:t>Indigenous peoples’ distinct place-based relationalities</w:t>
      </w:r>
      <w:r w:rsidRPr="00312367">
        <w:rPr>
          <w:sz w:val="14"/>
        </w:rPr>
        <w:t xml:space="preserve"> have been </w:t>
      </w:r>
      <w:r w:rsidRPr="00312367">
        <w:rPr>
          <w:rStyle w:val="StyleUnderline"/>
        </w:rPr>
        <w:t>disrupted globally under different iterations of settler-colonial structures in an imperial world state-system</w:t>
      </w:r>
      <w:r w:rsidRPr="00012607">
        <w:rPr>
          <w:rStyle w:val="StyleUnderline"/>
        </w:rPr>
        <w:t>, consisting of settler-colonial states</w:t>
      </w:r>
      <w:r w:rsidRPr="00C53EC3">
        <w:rPr>
          <w:sz w:val="14"/>
        </w:rPr>
        <w:t xml:space="preserve"> such as Canada, United States, India, China, Pakistan, Bangladesh, Australia, and more. </w:t>
      </w:r>
      <w:r w:rsidRPr="00111A03">
        <w:rPr>
          <w:rStyle w:val="Emphasis"/>
        </w:rPr>
        <w:t xml:space="preserve">Former </w:t>
      </w:r>
      <w:r w:rsidRPr="00012607">
        <w:rPr>
          <w:rStyle w:val="Emphasis"/>
          <w:highlight w:val="green"/>
        </w:rPr>
        <w:t>critical policy researchers</w:t>
      </w:r>
      <w:r w:rsidRPr="00C53EC3">
        <w:rPr>
          <w:sz w:val="14"/>
        </w:rPr>
        <w:t xml:space="preserve"> are </w:t>
      </w:r>
      <w:r w:rsidRPr="00012607">
        <w:rPr>
          <w:rStyle w:val="Emphasis"/>
          <w:highlight w:val="green"/>
        </w:rPr>
        <w:t>selective in choosing the axioms of power and privilege they factor-in as relevant to their research design, questions, processes, and findings.</w:t>
      </w:r>
    </w:p>
    <w:p w14:paraId="2BA85C5B" w14:textId="77777777" w:rsidR="004E25BA" w:rsidRPr="00C53EC3" w:rsidRDefault="004E25BA" w:rsidP="004E25BA">
      <w:pPr>
        <w:rPr>
          <w:sz w:val="14"/>
        </w:rPr>
      </w:pPr>
      <w:r w:rsidRPr="00012607">
        <w:rPr>
          <w:rStyle w:val="Emphasis"/>
          <w:highlight w:val="green"/>
        </w:rPr>
        <w:t>Decolonizing policy research and critical policy research requires accounting for all relevant axioms of power and privilege in research, not one or some</w:t>
      </w:r>
      <w:r w:rsidRPr="00012607">
        <w:rPr>
          <w:rStyle w:val="StyleUnderline"/>
        </w:rPr>
        <w:t>. A starting point should always be the researcher unpacking their own intersectional location/positionality</w:t>
      </w:r>
      <w:r w:rsidRPr="00C53EC3">
        <w:rPr>
          <w:sz w:val="14"/>
        </w:rPr>
        <w:t xml:space="preserve"> (Crenshaw Citation1991, Citation2015; Collins Citation2015; Hankivsky and Cormier Citation2011), as </w:t>
      </w:r>
      <w:r w:rsidRPr="00012607">
        <w:rPr>
          <w:rStyle w:val="StyleUnderline"/>
        </w:rPr>
        <w:t>well as accounting for temporalities of certain positions of power and privilege</w:t>
      </w:r>
      <w:r w:rsidRPr="00C53EC3">
        <w:rPr>
          <w:sz w:val="14"/>
        </w:rPr>
        <w:t xml:space="preserve"> (i.e. change in class, ability, age) which are place, time and context specific.</w:t>
      </w:r>
    </w:p>
    <w:p w14:paraId="74EBCB26" w14:textId="77777777" w:rsidR="004E25BA" w:rsidRPr="00C53EC3" w:rsidRDefault="004E25BA" w:rsidP="004E25BA">
      <w:pPr>
        <w:rPr>
          <w:sz w:val="14"/>
        </w:rPr>
      </w:pPr>
      <w:r w:rsidRPr="00012607">
        <w:rPr>
          <w:rStyle w:val="StyleUnderline"/>
          <w:highlight w:val="green"/>
        </w:rPr>
        <w:t>Positivist policy studies scholarship, alongside critical policy studies</w:t>
      </w:r>
      <w:r w:rsidRPr="00012607">
        <w:rPr>
          <w:rStyle w:val="StyleUnderline"/>
        </w:rPr>
        <w:t>,</w:t>
      </w:r>
      <w:r w:rsidRPr="00C53EC3">
        <w:rPr>
          <w:sz w:val="14"/>
        </w:rPr>
        <w:t xml:space="preserve"> have </w:t>
      </w:r>
      <w:r w:rsidRPr="00012607">
        <w:rPr>
          <w:rStyle w:val="StyleUnderline"/>
          <w:highlight w:val="green"/>
        </w:rPr>
        <w:t>rarely grapple</w:t>
      </w:r>
      <w:r w:rsidRPr="00150B51">
        <w:rPr>
          <w:rStyle w:val="StyleUnderline"/>
        </w:rPr>
        <w:t xml:space="preserve">d with the </w:t>
      </w:r>
      <w:r w:rsidRPr="00012607">
        <w:rPr>
          <w:rStyle w:val="StyleUnderline"/>
          <w:highlight w:val="green"/>
        </w:rPr>
        <w:t>violation of sovereign Indigenous research jurisdictions, erasure of sovereign Indigenous knowledge governing traditions, voices, presence, and onto-epistemic approaches effecting Indigenous peoples in scholarship</w:t>
      </w:r>
      <w:r w:rsidRPr="00C53EC3">
        <w:rPr>
          <w:sz w:val="14"/>
        </w:rPr>
        <w:t xml:space="preserve">. The </w:t>
      </w:r>
      <w:r w:rsidRPr="00012607">
        <w:rPr>
          <w:rStyle w:val="Emphasis"/>
          <w:highlight w:val="green"/>
        </w:rPr>
        <w:t xml:space="preserve">policy studies </w:t>
      </w:r>
      <w:r w:rsidRPr="00150B51">
        <w:rPr>
          <w:rStyle w:val="Emphasis"/>
        </w:rPr>
        <w:t xml:space="preserve">canon </w:t>
      </w:r>
      <w:r w:rsidRPr="00111A03">
        <w:rPr>
          <w:rStyle w:val="Emphasis"/>
          <w:highlight w:val="green"/>
        </w:rPr>
        <w:t>is co</w:t>
      </w:r>
      <w:r w:rsidRPr="00012607">
        <w:rPr>
          <w:rStyle w:val="Emphasis"/>
          <w:highlight w:val="green"/>
        </w:rPr>
        <w:t>mplicit in the genocidal erasure of Indigenous peoples as a normative knowledge production practice</w:t>
      </w:r>
      <w:r w:rsidRPr="00012607">
        <w:rPr>
          <w:rStyle w:val="Emphasis"/>
        </w:rPr>
        <w:t>.</w:t>
      </w:r>
      <w:r w:rsidRPr="00C53EC3">
        <w:rPr>
          <w:sz w:val="14"/>
        </w:rPr>
        <w:t xml:space="preserve"> </w:t>
      </w:r>
      <w:r w:rsidRPr="00150B51">
        <w:rPr>
          <w:rStyle w:val="StyleUnderline"/>
        </w:rPr>
        <w:t>Decolonization of critical policy studies requires a recognition of sovereign Indigenous research jurisdictions and data/knowledge governance on their-own-unique-terms.</w:t>
      </w:r>
      <w:r w:rsidRPr="00C53EC3">
        <w:rPr>
          <w:sz w:val="14"/>
        </w:rPr>
        <w:t xml:space="preserve"> The </w:t>
      </w:r>
      <w:r w:rsidRPr="00D80A7F">
        <w:rPr>
          <w:rStyle w:val="StyleUnderline"/>
          <w:highlight w:val="green"/>
        </w:rPr>
        <w:t>decolonizing</w:t>
      </w:r>
      <w:r w:rsidRPr="00150B51">
        <w:rPr>
          <w:rStyle w:val="StyleUnderline"/>
        </w:rPr>
        <w:t xml:space="preserve"> </w:t>
      </w:r>
      <w:r w:rsidRPr="00D80A7F">
        <w:rPr>
          <w:rStyle w:val="StyleUnderline"/>
          <w:highlight w:val="green"/>
        </w:rPr>
        <w:t>knowledge movement</w:t>
      </w:r>
      <w:r w:rsidRPr="00C53EC3">
        <w:rPr>
          <w:sz w:val="14"/>
        </w:rPr>
        <w:t xml:space="preserve"> has </w:t>
      </w:r>
      <w:r w:rsidRPr="00D80A7F">
        <w:rPr>
          <w:rStyle w:val="StyleUnderline"/>
          <w:highlight w:val="green"/>
        </w:rPr>
        <w:t>opened up liberatory, transformative, and radically restorative possibilities</w:t>
      </w:r>
      <w:r w:rsidRPr="00C53EC3">
        <w:rPr>
          <w:sz w:val="14"/>
        </w:rPr>
        <w:t>. It is within this movement for research justice that I propose IPRF, with the aim of restoring place-based knowledges and relationships, which requires a counter-hegemonic radical redistribution of power in research.</w:t>
      </w:r>
    </w:p>
    <w:bookmarkEnd w:id="2"/>
    <w:bookmarkEnd w:id="3"/>
    <w:p w14:paraId="57995D9E" w14:textId="77777777" w:rsidR="004E25BA" w:rsidRDefault="004E25BA" w:rsidP="003B292A">
      <w:pPr>
        <w:rPr>
          <w:b/>
          <w:bCs/>
          <w:u w:val="single"/>
        </w:rPr>
      </w:pPr>
    </w:p>
    <w:sectPr w:rsidR="004E2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CE48" w14:textId="77777777" w:rsidR="000C4BAC" w:rsidRDefault="000C4BAC" w:rsidP="00066D2C">
      <w:r>
        <w:separator/>
      </w:r>
    </w:p>
  </w:endnote>
  <w:endnote w:type="continuationSeparator" w:id="0">
    <w:p w14:paraId="6AF8DC37" w14:textId="77777777" w:rsidR="000C4BAC" w:rsidRDefault="000C4B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A92F" w14:textId="77777777" w:rsidR="000C4BAC" w:rsidRDefault="000C4BAC" w:rsidP="00066D2C">
      <w:r>
        <w:separator/>
      </w:r>
    </w:p>
  </w:footnote>
  <w:footnote w:type="continuationSeparator" w:id="0">
    <w:p w14:paraId="421A33F3" w14:textId="77777777" w:rsidR="000C4BAC" w:rsidRDefault="000C4B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5D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BA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EC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4E2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92A"/>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5B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E34"/>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9BC"/>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A72"/>
    <w:rsid w:val="00852FB9"/>
    <w:rsid w:val="008536B7"/>
    <w:rsid w:val="00860F34"/>
    <w:rsid w:val="00862AC4"/>
    <w:rsid w:val="0086319B"/>
    <w:rsid w:val="008674A6"/>
    <w:rsid w:val="0087210F"/>
    <w:rsid w:val="00873906"/>
    <w:rsid w:val="0087564D"/>
    <w:rsid w:val="00876000"/>
    <w:rsid w:val="0089108B"/>
    <w:rsid w:val="00892EE6"/>
    <w:rsid w:val="008931B4"/>
    <w:rsid w:val="00896C8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DA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F5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95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D9B"/>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EA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38348"/>
  <w15:chartTrackingRefBased/>
  <w15:docId w15:val="{69DD2F6F-0B4A-4CCF-91E7-6CF226C7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25BA"/>
    <w:rPr>
      <w:rFonts w:ascii="Calibri" w:hAnsi="Calibri" w:cs="Calibri"/>
    </w:rPr>
  </w:style>
  <w:style w:type="paragraph" w:styleId="Heading1">
    <w:name w:val="heading 1"/>
    <w:aliases w:val="Pocket"/>
    <w:basedOn w:val="Normal"/>
    <w:next w:val="Normal"/>
    <w:link w:val="Heading1Char"/>
    <w:qFormat/>
    <w:rsid w:val="004E25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25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4E25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4E25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25B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2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5BA"/>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4E25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25BA"/>
    <w:rPr>
      <w:color w:val="auto"/>
      <w:u w:val="none"/>
    </w:rPr>
  </w:style>
  <w:style w:type="character" w:customStyle="1" w:styleId="Heading1Char">
    <w:name w:val="Heading 1 Char"/>
    <w:aliases w:val="Pocket Char"/>
    <w:basedOn w:val="DefaultParagraphFont"/>
    <w:link w:val="Heading1"/>
    <w:rsid w:val="004E25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25B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4E25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E25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E25BA"/>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4E25BA"/>
    <w:rPr>
      <w:b w:val="0"/>
      <w:sz w:val="22"/>
      <w:u w:val="single"/>
    </w:rPr>
  </w:style>
  <w:style w:type="character" w:styleId="Strong">
    <w:name w:val="Strong"/>
    <w:basedOn w:val="DefaultParagraphFont"/>
    <w:uiPriority w:val="22"/>
    <w:qFormat/>
    <w:rsid w:val="004E25BA"/>
    <w:rPr>
      <w:b/>
      <w:bCs/>
    </w:rPr>
  </w:style>
  <w:style w:type="character" w:styleId="BookTitle">
    <w:name w:val="Book Title"/>
    <w:basedOn w:val="DefaultParagraphFont"/>
    <w:uiPriority w:val="33"/>
    <w:qFormat/>
    <w:rsid w:val="004E25BA"/>
    <w:rPr>
      <w:b/>
      <w:bCs/>
      <w:i/>
      <w:iCs/>
      <w:spacing w:val="5"/>
    </w:rPr>
  </w:style>
  <w:style w:type="character" w:customStyle="1" w:styleId="Heading5Char">
    <w:name w:val="Heading 5 Char"/>
    <w:basedOn w:val="DefaultParagraphFont"/>
    <w:link w:val="Heading5"/>
    <w:uiPriority w:val="9"/>
    <w:semiHidden/>
    <w:rsid w:val="004E25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25BA"/>
  </w:style>
  <w:style w:type="paragraph" w:styleId="Header">
    <w:name w:val="header"/>
    <w:basedOn w:val="Normal"/>
    <w:link w:val="HeaderChar"/>
    <w:uiPriority w:val="99"/>
    <w:semiHidden/>
    <w:rsid w:val="004E25BA"/>
    <w:pPr>
      <w:tabs>
        <w:tab w:val="center" w:pos="4680"/>
        <w:tab w:val="right" w:pos="9360"/>
      </w:tabs>
    </w:pPr>
  </w:style>
  <w:style w:type="character" w:customStyle="1" w:styleId="HeaderChar">
    <w:name w:val="Header Char"/>
    <w:basedOn w:val="DefaultParagraphFont"/>
    <w:link w:val="Header"/>
    <w:uiPriority w:val="99"/>
    <w:semiHidden/>
    <w:rsid w:val="004E25BA"/>
    <w:rPr>
      <w:rFonts w:ascii="Calibri" w:hAnsi="Calibri" w:cs="Calibri"/>
    </w:rPr>
  </w:style>
  <w:style w:type="paragraph" w:styleId="Footer">
    <w:name w:val="footer"/>
    <w:basedOn w:val="Normal"/>
    <w:link w:val="FooterChar"/>
    <w:uiPriority w:val="99"/>
    <w:semiHidden/>
    <w:rsid w:val="004E25BA"/>
    <w:pPr>
      <w:tabs>
        <w:tab w:val="center" w:pos="4680"/>
        <w:tab w:val="right" w:pos="9360"/>
      </w:tabs>
    </w:pPr>
  </w:style>
  <w:style w:type="character" w:customStyle="1" w:styleId="FooterChar">
    <w:name w:val="Footer Char"/>
    <w:basedOn w:val="DefaultParagraphFont"/>
    <w:link w:val="Footer"/>
    <w:uiPriority w:val="99"/>
    <w:semiHidden/>
    <w:rsid w:val="004E25BA"/>
    <w:rPr>
      <w:rFonts w:ascii="Calibri" w:hAnsi="Calibri" w:cs="Calibri"/>
    </w:rPr>
  </w:style>
  <w:style w:type="paragraph" w:styleId="BodyText">
    <w:name w:val="Body Text"/>
    <w:basedOn w:val="Normal"/>
    <w:link w:val="BodyTextChar"/>
    <w:uiPriority w:val="99"/>
    <w:semiHidden/>
    <w:unhideWhenUsed/>
    <w:rsid w:val="004E25BA"/>
    <w:pPr>
      <w:spacing w:after="120"/>
    </w:pPr>
  </w:style>
  <w:style w:type="character" w:customStyle="1" w:styleId="BodyTextChar">
    <w:name w:val="Body Text Char"/>
    <w:basedOn w:val="DefaultParagraphFont"/>
    <w:link w:val="BodyText"/>
    <w:uiPriority w:val="99"/>
    <w:semiHidden/>
    <w:rsid w:val="004E25BA"/>
    <w:rPr>
      <w:rFonts w:ascii="Calibri" w:hAnsi="Calibri" w:cs="Calibri"/>
    </w:rPr>
  </w:style>
  <w:style w:type="paragraph" w:styleId="NoSpacing">
    <w:name w:val="No Spacing"/>
    <w:link w:val="NoSpacingChar"/>
    <w:uiPriority w:val="99"/>
    <w:unhideWhenUsed/>
    <w:qFormat/>
    <w:rsid w:val="004E25B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25B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4E25BA"/>
    <w:rPr>
      <w:color w:val="0563C1" w:themeColor="hyperlink"/>
      <w:u w:val="single"/>
    </w:rPr>
  </w:style>
  <w:style w:type="character" w:styleId="UnresolvedMention">
    <w:name w:val="Unresolved Mention"/>
    <w:basedOn w:val="DefaultParagraphFont"/>
    <w:uiPriority w:val="99"/>
    <w:semiHidden/>
    <w:unhideWhenUsed/>
    <w:rsid w:val="004E25BA"/>
    <w:rPr>
      <w:color w:val="605E5C"/>
      <w:shd w:val="clear" w:color="auto" w:fill="E1DFDD"/>
    </w:rPr>
  </w:style>
  <w:style w:type="paragraph" w:customStyle="1" w:styleId="Undertag">
    <w:name w:val="Undertag"/>
    <w:link w:val="UndertagChar"/>
    <w:autoRedefine/>
    <w:uiPriority w:val="5"/>
    <w:qFormat/>
    <w:rsid w:val="004E25B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25B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25BA"/>
    <w:rPr>
      <w:color w:val="1F3864" w:themeColor="accent1" w:themeShade="80"/>
    </w:rPr>
  </w:style>
  <w:style w:type="character" w:customStyle="1" w:styleId="AnalyticChar">
    <w:name w:val="Analytic Char"/>
    <w:basedOn w:val="DefaultParagraphFont"/>
    <w:link w:val="Analytic"/>
    <w:uiPriority w:val="5"/>
    <w:rsid w:val="004E25BA"/>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935D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5DA3"/>
    <w:rPr>
      <w:rFonts w:ascii="Lucida Grande" w:hAnsi="Lucida Grande" w:cs="Lucida Grande"/>
      <w:sz w:val="24"/>
    </w:rPr>
  </w:style>
  <w:style w:type="paragraph" w:customStyle="1" w:styleId="textbold">
    <w:name w:val="text bold"/>
    <w:basedOn w:val="Normal"/>
    <w:link w:val="Emphasis"/>
    <w:uiPriority w:val="8"/>
    <w:qFormat/>
    <w:rsid w:val="00935DA3"/>
    <w:pPr>
      <w:ind w:left="720"/>
      <w:jc w:val="both"/>
    </w:pPr>
    <w:rPr>
      <w:b/>
      <w:iCs/>
      <w:u w:val="single"/>
    </w:rPr>
  </w:style>
  <w:style w:type="paragraph" w:customStyle="1" w:styleId="Heading411">
    <w:name w:val="Heading 411"/>
    <w:basedOn w:val="Heading1"/>
    <w:next w:val="NoSpacing"/>
    <w:link w:val="Hyperlink"/>
    <w:autoRedefine/>
    <w:uiPriority w:val="99"/>
    <w:qFormat/>
    <w:rsid w:val="00935D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935DA3"/>
    <w:pPr>
      <w:ind w:left="720"/>
      <w:contextualSpacing/>
    </w:pPr>
  </w:style>
  <w:style w:type="paragraph" w:customStyle="1" w:styleId="UnderlinePara">
    <w:name w:val="Underline Para"/>
    <w:basedOn w:val="Normal"/>
    <w:uiPriority w:val="7"/>
    <w:qFormat/>
    <w:rsid w:val="00935DA3"/>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935DA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935DA3"/>
    <w:rPr>
      <w:b w:val="0"/>
      <w:sz w:val="22"/>
      <w:u w:val="single"/>
    </w:rPr>
  </w:style>
  <w:style w:type="paragraph" w:customStyle="1" w:styleId="BOLD">
    <w:name w:val="BOLD"/>
    <w:basedOn w:val="Normal"/>
    <w:link w:val="BOLDChar"/>
    <w:uiPriority w:val="5"/>
    <w:qFormat/>
    <w:rsid w:val="00935DA3"/>
    <w:rPr>
      <w:b/>
      <w:bCs/>
      <w:u w:val="single"/>
    </w:rPr>
  </w:style>
  <w:style w:type="character" w:customStyle="1" w:styleId="BOLDChar">
    <w:name w:val="BOLD Char"/>
    <w:basedOn w:val="DefaultParagraphFont"/>
    <w:link w:val="BOLD"/>
    <w:uiPriority w:val="5"/>
    <w:rsid w:val="00935DA3"/>
    <w:rPr>
      <w:rFonts w:ascii="Calibri" w:hAnsi="Calibri" w:cs="Calibri"/>
      <w:b/>
      <w:bCs/>
      <w:u w:val="single"/>
    </w:rPr>
  </w:style>
  <w:style w:type="character" w:customStyle="1" w:styleId="Boxes">
    <w:name w:val="Boxes"/>
    <w:basedOn w:val="Emphasis"/>
    <w:qFormat/>
    <w:rsid w:val="00935DA3"/>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935DA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935DA3"/>
  </w:style>
  <w:style w:type="paragraph" w:styleId="Revision">
    <w:name w:val="Revision"/>
    <w:hidden/>
    <w:uiPriority w:val="99"/>
    <w:semiHidden/>
    <w:rsid w:val="00935DA3"/>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16864</Words>
  <Characters>102876</Characters>
  <Application>Microsoft Office Word</Application>
  <DocSecurity>0</DocSecurity>
  <Lines>1224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Leo Ramirez</dc:creator>
  <cp:keywords>6.0.0</cp:keywords>
  <dc:description/>
  <cp:lastModifiedBy>Leo Ramirez</cp:lastModifiedBy>
  <cp:revision>5</cp:revision>
  <dcterms:created xsi:type="dcterms:W3CDTF">2025-11-15T15:23:00Z</dcterms:created>
  <dcterms:modified xsi:type="dcterms:W3CDTF">2026-01-03T19:21:00Z</dcterms:modified>
</cp:coreProperties>
</file>