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1ACC8" w14:textId="1549FCCA" w:rsidR="00AD1531" w:rsidRDefault="00AD1531" w:rsidP="00AD1531">
      <w:pPr>
        <w:keepNext/>
        <w:keepLines/>
        <w:pageBreakBefore/>
        <w:spacing w:before="40" w:after="0" w:line="254" w:lineRule="auto"/>
        <w:jc w:val="center"/>
        <w:outlineLvl w:val="1"/>
        <w:rPr>
          <w:rFonts w:eastAsia="Times New Roman" w:cs="Times New Roman"/>
          <w:b/>
          <w:sz w:val="40"/>
          <w:szCs w:val="26"/>
          <w:u w:val="double"/>
        </w:rPr>
      </w:pPr>
      <w:r>
        <w:rPr>
          <w:rFonts w:eastAsia="Times New Roman" w:cs="Times New Roman"/>
          <w:b/>
          <w:sz w:val="40"/>
          <w:szCs w:val="26"/>
          <w:u w:val="double"/>
        </w:rPr>
        <w:t>Racial Cap K</w:t>
      </w:r>
    </w:p>
    <w:p w14:paraId="1B6E75C3" w14:textId="77777777" w:rsidR="00AD1531" w:rsidRPr="00185928" w:rsidRDefault="00AD1531" w:rsidP="00AD1531">
      <w:pPr>
        <w:keepNext/>
        <w:keepLines/>
        <w:spacing w:before="40" w:after="0"/>
        <w:outlineLvl w:val="3"/>
        <w:rPr>
          <w:rFonts w:eastAsiaTheme="majorEastAsia" w:cstheme="majorBidi"/>
          <w:b/>
          <w:iCs/>
          <w:sz w:val="32"/>
        </w:rPr>
      </w:pPr>
      <w:r>
        <w:rPr>
          <w:rFonts w:eastAsiaTheme="majorEastAsia" w:cstheme="majorBidi"/>
          <w:b/>
          <w:iCs/>
          <w:sz w:val="32"/>
        </w:rPr>
        <w:t xml:space="preserve">Link- Academic Acitivism- </w:t>
      </w:r>
      <w:r w:rsidRPr="00185928">
        <w:rPr>
          <w:rFonts w:eastAsiaTheme="majorEastAsia" w:cstheme="majorBidi"/>
          <w:b/>
          <w:iCs/>
          <w:sz w:val="32"/>
        </w:rPr>
        <w:t xml:space="preserve">The 1ac’s claims to interject radical knowledge into the </w:t>
      </w:r>
      <w:r>
        <w:rPr>
          <w:rFonts w:eastAsiaTheme="majorEastAsia" w:cstheme="majorBidi"/>
          <w:b/>
          <w:iCs/>
          <w:sz w:val="32"/>
        </w:rPr>
        <w:t>academy</w:t>
      </w:r>
      <w:r w:rsidRPr="00185928">
        <w:rPr>
          <w:rFonts w:eastAsiaTheme="majorEastAsia" w:cstheme="majorBidi"/>
          <w:b/>
          <w:iCs/>
          <w:sz w:val="32"/>
        </w:rPr>
        <w:t xml:space="preserve"> commodifies their knowledge, obscures the colonialist capitalist core of the academy in a façade of impartiality, and mystifies the privileges they enjoy from their radical position while revitalizing the debate space with new knowledge.</w:t>
      </w:r>
    </w:p>
    <w:p w14:paraId="77A86C1D" w14:textId="77777777" w:rsidR="00AD1531" w:rsidRPr="00C22081" w:rsidRDefault="00AD1531" w:rsidP="00AD1531">
      <w:pPr>
        <w:rPr>
          <w:rStyle w:val="Style13ptBold"/>
          <w:highlight w:val="magenta"/>
        </w:rPr>
      </w:pPr>
      <w:r w:rsidRPr="00C22081">
        <w:rPr>
          <w:rStyle w:val="Style13ptBold"/>
          <w:highlight w:val="magenta"/>
        </w:rPr>
        <w:t>James 08</w:t>
      </w:r>
      <w:r w:rsidRPr="009A4017">
        <w:rPr>
          <w:rStyle w:val="Style13ptBold"/>
        </w:rPr>
        <w:t xml:space="preserve"> Joy James 2008 (Joy James,  “Activist Scholars or Radical Subjects?” Afterword coauthored with Edmund T. Gordon in Engaging Contradictions: Theory, Politics, and Methods of Activist Scholarship, ed. Charles Hale (Berkeley, CA: University of California Press, 2008)</w:t>
      </w:r>
    </w:p>
    <w:p w14:paraId="1348902B" w14:textId="77777777" w:rsidR="00AD1531" w:rsidRDefault="00AD1531" w:rsidP="00AD1531">
      <w:pPr>
        <w:rPr>
          <w:sz w:val="8"/>
        </w:rPr>
      </w:pPr>
      <w:r w:rsidRPr="008B6BBA">
        <w:rPr>
          <w:sz w:val="8"/>
        </w:rPr>
        <w:t xml:space="preserve">Let us consider the implications of the three points of our entry (and the possible point for our departure). First, there is physical entry into the academy itself. </w:t>
      </w:r>
      <w:r w:rsidRPr="00C22081">
        <w:rPr>
          <w:rStyle w:val="Emphasis"/>
          <w:highlight w:val="magenta"/>
        </w:rPr>
        <w:t>The notion that mere appearance of progressives in insti- tutionalized learning constitutes a disruption</w:t>
      </w:r>
      <w:r w:rsidRPr="00C22081">
        <w:rPr>
          <w:sz w:val="8"/>
          <w:highlight w:val="magenta"/>
        </w:rPr>
        <w:t xml:space="preserve"> </w:t>
      </w:r>
      <w:r w:rsidRPr="008B6BBA">
        <w:rPr>
          <w:sz w:val="8"/>
        </w:rPr>
        <w:t xml:space="preserve">of the normative reproduc- tion or the continuity of repression seems </w:t>
      </w:r>
      <w:r w:rsidRPr="00C22081">
        <w:rPr>
          <w:rStyle w:val="Emphasis"/>
          <w:highlight w:val="magenta"/>
        </w:rPr>
        <w:t>shortsighted</w:t>
      </w:r>
      <w:r w:rsidRPr="008B6BBA">
        <w:rPr>
          <w:sz w:val="8"/>
        </w:rPr>
        <w:t xml:space="preserve">. Just to have women, queers, and people of color in academe is insufficient, in and of itself, for social change. Second, there is the entry point of communica- tion and political rhetoric through academic discourse. The view that writing or teaching in a "radical" vein, or building progressive units within the academy, transforms educational institutions also seems my- opic. Neither entry nor communication is sufficient to incite transforma- tion. </w:t>
      </w:r>
      <w:r w:rsidRPr="00C22081">
        <w:rPr>
          <w:rStyle w:val="Emphasis"/>
          <w:highlight w:val="magenta"/>
        </w:rPr>
        <w:t>Radical ideas can easily be commodified to accommodate hegemonic institutions in their claims of impartiality</w:t>
      </w:r>
      <w:r w:rsidRPr="008B6BBA">
        <w:rPr>
          <w:sz w:val="8"/>
        </w:rPr>
        <w:t xml:space="preserve"> that mask their facility to re- produce or enable dominant social structures. But the third entry point, of </w:t>
      </w:r>
      <w:r w:rsidRPr="00C22081">
        <w:rPr>
          <w:rStyle w:val="Emphasis"/>
          <w:highlight w:val="magenta"/>
        </w:rPr>
        <w:t>the staged arena, can</w:t>
      </w:r>
      <w:r w:rsidRPr="00C22081">
        <w:rPr>
          <w:sz w:val="8"/>
          <w:highlight w:val="magenta"/>
        </w:rPr>
        <w:t xml:space="preserve"> </w:t>
      </w:r>
      <w:r w:rsidRPr="008B6BBA">
        <w:rPr>
          <w:sz w:val="8"/>
        </w:rPr>
        <w:t xml:space="preserve">actually </w:t>
      </w:r>
      <w:r w:rsidRPr="00C22081">
        <w:rPr>
          <w:rStyle w:val="Emphasis"/>
          <w:highlight w:val="magenta"/>
        </w:rPr>
        <w:t>function as an exit point from the academic machinery.</w:t>
      </w:r>
      <w:r w:rsidRPr="009A4017">
        <w:rPr>
          <w:rStyle w:val="Emphasis"/>
        </w:rPr>
        <w:t xml:space="preserve"> </w:t>
      </w:r>
      <w:r w:rsidRPr="008B6BBA">
        <w:rPr>
          <w:sz w:val="8"/>
        </w:rPr>
        <w:t xml:space="preserve">Our work with marginalized communities as a destination point for our intellectual and political selves requires that </w:t>
      </w:r>
      <w:r w:rsidRPr="00C22081">
        <w:rPr>
          <w:rStyle w:val="Emphasis"/>
          <w:highlight w:val="magenta"/>
        </w:rPr>
        <w:t>we connect to radical collectives embedded in communities struggling for social justice.</w:t>
      </w:r>
      <w:r w:rsidRPr="008B6BBA">
        <w:rPr>
          <w:sz w:val="8"/>
        </w:rPr>
        <w:t xml:space="preserve"> They exist identifiably as marginalized mi- nority formations seeking radical change in ways similar and dissimilar to the formations of radical academics. As does the larger society, the acad- emy functions as an identifiable aggregate that harbors collectives that are conservative, liberal, or radical (the last being marginal). Radical- minded groups are not trapped in their respective spheres if they seek like groups in other sites. We are handmaidens to the bourgeoisie until we exit the academic arena in search of these radical collectivities. All of those who define work as academies by progressive agendas will not necessarily exit. </w:t>
      </w:r>
      <w:r w:rsidRPr="00C22081">
        <w:rPr>
          <w:rStyle w:val="Emphasis"/>
          <w:highlight w:val="magenta"/>
        </w:rPr>
        <w:t>Those who define their teaching</w:t>
      </w:r>
      <w:r w:rsidRPr="008B6BBA">
        <w:rPr>
          <w:rStyle w:val="Emphasis"/>
        </w:rPr>
        <w:t xml:space="preserve"> </w:t>
      </w:r>
      <w:r w:rsidRPr="008B6BBA">
        <w:rPr>
          <w:sz w:val="8"/>
        </w:rPr>
        <w:t xml:space="preserve">and publications of critical thinking (antiracist, feminist, queer, Marxist, anti-imperialist) </w:t>
      </w:r>
      <w:r w:rsidRPr="00C22081">
        <w:rPr>
          <w:rStyle w:val="Emphasis"/>
          <w:highlight w:val="magenta"/>
        </w:rPr>
        <w:t>as inherently radical are likely not to exit.</w:t>
      </w:r>
      <w:r w:rsidRPr="008B6BBA">
        <w:rPr>
          <w:sz w:val="8"/>
        </w:rPr>
        <w:t xml:space="preserve"> The predictable stressors of the "safe" environment of conservative-liberal academe foster less aversion than radical praxes emanating from sites that elites do not control. Skepticism regarding the intellectual powers and leadership of radical sectors within nonacademic communities is an equal-opportunity affair among ideologically embattled academics. Progressive academics while besieged in the institution may also fight against radicals linked to collec- tivities. Dialogic warfare waged by progressives to control political dis- course and meaning suggests that radicals loyal to the academy are not necessarily radical subjects. </w:t>
      </w:r>
      <w:r w:rsidRPr="00C22081">
        <w:rPr>
          <w:rStyle w:val="Emphasis"/>
          <w:highlight w:val="magenta"/>
        </w:rPr>
        <w:t>Radical academics</w:t>
      </w:r>
      <w:r w:rsidRPr="00C22081">
        <w:rPr>
          <w:sz w:val="8"/>
          <w:highlight w:val="magenta"/>
        </w:rPr>
        <w:t xml:space="preserve"> </w:t>
      </w:r>
      <w:r w:rsidRPr="008B6BBA">
        <w:rPr>
          <w:sz w:val="8"/>
        </w:rPr>
        <w:t xml:space="preserve">may point to the hegemony of the institution, and its dominant intellectuals, without challenging their own power and in- vestment in these structures. Their </w:t>
      </w:r>
      <w:r w:rsidRPr="00C22081">
        <w:rPr>
          <w:rStyle w:val="Emphasis"/>
          <w:highlight w:val="magenta"/>
        </w:rPr>
        <w:t>"outsider" status mystifies the power and privileges of progressive activist scholars</w:t>
      </w:r>
      <w:r w:rsidRPr="008B6BBA">
        <w:rPr>
          <w:sz w:val="8"/>
        </w:rPr>
        <w:t xml:space="preserve">. Once truly outside the academy, academic-bound radicals may be unmasked as "insiders" aligned with institutional power. Stable identity constructs as "transformative" or "activist" scholars crumble-except for those who can reconstitute them- selves as practitioners outside the academic arena. Those who can do so are no longer merely "outsiders" belonging to or within the academy. In the shell game that is academe, they are able to break a losing streak in a rigged game by locating the mark: the mark only materializes outside. Leaving the academy and embedding ourselves in collectivities, we act be- yond conventional society. This is one of the true hallmarks of the radical subject, a sign that distinguishes him or her from the activist scholar. </w:t>
      </w:r>
      <w:r w:rsidRPr="00C22081">
        <w:rPr>
          <w:rStyle w:val="Emphasis"/>
          <w:highlight w:val="magenta"/>
        </w:rPr>
        <w:t>With the academy as stage or arena. academia politically perform themselves.</w:t>
      </w:r>
      <w:r w:rsidRPr="008B6BBA">
        <w:rPr>
          <w:sz w:val="8"/>
        </w:rPr>
        <w:t xml:space="preserve"> Even given the power differentials within the academy, we all share some of the spoils of war. Alexander Kojeve's Introduction to the Reading of Hegel (1980) posits a master-slave dynamic in which the slave is actually the more powerful, since the master is dependent on his or her labor. </w:t>
      </w:r>
      <w:r w:rsidRPr="00C22081">
        <w:rPr>
          <w:rStyle w:val="Emphasis"/>
          <w:highlight w:val="magenta"/>
        </w:rPr>
        <w:t>Academic-bound radicals</w:t>
      </w:r>
      <w:r w:rsidRPr="008B6BBA">
        <w:rPr>
          <w:sz w:val="8"/>
        </w:rPr>
        <w:t xml:space="preserve">, as slaves, despite their marginalization engender new thinking and analyses and through their very </w:t>
      </w:r>
      <w:r w:rsidRPr="00C22081">
        <w:rPr>
          <w:rStyle w:val="Emphasis"/>
          <w:highlight w:val="magenta"/>
        </w:rPr>
        <w:t>criticisms of the prevailing order function to revitalize that order.</w:t>
      </w:r>
      <w:r w:rsidRPr="008B6BBA">
        <w:rPr>
          <w:sz w:val="8"/>
        </w:rPr>
        <w:t xml:space="preserve"> Some may recognize this "power" and become loath to relinquish the prerogative of a "slave." The performative shapes the interdependency of academic radicals, lib- erals, and conservatives. One performs an ideological subject position. In the academy, conservatives and liberals dominate the contextual arena and the material ability to stage performance, providing structure to both props and script. Radical subjects, to construct and control the presenta- tion of their own politics, need a departure, an exit from the arena. If they refuse to exit, academic-bound radicals reject radical subjectivity and vali- date the reproduction of hierarchies in which we function as powerful "outsiders." Consequently, academic-bound radicals more easily share the arena with liberals and conservatives than with radical subjects as activists.</w:t>
      </w:r>
      <w:bookmarkStart w:id="0" w:name="_Hlk210832588"/>
    </w:p>
    <w:p w14:paraId="61CF905E" w14:textId="77777777" w:rsidR="00AD1531" w:rsidRDefault="00AD1531" w:rsidP="00AD1531">
      <w:pPr>
        <w:rPr>
          <w:sz w:val="8"/>
        </w:rPr>
      </w:pPr>
    </w:p>
    <w:p w14:paraId="72E262AD" w14:textId="77777777" w:rsidR="00AD1531" w:rsidRPr="00C22081" w:rsidRDefault="00AD1531" w:rsidP="00AD1531">
      <w:pPr>
        <w:pStyle w:val="Heading4"/>
        <w:rPr>
          <w:rFonts w:eastAsia="Times New Roman"/>
        </w:rPr>
      </w:pPr>
      <w:r w:rsidRPr="00C22081">
        <w:rPr>
          <w:rFonts w:eastAsia="Times New Roman"/>
        </w:rPr>
        <w:t>Link—Reformism</w:t>
      </w:r>
      <w:r>
        <w:rPr>
          <w:rFonts w:eastAsia="Times New Roman"/>
        </w:rPr>
        <w:t>-</w:t>
      </w:r>
      <w:r w:rsidRPr="00C22081">
        <w:rPr>
          <w:rFonts w:eastAsia="Calibri" w:cs="Times New Roman"/>
        </w:rPr>
        <w:t>The affs reformism is antithetical to real change</w:t>
      </w:r>
    </w:p>
    <w:p w14:paraId="71F082B4" w14:textId="77777777" w:rsidR="00AD1531" w:rsidRPr="00C22081" w:rsidRDefault="00AD1531" w:rsidP="00AD1531">
      <w:pPr>
        <w:spacing w:line="256" w:lineRule="auto"/>
        <w:rPr>
          <w:rFonts w:eastAsia="Calibri"/>
          <w:b/>
          <w:bCs/>
          <w:sz w:val="26"/>
        </w:rPr>
      </w:pPr>
      <w:r w:rsidRPr="00C22081">
        <w:rPr>
          <w:rFonts w:eastAsia="Calibri"/>
          <w:b/>
          <w:bCs/>
          <w:sz w:val="26"/>
        </w:rPr>
        <w:t>[</w:t>
      </w:r>
      <w:r w:rsidRPr="00C22081">
        <w:rPr>
          <w:rFonts w:eastAsia="Calibri"/>
          <w:b/>
          <w:bCs/>
          <w:sz w:val="26"/>
          <w:highlight w:val="magenta"/>
        </w:rPr>
        <w:t>Rodríguez ’20</w:t>
      </w:r>
      <w:r w:rsidRPr="00C22081">
        <w:rPr>
          <w:rFonts w:eastAsia="Calibri"/>
          <w:b/>
          <w:bCs/>
          <w:sz w:val="26"/>
        </w:rPr>
        <w:t xml:space="preserve"> Dylan Rodríguez is a 2020 Freedom Scholar, President of the American Studies Association (2020–2021), and Professor at the University of CA, Oct 20, 2020 https://level.medium.com/reformism-isnt-liberation-it-s-counterinsurgency-7ea0a1ce11eb] Rg:3</w:t>
      </w:r>
    </w:p>
    <w:p w14:paraId="32D316F9" w14:textId="77777777" w:rsidR="00AD1531" w:rsidRPr="00C22081" w:rsidRDefault="00AD1531" w:rsidP="00AD1531">
      <w:pPr>
        <w:spacing w:line="256" w:lineRule="auto"/>
        <w:rPr>
          <w:rFonts w:eastAsia="Calibri"/>
          <w:b/>
          <w:iCs/>
          <w:sz w:val="26"/>
          <w:u w:val="single"/>
        </w:rPr>
      </w:pPr>
      <w:r w:rsidRPr="00C22081">
        <w:rPr>
          <w:rFonts w:eastAsia="Calibri"/>
          <w:b/>
          <w:iCs/>
          <w:sz w:val="26"/>
          <w:highlight w:val="magenta"/>
          <w:u w:val="single"/>
        </w:rPr>
        <w:t>Reformism Isn’t Liberation, It’s Counterinsurgency You can’t abolish systemic anti-Blackness and racial-colonial violence by protecting the system itself</w:t>
      </w:r>
      <w:r w:rsidRPr="00C22081">
        <w:rPr>
          <w:rFonts w:eastAsia="Calibri"/>
          <w:b/>
          <w:iCs/>
          <w:sz w:val="26"/>
          <w:u w:val="single"/>
        </w:rPr>
        <w:t xml:space="preserve"> </w:t>
      </w:r>
      <w:r w:rsidRPr="00C22081">
        <w:rPr>
          <w:rFonts w:eastAsia="Calibri"/>
          <w:sz w:val="8"/>
        </w:rPr>
        <w:t xml:space="preserve">The logic of ‘reform’ Reform is best understood as a logic rather than an outcome: an approach to institutional change that sustains existing social, economic, political, and/or legal systems, including but not limited to policing, two-party electoral politics, heteronormativity, criminal justice, and corporate destruction of the natural world. </w:t>
      </w:r>
      <w:r w:rsidRPr="00C22081">
        <w:rPr>
          <w:rFonts w:eastAsia="Calibri"/>
          <w:b/>
          <w:iCs/>
          <w:sz w:val="26"/>
          <w:highlight w:val="magenta"/>
          <w:u w:val="single"/>
        </w:rPr>
        <w:t xml:space="preserve">To reform a system is to adjust isolated aspects of its operation </w:t>
      </w:r>
      <w:r w:rsidRPr="00C22081">
        <w:rPr>
          <w:rFonts w:eastAsia="Calibri"/>
          <w:sz w:val="8"/>
        </w:rPr>
        <w:t xml:space="preserve">in order to protect that system from total collapse, whether by internal or external forces. Such adjustments usually rest on the fundamental assumption that these systems must remain intact — </w:t>
      </w:r>
      <w:r w:rsidRPr="00C22081">
        <w:rPr>
          <w:rFonts w:eastAsia="Calibri"/>
          <w:b/>
          <w:iCs/>
          <w:sz w:val="26"/>
          <w:highlight w:val="magenta"/>
          <w:u w:val="single"/>
        </w:rPr>
        <w:t>even as they consistently produce asymmetrical misery, suffering, premature death, and violent life conditions for certain people</w:t>
      </w:r>
      <w:r w:rsidRPr="00C22081">
        <w:rPr>
          <w:rFonts w:eastAsia="Calibri"/>
          <w:sz w:val="8"/>
        </w:rPr>
        <w:t xml:space="preserve"> and places. While modern policing has emerged through the institutionalized violence of anti-Black apartheid and the long genocidal legacies of chattel slavery and frontier warfare, contemporary efforts at “police </w:t>
      </w:r>
      <w:r w:rsidRPr="00C22081">
        <w:rPr>
          <w:rFonts w:eastAsia="Calibri"/>
          <w:b/>
          <w:iCs/>
          <w:sz w:val="26"/>
          <w:highlight w:val="magenta"/>
          <w:u w:val="single"/>
        </w:rPr>
        <w:t>reform</w:t>
      </w:r>
      <w:r w:rsidRPr="00C22081">
        <w:rPr>
          <w:rFonts w:eastAsia="Calibri"/>
          <w:sz w:val="8"/>
        </w:rPr>
        <w:t>” nonetheless suggest that policing can be magically transformed into a non-anti-Black, non-racial-colonial (“racist”) system. As the story goes, this white magic is to be performed by way of piecemeal changes in police administration, protocols, “officer accountability,” training, and personnel recruitment. The #8CantWait campaign, widely publicized on social media by the nonprofit organization We the Protestors and its Campaign Zero effort during the early days of the June 2020 global rebellion against anti-Black police violence, exemplifies the foundational fraudulence of this magical ambition. Premised on the untenable, poorly researched, and dangerous notion that adoption of its eight improved “use of force” policies will result in police killing “72% fewer people,” the 8 Can’t Wait agenda attracted immediate and widespread support from celebrities and elected officials, including Oprah Winfrey, Julián Castro, and Ariana Grande. Such endorsements are inseparable from the political logic of the nonprofit industrial complex: The infrastructure of liberal philanthropy</w:t>
      </w:r>
      <w:r w:rsidRPr="00C22081">
        <w:rPr>
          <w:rFonts w:eastAsia="Calibri"/>
          <w:sz w:val="8"/>
          <w:highlight w:val="magenta"/>
        </w:rPr>
        <w:t xml:space="preserve"> </w:t>
      </w:r>
      <w:r w:rsidRPr="00C22081">
        <w:rPr>
          <w:rFonts w:eastAsia="Calibri"/>
          <w:b/>
          <w:iCs/>
          <w:sz w:val="26"/>
          <w:highlight w:val="magenta"/>
          <w:u w:val="single"/>
        </w:rPr>
        <w:t>commodifies</w:t>
      </w:r>
      <w:r w:rsidRPr="00C22081">
        <w:rPr>
          <w:rFonts w:eastAsia="Calibri"/>
          <w:sz w:val="8"/>
        </w:rPr>
        <w:t xml:space="preserve"> simplistic narratives of reform into tidy sound/text bites that are easily repeated, retweeted, and reposted by public-facing people and organizations. This dynamic not only insults the intelligence of those engaged in serious, collectively accountable forms of </w:t>
      </w:r>
      <w:r w:rsidRPr="00C22081">
        <w:rPr>
          <w:rFonts w:eastAsia="Calibri"/>
          <w:b/>
          <w:iCs/>
          <w:sz w:val="26"/>
          <w:highlight w:val="magenta"/>
          <w:u w:val="single"/>
        </w:rPr>
        <w:t>struggle against state violence</w:t>
      </w:r>
      <w:r w:rsidRPr="00C22081">
        <w:rPr>
          <w:rFonts w:eastAsia="Calibri"/>
          <w:sz w:val="8"/>
        </w:rPr>
        <w:t xml:space="preserve">; it also glorifies clout-seeking laziness </w:t>
      </w:r>
      <w:r w:rsidRPr="00C22081">
        <w:rPr>
          <w:rFonts w:eastAsia="Calibri"/>
          <w:b/>
          <w:iCs/>
          <w:sz w:val="26"/>
          <w:highlight w:val="magenta"/>
          <w:u w:val="single"/>
        </w:rPr>
        <w:t>as a substitute for actual</w:t>
      </w:r>
      <w:r w:rsidRPr="00C22081">
        <w:rPr>
          <w:rFonts w:eastAsia="Calibri"/>
          <w:sz w:val="8"/>
        </w:rPr>
        <w:t xml:space="preserve"> (abolitionist) </w:t>
      </w:r>
      <w:r w:rsidRPr="00C22081">
        <w:rPr>
          <w:rFonts w:eastAsia="Calibri"/>
          <w:b/>
          <w:iCs/>
          <w:sz w:val="26"/>
          <w:highlight w:val="magenta"/>
          <w:u w:val="single"/>
        </w:rPr>
        <w:t>activism</w:t>
      </w:r>
      <w:r w:rsidRPr="00C22081">
        <w:rPr>
          <w:rFonts w:eastAsia="Calibri"/>
          <w:sz w:val="8"/>
        </w:rPr>
        <w:t xml:space="preserve">. One of many glaring problems with #8CantWait — </w:t>
      </w:r>
      <w:r w:rsidRPr="00C22081">
        <w:rPr>
          <w:rFonts w:eastAsia="Calibri"/>
          <w:b/>
          <w:iCs/>
          <w:sz w:val="26"/>
          <w:highlight w:val="magenta"/>
          <w:u w:val="single"/>
        </w:rPr>
        <w:t>which advocates</w:t>
      </w:r>
      <w:r w:rsidRPr="00C22081">
        <w:rPr>
          <w:rFonts w:eastAsia="Calibri"/>
          <w:sz w:val="8"/>
        </w:rPr>
        <w:t xml:space="preserve"> de-escalation, “warning before shooting,” banning chokeholds, and installation of a “use of force continuum” — is that many of its proposed policy reforms were incorporated by the most homicidally anti-Black police departments in the United States (including the notorious Chicago PD) well prior to the state-sanctioned killings of Breonna Taylor, George Floyd, and so many others. </w:t>
      </w:r>
      <w:r w:rsidRPr="00C22081">
        <w:rPr>
          <w:rFonts w:eastAsia="Calibri"/>
          <w:b/>
          <w:iCs/>
          <w:sz w:val="26"/>
          <w:highlight w:val="magenta"/>
          <w:u w:val="single"/>
        </w:rPr>
        <w:t>Against all historical evidence</w:t>
      </w:r>
      <w:r w:rsidRPr="00C22081">
        <w:rPr>
          <w:rFonts w:eastAsia="Calibri"/>
          <w:sz w:val="8"/>
        </w:rPr>
        <w:t>, #8CantWait attempts</w:t>
      </w:r>
      <w:r w:rsidRPr="00C22081">
        <w:rPr>
          <w:rFonts w:eastAsia="Calibri"/>
          <w:b/>
          <w:iCs/>
          <w:sz w:val="26"/>
          <w:highlight w:val="magenta"/>
          <w:u w:val="single"/>
        </w:rPr>
        <w:t xml:space="preserve"> to convince those </w:t>
      </w:r>
      <w:r w:rsidRPr="00C22081">
        <w:rPr>
          <w:rFonts w:eastAsia="Calibri"/>
          <w:sz w:val="8"/>
        </w:rPr>
        <w:t xml:space="preserve">questioning and </w:t>
      </w:r>
      <w:r w:rsidRPr="00C22081">
        <w:rPr>
          <w:rFonts w:eastAsia="Calibri"/>
          <w:b/>
          <w:iCs/>
          <w:sz w:val="26"/>
          <w:highlight w:val="magenta"/>
          <w:u w:val="single"/>
        </w:rPr>
        <w:t>rebelling against a violent</w:t>
      </w:r>
      <w:r w:rsidRPr="00C22081">
        <w:rPr>
          <w:rFonts w:eastAsia="Calibri"/>
          <w:sz w:val="8"/>
        </w:rPr>
        <w:t>, misery-making</w:t>
      </w:r>
      <w:r w:rsidRPr="00C22081">
        <w:rPr>
          <w:rFonts w:eastAsia="Calibri"/>
          <w:b/>
          <w:iCs/>
          <w:sz w:val="8"/>
          <w:highlight w:val="magenta"/>
          <w:u w:val="single"/>
        </w:rPr>
        <w:t xml:space="preserve"> </w:t>
      </w:r>
      <w:r w:rsidRPr="00C22081">
        <w:rPr>
          <w:rFonts w:eastAsia="Calibri"/>
          <w:b/>
          <w:iCs/>
          <w:sz w:val="26"/>
          <w:highlight w:val="magenta"/>
          <w:u w:val="single"/>
        </w:rPr>
        <w:t>system</w:t>
      </w:r>
      <w:r w:rsidRPr="00C22081">
        <w:rPr>
          <w:rFonts w:eastAsia="Calibri"/>
          <w:sz w:val="8"/>
        </w:rPr>
        <w:t xml:space="preserve"> that policing is reformable — </w:t>
      </w:r>
      <w:r w:rsidRPr="00C22081">
        <w:rPr>
          <w:rFonts w:eastAsia="Calibri"/>
          <w:b/>
          <w:iCs/>
          <w:sz w:val="26"/>
          <w:highlight w:val="magenta"/>
          <w:u w:val="single"/>
        </w:rPr>
        <w:t>that it can be modified and refurbished to protect and serve the very same places</w:t>
      </w:r>
      <w:r w:rsidRPr="00C22081">
        <w:rPr>
          <w:rFonts w:eastAsia="Calibri"/>
          <w:sz w:val="8"/>
        </w:rPr>
        <w:t xml:space="preserve">, communities, and bodies </w:t>
      </w:r>
      <w:r w:rsidRPr="00C22081">
        <w:rPr>
          <w:rFonts w:eastAsia="Calibri"/>
          <w:b/>
          <w:iCs/>
          <w:sz w:val="26"/>
          <w:highlight w:val="magenta"/>
          <w:u w:val="single"/>
        </w:rPr>
        <w:t>it</w:t>
      </w:r>
      <w:r w:rsidRPr="00C22081">
        <w:rPr>
          <w:rFonts w:eastAsia="Calibri"/>
          <w:sz w:val="8"/>
        </w:rPr>
        <w:t xml:space="preserve"> has historically surveilled, patrolled, intimidated, and</w:t>
      </w:r>
      <w:r w:rsidRPr="00C22081">
        <w:rPr>
          <w:rFonts w:eastAsia="Calibri"/>
          <w:b/>
          <w:iCs/>
          <w:sz w:val="8"/>
          <w:highlight w:val="magenta"/>
          <w:u w:val="single"/>
        </w:rPr>
        <w:t xml:space="preserve"> </w:t>
      </w:r>
      <w:r w:rsidRPr="00C22081">
        <w:rPr>
          <w:rFonts w:eastAsia="Calibri"/>
          <w:b/>
          <w:iCs/>
          <w:sz w:val="26"/>
          <w:highlight w:val="magenta"/>
          <w:u w:val="single"/>
        </w:rPr>
        <w:t>eviscerated</w:t>
      </w:r>
      <w:r w:rsidRPr="00C22081">
        <w:rPr>
          <w:rFonts w:eastAsia="Calibri"/>
          <w:sz w:val="8"/>
        </w:rPr>
        <w:t xml:space="preserve">. As Project NIA director and abolitionist organizer Mariame Kaba wrote in a June New York Times editorial, “There is not a single era in United States history in which the police were not a force of violence against Black people.” A recent amicus brief in Harvard Civil Rights-Civil Liberties Law Review echoes Black radical feminist and abolitionist analyses like those of Kaba, Rachel Herzing, Alisa Bierria, Sarah Haley, Beth Richie, and Ruth Wilson Gilmore by considering how #8CantWait amounts to a liberal reaction to and attempted appropriation of an emerging global mass movement that radically confronts the foundational gendered anti-Black logics of modern policing. The brief suggests that “Campaign Zero’s decision to move forward with a middle-of-the-road proposal, just as abolitionist organizers have begun to garner increased public support in their demands to defund and abolish the police, is questionable.” It is vital to ask why such </w:t>
      </w:r>
      <w:r w:rsidRPr="00C22081">
        <w:rPr>
          <w:rFonts w:eastAsia="Calibri"/>
          <w:b/>
          <w:iCs/>
          <w:sz w:val="26"/>
          <w:highlight w:val="magenta"/>
          <w:u w:val="single"/>
        </w:rPr>
        <w:t>reform campaigns</w:t>
      </w:r>
      <w:r w:rsidRPr="00C22081">
        <w:rPr>
          <w:rFonts w:eastAsia="Calibri"/>
          <w:sz w:val="8"/>
        </w:rPr>
        <w:t xml:space="preserve"> consistently emerge with special intensity in historical moments of widespread anti-systemic uprising. The 2020 global rebellions against anti-Black policing, acceleration of abolitionist and proto-abolitionist organizing, and spread of Black feminist and queer radicalisms in our midst are, as the late Cedric Robinson might say, a brilliant, messy, beautiful totality that seeks to overthrow conditions of terror. These conditions are both deeply historical and acutely present, encompassing the deadly forces of criminalization, housing and food insecurity, incarceration, targeted environmental toxification, sexual violence, and cultural demonization. Yet, reform movements tend to simultaneously </w:t>
      </w:r>
      <w:r w:rsidRPr="00C22081">
        <w:rPr>
          <w:rFonts w:eastAsia="Calibri"/>
          <w:b/>
          <w:iCs/>
          <w:sz w:val="26"/>
          <w:highlight w:val="magenta"/>
          <w:u w:val="single"/>
        </w:rPr>
        <w:t>obscure and reproduce normalized conditions of terror by deferring and/or repressing militant collective confrontation with the historical foundations of gendered anti-Black and racial-colonial state violence.</w:t>
      </w:r>
      <w:r w:rsidRPr="00C22081">
        <w:rPr>
          <w:rFonts w:eastAsia="Calibri"/>
          <w:sz w:val="8"/>
        </w:rPr>
        <w:t xml:space="preserve"> Put another way, if the foundation of such violence is policing itself rather than isolated acts of “police brutality,” or criminal justice rather than the scandal of “mass incarceration,” then reform is merely another way of telling the targets of such asymmetrical domestic warfare that they must continue to tolerate the intolerable. What might it mean, in moments of widespread rebellion against normalized conditions of terror, to conceptualize reform campaigns like #8CantWait as a liberal-progressive counterinsurgency? How do such reformist counterinsurgencies serve </w:t>
      </w:r>
      <w:r w:rsidRPr="00C22081">
        <w:rPr>
          <w:rFonts w:eastAsia="Calibri"/>
          <w:b/>
          <w:iCs/>
          <w:sz w:val="26"/>
          <w:highlight w:val="magenta"/>
          <w:u w:val="single"/>
        </w:rPr>
        <w:t xml:space="preserve">to undermine, discredit, or </w:t>
      </w:r>
      <w:r w:rsidRPr="00C22081">
        <w:rPr>
          <w:rFonts w:eastAsia="Calibri"/>
          <w:sz w:val="8"/>
        </w:rPr>
        <w:t>otherwise</w:t>
      </w:r>
      <w:r w:rsidRPr="00C22081">
        <w:rPr>
          <w:rFonts w:eastAsia="Calibri"/>
          <w:b/>
          <w:iCs/>
          <w:sz w:val="8"/>
          <w:highlight w:val="magenta"/>
          <w:u w:val="single"/>
        </w:rPr>
        <w:t xml:space="preserve"> </w:t>
      </w:r>
      <w:r w:rsidRPr="00C22081">
        <w:rPr>
          <w:rFonts w:eastAsia="Calibri"/>
          <w:b/>
          <w:iCs/>
          <w:sz w:val="26"/>
          <w:highlight w:val="magenta"/>
          <w:u w:val="single"/>
        </w:rPr>
        <w:t>disrupt oppressed</w:t>
      </w:r>
      <w:r w:rsidRPr="00C22081">
        <w:rPr>
          <w:rFonts w:eastAsia="Calibri"/>
          <w:sz w:val="8"/>
        </w:rPr>
        <w:t>, freedom-seeking (Black, Indigenous, incarcerated, colonized)</w:t>
      </w:r>
      <w:r w:rsidRPr="00C22081">
        <w:rPr>
          <w:rFonts w:eastAsia="Calibri"/>
          <w:b/>
          <w:iCs/>
          <w:sz w:val="26"/>
          <w:highlight w:val="magenta"/>
          <w:u w:val="single"/>
        </w:rPr>
        <w:t xml:space="preserve"> peoples’ </w:t>
      </w:r>
      <w:r w:rsidRPr="00C22081">
        <w:rPr>
          <w:rFonts w:eastAsia="Calibri"/>
          <w:sz w:val="8"/>
        </w:rPr>
        <w:t>growing</w:t>
      </w:r>
      <w:r w:rsidRPr="00C22081">
        <w:rPr>
          <w:rFonts w:eastAsia="Calibri"/>
          <w:b/>
          <w:iCs/>
          <w:sz w:val="12"/>
          <w:highlight w:val="magenta"/>
          <w:u w:val="single"/>
        </w:rPr>
        <w:t xml:space="preserve"> </w:t>
      </w:r>
      <w:r w:rsidRPr="00C22081">
        <w:rPr>
          <w:rFonts w:eastAsia="Calibri"/>
          <w:b/>
          <w:iCs/>
          <w:sz w:val="26"/>
          <w:highlight w:val="magenta"/>
          <w:u w:val="single"/>
        </w:rPr>
        <w:t>struggles for</w:t>
      </w:r>
      <w:r w:rsidRPr="00C22081">
        <w:rPr>
          <w:rFonts w:eastAsia="Calibri"/>
          <w:sz w:val="8"/>
        </w:rPr>
        <w:t xml:space="preserve"> abolitionist, anti-colonial, decolonizing, and/or </w:t>
      </w:r>
      <w:r w:rsidRPr="00C22081">
        <w:rPr>
          <w:rFonts w:eastAsia="Calibri"/>
          <w:b/>
          <w:iCs/>
          <w:sz w:val="26"/>
          <w:highlight w:val="magenta"/>
          <w:u w:val="single"/>
        </w:rPr>
        <w:t xml:space="preserve">revolutionary transformations </w:t>
      </w:r>
      <w:r w:rsidRPr="00C22081">
        <w:rPr>
          <w:rFonts w:eastAsia="Calibri"/>
          <w:sz w:val="8"/>
        </w:rPr>
        <w:t xml:space="preserve">of existing social, political, and economic systems? ‘Reformism’ Reformism — the ideological and political position that fixates on reform as the primary if not exclusive engine of social change/justice — is another name for this soft form of counterinsurgency. Reformism defers, avoids, and even criminalizes peoples’ efforts to catalyze fundamental change to an existing order, often through dogmatic and simplistic mandates of “nonviolence,” incrementalism, and compliance. Moreover, </w:t>
      </w:r>
      <w:r w:rsidRPr="00C22081">
        <w:rPr>
          <w:rFonts w:eastAsia="Calibri"/>
          <w:b/>
          <w:iCs/>
          <w:sz w:val="26"/>
          <w:highlight w:val="magenta"/>
          <w:u w:val="single"/>
        </w:rPr>
        <w:t>reformism sees the law as the only legitimate form of</w:t>
      </w:r>
      <w:r w:rsidRPr="00C22081">
        <w:rPr>
          <w:rFonts w:eastAsia="Calibri"/>
          <w:sz w:val="8"/>
        </w:rPr>
        <w:t xml:space="preserve"> protest, collective cultural/political expression, and/or direct </w:t>
      </w:r>
      <w:r w:rsidRPr="00C22081">
        <w:rPr>
          <w:rFonts w:eastAsia="Calibri"/>
          <w:b/>
          <w:iCs/>
          <w:sz w:val="26"/>
          <w:highlight w:val="magenta"/>
          <w:u w:val="single"/>
        </w:rPr>
        <w:t>intervention on systemically violent conditions</w:t>
      </w:r>
      <w:r w:rsidRPr="00C22081">
        <w:rPr>
          <w:rFonts w:eastAsia="Calibri"/>
          <w:sz w:val="8"/>
        </w:rPr>
        <w:t xml:space="preserve">. (It is worth noting that the interpretation of violent vs. nonviolent acts requires discussion and debate, particularly in response to oxymoronic notions of “property violence” </w:t>
      </w:r>
      <w:r w:rsidRPr="00C22081">
        <w:rPr>
          <w:rFonts w:eastAsia="Calibri"/>
          <w:b/>
          <w:iCs/>
          <w:sz w:val="26"/>
          <w:highlight w:val="magenta"/>
          <w:u w:val="single"/>
        </w:rPr>
        <w:t>that</w:t>
      </w:r>
      <w:r w:rsidRPr="00C22081">
        <w:rPr>
          <w:rFonts w:eastAsia="Calibri"/>
          <w:sz w:val="8"/>
        </w:rPr>
        <w:t xml:space="preserve"> rarely account for gendered anti-Black and racial-colonial state violence.) Reformism </w:t>
      </w:r>
      <w:r w:rsidRPr="00C22081">
        <w:rPr>
          <w:rFonts w:eastAsia="Calibri"/>
          <w:b/>
          <w:iCs/>
          <w:sz w:val="26"/>
          <w:highlight w:val="magenta"/>
          <w:u w:val="single"/>
        </w:rPr>
        <w:t xml:space="preserve">limits the horizon of political possibility </w:t>
      </w:r>
      <w:r w:rsidRPr="00C22081">
        <w:rPr>
          <w:rFonts w:eastAsia="Calibri"/>
          <w:sz w:val="8"/>
        </w:rPr>
        <w:t>to what is seen as achievable within the limits of existing institutional structures (electoral politics, racial capitalism, heteronormativity, the nation-state, etc.). The reformist counterinsurgency pivots on a fervent belief that the spirit of progress, national improvement, and patriotic belief will prevail over a fundamentally violent order. In practice, this belief approximates a kind of pseudo-religion. While abolitionist, revolutionary, and radical forms of collective analysis and movement frequently create irreconcilable confrontation with oppressive institutions and systems, reformism seeks</w:t>
      </w:r>
      <w:r w:rsidRPr="00C22081">
        <w:rPr>
          <w:rFonts w:eastAsia="Calibri"/>
          <w:b/>
          <w:iCs/>
          <w:sz w:val="26"/>
          <w:highlight w:val="magenta"/>
          <w:u w:val="single"/>
        </w:rPr>
        <w:t xml:space="preserve"> to preserve social, political, and economic orders by modifying isolated aspects of their operation.</w:t>
      </w:r>
      <w:r w:rsidRPr="00C22081">
        <w:rPr>
          <w:rFonts w:eastAsia="Calibri"/>
          <w:sz w:val="8"/>
        </w:rPr>
        <w:t xml:space="preserve"> A peculiar assertion animates contemporary forms of this liberal-progressive counterinsurgency: that the long historical, systemic, institutionally reproduced asymmetries of violence produced by existing systems are the unfortunate consequences of fixable “inequities,” “disparities,” “(unconscious or implicit) biases,” corruptions, and/or inefficiencies. In this sense, reformism presumes that equality/equity/parity are achievable — and desirable — within existing systems. The reformist counterinsurgency pivots on a fervent belief that the spirit of progress, national improvement, and patriotic belief will prevail over a fundamentally violent order. In practice, this belief approximates a form of dogmatic liberal faith — a kind of pseudo-religion. Thus, increased “diversity” in personnel and bureaucratic infrastructure, shifts in the legal and policy apparatus, and individualized “anti-bias trainings” ascend as some of the principal methods for alleviating state violence. There is yet another layer of fatal assumption that structures the reformist position: that those targeted for misery, displacement, and premature death under the existing social order must tolerate continued suffering while waiting for the reformist “fix” to take hold. Abolition An abolitionist analysis and collective praxis, on the other hand, offers an urgent rebuttal to the bad-faith incrementalism of the reformist position. Two parts of the spreading abolitionist response are worth emphasizing: First, that the internal logic of the existing social, political, and economic order (following Sylvia Wynter, let us call this “Civilization”) amounts to a long historical war on specific peoples and places. Second, that the transformation of such an order not only requires its upheaval, but also must be guided by the liberation, collective health, and self-determination of African-descended peoples, Indigenous and Aboriginal peoples, and other peoples and places targeted by the long history of Civilizational war. Considering the anti-Black, genocidal, and proto-genocidal logic of racial capitalism, the (U.S.) nation-state, white supremacy, and settler-colonial domination, reformism is not merely inadequate to the task of abolishing anti-Black, racial-colonial warfare; it is central to Civilization’s expansion, sophistication, and deadliness. To be fair, some rare reform campaigns seek immediate institutional adjustments that directly address the asymmetrical casualties of anti-Blackness and racial-colonial violence. Abolitionist approaches to reform, for example, endorse short-term measures that defend the existence of vulnerable and oppressed people while allowing organizers, teachers, scholars, and other activists to build greater capacity to completely overturn and transform existing systemic arrangements. #8toAbolition, the abolitionist response to #8CantWait, exemplifies such a program of immediate local reforms, which include defunding/redistributing police budgets, decriminalizing survival-focused economies and communities, decarceration of jails and prisons, and universal access to safe housing. Yet, the campaign nonetheless asserts that “the end goal of these reforms is not to create better, friendlier, or more community-oriented police or prisons. Instead, we hope to build toward a society without police or prisons, where communities are equipped to provide for their safety and wellbeing.” Reform is, at best, a stopgap emergency tactic that abolitionists undertake with principled suspicion. This historical moment is marked by multiple obliterations of the reformist script: Growing numbers of people, communities, and organizations are unapologetically, militantly rejecting the contemporary sociopolitical and economic order. This is a time animated by widespread Black and Indigenous revolt, audacious visions of a future against/after Civilization, and a disciplined mass refusal to surrender to the intimidation of right-wing reactionaries and the open repression of the state. Proliferating grassroots activity, language, thought, and collective learning expose the brittle ideological claims of reformism, which wilt in the face of the surging art, movement, and poetry of abolition, revolution, reparation, and radical community that define periods like the summer of 2020. Readers of this and other contributions to Abolition for the People may already be engaged with such communities, but if they are not, they can likely search and find ways to link with such collectives with minimal effort. (Otherwise, they can feel free to reach out to me at dylanrodriguez73@gmail.com, and I’ll do my best to facilitate a connection.) Finally, at a time when the United States is reacting to this insurgent, self-liberating swell of humanity by openly moving toward a 21st-century version of white nationalist fascism, it is helpful to revisit the words of Black revolutionary writer, teacher, and organizer George Jackson, from his book Blood in My Eye: We will never have a complete definition of fascism, because it is in constant motion, showing a new face to fit any particular set of problems that arise to threaten the predominance of the traditionalist, capitalist ruling class. But if one were forced for the sake of clarity to define it in a word simple enough for all to understand, that word would be “reform.” </w:t>
      </w:r>
      <w:r w:rsidRPr="00C22081">
        <w:rPr>
          <w:rFonts w:eastAsia="Calibri"/>
          <w:b/>
          <w:iCs/>
          <w:sz w:val="26"/>
          <w:highlight w:val="magenta"/>
          <w:u w:val="single"/>
        </w:rPr>
        <w:t>Fatal and terrorizing state violence is not containable to isolated incidents</w:t>
      </w:r>
      <w:r w:rsidRPr="00C22081">
        <w:rPr>
          <w:rFonts w:eastAsia="Calibri"/>
          <w:sz w:val="8"/>
        </w:rPr>
        <w:t>. It draws from and actively expands a long</w:t>
      </w:r>
      <w:r w:rsidRPr="00C22081">
        <w:rPr>
          <w:rFonts w:eastAsia="Calibri"/>
          <w:b/>
          <w:iCs/>
          <w:sz w:val="26"/>
          <w:highlight w:val="magenta"/>
          <w:u w:val="single"/>
        </w:rPr>
        <w:t xml:space="preserve"> Civilization</w:t>
      </w:r>
      <w:r w:rsidRPr="00C22081">
        <w:rPr>
          <w:rFonts w:eastAsia="Calibri"/>
          <w:sz w:val="8"/>
        </w:rPr>
        <w:t xml:space="preserve">al history that is </w:t>
      </w:r>
      <w:r w:rsidRPr="00C22081">
        <w:rPr>
          <w:rFonts w:eastAsia="Calibri"/>
          <w:b/>
          <w:iCs/>
          <w:sz w:val="26"/>
          <w:highlight w:val="magenta"/>
          <w:u w:val="single"/>
        </w:rPr>
        <w:t xml:space="preserve">based on the evisceration and negation of Black </w:t>
      </w:r>
      <w:r w:rsidRPr="00C22081">
        <w:rPr>
          <w:rFonts w:eastAsia="Calibri"/>
          <w:sz w:val="8"/>
        </w:rPr>
        <w:t>life; the occupation and destruction of Indigenous peoples and places; the criminalization of</w:t>
      </w:r>
      <w:r w:rsidRPr="00C22081">
        <w:rPr>
          <w:rFonts w:eastAsia="Calibri"/>
          <w:b/>
          <w:iCs/>
          <w:sz w:val="26"/>
          <w:highlight w:val="magenta"/>
          <w:u w:val="single"/>
        </w:rPr>
        <w:t xml:space="preserve"> queer, trans, and disabled people; </w:t>
      </w:r>
      <w:r w:rsidRPr="00C22081">
        <w:rPr>
          <w:rFonts w:eastAsia="Calibri"/>
          <w:sz w:val="8"/>
        </w:rPr>
        <w:t xml:space="preserve">the flourishing damage of state-sanctioned sexual violence; and the stubborn omnipresence of violent misogyny—which </w:t>
      </w:r>
      <w:r w:rsidRPr="00C22081">
        <w:rPr>
          <w:rFonts w:eastAsia="Calibri"/>
          <w:b/>
          <w:iCs/>
          <w:sz w:val="26"/>
          <w:highlight w:val="magenta"/>
          <w:u w:val="single"/>
        </w:rPr>
        <w:t xml:space="preserve">are the everyday order of things </w:t>
      </w:r>
      <w:r w:rsidRPr="00C22081">
        <w:rPr>
          <w:rFonts w:eastAsia="Calibri"/>
          <w:sz w:val="8"/>
        </w:rPr>
        <w:t xml:space="preserve">under the conditions of normalized (domestic) war. Reform is at best a form of casualty management, while </w:t>
      </w:r>
      <w:r w:rsidRPr="00C22081">
        <w:rPr>
          <w:rFonts w:eastAsia="Calibri"/>
          <w:b/>
          <w:iCs/>
          <w:sz w:val="26"/>
          <w:highlight w:val="magenta"/>
          <w:u w:val="single"/>
        </w:rPr>
        <w:t>reformism is counterinsurgency against those who dare to envision</w:t>
      </w:r>
      <w:r w:rsidRPr="00C22081">
        <w:rPr>
          <w:rFonts w:eastAsia="Calibri"/>
          <w:sz w:val="8"/>
        </w:rPr>
        <w:t xml:space="preserve">, enact, and experiment with abolitionist forms of community, collective power, and futurity. Abolition, in this sense, is the righteous nemesis of reformism, as well as the militant, principled, historically grounded response to liberal counterinsurgency. Abolition is not an outcome. Rather, it is an everyday practice, a method of teaching, creating, thinking, and an insurgent (“fugitive”) community-building project that exposes the pitfalls of the reformist adventure. It demystifies reformism’s cheap magic and summons an embrace of the dynamic </w:t>
      </w:r>
      <w:r w:rsidRPr="00C22081">
        <w:rPr>
          <w:rFonts w:eastAsia="Calibri"/>
          <w:b/>
          <w:iCs/>
          <w:sz w:val="26"/>
          <w:highlight w:val="magenta"/>
          <w:u w:val="single"/>
        </w:rPr>
        <w:t>Black radical</w:t>
      </w:r>
      <w:r w:rsidRPr="00C22081">
        <w:rPr>
          <w:rFonts w:eastAsia="Calibri"/>
          <w:sz w:val="8"/>
        </w:rPr>
        <w:t xml:space="preserve"> and revolutionary </w:t>
      </w:r>
      <w:r w:rsidRPr="00C22081">
        <w:rPr>
          <w:rFonts w:eastAsia="Calibri"/>
          <w:b/>
          <w:iCs/>
          <w:sz w:val="26"/>
          <w:highlight w:val="magenta"/>
          <w:u w:val="single"/>
        </w:rPr>
        <w:t>tradition</w:t>
      </w:r>
      <w:r w:rsidRPr="00C22081">
        <w:rPr>
          <w:rFonts w:eastAsia="Calibri"/>
          <w:sz w:val="8"/>
        </w:rPr>
        <w:t xml:space="preserve"> that informs collective labors of freedom, structures notions of justice and collective self-defense, and induces a political and ethical obligation to fight unapologetically, in whatever ways are available, effective, </w:t>
      </w:r>
      <w:r w:rsidRPr="00C22081">
        <w:rPr>
          <w:rFonts w:eastAsia="Calibri"/>
          <w:b/>
          <w:iCs/>
          <w:sz w:val="26"/>
          <w:highlight w:val="magenta"/>
          <w:u w:val="single"/>
        </w:rPr>
        <w:t>and</w:t>
      </w:r>
      <w:r w:rsidRPr="00C22081">
        <w:rPr>
          <w:rFonts w:eastAsia="Calibri"/>
          <w:sz w:val="8"/>
        </w:rPr>
        <w:t xml:space="preserve"> historically accountable. Anything less is </w:t>
      </w:r>
      <w:r w:rsidRPr="00C22081">
        <w:rPr>
          <w:rFonts w:eastAsia="Calibri"/>
          <w:b/>
          <w:iCs/>
          <w:sz w:val="26"/>
          <w:highlight w:val="magenta"/>
          <w:u w:val="single"/>
        </w:rPr>
        <w:t>a concession to the logics of anti-Black and racial-colonial genocide.</w:t>
      </w:r>
    </w:p>
    <w:p w14:paraId="6725115E" w14:textId="77777777" w:rsidR="00AD1531" w:rsidRPr="00C22081" w:rsidRDefault="00AD1531" w:rsidP="00AD1531"/>
    <w:p w14:paraId="141824DC" w14:textId="77777777" w:rsidR="00AD1531" w:rsidRPr="00C22081" w:rsidRDefault="00AD1531" w:rsidP="00AD1531">
      <w:pPr>
        <w:keepNext/>
        <w:keepLines/>
        <w:spacing w:before="40" w:after="0" w:line="256" w:lineRule="auto"/>
        <w:outlineLvl w:val="3"/>
        <w:rPr>
          <w:rFonts w:eastAsia="Times New Roman" w:cs="Times New Roman"/>
          <w:b/>
          <w:iCs/>
          <w:sz w:val="32"/>
        </w:rPr>
      </w:pPr>
      <w:r>
        <w:rPr>
          <w:rFonts w:eastAsia="Times New Roman" w:cs="Times New Roman"/>
          <w:b/>
          <w:iCs/>
          <w:sz w:val="32"/>
        </w:rPr>
        <w:t xml:space="preserve">Link- CBR- </w:t>
      </w:r>
      <w:r w:rsidRPr="00C22081">
        <w:rPr>
          <w:rFonts w:eastAsia="Times New Roman" w:cs="Times New Roman"/>
          <w:b/>
          <w:iCs/>
          <w:sz w:val="32"/>
        </w:rPr>
        <w:t xml:space="preserve">A rights-based framework is the lifeblood of racial capitalism, because granting rights to some only assimilates them into hierarchies of unequal distribution. The affirmative is an extension of rights to some, which requires the dispossession and exploitation of others </w:t>
      </w:r>
    </w:p>
    <w:p w14:paraId="7D4ABA00" w14:textId="77777777" w:rsidR="00AD1531" w:rsidRPr="00C22081" w:rsidRDefault="00AD1531" w:rsidP="00AD1531">
      <w:pPr>
        <w:spacing w:line="256" w:lineRule="auto"/>
        <w:rPr>
          <w:rFonts w:eastAsia="Calibri"/>
          <w:b/>
          <w:bCs/>
          <w:sz w:val="26"/>
        </w:rPr>
      </w:pPr>
      <w:r w:rsidRPr="00C22081">
        <w:rPr>
          <w:rFonts w:eastAsia="Calibri"/>
          <w:b/>
          <w:bCs/>
          <w:sz w:val="26"/>
          <w:highlight w:val="magenta"/>
        </w:rPr>
        <w:t>Melamed &amp; Reddy ‘19</w:t>
      </w:r>
      <w:r w:rsidRPr="00C22081">
        <w:rPr>
          <w:rFonts w:eastAsia="Calibri"/>
          <w:b/>
          <w:bCs/>
          <w:sz w:val="26"/>
        </w:rPr>
        <w:t xml:space="preserve"> [Joei Melamed and Chandan Reddy. “Using Liberal Rights to Enforce Racial Capitalism,” Social Science Research Council. 30 July 2019. https://items.ssrc.org/race-capitalism/using-liberal-rights-to-enforce-racial-capitalism/]Lo </w:t>
      </w:r>
    </w:p>
    <w:p w14:paraId="36CE870A" w14:textId="77777777" w:rsidR="00AD1531" w:rsidRPr="00C22081" w:rsidRDefault="00AD1531" w:rsidP="00AD1531">
      <w:pPr>
        <w:spacing w:line="256" w:lineRule="auto"/>
        <w:rPr>
          <w:rFonts w:eastAsia="Aptos"/>
          <w:sz w:val="8"/>
        </w:rPr>
      </w:pPr>
      <w:r w:rsidRPr="00C22081">
        <w:rPr>
          <w:rFonts w:eastAsia="Aptos"/>
          <w:sz w:val="8"/>
        </w:rPr>
        <w:t xml:space="preserve">The introduction to the Items series on “Race &amp; Capitalism” asks scholars to consider how </w:t>
      </w:r>
      <w:r w:rsidRPr="00C22081">
        <w:rPr>
          <w:rFonts w:eastAsia="Calibri"/>
          <w:sz w:val="8"/>
        </w:rPr>
        <w:t>entanglements of racialization and capitalism affect politics in the United States and globally. Yet, we argue for a different perspective: one that emphasizes the ways in which the very terms and categories that drive and define modern politics—such as</w:t>
      </w:r>
      <w:r w:rsidRPr="00C22081">
        <w:rPr>
          <w:rFonts w:eastAsia="Aptos"/>
          <w:b/>
          <w:sz w:val="12"/>
          <w:u w:val="single"/>
        </w:rPr>
        <w:t xml:space="preserve"> </w:t>
      </w:r>
      <w:r w:rsidRPr="00C22081">
        <w:rPr>
          <w:rFonts w:eastAsia="Calibri"/>
          <w:sz w:val="8"/>
        </w:rPr>
        <w:t>rights—constitute the means of racializing human beings in order to differentially (de)value them, as necessary for existent and emergent modes of capitalist accumulation. In particular, we highlight how today’s</w:t>
      </w:r>
      <w:r w:rsidRPr="00C22081">
        <w:rPr>
          <w:rFonts w:eastAsia="Calibri"/>
          <w:b/>
          <w:iCs/>
          <w:sz w:val="26"/>
          <w:u w:val="single"/>
        </w:rPr>
        <w:t xml:space="preserve"> </w:t>
      </w:r>
      <w:r w:rsidRPr="00C22081">
        <w:rPr>
          <w:rFonts w:eastAsia="Calibri"/>
          <w:sz w:val="8"/>
        </w:rPr>
        <w:t>neoliberal racial capitalism repurposes the liberal idealization of “individual</w:t>
      </w:r>
      <w:r w:rsidRPr="00C22081">
        <w:rPr>
          <w:rFonts w:eastAsia="Aptos"/>
          <w:b/>
          <w:sz w:val="8"/>
          <w:u w:val="single"/>
        </w:rPr>
        <w:t xml:space="preserve"> </w:t>
      </w:r>
      <w:r w:rsidRPr="00C22081">
        <w:rPr>
          <w:rFonts w:eastAsia="Calibri"/>
          <w:b/>
          <w:iCs/>
          <w:sz w:val="26"/>
          <w:highlight w:val="magenta"/>
          <w:u w:val="single"/>
        </w:rPr>
        <w:t>rights</w:t>
      </w:r>
      <w:r w:rsidRPr="00C22081">
        <w:rPr>
          <w:rFonts w:eastAsia="Calibri"/>
          <w:sz w:val="8"/>
        </w:rPr>
        <w:t>” to racially encase new antidemocratic jurisdictional spaces to negate radical and collective uses of rights born from colonized and racialized peoples’ movements in the twentieth century and to administer racialized subjects within these jurisdictional flows and spaces. The dominant post–World War II liberal narrative tells of how the extension of rights to negatively racialized individuals is their entrance into political and economic freedom. From this perspective, the seizure of rights, whether through courts, social movements, or institutions, is necessary for relief from racism and the abhorrent inequalities it fosters in capitalist society. Racism is primarily construed as rights-denial, and political and economic participation and cultural belonging are seen as stymied or entirely foreclosed by racist barriers to full rights. In contrast, from a racial capitalist perspective, the constitutive history of rights as</w:t>
      </w:r>
      <w:r w:rsidRPr="00C22081">
        <w:rPr>
          <w:rFonts w:eastAsia="Calibri"/>
          <w:b/>
          <w:iCs/>
          <w:sz w:val="12"/>
          <w:highlight w:val="magenta"/>
          <w:u w:val="single"/>
        </w:rPr>
        <w:t xml:space="preserve"> </w:t>
      </w:r>
      <w:r w:rsidRPr="00C22081">
        <w:rPr>
          <w:rFonts w:eastAsia="Calibri"/>
          <w:b/>
          <w:iCs/>
          <w:sz w:val="26"/>
          <w:highlight w:val="magenta"/>
          <w:u w:val="single"/>
        </w:rPr>
        <w:t>a technology</w:t>
      </w:r>
      <w:r w:rsidRPr="00C22081">
        <w:rPr>
          <w:rFonts w:eastAsia="Aptos"/>
          <w:b/>
          <w:highlight w:val="magenta"/>
          <w:u w:val="single"/>
        </w:rPr>
        <w:t xml:space="preserve"> </w:t>
      </w:r>
      <w:r w:rsidRPr="00C22081">
        <w:rPr>
          <w:rFonts w:eastAsia="Calibri"/>
          <w:sz w:val="8"/>
        </w:rPr>
        <w:t>of racialization remains</w:t>
      </w:r>
      <w:r w:rsidRPr="00C22081">
        <w:rPr>
          <w:rFonts w:eastAsia="Aptos"/>
          <w:b/>
          <w:highlight w:val="magenta"/>
          <w:u w:val="single"/>
        </w:rPr>
        <w:t xml:space="preserve"> </w:t>
      </w:r>
      <w:r w:rsidRPr="00C22081">
        <w:rPr>
          <w:rFonts w:eastAsia="Calibri"/>
          <w:b/>
          <w:iCs/>
          <w:sz w:val="26"/>
          <w:highlight w:val="magenta"/>
          <w:u w:val="single"/>
        </w:rPr>
        <w:t>key to the routine functioning of capitalist economies</w:t>
      </w:r>
      <w:r w:rsidRPr="00C22081">
        <w:rPr>
          <w:rFonts w:eastAsia="Aptos"/>
          <w:b/>
          <w:u w:val="single"/>
        </w:rPr>
        <w:t xml:space="preserve">. </w:t>
      </w:r>
      <w:r w:rsidRPr="00C22081">
        <w:rPr>
          <w:rFonts w:eastAsia="Calibri"/>
          <w:sz w:val="8"/>
        </w:rPr>
        <w:t>That is, the concept of rights is not automatically antagonistic to racism. Rather, it creates, circulates, and recreates race in the context of changing divisions of labor and emerging social and technological forces</w:t>
      </w:r>
      <w:r w:rsidRPr="00C22081">
        <w:rPr>
          <w:rFonts w:eastAsia="Aptos"/>
          <w:b/>
          <w:u w:val="single"/>
        </w:rPr>
        <w:t>.</w:t>
      </w:r>
      <w:r w:rsidRPr="00C22081">
        <w:rPr>
          <w:rFonts w:eastAsia="Aptos"/>
          <w:sz w:val="8"/>
        </w:rPr>
        <w:t xml:space="preserve"> Taking this perspective, we analyze how specific </w:t>
      </w:r>
      <w:r w:rsidRPr="00C22081">
        <w:rPr>
          <w:rFonts w:eastAsia="Calibri"/>
          <w:sz w:val="8"/>
        </w:rPr>
        <w:t>capitalist economies use</w:t>
      </w:r>
      <w:r w:rsidRPr="00C22081">
        <w:rPr>
          <w:rFonts w:eastAsia="Calibri"/>
          <w:b/>
          <w:iCs/>
          <w:sz w:val="26"/>
          <w:u w:val="single"/>
        </w:rPr>
        <w:t xml:space="preserve"> </w:t>
      </w:r>
      <w:r w:rsidRPr="00C22081">
        <w:rPr>
          <w:rFonts w:eastAsia="Calibri"/>
          <w:sz w:val="8"/>
        </w:rPr>
        <w:t>racialized bundles of rights (and capacities to exercise them) to coordinate processes of accumulation. The goal is to analyze existing political economies of rights by investigating the roles that liberal rights play in operationalizing historically specific forms of racial capitalism.1 Transformation of rights and capital accumulation Following the insights Cedric Robinson, Patricia Williams, Saidiya Hartman, Lisa Lowe, Colin Dayan, and others, we note that today we are undergoing another seismic transformation of liberal rights to coordinate and arrange emergent hegemonies of accumulation. Often referred to as “neoliberalism,” today’s racial capitalism is creating what we term a differential rights order, transforming “rights” into an anchor for administrative actions, from the local to the supranational, that facilitates the required (de)valorization today’s financialized and extractive racial capitalism. Important scholarship has made us familiar with the ways in which differential rights schemas have been used to organize capitalism in racial modernity: the bestowing of liberal rights to white, property-holding European men and the assignment of degrees of gendered and racialized rightlessness to all others, an asymmetry that structured colonial, plantation, and early industrial modes of capital accumulation globally. From others, we have learned that the revolutionary upheavals of the nineteenth and early twentieth century, in which enslaved, colonized, and Indigenous people fought for freedom—struggles conventionally narrated as “winning rights”—did not end the rights-based operationalization of racial capitalism. Rather, differential rights schemas continued to coordinate racial capitalist economies,</w:t>
      </w:r>
      <w:r w:rsidRPr="00C22081">
        <w:rPr>
          <w:rFonts w:eastAsia="Calibri"/>
          <w:b/>
          <w:iCs/>
          <w:sz w:val="8"/>
          <w:highlight w:val="magenta"/>
          <w:u w:val="single"/>
        </w:rPr>
        <w:t xml:space="preserve"> </w:t>
      </w:r>
      <w:r w:rsidRPr="00C22081">
        <w:rPr>
          <w:rFonts w:eastAsia="Calibri"/>
          <w:b/>
          <w:iCs/>
          <w:sz w:val="26"/>
          <w:highlight w:val="magenta"/>
          <w:u w:val="single"/>
        </w:rPr>
        <w:t>enabling racial capitalist exploitation and settler colonial dispossession through the extension of rights</w:t>
      </w:r>
      <w:r w:rsidRPr="00C22081">
        <w:rPr>
          <w:rFonts w:eastAsia="Calibri"/>
          <w:sz w:val="8"/>
        </w:rPr>
        <w:t xml:space="preserve">.2 Operating through ostensibly democratic processes, today’s rights-regimes expand differential rights by prioritizing expansive rule-making capacities and rule-enforcement, seeking to bend social formations to the changing interests of capital. Unlike previous eras of racial capitalism, the </w:t>
      </w:r>
      <w:r w:rsidRPr="00C22081">
        <w:rPr>
          <w:rFonts w:eastAsia="Calibri"/>
          <w:b/>
          <w:iCs/>
          <w:sz w:val="26"/>
          <w:highlight w:val="magenta"/>
          <w:u w:val="single"/>
        </w:rPr>
        <w:t>neoliberal era governs through administrative apparatuses that presume</w:t>
      </w:r>
      <w:r w:rsidRPr="00C22081">
        <w:rPr>
          <w:rFonts w:eastAsia="Calibri"/>
          <w:sz w:val="8"/>
        </w:rPr>
        <w:t xml:space="preserve"> rights-bearing as an abstract universal, all the while using</w:t>
      </w:r>
      <w:r w:rsidRPr="00C22081">
        <w:rPr>
          <w:rFonts w:eastAsia="Calibri"/>
          <w:b/>
          <w:iCs/>
          <w:sz w:val="8"/>
          <w:highlight w:val="magenta"/>
          <w:u w:val="single"/>
        </w:rPr>
        <w:t xml:space="preserve"> </w:t>
      </w:r>
      <w:r w:rsidRPr="00C22081">
        <w:rPr>
          <w:rFonts w:eastAsia="Calibri"/>
          <w:b/>
          <w:iCs/>
          <w:sz w:val="26"/>
          <w:highlight w:val="magenta"/>
          <w:u w:val="single"/>
        </w:rPr>
        <w:t xml:space="preserve">rights </w:t>
      </w:r>
      <w:r w:rsidRPr="00C22081">
        <w:rPr>
          <w:rFonts w:eastAsia="Calibri"/>
          <w:sz w:val="8"/>
        </w:rPr>
        <w:t>as</w:t>
      </w:r>
      <w:r w:rsidRPr="00C22081">
        <w:rPr>
          <w:rFonts w:eastAsia="Calibri"/>
          <w:b/>
          <w:iCs/>
          <w:sz w:val="8"/>
          <w:highlight w:val="magenta"/>
          <w:u w:val="single"/>
        </w:rPr>
        <w:t xml:space="preserve"> </w:t>
      </w:r>
      <w:r w:rsidRPr="00C22081">
        <w:rPr>
          <w:rFonts w:eastAsia="Calibri"/>
          <w:b/>
          <w:iCs/>
          <w:sz w:val="26"/>
          <w:highlight w:val="magenta"/>
          <w:u w:val="single"/>
        </w:rPr>
        <w:t>a material force that generates</w:t>
      </w:r>
      <w:r w:rsidRPr="00C22081">
        <w:rPr>
          <w:rFonts w:eastAsia="Aptos"/>
          <w:b/>
          <w:u w:val="single"/>
        </w:rPr>
        <w:t xml:space="preserve"> </w:t>
      </w:r>
      <w:r w:rsidRPr="00C22081">
        <w:rPr>
          <w:rFonts w:eastAsia="Calibri"/>
          <w:sz w:val="8"/>
        </w:rPr>
        <w:t>both</w:t>
      </w:r>
      <w:r w:rsidRPr="00C22081">
        <w:rPr>
          <w:rFonts w:eastAsia="Aptos"/>
          <w:b/>
          <w:u w:val="single"/>
        </w:rPr>
        <w:t xml:space="preserve"> </w:t>
      </w:r>
      <w:r w:rsidRPr="00C22081">
        <w:rPr>
          <w:rFonts w:eastAsia="Calibri"/>
          <w:b/>
          <w:iCs/>
          <w:sz w:val="26"/>
          <w:highlight w:val="magenta"/>
          <w:u w:val="single"/>
        </w:rPr>
        <w:t>the systemic</w:t>
      </w:r>
      <w:r w:rsidRPr="00C22081">
        <w:rPr>
          <w:rFonts w:eastAsia="Aptos"/>
          <w:b/>
          <w:u w:val="single"/>
        </w:rPr>
        <w:t xml:space="preserve"> </w:t>
      </w:r>
      <w:r w:rsidRPr="00C22081">
        <w:rPr>
          <w:rFonts w:eastAsia="Calibri"/>
          <w:sz w:val="8"/>
        </w:rPr>
        <w:t xml:space="preserve">and haphazard </w:t>
      </w:r>
      <w:r w:rsidRPr="00C22081">
        <w:rPr>
          <w:rFonts w:eastAsia="Calibri"/>
          <w:b/>
          <w:iCs/>
          <w:sz w:val="26"/>
          <w:highlight w:val="magenta"/>
          <w:u w:val="single"/>
        </w:rPr>
        <w:t>violences necessary for</w:t>
      </w:r>
      <w:r w:rsidRPr="00C22081">
        <w:rPr>
          <w:rFonts w:eastAsia="Aptos"/>
          <w:b/>
          <w:highlight w:val="magenta"/>
          <w:u w:val="single"/>
        </w:rPr>
        <w:t xml:space="preserve"> </w:t>
      </w:r>
      <w:r w:rsidRPr="00C22081">
        <w:rPr>
          <w:rFonts w:eastAsia="Calibri"/>
          <w:sz w:val="8"/>
        </w:rPr>
        <w:t xml:space="preserve">contemporary </w:t>
      </w:r>
      <w:r w:rsidRPr="00C22081">
        <w:rPr>
          <w:rFonts w:eastAsia="Calibri"/>
          <w:b/>
          <w:iCs/>
          <w:sz w:val="26"/>
          <w:highlight w:val="magenta"/>
          <w:u w:val="single"/>
        </w:rPr>
        <w:t>practices of accumulation.</w:t>
      </w:r>
      <w:r w:rsidRPr="00C22081">
        <w:rPr>
          <w:rFonts w:eastAsia="Aptos"/>
          <w:b/>
          <w:u w:val="single"/>
        </w:rPr>
        <w:t xml:space="preserve"> </w:t>
      </w:r>
      <w:r w:rsidRPr="00C22081">
        <w:rPr>
          <w:rFonts w:eastAsia="Aptos"/>
          <w:sz w:val="8"/>
        </w:rPr>
        <w:t xml:space="preserve">Since the passing of the Civil Rights Acts and the success of Nixon’s Southern Strategy, the basic dynamic of racial capitalism has been the Republican mobilization of white constituencies to block democracy in favor of elite capitalist interests (combining antitax, probusiness rights with white supremacist identity politics) and the political economic management of negatively racialized urban populations through intertwined regimes of asset-stripping, public aid, and law and order. This dynamic has been tempered by neoliberal multiculturalism and the emergence of a multiracial professional managerial class.3 Yet, with the passage of Citizens United, </w:t>
      </w:r>
      <w:r w:rsidRPr="00C22081">
        <w:rPr>
          <w:rFonts w:eastAsia="Calibri"/>
          <w:sz w:val="8"/>
        </w:rPr>
        <w:t xml:space="preserve">the dynamic has transcended to a level marked by opportunistic racial capitalist assemblages of business, investment, and governance that can articulate rules as mundane as municipal zoning regulations and as lofty as global economic alliances. Even before Citizens United, the Republican Party successfully aligned white identity politics with libertarian articulations of “individual rights,” meaning the right of capitalists and corporate “persons” to be free from government (regulation and taxation). Since Citizens United, the Republican Party has developed its procapitalist “individual rights” orientation from blocking government to minimize democratic pressures on economic actors to actively using the rule-making and rule-enforcing powers of governance in creative ways to facilitate opportunistic capitalist assemblages for its donor networks. At the state level, Republican-dominated legislatures apply their rule-making innovations in late-night special sessions, creative omnibus budget bills, gerrymandering, court-packing, and the hamstringing and weaponizing of regulatory agencies. Despite leveraging white supremacist economic nationalism and upending some of the global trade agreements that insulated flows of trade and investment from democratic pressures, the Trump administration has expanded global corporate power’s ongoing privatization of the federal government through the use of executive powers for everything from setting new trade policy to revising federal agency rules. In fact, the Trump administration has made remarkable use of executive authority in order to advance opportunities for capitalists close to the administration.4 Individual rights and freedom from the needs of others, for the wealthy As the US racial capitalist state uses its rule-making powers to enhance the financial, logistic, and extractive aspects of global capitalism, individual </w:t>
      </w:r>
    </w:p>
    <w:p w14:paraId="2C1F59FC" w14:textId="77777777" w:rsidR="00AD1531" w:rsidRPr="008B6BBA" w:rsidRDefault="00AD1531" w:rsidP="00AD1531">
      <w:pPr>
        <w:rPr>
          <w:sz w:val="8"/>
        </w:rPr>
      </w:pPr>
    </w:p>
    <w:p w14:paraId="49CBD9BC" w14:textId="77777777" w:rsidR="00AD1531" w:rsidRPr="00D60E97" w:rsidRDefault="00AD1531" w:rsidP="00AD1531">
      <w:pPr>
        <w:keepNext/>
        <w:keepLines/>
        <w:spacing w:before="40" w:after="0" w:line="252" w:lineRule="auto"/>
        <w:outlineLvl w:val="3"/>
        <w:rPr>
          <w:rFonts w:eastAsia="Times New Roman" w:cs="Times New Roman"/>
          <w:b/>
          <w:iCs/>
          <w:sz w:val="32"/>
        </w:rPr>
      </w:pPr>
      <w:r>
        <w:rPr>
          <w:rFonts w:eastAsia="Times New Roman" w:cs="Times New Roman"/>
          <w:b/>
          <w:iCs/>
          <w:sz w:val="32"/>
        </w:rPr>
        <w:t>The impact is mystification-</w:t>
      </w:r>
      <w:r w:rsidRPr="00D60E97">
        <w:rPr>
          <w:rFonts w:eastAsia="Times New Roman" w:cs="Times New Roman"/>
          <w:b/>
          <w:iCs/>
          <w:sz w:val="32"/>
        </w:rPr>
        <w:t xml:space="preserve">The aff’s attempt to use the state to reduce exploitation can only ever lead to policies which reify racial capitalism because it sustains itself on exploitation of racialized people. </w:t>
      </w:r>
    </w:p>
    <w:p w14:paraId="2C6CDC30" w14:textId="77777777" w:rsidR="00AD1531" w:rsidRPr="00D60E97" w:rsidRDefault="00AD1531" w:rsidP="00AD1531">
      <w:pPr>
        <w:spacing w:line="252" w:lineRule="auto"/>
        <w:rPr>
          <w:rFonts w:eastAsia="Aptos"/>
          <w:b/>
          <w:bCs/>
          <w:sz w:val="26"/>
        </w:rPr>
      </w:pPr>
      <w:r w:rsidRPr="00C22081">
        <w:rPr>
          <w:rFonts w:eastAsia="Aptos"/>
          <w:b/>
          <w:bCs/>
          <w:sz w:val="26"/>
          <w:highlight w:val="magenta"/>
        </w:rPr>
        <w:t>Rogaly ’21</w:t>
      </w:r>
      <w:r w:rsidRPr="00D60E97">
        <w:rPr>
          <w:rFonts w:eastAsia="Aptos"/>
          <w:b/>
          <w:bCs/>
          <w:sz w:val="26"/>
        </w:rPr>
        <w:t xml:space="preserve"> Ben Rogaly - Senior Lecturer in Human Geography at the University of Sussex and a member of the Sussex Centre for Migration Research.</w:t>
      </w:r>
    </w:p>
    <w:p w14:paraId="6747DD93" w14:textId="77777777" w:rsidR="00AD1531" w:rsidRPr="00D60E97" w:rsidRDefault="00AD1531" w:rsidP="00AD1531">
      <w:pPr>
        <w:spacing w:line="252" w:lineRule="auto"/>
        <w:rPr>
          <w:rFonts w:eastAsia="Aptos"/>
          <w:b/>
          <w:bCs/>
          <w:sz w:val="26"/>
        </w:rPr>
      </w:pPr>
      <w:r w:rsidRPr="00D60E97">
        <w:rPr>
          <w:rFonts w:eastAsia="Aptos"/>
          <w:b/>
          <w:bCs/>
          <w:sz w:val="26"/>
        </w:rPr>
        <w:t>Ben Rogaly, July 16 2021, “Commentary: Agricultural racial capitalism and rural migrant workers,” Journal of Rural Studies on ScienceDirect, https://www.sciencedirect.com/science/article/pii/S0743016721002035, ATM</w:t>
      </w:r>
    </w:p>
    <w:p w14:paraId="4B0C3CD3" w14:textId="77777777" w:rsidR="00AD1531" w:rsidRDefault="00AD1531" w:rsidP="00AD1531">
      <w:pPr>
        <w:spacing w:line="252" w:lineRule="auto"/>
        <w:rPr>
          <w:rFonts w:eastAsia="Calibri"/>
          <w:b/>
          <w:iCs/>
          <w:sz w:val="26"/>
          <w:u w:val="single"/>
        </w:rPr>
      </w:pPr>
      <w:r w:rsidRPr="00D60E97">
        <w:rPr>
          <w:rFonts w:eastAsia="Aptos"/>
          <w:sz w:val="14"/>
        </w:rPr>
        <w:t xml:space="preserve"> </w:t>
      </w:r>
      <w:r w:rsidRPr="00C22081">
        <w:rPr>
          <w:rFonts w:eastAsia="Aptos"/>
          <w:highlight w:val="magenta"/>
          <w:u w:val="single"/>
        </w:rPr>
        <w:t>[</w:t>
      </w:r>
      <w:r w:rsidRPr="00C22081">
        <w:rPr>
          <w:rFonts w:eastAsia="Aptos"/>
          <w:b/>
          <w:iCs/>
          <w:sz w:val="26"/>
          <w:highlight w:val="magenta"/>
          <w:u w:val="single"/>
        </w:rPr>
        <w:t>C]apitalism relies on racialized and gendered</w:t>
      </w:r>
      <w:r w:rsidRPr="00D60E97">
        <w:rPr>
          <w:rFonts w:eastAsia="Aptos"/>
          <w:u w:val="single"/>
        </w:rPr>
        <w:t xml:space="preserve"> designations about the kinds of communities and peoples whose </w:t>
      </w:r>
      <w:r w:rsidRPr="00D60E97">
        <w:rPr>
          <w:rFonts w:eastAsia="Aptos"/>
          <w:sz w:val="14"/>
        </w:rPr>
        <w:t>dispossession,</w:t>
      </w:r>
      <w:r w:rsidRPr="00C22081">
        <w:rPr>
          <w:rFonts w:eastAsia="Aptos"/>
          <w:b/>
          <w:iCs/>
          <w:sz w:val="16"/>
          <w:highlight w:val="magenta"/>
          <w:u w:val="single"/>
        </w:rPr>
        <w:t xml:space="preserve"> </w:t>
      </w:r>
      <w:r w:rsidRPr="00C22081">
        <w:rPr>
          <w:rFonts w:eastAsia="Aptos"/>
          <w:b/>
          <w:iCs/>
          <w:sz w:val="26"/>
          <w:highlight w:val="magenta"/>
          <w:u w:val="single"/>
        </w:rPr>
        <w:t xml:space="preserve">exploitation </w:t>
      </w:r>
      <w:r w:rsidRPr="00D60E97">
        <w:rPr>
          <w:rFonts w:eastAsia="Aptos"/>
          <w:sz w:val="14"/>
        </w:rPr>
        <w:t>and obliteration is</w:t>
      </w:r>
      <w:r w:rsidRPr="00D60E97">
        <w:rPr>
          <w:rFonts w:eastAsia="Aptos"/>
          <w:sz w:val="16"/>
          <w:u w:val="single"/>
        </w:rPr>
        <w:t xml:space="preserve"> </w:t>
      </w:r>
      <w:r w:rsidRPr="00D60E97">
        <w:rPr>
          <w:rFonts w:eastAsia="Aptos"/>
          <w:u w:val="single"/>
        </w:rPr>
        <w:t xml:space="preserve">justifiable </w:t>
      </w:r>
      <w:r w:rsidRPr="00C22081">
        <w:rPr>
          <w:rFonts w:eastAsia="Aptos"/>
          <w:b/>
          <w:iCs/>
          <w:sz w:val="26"/>
          <w:highlight w:val="magenta"/>
          <w:u w:val="single"/>
        </w:rPr>
        <w:t xml:space="preserve">for the sake of </w:t>
      </w:r>
      <w:r w:rsidRPr="00D60E97">
        <w:rPr>
          <w:rFonts w:eastAsia="Aptos"/>
          <w:sz w:val="14"/>
        </w:rPr>
        <w:t>“progress” and</w:t>
      </w:r>
      <w:r w:rsidRPr="00D60E97">
        <w:rPr>
          <w:rFonts w:eastAsia="Aptos"/>
          <w:b/>
          <w:iCs/>
          <w:sz w:val="16"/>
          <w:u w:val="single"/>
        </w:rPr>
        <w:t xml:space="preserve"> </w:t>
      </w:r>
      <w:r w:rsidRPr="00C22081">
        <w:rPr>
          <w:rFonts w:eastAsia="Aptos"/>
          <w:b/>
          <w:iCs/>
          <w:sz w:val="26"/>
          <w:highlight w:val="magenta"/>
          <w:u w:val="single"/>
        </w:rPr>
        <w:t>industrial growth</w:t>
      </w:r>
      <w:r w:rsidRPr="00D60E97">
        <w:rPr>
          <w:rFonts w:eastAsia="Aptos"/>
          <w:u w:val="single"/>
        </w:rPr>
        <w:t xml:space="preserve"> … </w:t>
      </w:r>
      <w:r w:rsidRPr="00C22081">
        <w:rPr>
          <w:rFonts w:eastAsia="Aptos"/>
          <w:b/>
          <w:iCs/>
          <w:sz w:val="26"/>
          <w:highlight w:val="magenta"/>
          <w:u w:val="single"/>
        </w:rPr>
        <w:t xml:space="preserve">Forced labor and dispossessed life </w:t>
      </w:r>
      <w:r w:rsidRPr="00D60E97">
        <w:rPr>
          <w:rFonts w:eastAsia="Aptos"/>
          <w:sz w:val="14"/>
        </w:rPr>
        <w:t>were</w:t>
      </w:r>
      <w:r w:rsidRPr="00C22081">
        <w:rPr>
          <w:rFonts w:eastAsia="Aptos"/>
          <w:b/>
          <w:iCs/>
          <w:sz w:val="16"/>
          <w:highlight w:val="magenta"/>
          <w:u w:val="single"/>
        </w:rPr>
        <w:t xml:space="preserve"> </w:t>
      </w:r>
      <w:r w:rsidRPr="00C22081">
        <w:rPr>
          <w:rFonts w:eastAsia="Aptos"/>
          <w:b/>
          <w:iCs/>
          <w:sz w:val="26"/>
          <w:highlight w:val="magenta"/>
          <w:u w:val="single"/>
        </w:rPr>
        <w:t xml:space="preserve">the conditions of possibility for </w:t>
      </w:r>
      <w:r w:rsidRPr="00D60E97">
        <w:rPr>
          <w:rFonts w:eastAsia="Aptos"/>
          <w:sz w:val="14"/>
        </w:rPr>
        <w:t xml:space="preserve">the discourse of progress and </w:t>
      </w:r>
      <w:r w:rsidRPr="00C22081">
        <w:rPr>
          <w:rFonts w:eastAsia="Aptos"/>
          <w:b/>
          <w:iCs/>
          <w:sz w:val="26"/>
          <w:highlight w:val="magenta"/>
          <w:u w:val="single"/>
        </w:rPr>
        <w:t>industrial development in the Global North</w:t>
      </w:r>
      <w:r w:rsidRPr="00D60E97">
        <w:rPr>
          <w:rFonts w:eastAsia="Aptos"/>
          <w:u w:val="single"/>
        </w:rPr>
        <w:t xml:space="preserve"> </w:t>
      </w:r>
      <w:r w:rsidRPr="00D60E97">
        <w:rPr>
          <w:rFonts w:eastAsia="Aptos"/>
          <w:sz w:val="14"/>
        </w:rPr>
        <w:t>(</w:t>
      </w:r>
      <w:bookmarkStart w:id="1" w:name="bbib17"/>
      <w:r w:rsidRPr="00D60E97">
        <w:rPr>
          <w:rFonts w:eastAsia="Aptos"/>
          <w:sz w:val="14"/>
        </w:rPr>
        <w:t>Manjapara, 2018</w:t>
      </w:r>
      <w:bookmarkEnd w:id="1"/>
      <w:r w:rsidRPr="00D60E97">
        <w:rPr>
          <w:rFonts w:eastAsia="Aptos"/>
          <w:sz w:val="14"/>
        </w:rPr>
        <w:t>, p. 365 &amp; p. 382) It is important to note that Manjapara brings ‘gendered’ and ‘racialized’ ‘designations’ together here (see </w:t>
      </w:r>
      <w:bookmarkStart w:id="2" w:name="bbib26"/>
      <w:r w:rsidRPr="00D60E97">
        <w:rPr>
          <w:rFonts w:eastAsia="Aptos"/>
          <w:sz w:val="14"/>
        </w:rPr>
        <w:t>Preibish and Encalada Grez, 2010</w:t>
      </w:r>
      <w:bookmarkEnd w:id="2"/>
      <w:r w:rsidRPr="00D60E97">
        <w:rPr>
          <w:rFonts w:eastAsia="Aptos"/>
          <w:sz w:val="14"/>
        </w:rPr>
        <w:t>, for a Canadian case study). As Lisa Lowe explains, ‘[t]he term racial capitalism captures the sense that actually existing capitalism exploits through culturally and socially constructed differences such as race, gender, region, and nationality, and is lived through these’ (</w:t>
      </w:r>
      <w:bookmarkStart w:id="3" w:name="bbib15"/>
      <w:r w:rsidRPr="00D60E97">
        <w:rPr>
          <w:rFonts w:eastAsia="Aptos"/>
          <w:sz w:val="14"/>
        </w:rPr>
        <w:t>Lowe, 2015</w:t>
      </w:r>
      <w:bookmarkEnd w:id="3"/>
      <w:r w:rsidRPr="00D60E97">
        <w:rPr>
          <w:rFonts w:eastAsia="Aptos"/>
          <w:sz w:val="14"/>
        </w:rPr>
        <w:t>, p. 149, emphasis in original). The connection between racialised and gendered designations is explored in detail in Gargi </w:t>
      </w:r>
      <w:bookmarkStart w:id="4" w:name="bbib2"/>
      <w:r w:rsidRPr="00D60E97">
        <w:rPr>
          <w:rFonts w:eastAsia="Aptos"/>
          <w:sz w:val="14"/>
        </w:rPr>
        <w:t>Bhattacharyya's (2018, p. 50)</w:t>
      </w:r>
      <w:bookmarkEnd w:id="4"/>
      <w:r w:rsidRPr="00D60E97">
        <w:rPr>
          <w:rFonts w:eastAsia="Aptos"/>
          <w:sz w:val="14"/>
        </w:rPr>
        <w:t> important chapter on how the relation between production and social reproduction is crucial to understanding racial capitalism (see also </w:t>
      </w:r>
      <w:bookmarkStart w:id="5" w:name="bbib39"/>
      <w:r w:rsidRPr="00D60E97">
        <w:rPr>
          <w:rFonts w:eastAsia="Aptos"/>
          <w:sz w:val="14"/>
        </w:rPr>
        <w:t>Shah and Lerche, 2020</w:t>
      </w:r>
      <w:bookmarkEnd w:id="5"/>
      <w:r w:rsidRPr="00D60E97">
        <w:rPr>
          <w:rFonts w:eastAsia="Aptos"/>
          <w:sz w:val="14"/>
        </w:rPr>
        <w:t>; Medland, 2021). The discussion of racial capitalism in this volume centres on the manner in which people are constituted as different kinds of participants in capitalist formations, both of production and consumption. In relation to questions of production, the interplay between reproductive and productive spheres constructs different kinds of creatures – from fully serviced ready-for-workers to hybrid beings who survive through a combination of ‘productive’ work and other forms of economic activity to those who exist at the edges or in the crevices of capitalist life-worlds. The concept ‘modern slavery’ is often ‘posed as transcending politics’, militating against a ‘politics of solidarity’ (</w:t>
      </w:r>
      <w:bookmarkStart w:id="6" w:name="bbib19"/>
      <w:r w:rsidRPr="00D60E97">
        <w:rPr>
          <w:rFonts w:eastAsia="Aptos"/>
          <w:sz w:val="14"/>
        </w:rPr>
        <w:t>McGrath and Mieres, 2014</w:t>
      </w:r>
      <w:bookmarkEnd w:id="6"/>
      <w:r w:rsidRPr="00D60E97">
        <w:rPr>
          <w:rFonts w:eastAsia="Aptos"/>
          <w:sz w:val="14"/>
        </w:rPr>
        <w:t>). It also hinders effective critique of the range of ways in which capitalism itself creates, perpetuates and relies on forms of unfree labour, including in agriculture (</w:t>
      </w:r>
      <w:bookmarkStart w:id="7" w:name="bbib31"/>
      <w:r w:rsidRPr="00D60E97">
        <w:rPr>
          <w:rFonts w:eastAsia="Aptos"/>
          <w:sz w:val="14"/>
        </w:rPr>
        <w:t>Rogaly, 2015</w:t>
      </w:r>
      <w:bookmarkEnd w:id="7"/>
      <w:r w:rsidRPr="00D60E97">
        <w:rPr>
          <w:rFonts w:eastAsia="Aptos"/>
          <w:sz w:val="14"/>
        </w:rPr>
        <w:t>). Yet, it is important to note how reference is sometimes made to ‘slavery’ by agricultural workers themselves to convey racialised hierarchies, and the harshness of working and living conditions, including the ways in which workers are spoken about - and spoken to - by employers and labour contractors. Summing up the agricultural workplace regimes recalled by her Latvian research participants employed in Norwegian agriculture, </w:t>
      </w:r>
      <w:bookmarkStart w:id="8" w:name="bbib16"/>
      <w:r w:rsidRPr="00D60E97">
        <w:rPr>
          <w:rFonts w:eastAsia="Aptos"/>
          <w:sz w:val="14"/>
        </w:rPr>
        <w:t>Lulle (2021)</w:t>
      </w:r>
      <w:bookmarkEnd w:id="8"/>
      <w:r w:rsidRPr="00D60E97">
        <w:rPr>
          <w:rFonts w:eastAsia="Aptos"/>
          <w:sz w:val="14"/>
        </w:rPr>
        <w:t> described ‘discipline’ as being ‘established, both in the fields and in the dormitories, by systems of close supervision involving infantilising practices such as shouting, restrictions on social contact, time management to concentrate solely on work and maintain tempo, and hostel curfews, resulting in a perception that this was little better than gendered “slave work”.’ Lulle quotes Daiga, a Latvian woman who worked in strawberry-producing greenhouses in the early 2000s. Daiga described what she had to do as ‘total slave work’. She refers directly to racialised hierarchies manifest in health and safety practices in the greenhouses, noting how, when a Norwegian on the farm had to handle pesticides, ‘he was fully dressed in protective clothing’, whereas ‘we Latvians, Estonians and Poles did it with our bare hands.’ Behind such practices lie processes of racialisation of certain people as expendable according to their nationality or their status as foreigners or migrants, not only, or necessarily, on the basis of skin colour alone. In his Foreword to the revised edition of Cedric Robinson's classic book Black Marxism, historian Robin Kelley summarises Robinson's argument regarding racial capitalism that ‘the racialization of the proletariat … began within Europe itself … the “lower orders” usually were comprised of immigrant workers from territories outside the nations in which they worked. These immigrant workers were placed at the bottom of a racial hierarchy’ (</w:t>
      </w:r>
      <w:bookmarkStart w:id="9" w:name="bbib27"/>
      <w:r w:rsidRPr="00D60E97">
        <w:rPr>
          <w:rFonts w:eastAsia="Aptos"/>
          <w:sz w:val="14"/>
        </w:rPr>
        <w:t>Robinson, 2000</w:t>
      </w:r>
      <w:bookmarkEnd w:id="9"/>
      <w:r w:rsidRPr="00D60E97">
        <w:rPr>
          <w:rFonts w:eastAsia="Aptos"/>
          <w:sz w:val="14"/>
        </w:rPr>
        <w:t xml:space="preserve">: xii). Fast forward to the tomato fields of Puglia, Italy in the 2010s and a manifestation of agricultural racial capitalism in which racialisation was part of a multi-pronged system of exploitation and oppression of African migrant workers (Melossi, 2021). Melossi worked for a local radio station (Radio Ghetto) run by workers living in shanty town settlements near the town of Foggia, before conducting her research. She locates the conditions of workers as produced by the intensive processor/distributor/retailer-dominated tomato capitalism, which she terms </w:t>
      </w:r>
      <w:r w:rsidRPr="00D60E97">
        <w:rPr>
          <w:rFonts w:eastAsia="Calibri"/>
          <w:sz w:val="14"/>
        </w:rPr>
        <w:t>the ‘tomato industry hierarchy chain’. This chain rests on a combination of structural forces produced and operated by the state</w:t>
      </w:r>
      <w:r w:rsidRPr="00D60E97">
        <w:rPr>
          <w:rFonts w:eastAsia="Aptos"/>
          <w:sz w:val="14"/>
        </w:rPr>
        <w:t xml:space="preserve">, large companies (including the media) and wider society. Melossi shows how </w:t>
      </w:r>
      <w:r w:rsidRPr="00C22081">
        <w:rPr>
          <w:rFonts w:eastAsia="Aptos"/>
          <w:b/>
          <w:iCs/>
          <w:sz w:val="26"/>
          <w:szCs w:val="24"/>
          <w:highlight w:val="magenta"/>
          <w:u w:val="single"/>
        </w:rPr>
        <w:t>the role of the state include</w:t>
      </w:r>
      <w:r w:rsidRPr="00D60E97">
        <w:rPr>
          <w:rFonts w:eastAsia="Aptos"/>
          <w:sz w:val="14"/>
        </w:rPr>
        <w:t xml:space="preserve">d i) police harassment of, and </w:t>
      </w:r>
      <w:r w:rsidRPr="00C22081">
        <w:rPr>
          <w:rFonts w:eastAsia="Aptos"/>
          <w:b/>
          <w:iCs/>
          <w:sz w:val="26"/>
          <w:szCs w:val="24"/>
          <w:highlight w:val="magenta"/>
          <w:u w:val="single"/>
        </w:rPr>
        <w:t>violence against, racialised</w:t>
      </w:r>
      <w:r w:rsidRPr="00D60E97">
        <w:rPr>
          <w:rFonts w:eastAsia="Aptos"/>
          <w:sz w:val="14"/>
        </w:rPr>
        <w:t xml:space="preserve"> migrant </w:t>
      </w:r>
      <w:r w:rsidRPr="00C22081">
        <w:rPr>
          <w:rFonts w:eastAsia="Aptos"/>
          <w:b/>
          <w:iCs/>
          <w:sz w:val="26"/>
          <w:szCs w:val="24"/>
          <w:highlight w:val="magenta"/>
          <w:u w:val="single"/>
        </w:rPr>
        <w:t>workers</w:t>
      </w:r>
      <w:r w:rsidRPr="00D60E97">
        <w:rPr>
          <w:rFonts w:eastAsia="Aptos"/>
          <w:sz w:val="14"/>
        </w:rPr>
        <w:t xml:space="preserve"> and ii) immigration law, </w:t>
      </w:r>
      <w:r w:rsidRPr="00C22081">
        <w:rPr>
          <w:rFonts w:eastAsia="Calibri"/>
          <w:b/>
          <w:iCs/>
          <w:sz w:val="26"/>
          <w:highlight w:val="magenta"/>
          <w:u w:val="single"/>
        </w:rPr>
        <w:t>creating insecure immigration statuses that made workers particularly vulnerable to deportation.</w:t>
      </w:r>
    </w:p>
    <w:bookmarkEnd w:id="0"/>
    <w:p w14:paraId="2F863E20" w14:textId="77777777" w:rsidR="00AD1531" w:rsidRPr="00FD1B95" w:rsidRDefault="00AD1531" w:rsidP="00AD1531"/>
    <w:p w14:paraId="4C0A1270" w14:textId="77777777" w:rsidR="00AD1531" w:rsidRPr="00FD1B95" w:rsidRDefault="00AD1531" w:rsidP="00AD1531">
      <w:pPr>
        <w:keepNext/>
        <w:keepLines/>
        <w:spacing w:before="40" w:after="0" w:line="256" w:lineRule="auto"/>
        <w:outlineLvl w:val="3"/>
        <w:rPr>
          <w:rFonts w:eastAsia="Times New Roman" w:cs="Times New Roman"/>
          <w:b/>
          <w:iCs/>
          <w:sz w:val="32"/>
        </w:rPr>
      </w:pPr>
      <w:r w:rsidRPr="00FD1B95">
        <w:rPr>
          <w:rFonts w:eastAsia="Times New Roman" w:cs="Times New Roman"/>
          <w:b/>
          <w:iCs/>
          <w:sz w:val="32"/>
        </w:rPr>
        <w:t xml:space="preserve">K impact turns case because the aff is a form of slow violence that legitimizes oppression. </w:t>
      </w:r>
    </w:p>
    <w:p w14:paraId="39723119" w14:textId="77777777" w:rsidR="00AD1531" w:rsidRPr="00FD1B95" w:rsidRDefault="00AD1531" w:rsidP="00AD1531">
      <w:pPr>
        <w:spacing w:line="256" w:lineRule="auto"/>
        <w:rPr>
          <w:rFonts w:eastAsia="Calibri"/>
          <w:b/>
          <w:bCs/>
          <w:sz w:val="26"/>
        </w:rPr>
      </w:pPr>
      <w:r w:rsidRPr="00FD1B95">
        <w:rPr>
          <w:rFonts w:eastAsia="Calibri"/>
          <w:b/>
          <w:bCs/>
          <w:sz w:val="26"/>
          <w:highlight w:val="magenta"/>
        </w:rPr>
        <w:t>Yetiş &amp; Bakırlıoğlu 23.</w:t>
      </w:r>
      <w:r w:rsidRPr="00FD1B95">
        <w:rPr>
          <w:rFonts w:eastAsia="Calibri"/>
          <w:b/>
          <w:bCs/>
          <w:sz w:val="26"/>
        </w:rPr>
        <w:t xml:space="preserve"> Fatalistic normalisation, daunted managerialism and afflictive condemnation as forms of slow violence. Humanities and Social Sciences Communications, 10(1). </w:t>
      </w:r>
      <w:hyperlink r:id="rId8" w:history="1">
        <w:r w:rsidRPr="00FD1B95">
          <w:rPr>
            <w:rFonts w:eastAsia="Calibri"/>
            <w:b/>
            <w:bCs/>
            <w:sz w:val="26"/>
          </w:rPr>
          <w:t>https://doi.org/10.1057/s41599-023-02147-2</w:t>
        </w:r>
      </w:hyperlink>
      <w:r w:rsidRPr="00FD1B95">
        <w:rPr>
          <w:rFonts w:eastAsia="Calibri"/>
          <w:b/>
          <w:bCs/>
          <w:sz w:val="26"/>
        </w:rPr>
        <w:t xml:space="preserve"> Rg:3</w:t>
      </w:r>
    </w:p>
    <w:p w14:paraId="6CD260D3" w14:textId="77777777" w:rsidR="00AD1531" w:rsidRPr="00FD1B95" w:rsidRDefault="00AD1531" w:rsidP="00AD1531">
      <w:pPr>
        <w:spacing w:line="256" w:lineRule="auto"/>
        <w:rPr>
          <w:rFonts w:eastAsia="Calibri"/>
          <w:sz w:val="8"/>
        </w:rPr>
      </w:pPr>
      <w:r w:rsidRPr="00FD1B95">
        <w:rPr>
          <w:rFonts w:eastAsia="Calibri"/>
          <w:sz w:val="8"/>
        </w:rPr>
        <w:t xml:space="preserve">We argue that slow violence is the operation of violence that is precisely in place in order to render violence-producing mechanisms and processes invisible, concealed and misrecognised. From this point of view, </w:t>
      </w:r>
      <w:r w:rsidRPr="00FD1B95">
        <w:rPr>
          <w:rFonts w:eastAsia="Calibri"/>
          <w:b/>
          <w:iCs/>
          <w:sz w:val="26"/>
          <w:highlight w:val="magenta"/>
          <w:u w:val="single"/>
        </w:rPr>
        <w:t xml:space="preserve">slow violence </w:t>
      </w:r>
      <w:r w:rsidRPr="00FD1B95">
        <w:rPr>
          <w:rFonts w:eastAsia="Calibri"/>
          <w:sz w:val="8"/>
        </w:rPr>
        <w:t xml:space="preserve">is more than a definition that covers the different types of violence and their effects that persist steadily within the social structure; it is a violent mechanism that produces the situations of not seeing, not realising, being indifferent, accepting, tolerating, and making do that keep the social structure with all its violence and harms intact. It veils the dynamic relations among varying forms of violence and social harm, hinders the acquisition of cognitive and emotional awareness about their presence and impact, and as a result, prevents the development of effective and comprehensive ways of challenging and eliminating them. In this paper, we introduce three distinct yet interrelated mechanisms of slow violence that operate as such, namely fatalistic normalisation, daunted managerialism, and afflictive condemnation, that can help identify and reveal the links between various forms of violence under the concept of slow violence for future studies. Fatalistic normalisation as slow violence Similar to the way Bourdieu puts forward the concept of symbolic violence (Bourdieu and Wacquant, 1992) with its characteristics of misrecognition and naturalisation to explicate the effects of symbolic power, we are utilising it to explicate the taken-for-granted nature of slow violence by just resigning to it or denying its existence. Bourdieu emphasises that the oppressed groups, mostly implicitly, internalise their conditions as normal, inevitable or necessary by misrecognising the true extent of inequalities and injustices they experience (Swartz, 2013). However, misrecognition is actually at play for both the subordinated and the dominant, involving complicity, internalisation and embodiment, yet in different ways. This non-physical form of violence emerges in the power relations of different social agents as internalised oppression, taking the forms of resignation and learned helplessness, embedded in the explanations to justify ongoing social and environmental harms, human suffering, exploitation, unfair discrimination, and social exclusion. It also emerges in the form of internalised domination, when the harms are either denied or misrecognised while perpetrators are not held accountable since they remain hidden, or their harms are justified in self-righteous, entitled manners (Tappan, 2006). The former </w:t>
      </w:r>
      <w:r w:rsidRPr="00FD1B95">
        <w:rPr>
          <w:rFonts w:eastAsia="Calibri"/>
          <w:b/>
          <w:iCs/>
          <w:sz w:val="26"/>
          <w:highlight w:val="magenta"/>
          <w:u w:val="single"/>
        </w:rPr>
        <w:t xml:space="preserve">mystifies </w:t>
      </w:r>
      <w:r w:rsidRPr="00FD1B95">
        <w:rPr>
          <w:rFonts w:eastAsia="Calibri"/>
          <w:sz w:val="8"/>
        </w:rPr>
        <w:t>the agents responsible for the</w:t>
      </w:r>
      <w:r w:rsidRPr="00FD1B95">
        <w:rPr>
          <w:rFonts w:eastAsia="Calibri"/>
          <w:b/>
          <w:iCs/>
          <w:sz w:val="8"/>
          <w:highlight w:val="magenta"/>
          <w:u w:val="single"/>
        </w:rPr>
        <w:t xml:space="preserve"> </w:t>
      </w:r>
      <w:r w:rsidRPr="00FD1B95">
        <w:rPr>
          <w:rFonts w:eastAsia="Calibri"/>
          <w:b/>
          <w:iCs/>
          <w:sz w:val="26"/>
          <w:highlight w:val="magenta"/>
          <w:u w:val="single"/>
        </w:rPr>
        <w:t>harms</w:t>
      </w:r>
      <w:r w:rsidRPr="00FD1B95">
        <w:rPr>
          <w:rFonts w:eastAsia="Calibri"/>
          <w:sz w:val="8"/>
        </w:rPr>
        <w:t>, and the latter indicates the entitlement to harm others claimed by the dominant groups through endorsing their superiority and prioritising their own interests as part of the natural social order or for the betterment of society as a whole. The phenomenon is often manifested through societal biases in</w:t>
      </w:r>
      <w:r w:rsidRPr="00FD1B95">
        <w:rPr>
          <w:rFonts w:eastAsia="Calibri"/>
          <w:b/>
          <w:iCs/>
          <w:sz w:val="26"/>
          <w:u w:val="single"/>
        </w:rPr>
        <w:t xml:space="preserve"> </w:t>
      </w:r>
      <w:r w:rsidRPr="00FD1B95">
        <w:rPr>
          <w:rFonts w:eastAsia="Calibri"/>
          <w:sz w:val="8"/>
        </w:rPr>
        <w:t>norms, such as racialised and gendered social order, regulations, laws, social policies and institutionalisation (e.g., education system), as a consequence of groups possessing greater social power imposing their norms on subordinate groups (Swartz, 2013). Bourdieu does not explicate symbolic violence only through the social suffering of subordinated groups but also through its mechanisms of misrecognised obedience legitimising and even concealing the interests of dominator groups through symbolic power</w:t>
      </w:r>
      <w:r w:rsidRPr="00FD1B95">
        <w:rPr>
          <w:rFonts w:eastAsia="Calibri"/>
          <w:b/>
          <w:iCs/>
          <w:sz w:val="26"/>
          <w:highlight w:val="magenta"/>
          <w:u w:val="single"/>
        </w:rPr>
        <w:t xml:space="preserve"> to reduce the possibility for resistance</w:t>
      </w:r>
      <w:r w:rsidRPr="00FD1B95">
        <w:rPr>
          <w:rFonts w:eastAsia="Calibri"/>
          <w:sz w:val="8"/>
        </w:rPr>
        <w:t xml:space="preserve"> against such violence (Swartz, 2013). In this paper, we refer to the operation of symbolic violence that depicts the social suffering of subordinated groups as unavoidable, even necessary, but also seemingly impossible to resist</w:t>
      </w:r>
      <w:r w:rsidRPr="00FD1B95">
        <w:rPr>
          <w:rFonts w:eastAsia="Calibri"/>
          <w:b/>
          <w:iCs/>
          <w:sz w:val="8"/>
          <w:highlight w:val="magenta"/>
          <w:u w:val="single"/>
        </w:rPr>
        <w:t xml:space="preserve"> </w:t>
      </w:r>
      <w:r w:rsidRPr="00FD1B95">
        <w:rPr>
          <w:rFonts w:eastAsia="Calibri"/>
          <w:sz w:val="8"/>
        </w:rPr>
        <w:t xml:space="preserve">as fatalistic normalisation. In explaining social harms, fatalistic normalisation works in varying directions, diverting the attention from a larger, relational and complex understanding of social phenomena that cause violence and harm toward either more simplistic and banal explanations (e.g., nature, destiny, God-given order and a necessary evil for societal good), the natural order of life where certain subordinate groups are left to—or let to—be vulnerable, inferior, exploitable and disposable, or odd cases of individuals who individually are not capable to adapt and survive in the existing social order. Even if these explanations are seemingly rooted in ideologically distinct origins, their operation and impacts are similar. Such explanations not only conceal the perpetrators of violence and harm but also hinder any further enquiry into it through the active production of ignorance (Lawrence, 2021). In the aftermath of the devastating Kahramanmaraş earthquakes on the 6th of February 2023 that killed more than 50,000 citizens, the rhetoric of the governing political party in Turkey demonstrated such fatalistic normalisation by evoking religion and nationalism. The president identified the citizens of Turkey as ‘mütevekkil’ (i.e., resigned to God) (Anadolu Agency, 2023) in an attempt to explicate their victimisation from earthquakes as inevitable and destined. Furthermore, the officials of the ruling party exalted the dead by referring to them as ‘martyrs’ rather than victims and exalted their victimisation as a ‘test of their faith’ rather than their suffering. In this way, getting killed during the earthquakes due to the misconduct of government officials transforms into fatalistic normalisation that is depicted, to some extent, as necessary for peace in the afterlife. Similar explanations for environmental harms, </w:t>
      </w:r>
      <w:r w:rsidRPr="00FD1B95">
        <w:rPr>
          <w:rFonts w:eastAsia="Calibri"/>
          <w:b/>
          <w:iCs/>
          <w:sz w:val="26"/>
          <w:highlight w:val="magenta"/>
          <w:u w:val="single"/>
        </w:rPr>
        <w:t xml:space="preserve">by externalising </w:t>
      </w:r>
      <w:r w:rsidRPr="00FD1B95">
        <w:rPr>
          <w:rFonts w:eastAsia="Calibri"/>
          <w:sz w:val="8"/>
        </w:rPr>
        <w:t>the</w:t>
      </w:r>
      <w:r w:rsidRPr="00FD1B95">
        <w:rPr>
          <w:rFonts w:eastAsia="Calibri"/>
          <w:b/>
          <w:iCs/>
          <w:sz w:val="26"/>
          <w:highlight w:val="magenta"/>
          <w:u w:val="single"/>
        </w:rPr>
        <w:t xml:space="preserve"> responsibility </w:t>
      </w:r>
      <w:r w:rsidRPr="00FD1B95">
        <w:rPr>
          <w:rFonts w:eastAsia="Calibri"/>
          <w:sz w:val="8"/>
        </w:rPr>
        <w:t>to natural or abstract forces rather than acknowledging the human agency and accountability involved in their production, can be observed in the climate change discourse. Climate change has become a dominant framework for understanding and communicating about various environmental disasters, such as hurricanes, floods and fires. However, the discourse of climate change is not monolithic or homogeneous; rather, it is contested and shaped by different actors with different interests and agendas. On the one hand, there are actors who deny the existence or the effects of climate change, such as some executives, politicians and segments of society who benefit from the status quo of fossil fuel consumption and economic growth (De Pryck and Gemenne, 2017). On the other hand, there are actors who acknowledge the reality and the urgency of climate change but fail to address its underlying causes or its uneven impacts, such as some news media organisations that report on ‘natural’ disasters without mentioning the role of everyday human activities (e.g., normalised collective reliance on petrochemical products) or their more devastating impacts on vulnerable, marginalised communities (Raju et al. 2022). In both cases, climate change, as a problem that occurs on a global scale and which many actors are involved in the formation of, is either dismissed or depoliticised, resulting in a lack of accountability and action for addressing the environmental harms that it entails. Accordingly, we are witnessing that the phenomenon of climate change has turned into a nifty excuse to hide those responsible for environmental disasters at the global, national, local, and individual levels (Lahsen et al. 2020). In cases where there are numerous perpetrators, identifying them one by one and holding them accountable becomes impossible. Therefore, we find ourselves in a situation where these disasters, which are increasing in frequency and severity under human influence, are accepted as the ‘new normal’</w:t>
      </w:r>
      <w:r w:rsidRPr="00FD1B95">
        <w:rPr>
          <w:rFonts w:eastAsia="Calibri"/>
          <w:b/>
          <w:iCs/>
          <w:sz w:val="26"/>
          <w:u w:val="single"/>
        </w:rPr>
        <w:t xml:space="preserve"> </w:t>
      </w:r>
      <w:r w:rsidRPr="00FD1B95">
        <w:rPr>
          <w:rFonts w:eastAsia="Calibri"/>
          <w:sz w:val="8"/>
        </w:rPr>
        <w:t>of society. As well as describing the damage done to the environment, slow violence is a term that refers to the violence we are constantly exposed to and have to contend with in our social lives. The violence in question here is one that is often not defined as violence and is taken for granted in the ordinary course of daily life. It is not only the victims of violence failing to name it or resigning to it but also the society in general that contributes to slow violence by ignoring its effects, making it invisible, not caring, and condoning violence as a kind of necessity—as in the literal, interpretative or implicatory states of denial (Cohen, 2013). Davies (2022) questions who is responsible for the isolation and discreetness of slow violence and identifies the dominant perspective that holds the power to determine what violence is and is not. There are almost always groups of people who experience the effects of the spread and accumulation of violence over time directly and in the most dramatic ways, and violence has a devastating effect directly penetrating into their life experiences. Meanwhile, the rest of the world largely ignores or denies this situation when someone else anywhere in the world suffers from such violence (Davies, 2022). The reason why any form of violence is not noticed by us may not be because, in reality, the effects of violence are too weak/slow to be felt, but because we are too far away to see/feel these effects, that is, we are in an advantageous position in the face of the reality of violence. Chronic infrastructural problems in the living environment, increasing air and water pollution, poor or inadequate nutrition, insufficient hygienic conditions of the living environment, densely populated/crowded households, the prevalence of violence and crime, and obstacles to accessing social services can be shown as examples of the struggles in daily life. Places where toxic wastes accumulate, where people and animals do not have access to clean drinking water, where natural habitats are plundered, where natural resources are exploited, and where famine, war, conflict, or various natural or human disasters happen, are the geographies where slow violence can be observed in its most dramatic form (Nixon, 2013). In such cases, environmental and social injustices coexist and feed off each other. Accordingly, slow violence is not only a concept limited to the effects of violence over time but also includes the uneven spatial and geographical distribution of violence and its consequences, as well as the denial of such violence and harm. Similarly, the problems of increasing inequality in income distribution, labour exploitation, precarious and poor working conditions (including workplace bullying), chronic unemployment, and the burden and</w:t>
      </w:r>
      <w:r w:rsidRPr="00FD1B95">
        <w:rPr>
          <w:rFonts w:eastAsia="Calibri"/>
          <w:sz w:val="10"/>
        </w:rPr>
        <w:t xml:space="preserve"> </w:t>
      </w:r>
      <w:r w:rsidRPr="00FD1B95">
        <w:rPr>
          <w:rFonts w:eastAsia="Calibri"/>
          <w:sz w:val="8"/>
        </w:rPr>
        <w:t>destruction created by the disintegration of the welfare state within the neoliberal order (Lorey, 2015) are signs of slow violence hidden in the pace of daily life itself. In particular, we witness that the disintegration of the welfare state and the shift of the responsibility of care mostly to women create restrictive and obstructive effects on women’s life choices and capabilities and that the imposed gender roles increase the social, emotional and economic pressure on women. While such a responsibility falls on women’s shoulders, the imposition of the responsibility of care as a kind of ‘womanly duty’ by referring to the gendered roles of women in the family and by introducing accepted gender stereotypes in society is an indication of the gendered dimension of slow violence. In parallel, the types of discrimination that manifest themselves on the basis of class, ethnicity, race, denomination, disability, gender and sexual orientation and that constantly oppress, dampen and damage the lives of individuals or various groups carry the unequal distribution of slow violence on the social level to a much more dramatic dimension. What makes this unequal distribution possible is the denial of the existence of such violence in the first place or interpreting its consequences either by condoning or minimising its effects or disavowing any culpability and social responsibility in its implication, which we identify as the consequences of fatalistic normalisation. These states of denial both maintain indifference and passivity in the face of persistent violence and serve to keep people’s complicity in creating the current conditions of violence hidden. Even when such violence is identifiable, we witness the victim of violence being blamed and activists who underline the impacts of violence and harm being harshly reprimanded. This reprimand and blaming often take place as minimising the effects of violence and appealing to the socially conventional and acceptable discourses to dismiss and even silence the advocacy attempts. For example, especially in the face of the problem of youth unemployment, it is suggested that young people are too picky about work, and the so-called complacency of young people is cited as the main reason for the current unemployment (Gündoğdu, 2020). Local people and environmentalists who react to the plunder of the environment are characterised as irrational groups that are far from economic realism and constitute obstacles to economic development and growth (Wapner, 2021). The women’s movement, which draws attention to domestic violence against women and carries out a struggle against this violence, is accused of being divisive against the unity of society and undermining the family institution designated as the pillar of society (Ahmed, 2023). Violence thus ensues as an inevitable consequence of a well-functioning system that guarantees the usual forms of comfort and interest which only a privileged small fraction of society can achieve; it is presented as a necessity for the maintenance of the social order sought to be sustained, or as a necessity for economic development/growth. Such a presentation reinforces the idea that perpetual violence is inevitable, imminent, and, in some cases, necessary to some extent. Daunted managerialism as slow violence When the effects of different forms of violence and harm can no longer be attributed to external agents and/or imminent to so-called well-functioning systems through fatalistic normalisation, thanks to sustained activism and successful naming of the violence phenomenon (Brydolf-Horwitz, 2018; Ahmed, 2023), discursive practices of managing it begin to emerge through the formation of novel framings of the issue. The management discourse here works by calibrating the magnitude of the violence phenomenon and its harms while accepting its existence as a problem to be managed. Violence is regarded as controllable and tolerable so long as it does not pose an agitating issue in the eyes of society, such as an incident, disaster, massacre, or brutal murder that has taken place at a certain point in time. Or, a certain level of betterment is promoted or promised either through the</w:t>
      </w:r>
      <w:r w:rsidRPr="00FD1B95">
        <w:rPr>
          <w:rFonts w:eastAsia="Calibri"/>
          <w:b/>
          <w:iCs/>
          <w:sz w:val="26"/>
          <w:u w:val="single"/>
        </w:rPr>
        <w:t xml:space="preserve"> </w:t>
      </w:r>
      <w:r w:rsidRPr="00FD1B95">
        <w:rPr>
          <w:rFonts w:eastAsia="Calibri"/>
          <w:sz w:val="8"/>
        </w:rPr>
        <w:t>discourses of policymakers or through the</w:t>
      </w:r>
      <w:r w:rsidRPr="00FD1B95">
        <w:rPr>
          <w:rFonts w:eastAsia="Calibri"/>
          <w:b/>
          <w:iCs/>
          <w:sz w:val="26"/>
          <w:highlight w:val="magenta"/>
          <w:u w:val="single"/>
        </w:rPr>
        <w:t xml:space="preserve"> implementation of revised policies and laws, </w:t>
      </w:r>
      <w:r w:rsidRPr="00FD1B95">
        <w:rPr>
          <w:rFonts w:eastAsia="Calibri"/>
          <w:sz w:val="8"/>
        </w:rPr>
        <w:t>which</w:t>
      </w:r>
      <w:r w:rsidRPr="00FD1B95">
        <w:rPr>
          <w:rFonts w:eastAsia="Calibri"/>
          <w:b/>
          <w:iCs/>
          <w:sz w:val="26"/>
          <w:highlight w:val="magenta"/>
          <w:u w:val="single"/>
        </w:rPr>
        <w:t xml:space="preserve"> results in </w:t>
      </w:r>
      <w:r w:rsidRPr="00FD1B95">
        <w:rPr>
          <w:rFonts w:eastAsia="Calibri"/>
          <w:sz w:val="8"/>
        </w:rPr>
        <w:t>a form of</w:t>
      </w:r>
      <w:r w:rsidRPr="00FD1B95">
        <w:rPr>
          <w:rFonts w:eastAsia="Calibri"/>
          <w:b/>
          <w:iCs/>
          <w:sz w:val="26"/>
          <w:highlight w:val="magenta"/>
          <w:u w:val="single"/>
        </w:rPr>
        <w:t xml:space="preserve"> cruel optimism</w:t>
      </w:r>
      <w:r w:rsidRPr="00FD1B95">
        <w:rPr>
          <w:rFonts w:eastAsia="Calibri"/>
          <w:sz w:val="8"/>
        </w:rPr>
        <w:t xml:space="preserve"> (Berlant, 2006). It is cruel because it constantly (re-)produces</w:t>
      </w:r>
      <w:r w:rsidRPr="00FD1B95">
        <w:rPr>
          <w:rFonts w:eastAsia="Calibri"/>
          <w:b/>
          <w:iCs/>
          <w:sz w:val="26"/>
          <w:u w:val="single"/>
        </w:rPr>
        <w:t xml:space="preserve"> </w:t>
      </w:r>
      <w:r w:rsidRPr="00FD1B95">
        <w:rPr>
          <w:rFonts w:eastAsia="Calibri"/>
          <w:b/>
          <w:iCs/>
          <w:sz w:val="26"/>
          <w:highlight w:val="magenta"/>
          <w:u w:val="single"/>
        </w:rPr>
        <w:t xml:space="preserve">an image of a better life </w:t>
      </w:r>
      <w:r w:rsidRPr="00FD1B95">
        <w:rPr>
          <w:rFonts w:eastAsia="Calibri"/>
          <w:sz w:val="8"/>
        </w:rPr>
        <w:t>achievable yet creates an impasse against a radical social transformation to eliminate different forms of violence since it</w:t>
      </w:r>
      <w:r w:rsidRPr="00FD1B95">
        <w:rPr>
          <w:rFonts w:eastAsia="Calibri"/>
          <w:b/>
          <w:iCs/>
          <w:sz w:val="8"/>
          <w:highlight w:val="magenta"/>
          <w:u w:val="single"/>
        </w:rPr>
        <w:t xml:space="preserve"> </w:t>
      </w:r>
      <w:r w:rsidRPr="00FD1B95">
        <w:rPr>
          <w:rFonts w:eastAsia="Calibri"/>
          <w:b/>
          <w:iCs/>
          <w:sz w:val="26"/>
          <w:highlight w:val="magenta"/>
          <w:u w:val="single"/>
        </w:rPr>
        <w:t>impedes people from detaching from what is already harmful</w:t>
      </w:r>
      <w:r w:rsidRPr="00FD1B95">
        <w:rPr>
          <w:rFonts w:eastAsia="Calibri"/>
          <w:sz w:val="8"/>
        </w:rPr>
        <w:t xml:space="preserve"> or not working (Meer, 2022). Meer (2022) provides an excellent depiction of such cruel optimism about racial justice and how the most obvious and hostile forms of racism seemingly diminishing create an image of the systemic racial injustices disappearing over time. Yet, there seems to be wide acceptance of institutional, systemic practices resulting in racial injustices, which are justified through policies in the face of the flow of migration, being tough on crime, and the war on terrorism. While the policies on racial discrimination identify what is unacceptable and intolerable as extreme and prosecute these extreme forms of racism, they also implicitly designate tolerable and acceptable levels of racism. In this case</w:t>
      </w:r>
      <w:r w:rsidRPr="00FD1B95">
        <w:rPr>
          <w:rFonts w:eastAsia="Calibri"/>
          <w:sz w:val="8"/>
          <w:highlight w:val="magenta"/>
        </w:rPr>
        <w:t xml:space="preserve">, </w:t>
      </w:r>
      <w:r w:rsidRPr="00FD1B95">
        <w:rPr>
          <w:rFonts w:eastAsia="Calibri"/>
          <w:b/>
          <w:iCs/>
          <w:sz w:val="26"/>
          <w:highlight w:val="magenta"/>
          <w:u w:val="single"/>
        </w:rPr>
        <w:t xml:space="preserve">institutional racism cannot be managed by existing public policy </w:t>
      </w:r>
      <w:r w:rsidRPr="00FD1B95">
        <w:rPr>
          <w:rFonts w:eastAsia="Calibri"/>
          <w:sz w:val="8"/>
        </w:rPr>
        <w:t xml:space="preserve">formally outlawing self-evident and explicit racist individual attitudes and practices since </w:t>
      </w:r>
      <w:r w:rsidRPr="00FD1B95">
        <w:rPr>
          <w:rFonts w:eastAsia="Calibri"/>
          <w:b/>
          <w:iCs/>
          <w:sz w:val="26"/>
          <w:highlight w:val="magenta"/>
          <w:u w:val="single"/>
        </w:rPr>
        <w:t xml:space="preserve">it </w:t>
      </w:r>
      <w:r w:rsidRPr="00FD1B95">
        <w:rPr>
          <w:rFonts w:eastAsia="Calibri"/>
          <w:sz w:val="8"/>
        </w:rPr>
        <w:t>still</w:t>
      </w:r>
      <w:r w:rsidRPr="00FD1B95">
        <w:rPr>
          <w:rFonts w:eastAsia="Calibri"/>
          <w:b/>
          <w:iCs/>
          <w:sz w:val="26"/>
          <w:u w:val="single"/>
        </w:rPr>
        <w:t xml:space="preserve"> </w:t>
      </w:r>
      <w:r w:rsidRPr="00FD1B95">
        <w:rPr>
          <w:rFonts w:eastAsia="Calibri"/>
          <w:b/>
          <w:iCs/>
          <w:sz w:val="26"/>
          <w:highlight w:val="magenta"/>
          <w:u w:val="single"/>
        </w:rPr>
        <w:t xml:space="preserve">persists </w:t>
      </w:r>
      <w:r w:rsidRPr="00FD1B95">
        <w:rPr>
          <w:rFonts w:eastAsia="Calibri"/>
          <w:sz w:val="8"/>
        </w:rPr>
        <w:t>and thrives on racial injustices deeply and insidiously</w:t>
      </w:r>
      <w:r w:rsidRPr="00FD1B95">
        <w:rPr>
          <w:rFonts w:eastAsia="Calibri"/>
          <w:b/>
          <w:iCs/>
          <w:sz w:val="26"/>
          <w:highlight w:val="magenta"/>
          <w:u w:val="single"/>
        </w:rPr>
        <w:t xml:space="preserve"> embedded in the organisational structure </w:t>
      </w:r>
      <w:r w:rsidRPr="00FD1B95">
        <w:rPr>
          <w:rFonts w:eastAsia="Calibri"/>
          <w:sz w:val="8"/>
        </w:rPr>
        <w:t xml:space="preserve">of society. Such cruel optimism can be observed in various areas of life and constitutes a part of daunted managerialism since it requires the reproduction of an image of a better society that keeps optimism alive, if not for today, at least for the future, and </w:t>
      </w:r>
      <w:r w:rsidRPr="00FD1B95">
        <w:rPr>
          <w:rFonts w:eastAsia="Calibri"/>
          <w:b/>
          <w:iCs/>
          <w:sz w:val="26"/>
          <w:highlight w:val="magenta"/>
          <w:u w:val="single"/>
        </w:rPr>
        <w:t xml:space="preserve">people end up making do within the </w:t>
      </w:r>
      <w:r w:rsidRPr="00FD1B95">
        <w:rPr>
          <w:rFonts w:eastAsia="Calibri"/>
          <w:sz w:val="8"/>
        </w:rPr>
        <w:t>existing</w:t>
      </w:r>
      <w:r w:rsidRPr="00FD1B95">
        <w:rPr>
          <w:rFonts w:eastAsia="Calibri"/>
          <w:b/>
          <w:iCs/>
          <w:sz w:val="26"/>
          <w:highlight w:val="magenta"/>
          <w:u w:val="single"/>
        </w:rPr>
        <w:t xml:space="preserve"> system </w:t>
      </w:r>
      <w:r w:rsidRPr="00FD1B95">
        <w:rPr>
          <w:rFonts w:eastAsia="Calibri"/>
          <w:sz w:val="8"/>
        </w:rPr>
        <w:t>retaining hope for the future. This also requires the capacity to calibrate the impacts of social and environmental harms not through radically eliminating them but through postponing and re-distributing their devastating impacts spatially and temporally. Through daunted managerialism</w:t>
      </w:r>
      <w:r w:rsidRPr="00FD1B95">
        <w:rPr>
          <w:rFonts w:eastAsia="Calibri"/>
          <w:b/>
          <w:iCs/>
          <w:sz w:val="26"/>
          <w:highlight w:val="magenta"/>
          <w:u w:val="single"/>
        </w:rPr>
        <w:t>,</w:t>
      </w:r>
      <w:r w:rsidRPr="00FD1B95">
        <w:rPr>
          <w:rFonts w:eastAsia="Calibri"/>
          <w:sz w:val="8"/>
          <w:highlight w:val="magenta"/>
        </w:rPr>
        <w:t xml:space="preserve"> </w:t>
      </w:r>
      <w:r w:rsidRPr="00FD1B95">
        <w:rPr>
          <w:rFonts w:eastAsia="Calibri"/>
          <w:b/>
          <w:iCs/>
          <w:sz w:val="26"/>
          <w:highlight w:val="magenta"/>
          <w:u w:val="single"/>
        </w:rPr>
        <w:t xml:space="preserve">harm and violence become palatable </w:t>
      </w:r>
      <w:r w:rsidRPr="00FD1B95">
        <w:rPr>
          <w:rFonts w:eastAsia="Calibri"/>
          <w:sz w:val="8"/>
        </w:rPr>
        <w:t>or at least absorbable to some extent</w:t>
      </w:r>
      <w:r w:rsidRPr="00FD1B95">
        <w:rPr>
          <w:rFonts w:eastAsia="Calibri"/>
          <w:b/>
          <w:iCs/>
          <w:sz w:val="26"/>
          <w:u w:val="single"/>
        </w:rPr>
        <w:t xml:space="preserve"> </w:t>
      </w:r>
      <w:r w:rsidRPr="00FD1B95">
        <w:rPr>
          <w:rFonts w:eastAsia="Calibri"/>
          <w:b/>
          <w:iCs/>
          <w:sz w:val="26"/>
          <w:highlight w:val="magenta"/>
          <w:u w:val="single"/>
        </w:rPr>
        <w:t xml:space="preserve">with promises of change </w:t>
      </w:r>
      <w:r w:rsidRPr="00FD1B95">
        <w:rPr>
          <w:rFonts w:eastAsia="Calibri"/>
          <w:sz w:val="8"/>
        </w:rPr>
        <w:t>and concealment of their long-term and cumulative detrimental effects – much like the boiling frog, or ‘killing us softly’ as in the song. Cruel optimism as daunted managerialism can be observed in the study of Gamu &amp; Dauvergne (2018) branded as corporate social responsibility (CSR) policies of mining companies in Peru. They present four cases of CSR activities revolving around income generation initiatives, institutionalised dialogue and compensation for eco-social damage. Throughout their analysis, they illustrate how these CSR activities serve a counter-mobilising function, especially by helping companies manage reactions from below. These CSR activities bring forward issues of distributing material benefits among communities and disguise the long-term harms of large-scale resource extraction to the involved communities. This indicates that mining companies slowly weave a dominant perspective acceptable to the involved communities using CSR programming, which also serves to conceal certain aspects of their main activities that can, in the long run, have catastrophic consequences. The affected communities, in turn, become implicated in their slow violence. Similar discourses can be observed in urban renewal and housing projects as well; their necessity and/or opportunities are promoted as sensible while their violent effects on particular groups (e.g., displacement) and/or places (e.g., gentrification) remain hidden (Rannila, 2021). A more pessimistic aspect of daunted managerialism can be explicated through the government of the precarious. Lorey (2015) analyses precarity in neoliberal conditions within the framework of both a way of life of the subject, a way of managing their own life, and the principle of governing and regulating these subjects. Butler (2016) also points to an individualist style of responsibility that is on the rise in the neoliberal era, as the conduct of conduct, the mentality of ‘every man for himself’. In turn, she notes that sovereignty today also corresponds to the demand for wider securitarian measures at the cost of collective efficacy and social responsibility (ibid.). In a predatory neoliberal global capitalist system where precarity is unequally distributed, the security of some can only be ensured by making others more precarious and even disposable.</w:t>
      </w:r>
    </w:p>
    <w:p w14:paraId="5DD96933" w14:textId="77777777" w:rsidR="00AD1531" w:rsidRPr="00FD1B95" w:rsidRDefault="00AD1531" w:rsidP="00AD1531">
      <w:pPr>
        <w:keepNext/>
        <w:keepLines/>
        <w:spacing w:before="40" w:after="0" w:line="256" w:lineRule="auto"/>
        <w:outlineLvl w:val="3"/>
        <w:rPr>
          <w:rFonts w:eastAsia="Times New Roman" w:cs="Latha"/>
          <w:b/>
          <w:iCs/>
          <w:sz w:val="32"/>
        </w:rPr>
      </w:pPr>
      <w:r w:rsidRPr="00FD1B95">
        <w:rPr>
          <w:rFonts w:eastAsia="Calibri" w:cs="Times New Roman"/>
          <w:b/>
          <w:iCs/>
          <w:sz w:val="32"/>
        </w:rPr>
        <w:t>We control the root causes in this debate; aff doesn’t get access to impacts because dismantling the system itself solves</w:t>
      </w:r>
      <w:r w:rsidRPr="00FD1B95">
        <w:rPr>
          <w:rFonts w:eastAsia="Times New Roman" w:cs="Latha"/>
          <w:b/>
          <w:iCs/>
          <w:sz w:val="32"/>
        </w:rPr>
        <w:t xml:space="preserve"> </w:t>
      </w:r>
    </w:p>
    <w:p w14:paraId="78A5AEC1" w14:textId="77777777" w:rsidR="00AD1531" w:rsidRPr="00FD1B95" w:rsidRDefault="00AD1531" w:rsidP="00AD1531">
      <w:pPr>
        <w:spacing w:line="256" w:lineRule="auto"/>
        <w:rPr>
          <w:rFonts w:eastAsia="Calibri"/>
          <w:b/>
          <w:bCs/>
          <w:sz w:val="8"/>
        </w:rPr>
      </w:pPr>
      <w:r w:rsidRPr="00FD1B95">
        <w:rPr>
          <w:rFonts w:eastAsia="Aptos"/>
          <w:b/>
          <w:bCs/>
          <w:sz w:val="26"/>
          <w:highlight w:val="magenta"/>
        </w:rPr>
        <w:t xml:space="preserve">Pinto </w:t>
      </w:r>
      <w:r w:rsidRPr="00FD1B95">
        <w:rPr>
          <w:rFonts w:eastAsia="Calibri"/>
          <w:b/>
          <w:bCs/>
          <w:sz w:val="26"/>
          <w:highlight w:val="magenta"/>
        </w:rPr>
        <w:t>’23</w:t>
      </w:r>
      <w:r w:rsidRPr="00FD1B95">
        <w:rPr>
          <w:rFonts w:eastAsia="Calibri"/>
          <w:b/>
          <w:bCs/>
          <w:sz w:val="26"/>
        </w:rPr>
        <w:t xml:space="preserve"> [Sanjay Pinto, “Economic Democracy against Racial Capitalism: Seeding Freedom,” Politics &amp; Society. Vol 51, iss. 2. 25 April 2023. https://doi-org.libweb.lib.utsa.edu/10.1177/00323292231164247]Lo </w:t>
      </w:r>
      <w:r w:rsidRPr="00FD1B95">
        <w:rPr>
          <w:rFonts w:eastAsia="Calibri"/>
          <w:b/>
          <w:bCs/>
          <w:sz w:val="8"/>
        </w:rPr>
        <w:t xml:space="preserve"> </w:t>
      </w:r>
    </w:p>
    <w:p w14:paraId="072E0B2B" w14:textId="77777777" w:rsidR="00AD1531" w:rsidRPr="00FD1B95" w:rsidRDefault="00AD1531" w:rsidP="00AD1531">
      <w:pPr>
        <w:spacing w:line="256" w:lineRule="auto"/>
        <w:rPr>
          <w:rFonts w:eastAsia="Calibri"/>
          <w:sz w:val="8"/>
        </w:rPr>
      </w:pPr>
      <w:r w:rsidRPr="00FD1B95">
        <w:rPr>
          <w:rFonts w:eastAsia="Calibri"/>
          <w:sz w:val="8"/>
        </w:rPr>
        <w:t xml:space="preserve">The argument advanced here suggests that democratizing firms must ultimately be linked to wider shifts in the deployment of state and social power, or risk becoming yet another project coopted to empower firms at the expense of broader democratic accountability. More specifically, the discussion below considers this two-pronged endeavor—democratizing firms and democratizing the larger economies in which they sit—within a context of structural racism. “Progressive actors in history have fought to emancipate colonies, slaves, ethnic groups, or women,” Ferreras writes. “Now it is time to emancipate workers.” Emancipation from legacies of slavery, conquest, and legalized gender subordination remain unfinished projects, however. Ferreras would surely agree with this. Wood, though, rather minimized the relevance of “identity” to the core project of democratizing the economy in Democracy against Capitalism and other work, worried that a focus on race and gender by forces on the left would obscure and eclipse class-based mobilization.13 Unfortunately, racial politics have indeed upended class solidarity, but Wood and other Left critics of identity </w:t>
      </w:r>
      <w:r w:rsidRPr="00FD1B95">
        <w:rPr>
          <w:rFonts w:eastAsia="Calibri"/>
          <w:b/>
          <w:iCs/>
          <w:sz w:val="26"/>
          <w:highlight w:val="magenta"/>
          <w:u w:val="single"/>
        </w:rPr>
        <w:t xml:space="preserve">politics have often lost sight of the vastly more important set of mechanisms that are at play: </w:t>
      </w:r>
      <w:r w:rsidRPr="00FD1B95">
        <w:rPr>
          <w:rFonts w:eastAsia="Calibri"/>
          <w:sz w:val="10"/>
        </w:rPr>
        <w:t>the ways in which racism has shaped class formation and consciousness, and capitalist dynamics</w:t>
      </w:r>
      <w:r w:rsidRPr="00FD1B95">
        <w:rPr>
          <w:rFonts w:eastAsia="Calibri"/>
          <w:b/>
          <w:iCs/>
          <w:sz w:val="10"/>
          <w:u w:val="single"/>
        </w:rPr>
        <w:t xml:space="preserve"> </w:t>
      </w:r>
      <w:r w:rsidRPr="00FD1B95">
        <w:rPr>
          <w:rFonts w:eastAsia="Calibri"/>
          <w:sz w:val="8"/>
        </w:rPr>
        <w:t xml:space="preserve">more broadly.14 </w:t>
      </w:r>
      <w:r w:rsidRPr="00FD1B95">
        <w:rPr>
          <w:rFonts w:eastAsia="Calibri"/>
          <w:b/>
          <w:iCs/>
          <w:sz w:val="26"/>
          <w:highlight w:val="magenta"/>
          <w:u w:val="single"/>
        </w:rPr>
        <w:t xml:space="preserve">Any project </w:t>
      </w:r>
      <w:r w:rsidRPr="00FD1B95">
        <w:rPr>
          <w:rFonts w:eastAsia="Calibri"/>
          <w:sz w:val="10"/>
        </w:rPr>
        <w:t>to advance economic democracy</w:t>
      </w:r>
      <w:r w:rsidRPr="00FD1B95">
        <w:rPr>
          <w:rFonts w:eastAsia="Calibri"/>
          <w:b/>
          <w:iCs/>
          <w:sz w:val="10"/>
          <w:highlight w:val="magenta"/>
          <w:u w:val="single"/>
        </w:rPr>
        <w:t xml:space="preserve"> </w:t>
      </w:r>
      <w:r w:rsidRPr="00FD1B95">
        <w:rPr>
          <w:rFonts w:eastAsia="Calibri"/>
          <w:b/>
          <w:iCs/>
          <w:sz w:val="26"/>
          <w:highlight w:val="magenta"/>
          <w:u w:val="single"/>
        </w:rPr>
        <w:t>must challenge racial capitalism specifically or fall into the same old traps.</w:t>
      </w:r>
      <w:r w:rsidRPr="00FD1B95">
        <w:rPr>
          <w:rFonts w:eastAsia="Calibri"/>
          <w:sz w:val="8"/>
        </w:rPr>
        <w:t xml:space="preserve"> </w:t>
      </w:r>
    </w:p>
    <w:p w14:paraId="0C6F1736" w14:textId="77777777" w:rsidR="00AD1531" w:rsidRPr="00FD1B95" w:rsidRDefault="00AD1531" w:rsidP="00AD1531">
      <w:pPr>
        <w:keepNext/>
        <w:keepLines/>
        <w:spacing w:before="40" w:after="0" w:line="256" w:lineRule="auto"/>
        <w:outlineLvl w:val="3"/>
        <w:rPr>
          <w:rFonts w:eastAsia="Times New Roman" w:cs="Times New Roman"/>
          <w:b/>
          <w:iCs/>
          <w:sz w:val="32"/>
        </w:rPr>
      </w:pPr>
      <w:r w:rsidRPr="00FD1B95">
        <w:rPr>
          <w:rFonts w:eastAsia="Times New Roman" w:cs="Times New Roman"/>
          <w:b/>
          <w:iCs/>
          <w:sz w:val="32"/>
        </w:rPr>
        <w:t>Aff cannot solve</w:t>
      </w:r>
      <w:r>
        <w:rPr>
          <w:rFonts w:eastAsia="Times New Roman" w:cs="Times New Roman"/>
          <w:b/>
          <w:iCs/>
          <w:sz w:val="32"/>
        </w:rPr>
        <w:t>- only material destruction of capitalism can stop genocide and inequality</w:t>
      </w:r>
      <w:r w:rsidRPr="00FD1B95">
        <w:rPr>
          <w:rFonts w:eastAsia="Times New Roman" w:cs="Times New Roman"/>
          <w:b/>
          <w:iCs/>
          <w:sz w:val="32"/>
        </w:rPr>
        <w:t xml:space="preserve">. </w:t>
      </w:r>
    </w:p>
    <w:p w14:paraId="1CDA3B00" w14:textId="77777777" w:rsidR="00AD1531" w:rsidRPr="00FD1B95" w:rsidRDefault="00AD1531" w:rsidP="00AD1531">
      <w:pPr>
        <w:spacing w:line="254" w:lineRule="auto"/>
        <w:rPr>
          <w:rFonts w:eastAsia="Calibri"/>
          <w:b/>
          <w:bCs/>
          <w:sz w:val="26"/>
        </w:rPr>
      </w:pPr>
      <w:r w:rsidRPr="00FD1B95">
        <w:rPr>
          <w:rFonts w:eastAsia="Calibri"/>
          <w:b/>
          <w:bCs/>
          <w:sz w:val="26"/>
          <w:highlight w:val="magenta"/>
        </w:rPr>
        <w:t>Harpy 25</w:t>
      </w:r>
      <w:r w:rsidRPr="00FD1B95">
        <w:rPr>
          <w:rFonts w:eastAsia="Calibri"/>
          <w:b/>
          <w:bCs/>
          <w:sz w:val="26"/>
        </w:rPr>
        <w:t xml:space="preserve"> Harpy S. Arm the Dolls. Hammer or Anvil? Published April 18, 2025. https://harpies.substack.com/p/arm-the-dolls Rg:3</w:t>
      </w:r>
    </w:p>
    <w:p w14:paraId="7B16344E" w14:textId="77777777" w:rsidR="00AD1531" w:rsidRPr="00FD1B95" w:rsidRDefault="00AD1531" w:rsidP="00AD1531">
      <w:pPr>
        <w:spacing w:line="254" w:lineRule="auto"/>
        <w:rPr>
          <w:rFonts w:eastAsia="Calibri"/>
          <w:sz w:val="8"/>
        </w:rPr>
      </w:pPr>
      <w:r w:rsidRPr="00FD1B95">
        <w:rPr>
          <w:rFonts w:eastAsia="Calibri"/>
          <w:sz w:val="8"/>
        </w:rPr>
        <w:t xml:space="preserve">Sarah Harpy Arm the Dolls What does “protection” mean in this patriarchal civilization? On April 16th, 2025, the supreme court of the united kingdom ruled that the categories of female and male would be defined by one’s assigned sex at birth. Just a single step behind the </w:t>
      </w:r>
      <w:r w:rsidRPr="00FD1B95">
        <w:rPr>
          <w:rFonts w:eastAsia="Calibri"/>
          <w:b/>
          <w:iCs/>
          <w:sz w:val="26"/>
          <w:highlight w:val="magenta"/>
          <w:u w:val="single"/>
        </w:rPr>
        <w:t>united states in the sprint towards trans genocide</w:t>
      </w:r>
      <w:r w:rsidRPr="00FD1B95">
        <w:rPr>
          <w:rFonts w:eastAsia="Calibri"/>
          <w:sz w:val="8"/>
        </w:rPr>
        <w:t xml:space="preserve">, Terf Island has placed trans women not only squarely in its rifle sights, but directly in front of the media’s eager, waiting cameras. Social media exploded with videos of well meaning cis women and even some trans men (don’t laugh!) praising trans women for fighting for the rights of all women and all queer people and urging everyone to, as the now popular t-shirt says, “protect the dolls.” But what does this actually mean? What does it mean to protect someone, really? In the face of the advancing transmisogynist state, of hormone bans, bathroom bills, stolen paperwork and the looming threat of deportation, what does it look like to protect someone? For this moment it seems to mean talking very loudly and publicly about what trans women bring to the table in our communities. Some of our broke sisters have highlighted our widespread poverty rates as a gender-class, ostensibly to get some kind of voluntary wealth transfer going. Really though, it seems to mostly mean buying t-shirts. Let me assume good faith but let’s also </w:t>
      </w:r>
      <w:r w:rsidRPr="00FD1B95">
        <w:rPr>
          <w:rFonts w:eastAsia="Calibri"/>
          <w:b/>
          <w:iCs/>
          <w:sz w:val="26"/>
          <w:highlight w:val="magenta"/>
          <w:u w:val="single"/>
        </w:rPr>
        <w:t>cut the shit</w:t>
      </w:r>
      <w:r w:rsidRPr="00FD1B95">
        <w:rPr>
          <w:rFonts w:eastAsia="Calibri"/>
          <w:sz w:val="8"/>
        </w:rPr>
        <w:t xml:space="preserve">, okay? I want to believe that everyone who says they’re worried about trans women actually is, and i want to believe that they want to do something about it. I believe the same thing about everyone who bought a kufiya in 2024, but besieged Gaza is still daily crushed under zionist bombs and tank treads. Even more than that i believe that the hundreds of thousands of people who rose up in 2020 and rioted and marched and organized against police brutality wanted freedom for the New Afrikan nation. And yet five years later it’s like that hot summer never happened. You don’t load a gun with genuine belief. If trans liberation is going to be the next radical trend to be picked up and discarded in a year, all while the state’s assault on us escalates into a fever pitch, then i want to be the first to come out against this moment. Will trans women, always short on real allies, wind up alone again by the time we’re legislated completely out of existence? The track record of the movements here in the imperial core is fucking awful, so that’s what i expect, but we have a chance to intervene here and now before this goes sideways. So let me be blunt for a minute. In For Women Only: The Rape Movement in Iraq &amp; Men’s Anti-War Politics, the anonymous author says “when the suits now talk of rescuing women, sisters should know the mass rapes have already begun.” Trans women should know by now that when people who aren’t us start talking about protecting us, that’s them marking their territory. This outcry isn’t about our freedom in a real way. This is about the leftovers of the women’s and queer movements losing access to our reproductive labor, the work we do for the community and the movement. Just glance over the videos coming out now “defending” us, none of them are about our own worth as women, rather they’re about what we do for everyone else (which i guess is how women’s worth is measured anyway). I’ve been saying this to trans women for years but let me now say it to everyone else. </w:t>
      </w:r>
      <w:r w:rsidRPr="00FD1B95">
        <w:rPr>
          <w:rFonts w:eastAsia="Calibri"/>
          <w:b/>
          <w:iCs/>
          <w:sz w:val="26"/>
          <w:highlight w:val="magenta"/>
          <w:u w:val="single"/>
        </w:rPr>
        <w:t>We have, for decades, been caught up in your movements, your communities, your organizations and it has gotten us nothing</w:t>
      </w:r>
      <w:r w:rsidRPr="00FD1B95">
        <w:rPr>
          <w:rFonts w:eastAsia="Calibri"/>
          <w:sz w:val="8"/>
        </w:rPr>
        <w:t xml:space="preserve">. Our foremothers Sylvia Rivera and Marsha P. Johnson understood this. Rivera’s disdain for the Human Rights Campaign was well known. In the 23 years since she died </w:t>
      </w:r>
      <w:r w:rsidRPr="00FD1B95">
        <w:rPr>
          <w:rFonts w:eastAsia="Calibri"/>
          <w:b/>
          <w:iCs/>
          <w:sz w:val="26"/>
          <w:highlight w:val="magenta"/>
          <w:u w:val="single"/>
        </w:rPr>
        <w:t>things have only gotten worse, genocidal even</w:t>
      </w:r>
      <w:r w:rsidRPr="00FD1B95">
        <w:rPr>
          <w:b/>
          <w:iCs/>
          <w:sz w:val="26"/>
          <w:highlight w:val="magenta"/>
          <w:u w:val="single"/>
        </w:rPr>
        <w:t>. It’s fashionable to</w:t>
      </w:r>
      <w:r w:rsidRPr="00FD1B95">
        <w:rPr>
          <w:rFonts w:eastAsia="Calibri"/>
          <w:sz w:val="8"/>
        </w:rPr>
        <w:t xml:space="preserve"> quote Marsha and Sylvia, to </w:t>
      </w:r>
      <w:r w:rsidRPr="00FD1B95">
        <w:rPr>
          <w:b/>
          <w:iCs/>
          <w:sz w:val="26"/>
          <w:highlight w:val="magenta"/>
          <w:u w:val="single"/>
        </w:rPr>
        <w:t>say that it was trans women of color who fought for all your rights</w:t>
      </w:r>
      <w:r w:rsidRPr="00FD1B95">
        <w:rPr>
          <w:rFonts w:eastAsia="Calibri"/>
          <w:sz w:val="8"/>
        </w:rPr>
        <w:t xml:space="preserve"> and privileges, </w:t>
      </w:r>
      <w:r w:rsidRPr="00FD1B95">
        <w:rPr>
          <w:b/>
          <w:iCs/>
          <w:sz w:val="26"/>
          <w:highlight w:val="magenta"/>
          <w:u w:val="single"/>
        </w:rPr>
        <w:t>but</w:t>
      </w:r>
      <w:r w:rsidRPr="00FD1B95">
        <w:rPr>
          <w:b/>
          <w:iCs/>
          <w:sz w:val="26"/>
          <w:u w:val="single"/>
        </w:rPr>
        <w:t xml:space="preserve"> </w:t>
      </w:r>
      <w:r w:rsidRPr="00FD1B95">
        <w:rPr>
          <w:rFonts w:eastAsia="Calibri"/>
          <w:sz w:val="8"/>
        </w:rPr>
        <w:t xml:space="preserve">only after both of them (and numerous other trans women of color) had their lives cut short by violence and illness and conscious neglect. And </w:t>
      </w:r>
      <w:r w:rsidRPr="00FD1B95">
        <w:rPr>
          <w:b/>
          <w:iCs/>
          <w:sz w:val="26"/>
          <w:highlight w:val="magenta"/>
          <w:u w:val="single"/>
        </w:rPr>
        <w:t>none of it means a thing</w:t>
      </w:r>
      <w:r w:rsidRPr="00FD1B95">
        <w:rPr>
          <w:rFonts w:eastAsia="Calibri"/>
          <w:sz w:val="8"/>
        </w:rPr>
        <w:t xml:space="preserve">. So to everyone scrambling to show the dolls that they care i have this to say: </w:t>
      </w:r>
      <w:r w:rsidRPr="00FD1B95">
        <w:rPr>
          <w:rFonts w:eastAsia="Calibri"/>
          <w:b/>
          <w:iCs/>
          <w:sz w:val="26"/>
          <w:highlight w:val="magenta"/>
          <w:u w:val="single"/>
        </w:rPr>
        <w:t>we got here because of you. It was your politics, your lines, your gender-class interests that led us to this place. If you want to switch shit up now and try to help us get out of this mess then the best thing you can do is take real aim at patriarchal civilization,</w:t>
      </w:r>
      <w:r w:rsidRPr="00FD1B95">
        <w:rPr>
          <w:rFonts w:eastAsia="Calibri"/>
          <w:sz w:val="8"/>
        </w:rPr>
        <w:t xml:space="preserve"> both in the ways you are oppressed by it and the ways you carry it into your lives and movements. In the meantime, as Sanyika Shakur said to euro-american radicals, slide any extra weapons our way. We don’t need instagram videos, we don’t need t-shirts, we need patriarchal civilization to be weakened by war on many fronts. To my trans sisters let me say this: no one is going to dig us out of this pit except for us. </w:t>
      </w:r>
      <w:r w:rsidRPr="00FD1B95">
        <w:rPr>
          <w:rFonts w:eastAsia="Calibri"/>
          <w:b/>
          <w:iCs/>
          <w:sz w:val="26"/>
          <w:highlight w:val="magenta"/>
          <w:u w:val="single"/>
        </w:rPr>
        <w:t xml:space="preserve">We need our own politics, our own armed units, </w:t>
      </w:r>
      <w:r w:rsidRPr="00FD1B95">
        <w:rPr>
          <w:rFonts w:eastAsia="Calibri"/>
          <w:sz w:val="8"/>
        </w:rPr>
        <w:t>our own territory and neighborhoods, to manage our own hormone production.</w:t>
      </w:r>
      <w:r w:rsidRPr="00FD1B95">
        <w:rPr>
          <w:rFonts w:eastAsia="Calibri"/>
          <w:b/>
          <w:iCs/>
          <w:sz w:val="8"/>
          <w:highlight w:val="magenta"/>
          <w:u w:val="single"/>
        </w:rPr>
        <w:t xml:space="preserve"> </w:t>
      </w:r>
      <w:r w:rsidRPr="00FD1B95">
        <w:rPr>
          <w:rFonts w:eastAsia="Calibri"/>
          <w:b/>
          <w:iCs/>
          <w:sz w:val="26"/>
          <w:highlight w:val="magenta"/>
          <w:u w:val="single"/>
        </w:rPr>
        <w:t>So long as we are dependent on patriarchal imperialism we are never going to free ourselves.</w:t>
      </w:r>
      <w:r w:rsidRPr="00FD1B95">
        <w:rPr>
          <w:rFonts w:eastAsia="Calibri"/>
          <w:sz w:val="8"/>
        </w:rPr>
        <w:t xml:space="preserve"> It’s one thing to recognize that it was the cis women’s movement or the transmasculine queer movement or whoever else who led us into this quagmire, but blame is only useful for splitting off. We still have to dig ourselves out, we still have to recognize that it was our political weakness that allowed everyone else to take advantage of us for so long. </w:t>
      </w:r>
      <w:r w:rsidRPr="00FD1B95">
        <w:rPr>
          <w:rFonts w:eastAsia="Calibri"/>
          <w:b/>
          <w:iCs/>
          <w:sz w:val="26"/>
          <w:highlight w:val="magenta"/>
          <w:u w:val="single"/>
        </w:rPr>
        <w:t>No one is coming to save us</w:t>
      </w:r>
      <w:r w:rsidRPr="00FD1B95">
        <w:rPr>
          <w:rFonts w:eastAsia="Calibri"/>
          <w:sz w:val="8"/>
        </w:rPr>
        <w:t xml:space="preserve">, no matter how many t-shirts they sell. A real life example of what i mean. In Harlem recently a young trans woman of color, Jaia Cruz, was attacked by a man in a deli. The man struck Jaia repeatedly, calling her a faggot and a tranny. Jaia stabbed him in self defense and her attacker died. She was sent to Rikers island without bail and, after accepting a plea deal, got 15 years in prison. Her official sentencing is at the end of May and while there is a small movement to free her, very few of us trans women want to understand what Jaia Cruz’s case means for us. As with CeCe McDonald back in 2011, Jaia Cruz’s sentence proves that there is no legal way to defend yourself as a trans woman of color. White sisters haven’t picked this up yet. See plenty of settler trans women are already armed. It’s popular and cute in our subcultures for white trans women to take thirst traps with their guns. This means almost nothing. Isolated gun fetishists will mean nothing when it comes to actually fighting a war against the state. A sister of mine compared them to those white settler rhodesian women who armed themselves against Zimbabwean revolutionaries. Without a revolutionary political-military theory and practice that sets us against the imperialist state and all of patriarchal civilization we, as settler trans women, are just as likely to die for white supremacy as we are to fight against it. Was that blunt enough to shake things up a little bit? I learned the hard way (as we all do eventually) that niceties and saved feelings get us nowhere in real terms. The feminist (and anti-feminist) left has long relied on telling lies and claiming easy victories to avoid the hard, messy work of sharpening our practice and evaluating our failures. I know i must sound like a broken record at this point but this moment will be squandered without the intervention of sisters who patriarchal society would like to ignore, denounce as insane or fringe. We are now, in a real way, gender outlaws. Not just because we violate unwritten patriarchal laws but because our very existence is more and more illegal. In this age of social media we have plenty of people sounding the alarm on these kinds of policies. What we need is a breakthrough in practical terms, new experiments in organizing and fighting against patriarchal civilization itself. We are, consciously or unconsciously, stuck repeating old forms of rebellion. Forms that didn’t work even when they were popular. The euro-style Marxist party building org, the anarchist charity projects, the Maoist youth study groups, none are adequate to even begin the work we need to do. So don’t waste your time buying t-shirts or filming tiktoks. </w:t>
      </w:r>
      <w:r w:rsidRPr="00FD1B95">
        <w:rPr>
          <w:rFonts w:eastAsia="Calibri"/>
          <w:sz w:val="10"/>
        </w:rPr>
        <w:t xml:space="preserve">The </w:t>
      </w:r>
      <w:r w:rsidRPr="00FD1B95">
        <w:rPr>
          <w:rFonts w:eastAsia="Calibri"/>
          <w:sz w:val="8"/>
        </w:rPr>
        <w:t>undertaking that’s sitting in front of all of us is too massive for any of us to shirk our duties, and anyone who doesn’t pitch in is getting left behind. The fracturing that’s happening now between dominant male fascism and gender outlaws isn’t going to leave anyone untouched. Lines are being drawn and you might look down to find you don’t like what side you wind up on. It’s harder to make that choice than you thinkth.</w:t>
      </w:r>
    </w:p>
    <w:p w14:paraId="1DE19537" w14:textId="77777777" w:rsidR="00AD1531" w:rsidRPr="00FD1B95" w:rsidRDefault="00AD1531" w:rsidP="00AD1531">
      <w:pPr>
        <w:keepNext/>
        <w:keepLines/>
        <w:spacing w:before="40" w:after="0" w:line="256" w:lineRule="auto"/>
        <w:outlineLvl w:val="3"/>
        <w:rPr>
          <w:rFonts w:eastAsia="Times New Roman" w:cs="Times New Roman"/>
          <w:b/>
          <w:iCs/>
          <w:sz w:val="32"/>
        </w:rPr>
      </w:pPr>
      <w:r w:rsidRPr="00FD1B95">
        <w:rPr>
          <w:rFonts w:eastAsia="Times New Roman" w:cs="Times New Roman"/>
          <w:b/>
          <w:iCs/>
          <w:sz w:val="32"/>
        </w:rPr>
        <w:t xml:space="preserve">Thus we affirm Black Trans Rage to end this world and mend another </w:t>
      </w:r>
    </w:p>
    <w:p w14:paraId="722622A3" w14:textId="77777777" w:rsidR="00AD1531" w:rsidRPr="00FD1B95" w:rsidRDefault="00AD1531" w:rsidP="00AD1531">
      <w:pPr>
        <w:spacing w:line="254" w:lineRule="auto"/>
        <w:rPr>
          <w:rFonts w:eastAsia="Calibri"/>
          <w:b/>
          <w:bCs/>
          <w:sz w:val="26"/>
        </w:rPr>
      </w:pPr>
      <w:r w:rsidRPr="00FD1B95">
        <w:rPr>
          <w:rFonts w:eastAsia="Calibri"/>
          <w:b/>
          <w:bCs/>
          <w:sz w:val="26"/>
          <w:highlight w:val="magenta"/>
        </w:rPr>
        <w:t>Fryer-Davis 25</w:t>
      </w:r>
      <w:r w:rsidRPr="00FD1B95">
        <w:rPr>
          <w:rFonts w:eastAsia="Calibri"/>
          <w:b/>
          <w:bCs/>
          <w:sz w:val="26"/>
        </w:rPr>
        <w:t xml:space="preserve"> Fryer-Davis V. Black Trans as Method: Revolutionary Love and rage. Journal of Critical Race Inquiry. 2025;12(1):1-18. doi:10.24908/jcri.v12i1.17630</w:t>
      </w:r>
    </w:p>
    <w:p w14:paraId="3C0BC83E" w14:textId="77777777" w:rsidR="00AD1531" w:rsidRPr="00FD1B95" w:rsidRDefault="00AD1531" w:rsidP="00AD1531">
      <w:pPr>
        <w:spacing w:line="254" w:lineRule="auto"/>
        <w:rPr>
          <w:rFonts w:eastAsia="Calibri"/>
          <w:sz w:val="10"/>
        </w:rPr>
      </w:pPr>
      <w:r w:rsidRPr="00FD1B95">
        <w:rPr>
          <w:rFonts w:eastAsia="Calibri"/>
          <w:sz w:val="10"/>
        </w:rPr>
        <w:t xml:space="preserve">In light of the recent political attacks against trans and Black people worldwide, scholarship has increasingly taken an interest in Black trans critique. However, centering Black trans people in scholarship or activism may expose them to further violence, particularly when the focus is on the death of Black trans women. Shifting the focus away from Black trans death, this article examines how living activists in the present abolish interlinking white supremacy and transphobia. Through case studies of Black trans abolitionists Miss Major and CeCe McDonald, I argue that Black trans love and rage are central to living a revolutionary life that is constantly threatened by the Prison Industrial Complex and other white supremacist transphobic structures. </w:t>
      </w:r>
      <w:r w:rsidRPr="00FD1B95">
        <w:rPr>
          <w:rFonts w:eastAsia="Calibri"/>
          <w:b/>
          <w:iCs/>
          <w:sz w:val="26"/>
          <w:highlight w:val="magenta"/>
          <w:u w:val="single"/>
        </w:rPr>
        <w:t xml:space="preserve">Black trans rage is </w:t>
      </w:r>
      <w:r w:rsidRPr="00FD1B95">
        <w:rPr>
          <w:sz w:val="10"/>
        </w:rPr>
        <w:t xml:space="preserve">the fire to live life unbound. It is </w:t>
      </w:r>
      <w:r w:rsidRPr="00FD1B95">
        <w:rPr>
          <w:rFonts w:eastAsia="Calibri"/>
          <w:b/>
          <w:iCs/>
          <w:sz w:val="26"/>
          <w:highlight w:val="magenta"/>
          <w:u w:val="single"/>
        </w:rPr>
        <w:t xml:space="preserve">committed to the abolition of structures that imprison bodies according to gendered and racialized codes, </w:t>
      </w:r>
      <w:r w:rsidRPr="00FD1B95">
        <w:rPr>
          <w:rFonts w:eastAsia="Calibri"/>
          <w:sz w:val="10"/>
        </w:rPr>
        <w:t>often</w:t>
      </w:r>
      <w:r w:rsidRPr="00FD1B95">
        <w:rPr>
          <w:rFonts w:eastAsia="Calibri"/>
          <w:b/>
          <w:iCs/>
          <w:sz w:val="8"/>
          <w:highlight w:val="magenta"/>
          <w:u w:val="single"/>
        </w:rPr>
        <w:t xml:space="preserve"> </w:t>
      </w:r>
      <w:r w:rsidRPr="00FD1B95">
        <w:rPr>
          <w:rFonts w:eastAsia="Calibri"/>
          <w:b/>
          <w:iCs/>
          <w:sz w:val="26"/>
          <w:highlight w:val="magenta"/>
          <w:u w:val="single"/>
        </w:rPr>
        <w:t>embracing violence to do so.</w:t>
      </w:r>
      <w:r w:rsidRPr="00FD1B95">
        <w:rPr>
          <w:rFonts w:eastAsia="Calibri"/>
          <w:sz w:val="10"/>
        </w:rPr>
        <w:t xml:space="preserve"> Black trans rage works in tandem with Black trans love that heals the self and others from the injuries inflicted by white supremacy and transphobia so that one might continue raging. It cultivates community that will sustain the fight for freedom through different forms of love: self-love, agape, philia, storge, and eros. Each of these forms of love are tools for living well under oppression while remaining committed to abolition. </w:t>
      </w:r>
      <w:r w:rsidRPr="00FD1B95">
        <w:rPr>
          <w:rFonts w:eastAsia="Calibri"/>
          <w:b/>
          <w:iCs/>
          <w:sz w:val="26"/>
          <w:highlight w:val="magenta"/>
          <w:u w:val="single"/>
        </w:rPr>
        <w:t>Centering Black trans rage</w:t>
      </w:r>
      <w:r w:rsidRPr="00FD1B95">
        <w:rPr>
          <w:rFonts w:eastAsia="Calibri"/>
          <w:sz w:val="10"/>
        </w:rPr>
        <w:t xml:space="preserve"> and love </w:t>
      </w:r>
      <w:r w:rsidRPr="00FD1B95">
        <w:rPr>
          <w:rFonts w:eastAsia="Calibri"/>
          <w:b/>
          <w:iCs/>
          <w:sz w:val="26"/>
          <w:highlight w:val="magenta"/>
          <w:u w:val="single"/>
        </w:rPr>
        <w:t xml:space="preserve">recognizes the affective resources </w:t>
      </w:r>
      <w:r w:rsidRPr="00FD1B95">
        <w:rPr>
          <w:rFonts w:eastAsia="Calibri"/>
          <w:sz w:val="10"/>
        </w:rPr>
        <w:t>that Black trans activists offer to revolutionary struggle</w:t>
      </w:r>
      <w:r w:rsidRPr="00FD1B95">
        <w:rPr>
          <w:rFonts w:eastAsia="Calibri"/>
          <w:b/>
          <w:iCs/>
          <w:sz w:val="26"/>
          <w:highlight w:val="magenta"/>
          <w:u w:val="single"/>
        </w:rPr>
        <w:t xml:space="preserve"> that will destabilize the capitalist and colonial structures around us.</w:t>
      </w:r>
      <w:r w:rsidRPr="00FD1B95">
        <w:rPr>
          <w:rFonts w:eastAsia="Calibri"/>
          <w:b/>
          <w:iCs/>
          <w:sz w:val="26"/>
          <w:u w:val="single"/>
        </w:rPr>
        <w:t xml:space="preserve"> </w:t>
      </w:r>
      <w:r w:rsidRPr="00FD1B95">
        <w:rPr>
          <w:rFonts w:eastAsia="Calibri"/>
          <w:sz w:val="10"/>
        </w:rPr>
        <w:t>Journal of Critical Race Inquiry Volume 12, Number 1 (2025) pp. 1-18 Black Trans Rage and Love: Notes Towards a Method of Revolutionary Life Valerie Fryer-Davis City University of New York Abstract: In light of the recent political attacks against trans and Black people worldwide, scholarship has increasingly taken an interest in Black trans critique. However, centering Black trans people in scholarship or activism may expose them to further violence, particularly when the focus is on the death of Black trans women. Shifting the focus away from Black trans death, this article examines how living activists in the present abolish interlinking white supremacy and transphobia. Through case studies of Black trans abolitionists Miss Major and CeCe McDonald, I argue that Black trans love and rage are central to living a revolutionary life that is constantly threatened by the Prison Industrial Complex and other white supremacist transphobic structures. Black trans rage is the fire to live life unbound. It is committed to the abolition of structures that imprison bodies according to gendered and racialized codes, often embracing violence to do so.</w:t>
      </w:r>
      <w:r w:rsidRPr="00FD1B95">
        <w:rPr>
          <w:rFonts w:eastAsia="Calibri"/>
          <w:b/>
          <w:iCs/>
          <w:sz w:val="8"/>
          <w:u w:val="single"/>
        </w:rPr>
        <w:t xml:space="preserve"> </w:t>
      </w:r>
      <w:r w:rsidRPr="00FD1B95">
        <w:rPr>
          <w:rFonts w:eastAsia="Calibri"/>
          <w:sz w:val="10"/>
        </w:rPr>
        <w:t>Black trans rage works in tandem with Black trans love that heals the self and others from the injuries inflicted by white supremacy and transphobia so that one might continue raging. It cultivates community that will sustain the fight for freedom through different forms of love: self-love, agape, philia, storge, and eros. Each of these forms of love are tools for living well under oppression while remaining committed to abolition. Centering Black trans rage and love recognizes the affective resources that Black trans activists offer to revolutionary struggle that will destabilize the capitalist and colonial structures around us. Keywords: Transgender, Black, Revolution, Abolition, Rage, Love How can we reconceptualize the fight for freedom through a Black trans method of revolutionary struggle that focuses on love, rage, and a vitality for life? Scholars of Black trans critique argue we must center “Black” and “trans” in liberation theory because gender in its first instance is racialized (Bailey, 2021; Bey, 2022; Smythe, 2021; Snorton, 2017). For example, Black women in America were historically seen as genderless labourers under slavery or reduced to harmful stereotypes such as the mammy or jezebel (Lindsey, 2022, pp. 16-17), while Black men were heavily policed due to fear of their assumed criminality or sexual superiority over white men (Curry, 2017, p. 148). But centering Black trans BLACK TRANS RAGE AND LOVE 2 people in our scholarship can be dangerous for living Black trans people. Eric A. Stanley (2017) aptly argues that the more visibility Black trans people receive in the media and in academic discourse, the more violence is directed at them (pp. 617-18). There is some relative safety in remaining hidden because then transphobic white supremacists can’t murder Black trans people who dare to claim humanity. And yet, when trans people remain hidden, oppressive racial and gender categories endure because the primary concern becomes survival rather than revolution. For example, Miss Major, a Black trans elder and abolitionist, recounts how, in the 1960’s when cross-dressing laws inhibited trans life, one of the only ways to survive while being hidden was through sex work. Such work was heavily policed, and so half of Black trans “gurls” (the term Miss Major uses for her trans girl community) ended up in men’s prisons, a third of whom were sexually assaulted while incarcerated (Meronek &amp; Griffin-Gracey, 2023). This double bind of hypervisibility and invisibility for Black trans women leads Stanley to ask, “how can we be seen without being known and how can we be known without being hunted?” (2017, p. 618). This question is central to my argument here, which sketches key elements of a Black trans method of revolution. The relationship between visibility and violence does not mean that we should give up on Black trans studies. While we must be wary of how trans people are incorporated as “props” into academic arguments to resolve gender and racial dilemmas, as Patterson and Spencer (2020) rightly warn, we must continue fighting for Black trans life through our scholarship. One way to ethically center Black and trans in scholarship is through first digging up the historical entanglements of white supremacy and transphobia. For example, Omise’eke Natasha Tinsley and Matt Richardson (2014) propose a “graverobber method,” urging us to “delve into the purposefully and accidentally immolated pasts of a variety of times and sites, in order to unearth the skeletons of racism, misogyny, and transphobia that dominant narratives keep invisible and disconnected in our understanding of times and places” (p. 153). As a case study, Tinsley and Richardson connect the racist and transphobic assault of Black trans woman CeCe McDonald in 2011 in Minneapolis to chattel slavery. They reveal how CeCe’s act of self-defense, which left her white supremacist attacker dead, challenged the colonial logics of transphobia and racism, where racial and gender categories were used to create submissive Black labourers. An assertive Black trans woman like CeCe “shatters” this colonial logic, triggering “outrage great enough to provoke attack” (p. 156, emphasis added). Tinsley and Richardson uncover the interlinked history of transphobia and white supremacy by borrowing stories from long-dead victims, thereby avoiding putting the violence against Black trans women today on pornographic display. In the final sentence of their article, Tinsley and Richardson suggest that the graverobbing method might help us to “find new tools for imagining [Black trans women’s] continued lives”</w:t>
      </w:r>
      <w:r w:rsidRPr="00FD1B95">
        <w:rPr>
          <w:rFonts w:eastAsia="Calibri"/>
          <w:b/>
          <w:iCs/>
          <w:sz w:val="8"/>
          <w:u w:val="single"/>
        </w:rPr>
        <w:t xml:space="preserve"> </w:t>
      </w:r>
      <w:r w:rsidRPr="00FD1B95">
        <w:rPr>
          <w:rFonts w:eastAsia="Calibri"/>
          <w:sz w:val="10"/>
        </w:rPr>
        <w:t xml:space="preserve">(2014, p. 161, emphasis added). When we historicize the racist and transphobic structures that endure today, we might be able to pick apart and abolish this imperial logic </w:t>
      </w:r>
      <w:r w:rsidRPr="00FD1B95">
        <w:rPr>
          <w:rFonts w:eastAsia="Calibri"/>
          <w:b/>
          <w:iCs/>
          <w:sz w:val="26"/>
          <w:highlight w:val="magenta"/>
          <w:u w:val="single"/>
        </w:rPr>
        <w:t>and thus imagine</w:t>
      </w:r>
      <w:r w:rsidRPr="00FD1B95">
        <w:rPr>
          <w:rFonts w:eastAsia="Calibri"/>
          <w:sz w:val="10"/>
        </w:rPr>
        <w:t xml:space="preserve">—to borrow a phrase from CeCe McDonald (2011)—a “trans-topia,” where everyone gets “free cookies” (adequate access to </w:t>
      </w:r>
      <w:r w:rsidRPr="00FD1B95">
        <w:rPr>
          <w:rFonts w:eastAsia="Calibri"/>
          <w:b/>
          <w:iCs/>
          <w:sz w:val="26"/>
          <w:highlight w:val="magenta"/>
          <w:u w:val="single"/>
        </w:rPr>
        <w:t>material sustenance</w:t>
      </w:r>
      <w:r w:rsidRPr="00FD1B95">
        <w:rPr>
          <w:rFonts w:eastAsia="Calibri"/>
          <w:sz w:val="10"/>
        </w:rPr>
        <w:t>), “unicorns” (unchecked trans joy),</w:t>
      </w:r>
      <w:r w:rsidRPr="00FD1B95">
        <w:rPr>
          <w:rFonts w:eastAsia="Calibri"/>
          <w:b/>
          <w:iCs/>
          <w:sz w:val="26"/>
          <w:highlight w:val="magenta"/>
          <w:u w:val="single"/>
        </w:rPr>
        <w:t xml:space="preserve"> and</w:t>
      </w:r>
      <w:r w:rsidRPr="00FD1B95">
        <w:rPr>
          <w:rFonts w:eastAsia="Calibri"/>
          <w:sz w:val="10"/>
        </w:rPr>
        <w:t xml:space="preserve"> “really cute clothes” </w:t>
      </w:r>
      <w:r w:rsidRPr="00FD1B95">
        <w:rPr>
          <w:rFonts w:eastAsia="Calibri"/>
          <w:b/>
          <w:iCs/>
          <w:sz w:val="26"/>
          <w:highlight w:val="magenta"/>
          <w:u w:val="single"/>
        </w:rPr>
        <w:t>(access to gender-affirming expression without the threat of violence).</w:t>
      </w:r>
      <w:r w:rsidRPr="00FD1B95">
        <w:rPr>
          <w:rFonts w:eastAsia="Calibri"/>
          <w:sz w:val="10"/>
        </w:rPr>
        <w:t xml:space="preserve"> My argument builds on the final sentence of Tinsley and Richardson’s article to imagine the “continued lives” of Black trans women. While their important work was BLACK TRANS RAGE AND LOVE 3 committed to digging up the death and violence of the past, the method of revolutionary struggle posited here focuses on the future of Black trans life, or CeCe’s trans-topia. It begins to develop a method of revolutionary struggle rooted in the life of Black trans existence to resist the “outrage” of sexist, transphobic, white supremacists. By centering the struggle to exist, this approach shifts the focus to the fight to abolish structures of dominance, rather than objectifying Black trans bodies for further violence. </w:t>
      </w:r>
      <w:r w:rsidRPr="00FD1B95">
        <w:rPr>
          <w:sz w:val="10"/>
        </w:rPr>
        <w:t>The method affirms the power of Black trans women to defend themselves from attack, resist the objectification of their bodies, and assert their dignity as human beings through rage and love</w:t>
      </w:r>
      <w:r w:rsidRPr="00FD1B95">
        <w:rPr>
          <w:rFonts w:eastAsia="Calibri"/>
          <w:sz w:val="10"/>
        </w:rPr>
        <w:t xml:space="preserve">. Rage and love have long been foundational terms in Black feminist and trans revolutionary thought, yet the focus has often been placed on one or the other. Consider, for example, bell hooks’ distinct projects, Killing Rage: Ending Racism and All About Love: New Visions. In the following sections, I will trace this genealogy to reveal how these terms can work together to advance collective liberation from gendered and racialized categories. This method of revolutionary struggle assumes that racism and transphobia are historically linked, and that the repression of Black and trans bodies is reinforced through the policing and caging of those who deviate from gendered and racialized normativity. Plenty of scholars have already observed these dynamics (as cited above), and so I will not rehash those arguments here. Nor will I overly focus on the death and violence that Black trans women face. This reality lingers in the background of my argument, and I ask that you, dear reader, do not forget it, so we can remain focused on why Black trans revolutionary work is necessary. To avoid fetishizing such violence, I highlight the vitality for life that current living activists embody as they work to abolish the Prison Industrial Complex (PIC) and other structures that bind us. This method of revolutionary life will sketch out different forms of love and rage enacted in the present through careful analysis of CeCe McDonald’s and Miss Major’s activities and philosophies—two Black trans women who remain devoted to abolition and “sucking every last drop of cum out of life” (Meronek &amp; Griffin-Gracey, 2023, p. 26). Abolition: Rage Against the Machine If we focus on the fight against structures of oppression, rather than fetishizing violence done to Black trans bodies, we must commit ourselves to abolition, as Marquis Bey suggests in their important monograph, Black Trans Feminism (2022). Bey argues that Black trans feminism is a praxis of reorganizing power through abolition, grounded in how Black, trans, and woman each abolish normative categories of being. Bey reminds us that Blackness is fugitivity through an analysis of how Black people were fugitives when escaping and resisting enslavement. However, Blackness as fugitivity was often expressed through defying gender categories, as seen in figures like Harriet Tubman, who dressed like a man to evade capture (Bey, 2022, p. 20). Thus, the fugitivity of Blackness is linked to transness, which upends gender categories. When deployed together through Black trans feminism, Bey reveals that Blackness is committed to abolition of social categories through “opening and unfixing” (p. 43), transness is radical movement towards this abolitionary work (p. 53), and feminism is radically inclusive of all oppressions through BLACK TRANS RAGE AND LOVE 4 intersectionality, so that we might abolish the entire system rather than only parts of it (p. 58). Black trans feminism is “radical” because it is “an imaginative will to engage life unbound” from the identity categories imposed by normativity (p. 12), which Bey sees as a violence done to all humans (pp. 37-38). They suggest that to reach a state of living unbound by normative categories of gender and race, we must remain committed to abolition, which Bey defines as “a modality and orientation to life and livability […], a quotidian working toward eradicating carceral logics as predicates for sociality and relationality” (p. 22). In other words, if we remain committed to abolishing categories of being—if we discard our attachments to identity categories—we might begin to undo their logic that does violence to us. Bey’s argument calls for the abolition not of the physical PIC, but of the logic that upholds it, along with other systems that entrap us. Bey’s theory of abolition is committed to life, aligning with the method I propose here. They affirm, “I am committed to nothing if I am not committed to life” (p. 10). I contend that this intense commitment to life through the abolition of social structures and logics is the work of rage. The scale of the violence of our racialized gender system—a system Miss Major calls “The Powers That Be,” which she visualizes as a giant octopus whose tentacles reach out and grab everyone in its clutches (Meronek &amp; Griffin-Gracey, 2023)—is so massive that it requires fury to even begin to challenge it. Fighting for life through abolition requires rage. Allow me to give an example of abolitionary rage to illustrate this point. In the opening scene of the documentary FREE CeCe!, which records the attack against CeCe McDonald, her unjust imprisonment for self-defense, and her life after prison, CeCe explains that she was conditioned to believe she was destined to be a victim of violence because she is Black and trans. At some point, she realized she had “the right to fight back” for her life. She describes how the man she killed was “getting off on seeing me beg for my life as a Black trans woman.” Leaning into the camera, brow furrowed, her voice growing louder as the music in the background crescendos (Gares, 2016, 1:10), her anger at her assumed victimhood to white supremacy and transphobia is palpable. In this moment, </w:t>
      </w:r>
      <w:r w:rsidRPr="00FD1B95">
        <w:rPr>
          <w:rFonts w:eastAsia="Calibri"/>
          <w:b/>
          <w:iCs/>
          <w:sz w:val="26"/>
          <w:highlight w:val="magenta"/>
          <w:u w:val="single"/>
        </w:rPr>
        <w:t xml:space="preserve">she affirms </w:t>
      </w:r>
      <w:r w:rsidRPr="00FD1B95">
        <w:rPr>
          <w:rFonts w:eastAsia="Calibri"/>
          <w:sz w:val="10"/>
        </w:rPr>
        <w:t>her right to defend</w:t>
      </w:r>
      <w:r w:rsidRPr="00FD1B95">
        <w:rPr>
          <w:rFonts w:eastAsia="Calibri"/>
          <w:b/>
          <w:iCs/>
          <w:sz w:val="26"/>
          <w:highlight w:val="magenta"/>
          <w:u w:val="single"/>
        </w:rPr>
        <w:t xml:space="preserve"> her life against these violent logics by killing her attacker</w:t>
      </w:r>
      <w:r w:rsidRPr="00FD1B95">
        <w:rPr>
          <w:rFonts w:eastAsia="Calibri"/>
          <w:sz w:val="10"/>
        </w:rPr>
        <w:t xml:space="preserve">. CeCe is filled with rage that is her fire for life. In the documentary, she gets a large tattoo of a phoenix across her stomach, adorned with a fiery crown. CeCe says that this crown and the phoenix symbolize the “white liquid fire [within me] that is keeping me charged” (Gares, 2016, 57:00). The phoenix metaphor resurfaces at the end of the film when CeCe speaks to a gathering of the National LGBTQ Task Force, shouting that we must create change to stop Black trans women from being killed and incarcerated. The next clip shows another trans rights activist calling CeCe a phoenix (1:23:00). One can feel the fire coming from CeCe in her speaking engagements: she gets loud, energetic, and emphatically calls out the lack of attention on incarcerated Black trans women. In a keynote address with C. Riley Snorton, the moderator remarks, “You have really set everybody on fire here” (McDonald &amp; Snorton, 2019, p. 132). CeCe claims </w:t>
      </w:r>
      <w:r w:rsidRPr="00FD1B95">
        <w:rPr>
          <w:rFonts w:eastAsia="Calibri"/>
          <w:b/>
          <w:iCs/>
          <w:sz w:val="26"/>
          <w:highlight w:val="magenta"/>
          <w:u w:val="single"/>
        </w:rPr>
        <w:t xml:space="preserve">Black trans rage, </w:t>
      </w:r>
      <w:r w:rsidRPr="00FD1B95">
        <w:rPr>
          <w:rFonts w:eastAsia="Calibri"/>
          <w:sz w:val="10"/>
        </w:rPr>
        <w:t xml:space="preserve">exerting her power to continuously fight for her life against the systems of white supremacy and transphobia that entrap her. There has been a wealth of theory on rage’s </w:t>
      </w:r>
      <w:r w:rsidRPr="00FD1B95">
        <w:rPr>
          <w:rFonts w:eastAsia="Calibri"/>
          <w:b/>
          <w:iCs/>
          <w:sz w:val="26"/>
          <w:highlight w:val="magenta"/>
          <w:u w:val="single"/>
        </w:rPr>
        <w:t>use-value in challenging systemic oppression because of the power it allows people to wield</w:t>
      </w:r>
      <w:r w:rsidRPr="00FD1B95">
        <w:rPr>
          <w:rFonts w:eastAsia="Calibri"/>
          <w:sz w:val="10"/>
        </w:rPr>
        <w:t xml:space="preserve">. Recent work on Black dignity BLACK TRANS RAGE AND LOVE 5 reveals how rage is an “expression of dignity” that calls into question or destroys racial hierarchies (Lloyd, 2022, p. 40). As Myisha Cherry (2021) argues, anti-racist rage or anger come from a particular “epistemic position”: it is the knowledge or encountering of one’s oppression under white supremacy (or transphobia) and the emotional response to it (pp. 4-5). Cherry builds from earlier theories, such as Audre Lorde’s (2020) definition of </w:t>
      </w:r>
      <w:r w:rsidRPr="00FD1B95">
        <w:rPr>
          <w:rFonts w:eastAsia="Calibri"/>
          <w:b/>
          <w:iCs/>
          <w:sz w:val="26"/>
          <w:highlight w:val="magenta"/>
          <w:u w:val="single"/>
        </w:rPr>
        <w:t xml:space="preserve">rage as an action </w:t>
      </w:r>
      <w:r w:rsidRPr="00FD1B95">
        <w:rPr>
          <w:rFonts w:eastAsia="Calibri"/>
          <w:sz w:val="10"/>
        </w:rPr>
        <w:t xml:space="preserve">committed to redirecting energy from experiencing racism to </w:t>
      </w:r>
      <w:r w:rsidRPr="00FD1B95">
        <w:rPr>
          <w:rFonts w:eastAsia="Calibri"/>
          <w:b/>
          <w:iCs/>
          <w:sz w:val="26"/>
          <w:highlight w:val="magenta"/>
          <w:u w:val="single"/>
        </w:rPr>
        <w:t>tearing down racist structures</w:t>
      </w:r>
      <w:r w:rsidRPr="00FD1B95">
        <w:rPr>
          <w:rFonts w:eastAsia="Calibri"/>
          <w:sz w:val="10"/>
        </w:rPr>
        <w:t xml:space="preserve">, and bell hooks’ (1996) view that rage is humanizing and asserts one’s presence in a racist world (p. 17). In each of these works, rage is an action that makes change in the world. It is thus performative: </w:t>
      </w:r>
      <w:r w:rsidRPr="00FD1B95">
        <w:rPr>
          <w:rFonts w:eastAsia="Calibri"/>
          <w:b/>
          <w:iCs/>
          <w:sz w:val="26"/>
          <w:highlight w:val="magenta"/>
          <w:u w:val="single"/>
        </w:rPr>
        <w:t>the world is different after rage, as one exerts their will onto it.</w:t>
      </w:r>
      <w:r w:rsidRPr="00FD1B95">
        <w:rPr>
          <w:rFonts w:eastAsia="Calibri"/>
          <w:sz w:val="10"/>
        </w:rPr>
        <w:t xml:space="preserve"> I distinguish rage from what we might call “anger,” which is merely a feeling in response to violence. </w:t>
      </w:r>
      <w:r w:rsidRPr="00FD1B95">
        <w:rPr>
          <w:rFonts w:eastAsia="Calibri"/>
          <w:b/>
          <w:iCs/>
          <w:sz w:val="26"/>
          <w:highlight w:val="magenta"/>
          <w:u w:val="single"/>
        </w:rPr>
        <w:t xml:space="preserve">Anger can become rage, but </w:t>
      </w:r>
      <w:r w:rsidRPr="00FD1B95">
        <w:rPr>
          <w:rFonts w:eastAsia="Calibri"/>
          <w:sz w:val="10"/>
        </w:rPr>
        <w:t>it</w:t>
      </w:r>
      <w:r w:rsidRPr="00FD1B95">
        <w:rPr>
          <w:rFonts w:eastAsia="Calibri"/>
          <w:b/>
          <w:iCs/>
          <w:sz w:val="10"/>
          <w:highlight w:val="magenta"/>
          <w:u w:val="single"/>
        </w:rPr>
        <w:t xml:space="preserve"> </w:t>
      </w:r>
      <w:r w:rsidRPr="00FD1B95">
        <w:rPr>
          <w:rFonts w:eastAsia="Calibri"/>
          <w:b/>
          <w:iCs/>
          <w:sz w:val="26"/>
          <w:highlight w:val="magenta"/>
          <w:u w:val="single"/>
        </w:rPr>
        <w:t xml:space="preserve">only </w:t>
      </w:r>
      <w:r w:rsidRPr="00FD1B95">
        <w:rPr>
          <w:rFonts w:eastAsia="Calibri"/>
          <w:sz w:val="10"/>
        </w:rPr>
        <w:t>does so</w:t>
      </w:r>
      <w:r w:rsidRPr="00FD1B95">
        <w:rPr>
          <w:rFonts w:eastAsia="Calibri"/>
          <w:b/>
          <w:iCs/>
          <w:sz w:val="8"/>
          <w:highlight w:val="magenta"/>
          <w:u w:val="single"/>
        </w:rPr>
        <w:t xml:space="preserve"> </w:t>
      </w:r>
      <w:r w:rsidRPr="00FD1B95">
        <w:rPr>
          <w:rFonts w:eastAsia="Calibri"/>
          <w:b/>
          <w:iCs/>
          <w:sz w:val="26"/>
          <w:highlight w:val="magenta"/>
          <w:u w:val="single"/>
        </w:rPr>
        <w:t>when channeled into action</w:t>
      </w:r>
      <w:r w:rsidRPr="00FD1B95">
        <w:rPr>
          <w:rFonts w:eastAsia="Calibri"/>
          <w:sz w:val="10"/>
        </w:rPr>
        <w:t>. Cherry (2021) aptly observes that there is useful rage and useless rage: useful rage is action which dismantles systems of oppression for the betterment of all (p. 24), whereas useless rage can attack the wrong target (family members, individuals, allies, etc.) or only dismantle parts of the system while leaving the rest intact (pp. 16-22). Finally, rage often requires violence. As Peter Hitchcock (2012) observes, you cannot challenge immense power with “eminently reasonable negotiation” (9); what incentive do The Powers That Be have to negotiate with an insignificant person? Black trans rage can be a powerful tool here to propel people from complacency to action since it provides one with the courage to take the leap to violence. I understand Black trans rage as abolition that seeks to dismantle (through violent means, if necessary) the systems that imprison us so that we might live life “unbound.” In other words, I suggest we read Bey’s commitment to life and abolition, or CeCe’s abolition activism, as the work of rage. Rage is the affective action necessary to create what CeCe calls a “trans-topia.” Getting to “trans-topia” certainly requires dismantling the gendered and raced carceral logic of our world, as Bey suggests, but it also necessitates physically abolishing the PIC, where racialized and gender categories are heavily enforced. Eric A. Stanley and Nat Smith’s (2011) collection of essays, Captive Genders: Trans Embodiment and The Prison Industrial Complex, provides a succinct summary of this problem. Throughout the essays, the authors reveal how trans people in the carceral system are denied access to life-saving gender-affirming care, sexually assaulted, forced to conform to clothing and hair regulations that cis inmates are not subject to, charged with harsher criminal charges, sentenced to longer terms for the same crimes committed by white cis people, and heavily policed. Additionally, the PIC has been called a modern-day form of slavery where people of colour are charged as felons for misdemeanors such as marijuana possession, and then forced to work for as little as 4¢/hr creating American-made consumer goods or building infrastructure (Gilmore, 2007). Abolition must be theorized in the context of this devastating violence to be read as rage work. One needs intense, fiery action to challenge such a violent system and assert one’s right to live. To further sketch out this theory of rage and its relationship to the PIC, I return to CeCe’s activism. She authored letters from prison that were filled with contempt for the death of trans women (McDonald, 2012, Nov. 16). She claimed that when she wrote these letters, she was “turnt up” (McDonald &amp; Snorton, 2019, p. 116), revealing how her writing serves as rage work. She channeled her anger into rageful writing that changed the world. These letters provided resources for people to take direct action against transphobia and BLACK TRANS RAGE AND LOVE 6 racism, such as her “31 Days of Giving” letter, which offered 31 different organizations to which one could donate or volunteer each day of December, addressing issues ranging from the abolition of prisons, to homelessness, to shipping unused medical supplies to South Sudan (McDonald, 2012, Dec. 4). In other words, CeCe wields rage to fight injustice against a wide range of issues,</w:t>
      </w:r>
      <w:r w:rsidRPr="00FD1B95">
        <w:rPr>
          <w:rFonts w:eastAsia="Calibri"/>
          <w:b/>
          <w:iCs/>
          <w:sz w:val="26"/>
          <w:highlight w:val="magenta"/>
          <w:u w:val="single"/>
        </w:rPr>
        <w:t xml:space="preserve"> to materially abolish the structures that oppress</w:t>
      </w:r>
      <w:r w:rsidRPr="00FD1B95">
        <w:rPr>
          <w:rFonts w:eastAsia="Calibri"/>
          <w:sz w:val="10"/>
        </w:rPr>
        <w:t xml:space="preserve"> all and bring us towards collective liberation. Cece’s </w:t>
      </w:r>
      <w:r w:rsidRPr="00FD1B95">
        <w:rPr>
          <w:sz w:val="10"/>
        </w:rPr>
        <w:t>positionality as a Black trans woman in prison provides her with the means to understand the interlinking oppressions of the world and feel anger over these injustices, which can then be channeled into rage. She herself describes how she got her political education in prison facing racist and transphobic policies, inmates, and guards (McDonald &amp; Snorton, 2019, p. 115), an experience shared by other radical Black trans women like Miss Major (Meronek &amp; Griffin-Gracey, 2023). Within the trans community, there is a concept called “egg cracking,” which refers to the moment one realizes they are trans: their entire worldview cracks like an egg, and they emerge as a newly hatched chick in a world determined to eradicate them. The shock of being thrust into a hostile world can be jarring and anger-inducing. But it is not the coming out itself that induces anger; rather, it is the encounter with a world that enacts violence on one’s body, mind, or spirit for merely existing. 1 When one is Black and trans, it is likely that one will encounter these moments daily. When the white supremacist attacked CeCe, he interpellated her as a Black trans woman whose presence in a public space demanded violence. When one’s mere presence triggers violence, this becomes a rapid education in how society negatively treats Black trans women, which serves as a cue to get active and channel that anger into rage that abolishes these violent structures. In the case of Black trans women, nothing triggers this anger as intensely or as often as the PIC, which continuously denies access to healthcare, misgenders, places individuals in solitary confinement, and sexually assaults. In incarceration, one is constantly denied a huge part of what makes someone human: love, care, and the ability to define one is and what form one’s body takes. The key to combating the moment of “egg-cracking,” or the constant encounter with one’s oppression, is to continue rising like a phoenix</w:t>
      </w:r>
      <w:r w:rsidRPr="00FD1B95">
        <w:rPr>
          <w:rFonts w:eastAsia="Calibri"/>
          <w:sz w:val="10"/>
        </w:rPr>
        <w:t xml:space="preserve">. One must, as CeCe teaches us, keep fighting with Black trans rage. One must fight for the abolition of the logic and physical structures of the Prison Industrial Complex. One must fight for life. What’s Love Got to Do with It? At the beginning of the previous section, I suggested that Marquis Bey’s commitment to life through Black trans feminist abolition was rage work. They also argue that Black trans feminism is a “love letter” for “those whose subjectivities are such that the world cannot yet accommodate them,” i.e., those whose non-normativity defies raced and gendered categories (2022, p. 6). Bey argues that abolishing such categories might allow us to love “without, and as a rejection of, fixing us, limiting or knowing us in totality” (p. 41). In other words, Black trans feminism’s abolition is a praxis of love—a “love letter”—that leads us to a space where we might love each other without the identity categories that attempt to constrain us or our love. This is a deconstructive move, which aligns closely with Chela BLACK TRANS RAGE AND LOVE 7 Sandoval’s theory of love, where love is a hermeneutic that counters dominant supremacies (2000, p. 140). In her work, Sandoval commits to deconstruction (among other strategies), asking us to give up the peace of mind of the dominant meaning “to break it apart through the trauma of the puncture, of love” (p. 146). Love, then, breaks apart dominant meanings and identity categories that bring us comfort. We are attached to these categories, but as Bey aptly observes, we must relinquish them if we are to challenge the systems that oppress us based on those very categories (2022: pp. 5-6). This labour, as mentioned above, is the work of rage, but it is also loving labour that seeks to affirm the humanity of all. Black trans feminism is not liberal humanism that seeks to ignore or eliminate difference. Rather, it seeks to wield modes of living defined by non-normativity (Black, trans, woman) to make itself obsolete through abolition. If successful in its mission, we will no longer need categories of Black, trans, and woman. It is thus not the “identity politics” of the Combahee River Collective, which relies on the felt experience of being a Black woman to deconstruct intersecting oppression. Bey is wary of intersectionality, quoting Jennifer Nash’s work, because “it often conflates black women with the wholly oppressed and thus evacuates them of the possibility of privilege and the ability to do harm” (Bey, 2022, p. 58). In other words, Black feminist intersectionality fails to adhere to the fugitivity of Blackness and transness because it fixes gendered and racialized categories. This is an extension of Nash’s (2018) aptly titled Black Feminism Reimagined: After Intersectionality. </w:t>
      </w:r>
    </w:p>
    <w:p w14:paraId="2B0DC446" w14:textId="77777777" w:rsidR="00AD1531" w:rsidRPr="00FD1B95" w:rsidRDefault="00AD1531" w:rsidP="00AD1531">
      <w:pPr>
        <w:keepNext/>
        <w:keepLines/>
        <w:spacing w:before="40" w:after="0"/>
        <w:outlineLvl w:val="3"/>
        <w:rPr>
          <w:rFonts w:eastAsiaTheme="majorEastAsia" w:cstheme="majorBidi"/>
          <w:b/>
          <w:iCs/>
          <w:sz w:val="32"/>
        </w:rPr>
      </w:pPr>
      <w:r w:rsidRPr="00FD1B95">
        <w:rPr>
          <w:rFonts w:eastAsiaTheme="majorEastAsia" w:cstheme="majorBidi"/>
          <w:b/>
          <w:iCs/>
          <w:sz w:val="32"/>
        </w:rPr>
        <w:t>It is try or die for the al</w:t>
      </w:r>
      <w:r>
        <w:rPr>
          <w:rFonts w:eastAsiaTheme="majorEastAsia" w:cstheme="majorBidi"/>
          <w:b/>
          <w:iCs/>
          <w:sz w:val="32"/>
        </w:rPr>
        <w:t>t- unless kill capitalism it will kill us</w:t>
      </w:r>
      <w:r w:rsidRPr="00FD1B95">
        <w:rPr>
          <w:rFonts w:eastAsiaTheme="majorEastAsia" w:cstheme="majorBidi"/>
          <w:b/>
          <w:iCs/>
          <w:sz w:val="32"/>
        </w:rPr>
        <w:t>.</w:t>
      </w:r>
    </w:p>
    <w:p w14:paraId="4A2F6B6D" w14:textId="77777777" w:rsidR="00AD1531" w:rsidRPr="00FD1B95" w:rsidRDefault="00AD1531" w:rsidP="00AD1531">
      <w:pPr>
        <w:rPr>
          <w:b/>
          <w:bCs/>
          <w:sz w:val="26"/>
        </w:rPr>
      </w:pPr>
      <w:r w:rsidRPr="00FD1B95">
        <w:rPr>
          <w:b/>
          <w:bCs/>
          <w:sz w:val="26"/>
          <w:highlight w:val="magenta"/>
        </w:rPr>
        <w:t>Ambrose 25</w:t>
      </w:r>
      <w:r w:rsidRPr="00FD1B95">
        <w:rPr>
          <w:b/>
          <w:bCs/>
          <w:sz w:val="26"/>
        </w:rPr>
        <w:t xml:space="preserve"> Elyse Ambrose; Beyond: Adumbrations toward Black Trans Ethical World(un)making. QTR: A Journal of Trans and Queer Studies in Religion 1 May 2025; 2 (1): 27–39. doi: </w:t>
      </w:r>
      <w:hyperlink r:id="rId9" w:history="1">
        <w:r w:rsidRPr="00FD1B95">
          <w:rPr>
            <w:b/>
            <w:bCs/>
            <w:sz w:val="26"/>
          </w:rPr>
          <w:t>https://doi.org/10.1215/29944724-11679547</w:t>
        </w:r>
      </w:hyperlink>
      <w:r w:rsidRPr="00FD1B95">
        <w:rPr>
          <w:b/>
          <w:bCs/>
          <w:sz w:val="26"/>
        </w:rPr>
        <w:t xml:space="preserve"> Rg:3</w:t>
      </w:r>
    </w:p>
    <w:p w14:paraId="1838FEB4" w14:textId="77777777" w:rsidR="00AD1531" w:rsidRPr="00FD1B95" w:rsidRDefault="00AD1531" w:rsidP="00AD1531">
      <w:pPr>
        <w:rPr>
          <w:sz w:val="8"/>
        </w:rPr>
      </w:pPr>
      <w:r w:rsidRPr="00FD1B95">
        <w:rPr>
          <w:sz w:val="8"/>
        </w:rPr>
        <w:t>That they moved within worlds beyond is the prize. Summer Azure figures people who could fly and do, who subsequently go away from the evils that threaten life, Black life. In their agency they fly and, in this movement, refuse the restrictions on their Black bodies. Central to Tourmaline’s corpus is an acknowledgment, a veneration of her ancestors and transcestors. She chose, or was chosen by, Marsha P. Johnson to inspire the creation of Summer Azure. In cofounding STAR (Street Transvestite Action Revolutionaries) with Sylvia Rivera, Johnson separated from an increasingly white and normatively cis-man-dominated gay movement with homonormative aspirations. They founded an organization of and for people experiencing various forms of marginalization, including imprisonment and poverty, from among a group of activists committed to a multipronged radical movement.19 Tourmaline was further inspired in her art by Johnson’s resistance and (un) worlding where entire selves can be presenced—the “light, fun, nothing serious is going on here parts,” the quotidian that has “such a powerful way of transforming [oppressive] conditions.” Tourmaline says further of her relationship to Johnson that from her she gained a deepening into “dreaming beyond what was.”20 To dream, to live within a beyond as a disconsideration, is to pay it no mind, whatever “it” may be. With her chosen, playfully poignant middle name, Marsha “Pay It No Mind” Johnson emboldens herself and others to world(un)make through their everyday knowing, a prescient knowing, intimate as one’s own name or mantra, one’s own ethic. This imperative shapes the worlds we are able to envision. Johnson explains her “freedom dream” of STAR, as Tourmaline calls it borrowing from Robin D. G. Kelley,21 this way: STAR is a very revolutionary group. We believe in</w:t>
      </w:r>
      <w:r w:rsidRPr="00FD1B95">
        <w:rPr>
          <w:b/>
          <w:iCs/>
          <w:sz w:val="8"/>
          <w:highlight w:val="magenta"/>
          <w:u w:val="single"/>
        </w:rPr>
        <w:t xml:space="preserve"> </w:t>
      </w:r>
      <w:r w:rsidRPr="00FD1B95">
        <w:rPr>
          <w:b/>
          <w:iCs/>
          <w:sz w:val="26"/>
          <w:highlight w:val="magenta"/>
          <w:u w:val="single"/>
        </w:rPr>
        <w:t xml:space="preserve">picking up the gun, starting a revolution </w:t>
      </w:r>
      <w:r w:rsidRPr="00FD1B95">
        <w:rPr>
          <w:sz w:val="8"/>
        </w:rPr>
        <w:t>if necessary. Our main goal is</w:t>
      </w:r>
      <w:r w:rsidRPr="00FD1B95">
        <w:rPr>
          <w:b/>
          <w:iCs/>
          <w:sz w:val="8"/>
          <w:highlight w:val="magenta"/>
          <w:u w:val="single"/>
        </w:rPr>
        <w:t xml:space="preserve"> </w:t>
      </w:r>
      <w:r w:rsidRPr="00FD1B95">
        <w:rPr>
          <w:b/>
          <w:iCs/>
          <w:sz w:val="26"/>
          <w:highlight w:val="magenta"/>
          <w:u w:val="single"/>
        </w:rPr>
        <w:t xml:space="preserve">to see </w:t>
      </w:r>
      <w:r w:rsidRPr="00FD1B95">
        <w:rPr>
          <w:sz w:val="8"/>
        </w:rPr>
        <w:t>gay</w:t>
      </w:r>
      <w:r w:rsidRPr="00FD1B95">
        <w:rPr>
          <w:b/>
          <w:iCs/>
          <w:sz w:val="26"/>
          <w:highlight w:val="magenta"/>
          <w:u w:val="single"/>
        </w:rPr>
        <w:t xml:space="preserve"> people liberated and free</w:t>
      </w:r>
      <w:r w:rsidRPr="00FD1B95">
        <w:rPr>
          <w:sz w:val="8"/>
        </w:rPr>
        <w:t xml:space="preserve">. . . . We’d like to see our gay brothers and sisters out of jail and on the streets again. There are a lot of gay transvestites who have been in jail for no reason at all, and the reason why they don’t get out is they can’t get a lawyer or bail. . . . I would like to see STAR with a big bank account like we had before, and I’d like to see that STAR home again. . . . We’re going to be doing STAR dances, open a new STAR home, a STAR telephone, 24 hours a day, a STAR recreation center. But this is only after our bank account is pretty well together. And plus we’re going to have a bail fund for every transvestite that’s arrested, to see they get out on bail, and see if we can get a STAR lawyer to help transvestites in court.22 Out of jail. On the streets again. These speak of an elsewhere outside of the constraints of the criminalization and incarceration of here. Even if Johnson’s vision must regard and take seriously the material reality of her siblings in one world, her imagination glimpses </w:t>
      </w:r>
      <w:r w:rsidRPr="00FD1B95">
        <w:rPr>
          <w:b/>
          <w:iCs/>
          <w:sz w:val="26"/>
          <w:highlight w:val="magenta"/>
          <w:u w:val="single"/>
        </w:rPr>
        <w:t xml:space="preserve">an other world </w:t>
      </w:r>
      <w:r w:rsidRPr="00FD1B95">
        <w:rPr>
          <w:sz w:val="8"/>
        </w:rPr>
        <w:t xml:space="preserve">within which there is provision, no arbitrary policing of bodies, the ability to exercise power, freedom of movement. The subject in Summer Azure mirrors bodies who refuse the imprisonment and erasure of Black trans vibrancy and instead ascend in plain view, </w:t>
      </w:r>
      <w:r w:rsidRPr="00FD1B95">
        <w:rPr>
          <w:b/>
          <w:iCs/>
          <w:sz w:val="26"/>
          <w:highlight w:val="magenta"/>
          <w:u w:val="single"/>
        </w:rPr>
        <w:t>toward a beyond that exceeds the reach of death-dealing policies, hegemonic imagination, and racism and cissexism that kills.</w:t>
      </w:r>
      <w:r w:rsidRPr="00FD1B95">
        <w:rPr>
          <w:b/>
          <w:iCs/>
          <w:sz w:val="26"/>
          <w:u w:val="single"/>
        </w:rPr>
        <w:t xml:space="preserve"> </w:t>
      </w:r>
      <w:r w:rsidRPr="00FD1B95">
        <w:rPr>
          <w:sz w:val="8"/>
        </w:rPr>
        <w:t xml:space="preserve">Beyond—to where? That is unclear, but at the very least it is not here. Akin to Saidiya V. Hartman’s Black woman wayward figure, Mattie, who sought “an elsewhere and an otherwise” as she fled violence and limitation,23 Summer Azure points to an other where. This beyond does not leave the body and its adornments behind. Speaking to the importance of fashion, namely amid a history where it was criminalized to wear clothing of another gender, in this piece and others, the artist (and subject) employs the possibility of being fashionably clad, pink braid in tow, for the next function wherever the time and space, toward the “expansiveness” and “literal outlawness” of black transness.24 Summer Azure’s subject gazes toward newness, beyond. The floating subject, open to movement and unhurried, finds her beyond midair—neither on the ground nor in space. She has chosen disconsideration of binaries of here and there, exploring the spaciousness that not here affords. With trees barely in frame, touching only the bottom left edges of the composition, the viewer is able to perceive the subject head on (not from above or below) and, in this way, is invited likewise to ascend. Beyond is a space of togetherness. In connecting to this animal wisdom of the summer azure, Tourmaline signals the joy of flying. Flying is a good in itself that needn’t bear the weight of escape. Flying is a prerogative. Downloaded from http://read.dukeupress.edu/qtr/article-pdf/2/1/27/2272898/27ambrose.pdf by UTSA LIBRARIES user on 11 December 2025 34 QTR • 2:1 • MAY 2025 Glimpsing Black Trans Ethical World(un)making Have we tired of thinking within or against “reality”? There are liberative worlds, otherwise and elsewhere, beyond. We dreamily fly into “reality,” or else, it would swallow us whole. The map to a new world is in one’s imagination. —Robin D. G. Kelley, Freedom Dreams: The Black Radical Imagination As a scholar who is concerned with Black trans and queer spiritualities and lived engagement with the sacred, but more important as a being in a thorny and thriving ecosystem of all that is, I am concerned with and invite thought and feeling toward the ethical space Black trans beyond invites. I am enraptured by visions of right-relatedness and imaginative world(un)making we are able to glimpse within/through a Black trans beyond. Movement toward and within this space of Black trans beyond without a telos and in disconsideration of oppressively heavy, constraining logics and practices of here is the work of ethical world(un)making. </w:t>
      </w:r>
      <w:r w:rsidRPr="00FD1B95">
        <w:rPr>
          <w:b/>
          <w:iCs/>
          <w:sz w:val="26"/>
          <w:highlight w:val="magenta"/>
          <w:u w:val="single"/>
        </w:rPr>
        <w:t>Where there are lives at stake, (un)making toward a more just and liberative worlds is essential</w:t>
      </w:r>
      <w:r w:rsidRPr="00FD1B95">
        <w:rPr>
          <w:sz w:val="8"/>
        </w:rPr>
        <w:t xml:space="preserve">. Black trans cultural productions affirm this orientation. Utilizing the framing of transreligious ethics is a pushback against binaristic rationalism, rampant in intellectual and activist efforts toward world(un) making. They dismiss spirit (conceived of nontheistically and theistically). Feeling, crying, dancing, joy, heartbreak are perceived as irrational, purposeless distractions, or uncritical orientations in light of the weightiness of Black suffering. Noting the regard with which emotions like anger are held in comparison, Darnell L. Moore has astutely proposed joy is as critical a response to injustice as anger.25 (If anger is conceived of as “masculine” and therefore categorized as a more rational emotion, we can see why joy or sadness or fear or a mix of emotions, in their “femininity,” are dismissed.) Further, what a transreligious ethical lens does for ethical world(un)making is irrupt the notion of transness as antagonistic toward the sacred, the spirit, the religious, and create space for ethical world(un)making that is not merely an intellectual project, but is nonlinear, thinking with feeling, “flocking” together; is emotional, unreasonable, full of multiplicity; is, to borrow from Ellison, Black femme.26 Considering the where to(ward) of flying, I wonder about the makings and foundations (or not) of such a space. Borrowing from Bey’s riff on Katherine McKittrick’s “demonic grounds” inspired by Sylvia Wynter, who first conceived of demonic grounds as those “outside of our present governing system of meaning, or theory/ontology,”27 I close by exploring possibilities toward the demonic nongrounds of Black trans ethical world(un)making. Though Bey is concerned with disrupting and upending questions of ontology/the human, and though I am concerned with the spatial and metaphysical character of a Black trans beyond, I quote Bey’s theorization of demonic nongrounds in “The Trans*-ness of Blackness, the Blackness of Downloaded from http://read.dukeupress.edu/qtr/article-pdf/2/1/27/2272898/27ambrose.pdf by UTSA LIBRARIES user on 11 December 2025 Ambrose • Black Trans Ethical World(un)making 35 Trans*-ness” (2017) and in the endnotes of “Fugitivity, Un/Gendered” (2022) to help the reader locate Bey’s contribution to the discourse and to better situate my point of departure. Bey writes, “For blackness and trans*-ness to un/ mark a demonic nonground is a creative use of language to describe the thereness and not-thereness of the ground that is not a ground—a ground that, in not being a ground, is the condition for groundedness—which, in other words, is black and trans*.”28 Bey continues years later, “To no longer seek inclusion into the humanitas is to find inclusion on other grounds wherein one is not encountered on the viscerally ideological grounds of the human, that of race and gender, among other embarrassingly ‘etc.’ things (per Judith Butler). Those other grounds are grounds, or maybe nongrounds, maybe McKittricklike demonic grounds, of an abolished world, a world after our freedom.”29I ask, what of the demonic nongrounds accessible within the not here though presenced worlds, of a Black trans beyond? My aim is not to push back at the destabilization and refusal of being Human/Man, but to think with Bey and McKittrick about demonic nongrounds as critical to ethical world(un)making, as a lens through which to perceive the beyond. According to McKittrick in her introduction to Demonic Grounds: Black Women and the Cartographies of Struggle (2006), alongside the religious and supernatural meanings of the demonic as possessing spirits, The demonic connotes a working system that cannot have a determined, or knowable, outcome. The demonic, then, is a nondeterministic schema; it is a process that is hinged on uncertainty and nonlinearity because the organizing principle cannot predict the future. . . . With this in mind, the demonic invites a slightly different conceptual pathway—while retaining its supernatural etymology—and acts to identify a system (social, geographic, technological) that can only unfold and produce an outcome if uncertainty, or (dis)organization, or something supernaturally demonic, is integral to the methodology.30 The beyond is a space of unpredictability, though toward an ethical schema that serves Black trans life. I see this intervention as working along intersecting lines with McKittrick, whose approach to Black geography astutely counters logics of Blackness as displaced and always out of place unless dispossessed, and traditional geography’s conception of Black people, and particularly Black women, as ungeographic. While Blackness reshapes geographies to change how we view the world, to employ McKittrick’s words in another way, I invite a consideration that Black trans beyond, as the space of prerogative and disconsideration, refuses imposed geographic demands or deprivations (ungeography) toward a radical nongeography that is out of place because it opts for no fixed place, out of place because it operates by an other schema. Beyond’s disconsideration, within the realm of the demonic, akin to Cathy J. Cohen’s take on deviance, rejects and creates from other metrics, indeterminate and unbound.31 Downloaded from http://read.dukeupress.edu/qtr/article-pdf/2/1/27/2272898/27ambrose.pdf by UTSA LIBRARIES user on 11 December 2025 36 QTR • 2:1 • MAY 2025 Within the demonic nongrounds of a Black trans beyond, we may glimpse and record other worlds for seekers in the future, for/with those who have already traveled beyond, and for/with we who have to imagine and reimagine each day a new freedom. To play with the term demonic, heavy laden as it is within the field of the study of religion and the US social imagination, is a move toward redress. Long used as a tool within religion to harm, police, and make docile, the ascription of demonic as evil was an act of religious imperialism through the act of translation. Dale B. Martin argues that the ascription of the Greek daimon/ daimones (who exhibited a spectrum of moral behavior) as solely “evil” was a Christian insistence.32 Within conservative public religious discourse that aims to foment disgust, trans people are often considered to be demonic (e.g., groomers of children into their perverse and distorted conception of the world or, at least, in their overturning of God’s will through their practices of self- (re)making). Beyond a flattened worldview of God-prescribed gender roles, transantagonism, and violence, a worldview infused with imperialist white supremacist capitalist heteronormative patriarchy, the demonic nongrounds of Black trans ethical world(un)making rest within the indeterminate, flying toward a beyond wherein, like Tourmaline’s Summer Azure, the view is cleared for play, for discovery, newness, joy. With Robin D. G. Kelley, inspired in his freedom dreams by his mother’s capaciousness toward possibility, we may conceive of beyond’s imaginative nongrounds as indecipherable by logics of violence and oppression, yet also as being as near as the communal demand to dream beyond the “desolation” of the given world while making real the glimpses of a world perceived while flying.33 </w:t>
      </w:r>
      <w:r w:rsidRPr="00FD1B95">
        <w:rPr>
          <w:sz w:val="10"/>
        </w:rPr>
        <w:t>To live a Black trans beyond</w:t>
      </w:r>
      <w:r w:rsidRPr="00FD1B95">
        <w:rPr>
          <w:b/>
          <w:iCs/>
          <w:sz w:val="10"/>
          <w:u w:val="single"/>
        </w:rPr>
        <w:t xml:space="preserve"> </w:t>
      </w:r>
      <w:r w:rsidRPr="00FD1B95">
        <w:rPr>
          <w:sz w:val="8"/>
        </w:rPr>
        <w:t>is a passionate and lush assumption of values beyond the scope of, a pleasurable inhabitation of another beginning and orientation toward an other end or process; however elaborated or strategized, it is always toward the liberative. Black trans beyond moves from an orientation that interweaves across, over, and beyond religion toward communal right-relating, justice, and world(un)making in the demonic nongrounds of an otherwise elsewhere, the liberative space that lies beyond the multiple constraints of white(cishet)ness. Summer Azure as a Black trans cultural production offers glimpses into such worlds, ungoverned by the logics of anti-Blackness, white supremacy, colonialism, sexism, cissexism, and capitalism and aided by spirit, magic, ancestors, the mythical, the mystical, God/gods, and the power of community. The socalled impossibility of Black trans world(un)making beyond, as evidenced through Black trans cultural production, is a matter of leaning into various kinds of unknowns and making way for mystery. From a Black trans imaginary, such world(un)making is possible through praxes from the space of worlds not here. If a Black trans beyond is a glimpsed space, shadowed and irregularly iterative, it is also an invitation to practice glimpsing as an other world of Black trans (un)making comes into view.2</w:t>
      </w:r>
    </w:p>
    <w:p w14:paraId="5D900B84" w14:textId="77777777" w:rsidR="00AD1531" w:rsidRDefault="00AD1531" w:rsidP="00AD1531">
      <w:pPr>
        <w:spacing w:line="252" w:lineRule="auto"/>
        <w:rPr>
          <w:rFonts w:eastAsia="Aptos"/>
          <w:sz w:val="14"/>
        </w:rPr>
      </w:pPr>
    </w:p>
    <w:p w14:paraId="7A16B5C5" w14:textId="77777777" w:rsidR="00AD1531" w:rsidRDefault="00AD1531" w:rsidP="00AD1531">
      <w:pPr>
        <w:pStyle w:val="Heading4"/>
        <w:rPr>
          <w:rFonts w:eastAsia="Aptos"/>
        </w:rPr>
      </w:pPr>
      <w:r>
        <w:rPr>
          <w:rFonts w:eastAsia="Aptos"/>
        </w:rPr>
        <w:t xml:space="preserve">Vote neg to endorse an epistemic shift away from reform and towards material destruction- it is the only way we can survive. </w:t>
      </w:r>
    </w:p>
    <w:p w14:paraId="54483935" w14:textId="77777777" w:rsidR="00AD1531" w:rsidRPr="00AA1F57" w:rsidRDefault="00AD1531" w:rsidP="00AD1531">
      <w:pPr>
        <w:spacing w:line="256" w:lineRule="auto"/>
        <w:rPr>
          <w:rFonts w:eastAsia="Calibri"/>
          <w:b/>
          <w:bCs/>
          <w:sz w:val="26"/>
        </w:rPr>
      </w:pPr>
      <w:r w:rsidRPr="00AA1F57">
        <w:rPr>
          <w:rFonts w:eastAsia="Calibri"/>
          <w:b/>
          <w:bCs/>
          <w:sz w:val="26"/>
          <w:highlight w:val="magenta"/>
        </w:rPr>
        <w:t>Harpy 25</w:t>
      </w:r>
      <w:r w:rsidRPr="00AA1F57">
        <w:rPr>
          <w:rFonts w:eastAsia="Calibri"/>
          <w:b/>
          <w:bCs/>
          <w:sz w:val="26"/>
        </w:rPr>
        <w:t xml:space="preserve"> Harpy S. Arm the Dolls. Hammer or Anvil? Published April 18, 2025. https://harpies.substack.com/p/arm-the-dolls Rg:3</w:t>
      </w:r>
    </w:p>
    <w:p w14:paraId="71C77CCB" w14:textId="77777777" w:rsidR="00AD1531" w:rsidRPr="00AA1F57" w:rsidRDefault="00AD1531" w:rsidP="00AD1531">
      <w:pPr>
        <w:rPr>
          <w:sz w:val="8"/>
        </w:rPr>
      </w:pPr>
      <w:r w:rsidRPr="00AA1F57">
        <w:rPr>
          <w:rFonts w:eastAsia="Calibri"/>
          <w:sz w:val="8"/>
        </w:rPr>
        <w:t xml:space="preserve">Sarah Harpy Arm the Dolls </w:t>
      </w:r>
      <w:r w:rsidRPr="00AA1F57">
        <w:rPr>
          <w:sz w:val="8"/>
        </w:rPr>
        <w:t xml:space="preserve">What does “protection” mean in this patriarchal civilization? On April 16th, 2025, the supreme court of the united kingdom ruled that the categories of female and male would be defined by one’s assigned sex at birth. Just a single step behind the united states in the sprint towards trans genocide, Terf Island has placed trans women not only squarely in its rifle sights, but directly in front of the media’s eager, waiting cameras. Social media exploded with videos of well meaning cis women and even some trans men (don’t laugh!) praising trans women for fighting for the rights of all women and all queer people and urging everyone to, as the now popular t-shirt says, “protect the dolls.” But what does this actually mean? What does it mean to protect someone, really? In the face of the advancing transmisogynist state, of hormone bans, bathroom bills, stolen paperwork and the looming threat of deportation, what does it look like to protect someone? For this moment it seems to mean talking very loudly and publicly about what trans women bring to the table in our communities. Some of our broke sisters have highlighted our widespread poverty rates as a gender-class, ostensibly to get some kind of voluntary wealth transfer going. Really though, it seems to mostly mean buying t-shirts. Let me assume good faith but let’s also cut the shit, okay? I want to believe that everyone who says they’re worried about trans women actually is, and i want to believe that they want to do something about it. I believe the same thing about everyone who bought a kufiya in 2024, but besieged Gaza is still daily crushed under zionist bombs and tank treads. Even more than that i believe that the hundreds of thousands of people who rose up in 2020 and rioted and marched and organized against police brutality wanted freedom for the New Afrikan nation. And yet five years later it’s like that hot summer never happened. You don’t load a gun with genuine belief. If trans liberation is going to be the next radical trend to be picked up and discarded in a year, all while the state’s assault on us escalates into a fever pitch, then i want to be the first to come out against this moment. Will trans women, always short on real allies, wind up alone again by the time we’re legislated completely out of existence? The track record of the movements here in the imperial core is fucking awful, so that’s what i expect, but we have a chance to intervene here and now before this goes sideways. So let me be blunt for a minute. In For Women Only: The Rape Movement in Iraq &amp; Men’s Anti-War Politics, the anonymous author says “when the suits now talk of rescuing women, sisters should know the mass rapes have already begun.” Trans women should know by now that when people who aren’t us start talking about protecting us, that’s them marking their territory. This outcry isn’t about our freedom in a real way. This is about the leftovers of the women’s and queer movements losing access to our reproductive labor, the work we do for the community and the movement. Just glance over the videos coming out now “defending” us, none of them are about our own worth as women, rather they’re about what we do for everyone else (which i guess is how women’s worth is measured anyway). I’ve been saying this to trans women for years but let me now say it to everyone else. We have, for decades, been caught up in your movements, your communities, your organizations and it has gotten us nothing. Our foremothers Sylvia Rivera and Marsha P. Johnson understood this. Rivera’s disdain for the Human Rights Campaign was well known. In the 23 years since she died things have only gotten worse, genocidal even. It’s fashionable to quote Marsha and Sylvia, to say that it was trans women of color who fought for all your rights and privileges, but only after both of them (and numerous other trans women of color) had their lives cut short by violence and illness and conscious neglect. And none of it means a thing. So to everyone scrambling to show the dolls that they care i have this to say: we got here because of you. It was your politics, your lines, your gender-class interests that led us to this place. If you want to switch shit up now and try to help us get out of this mess then the best thing you can do is take real aim at patriarchal civilization, </w:t>
      </w:r>
      <w:r w:rsidRPr="00AA1F57">
        <w:rPr>
          <w:rFonts w:eastAsia="Calibri"/>
          <w:sz w:val="8"/>
        </w:rPr>
        <w:t xml:space="preserve">both in the ways you are oppressed by it and the ways you carry it into your lives and movements. In the meantime, as Sanyika Shakur said to euro-american radicals, slide any extra weapons our way. </w:t>
      </w:r>
      <w:r w:rsidRPr="00AA1F57">
        <w:rPr>
          <w:rFonts w:eastAsia="Calibri"/>
          <w:b/>
          <w:iCs/>
          <w:sz w:val="26"/>
          <w:highlight w:val="magenta"/>
          <w:u w:val="single"/>
        </w:rPr>
        <w:t>We don’t need instagram videos, we don’t need t-shirts, we need patriarchal civilization to be weakened by war on many fronts.</w:t>
      </w:r>
      <w:r w:rsidRPr="00AA1F57">
        <w:rPr>
          <w:rFonts w:eastAsia="Calibri"/>
          <w:sz w:val="8"/>
        </w:rPr>
        <w:t xml:space="preserve"> To my trans sisters let me say this: </w:t>
      </w:r>
      <w:r w:rsidRPr="00AA1F57">
        <w:rPr>
          <w:rFonts w:eastAsia="Calibri"/>
          <w:b/>
          <w:iCs/>
          <w:sz w:val="26"/>
          <w:highlight w:val="magenta"/>
          <w:u w:val="single"/>
        </w:rPr>
        <w:t>no one is going to dig us out of this pit except for us. We need our own politics, our own armed units, our own territory and neighborhoods</w:t>
      </w:r>
      <w:r w:rsidRPr="00AA1F57">
        <w:rPr>
          <w:sz w:val="8"/>
        </w:rPr>
        <w:t xml:space="preserve">, to manage our own hormone production. </w:t>
      </w:r>
      <w:r w:rsidRPr="00AA1F57">
        <w:rPr>
          <w:rFonts w:eastAsia="Calibri"/>
          <w:b/>
          <w:iCs/>
          <w:sz w:val="26"/>
          <w:highlight w:val="magenta"/>
          <w:u w:val="single"/>
        </w:rPr>
        <w:t>So long as we are dependent on patriarchal imperialism we are never going to free ourselves.</w:t>
      </w:r>
      <w:r w:rsidRPr="00AA1F57">
        <w:rPr>
          <w:rFonts w:eastAsia="Calibri"/>
          <w:sz w:val="8"/>
        </w:rPr>
        <w:t xml:space="preserve"> It’s one thing to recognize that it was the cis women’s movement or the transmasculine queer movement or whoever else who led us into this quagmire, but blame is only useful for splitting off. We still have to dig ourselves out, we still have to recognize that it was our political weakness that allowed everyone else to take advantage of us for so long. </w:t>
      </w:r>
      <w:r w:rsidRPr="00AA1F57">
        <w:rPr>
          <w:rFonts w:eastAsia="Calibri"/>
          <w:b/>
          <w:iCs/>
          <w:sz w:val="26"/>
          <w:highlight w:val="magenta"/>
          <w:u w:val="single"/>
        </w:rPr>
        <w:t>No one is coming to save us</w:t>
      </w:r>
      <w:r w:rsidRPr="00AA1F57">
        <w:rPr>
          <w:rFonts w:eastAsia="Calibri"/>
          <w:sz w:val="8"/>
        </w:rPr>
        <w:t xml:space="preserve">, no matter how many t-shirts they sell. A real life example of what i mean. In Harlem recently a young trans woman of color, Jaia Cruz, was attacked by a man in a deli. The man struck Jaia repeatedly, calling her a faggot and a tranny. Jaia stabbed him in self defense and her attacker died. She was sent to Rikers island without bail and, after accepting a plea deal, got 15 years in prison. Her official sentencing is at the end of May and while there is a small movement to free her, very few of us trans women want to understand what Jaia Cruz’s case means for us. As with CeCe McDonald back in 2011, Jaia Cruz’s sentence proves that there is no legal way to defend yourself as a trans woman of color. White sisters haven’t picked this up yet. See plenty of settler trans women are already armed. It’s popular and cute in our subcultures for white trans women to take thirst traps with their guns. This means almost nothing. Isolated gun fetishists will mean nothing when it comes to actually fighting a war against the state. A sister of mine compared them to those white settler rhodesian women who armed themselves against Zimbabwean revolutionaries. </w:t>
      </w:r>
      <w:r w:rsidRPr="00AA1F57">
        <w:rPr>
          <w:rFonts w:eastAsia="Calibri"/>
          <w:b/>
          <w:iCs/>
          <w:sz w:val="26"/>
          <w:highlight w:val="magenta"/>
          <w:u w:val="single"/>
        </w:rPr>
        <w:t>Without a revolutionary political-military theory and practice that sets us against the imperialist state and all of patriarchal civilization we</w:t>
      </w:r>
      <w:r w:rsidRPr="00AA1F57">
        <w:rPr>
          <w:rFonts w:eastAsia="Calibri"/>
          <w:sz w:val="8"/>
        </w:rPr>
        <w:t xml:space="preserve">, as settler trans women, </w:t>
      </w:r>
      <w:r w:rsidRPr="00AA1F57">
        <w:rPr>
          <w:rFonts w:eastAsia="Calibri"/>
          <w:b/>
          <w:iCs/>
          <w:sz w:val="26"/>
          <w:highlight w:val="magenta"/>
          <w:u w:val="single"/>
        </w:rPr>
        <w:t>are</w:t>
      </w:r>
      <w:r w:rsidRPr="00AA1F57">
        <w:rPr>
          <w:rFonts w:eastAsia="Calibri"/>
          <w:sz w:val="8"/>
        </w:rPr>
        <w:t xml:space="preserve"> just as </w:t>
      </w:r>
      <w:r w:rsidRPr="00AA1F57">
        <w:rPr>
          <w:rFonts w:eastAsia="Calibri"/>
          <w:b/>
          <w:iCs/>
          <w:sz w:val="26"/>
          <w:highlight w:val="magenta"/>
          <w:u w:val="single"/>
        </w:rPr>
        <w:t>likely to die for white supremacy</w:t>
      </w:r>
      <w:r w:rsidRPr="00AA1F57">
        <w:rPr>
          <w:rFonts w:eastAsia="Calibri"/>
          <w:sz w:val="8"/>
        </w:rPr>
        <w:t xml:space="preserve"> as we are to fight against it. Was that blunt enough to shake things up a little bit? I learned the hard way (as we all do eventually) that </w:t>
      </w:r>
      <w:r w:rsidRPr="00AA1F57">
        <w:rPr>
          <w:rFonts w:eastAsia="Calibri"/>
          <w:b/>
          <w:iCs/>
          <w:sz w:val="26"/>
          <w:highlight w:val="magenta"/>
          <w:u w:val="single"/>
        </w:rPr>
        <w:t>niceties and saved feelings get us nowhere in real terms. The</w:t>
      </w:r>
      <w:r w:rsidRPr="00AA1F57">
        <w:rPr>
          <w:rFonts w:eastAsia="Calibri"/>
          <w:sz w:val="8"/>
        </w:rPr>
        <w:t xml:space="preserve"> feminist (and anti-feminist) </w:t>
      </w:r>
      <w:r w:rsidRPr="00AA1F57">
        <w:rPr>
          <w:rFonts w:eastAsia="Calibri"/>
          <w:b/>
          <w:iCs/>
          <w:sz w:val="26"/>
          <w:highlight w:val="magenta"/>
          <w:u w:val="single"/>
        </w:rPr>
        <w:t>left has long relied on telling lies and claiming easy victories to avoid the hard, messy work of sharpening our practice</w:t>
      </w:r>
      <w:r w:rsidRPr="00AA1F57">
        <w:rPr>
          <w:rFonts w:eastAsia="Calibri"/>
          <w:sz w:val="8"/>
        </w:rPr>
        <w:t xml:space="preserve"> and evaluating our failures. I know i must sound like a broken record at this point but this moment will be </w:t>
      </w:r>
      <w:r w:rsidRPr="00AA1F57">
        <w:rPr>
          <w:rFonts w:eastAsia="Calibri"/>
          <w:b/>
          <w:iCs/>
          <w:sz w:val="26"/>
          <w:highlight w:val="magenta"/>
          <w:u w:val="single"/>
        </w:rPr>
        <w:t xml:space="preserve">squandered without </w:t>
      </w:r>
      <w:r w:rsidRPr="00AA1F57">
        <w:rPr>
          <w:rFonts w:eastAsia="Calibri"/>
          <w:sz w:val="8"/>
        </w:rPr>
        <w:t>the</w:t>
      </w:r>
      <w:r w:rsidRPr="00AA1F57">
        <w:rPr>
          <w:rFonts w:eastAsia="Calibri"/>
          <w:b/>
          <w:iCs/>
          <w:sz w:val="26"/>
          <w:highlight w:val="magenta"/>
          <w:u w:val="single"/>
        </w:rPr>
        <w:t xml:space="preserve"> intervention</w:t>
      </w:r>
      <w:r w:rsidRPr="00AA1F57">
        <w:rPr>
          <w:rFonts w:eastAsia="Calibri"/>
          <w:sz w:val="8"/>
        </w:rPr>
        <w:t xml:space="preserve"> of sisters who patriarchal society would like to ignore, denounce as insane or fringe. We are now, in a real way, gender outlaws. Not just</w:t>
      </w:r>
      <w:r w:rsidRPr="00AA1F57">
        <w:rPr>
          <w:sz w:val="8"/>
        </w:rPr>
        <w:t xml:space="preserve"> because we violate unwritten patriarchal laws but because our very existence is more and more illegal</w:t>
      </w:r>
      <w:r w:rsidRPr="00AA1F57">
        <w:rPr>
          <w:rFonts w:eastAsia="Calibri"/>
          <w:sz w:val="8"/>
        </w:rPr>
        <w:t xml:space="preserve">. In this age of social media we have plenty of people sounding the alarm on these kinds of policies. What we need is a breakthrough in practical terms, new experiments in organizing and fighting against patriarchal civilization itself. We are, consciously or unconsciously, stuck repeating old forms of rebellion. Forms that didn’t work even when they were popular. </w:t>
      </w:r>
      <w:r w:rsidRPr="00AA1F57">
        <w:rPr>
          <w:rFonts w:eastAsia="Calibri"/>
          <w:b/>
          <w:iCs/>
          <w:sz w:val="26"/>
          <w:highlight w:val="magenta"/>
          <w:u w:val="single"/>
        </w:rPr>
        <w:t xml:space="preserve">The euro-style Marxist party building </w:t>
      </w:r>
      <w:r w:rsidRPr="00AA1F57">
        <w:rPr>
          <w:rFonts w:eastAsia="Calibri"/>
          <w:sz w:val="8"/>
        </w:rPr>
        <w:t>org,</w:t>
      </w:r>
      <w:r w:rsidRPr="00AA1F57">
        <w:rPr>
          <w:rFonts w:eastAsia="Calibri"/>
          <w:b/>
          <w:iCs/>
          <w:sz w:val="26"/>
          <w:highlight w:val="magenta"/>
          <w:u w:val="single"/>
        </w:rPr>
        <w:t xml:space="preserve"> the </w:t>
      </w:r>
      <w:r w:rsidRPr="00AA1F57">
        <w:rPr>
          <w:rFonts w:eastAsia="Calibri"/>
          <w:sz w:val="8"/>
        </w:rPr>
        <w:t>anarchist</w:t>
      </w:r>
      <w:r w:rsidRPr="00AA1F57">
        <w:rPr>
          <w:rFonts w:eastAsia="Calibri"/>
          <w:b/>
          <w:iCs/>
          <w:sz w:val="26"/>
          <w:highlight w:val="magenta"/>
          <w:u w:val="single"/>
        </w:rPr>
        <w:t xml:space="preserve"> charity projects, the </w:t>
      </w:r>
      <w:r w:rsidRPr="00AA1F57">
        <w:rPr>
          <w:rFonts w:eastAsia="Calibri"/>
          <w:sz w:val="8"/>
        </w:rPr>
        <w:t>Maoist</w:t>
      </w:r>
      <w:r w:rsidRPr="00AA1F57">
        <w:rPr>
          <w:rFonts w:eastAsia="Calibri"/>
          <w:b/>
          <w:iCs/>
          <w:sz w:val="26"/>
          <w:highlight w:val="magenta"/>
          <w:u w:val="single"/>
        </w:rPr>
        <w:t xml:space="preserve"> youth study groups, none are adequate to even begin the work we need to do</w:t>
      </w:r>
      <w:r w:rsidRPr="00AA1F57">
        <w:rPr>
          <w:rFonts w:eastAsia="Calibri"/>
          <w:sz w:val="8"/>
        </w:rPr>
        <w:t>. So don’t waste your time buying t-shirts or filming tiktoks. The undertaking that’s sitting in front of all of us is too massive for any of us to shirk our duties, and anyone who doesn’t pitch in is getting left behind. The fracturing that’s happening now</w:t>
      </w:r>
    </w:p>
    <w:p w14:paraId="0D0B7016" w14:textId="77777777" w:rsidR="00AD1531" w:rsidRPr="00AA1F57" w:rsidRDefault="00AD1531" w:rsidP="00AD1531"/>
    <w:p w14:paraId="0AD7A4AF" w14:textId="77777777" w:rsidR="00AD1531" w:rsidRPr="00DF2AFF" w:rsidRDefault="00AD1531" w:rsidP="00AD1531">
      <w:pPr>
        <w:pStyle w:val="Heading2"/>
      </w:pPr>
      <w:r w:rsidRPr="00DF2AFF">
        <w:t>Case</w:t>
      </w:r>
    </w:p>
    <w:p w14:paraId="0DD572E4" w14:textId="77777777" w:rsidR="00AD1531" w:rsidRPr="00C31B94" w:rsidRDefault="00AD1531" w:rsidP="00AD1531">
      <w:pPr>
        <w:pStyle w:val="Heading4"/>
        <w:rPr>
          <w:rFonts w:eastAsia="Aptos"/>
        </w:rPr>
      </w:pPr>
      <w:r>
        <w:t>1. Vote neg on presumption-t</w:t>
      </w:r>
      <w:r w:rsidRPr="00B4146C">
        <w:t xml:space="preserve">he aff relies on the same neoliberal institutions they </w:t>
      </w:r>
      <w:r>
        <w:t>critique</w:t>
      </w:r>
      <w:r w:rsidRPr="00B4146C">
        <w:t xml:space="preserve">- their reliance on neoliberal concepts like rights and </w:t>
      </w:r>
      <w:r>
        <w:t>the NLRA</w:t>
      </w:r>
      <w:r w:rsidRPr="00B4146C">
        <w:t xml:space="preserve"> is </w:t>
      </w:r>
      <w:r>
        <w:t>counterintuitive</w:t>
      </w:r>
      <w:r w:rsidRPr="00B4146C">
        <w:t xml:space="preserve"> to their advocacy because it means these movements get commodified</w:t>
      </w:r>
      <w:r>
        <w:t xml:space="preserve">. </w:t>
      </w:r>
      <w:r>
        <w:rPr>
          <w:rFonts w:eastAsia="Aptos"/>
        </w:rPr>
        <w:t xml:space="preserve">This means you vote neg on presumption because they cannot solve genocide or inequality- we control the root cause- as long as racial capitalism exists inequality and genocide will too. In their own words “ </w:t>
      </w:r>
      <w:r w:rsidRPr="00AA1F57">
        <w:rPr>
          <w:rFonts w:eastAsia="Aptos"/>
        </w:rPr>
        <w:t>The imperial university cannot be reasoned with.</w:t>
      </w:r>
      <w:r>
        <w:rPr>
          <w:rFonts w:eastAsia="Aptos"/>
        </w:rPr>
        <w:t>”</w:t>
      </w:r>
    </w:p>
    <w:p w14:paraId="50A559D6" w14:textId="77777777" w:rsidR="00AD1531" w:rsidRPr="00D60E97" w:rsidRDefault="00AD1531" w:rsidP="00AD1531">
      <w:pPr>
        <w:spacing w:after="0" w:line="240" w:lineRule="auto"/>
        <w:rPr>
          <w:rFonts w:ascii="Arial" w:eastAsia="Times New Roman" w:hAnsi="Arial" w:cs="Arial"/>
          <w:b/>
          <w:bCs/>
          <w:color w:val="000000"/>
          <w:sz w:val="14"/>
        </w:rPr>
      </w:pPr>
    </w:p>
    <w:p w14:paraId="72744BBE" w14:textId="77777777" w:rsidR="00AD1531" w:rsidRPr="00D60E97" w:rsidRDefault="00AD1531" w:rsidP="00AD1531">
      <w:pPr>
        <w:keepNext/>
        <w:keepLines/>
        <w:spacing w:before="40" w:after="0" w:line="254" w:lineRule="auto"/>
        <w:outlineLvl w:val="3"/>
        <w:rPr>
          <w:rFonts w:eastAsia="Times New Roman" w:cs="Times New Roman"/>
          <w:sz w:val="32"/>
        </w:rPr>
      </w:pPr>
      <w:r>
        <w:rPr>
          <w:rFonts w:eastAsia="Times New Roman" w:cs="Times New Roman"/>
          <w:b/>
          <w:iCs/>
          <w:sz w:val="32"/>
        </w:rPr>
        <w:t xml:space="preserve">2. </w:t>
      </w:r>
      <w:r w:rsidRPr="00D60E97">
        <w:rPr>
          <w:rFonts w:eastAsia="Times New Roman" w:cs="Times New Roman"/>
          <w:b/>
          <w:iCs/>
          <w:sz w:val="32"/>
        </w:rPr>
        <w:t>Retaliation DA-</w:t>
      </w:r>
      <w:r w:rsidRPr="00D60E97">
        <w:rPr>
          <w:rFonts w:eastAsia="Times New Roman" w:cs="Times New Roman"/>
          <w:sz w:val="32"/>
        </w:rPr>
        <w:t xml:space="preserve"> </w:t>
      </w:r>
      <w:r>
        <w:rPr>
          <w:rFonts w:eastAsia="Times New Roman" w:cs="Times New Roman"/>
          <w:b/>
          <w:iCs/>
          <w:sz w:val="32"/>
        </w:rPr>
        <w:t>Universities</w:t>
      </w:r>
      <w:r w:rsidRPr="00D60E97">
        <w:rPr>
          <w:rFonts w:eastAsia="Times New Roman" w:cs="Times New Roman"/>
          <w:b/>
          <w:iCs/>
          <w:sz w:val="32"/>
        </w:rPr>
        <w:t xml:space="preserve"> </w:t>
      </w:r>
      <w:r>
        <w:rPr>
          <w:rFonts w:eastAsia="Times New Roman" w:cs="Times New Roman"/>
          <w:b/>
          <w:iCs/>
          <w:sz w:val="32"/>
        </w:rPr>
        <w:t xml:space="preserve">function as corporations and </w:t>
      </w:r>
      <w:r w:rsidRPr="00D60E97">
        <w:rPr>
          <w:rFonts w:eastAsia="Times New Roman" w:cs="Times New Roman"/>
          <w:b/>
          <w:iCs/>
          <w:sz w:val="32"/>
        </w:rPr>
        <w:t xml:space="preserve">retaliate </w:t>
      </w:r>
      <w:r>
        <w:rPr>
          <w:rFonts w:eastAsia="Times New Roman" w:cs="Times New Roman"/>
          <w:b/>
          <w:iCs/>
          <w:sz w:val="32"/>
        </w:rPr>
        <w:t>just as much.</w:t>
      </w:r>
    </w:p>
    <w:p w14:paraId="728AB287" w14:textId="77777777" w:rsidR="00AD1531" w:rsidRPr="00D60E97" w:rsidRDefault="00AD1531" w:rsidP="00AD1531">
      <w:pPr>
        <w:spacing w:line="252" w:lineRule="auto"/>
        <w:rPr>
          <w:rFonts w:eastAsia="Aptos"/>
          <w:b/>
          <w:bCs/>
          <w:sz w:val="14"/>
        </w:rPr>
      </w:pPr>
      <w:r w:rsidRPr="00D60E97">
        <w:rPr>
          <w:rFonts w:eastAsia="Aptos"/>
          <w:b/>
          <w:bCs/>
          <w:sz w:val="26"/>
        </w:rPr>
        <w:t xml:space="preserve">John </w:t>
      </w:r>
      <w:r w:rsidRPr="00C22081">
        <w:rPr>
          <w:rFonts w:eastAsia="Aptos"/>
          <w:b/>
          <w:bCs/>
          <w:sz w:val="26"/>
          <w:highlight w:val="magenta"/>
        </w:rPr>
        <w:t>Logan</w:t>
      </w:r>
      <w:r w:rsidRPr="00D60E97">
        <w:rPr>
          <w:rFonts w:eastAsia="Aptos"/>
          <w:b/>
          <w:bCs/>
          <w:sz w:val="26"/>
        </w:rPr>
        <w:t xml:space="preserve"> January 28, 20</w:t>
      </w:r>
      <w:r w:rsidRPr="00C22081">
        <w:rPr>
          <w:rFonts w:eastAsia="Aptos"/>
          <w:b/>
          <w:bCs/>
          <w:sz w:val="26"/>
          <w:highlight w:val="magenta"/>
        </w:rPr>
        <w:t>25</w:t>
      </w:r>
      <w:r w:rsidRPr="00D60E97">
        <w:rPr>
          <w:rFonts w:eastAsia="Aptos"/>
          <w:b/>
          <w:bCs/>
          <w:sz w:val="26"/>
        </w:rPr>
        <w:t xml:space="preserve"> </w:t>
      </w:r>
      <w:r w:rsidRPr="00D60E97">
        <w:rPr>
          <w:rFonts w:eastAsia="Aptos"/>
        </w:rPr>
        <w:t xml:space="preserve">Corporate union busting in plain sight: How Amazon, Starbucks, and </w:t>
      </w:r>
      <w:r w:rsidRPr="00D60E97">
        <w:rPr>
          <w:rFonts w:eastAsia="Aptos"/>
          <w:sz w:val="14"/>
        </w:rPr>
        <w:t>Trader Joe’s crushed dynamic grassroots worker organizing campaigns. (n.d.). Economic Policy Institute. https://www.epi.org/publication/corporate-union-busting/</w:t>
      </w:r>
    </w:p>
    <w:p w14:paraId="4DEFE4A5" w14:textId="77777777" w:rsidR="00AD1531" w:rsidRPr="008B6BBA" w:rsidRDefault="00AD1531" w:rsidP="00AD1531">
      <w:pPr>
        <w:spacing w:line="252" w:lineRule="auto"/>
        <w:rPr>
          <w:rFonts w:eastAsia="Aptos"/>
          <w:sz w:val="14"/>
        </w:rPr>
      </w:pPr>
      <w:r w:rsidRPr="00D60E97">
        <w:rPr>
          <w:rFonts w:eastAsia="Aptos"/>
          <w:sz w:val="14"/>
        </w:rPr>
        <w:t xml:space="preserve">Labor activism in the United States has had a remarkable resurgence over the last three years (NLRB 2022; Combs 2023). In the past few years, workers mounted successful organizing campaigns at a wide range of companies, including Amazon, Starbucks, Trader Joe’s, Apple, Barnes and Noble, Ben &amp; Jerry’s, Chipotle, REI, and Volkswagen. Moreover, according to Gallup polls, 70% of the U.S. public—and almost 90% of young workers—approve of unions, a figure not seen since the mid-1960s (Saad 2023). Even more remarkable, unions are wildly popular despite their organizational weakness: In the mid-1960s, they represented almost one-third of private-sector workers, while today they represent fewer than 6%. At the bargaining table, unions have won record wage increases at companies such as UPS (Gurley 2023), the Big Three auto companies (Whalen 2023), Kaiser Permanente (Simmons-Duffin 2024), and Disney (Isidore et al. 2023; Rainey et al. 2024). Further, according to recent studies, 60 million American workers want to form unions (Kochan et al. 2018; Mishel et al. 2020; EPI 2021). In recent years, the desire for organizing has been especially apparent among young workers—who entered the labor market after the Great Recession and have experienced precarious employment conditions—who have tried to form unions in multiple sectors (Scheiber 2022). Despite this momentum, union density has continued to decline. The most recent Bureau of Labor Statistics data found that 16 million workers are covered by a union contract, a 170,000 decline from the prior year (BLS 2025). What explains this disconnect? Two intractable problems explain why union popularity, bargaining victories, and renewed labor activism haven’t translated into higher union density: (1) disastrously weak labor laws and (2) ferocious corporate opposition to worker organizing. Until these issues are addressed, union membership and density will continue to decline. Previous studies have analyzed the issues of weak labor laws and strong employer opposition (McNicholas et al. 2019). This report focuses on corporate union busting and examines the tactics, both legal and illegal, that corporations routinely employ to defeat worker organizing efforts and resist reaching a first contract. After reviewing union busting tactics, the report analyzes three high-profile worker organizing campaigns. Corporate union busting is an enormous barrier to worker organizing Workers at Starbucks, Amazon, and Trader Joe’s have encountered multibillion-dollar </w:t>
      </w:r>
      <w:r w:rsidRPr="00C22081">
        <w:rPr>
          <w:rFonts w:eastAsia="Aptos"/>
          <w:b/>
          <w:iCs/>
          <w:sz w:val="26"/>
          <w:highlight w:val="magenta"/>
          <w:u w:val="single"/>
        </w:rPr>
        <w:t xml:space="preserve">corporations </w:t>
      </w:r>
      <w:r w:rsidRPr="00D60E97">
        <w:rPr>
          <w:rFonts w:eastAsia="Aptos"/>
          <w:sz w:val="14"/>
        </w:rPr>
        <w:t>who are prepared to</w:t>
      </w:r>
      <w:r w:rsidRPr="00D60E97">
        <w:rPr>
          <w:rFonts w:eastAsia="Aptos"/>
          <w:b/>
          <w:iCs/>
          <w:sz w:val="14"/>
          <w:u w:val="single"/>
        </w:rPr>
        <w:t xml:space="preserve"> </w:t>
      </w:r>
      <w:r w:rsidRPr="00C22081">
        <w:rPr>
          <w:rFonts w:eastAsia="Aptos"/>
          <w:b/>
          <w:iCs/>
          <w:sz w:val="26"/>
          <w:highlight w:val="magenta"/>
          <w:u w:val="single"/>
        </w:rPr>
        <w:t xml:space="preserve">do whatever is necessary, lawful or unlawful, to crush </w:t>
      </w:r>
      <w:r w:rsidRPr="00D60E97">
        <w:rPr>
          <w:rFonts w:eastAsia="Aptos"/>
          <w:sz w:val="14"/>
        </w:rPr>
        <w:t>their</w:t>
      </w:r>
      <w:r w:rsidRPr="00C22081">
        <w:rPr>
          <w:rFonts w:eastAsia="Aptos"/>
          <w:b/>
          <w:iCs/>
          <w:sz w:val="14"/>
          <w:highlight w:val="magenta"/>
          <w:u w:val="single"/>
        </w:rPr>
        <w:t xml:space="preserve"> </w:t>
      </w:r>
      <w:r w:rsidRPr="00C22081">
        <w:rPr>
          <w:rFonts w:eastAsia="Aptos"/>
          <w:b/>
          <w:iCs/>
          <w:sz w:val="26"/>
          <w:highlight w:val="magenta"/>
          <w:u w:val="single"/>
        </w:rPr>
        <w:t>organizing campaigns.</w:t>
      </w:r>
      <w:r w:rsidRPr="00D60E97">
        <w:rPr>
          <w:rFonts w:eastAsia="Aptos"/>
          <w:sz w:val="14"/>
        </w:rPr>
        <w:t xml:space="preserve"> Unlawful acts have taken multiple forms, including: Terminating union activists and supporters; Committing acts of retaliation against union activists and supporters; Threatening to close unionized facilities; </w:t>
      </w:r>
      <w:r w:rsidRPr="00C22081">
        <w:rPr>
          <w:rFonts w:eastAsia="Aptos"/>
          <w:b/>
          <w:iCs/>
          <w:sz w:val="26"/>
          <w:highlight w:val="magenta"/>
          <w:u w:val="single"/>
        </w:rPr>
        <w:t xml:space="preserve">Closing unionized facilities </w:t>
      </w:r>
      <w:r w:rsidRPr="00D60E97">
        <w:rPr>
          <w:rFonts w:eastAsia="Aptos"/>
          <w:sz w:val="14"/>
        </w:rPr>
        <w:t>in order to send a message</w:t>
      </w:r>
      <w:r w:rsidRPr="00D60E97">
        <w:rPr>
          <w:rFonts w:eastAsia="Aptos"/>
          <w:b/>
          <w:iCs/>
          <w:sz w:val="14"/>
          <w:u w:val="single"/>
        </w:rPr>
        <w:t xml:space="preserve"> </w:t>
      </w:r>
      <w:r w:rsidRPr="00D60E97">
        <w:rPr>
          <w:rFonts w:eastAsia="Aptos"/>
          <w:sz w:val="14"/>
        </w:rPr>
        <w:t xml:space="preserve">to workers in other facilities who might want to organize; Providing wage increases and benefit improvements to nonunion workers but denying them to workers in stores and workplaces that have voted for unions; Using disciplinary procedures to target union activists in order to </w:t>
      </w:r>
      <w:r w:rsidRPr="00C22081">
        <w:rPr>
          <w:rFonts w:eastAsia="Aptos"/>
          <w:b/>
          <w:iCs/>
          <w:sz w:val="26"/>
          <w:highlight w:val="magenta"/>
          <w:u w:val="single"/>
        </w:rPr>
        <w:t>terminate them or force them to quit</w:t>
      </w:r>
      <w:r w:rsidRPr="00D60E97">
        <w:rPr>
          <w:rFonts w:eastAsia="Aptos"/>
          <w:sz w:val="14"/>
        </w:rPr>
        <w:t xml:space="preserve">; Threatening to </w:t>
      </w:r>
      <w:r w:rsidRPr="00C22081">
        <w:rPr>
          <w:rFonts w:eastAsia="Aptos"/>
          <w:b/>
          <w:iCs/>
          <w:sz w:val="26"/>
          <w:highlight w:val="magenta"/>
          <w:u w:val="single"/>
        </w:rPr>
        <w:t xml:space="preserve">take away </w:t>
      </w:r>
      <w:r w:rsidRPr="00D60E97">
        <w:rPr>
          <w:rFonts w:eastAsia="Aptos"/>
          <w:sz w:val="14"/>
        </w:rPr>
        <w:t xml:space="preserve">essential health benefits if workers support unionization; Promising workers rewards if they oppose unionization; Reducing workers’ hours to the point they no longer qualify for </w:t>
      </w:r>
      <w:r w:rsidRPr="00C22081">
        <w:rPr>
          <w:rFonts w:eastAsia="Aptos"/>
          <w:b/>
          <w:iCs/>
          <w:sz w:val="26"/>
          <w:highlight w:val="magenta"/>
          <w:u w:val="single"/>
        </w:rPr>
        <w:t xml:space="preserve">health care and </w:t>
      </w:r>
      <w:r w:rsidRPr="00D60E97">
        <w:rPr>
          <w:rFonts w:eastAsia="Aptos"/>
          <w:sz w:val="14"/>
        </w:rPr>
        <w:t>other</w:t>
      </w:r>
      <w:r w:rsidRPr="00C22081">
        <w:rPr>
          <w:rFonts w:eastAsia="Aptos"/>
          <w:b/>
          <w:iCs/>
          <w:sz w:val="16"/>
          <w:highlight w:val="magenta"/>
          <w:u w:val="single"/>
        </w:rPr>
        <w:t xml:space="preserve"> </w:t>
      </w:r>
      <w:r w:rsidRPr="00C22081">
        <w:rPr>
          <w:rFonts w:eastAsia="Aptos"/>
          <w:b/>
          <w:iCs/>
          <w:sz w:val="26"/>
          <w:highlight w:val="magenta"/>
          <w:u w:val="single"/>
        </w:rPr>
        <w:t>essential benefits</w:t>
      </w:r>
      <w:r w:rsidRPr="00D60E97">
        <w:rPr>
          <w:rFonts w:eastAsia="Aptos"/>
          <w:sz w:val="14"/>
        </w:rPr>
        <w:t xml:space="preserve">; Rigidly enforcing previously unenforced personnel policies to discipline union supporters; Targeting workers who are the most fearful of management pressure with anti-union propaganda; Using stalling and delaying tactics during first contract negotiations; Other corporate anti-union tactics are currently lawful but nevertheless effective at undermining workers’ right to organize, including: Spending millions of dollars on sophisticated and powerful union avoidance law firms, such as Littler Mendelson (Logan 2022b) and Morgan Lewis (Logan 2021b), to crush worker organizing; </w:t>
      </w:r>
      <w:r w:rsidRPr="00C22081">
        <w:rPr>
          <w:rFonts w:eastAsia="Aptos"/>
          <w:b/>
          <w:iCs/>
          <w:sz w:val="26"/>
          <w:highlight w:val="magenta"/>
          <w:u w:val="single"/>
        </w:rPr>
        <w:t xml:space="preserve">Spending millions </w:t>
      </w:r>
      <w:r w:rsidRPr="00D60E97">
        <w:rPr>
          <w:rFonts w:eastAsia="Aptos"/>
          <w:sz w:val="14"/>
        </w:rPr>
        <w:t>of dollars</w:t>
      </w:r>
      <w:r w:rsidRPr="00C22081">
        <w:rPr>
          <w:rFonts w:eastAsia="Aptos"/>
          <w:b/>
          <w:iCs/>
          <w:sz w:val="16"/>
          <w:highlight w:val="magenta"/>
          <w:u w:val="single"/>
        </w:rPr>
        <w:t xml:space="preserve"> </w:t>
      </w:r>
      <w:r w:rsidRPr="00C22081">
        <w:rPr>
          <w:rFonts w:eastAsia="Aptos"/>
          <w:b/>
          <w:iCs/>
          <w:sz w:val="26"/>
          <w:highlight w:val="magenta"/>
          <w:u w:val="single"/>
        </w:rPr>
        <w:t xml:space="preserve">on </w:t>
      </w:r>
      <w:r w:rsidRPr="00D60E97">
        <w:rPr>
          <w:rFonts w:eastAsia="Aptos"/>
          <w:sz w:val="14"/>
        </w:rPr>
        <w:t>external and internal</w:t>
      </w:r>
      <w:r w:rsidRPr="00C22081">
        <w:rPr>
          <w:rFonts w:eastAsia="Aptos"/>
          <w:b/>
          <w:iCs/>
          <w:sz w:val="26"/>
          <w:highlight w:val="magenta"/>
          <w:u w:val="single"/>
        </w:rPr>
        <w:t xml:space="preserve"> anti-union consultants, whose only job is to make it as difficult as possible for workers to be able to get a union</w:t>
      </w:r>
      <w:r w:rsidRPr="00D60E97">
        <w:rPr>
          <w:rFonts w:eastAsia="Aptos"/>
          <w:sz w:val="14"/>
        </w:rPr>
        <w:t xml:space="preserve"> (Logan 2006; Logan 2020; Logan 2021a; McNicholas et al. 2023a); Firing managers—from store managers to senior executives—who are viewed as being insufficiently engaged in corporate anti-union campaigns; Using increasingly sophisticated tactics, including data analytics, employee data surveys, covert surveillance, and anti-union “heat maps” in their union avoidance activities (Kessler 2020; Vogel 2021). These tactics create a climate of fear and intimidation around worker organizing Workplace organizers at Starbucks, Amazon, and Trader Joe’s report that union busting has had a devastating impact: Workers have been scared out of supporting unions; elections have been lost that otherwise would have been won; workers have stopped organizing after witnessing anti-union discrimination at other stores; and unlawful union busting has created a powerful chilling atmosphere when it comes to support for unionization (Logan 2021a; Greenhouse 2023; Brisack 2025). Corporations want workers to believe that the </w:t>
      </w:r>
      <w:r w:rsidRPr="00C22081">
        <w:rPr>
          <w:rFonts w:eastAsia="Aptos"/>
          <w:b/>
          <w:iCs/>
          <w:sz w:val="26"/>
          <w:highlight w:val="magenta"/>
          <w:u w:val="single"/>
        </w:rPr>
        <w:t>real choice they are facing is not between a union or no union, but</w:t>
      </w:r>
      <w:r w:rsidRPr="00C22081">
        <w:rPr>
          <w:rFonts w:eastAsia="Aptos"/>
          <w:sz w:val="14"/>
          <w:highlight w:val="magenta"/>
        </w:rPr>
        <w:t xml:space="preserve"> </w:t>
      </w:r>
      <w:r w:rsidRPr="00C22081">
        <w:rPr>
          <w:rFonts w:eastAsia="Aptos"/>
          <w:b/>
          <w:iCs/>
          <w:sz w:val="26"/>
          <w:highlight w:val="magenta"/>
          <w:u w:val="single"/>
        </w:rPr>
        <w:t>between a union or their job</w:t>
      </w:r>
      <w:r w:rsidRPr="00D60E97">
        <w:rPr>
          <w:rFonts w:eastAsia="Aptos"/>
          <w:sz w:val="14"/>
        </w:rPr>
        <w:t xml:space="preserve"> (Logan 2022d; Brisack 2025) </w:t>
      </w:r>
      <w:r w:rsidRPr="00C22081">
        <w:rPr>
          <w:rFonts w:eastAsia="Aptos"/>
          <w:b/>
          <w:iCs/>
          <w:sz w:val="26"/>
          <w:highlight w:val="magenta"/>
          <w:u w:val="single"/>
        </w:rPr>
        <w:t>and</w:t>
      </w:r>
      <w:r w:rsidRPr="00D60E97">
        <w:rPr>
          <w:rFonts w:eastAsia="Aptos"/>
          <w:sz w:val="14"/>
        </w:rPr>
        <w:t xml:space="preserve"> that </w:t>
      </w:r>
      <w:r w:rsidRPr="00C22081">
        <w:rPr>
          <w:rFonts w:eastAsia="Aptos"/>
          <w:b/>
          <w:iCs/>
          <w:sz w:val="26"/>
          <w:highlight w:val="magenta"/>
          <w:u w:val="single"/>
        </w:rPr>
        <w:t xml:space="preserve">they will suffer </w:t>
      </w:r>
      <w:r w:rsidRPr="00D60E97">
        <w:rPr>
          <w:rFonts w:eastAsia="Aptos"/>
          <w:sz w:val="14"/>
        </w:rPr>
        <w:t xml:space="preserve">negative consequences, individually and collectively, </w:t>
      </w:r>
      <w:r w:rsidRPr="00C22081">
        <w:rPr>
          <w:rFonts w:eastAsia="Aptos"/>
          <w:b/>
          <w:iCs/>
          <w:sz w:val="26"/>
          <w:highlight w:val="magenta"/>
          <w:u w:val="single"/>
        </w:rPr>
        <w:t xml:space="preserve">should they </w:t>
      </w:r>
      <w:r w:rsidRPr="00D60E97">
        <w:rPr>
          <w:rFonts w:eastAsia="Aptos"/>
          <w:sz w:val="14"/>
        </w:rPr>
        <w:t>vote to</w:t>
      </w:r>
      <w:r w:rsidRPr="00C22081">
        <w:rPr>
          <w:rFonts w:eastAsia="Aptos"/>
          <w:b/>
          <w:iCs/>
          <w:sz w:val="14"/>
          <w:highlight w:val="magenta"/>
          <w:u w:val="single"/>
        </w:rPr>
        <w:t xml:space="preserve"> </w:t>
      </w:r>
      <w:r w:rsidRPr="00C22081">
        <w:rPr>
          <w:rFonts w:eastAsia="Aptos"/>
          <w:b/>
          <w:iCs/>
          <w:sz w:val="26"/>
          <w:highlight w:val="magenta"/>
          <w:u w:val="single"/>
        </w:rPr>
        <w:t>unionize</w:t>
      </w:r>
      <w:r w:rsidRPr="00D60E97">
        <w:rPr>
          <w:rFonts w:eastAsia="Aptos"/>
          <w:sz w:val="14"/>
        </w:rPr>
        <w:t xml:space="preserve"> (Logan 2012). In addition to intimidating and coercing workers, corporations manipulate the election process, forcing delays by filing frivolous, unnecessary litigation to disrupt the momentum of organizing campaigns. Campaigns cannot stop and start while the legal process plays out—a process that often takes years to resolve. When it comes to worker organizing at mega-corporations, time is on the side of the lawbreaking corporations. The last few years have shown that </w:t>
      </w:r>
      <w:r w:rsidRPr="00C22081">
        <w:rPr>
          <w:rFonts w:eastAsia="Aptos"/>
          <w:b/>
          <w:iCs/>
          <w:sz w:val="26"/>
          <w:highlight w:val="magenta"/>
          <w:u w:val="single"/>
        </w:rPr>
        <w:t xml:space="preserve">corporations with the resources and </w:t>
      </w:r>
      <w:r w:rsidRPr="00D60E97">
        <w:rPr>
          <w:rFonts w:eastAsia="Aptos"/>
          <w:sz w:val="14"/>
        </w:rPr>
        <w:t>the stomach for a fight—i.e.,</w:t>
      </w:r>
      <w:r w:rsidRPr="00C22081">
        <w:rPr>
          <w:rFonts w:eastAsia="Aptos"/>
          <w:b/>
          <w:iCs/>
          <w:sz w:val="16"/>
          <w:highlight w:val="magenta"/>
          <w:u w:val="single"/>
        </w:rPr>
        <w:t xml:space="preserve"> </w:t>
      </w:r>
      <w:r w:rsidRPr="00C22081">
        <w:rPr>
          <w:rFonts w:eastAsia="Aptos"/>
          <w:b/>
          <w:iCs/>
          <w:sz w:val="26"/>
          <w:highlight w:val="magenta"/>
          <w:u w:val="single"/>
        </w:rPr>
        <w:t>the willingness to break the law to break the union—will prevail over worker organizing</w:t>
      </w:r>
      <w:r w:rsidRPr="00D60E97">
        <w:rPr>
          <w:rFonts w:eastAsia="Aptos"/>
          <w:sz w:val="14"/>
        </w:rPr>
        <w:t xml:space="preserve"> in most cases (Logan 2021a; Bahat and Kochan 2023). Were it not for this corporate lawlessness, we would likely have unions at thousands of Starbucks cafés, scores of Trader Joe’s stores, and dozens of Amazon facilities (Greenhouse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C22081">
        <w:rPr>
          <w:rFonts w:eastAsia="Aptos"/>
          <w:b/>
          <w:iCs/>
          <w:sz w:val="26"/>
          <w:highlight w:val="magenta"/>
          <w:u w:val="single"/>
        </w:rPr>
        <w:t>Even if they withstand ferocious anti-union campaigns and vote to organize, workers frequently don’t win a voice at work</w:t>
      </w:r>
      <w:r w:rsidRPr="00D60E97">
        <w:rPr>
          <w:rFonts w:eastAsia="Aptos"/>
          <w:sz w:val="14"/>
        </w:rPr>
        <w:t xml:space="preserve"> (Combs 2024). Anti-union corporations view NLRB elections as just the first round of their fight against unionization, adopting the view that they haven’t “lost” to the union until they sign a first contract (Logan 2002).</w:t>
      </w:r>
      <w:r w:rsidRPr="00D60E97">
        <w:rPr>
          <w:rFonts w:eastAsia="Aptos"/>
          <w:b/>
          <w:iCs/>
          <w:sz w:val="16"/>
          <w:u w:val="single"/>
        </w:rPr>
        <w:t xml:space="preserve"> </w:t>
      </w:r>
      <w:r w:rsidRPr="00C22081">
        <w:rPr>
          <w:rFonts w:eastAsia="Aptos"/>
          <w:b/>
          <w:iCs/>
          <w:sz w:val="26"/>
          <w:highlight w:val="magenta"/>
          <w:u w:val="single"/>
        </w:rPr>
        <w:t>Because of corporate opposition to collective bargaining, almost none of the workers involved in the recent high-profile union drives have gained</w:t>
      </w:r>
      <w:r w:rsidRPr="00D60E97">
        <w:rPr>
          <w:rFonts w:eastAsia="Aptos"/>
          <w:sz w:val="14"/>
        </w:rPr>
        <w:t xml:space="preserve">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w:t>
      </w:r>
      <w:r w:rsidRPr="00D60E97">
        <w:rPr>
          <w:rFonts w:eastAsia="Calibri"/>
          <w:sz w:val="14"/>
        </w:rPr>
        <w:t>these ferocious anti-union campaigns show why it is monumentally difficult for workers in the U.S. to form new unions and negotiate first contracts, especially when they are up against powerful, law-breaking corporations.</w:t>
      </w:r>
    </w:p>
    <w:p w14:paraId="072374AC" w14:textId="77777777" w:rsidR="00AD1531" w:rsidRPr="005D388F" w:rsidRDefault="00AD1531" w:rsidP="00AD1531"/>
    <w:p w14:paraId="763F9F15" w14:textId="77777777" w:rsidR="00AD1531" w:rsidRPr="00D60E97" w:rsidRDefault="00AD1531" w:rsidP="00AD1531">
      <w:pPr>
        <w:keepNext/>
        <w:keepLines/>
        <w:spacing w:before="40" w:after="0" w:line="254" w:lineRule="auto"/>
        <w:outlineLvl w:val="3"/>
        <w:rPr>
          <w:rFonts w:ascii="Arial" w:eastAsia="Times New Roman" w:hAnsi="Arial" w:cs="Arial"/>
          <w:b/>
          <w:bCs/>
          <w:iCs/>
          <w:color w:val="000000"/>
        </w:rPr>
      </w:pPr>
      <w:r>
        <w:rPr>
          <w:rFonts w:eastAsia="Times New Roman" w:cs="Times New Roman"/>
          <w:b/>
          <w:iCs/>
          <w:sz w:val="32"/>
        </w:rPr>
        <w:t xml:space="preserve">3. </w:t>
      </w:r>
      <w:r w:rsidRPr="00D60E97">
        <w:rPr>
          <w:rFonts w:eastAsia="Times New Roman" w:cs="Times New Roman"/>
          <w:b/>
          <w:iCs/>
          <w:sz w:val="32"/>
        </w:rPr>
        <w:t>Case turn-Unions are junior partner to capital and thus extend racial cap-the affs solvency mechanism has already been co-opted.</w:t>
      </w:r>
    </w:p>
    <w:p w14:paraId="01C6D61A" w14:textId="77777777" w:rsidR="00AD1531" w:rsidRPr="00D60E97" w:rsidRDefault="00AD1531" w:rsidP="00AD1531">
      <w:pPr>
        <w:spacing w:line="252" w:lineRule="auto"/>
        <w:rPr>
          <w:rFonts w:eastAsia="Aptos"/>
          <w:b/>
          <w:bCs/>
          <w:sz w:val="26"/>
        </w:rPr>
      </w:pPr>
      <w:r w:rsidRPr="00C22081">
        <w:rPr>
          <w:rFonts w:eastAsia="Aptos"/>
          <w:b/>
          <w:bCs/>
          <w:sz w:val="26"/>
          <w:highlight w:val="magenta"/>
        </w:rPr>
        <w:t>Pinto ‘23</w:t>
      </w:r>
    </w:p>
    <w:p w14:paraId="44106575" w14:textId="77777777" w:rsidR="00AD1531" w:rsidRPr="00D60E97" w:rsidRDefault="00AD1531" w:rsidP="00AD1531">
      <w:pPr>
        <w:spacing w:line="252" w:lineRule="auto"/>
        <w:rPr>
          <w:rFonts w:eastAsia="Aptos"/>
          <w:sz w:val="14"/>
          <w:szCs w:val="12"/>
        </w:rPr>
      </w:pPr>
      <w:r w:rsidRPr="00D60E97">
        <w:rPr>
          <w:rFonts w:eastAsia="Aptos"/>
          <w:sz w:val="14"/>
          <w:szCs w:val="12"/>
        </w:rPr>
        <w:t xml:space="preserve">[Sanjay Pinto, “Economic Democracy against Racial Capitalism: Seeding Freedom,” Politics &amp; Society. Vol 51, iss. 2. 25 April 2023. https://doi-org.libweb.lib.utsa.edu/10.1177/00323292231164247]Lo </w:t>
      </w:r>
    </w:p>
    <w:p w14:paraId="44111452" w14:textId="77777777" w:rsidR="00AD1531" w:rsidRDefault="00AD1531" w:rsidP="00AD1531">
      <w:pPr>
        <w:spacing w:after="0" w:line="240" w:lineRule="auto"/>
        <w:rPr>
          <w:rFonts w:eastAsia="Aptos"/>
          <w:b/>
          <w:iCs/>
          <w:kern w:val="2"/>
          <w:sz w:val="26"/>
          <w:szCs w:val="24"/>
          <w:u w:val="single"/>
          <w14:ligatures w14:val="standardContextual"/>
        </w:rPr>
      </w:pPr>
      <w:r w:rsidRPr="00D60E97">
        <w:rPr>
          <w:rFonts w:eastAsia="Calibri"/>
          <w:sz w:val="14"/>
        </w:rPr>
        <w:t>Ferreras’s proposal springs from a concern with the tension between capitalism and democracy. This tension has become all the more apparent in recent years, with corporations wielding ever-growing influence on a global scale and a billionaire class increasingly able to impose its will on the rest of humanity. It is long-running, however, as Ferreras points out, embedded within the underlying structure of capitalist firms. Capital investors, and those whom they hire to run things, hold virtually all of the institutionalized authority within firms.10 For those selling their labor power to someone else in order to earn a living, democracy fails to apply in important ways once they cross the literal or figural company doorstep. Drawing inspiration from previous democratic transitions in the formal political arena, Ferreras proposes economic bicameralism as a means of addressing this imbalance: a chamber of “labor investors” should be constituted as coequal with a “chamber” of capital investors, both engaged in setting the firm's direction and formulating its key decisions. Economic bicameralism is a pragmatist formulation in the Deweyan sense: it seeks to deepen democracy in ways that are responsive to the evident limitations and potentialities of contemporary conditions building a bridge from where we are now to a possible future.11 Ferreras acknowledges the important measures of power and voice that</w:t>
      </w:r>
      <w:r w:rsidRPr="00D60E97">
        <w:rPr>
          <w:rFonts w:eastAsia="Aptos"/>
          <w:sz w:val="14"/>
        </w:rPr>
        <w:t xml:space="preserve"> </w:t>
      </w:r>
      <w:r w:rsidRPr="00C22081">
        <w:rPr>
          <w:rFonts w:eastAsia="Aptos"/>
          <w:b/>
          <w:iCs/>
          <w:kern w:val="2"/>
          <w:sz w:val="26"/>
          <w:szCs w:val="24"/>
          <w:highlight w:val="magenta"/>
          <w:u w:val="single"/>
          <w14:ligatures w14:val="standardContextual"/>
        </w:rPr>
        <w:t>unions</w:t>
      </w:r>
      <w:r w:rsidRPr="00D60E97">
        <w:rPr>
          <w:rFonts w:eastAsia="Aptos"/>
          <w:sz w:val="14"/>
        </w:rPr>
        <w:t xml:space="preserve"> have achieved. </w:t>
      </w:r>
      <w:r w:rsidRPr="00C22081">
        <w:rPr>
          <w:rFonts w:eastAsia="Aptos"/>
          <w:b/>
          <w:iCs/>
          <w:kern w:val="2"/>
          <w:sz w:val="26"/>
          <w:szCs w:val="24"/>
          <w:highlight w:val="magenta"/>
          <w:u w:val="single"/>
          <w14:ligatures w14:val="standardContextual"/>
        </w:rPr>
        <w:t>Even at the upper bound of the influ</w:t>
      </w:r>
      <w:r w:rsidRPr="00C22081">
        <w:rPr>
          <w:rFonts w:eastAsia="Calibri"/>
          <w:b/>
          <w:iCs/>
          <w:sz w:val="26"/>
          <w:highlight w:val="magenta"/>
          <w:u w:val="single"/>
        </w:rPr>
        <w:t xml:space="preserve">ence </w:t>
      </w:r>
      <w:r w:rsidRPr="00D60E97">
        <w:rPr>
          <w:rFonts w:eastAsia="Calibri"/>
          <w:sz w:val="14"/>
        </w:rPr>
        <w:t>they wield at the enterprise level, however, bolstered by institutions such as codetermination, they</w:t>
      </w:r>
      <w:r w:rsidRPr="00C22081">
        <w:rPr>
          <w:rFonts w:eastAsia="Calibri"/>
          <w:b/>
          <w:iCs/>
          <w:sz w:val="26"/>
          <w:highlight w:val="magenta"/>
          <w:u w:val="single"/>
        </w:rPr>
        <w:t xml:space="preserve"> remain </w:t>
      </w:r>
      <w:r w:rsidRPr="00C22081">
        <w:rPr>
          <w:rFonts w:eastAsia="Aptos"/>
          <w:b/>
          <w:iCs/>
          <w:kern w:val="2"/>
          <w:sz w:val="26"/>
          <w:szCs w:val="24"/>
          <w:highlight w:val="magenta"/>
          <w:u w:val="single"/>
          <w14:ligatures w14:val="standardContextual"/>
        </w:rPr>
        <w:t>positioned as a junior partner to capital</w:t>
      </w:r>
      <w:r w:rsidRPr="00D60E97">
        <w:rPr>
          <w:rFonts w:eastAsia="Aptos"/>
          <w:b/>
          <w:u w:val="single"/>
        </w:rPr>
        <w:t>.</w:t>
      </w:r>
      <w:r w:rsidRPr="00D60E97">
        <w:rPr>
          <w:rFonts w:eastAsia="Aptos"/>
          <w:sz w:val="14"/>
        </w:rPr>
        <w:t xml:space="preserve"> Economic bicameralism pushes labor's role beyond this. But </w:t>
      </w:r>
      <w:r w:rsidRPr="00C22081">
        <w:rPr>
          <w:rFonts w:eastAsia="Aptos"/>
          <w:b/>
          <w:iCs/>
          <w:kern w:val="2"/>
          <w:sz w:val="26"/>
          <w:szCs w:val="24"/>
          <w:highlight w:val="magenta"/>
          <w:u w:val="single"/>
          <w14:ligatures w14:val="standardContextual"/>
        </w:rPr>
        <w:t>it stops short of pressing</w:t>
      </w:r>
      <w:r w:rsidRPr="00D60E97">
        <w:rPr>
          <w:rFonts w:eastAsia="Aptos"/>
          <w:sz w:val="14"/>
        </w:rPr>
        <w:t>—in the immediate term at least—</w:t>
      </w:r>
      <w:r w:rsidRPr="00C22081">
        <w:rPr>
          <w:rFonts w:eastAsia="Aptos"/>
          <w:b/>
          <w:iCs/>
          <w:kern w:val="2"/>
          <w:sz w:val="26"/>
          <w:szCs w:val="24"/>
          <w:highlight w:val="magenta"/>
          <w:u w:val="single"/>
          <w14:ligatures w14:val="standardContextual"/>
        </w:rPr>
        <w:t xml:space="preserve">for full worker ownership </w:t>
      </w:r>
      <w:r w:rsidRPr="00D60E97">
        <w:rPr>
          <w:rFonts w:eastAsia="Calibri"/>
          <w:sz w:val="14"/>
        </w:rPr>
        <w:t>and control of the sort seen in worker cooperatives</w:t>
      </w:r>
      <w:r w:rsidRPr="00D60E97">
        <w:rPr>
          <w:rFonts w:eastAsia="Aptos"/>
          <w:sz w:val="14"/>
        </w:rPr>
        <w:t xml:space="preserve">. Ferreras sees economic bicameralism as potentially paving a path in that direction. However, her conception seeks to respond to conditions in which a relatively small number of people hold much of the investment capital and corresponding corporate governance rights. </w:t>
      </w:r>
      <w:r w:rsidRPr="00C22081">
        <w:rPr>
          <w:rFonts w:eastAsia="Aptos"/>
          <w:b/>
          <w:iCs/>
          <w:kern w:val="2"/>
          <w:sz w:val="26"/>
          <w:szCs w:val="24"/>
          <w:highlight w:val="magenta"/>
          <w:u w:val="single"/>
          <w14:ligatures w14:val="standardContextual"/>
        </w:rPr>
        <w:t>In that context</w:t>
      </w:r>
      <w:r w:rsidRPr="00D60E97">
        <w:rPr>
          <w:rFonts w:eastAsia="Aptos"/>
          <w:sz w:val="14"/>
        </w:rPr>
        <w:t xml:space="preserve">, making labor coequal to </w:t>
      </w:r>
      <w:r w:rsidRPr="00C22081">
        <w:rPr>
          <w:rFonts w:eastAsia="Aptos"/>
          <w:b/>
          <w:iCs/>
          <w:kern w:val="2"/>
          <w:sz w:val="26"/>
          <w:szCs w:val="24"/>
          <w:highlight w:val="magenta"/>
          <w:u w:val="single"/>
          <w14:ligatures w14:val="standardContextual"/>
        </w:rPr>
        <w:t>capital</w:t>
      </w:r>
      <w:r w:rsidRPr="00D60E97">
        <w:rPr>
          <w:rFonts w:eastAsia="Aptos"/>
          <w:sz w:val="14"/>
        </w:rPr>
        <w:t xml:space="preserve"> would mark a meaningful step forward. Ferreras’s discussion </w:t>
      </w:r>
      <w:r w:rsidRPr="00C22081">
        <w:rPr>
          <w:rFonts w:eastAsia="Aptos"/>
          <w:b/>
          <w:iCs/>
          <w:kern w:val="2"/>
          <w:sz w:val="26"/>
          <w:szCs w:val="24"/>
          <w:highlight w:val="magenta"/>
          <w:u w:val="single"/>
          <w14:ligatures w14:val="standardContextual"/>
        </w:rPr>
        <w:t xml:space="preserve">is focused squarely on shifting authority and </w:t>
      </w:r>
      <w:r w:rsidRPr="00C22081">
        <w:rPr>
          <w:rFonts w:eastAsia="Calibri"/>
          <w:b/>
          <w:iCs/>
          <w:sz w:val="26"/>
          <w:highlight w:val="magenta"/>
          <w:u w:val="single"/>
        </w:rPr>
        <w:t>control within firms</w:t>
      </w:r>
      <w:r w:rsidRPr="00D60E97">
        <w:rPr>
          <w:rFonts w:eastAsia="Aptos"/>
          <w:sz w:val="14"/>
        </w:rPr>
        <w:t xml:space="preserve">. But she notes the importance of transforming the larger environment in which they function through government action and social movement (especially labor movement) organizing, both generally and in ways that lay the ground for economic bicameralism to take root. The point bears emphasis if we are to think about democratizing firms in relation to larger aims of expanding voice and accountability within the economy. For some key thinkers on economic democracy, transforming the structure of firms is more or less the entire enterprise, as it were.12 The argument advanced here suggests </w:t>
      </w:r>
      <w:r w:rsidRPr="00D60E97">
        <w:rPr>
          <w:rFonts w:eastAsia="Calibri"/>
          <w:sz w:val="14"/>
        </w:rPr>
        <w:t>that democratizing firms</w:t>
      </w:r>
      <w:r w:rsidRPr="00D60E97">
        <w:rPr>
          <w:rFonts w:eastAsia="Aptos"/>
          <w:b/>
          <w:u w:val="single"/>
        </w:rPr>
        <w:t xml:space="preserve"> </w:t>
      </w:r>
      <w:r w:rsidRPr="00D60E97">
        <w:rPr>
          <w:rFonts w:eastAsia="Aptos"/>
          <w:sz w:val="14"/>
        </w:rPr>
        <w:t>must ultimately be linked to wider shifts in the deployment of state and social power, or risk</w:t>
      </w:r>
      <w:r w:rsidRPr="00D60E97">
        <w:rPr>
          <w:rFonts w:eastAsia="Aptos"/>
          <w:b/>
          <w:u w:val="single"/>
        </w:rPr>
        <w:t xml:space="preserve"> </w:t>
      </w:r>
      <w:r w:rsidRPr="00C22081">
        <w:rPr>
          <w:rFonts w:eastAsia="Aptos"/>
          <w:b/>
          <w:iCs/>
          <w:kern w:val="2"/>
          <w:sz w:val="26"/>
          <w:szCs w:val="24"/>
          <w:highlight w:val="magenta"/>
          <w:u w:val="single"/>
          <w14:ligatures w14:val="standardContextual"/>
        </w:rPr>
        <w:t>becoming yet another project coopted</w:t>
      </w:r>
      <w:r w:rsidRPr="00D60E97">
        <w:rPr>
          <w:rFonts w:eastAsia="Aptos"/>
          <w:b/>
          <w:u w:val="single"/>
        </w:rPr>
        <w:t xml:space="preserve"> </w:t>
      </w:r>
      <w:r w:rsidRPr="00D60E97">
        <w:rPr>
          <w:rFonts w:eastAsia="Aptos"/>
          <w:sz w:val="14"/>
        </w:rPr>
        <w:t xml:space="preserve">to </w:t>
      </w:r>
      <w:r w:rsidRPr="00D60E97">
        <w:rPr>
          <w:rFonts w:eastAsia="Calibri"/>
          <w:sz w:val="14"/>
        </w:rPr>
        <w:t>empower firms at the expense of broader democratic accountability. More specifically, the discussion below considers this two-pronged endeavor</w:t>
      </w:r>
      <w:r w:rsidRPr="00D60E97">
        <w:rPr>
          <w:rFonts w:eastAsia="Aptos"/>
          <w:sz w:val="14"/>
        </w:rPr>
        <w:t>—</w:t>
      </w:r>
      <w:r w:rsidRPr="00C22081">
        <w:rPr>
          <w:rFonts w:eastAsia="Calibri"/>
          <w:b/>
          <w:sz w:val="26"/>
          <w:highlight w:val="magenta"/>
          <w:u w:val="single"/>
          <w:bdr w:val="none" w:sz="0" w:space="0" w:color="auto" w:frame="1"/>
        </w:rPr>
        <w:t>democratizing firms and</w:t>
      </w:r>
      <w:r w:rsidRPr="00D60E97">
        <w:rPr>
          <w:rFonts w:eastAsia="Aptos"/>
          <w:sz w:val="14"/>
        </w:rPr>
        <w:t xml:space="preserve"> democratizing </w:t>
      </w:r>
      <w:r w:rsidRPr="00C22081">
        <w:rPr>
          <w:rFonts w:eastAsia="Calibri"/>
          <w:b/>
          <w:sz w:val="26"/>
          <w:highlight w:val="magenta"/>
          <w:u w:val="single"/>
          <w:bdr w:val="none" w:sz="0" w:space="0" w:color="auto" w:frame="1"/>
        </w:rPr>
        <w:t>the larger economies</w:t>
      </w:r>
      <w:r w:rsidRPr="00D60E97">
        <w:rPr>
          <w:rFonts w:eastAsia="Aptos"/>
          <w:sz w:val="14"/>
        </w:rPr>
        <w:t xml:space="preserve"> in which they </w:t>
      </w:r>
      <w:r w:rsidRPr="00C22081">
        <w:rPr>
          <w:rFonts w:eastAsia="Calibri"/>
          <w:b/>
          <w:sz w:val="26"/>
          <w:highlight w:val="magenta"/>
          <w:u w:val="single"/>
          <w:bdr w:val="none" w:sz="0" w:space="0" w:color="auto" w:frame="1"/>
        </w:rPr>
        <w:t>sit—within a context of structural racism</w:t>
      </w:r>
      <w:r w:rsidRPr="00D60E97">
        <w:rPr>
          <w:rFonts w:eastAsia="Aptos"/>
          <w:sz w:val="14"/>
        </w:rPr>
        <w:t>. “Progressive actors in history have fought to emancipate colonies, slaves, ethnic groups, or women,” Ferreras writes. “N</w:t>
      </w:r>
      <w:r w:rsidRPr="00D60E97">
        <w:rPr>
          <w:rFonts w:eastAsia="Calibri"/>
          <w:sz w:val="14"/>
        </w:rPr>
        <w:t xml:space="preserve">ow it is time to emancipate workers.” Emancipation from legacies of slavery, conquest, and legalized gender subordination remain unfinished projects, however. Ferreras would surely agree with this. Wood, though, rather minimized the relevance of “identity” to the core project of democratizing the economy in Democracy against Capitalism and other work, worried that a focus on race and gender by forces on the left would obscure and eclipse class-based mobilization.13 Unfortunately, racial politics have indeed upended class solidarity, but Wood and other Left critics of identity politics have often lost sight of the vastly more important set of mechanisms that are at play: the ways in which racism has shaped class formation and consciousness, and capitalist dynamics more broadly.14 </w:t>
      </w:r>
      <w:r w:rsidRPr="00C22081">
        <w:rPr>
          <w:rFonts w:eastAsia="Aptos"/>
          <w:b/>
          <w:iCs/>
          <w:kern w:val="2"/>
          <w:sz w:val="26"/>
          <w:szCs w:val="24"/>
          <w:highlight w:val="magenta"/>
          <w:u w:val="single"/>
          <w14:ligatures w14:val="standardContextual"/>
        </w:rPr>
        <w:t>Any project to advance economic democracy must challenge racial capitalism specifically or fall into the same old traps.</w:t>
      </w:r>
    </w:p>
    <w:p w14:paraId="5E455DF6" w14:textId="77777777" w:rsidR="00AD1531" w:rsidRDefault="00AD1531" w:rsidP="00AD1531">
      <w:pPr>
        <w:spacing w:after="0" w:line="240" w:lineRule="auto"/>
        <w:rPr>
          <w:rFonts w:eastAsia="Aptos"/>
          <w:b/>
          <w:iCs/>
          <w:kern w:val="2"/>
          <w:sz w:val="26"/>
          <w:szCs w:val="24"/>
          <w:u w:val="single"/>
          <w14:ligatures w14:val="standardContextual"/>
        </w:rPr>
      </w:pPr>
    </w:p>
    <w:p w14:paraId="26328DD8" w14:textId="77777777" w:rsidR="00AD1531" w:rsidRPr="008B6BBA" w:rsidRDefault="00AD1531" w:rsidP="00AD1531">
      <w:pPr>
        <w:keepNext/>
        <w:keepLines/>
        <w:spacing w:before="40" w:after="0"/>
        <w:outlineLvl w:val="3"/>
        <w:rPr>
          <w:rFonts w:eastAsia="Times New Roman" w:cs="Times New Roman"/>
          <w:b/>
          <w:iCs/>
          <w:sz w:val="32"/>
        </w:rPr>
      </w:pPr>
      <w:r>
        <w:rPr>
          <w:rFonts w:eastAsia="Times New Roman" w:cs="Times New Roman"/>
          <w:b/>
          <w:iCs/>
          <w:sz w:val="32"/>
        </w:rPr>
        <w:t xml:space="preserve">4. </w:t>
      </w:r>
      <w:r w:rsidRPr="008B6BBA">
        <w:rPr>
          <w:rFonts w:eastAsia="Times New Roman" w:cs="Times New Roman"/>
          <w:b/>
          <w:iCs/>
          <w:sz w:val="32"/>
        </w:rPr>
        <w:t>Demanding rights masks class struggle—they make things worse</w:t>
      </w:r>
    </w:p>
    <w:p w14:paraId="7C786B63" w14:textId="77777777" w:rsidR="00AD1531" w:rsidRPr="008B6BBA" w:rsidRDefault="00AD1531" w:rsidP="00AD1531">
      <w:pPr>
        <w:rPr>
          <w:rFonts w:eastAsia="Aptos"/>
          <w:b/>
          <w:bCs/>
          <w:sz w:val="26"/>
        </w:rPr>
      </w:pPr>
      <w:r w:rsidRPr="008B6BBA">
        <w:rPr>
          <w:rFonts w:eastAsia="Aptos"/>
          <w:b/>
          <w:bCs/>
          <w:sz w:val="26"/>
          <w:highlight w:val="magenta"/>
        </w:rPr>
        <w:t>Engle  ’08</w:t>
      </w:r>
      <w:r w:rsidRPr="008B6BBA">
        <w:rPr>
          <w:rFonts w:eastAsia="Aptos"/>
          <w:b/>
          <w:bCs/>
          <w:sz w:val="26"/>
        </w:rPr>
        <w:t xml:space="preserve"> [Eric Engle, “Human Rights According to Marxism,” GUILD PRACTICIONER v. 65, Winter 2008, </w:t>
      </w:r>
      <w:hyperlink r:id="rId10" w:history="1">
        <w:r w:rsidRPr="008B6BBA">
          <w:rPr>
            <w:rFonts w:eastAsia="Aptos"/>
            <w:b/>
            <w:bCs/>
            <w:sz w:val="26"/>
          </w:rPr>
          <w:t>https://papers.ssrn.com/sol3/papers.cfm?abstract_id=1268556</w:t>
        </w:r>
      </w:hyperlink>
      <w:r w:rsidRPr="008B6BBA">
        <w:rPr>
          <w:rFonts w:eastAsia="Aptos"/>
          <w:b/>
          <w:bCs/>
          <w:sz w:val="26"/>
        </w:rPr>
        <w:t>, accessed 11-16-25]</w:t>
      </w:r>
    </w:p>
    <w:p w14:paraId="32BC9F97" w14:textId="77777777" w:rsidR="00AD1531" w:rsidRDefault="00AD1531" w:rsidP="00AD1531">
      <w:pPr>
        <w:rPr>
          <w:rFonts w:eastAsia="Aptos"/>
          <w:sz w:val="12"/>
        </w:rPr>
      </w:pPr>
      <w:r w:rsidRPr="008B6BBA">
        <w:rPr>
          <w:rFonts w:eastAsia="Calibri"/>
          <w:sz w:val="12"/>
        </w:rPr>
        <w:t xml:space="preserve">*250 Marxism affirms human rights not as absolute formal procedural niceties (which is what liberal capitalism does) but as substantive claims in the material world (unlike liberal capitalism), relativized by real world facts (like liberal capitalism). Marxist human rights are relativized for example by class struggle and history, that is, by historical materialism. </w:t>
      </w:r>
      <w:r w:rsidRPr="008B6BBA">
        <w:rPr>
          <w:rFonts w:eastAsia="Aptos"/>
          <w:sz w:val="12"/>
        </w:rPr>
        <w:t xml:space="preserve">The Marxist critic of human rights asserts that </w:t>
      </w:r>
      <w:r w:rsidRPr="008B6BBA">
        <w:rPr>
          <w:rFonts w:eastAsia="Aptos"/>
          <w:b/>
          <w:iCs/>
          <w:sz w:val="26"/>
          <w:highlight w:val="magenta"/>
          <w:u w:val="single"/>
        </w:rPr>
        <w:t>the rights and freedoms of bourgeois democracies are purely formal and at most</w:t>
      </w:r>
      <w:r w:rsidRPr="008B6BBA">
        <w:rPr>
          <w:rFonts w:eastAsia="Aptos"/>
          <w:sz w:val="12"/>
        </w:rPr>
        <w:t xml:space="preserve"> procedural [FN9] and thus are </w:t>
      </w:r>
      <w:r w:rsidRPr="008B6BBA">
        <w:rPr>
          <w:rFonts w:eastAsia="Aptos"/>
          <w:b/>
          <w:iCs/>
          <w:sz w:val="26"/>
          <w:highlight w:val="magenta"/>
          <w:u w:val="single"/>
        </w:rPr>
        <w:t>illusions</w:t>
      </w:r>
      <w:r w:rsidRPr="008B6BBA">
        <w:rPr>
          <w:rFonts w:eastAsia="Aptos"/>
          <w:b/>
          <w:sz w:val="20"/>
          <w:highlight w:val="magenta"/>
          <w:u w:val="single"/>
        </w:rPr>
        <w:t>.</w:t>
      </w:r>
      <w:r w:rsidRPr="008B6BBA">
        <w:rPr>
          <w:rFonts w:eastAsia="Aptos"/>
          <w:sz w:val="12"/>
        </w:rPr>
        <w:t xml:space="preserve"> [FN10] To Marxists the working intellectual formation to enforce its rights. Thus, for Marxists, workers are a victim of "the shell game". [FN11] </w:t>
      </w:r>
      <w:r w:rsidRPr="008B6BBA">
        <w:rPr>
          <w:rFonts w:eastAsia="Aptos"/>
          <w:b/>
          <w:iCs/>
          <w:sz w:val="26"/>
          <w:highlight w:val="magenta"/>
          <w:u w:val="single"/>
        </w:rPr>
        <w:t>Formal equality and legality mask de facto substantive inequalities. For Marxism, social inequalities are reflections of the struggle between different social classes.</w:t>
      </w:r>
      <w:r w:rsidRPr="008B6BBA">
        <w:rPr>
          <w:rFonts w:eastAsia="Aptos"/>
          <w:b/>
          <w:iCs/>
          <w:sz w:val="26"/>
          <w:u w:val="single"/>
        </w:rPr>
        <w:t xml:space="preserve"> </w:t>
      </w:r>
      <w:r w:rsidRPr="008B6BBA">
        <w:rPr>
          <w:rFonts w:eastAsia="Aptos"/>
          <w:sz w:val="12"/>
        </w:rPr>
        <w:t xml:space="preserve">Thus, according to Marx, eliminating class differences is the first step to ending inequality and attaining the full realization of all persons. Marx's criticism refers specifically to the French example: Above all, we find that </w:t>
      </w:r>
      <w:r w:rsidRPr="008B6BBA">
        <w:rPr>
          <w:b/>
          <w:iCs/>
          <w:sz w:val="26"/>
          <w:highlight w:val="magenta"/>
          <w:u w:val="single"/>
        </w:rPr>
        <w:t>the so-called rights</w:t>
      </w:r>
      <w:r w:rsidRPr="008B6BBA">
        <w:rPr>
          <w:rFonts w:eastAsia="Aptos"/>
          <w:sz w:val="12"/>
        </w:rPr>
        <w:t xml:space="preserve"> of man, human rights versus the rights of citizens, </w:t>
      </w:r>
      <w:r w:rsidRPr="008B6BBA">
        <w:rPr>
          <w:b/>
          <w:iCs/>
          <w:sz w:val="26"/>
          <w:highlight w:val="magenta"/>
          <w:u w:val="single"/>
        </w:rPr>
        <w:t>are nothing other than the rights of member of bourgeois society</w:t>
      </w:r>
      <w:r w:rsidRPr="008B6BBA">
        <w:rPr>
          <w:rFonts w:eastAsia="Aptos"/>
          <w:sz w:val="12"/>
        </w:rPr>
        <w:t>, that is to say selfish man, man separated from man and the community.</w:t>
      </w:r>
    </w:p>
    <w:p w14:paraId="0943299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91A0E" w14:textId="77777777" w:rsidR="00036C08" w:rsidRDefault="00036C08" w:rsidP="00066D2C">
      <w:pPr>
        <w:spacing w:after="0" w:line="240" w:lineRule="auto"/>
      </w:pPr>
      <w:r>
        <w:separator/>
      </w:r>
    </w:p>
  </w:endnote>
  <w:endnote w:type="continuationSeparator" w:id="0">
    <w:p w14:paraId="77207B19" w14:textId="77777777" w:rsidR="00036C08" w:rsidRDefault="00036C0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67115" w14:textId="77777777" w:rsidR="00036C08" w:rsidRDefault="00036C08" w:rsidP="00066D2C">
      <w:pPr>
        <w:spacing w:after="0" w:line="240" w:lineRule="auto"/>
      </w:pPr>
      <w:r>
        <w:separator/>
      </w:r>
    </w:p>
  </w:footnote>
  <w:footnote w:type="continuationSeparator" w:id="0">
    <w:p w14:paraId="1D93BD71" w14:textId="77777777" w:rsidR="00036C08" w:rsidRDefault="00036C0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ylie"/>
    <w:docVar w:name="OS" w:val="Windows NT"/>
    <w:docVar w:name="OSVersion" w:val="10.0"/>
    <w:docVar w:name="RibbonPointer" w:val="1927650727712"/>
    <w:docVar w:name="VerbatimVersion" w:val="6.0.0"/>
    <w:docVar w:name="WordVersion" w:val="16.0"/>
  </w:docVars>
  <w:rsids>
    <w:rsidRoot w:val="00AD1531"/>
    <w:rsid w:val="00001C7E"/>
    <w:rsid w:val="0000487C"/>
    <w:rsid w:val="00011FEF"/>
    <w:rsid w:val="00013C8B"/>
    <w:rsid w:val="00023AEF"/>
    <w:rsid w:val="000250CA"/>
    <w:rsid w:val="00032119"/>
    <w:rsid w:val="00036C0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E73"/>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30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0E7"/>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173"/>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ABD"/>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0F6E"/>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E5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6C10"/>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01A"/>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531"/>
    <w:rsid w:val="00AE00AE"/>
    <w:rsid w:val="00AE4B5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0E0"/>
    <w:rsid w:val="00B301A2"/>
    <w:rsid w:val="00B31350"/>
    <w:rsid w:val="00B3154F"/>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37A"/>
    <w:rsid w:val="00D839C5"/>
    <w:rsid w:val="00D84043"/>
    <w:rsid w:val="00D91348"/>
    <w:rsid w:val="00D9566D"/>
    <w:rsid w:val="00DA0EF7"/>
    <w:rsid w:val="00DA4B3F"/>
    <w:rsid w:val="00DA4EB6"/>
    <w:rsid w:val="00DA5F0C"/>
    <w:rsid w:val="00DB20EB"/>
    <w:rsid w:val="00DB33F6"/>
    <w:rsid w:val="00DB38CC"/>
    <w:rsid w:val="00DC08B6"/>
    <w:rsid w:val="00DC1AD2"/>
    <w:rsid w:val="00DC277F"/>
    <w:rsid w:val="00DD0950"/>
    <w:rsid w:val="00DD0BFE"/>
    <w:rsid w:val="00DD29B1"/>
    <w:rsid w:val="00DD4AF9"/>
    <w:rsid w:val="00DD5DF4"/>
    <w:rsid w:val="00DD5EE9"/>
    <w:rsid w:val="00DD7497"/>
    <w:rsid w:val="00DD782F"/>
    <w:rsid w:val="00DE0414"/>
    <w:rsid w:val="00DE0826"/>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75BF7"/>
  <w15:chartTrackingRefBased/>
  <w15:docId w15:val="{CB01E809-0049-4381-8FBB-08BEF6B40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D1531"/>
    <w:rPr>
      <w:rFonts w:ascii="Calibri" w:hAnsi="Calibri" w:cs="Calibri"/>
    </w:rPr>
  </w:style>
  <w:style w:type="paragraph" w:styleId="Heading1">
    <w:name w:val="heading 1"/>
    <w:aliases w:val="Pocket"/>
    <w:basedOn w:val="Normal"/>
    <w:next w:val="Normal"/>
    <w:link w:val="Heading1Char"/>
    <w:qFormat/>
    <w:rsid w:val="00AD15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D1531"/>
    <w:pPr>
      <w:keepNext/>
      <w:keepLines/>
      <w:pageBreakBefore/>
      <w:spacing w:before="40" w:after="0"/>
      <w:jc w:val="center"/>
      <w:outlineLvl w:val="1"/>
    </w:pPr>
    <w:rPr>
      <w:rFonts w:eastAsiaTheme="majorEastAsia" w:cstheme="majorBidi"/>
      <w:b/>
      <w:sz w:val="40"/>
      <w:szCs w:val="26"/>
      <w:u w:val="double"/>
    </w:rPr>
  </w:style>
  <w:style w:type="paragraph" w:styleId="Heading3">
    <w:name w:val="heading 3"/>
    <w:aliases w:val="Block"/>
    <w:basedOn w:val="Normal"/>
    <w:next w:val="Normal"/>
    <w:link w:val="Heading3Char"/>
    <w:uiPriority w:val="2"/>
    <w:qFormat/>
    <w:rsid w:val="00AD1531"/>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t"/>
    <w:basedOn w:val="Normal"/>
    <w:next w:val="Normal"/>
    <w:link w:val="Heading4Char"/>
    <w:uiPriority w:val="3"/>
    <w:qFormat/>
    <w:rsid w:val="00AD1531"/>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AD15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D15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1531"/>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Style1,Box,s"/>
    <w:basedOn w:val="DefaultParagraphFont"/>
    <w:link w:val="textbold"/>
    <w:uiPriority w:val="8"/>
    <w:qFormat/>
    <w:rsid w:val="00AD1531"/>
    <w:rPr>
      <w:rFonts w:ascii="Calibri" w:hAnsi="Calibri" w:cs="Calibri"/>
      <w:b/>
      <w:i w:val="0"/>
      <w:iCs/>
      <w:sz w:val="26"/>
      <w:u w:val="single"/>
      <w:bdr w:val="none" w:sz="0" w:space="0" w:color="auto"/>
    </w:rPr>
  </w:style>
  <w:style w:type="character" w:styleId="FollowedHyperlink">
    <w:name w:val="FollowedHyperlink"/>
    <w:basedOn w:val="DefaultParagraphFont"/>
    <w:uiPriority w:val="99"/>
    <w:semiHidden/>
    <w:unhideWhenUsed/>
    <w:rsid w:val="00AD1531"/>
    <w:rPr>
      <w:color w:val="auto"/>
      <w:u w:val="none"/>
    </w:rPr>
  </w:style>
  <w:style w:type="character" w:customStyle="1" w:styleId="Heading1Char">
    <w:name w:val="Heading 1 Char"/>
    <w:aliases w:val="Pocket Char"/>
    <w:basedOn w:val="DefaultParagraphFont"/>
    <w:link w:val="Heading1"/>
    <w:rsid w:val="00AD15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1531"/>
    <w:rPr>
      <w:rFonts w:ascii="Calibri" w:eastAsiaTheme="majorEastAsia" w:hAnsi="Calibri" w:cstheme="majorBidi"/>
      <w:b/>
      <w:sz w:val="40"/>
      <w:szCs w:val="26"/>
      <w:u w:val="double"/>
    </w:rPr>
  </w:style>
  <w:style w:type="character" w:customStyle="1" w:styleId="Heading3Char">
    <w:name w:val="Heading 3 Char"/>
    <w:aliases w:val="Block Char"/>
    <w:basedOn w:val="DefaultParagraphFont"/>
    <w:link w:val="Heading3"/>
    <w:uiPriority w:val="2"/>
    <w:rsid w:val="00AD1531"/>
    <w:rPr>
      <w:rFonts w:ascii="Calibri" w:eastAsiaTheme="majorEastAsia" w:hAnsi="Calibri" w:cstheme="majorBidi"/>
      <w:b/>
      <w:sz w:val="36"/>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AD1531"/>
    <w:rPr>
      <w:rFonts w:ascii="Calibri" w:eastAsiaTheme="majorEastAsia" w:hAnsi="Calibri" w:cstheme="majorBidi"/>
      <w:b/>
      <w:iCs/>
      <w:sz w:val="3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D1531"/>
    <w:rPr>
      <w:b/>
      <w:bCs/>
      <w:sz w:val="26"/>
      <w:u w:val="none"/>
    </w:rPr>
  </w:style>
  <w:style w:type="character" w:customStyle="1" w:styleId="StyleUnderline">
    <w:name w:val="Style Underline"/>
    <w:aliases w:val="Underline"/>
    <w:basedOn w:val="DefaultParagraphFont"/>
    <w:uiPriority w:val="7"/>
    <w:qFormat/>
    <w:rsid w:val="00AD1531"/>
    <w:rPr>
      <w:b/>
      <w:sz w:val="26"/>
      <w:u w:val="single"/>
    </w:rPr>
  </w:style>
  <w:style w:type="character" w:styleId="Strong">
    <w:name w:val="Strong"/>
    <w:basedOn w:val="DefaultParagraphFont"/>
    <w:uiPriority w:val="22"/>
    <w:semiHidden/>
    <w:qFormat/>
    <w:rsid w:val="00AD1531"/>
    <w:rPr>
      <w:b/>
      <w:bCs/>
    </w:rPr>
  </w:style>
  <w:style w:type="character" w:styleId="BookTitle">
    <w:name w:val="Book Title"/>
    <w:basedOn w:val="DefaultParagraphFont"/>
    <w:uiPriority w:val="33"/>
    <w:semiHidden/>
    <w:qFormat/>
    <w:rsid w:val="00AD1531"/>
    <w:rPr>
      <w:b/>
      <w:bCs/>
      <w:i/>
      <w:iCs/>
      <w:spacing w:val="5"/>
    </w:rPr>
  </w:style>
  <w:style w:type="character" w:customStyle="1" w:styleId="Heading5Char">
    <w:name w:val="Heading 5 Char"/>
    <w:basedOn w:val="DefaultParagraphFont"/>
    <w:link w:val="Heading5"/>
    <w:uiPriority w:val="9"/>
    <w:semiHidden/>
    <w:rsid w:val="00AD15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D1531"/>
  </w:style>
  <w:style w:type="paragraph" w:styleId="Header">
    <w:name w:val="header"/>
    <w:basedOn w:val="Normal"/>
    <w:link w:val="HeaderChar"/>
    <w:uiPriority w:val="99"/>
    <w:semiHidden/>
    <w:rsid w:val="00AD15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D1531"/>
    <w:rPr>
      <w:rFonts w:ascii="Calibri" w:hAnsi="Calibri" w:cs="Calibri"/>
    </w:rPr>
  </w:style>
  <w:style w:type="paragraph" w:styleId="Footer">
    <w:name w:val="footer"/>
    <w:basedOn w:val="Normal"/>
    <w:link w:val="FooterChar"/>
    <w:uiPriority w:val="99"/>
    <w:semiHidden/>
    <w:rsid w:val="00AD15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D1531"/>
    <w:rPr>
      <w:rFonts w:ascii="Calibri" w:hAnsi="Calibri" w:cs="Calibri"/>
    </w:rPr>
  </w:style>
  <w:style w:type="paragraph" w:styleId="BodyText">
    <w:name w:val="Body Text"/>
    <w:basedOn w:val="Normal"/>
    <w:link w:val="BodyTextChar"/>
    <w:uiPriority w:val="99"/>
    <w:semiHidden/>
    <w:unhideWhenUsed/>
    <w:rsid w:val="00AD1531"/>
    <w:pPr>
      <w:spacing w:after="120"/>
    </w:pPr>
  </w:style>
  <w:style w:type="character" w:customStyle="1" w:styleId="BodyTextChar">
    <w:name w:val="Body Text Char"/>
    <w:basedOn w:val="DefaultParagraphFont"/>
    <w:link w:val="BodyText"/>
    <w:uiPriority w:val="99"/>
    <w:semiHidden/>
    <w:rsid w:val="00AD1531"/>
    <w:rPr>
      <w:rFonts w:ascii="Calibri" w:hAnsi="Calibri" w:cs="Calibri"/>
    </w:rPr>
  </w:style>
  <w:style w:type="paragraph" w:styleId="NoSpacing">
    <w:name w:val="No Spacing"/>
    <w:link w:val="NoSpacingChar"/>
    <w:uiPriority w:val="99"/>
    <w:semiHidden/>
    <w:unhideWhenUsed/>
    <w:qFormat/>
    <w:rsid w:val="00AD153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D1531"/>
    <w:rPr>
      <w:rFonts w:ascii="Calibri" w:hAnsi="Calibri" w:cs="Calibri"/>
    </w:rPr>
  </w:style>
  <w:style w:type="character" w:styleId="Hyperlink">
    <w:name w:val="Hyperlink"/>
    <w:basedOn w:val="DefaultParagraphFont"/>
    <w:uiPriority w:val="99"/>
    <w:unhideWhenUsed/>
    <w:rsid w:val="00AD1531"/>
    <w:rPr>
      <w:color w:val="0563C1" w:themeColor="hyperlink"/>
      <w:u w:val="single"/>
    </w:rPr>
  </w:style>
  <w:style w:type="character" w:styleId="UnresolvedMention">
    <w:name w:val="Unresolved Mention"/>
    <w:basedOn w:val="DefaultParagraphFont"/>
    <w:uiPriority w:val="99"/>
    <w:semiHidden/>
    <w:unhideWhenUsed/>
    <w:rsid w:val="00AD1531"/>
    <w:rPr>
      <w:color w:val="605E5C"/>
      <w:shd w:val="clear" w:color="auto" w:fill="E1DFDD"/>
    </w:rPr>
  </w:style>
  <w:style w:type="paragraph" w:customStyle="1" w:styleId="textbold">
    <w:name w:val="text bold"/>
    <w:basedOn w:val="Normal"/>
    <w:link w:val="Emphasis"/>
    <w:uiPriority w:val="8"/>
    <w:qFormat/>
    <w:rsid w:val="00AD1531"/>
    <w:pPr>
      <w:spacing w:line="252" w:lineRule="auto"/>
      <w:ind w:left="720"/>
      <w:jc w:val="both"/>
    </w:pPr>
    <w:rPr>
      <w:b/>
      <w:iCs/>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57/s41599-023-02147-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apers.ssrn.com/sol3/papers.cfm?abstract_id=1268556" TargetMode="External"/><Relationship Id="rId4" Type="http://schemas.openxmlformats.org/officeDocument/2006/relationships/settings" Target="settings.xml"/><Relationship Id="rId9" Type="http://schemas.openxmlformats.org/officeDocument/2006/relationships/hyperlink" Target="https://doi.org/10.1215/29944724-1167954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19004</Words>
  <Characters>108326</Characters>
  <Application>Microsoft Office Word</Application>
  <DocSecurity>0</DocSecurity>
  <Lines>902</Lines>
  <Paragraphs>254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Rylie Gilbert</dc:creator>
  <cp:keywords>6.0.0</cp:keywords>
  <dc:description/>
  <cp:lastModifiedBy>Rylie Gilbert</cp:lastModifiedBy>
  <cp:revision>1</cp:revision>
  <dcterms:created xsi:type="dcterms:W3CDTF">2026-01-04T18:08:00Z</dcterms:created>
  <dcterms:modified xsi:type="dcterms:W3CDTF">2026-01-04T18:08:00Z</dcterms:modified>
</cp:coreProperties>
</file>