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Pr="0019617B"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w:t>
      </w:r>
      <w:r w:rsidRPr="0019617B">
        <w:rPr>
          <w:rStyle w:val="StyleUnderline"/>
        </w:rPr>
        <w:t xml:space="preserve">resulting in sanctions that can </w:t>
      </w:r>
      <w:r w:rsidRPr="0019617B">
        <w:rPr>
          <w:rStyle w:val="Emphasis"/>
        </w:rPr>
        <w:t>differ substantially</w:t>
      </w:r>
      <w:r w:rsidRPr="0019617B">
        <w:rPr>
          <w:rStyle w:val="StyleUnderline"/>
        </w:rPr>
        <w:t xml:space="preserve"> from those that might otherwise apply</w:t>
      </w:r>
      <w:r w:rsidRPr="0019617B">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9617B">
        <w:rPr>
          <w:rStyle w:val="StyleUnderline"/>
        </w:rPr>
        <w:t xml:space="preserve">according to </w:t>
      </w:r>
      <w:r w:rsidRPr="0019617B">
        <w:rPr>
          <w:rStyle w:val="Emphasis"/>
        </w:rPr>
        <w:t>data</w:t>
      </w:r>
      <w:r w:rsidRPr="0019617B">
        <w:rPr>
          <w:sz w:val="16"/>
        </w:rPr>
        <w:t xml:space="preserve"> recently released by the Office of Personnel Management, </w:t>
      </w:r>
      <w:r w:rsidRPr="0019617B">
        <w:rPr>
          <w:rStyle w:val="Emphasis"/>
        </w:rPr>
        <w:t>arbitrators</w:t>
      </w:r>
      <w:r w:rsidRPr="0019617B">
        <w:rPr>
          <w:rStyle w:val="StyleUnderline"/>
        </w:rPr>
        <w:t xml:space="preserve"> who hear cases under </w:t>
      </w:r>
      <w:r w:rsidRPr="0019617B">
        <w:rPr>
          <w:rStyle w:val="Emphasis"/>
        </w:rPr>
        <w:t>labor grievance</w:t>
      </w:r>
      <w:r w:rsidRPr="0019617B">
        <w:rPr>
          <w:rStyle w:val="StyleUnderline"/>
        </w:rPr>
        <w:t xml:space="preserve"> reinstate </w:t>
      </w:r>
      <w:r w:rsidRPr="0019617B">
        <w:rPr>
          <w:rStyle w:val="Emphasis"/>
        </w:rPr>
        <w:t>three-fifths</w:t>
      </w:r>
      <w:r w:rsidRPr="0019617B">
        <w:rPr>
          <w:rStyle w:val="StyleUnderline"/>
        </w:rPr>
        <w:t xml:space="preserve"> of all dismissed employees, as compared with only </w:t>
      </w:r>
      <w:r w:rsidRPr="0019617B">
        <w:rPr>
          <w:rStyle w:val="Emphasis"/>
        </w:rPr>
        <w:t>one quarter</w:t>
      </w:r>
      <w:r w:rsidRPr="0019617B">
        <w:rPr>
          <w:rStyle w:val="StyleUnderline"/>
        </w:rPr>
        <w:t xml:space="preserve"> of all </w:t>
      </w:r>
      <w:r w:rsidRPr="0019617B">
        <w:rPr>
          <w:rStyle w:val="Emphasis"/>
        </w:rPr>
        <w:t>MSPB</w:t>
      </w:r>
      <w:r w:rsidRPr="0019617B">
        <w:rPr>
          <w:rStyle w:val="StyleUnderline"/>
        </w:rPr>
        <w:t xml:space="preserve"> appeals</w:t>
      </w:r>
      <w:r w:rsidRPr="0019617B">
        <w:rPr>
          <w:sz w:val="16"/>
        </w:rPr>
        <w:t xml:space="preserve">.146 These </w:t>
      </w:r>
      <w:r w:rsidRPr="0019617B">
        <w:rPr>
          <w:rStyle w:val="Emphasis"/>
        </w:rPr>
        <w:t>obstacles</w:t>
      </w:r>
      <w:r w:rsidRPr="0019617B">
        <w:rPr>
          <w:rStyle w:val="StyleUnderline"/>
        </w:rPr>
        <w:t xml:space="preserve"> to </w:t>
      </w:r>
      <w:r w:rsidRPr="0019617B">
        <w:rPr>
          <w:rStyle w:val="Emphasis"/>
        </w:rPr>
        <w:t>firing</w:t>
      </w:r>
      <w:r w:rsidRPr="0019617B">
        <w:rPr>
          <w:rStyle w:val="StyleUnderline"/>
        </w:rPr>
        <w:t xml:space="preserve"> and other forms of </w:t>
      </w:r>
      <w:r w:rsidRPr="0019617B">
        <w:rPr>
          <w:rStyle w:val="Emphasis"/>
        </w:rPr>
        <w:t>discipline</w:t>
      </w:r>
      <w:r w:rsidRPr="0019617B">
        <w:rPr>
          <w:rStyle w:val="StyleUnderline"/>
        </w:rPr>
        <w:t xml:space="preserve"> are some of labor's </w:t>
      </w:r>
      <w:r w:rsidRPr="0019617B">
        <w:rPr>
          <w:rStyle w:val="Emphasis"/>
        </w:rPr>
        <w:t>most powerful tools</w:t>
      </w:r>
      <w:r w:rsidRPr="0019617B">
        <w:rPr>
          <w:sz w:val="16"/>
        </w:rPr>
        <w:t xml:space="preserve">, and are also among its most controversial: Many </w:t>
      </w:r>
      <w:r w:rsidRPr="0019617B">
        <w:rPr>
          <w:rStyle w:val="Emphasis"/>
        </w:rPr>
        <w:t>critics accuse</w:t>
      </w:r>
      <w:r w:rsidRPr="0019617B">
        <w:rPr>
          <w:rStyle w:val="StyleUnderline"/>
        </w:rPr>
        <w:t xml:space="preserve"> </w:t>
      </w:r>
      <w:r w:rsidRPr="0019617B">
        <w:rPr>
          <w:rStyle w:val="Emphasis"/>
        </w:rPr>
        <w:t>union</w:t>
      </w:r>
      <w:r w:rsidRPr="0019617B">
        <w:rPr>
          <w:rStyle w:val="StyleUnderline"/>
        </w:rPr>
        <w:t xml:space="preserve">-backed limits on employee discipline of rendering government service less </w:t>
      </w:r>
      <w:r w:rsidRPr="0019617B">
        <w:rPr>
          <w:rStyle w:val="Emphasis"/>
        </w:rPr>
        <w:t>efficient</w:t>
      </w:r>
      <w:r w:rsidRPr="0019617B">
        <w:rPr>
          <w:rStyle w:val="StyleUnderline"/>
        </w:rPr>
        <w:t xml:space="preserve">, </w:t>
      </w:r>
      <w:r w:rsidRPr="0019617B">
        <w:rPr>
          <w:rStyle w:val="Emphasis"/>
        </w:rPr>
        <w:t>though the evidence on this question is hotly contested</w:t>
      </w:r>
      <w:r w:rsidRPr="0019617B">
        <w:rPr>
          <w:sz w:val="16"/>
        </w:rPr>
        <w:t>.</w:t>
      </w:r>
      <w:r w:rsidRPr="0019617B">
        <w:rPr>
          <w:rStyle w:val="Emphasis"/>
        </w:rPr>
        <w:t>147</w:t>
      </w:r>
      <w:r w:rsidRPr="0019617B">
        <w:t xml:space="preserve"> </w:t>
      </w:r>
      <w:r w:rsidRPr="0019617B">
        <w:rPr>
          <w:b/>
          <w:bCs/>
        </w:rPr>
        <w:t>[FOOTNOTE 147]</w:t>
      </w:r>
      <w:r w:rsidRPr="0019617B">
        <w:t xml:space="preserve"> </w:t>
      </w:r>
      <w:r w:rsidRPr="0019617B">
        <w:rPr>
          <w:sz w:val="16"/>
        </w:rPr>
        <w:t xml:space="preserve">147 See id. at 1 (arguing that the grievance arbitration "makes removing unionized federal employees very difficult"); </w:t>
      </w:r>
      <w:r w:rsidRPr="0019617B">
        <w:rPr>
          <w:rStyle w:val="Emphasis"/>
        </w:rPr>
        <w:t>see</w:t>
      </w:r>
      <w:r w:rsidRPr="0019617B">
        <w:rPr>
          <w:sz w:val="16"/>
        </w:rPr>
        <w:t xml:space="preserve"> also </w:t>
      </w:r>
      <w:r w:rsidRPr="0019617B">
        <w:rPr>
          <w:rStyle w:val="StyleUnderline"/>
        </w:rPr>
        <w:t xml:space="preserve">PHILLIP K. </w:t>
      </w:r>
      <w:r w:rsidRPr="0019617B">
        <w:rPr>
          <w:rStyle w:val="Emphasis"/>
        </w:rPr>
        <w:t>HOWARD</w:t>
      </w:r>
      <w:r w:rsidRPr="0019617B">
        <w:rPr>
          <w:rStyle w:val="StyleUnderline"/>
        </w:rPr>
        <w:t>, NOT ACCOUNTABLE: RETHINKING THE CONSTITUTIONALITY OF PUBLIC EMPLOYEE UNIONS</w:t>
      </w:r>
      <w:r w:rsidRPr="0019617B">
        <w:rPr>
          <w:sz w:val="16"/>
        </w:rPr>
        <w:t xml:space="preserve"> 18 (</w:t>
      </w:r>
      <w:r w:rsidRPr="0019617B">
        <w:rPr>
          <w:rStyle w:val="Emphasis"/>
        </w:rPr>
        <w:t>2023</w:t>
      </w:r>
      <w:r w:rsidRPr="0019617B">
        <w:rPr>
          <w:sz w:val="16"/>
        </w:rPr>
        <w:t xml:space="preserve">) </w:t>
      </w:r>
      <w:r w:rsidRPr="0019617B">
        <w:rPr>
          <w:rStyle w:val="StyleUnderline"/>
        </w:rPr>
        <w:t>(arguing that, due to public sector unionization,"[e]</w:t>
      </w:r>
      <w:proofErr w:type="spellStart"/>
      <w:r w:rsidRPr="0019617B">
        <w:rPr>
          <w:rStyle w:val="StyleUnderline"/>
        </w:rPr>
        <w:t>lected</w:t>
      </w:r>
      <w:proofErr w:type="spellEnd"/>
      <w:r w:rsidRPr="0019617B">
        <w:rPr>
          <w:rStyle w:val="StyleUnderline"/>
        </w:rPr>
        <w:t xml:space="preserve"> executives," including the President, "no longer have effective authority over the operations of government")</w:t>
      </w:r>
      <w:r w:rsidRPr="0019617B">
        <w:t xml:space="preserve">. </w:t>
      </w:r>
      <w:r w:rsidRPr="0019617B">
        <w:rPr>
          <w:b/>
          <w:bCs/>
        </w:rPr>
        <w:t>[\FOOTNOTE 147]</w:t>
      </w:r>
      <w:r w:rsidRPr="0019617B">
        <w:t xml:space="preserve"> </w:t>
      </w:r>
    </w:p>
    <w:p w14:paraId="098494AC" w14:textId="77777777" w:rsidR="0047135D" w:rsidRPr="0019617B" w:rsidRDefault="0047135D" w:rsidP="0047135D">
      <w:pPr>
        <w:rPr>
          <w:sz w:val="16"/>
        </w:rPr>
      </w:pPr>
      <w:r w:rsidRPr="0019617B">
        <w:rPr>
          <w:sz w:val="16"/>
        </w:rPr>
        <w:t xml:space="preserve">Finally, </w:t>
      </w:r>
      <w:r w:rsidRPr="0019617B">
        <w:rPr>
          <w:rStyle w:val="StyleUnderline"/>
        </w:rPr>
        <w:t xml:space="preserve">labor rights </w:t>
      </w:r>
      <w:r w:rsidRPr="0019617B">
        <w:rPr>
          <w:rStyle w:val="Emphasis"/>
        </w:rPr>
        <w:t>condition</w:t>
      </w:r>
      <w:r w:rsidRPr="0019617B">
        <w:rPr>
          <w:rStyle w:val="StyleUnderline"/>
        </w:rPr>
        <w:t xml:space="preserve"> the </w:t>
      </w:r>
      <w:r w:rsidRPr="0019617B">
        <w:rPr>
          <w:rStyle w:val="Emphasis"/>
        </w:rPr>
        <w:t>ability</w:t>
      </w:r>
      <w:r w:rsidRPr="0019617B">
        <w:rPr>
          <w:rStyle w:val="StyleUnderline"/>
        </w:rPr>
        <w:t xml:space="preserve"> of civil servants to </w:t>
      </w:r>
      <w:r w:rsidRPr="0019617B">
        <w:rPr>
          <w:rStyle w:val="Emphasis"/>
        </w:rPr>
        <w:t>leak, criticize, or otherwise speak out publicly</w:t>
      </w:r>
      <w:r w:rsidRPr="0019617B">
        <w:rPr>
          <w:rStyle w:val="StyleUnderline"/>
        </w:rPr>
        <w:t xml:space="preserve"> about agency policy</w:t>
      </w:r>
      <w:r w:rsidRPr="0019617B">
        <w:rPr>
          <w:sz w:val="16"/>
        </w:rPr>
        <w:t xml:space="preserve">. David Pozen and Jennifer Nou, among others, have described how </w:t>
      </w:r>
      <w:r w:rsidRPr="0019617B">
        <w:rPr>
          <w:rStyle w:val="StyleUnderline"/>
        </w:rPr>
        <w:t>unauthorized disclosures of critical information by civil servants can check agency abuses, inform policy debates, and shape agencies' agendas by shifting public opinion</w:t>
      </w:r>
      <w:r w:rsidRPr="0019617B">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9617B">
        <w:rPr>
          <w:rStyle w:val="StyleUnderline"/>
        </w:rPr>
        <w:t xml:space="preserve">ave </w:t>
      </w:r>
      <w:r w:rsidRPr="0019617B">
        <w:rPr>
          <w:rStyle w:val="Emphasis"/>
        </w:rPr>
        <w:t>leveraged</w:t>
      </w:r>
      <w:r w:rsidRPr="0019617B">
        <w:rPr>
          <w:rStyle w:val="StyleUnderline"/>
        </w:rPr>
        <w:t xml:space="preserve"> their </w:t>
      </w:r>
      <w:r w:rsidRPr="0019617B">
        <w:rPr>
          <w:rStyle w:val="Emphasis"/>
        </w:rPr>
        <w:t>protected status</w:t>
      </w:r>
      <w:r w:rsidRPr="0019617B">
        <w:rPr>
          <w:rStyle w:val="StyleUnderline"/>
        </w:rPr>
        <w:t xml:space="preserve"> to </w:t>
      </w:r>
      <w:r w:rsidRPr="0019617B">
        <w:rPr>
          <w:rStyle w:val="Emphasis"/>
        </w:rPr>
        <w:t>criticize</w:t>
      </w:r>
      <w:r w:rsidRPr="0019617B">
        <w:rPr>
          <w:rStyle w:val="StyleUnderline"/>
        </w:rPr>
        <w:t xml:space="preserve"> executive branch policy in environmental regulation, education, immigration, and labor, among other policy areas</w:t>
      </w:r>
      <w:r w:rsidRPr="0019617B">
        <w:rPr>
          <w:sz w:val="16"/>
        </w:rPr>
        <w:t xml:space="preserve">.150 Unions also advocate for the right of other employees to speak out through litigation and labor agreements. Immigration judges, for example, have </w:t>
      </w:r>
      <w:r w:rsidRPr="0019617B">
        <w:rPr>
          <w:rStyle w:val="StyleUnderline"/>
        </w:rPr>
        <w:t xml:space="preserve">historically been </w:t>
      </w:r>
      <w:r w:rsidRPr="0019617B">
        <w:rPr>
          <w:rStyle w:val="Emphasis"/>
        </w:rPr>
        <w:t>protected by labor agreements</w:t>
      </w:r>
      <w:r w:rsidRPr="0019617B">
        <w:rPr>
          <w:rStyle w:val="StyleUnderline"/>
        </w:rPr>
        <w:t xml:space="preserve"> in their right to critique removal policies, </w:t>
      </w:r>
      <w:r w:rsidRPr="0019617B">
        <w:rPr>
          <w:rStyle w:val="Emphasis"/>
        </w:rPr>
        <w:t>even if</w:t>
      </w:r>
      <w:r w:rsidRPr="0019617B">
        <w:rPr>
          <w:rStyle w:val="StyleUnderline"/>
        </w:rPr>
        <w:t xml:space="preserve"> they are </w:t>
      </w:r>
      <w:r w:rsidRPr="0019617B">
        <w:rPr>
          <w:rStyle w:val="Emphasis"/>
        </w:rPr>
        <w:t>not union</w:t>
      </w:r>
      <w:r w:rsidRPr="0019617B">
        <w:rPr>
          <w:rStyle w:val="StyleUnderline"/>
        </w:rPr>
        <w:t xml:space="preserve"> officials</w:t>
      </w:r>
      <w:r w:rsidRPr="0019617B">
        <w:rPr>
          <w:sz w:val="16"/>
        </w:rPr>
        <w:t>.151</w:t>
      </w:r>
    </w:p>
    <w:p w14:paraId="3E48442E" w14:textId="77777777" w:rsidR="0047135D" w:rsidRPr="0075090D" w:rsidRDefault="0047135D" w:rsidP="0047135D">
      <w:pPr>
        <w:rPr>
          <w:sz w:val="16"/>
        </w:rPr>
      </w:pPr>
      <w:r w:rsidRPr="0019617B">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44347409" w14:textId="77777777" w:rsidR="0047135D" w:rsidRDefault="0047135D" w:rsidP="0047135D">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F51D0B">
        <w:rPr>
          <w:rStyle w:val="StyleUnderline"/>
        </w:rPr>
        <w:t xml:space="preserve">the </w:t>
      </w:r>
      <w:r w:rsidRPr="00E90D44">
        <w:rPr>
          <w:rStyle w:val="StyleUnderline"/>
          <w:highlight w:val="cyan"/>
        </w:rPr>
        <w:t>admin</w:t>
      </w:r>
      <w:r w:rsidRPr="00F51D0B">
        <w:rPr>
          <w:rStyle w:val="StyleUnderline"/>
        </w:rPr>
        <w:t xml:space="preserve">istration </w:t>
      </w:r>
      <w:r w:rsidRPr="00E90D44">
        <w:rPr>
          <w:rStyle w:val="StyleUnderline"/>
          <w:highlight w:val="cyan"/>
        </w:rPr>
        <w:t xml:space="preserve">has gone straight </w:t>
      </w:r>
      <w:r w:rsidRPr="00E90D44">
        <w:rPr>
          <w:rStyle w:val="Emphasis"/>
          <w:sz w:val="24"/>
          <w:szCs w:val="24"/>
          <w:highlight w:val="cyan"/>
        </w:rPr>
        <w:t>for the jugular</w:t>
      </w:r>
      <w:r w:rsidRPr="00F51D0B">
        <w:rPr>
          <w:sz w:val="16"/>
        </w:rPr>
        <w:t>—</w:t>
      </w:r>
      <w:r w:rsidRPr="00F51D0B">
        <w:rPr>
          <w:rStyle w:val="StyleUnderline"/>
        </w:rPr>
        <w:t xml:space="preserve">seeking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effectively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222EA93D" w14:textId="77777777" w:rsidR="0047135D" w:rsidRDefault="0047135D" w:rsidP="0047135D">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19331CB6" w14:textId="77777777" w:rsidR="00461C6F" w:rsidRPr="00A03E58" w:rsidRDefault="00461C6F" w:rsidP="00461C6F">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53B7BE2D" w14:textId="77777777" w:rsidR="00461C6F" w:rsidRPr="00673D57" w:rsidRDefault="00461C6F" w:rsidP="00461C6F">
      <w:pPr>
        <w:pStyle w:val="Heading4"/>
        <w:rPr>
          <w:rFonts w:cs="Calibri"/>
        </w:rPr>
      </w:pPr>
      <w:r w:rsidRPr="00673D57">
        <w:rPr>
          <w:rFonts w:cs="Calibri"/>
        </w:rPr>
        <w:t xml:space="preserve">Studies prove util fosters </w:t>
      </w:r>
      <w:r w:rsidRPr="00673D57">
        <w:rPr>
          <w:rFonts w:cs="Calibri"/>
          <w:u w:val="single"/>
        </w:rPr>
        <w:t>empathy</w:t>
      </w:r>
      <w:r w:rsidRPr="00673D57">
        <w:rPr>
          <w:rFonts w:cs="Calibri"/>
        </w:rPr>
        <w:t xml:space="preserve"> and </w:t>
      </w:r>
      <w:r w:rsidRPr="00673D57">
        <w:rPr>
          <w:rFonts w:cs="Calibri"/>
          <w:u w:val="single"/>
        </w:rPr>
        <w:t>altruism</w:t>
      </w:r>
      <w:r w:rsidRPr="00673D57">
        <w:rPr>
          <w:rFonts w:cs="Calibri"/>
        </w:rPr>
        <w:t>.</w:t>
      </w:r>
    </w:p>
    <w:p w14:paraId="4B07B544" w14:textId="77777777" w:rsidR="00461C6F" w:rsidRPr="00673D57" w:rsidRDefault="00461C6F" w:rsidP="00461C6F">
      <w:r w:rsidRPr="00673D57">
        <w:rPr>
          <w:rStyle w:val="Style13ptBold"/>
        </w:rPr>
        <w:t xml:space="preserve">Kahane ’18 </w:t>
      </w:r>
      <w:r w:rsidRPr="00673D57">
        <w:t xml:space="preserve">[Guy et al.; 2018; Fellow and in Philosophy at Pembroke College, Oxford, and Professor at the Faculty of Philosophy, University of Oxford; Psychological Review, “Beyond Sacrificial Harm: A Two-Dimensional Model of Utilitarian Psychology,” vol. 125 no. 2] </w:t>
      </w:r>
    </w:p>
    <w:p w14:paraId="01C1C148" w14:textId="77777777" w:rsidR="00461C6F" w:rsidRDefault="00461C6F" w:rsidP="00461C6F">
      <w:pPr>
        <w:rPr>
          <w:sz w:val="16"/>
        </w:rPr>
      </w:pPr>
      <w:r w:rsidRPr="00673D57">
        <w:rPr>
          <w:sz w:val="16"/>
        </w:rPr>
        <w:t xml:space="preserve">Recent research has relied on </w:t>
      </w:r>
      <w:r w:rsidRPr="00673D57">
        <w:rPr>
          <w:rStyle w:val="StyleUnderline"/>
        </w:rPr>
        <w:t xml:space="preserve">trolley-type </w:t>
      </w:r>
      <w:r w:rsidRPr="00673D57">
        <w:rPr>
          <w:rStyle w:val="Emphasis"/>
          <w:highlight w:val="cyan"/>
        </w:rPr>
        <w:t>sacrificial</w:t>
      </w:r>
      <w:r w:rsidRPr="00673D57">
        <w:rPr>
          <w:rStyle w:val="StyleUnderline"/>
        </w:rPr>
        <w:t xml:space="preserve"> moral </w:t>
      </w:r>
      <w:r w:rsidRPr="00673D57">
        <w:rPr>
          <w:rStyle w:val="StyleUnderline"/>
          <w:highlight w:val="cyan"/>
        </w:rPr>
        <w:t xml:space="preserve">dilemmas to study </w:t>
      </w:r>
      <w:r w:rsidRPr="00673D57">
        <w:rPr>
          <w:rStyle w:val="Emphasis"/>
          <w:highlight w:val="cyan"/>
        </w:rPr>
        <w:t>util</w:t>
      </w:r>
      <w:r w:rsidRPr="00673D57">
        <w:rPr>
          <w:sz w:val="16"/>
        </w:rPr>
        <w:t xml:space="preserve">itarian versus nonutilitarian modes of moral decision-making. This research has generated important insights into people’s attitudes toward instrumental </w:t>
      </w:r>
      <w:proofErr w:type="gramStart"/>
      <w:r w:rsidRPr="00673D57">
        <w:rPr>
          <w:sz w:val="16"/>
        </w:rPr>
        <w:t>harm—</w:t>
      </w:r>
      <w:proofErr w:type="gramEnd"/>
      <w:r w:rsidRPr="00673D57">
        <w:rPr>
          <w:sz w:val="16"/>
        </w:rPr>
        <w:t xml:space="preserve">that is, the sacrifice of an individual to save a greater number. </w:t>
      </w:r>
      <w:r w:rsidRPr="00673D57">
        <w:rPr>
          <w:rStyle w:val="Emphasis"/>
        </w:rPr>
        <w:t>But</w:t>
      </w:r>
      <w:r w:rsidRPr="00673D57">
        <w:rPr>
          <w:sz w:val="16"/>
        </w:rPr>
        <w:t xml:space="preserve"> this approach also </w:t>
      </w:r>
      <w:r w:rsidRPr="00673D57">
        <w:rPr>
          <w:rStyle w:val="StyleUnderline"/>
          <w:highlight w:val="cyan"/>
        </w:rPr>
        <w:t>has</w:t>
      </w:r>
      <w:r w:rsidRPr="00673D57">
        <w:rPr>
          <w:sz w:val="16"/>
        </w:rPr>
        <w:t xml:space="preserve"> serious </w:t>
      </w:r>
      <w:r w:rsidRPr="00673D57">
        <w:rPr>
          <w:rStyle w:val="Emphasis"/>
          <w:highlight w:val="cyan"/>
        </w:rPr>
        <w:t>limitations</w:t>
      </w:r>
      <w:r w:rsidRPr="00673D57">
        <w:rPr>
          <w:sz w:val="16"/>
        </w:rPr>
        <w:t xml:space="preserve">. Most notably, </w:t>
      </w:r>
      <w:r w:rsidRPr="00673D57">
        <w:rPr>
          <w:rStyle w:val="StyleUnderline"/>
        </w:rPr>
        <w:t xml:space="preserve">it </w:t>
      </w:r>
      <w:r w:rsidRPr="00673D57">
        <w:rPr>
          <w:rStyle w:val="StyleUnderline"/>
          <w:highlight w:val="cyan"/>
        </w:rPr>
        <w:t>ignores</w:t>
      </w:r>
      <w:r w:rsidRPr="00673D57">
        <w:rPr>
          <w:rStyle w:val="StyleUnderline"/>
        </w:rPr>
        <w:t xml:space="preserve"> the </w:t>
      </w:r>
      <w:r w:rsidRPr="00673D57">
        <w:rPr>
          <w:rStyle w:val="Emphasis"/>
          <w:highlight w:val="cyan"/>
        </w:rPr>
        <w:t>positive</w:t>
      </w:r>
      <w:r w:rsidRPr="00673D57">
        <w:rPr>
          <w:rStyle w:val="StyleUnderline"/>
          <w:highlight w:val="cyan"/>
        </w:rPr>
        <w:t xml:space="preserve">, </w:t>
      </w:r>
      <w:r w:rsidRPr="00673D57">
        <w:rPr>
          <w:rStyle w:val="Emphasis"/>
          <w:highlight w:val="cyan"/>
        </w:rPr>
        <w:t>altruistic core</w:t>
      </w:r>
      <w:r w:rsidRPr="00673D57">
        <w:rPr>
          <w:rStyle w:val="StyleUnderline"/>
          <w:highlight w:val="cyan"/>
        </w:rPr>
        <w:t xml:space="preserve"> of </w:t>
      </w:r>
      <w:r w:rsidRPr="00673D57">
        <w:rPr>
          <w:rStyle w:val="Emphasis"/>
          <w:highlight w:val="cyan"/>
        </w:rPr>
        <w:t>util</w:t>
      </w:r>
      <w:r w:rsidRPr="00673D57">
        <w:rPr>
          <w:sz w:val="16"/>
        </w:rPr>
        <w:t xml:space="preserve">itarianism, </w:t>
      </w:r>
      <w:r w:rsidRPr="00673D57">
        <w:rPr>
          <w:rStyle w:val="StyleUnderline"/>
        </w:rPr>
        <w:t xml:space="preserve">which is characterized </w:t>
      </w:r>
      <w:r w:rsidRPr="00673D57">
        <w:rPr>
          <w:rStyle w:val="StyleUnderline"/>
          <w:highlight w:val="cyan"/>
        </w:rPr>
        <w:t>by</w:t>
      </w:r>
      <w:r w:rsidRPr="00673D57">
        <w:rPr>
          <w:rStyle w:val="StyleUnderline"/>
        </w:rPr>
        <w:t xml:space="preserve"> </w:t>
      </w:r>
      <w:r w:rsidRPr="00673D57">
        <w:rPr>
          <w:rStyle w:val="Emphasis"/>
        </w:rPr>
        <w:t xml:space="preserve">impartial </w:t>
      </w:r>
      <w:r w:rsidRPr="00673D57">
        <w:rPr>
          <w:rStyle w:val="Emphasis"/>
          <w:highlight w:val="cyan"/>
        </w:rPr>
        <w:t>concern</w:t>
      </w:r>
      <w:r w:rsidRPr="00673D57">
        <w:rPr>
          <w:rStyle w:val="StyleUnderline"/>
          <w:highlight w:val="cyan"/>
        </w:rPr>
        <w:t xml:space="preserve"> for</w:t>
      </w:r>
      <w:r w:rsidRPr="00673D57">
        <w:rPr>
          <w:rStyle w:val="StyleUnderline"/>
        </w:rPr>
        <w:t xml:space="preserve"> the well-being of </w:t>
      </w:r>
      <w:r w:rsidRPr="00673D57">
        <w:rPr>
          <w:rStyle w:val="Emphasis"/>
          <w:highlight w:val="cyan"/>
        </w:rPr>
        <w:t>everyone</w:t>
      </w:r>
      <w:r w:rsidRPr="00673D57">
        <w:rPr>
          <w:rStyle w:val="StyleUnderline"/>
        </w:rPr>
        <w:t xml:space="preserve">, whether </w:t>
      </w:r>
      <w:r w:rsidRPr="00673D57">
        <w:rPr>
          <w:rStyle w:val="Emphasis"/>
        </w:rPr>
        <w:t>near or far</w:t>
      </w:r>
      <w:r w:rsidRPr="00673D57">
        <w:rPr>
          <w:sz w:val="16"/>
        </w:rPr>
        <w:t xml:space="preserve">. Here, </w:t>
      </w:r>
      <w:r w:rsidRPr="00673D57">
        <w:rPr>
          <w:rStyle w:val="StyleUnderline"/>
        </w:rPr>
        <w:t>we</w:t>
      </w:r>
      <w:r w:rsidRPr="00673D57">
        <w:rPr>
          <w:sz w:val="16"/>
        </w:rPr>
        <w:t xml:space="preserve"> develop, refine, and validate a new scale—the Oxford Utilitarianism Scale—to </w:t>
      </w:r>
      <w:r w:rsidRPr="00673D57">
        <w:rPr>
          <w:rStyle w:val="Emphasis"/>
        </w:rPr>
        <w:t>dissociate</w:t>
      </w:r>
      <w:r w:rsidRPr="00673D57">
        <w:rPr>
          <w:sz w:val="16"/>
        </w:rPr>
        <w:t xml:space="preserve"> individual </w:t>
      </w:r>
      <w:r w:rsidRPr="00673D57">
        <w:rPr>
          <w:rStyle w:val="StyleUnderline"/>
        </w:rPr>
        <w:t>differences in</w:t>
      </w:r>
      <w:r w:rsidRPr="00673D57">
        <w:rPr>
          <w:sz w:val="16"/>
        </w:rPr>
        <w:t xml:space="preserve"> the ‘</w:t>
      </w:r>
      <w:r w:rsidRPr="00673D57">
        <w:rPr>
          <w:rStyle w:val="Emphasis"/>
        </w:rPr>
        <w:t>negative</w:t>
      </w:r>
      <w:r w:rsidRPr="00673D57">
        <w:rPr>
          <w:sz w:val="16"/>
        </w:rPr>
        <w:t>’ (</w:t>
      </w:r>
      <w:r w:rsidRPr="00673D57">
        <w:rPr>
          <w:rStyle w:val="StyleUnderline"/>
        </w:rPr>
        <w:t>permissive attitude toward</w:t>
      </w:r>
      <w:r w:rsidRPr="00673D57">
        <w:rPr>
          <w:sz w:val="16"/>
        </w:rPr>
        <w:t xml:space="preserve"> instrumental </w:t>
      </w:r>
      <w:r w:rsidRPr="00673D57">
        <w:rPr>
          <w:rStyle w:val="Emphasis"/>
        </w:rPr>
        <w:t>harm</w:t>
      </w:r>
      <w:r w:rsidRPr="00673D57">
        <w:rPr>
          <w:sz w:val="16"/>
        </w:rPr>
        <w:t xml:space="preserve">) </w:t>
      </w:r>
      <w:r w:rsidRPr="00673D57">
        <w:rPr>
          <w:rStyle w:val="StyleUnderline"/>
        </w:rPr>
        <w:t>and</w:t>
      </w:r>
      <w:r w:rsidRPr="00673D57">
        <w:rPr>
          <w:sz w:val="16"/>
        </w:rPr>
        <w:t xml:space="preserve"> ‘</w:t>
      </w:r>
      <w:r w:rsidRPr="00673D57">
        <w:rPr>
          <w:rStyle w:val="Emphasis"/>
        </w:rPr>
        <w:t>positive</w:t>
      </w:r>
      <w:r w:rsidRPr="00673D57">
        <w:rPr>
          <w:sz w:val="16"/>
        </w:rPr>
        <w:t>’ (</w:t>
      </w:r>
      <w:r w:rsidRPr="00673D57">
        <w:rPr>
          <w:rStyle w:val="Emphasis"/>
        </w:rPr>
        <w:t>impartial concern</w:t>
      </w:r>
      <w:r w:rsidRPr="00673D57">
        <w:rPr>
          <w:rStyle w:val="StyleUnderline"/>
        </w:rPr>
        <w:t xml:space="preserve"> for the </w:t>
      </w:r>
      <w:r w:rsidRPr="00673D57">
        <w:rPr>
          <w:rStyle w:val="Emphasis"/>
        </w:rPr>
        <w:t>greater good</w:t>
      </w:r>
      <w:r w:rsidRPr="00673D57">
        <w:rPr>
          <w:sz w:val="16"/>
        </w:rPr>
        <w:t xml:space="preserve">) dimensions of </w:t>
      </w:r>
      <w:r w:rsidRPr="00673D57">
        <w:rPr>
          <w:rStyle w:val="StyleUnderline"/>
        </w:rPr>
        <w:t>utilitarian thinking</w:t>
      </w:r>
      <w:r w:rsidRPr="00673D57">
        <w:rPr>
          <w:sz w:val="16"/>
        </w:rPr>
        <w:t xml:space="preserve"> as manifested in the general population. We show that </w:t>
      </w:r>
      <w:r w:rsidRPr="00673D57">
        <w:rPr>
          <w:rStyle w:val="StyleUnderline"/>
        </w:rPr>
        <w:t xml:space="preserve">these are two </w:t>
      </w:r>
      <w:r w:rsidRPr="00673D57">
        <w:rPr>
          <w:rStyle w:val="Emphasis"/>
        </w:rPr>
        <w:t>independent dimensions</w:t>
      </w:r>
      <w:r w:rsidRPr="00673D57">
        <w:rPr>
          <w:rStyle w:val="StyleUnderline"/>
        </w:rPr>
        <w:t xml:space="preserve"> of</w:t>
      </w:r>
      <w:r w:rsidRPr="00673D57">
        <w:rPr>
          <w:sz w:val="16"/>
        </w:rPr>
        <w:t xml:space="preserve"> proto-</w:t>
      </w:r>
      <w:r w:rsidRPr="00673D57">
        <w:rPr>
          <w:rStyle w:val="Emphasis"/>
        </w:rPr>
        <w:t>util</w:t>
      </w:r>
      <w:r w:rsidRPr="00673D57">
        <w:rPr>
          <w:sz w:val="16"/>
        </w:rPr>
        <w:t xml:space="preserve">itarian tendencies in the lay population, each exhibiting a distinct psychological profile. </w:t>
      </w:r>
      <w:r w:rsidRPr="00673D57">
        <w:rPr>
          <w:rStyle w:val="Emphasis"/>
          <w:highlight w:val="cyan"/>
        </w:rPr>
        <w:t>Empathic</w:t>
      </w:r>
      <w:r w:rsidRPr="00673D57">
        <w:rPr>
          <w:rStyle w:val="StyleUnderline"/>
          <w:highlight w:val="cyan"/>
        </w:rPr>
        <w:t xml:space="preserve"> concern, identification with</w:t>
      </w:r>
      <w:r w:rsidRPr="00673D57">
        <w:rPr>
          <w:rStyle w:val="StyleUnderline"/>
        </w:rPr>
        <w:t xml:space="preserve"> the </w:t>
      </w:r>
      <w:r w:rsidRPr="00673D57">
        <w:rPr>
          <w:rStyle w:val="Emphasis"/>
        </w:rPr>
        <w:t xml:space="preserve">whole of </w:t>
      </w:r>
      <w:r w:rsidRPr="00673D57">
        <w:rPr>
          <w:rStyle w:val="Emphasis"/>
          <w:highlight w:val="cyan"/>
        </w:rPr>
        <w:t>humanity</w:t>
      </w:r>
      <w:r w:rsidRPr="00673D57">
        <w:rPr>
          <w:rStyle w:val="StyleUnderline"/>
        </w:rPr>
        <w:t xml:space="preserve">, </w:t>
      </w:r>
      <w:r w:rsidRPr="00673D57">
        <w:rPr>
          <w:rStyle w:val="StyleUnderline"/>
          <w:highlight w:val="cyan"/>
        </w:rPr>
        <w:t xml:space="preserve">and concern for </w:t>
      </w:r>
      <w:r w:rsidRPr="00673D57">
        <w:rPr>
          <w:rStyle w:val="Emphasis"/>
          <w:highlight w:val="cyan"/>
        </w:rPr>
        <w:t>future generations</w:t>
      </w:r>
      <w:r w:rsidRPr="00673D57">
        <w:rPr>
          <w:rStyle w:val="StyleUnderline"/>
        </w:rPr>
        <w:t xml:space="preserve"> were </w:t>
      </w:r>
      <w:r w:rsidRPr="00673D57">
        <w:rPr>
          <w:rStyle w:val="Emphasis"/>
          <w:highlight w:val="cyan"/>
        </w:rPr>
        <w:t>positively</w:t>
      </w:r>
      <w:r w:rsidRPr="00673D57">
        <w:rPr>
          <w:rStyle w:val="StyleUnderline"/>
          <w:highlight w:val="cyan"/>
        </w:rPr>
        <w:t xml:space="preserve"> associated</w:t>
      </w:r>
      <w:r w:rsidRPr="00673D57">
        <w:rPr>
          <w:rStyle w:val="StyleUnderline"/>
        </w:rPr>
        <w:t xml:space="preserve"> with </w:t>
      </w:r>
      <w:r w:rsidRPr="00673D57">
        <w:rPr>
          <w:rStyle w:val="Emphasis"/>
        </w:rPr>
        <w:t>impartial beneficence</w:t>
      </w:r>
      <w:r w:rsidRPr="00673D57">
        <w:rPr>
          <w:rStyle w:val="StyleUnderline"/>
        </w:rPr>
        <w:t xml:space="preserve"> but </w:t>
      </w:r>
      <w:r w:rsidRPr="00673D57">
        <w:rPr>
          <w:rStyle w:val="Emphasis"/>
        </w:rPr>
        <w:t>negatively</w:t>
      </w:r>
      <w:r w:rsidRPr="00673D57">
        <w:rPr>
          <w:rStyle w:val="StyleUnderline"/>
        </w:rPr>
        <w:t xml:space="preserve"> associated with </w:t>
      </w:r>
      <w:r w:rsidRPr="00673D57">
        <w:rPr>
          <w:rStyle w:val="Emphasis"/>
        </w:rPr>
        <w:t>instrumental harm</w:t>
      </w:r>
      <w:r w:rsidRPr="00673D57">
        <w:rPr>
          <w:sz w:val="16"/>
        </w:rPr>
        <w:t xml:space="preserve">; and although instrumental harm was associated with subclinical psychopathy, impartial </w:t>
      </w:r>
      <w:proofErr w:type="gramStart"/>
      <w:r w:rsidRPr="00673D57">
        <w:rPr>
          <w:sz w:val="16"/>
        </w:rPr>
        <w:t>beneficence</w:t>
      </w:r>
      <w:proofErr w:type="gramEnd"/>
      <w:r w:rsidRPr="00673D57">
        <w:rPr>
          <w:sz w:val="16"/>
        </w:rPr>
        <w:t xml:space="preserve"> was associated with higher religiosity. Importantly, although these two dimensions were independent in the lay population, they were closely associated </w:t>
      </w:r>
      <w:proofErr w:type="gramStart"/>
      <w:r w:rsidRPr="00673D57">
        <w:rPr>
          <w:sz w:val="16"/>
        </w:rPr>
        <w:t>in</w:t>
      </w:r>
      <w:proofErr w:type="gramEnd"/>
      <w:r w:rsidRPr="00673D57">
        <w:rPr>
          <w:sz w:val="16"/>
        </w:rPr>
        <w:t xml:space="preserve"> a sample of moral philosophers. Acknowledging this dissociation between the instrumental harm and impartial beneficence components of utilitarian thinking in ordinary people can clarify existing debates about the nature of moral psychology and its relation to moral philosophy as well as generate fruitful avenues for further research.</w:t>
      </w:r>
    </w:p>
    <w:p w14:paraId="3E2DF8C1" w14:textId="77777777" w:rsidR="00461C6F" w:rsidRPr="00CA3FAF" w:rsidRDefault="00461C6F" w:rsidP="00461C6F">
      <w:pPr>
        <w:keepNext/>
        <w:keepLines/>
        <w:spacing w:before="40" w:after="0"/>
        <w:outlineLvl w:val="3"/>
        <w:rPr>
          <w:rFonts w:eastAsiaTheme="majorEastAsia" w:cstheme="majorBidi"/>
          <w:b/>
          <w:iCs/>
          <w:sz w:val="26"/>
        </w:rPr>
      </w:pPr>
      <w:bookmarkStart w:id="5" w:name="_Hlk199004682"/>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04ACCDD9" w14:textId="77777777" w:rsidR="00461C6F" w:rsidRPr="00CA3FAF" w:rsidRDefault="00461C6F" w:rsidP="00461C6F">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7461A71D" w14:textId="77777777" w:rsidR="00461C6F" w:rsidRPr="00CA3FAF" w:rsidRDefault="00461C6F" w:rsidP="00461C6F">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615506F5" w14:textId="77777777" w:rsidR="00461C6F" w:rsidRPr="00CA3FAF" w:rsidRDefault="00461C6F" w:rsidP="00461C6F">
      <w:pPr>
        <w:rPr>
          <w:sz w:val="16"/>
        </w:rPr>
      </w:pPr>
      <w:r w:rsidRPr="00CA3FAF">
        <w:rPr>
          <w:sz w:val="16"/>
        </w:rPr>
        <w:t xml:space="preserve">To the list, we can now add this impressive collection edited by Nicolas Bueno, Beryl </w:t>
      </w:r>
      <w:proofErr w:type="spellStart"/>
      <w:r w:rsidRPr="00CA3FAF">
        <w:rPr>
          <w:sz w:val="16"/>
        </w:rPr>
        <w:t>ter</w:t>
      </w:r>
      <w:proofErr w:type="spellEnd"/>
      <w:r w:rsidRPr="00CA3FAF">
        <w:rPr>
          <w:sz w:val="16"/>
        </w:rPr>
        <w:t xml:space="preserve">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4CC788DE" w14:textId="6D27F1DA" w:rsidR="007C7C7D" w:rsidRPr="008D50AD" w:rsidRDefault="00461C6F" w:rsidP="0047135D">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w:t>
      </w:r>
      <w:proofErr w:type="gramStart"/>
      <w:r w:rsidRPr="00CA3FAF">
        <w:rPr>
          <w:u w:val="single"/>
        </w:rPr>
        <w:t>now</w:t>
      </w:r>
      <w:r w:rsidRPr="00CA3FAF">
        <w:rPr>
          <w:sz w:val="16"/>
        </w:rPr>
        <w:t>—</w:t>
      </w:r>
      <w:proofErr w:type="gramEnd"/>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5"/>
    </w:p>
    <w:sectPr w:rsidR="007C7C7D"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3AE456" w14:textId="77777777" w:rsidR="009C4DD0" w:rsidRDefault="009C4DD0" w:rsidP="00066D2C">
      <w:pPr>
        <w:spacing w:after="0" w:line="240" w:lineRule="auto"/>
      </w:pPr>
      <w:r>
        <w:separator/>
      </w:r>
    </w:p>
  </w:endnote>
  <w:endnote w:type="continuationSeparator" w:id="0">
    <w:p w14:paraId="015E5DE5" w14:textId="77777777" w:rsidR="009C4DD0" w:rsidRDefault="009C4DD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altName w:val="﷽﷽﷽﷽﷽﷽﷽﷽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auto"/>
    <w:pitch w:val="variable"/>
    <w:sig w:usb0="E0002EFF" w:usb1="D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2EFF" w:usb1="D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default"/>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80"/>
    <w:family w:val="auto"/>
    <w:pitch w:val="variable"/>
    <w:sig w:usb0="00000000" w:usb1="08070000" w:usb2="00000010" w:usb3="00000000" w:csb0="00020000"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altName w:val="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Segoe UI 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altName w:val="Agency FB"/>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2E65B2" w14:textId="77777777" w:rsidR="009C4DD0" w:rsidRDefault="009C4DD0" w:rsidP="00066D2C">
      <w:pPr>
        <w:spacing w:after="0" w:line="240" w:lineRule="auto"/>
      </w:pPr>
      <w:r>
        <w:separator/>
      </w:r>
    </w:p>
  </w:footnote>
  <w:footnote w:type="continuationSeparator" w:id="0">
    <w:p w14:paraId="42C1E389" w14:textId="77777777" w:rsidR="009C4DD0" w:rsidRDefault="009C4DD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B2843"/>
    <w:rsid w:val="00AB3118"/>
    <w:rsid w:val="00AB3CBB"/>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1C6F"/>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61C6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61C6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61C6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461C6F"/>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61C6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61C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61C6F"/>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461C6F"/>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61C6F"/>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61C6F"/>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61C6F"/>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461C6F"/>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61C6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461C6F"/>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S"/>
    <w:basedOn w:val="DefaultParagraphFont"/>
    <w:uiPriority w:val="7"/>
    <w:qFormat/>
    <w:rsid w:val="00461C6F"/>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461C6F"/>
    <w:rPr>
      <w:b/>
      <w:bCs/>
    </w:rPr>
  </w:style>
  <w:style w:type="character" w:styleId="BookTitle">
    <w:name w:val="Book Title"/>
    <w:basedOn w:val="DefaultParagraphFont"/>
    <w:uiPriority w:val="33"/>
    <w:qFormat/>
    <w:rsid w:val="00461C6F"/>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61C6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61C6F"/>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61C6F"/>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61C6F"/>
    <w:rPr>
      <w:rFonts w:ascii="Calibri" w:hAnsi="Calibri" w:cs="Calibri"/>
    </w:rPr>
  </w:style>
  <w:style w:type="paragraph" w:styleId="Footer">
    <w:name w:val="footer"/>
    <w:basedOn w:val="Normal"/>
    <w:link w:val="FooterChar"/>
    <w:uiPriority w:val="99"/>
    <w:rsid w:val="00461C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1C6F"/>
    <w:rPr>
      <w:rFonts w:ascii="Calibri" w:hAnsi="Calibri" w:cs="Calibri"/>
    </w:rPr>
  </w:style>
  <w:style w:type="paragraph" w:styleId="BodyText">
    <w:name w:val="Body Text"/>
    <w:aliases w:val="BT"/>
    <w:basedOn w:val="Normal"/>
    <w:link w:val="BodyTextChar"/>
    <w:uiPriority w:val="99"/>
    <w:unhideWhenUsed/>
    <w:rsid w:val="00461C6F"/>
    <w:pPr>
      <w:spacing w:after="120"/>
    </w:pPr>
  </w:style>
  <w:style w:type="character" w:customStyle="1" w:styleId="BodyTextChar">
    <w:name w:val="Body Text Char"/>
    <w:aliases w:val="BT Char"/>
    <w:basedOn w:val="DefaultParagraphFont"/>
    <w:link w:val="BodyText"/>
    <w:uiPriority w:val="99"/>
    <w:rsid w:val="00461C6F"/>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61C6F"/>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61C6F"/>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61C6F"/>
    <w:rPr>
      <w:color w:val="0563C1" w:themeColor="hyperlink"/>
      <w:u w:val="single"/>
    </w:rPr>
  </w:style>
  <w:style w:type="character" w:styleId="UnresolvedMention">
    <w:name w:val="Unresolved Mention"/>
    <w:basedOn w:val="DefaultParagraphFont"/>
    <w:uiPriority w:val="99"/>
    <w:unhideWhenUsed/>
    <w:rsid w:val="00461C6F"/>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233</TotalTime>
  <Pages>1</Pages>
  <Words>25704</Words>
  <Characters>146771</Characters>
  <Application>Microsoft Office Word</Application>
  <DocSecurity>0</DocSecurity>
  <Lines>1630</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24</cp:revision>
  <dcterms:created xsi:type="dcterms:W3CDTF">2025-09-12T18:42:00Z</dcterms:created>
  <dcterms:modified xsi:type="dcterms:W3CDTF">2025-09-28T18:34:00Z</dcterms:modified>
</cp:coreProperties>
</file>