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E7773" w14:textId="77777777" w:rsidR="00B23EA5" w:rsidRDefault="00B23EA5" w:rsidP="00B23EA5">
      <w:pPr>
        <w:pStyle w:val="Heading2"/>
      </w:pPr>
      <w:r>
        <w:t>Advantage: Unions</w:t>
      </w:r>
    </w:p>
    <w:p w14:paraId="15C93C04" w14:textId="77777777" w:rsidR="00B23EA5" w:rsidRDefault="00B23EA5" w:rsidP="00B23EA5">
      <w:pPr>
        <w:keepNext/>
        <w:keepLines/>
        <w:spacing w:before="40" w:after="0"/>
        <w:outlineLvl w:val="3"/>
        <w:rPr>
          <w:rFonts w:eastAsia="Times New Roman" w:cs="Times New Roman"/>
          <w:b/>
          <w:iCs/>
          <w:sz w:val="26"/>
        </w:rPr>
      </w:pPr>
      <w:r>
        <w:rPr>
          <w:rFonts w:eastAsia="Times New Roman" w:cs="Times New Roman"/>
          <w:b/>
          <w:iCs/>
          <w:sz w:val="26"/>
        </w:rPr>
        <w:t>Prison labor is coercive, bolstering the capitalist hellscape we live in while disproportionately targeting black and brown peoples.</w:t>
      </w:r>
    </w:p>
    <w:p w14:paraId="641012A2" w14:textId="77777777" w:rsidR="00B23EA5" w:rsidRDefault="00B23EA5" w:rsidP="00B23EA5">
      <w:r w:rsidRPr="00EC43D0">
        <w:rPr>
          <w:rStyle w:val="Style13ptBold"/>
        </w:rPr>
        <w:t>Braun &amp; Polick-Kirkpatrick 23</w:t>
      </w:r>
      <w:r>
        <w:t>. Yvonne A. Braun &amp; Kaelyn Polick-Kirkpatrick. “Mass incarceration and the problem of prison labor” published in “Beyond Bars: A Path Forward from 50 Years of Mass Incarceration in the United States,” pp. 23-26 https://www.jstor.org/stable/jj.5590542.9//n*x</w:t>
      </w:r>
    </w:p>
    <w:p w14:paraId="57A7BEFF" w14:textId="77777777" w:rsidR="00B23EA5" w:rsidRDefault="00B23EA5" w:rsidP="00B23EA5">
      <w:r>
        <w:t xml:space="preserve">Issues of autonomy, ethics, and rights plague questions of prison labor. </w:t>
      </w:r>
      <w:r w:rsidRPr="007F7754">
        <w:rPr>
          <w:rStyle w:val="StyleUnderline"/>
          <w:highlight w:val="yellow"/>
        </w:rPr>
        <w:t>Prison labor</w:t>
      </w:r>
      <w:r w:rsidRPr="00EC43D0">
        <w:rPr>
          <w:rStyle w:val="StyleUnderline"/>
        </w:rPr>
        <w:t xml:space="preserve">, sometimes called penal labor, can be </w:t>
      </w:r>
      <w:r w:rsidRPr="007F7754">
        <w:rPr>
          <w:rStyle w:val="StyleUnderline"/>
          <w:strike/>
        </w:rPr>
        <w:t>seen</w:t>
      </w:r>
      <w:r w:rsidRPr="00EC43D0">
        <w:rPr>
          <w:rStyle w:val="StyleUnderline"/>
        </w:rPr>
        <w:t xml:space="preserve"> as </w:t>
      </w:r>
      <w:r w:rsidRPr="007F7754">
        <w:rPr>
          <w:rStyle w:val="StyleUnderline"/>
          <w:highlight w:val="yellow"/>
        </w:rPr>
        <w:t>coercive, and</w:t>
      </w:r>
      <w:r w:rsidRPr="00EC43D0">
        <w:rPr>
          <w:rStyle w:val="StyleUnderline"/>
        </w:rPr>
        <w:t xml:space="preserve"> in effect incentivizing mass incarceration as a means of bolstering the economy while simultaneously </w:t>
      </w:r>
      <w:r w:rsidRPr="007F7754">
        <w:rPr>
          <w:rStyle w:val="StyleUnderline"/>
          <w:highlight w:val="yellow"/>
        </w:rPr>
        <w:t>disappearing</w:t>
      </w:r>
      <w:r w:rsidRPr="00EC43D0">
        <w:rPr>
          <w:rStyle w:val="StyleUnderline"/>
        </w:rPr>
        <w:t xml:space="preserve"> so-called </w:t>
      </w:r>
      <w:r w:rsidRPr="007F7754">
        <w:rPr>
          <w:rStyle w:val="StyleUnderline"/>
          <w:highlight w:val="yellow"/>
        </w:rPr>
        <w:t>“undesirable” populations coded by state</w:t>
      </w:r>
      <w:r w:rsidRPr="00EC43D0">
        <w:rPr>
          <w:rStyle w:val="StyleUnderline"/>
        </w:rPr>
        <w:t xml:space="preserve">-led </w:t>
      </w:r>
      <w:r w:rsidRPr="007F7754">
        <w:rPr>
          <w:rStyle w:val="StyleUnderline"/>
          <w:highlight w:val="yellow"/>
        </w:rPr>
        <w:t>discourse as less than human. The state</w:t>
      </w:r>
      <w:r w:rsidRPr="00EC43D0">
        <w:rPr>
          <w:rStyle w:val="StyleUnderline"/>
        </w:rPr>
        <w:t xml:space="preserve">’s and industry’s status as the central beneficiaries of penal labor </w:t>
      </w:r>
      <w:r w:rsidRPr="007F7754">
        <w:rPr>
          <w:rStyle w:val="StyleUnderline"/>
          <w:highlight w:val="yellow"/>
        </w:rPr>
        <w:t>is motivated by capitalist principles of economic growth and it denies people who are incarcerated access to autonomy and human rights.</w:t>
      </w:r>
      <w:r w:rsidRPr="00EC43D0">
        <w:rPr>
          <w:rStyle w:val="StyleUnderline"/>
        </w:rPr>
        <w:t xml:space="preserve"> The prison system in the United States emerged alongside the institution of slavery and the over-policing of Black bodies. </w:t>
      </w:r>
      <w:r w:rsidRPr="007F7754">
        <w:rPr>
          <w:rStyle w:val="StyleUnderline"/>
          <w:highlight w:val="yellow"/>
        </w:rPr>
        <w:t>The 13th Amendment</w:t>
      </w:r>
      <w:r w:rsidRPr="00EC43D0">
        <w:rPr>
          <w:rStyle w:val="StyleUnderline"/>
        </w:rPr>
        <w:t xml:space="preserve">, ratified in 1865, </w:t>
      </w:r>
      <w:r w:rsidRPr="007F7754">
        <w:rPr>
          <w:rStyle w:val="StyleUnderline"/>
          <w:highlight w:val="yellow"/>
        </w:rPr>
        <w:t>abolished slavery and involuntary servitude except as a punishment for those convicted of crime</w:t>
      </w:r>
      <w:r w:rsidRPr="00EC43D0">
        <w:rPr>
          <w:rStyle w:val="StyleUnderline"/>
        </w:rPr>
        <w:t>. This allowed land and business owners to lease incarcerated labor, which ultimately cost less than enslavement as lessees no longer had vested interest in the longevity of a laborer’s life</w:t>
      </w:r>
      <w:r>
        <w:t xml:space="preserve">. As a result, newly freed Black people were excessively policed and charged with crimes they did not commit, among other profound violences. </w:t>
      </w:r>
      <w:r w:rsidRPr="00E210B6">
        <w:rPr>
          <w:rStyle w:val="StyleUnderline"/>
        </w:rPr>
        <w:t xml:space="preserve">Convict leasing was outlawed in all 50 states by 1933, but by 1934 the Federal Prison Industries was established by executive order. </w:t>
      </w:r>
      <w:r w:rsidRPr="007F7754">
        <w:rPr>
          <w:rStyle w:val="StyleUnderline"/>
          <w:highlight w:val="yellow"/>
        </w:rPr>
        <w:t>Mass incarceration has since become a material reality as the number of people incarcerated</w:t>
      </w:r>
      <w:r w:rsidRPr="00E210B6">
        <w:rPr>
          <w:rStyle w:val="StyleUnderline"/>
        </w:rPr>
        <w:t xml:space="preserve"> (nearly two million) and the nation’s number of correctional facilities (over 5,000) </w:t>
      </w:r>
      <w:r w:rsidRPr="007F7754">
        <w:rPr>
          <w:rStyle w:val="StyleUnderline"/>
          <w:highlight w:val="yellow"/>
        </w:rPr>
        <w:t>has grown rapidly since the</w:t>
      </w:r>
      <w:r w:rsidRPr="00E210B6">
        <w:rPr>
          <w:rStyle w:val="StyleUnderline"/>
        </w:rPr>
        <w:t xml:space="preserve"> 19</w:t>
      </w:r>
      <w:r w:rsidRPr="007F7754">
        <w:rPr>
          <w:rStyle w:val="StyleUnderline"/>
          <w:highlight w:val="yellow"/>
        </w:rPr>
        <w:t>80s</w:t>
      </w:r>
      <w:r>
        <w:t>. While the investments into incarceration have increased</w:t>
      </w:r>
      <w:r w:rsidRPr="00E210B6">
        <w:t xml:space="preserve">, </w:t>
      </w:r>
      <w:r w:rsidRPr="007F7754">
        <w:rPr>
          <w:rStyle w:val="StyleUnderline"/>
          <w:highlight w:val="yellow"/>
        </w:rPr>
        <w:t>the rights of incarcerated workers and their compensation for work done while in prison has</w:t>
      </w:r>
      <w:r w:rsidRPr="00E210B6">
        <w:rPr>
          <w:rStyle w:val="StyleUnderline"/>
        </w:rPr>
        <w:t xml:space="preserve"> remained low, or even </w:t>
      </w:r>
      <w:r w:rsidRPr="007F7754">
        <w:rPr>
          <w:rStyle w:val="StyleUnderline"/>
          <w:highlight w:val="yellow"/>
        </w:rPr>
        <w:t>declined</w:t>
      </w:r>
      <w:r w:rsidRPr="00E210B6">
        <w:rPr>
          <w:rStyle w:val="StyleUnderline"/>
        </w:rPr>
        <w:t>, particularly in the last 20 years. One of the myths of incarceration is that people who are incarcerated are not working. However, the data tells a different story: while not everyone has a job the whole time they are in prison, and sometimes only limited opportunities available, the vast majority of people incarcerated (estimated between 65 and 80 percent) are expected to work and correctional facilities generally claim to organize “regular work day” assignments as much as possible</w:t>
      </w:r>
      <w: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 owned businesses, such as correctional industries. Approximately 6 percent of people who are incarcerated work in these positions producing goods and providing services coordinated by correctional agencies and businesses. The revenue from their work generates the funds that pay for the costs of their positions in many cases. People who are incarcerated sometimes work in jobs outside their facility such as through work-release or camps that are directed by the Department of Corrections but providing services to outside agencies, including public or nonprofit. Even fewer people work for private businesses who contract with correctional agencies and provide job training, supervision, and local prevailing wages through what is called the PIE Program. The Private Sector/ Prison Industry Enhancement Certification Program (PIECP, or PIE) in the US Department of Justice, was established in 1979 to create partnerships between the private sector and correctional facilities to employ adults- in- custody in training and work opportunities that mirror work in the private </w:t>
      </w:r>
      <w:r>
        <w:lastRenderedPageBreak/>
        <w:t xml:space="preserve">sector “on the outside.” However, these opportunities are limited, unevenly implemented, and generally pay workers very little when the allowable deductions from gross pay are processed, which may include fees for room and board, taxes, and victim restitution, and so on. </w:t>
      </w:r>
      <w:r w:rsidRPr="00E210B6">
        <w:rPr>
          <w:rStyle w:val="StyleUnderline"/>
        </w:rPr>
        <w:t>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w:t>
      </w:r>
      <w:r>
        <w:t xml:space="preserve">. Research evidence • Over 65 percent of incarcerated adults have work placements and </w:t>
      </w:r>
      <w:r w:rsidRPr="007F7754">
        <w:rPr>
          <w:rStyle w:val="StyleUnderline"/>
          <w:highlight w:val="yellow"/>
        </w:rPr>
        <w:t>over 76 percent of those incarcerated workers claimed that “they are required to work or face additional punishment</w:t>
      </w:r>
      <w:r w:rsidRPr="00E210B6">
        <w:rPr>
          <w:rStyle w:val="StyleUnderline"/>
        </w:rPr>
        <w:t xml:space="preserve"> such as solitary confinement, denial of opportunities to reduce their sentence, and loss of family visitation</w:t>
      </w:r>
      <w:r>
        <w:t xml:space="preserve">.” Incarcerated workers produce more than $2 billion worth of goods each year, and “over $9 billion a year in services for the maintenance of the prisons where they are warehoused.” </w:t>
      </w:r>
      <w:r w:rsidRPr="00E210B6">
        <w:rPr>
          <w:vertAlign w:val="superscript"/>
        </w:rPr>
        <w:t>1</w:t>
      </w:r>
      <w:r>
        <w:t xml:space="preserve"> • Carceral labor is inherently riskier than traditional employment, even within the same industries. The rights afforded to civilian workers, such as workplace safety measures, are often not afforded to adults in custody.</w:t>
      </w:r>
      <w:r w:rsidRPr="00E210B6">
        <w:rPr>
          <w:vertAlign w:val="superscript"/>
        </w:rPr>
        <w:t>2</w:t>
      </w:r>
      <w:r>
        <w:t xml:space="preserve"> </w:t>
      </w:r>
      <w:r w:rsidRPr="007F7754">
        <w:rPr>
          <w:rStyle w:val="StyleUnderline"/>
          <w:highlight w:val="yellow"/>
        </w:rPr>
        <w:t>One example is the California Conservation Camp program, where incarcerated firefighters are at higher risk of injury and death than those employed by traditional means</w:t>
      </w:r>
      <w:r>
        <w:t xml:space="preserve">. Furthermore, COVID-19 increased the risk borne by incarcerated workers living and working in environments where infections are likely to spread. • </w:t>
      </w:r>
      <w:r w:rsidRPr="007F7754">
        <w:rPr>
          <w:rStyle w:val="StyleUnderline"/>
          <w:highlight w:val="yellow"/>
        </w:rPr>
        <w:t>The prison system</w:t>
      </w:r>
      <w:r w:rsidRPr="00E210B6">
        <w:rPr>
          <w:rStyle w:val="StyleUnderline"/>
        </w:rPr>
        <w:t xml:space="preserve"> “artificially deflates” 3 unemployment rates by incarcerating marginalized working-age people who are already unemployed, who, as they are released from prison, reenter the workforce with limited employment opportunities and restricted negotiating power in their workplaces</w:t>
      </w:r>
      <w:r>
        <w:t xml:space="preserve">. These effects demonstrate how mass incarceration serves to discipline formerly incarcerated people and low-wage workers to accept conditions in which they have relatively little power. </w:t>
      </w:r>
      <w:r w:rsidRPr="00E210B6">
        <w:rPr>
          <w:vertAlign w:val="superscript"/>
        </w:rPr>
        <w:t>4</w:t>
      </w:r>
      <w:r>
        <w:t xml:space="preserve"> </w:t>
      </w:r>
      <w:r w:rsidRPr="00E210B6">
        <w:rPr>
          <w:rStyle w:val="StyleUnderline"/>
        </w:rPr>
        <w:t xml:space="preserve">It also </w:t>
      </w:r>
      <w:r w:rsidRPr="007F7754">
        <w:rPr>
          <w:rStyle w:val="StyleUnderline"/>
          <w:highlight w:val="yellow"/>
        </w:rPr>
        <w:t>chills low-wage workers’ efforts to collectively organize, such as unions, that would both improve working conditions and</w:t>
      </w:r>
      <w:r w:rsidRPr="00E210B6">
        <w:rPr>
          <w:rStyle w:val="StyleUnderline"/>
        </w:rPr>
        <w:t xml:space="preserve"> might change </w:t>
      </w:r>
      <w:r w:rsidRPr="007F7754">
        <w:rPr>
          <w:rStyle w:val="StyleUnderline"/>
          <w:highlight w:val="yellow"/>
        </w:rPr>
        <w:t>how economic opportunities are distributed</w:t>
      </w:r>
      <w:r w:rsidRPr="00E210B6">
        <w:rPr>
          <w:rStyle w:val="StyleUnderline"/>
        </w:rPr>
        <w:t xml:space="preserve"> more broadly</w:t>
      </w:r>
      <w:r>
        <w:t>.</w:t>
      </w:r>
      <w:r w:rsidRPr="00E210B6">
        <w:rPr>
          <w:vertAlign w:val="superscript"/>
        </w:rPr>
        <w:t>5</w:t>
      </w:r>
      <w:r>
        <w:t xml:space="preserve"> • Mass incarceration creates system and community effects, such that the prevalence of parole officers and other extensions of the state in communities with high imprisonment rates facilitates a type of surveillance effect that fuels system avoidance.</w:t>
      </w:r>
      <w:r w:rsidRPr="00E210B6">
        <w:rPr>
          <w:vertAlign w:val="superscript"/>
        </w:rPr>
        <w:t>6</w:t>
      </w:r>
      <w:r>
        <w:t xml:space="preserve"> Residents, whether directly affected by incarceration or not, experience high levels of supervision in their communities in ways that decrease neighborhood political participation.</w:t>
      </w:r>
      <w:r w:rsidRPr="00E210B6">
        <w:rPr>
          <w:vertAlign w:val="superscript"/>
        </w:rPr>
        <w:t>7</w:t>
      </w:r>
      <w:r>
        <w:t xml:space="preserve"> Reduced civic engagement results as people fear the penal system and carceral state, further depoliticizing and marginalizing these communities, reducing their political and economic power. • </w:t>
      </w:r>
      <w:r w:rsidRPr="007F7754">
        <w:rPr>
          <w:rStyle w:val="StyleUnderline"/>
          <w:highlight w:val="yellow"/>
        </w:rPr>
        <w:t>Mass incarceration disproportionately impacts communities of color</w:t>
      </w:r>
      <w:r>
        <w:t xml:space="preserve"> </w:t>
      </w:r>
      <w:r w:rsidRPr="00E210B6">
        <w:rPr>
          <w:vertAlign w:val="superscript"/>
        </w:rPr>
        <w:t>8</w:t>
      </w:r>
      <w:r>
        <w:t xml:space="preserve"> </w:t>
      </w:r>
      <w:r w:rsidRPr="007F7754">
        <w:rPr>
          <w:rStyle w:val="StyleUnderline"/>
          <w:highlight w:val="yellow"/>
        </w:rPr>
        <w:t>as it reinforces and exacerbates a caste-like system of racial and class inequalities</w:t>
      </w:r>
      <w:r w:rsidRPr="00E210B6">
        <w:rPr>
          <w:rStyle w:val="StyleUnderline"/>
        </w:rPr>
        <w:t xml:space="preserve"> since the Jim Crow era, perpetuating second-class citizenhood for people with prison records unable to escape low-wage work over their life course, and furthering a system of rising wage inequality</w:t>
      </w:r>
      <w:r>
        <w:t xml:space="preserve">. • Living in neighborhoods with high levels of incarceration rates is associated with adverse outcomes, </w:t>
      </w:r>
      <w:r w:rsidRPr="00E210B6">
        <w:rPr>
          <w:vertAlign w:val="superscript"/>
        </w:rPr>
        <w:t>9</w:t>
      </w:r>
      <w:r>
        <w:t xml:space="preserve"> even if residents are not directly linked to the prison system—known as “collateral damage of mass incarceration.” </w:t>
      </w:r>
      <w:r w:rsidRPr="00E210B6">
        <w:rPr>
          <w:rStyle w:val="StyleUnderline"/>
        </w:rPr>
        <w:t xml:space="preserve">As incarceration is unequally distributed in the United States, and </w:t>
      </w:r>
      <w:r w:rsidRPr="007F7754">
        <w:rPr>
          <w:rStyle w:val="StyleUnderline"/>
          <w:highlight w:val="yellow"/>
        </w:rPr>
        <w:t>Black men are particularly likely to have been in prison in their lifetimes</w:t>
      </w:r>
      <w:r w:rsidRPr="007F7754">
        <w:rPr>
          <w:rStyle w:val="StyleUnderline"/>
        </w:rPr>
        <w:t>,</w:t>
      </w:r>
      <w:r w:rsidRPr="00E210B6">
        <w:rPr>
          <w:rStyle w:val="StyleUnderline"/>
        </w:rPr>
        <w:t xml:space="preserve"> these public health spillover effects from mass imprisonment overwhelmingly affect communities of color and shape labor market participation in ways that profoundly shape life outcomes</w:t>
      </w:r>
      <w:r>
        <w:t>.</w:t>
      </w:r>
    </w:p>
    <w:p w14:paraId="595716ED" w14:textId="77777777" w:rsidR="00B23EA5" w:rsidRDefault="00B23EA5" w:rsidP="00B23EA5"/>
    <w:p w14:paraId="7D175736" w14:textId="77777777" w:rsidR="00B23EA5" w:rsidRDefault="00B23EA5" w:rsidP="00B23EA5">
      <w:r>
        <w:rPr>
          <w:noProof/>
        </w:rPr>
        <w:lastRenderedPageBreak/>
        <w:drawing>
          <wp:inline distT="0" distB="0" distL="0" distR="0" wp14:anchorId="431B0724" wp14:editId="0B77DA0A">
            <wp:extent cx="4991660" cy="3327774"/>
            <wp:effectExtent l="0" t="0" r="0" b="6350"/>
            <wp:docPr id="1987040698" name="Picture 7" descr="A group of people standing on a hill with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0698" name="Picture 7" descr="A group of people standing on a hill with fi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103" cy="3359403"/>
                    </a:xfrm>
                    <a:prstGeom prst="rect">
                      <a:avLst/>
                    </a:prstGeom>
                  </pic:spPr>
                </pic:pic>
              </a:graphicData>
            </a:graphic>
          </wp:inline>
        </w:drawing>
      </w:r>
    </w:p>
    <w:p w14:paraId="0379C003" w14:textId="77777777" w:rsidR="00B23EA5" w:rsidRDefault="00B23EA5" w:rsidP="00B23EA5">
      <w:r>
        <w:t xml:space="preserve">Photo taken by </w:t>
      </w:r>
      <w:r w:rsidRPr="00306037">
        <w:t>Lindsey Feldman</w:t>
      </w:r>
      <w:r>
        <w:t xml:space="preserve">, found online at </w:t>
      </w:r>
      <w:r w:rsidRPr="00306037">
        <w:t>https://www.sapiens.org/culture/arizonas-inmate-firefighters/</w:t>
      </w:r>
      <w:r>
        <w:t>/n*x</w:t>
      </w:r>
    </w:p>
    <w:p w14:paraId="70C7DD46" w14:textId="77777777" w:rsidR="00B23EA5" w:rsidRPr="00FC6126" w:rsidRDefault="00B23EA5" w:rsidP="00B23EA5">
      <w:pPr>
        <w:keepNext/>
        <w:keepLines/>
        <w:spacing w:before="40" w:after="0"/>
        <w:outlineLvl w:val="3"/>
        <w:rPr>
          <w:rFonts w:ascii="Helvetica" w:eastAsia="Times New Roman" w:hAnsi="Helvetica" w:cs="Times New Roman"/>
          <w:b/>
          <w:iCs/>
          <w:sz w:val="26"/>
        </w:rPr>
      </w:pPr>
      <w:r>
        <w:rPr>
          <w:rFonts w:eastAsia="Times New Roman" w:cs="Times New Roman"/>
          <w:b/>
          <w:iCs/>
          <w:sz w:val="26"/>
        </w:rPr>
        <w:t xml:space="preserve">The photo above shows multiple firefighters around an active burn site. In Arizona, prisoners are exploited by the inmate wildfire program. The photos presented in this round all work together to tell a story – a story which, through a </w:t>
      </w:r>
      <w:r w:rsidRPr="006D552D">
        <w:rPr>
          <w:rFonts w:eastAsia="Times New Roman" w:cs="Times New Roman"/>
          <w:b/>
          <w:iCs/>
          <w:sz w:val="26"/>
        </w:rPr>
        <w:t>counter-visual ethnography</w:t>
      </w:r>
      <w:r>
        <w:rPr>
          <w:rFonts w:eastAsia="Times New Roman" w:cs="Times New Roman"/>
          <w:b/>
          <w:iCs/>
          <w:sz w:val="26"/>
        </w:rPr>
        <w:t>, seeks to find what is not “there.” What exists beyond the figures, in the edges, along the lines?</w:t>
      </w:r>
    </w:p>
    <w:p w14:paraId="3E80AA62" w14:textId="77777777" w:rsidR="00B23EA5" w:rsidRPr="00FC6126" w:rsidRDefault="00B23EA5" w:rsidP="00B23EA5">
      <w:pPr>
        <w:rPr>
          <w:rFonts w:eastAsia="Calibri" w:cs="Times New Roman"/>
        </w:rPr>
      </w:pPr>
      <w:r w:rsidRPr="00FC6126">
        <w:rPr>
          <w:rFonts w:eastAsia="Calibri" w:cs="Times New Roman"/>
          <w:b/>
          <w:bCs/>
          <w:sz w:val="26"/>
        </w:rPr>
        <w:t>Feldman 16</w:t>
      </w:r>
      <w:r w:rsidRPr="00FC6126">
        <w:rPr>
          <w:rFonts w:eastAsia="Calibri" w:cs="Times New Roman"/>
        </w:rPr>
        <w:t>. Lindsey Feldman. “Arizona’s Inmate Firefighters,” published in Sapiens Online. https://www.sapiens.org/culture/arizonas-inmate-firefighters//n*x</w:t>
      </w:r>
    </w:p>
    <w:p w14:paraId="69155747" w14:textId="77777777" w:rsidR="00B23EA5" w:rsidRPr="00FC6126" w:rsidRDefault="00B23EA5" w:rsidP="00B23EA5">
      <w:pPr>
        <w:rPr>
          <w:rFonts w:eastAsia="Calibri" w:cs="Times New Roman"/>
        </w:rPr>
      </w:pPr>
      <w:r w:rsidRPr="00FC6126">
        <w:rPr>
          <w:rFonts w:eastAsia="Calibri" w:cs="Times New Roman"/>
          <w:highlight w:val="yellow"/>
          <w:u w:val="single"/>
        </w:rPr>
        <w:t>In</w:t>
      </w:r>
      <w:r w:rsidRPr="00FC6126">
        <w:rPr>
          <w:rFonts w:eastAsia="Calibri" w:cs="Times New Roman"/>
          <w:u w:val="single"/>
        </w:rPr>
        <w:t xml:space="preserve"> the state of </w:t>
      </w:r>
      <w:r w:rsidRPr="00FC6126">
        <w:rPr>
          <w:rFonts w:eastAsia="Calibri" w:cs="Times New Roman"/>
          <w:highlight w:val="yellow"/>
          <w:u w:val="single"/>
        </w:rPr>
        <w:t>Arizona, all able-bodied incarcerated people are required to work</w:t>
      </w:r>
      <w:r w:rsidRPr="00FC6126">
        <w:rPr>
          <w:rFonts w:eastAsia="Calibri" w:cs="Times New Roman"/>
        </w:rPr>
        <w:t xml:space="preserve">. Most prison jobs are monotonous and consist of low-skill, assembly line–style labor. </w:t>
      </w:r>
      <w:r w:rsidRPr="00FC6126">
        <w:rPr>
          <w:rFonts w:eastAsia="Calibri" w:cs="Times New Roman"/>
          <w:highlight w:val="yellow"/>
          <w:u w:val="single"/>
        </w:rPr>
        <w:t>The hourly wage for such work is extremely low</w:t>
      </w:r>
      <w:r w:rsidRPr="00FC6126">
        <w:rPr>
          <w:rFonts w:eastAsia="Calibri" w:cs="Times New Roman"/>
          <w:u w:val="single"/>
        </w:rPr>
        <w:t xml:space="preserve"> (averaging less than 50 cents per hour), and few opportunities exist to continue the job upon release</w:t>
      </w:r>
      <w:r w:rsidRPr="00FC6126">
        <w:rPr>
          <w:rFonts w:eastAsia="Calibri" w:cs="Times New Roman"/>
        </w:rPr>
        <w:t xml:space="preserve">. Scholars and critics (myself included) who have studied the historical context and current trends of </w:t>
      </w:r>
      <w:r w:rsidRPr="00FC6126">
        <w:rPr>
          <w:rFonts w:eastAsia="Calibri" w:cs="Times New Roman"/>
          <w:highlight w:val="yellow"/>
          <w:u w:val="single"/>
        </w:rPr>
        <w:t>prison labor</w:t>
      </w:r>
      <w:r w:rsidRPr="00FC6126">
        <w:rPr>
          <w:rFonts w:eastAsia="Calibri" w:cs="Times New Roman"/>
        </w:rPr>
        <w:t xml:space="preserve"> conclude that it </w:t>
      </w:r>
      <w:r w:rsidRPr="00FC6126">
        <w:rPr>
          <w:rFonts w:eastAsia="Calibri" w:cs="Times New Roman"/>
          <w:highlight w:val="yellow"/>
          <w:u w:val="single"/>
        </w:rPr>
        <w:t>is an exploitative enterprise</w:t>
      </w:r>
      <w:r w:rsidRPr="00FC6126">
        <w:rPr>
          <w:rFonts w:eastAsia="Calibri" w:cs="Times New Roman"/>
          <w:u w:val="single"/>
        </w:rPr>
        <w:t xml:space="preserve">, with state agencies, local governments, and private companies profiting off the labor of incarcerated people. </w:t>
      </w:r>
      <w:r w:rsidRPr="00FC6126">
        <w:rPr>
          <w:rFonts w:eastAsia="Calibri" w:cs="Times New Roman"/>
          <w:b/>
          <w:iCs/>
          <w:highlight w:val="yellow"/>
          <w:u w:val="single"/>
        </w:rPr>
        <w:t>Prison experience, though, is not monolithic</w:t>
      </w:r>
      <w:r w:rsidRPr="00FC6126">
        <w:rPr>
          <w:rFonts w:eastAsia="Calibri" w:cs="Times New Roman"/>
        </w:rPr>
        <w:t xml:space="preserve">. The Arizona Department of Corrections is infamous for its punitive pol22icies, yet people’s prison experience varies at each of Arizona’s state-run and corporate prison complexes. It depends on the specific personalities of the warden, the correctional officers, and the prisoners themselves. The same spectrum of experiences exists with prison labor. </w:t>
      </w:r>
      <w:r w:rsidRPr="00FC6126">
        <w:rPr>
          <w:rFonts w:eastAsia="Calibri" w:cs="Times New Roman"/>
          <w:highlight w:val="yellow"/>
          <w:u w:val="single"/>
        </w:rPr>
        <w:t>One</w:t>
      </w:r>
      <w:r w:rsidRPr="00FC6126">
        <w:rPr>
          <w:rFonts w:eastAsia="Calibri" w:cs="Times New Roman"/>
          <w:u w:val="single"/>
        </w:rPr>
        <w:t xml:space="preserve"> skilled-labor </w:t>
      </w:r>
      <w:r w:rsidRPr="00FC6126">
        <w:rPr>
          <w:rFonts w:eastAsia="Calibri" w:cs="Times New Roman"/>
          <w:highlight w:val="yellow"/>
          <w:u w:val="single"/>
        </w:rPr>
        <w:t>program offered by Arizona’s corrections department presents an opportunity for</w:t>
      </w:r>
      <w:r w:rsidRPr="00FC6126">
        <w:rPr>
          <w:rFonts w:eastAsia="Calibri" w:cs="Times New Roman"/>
          <w:u w:val="single"/>
        </w:rPr>
        <w:t xml:space="preserve"> outsiders and </w:t>
      </w:r>
      <w:r w:rsidRPr="00FC6126">
        <w:rPr>
          <w:rFonts w:eastAsia="Calibri" w:cs="Times New Roman"/>
          <w:highlight w:val="yellow"/>
          <w:u w:val="single"/>
        </w:rPr>
        <w:t>critics to move beyond a simple discussion of the inherently exploitative nature of prison labor: the inmate wildfire program</w:t>
      </w:r>
      <w:r w:rsidRPr="00FC6126">
        <w:rPr>
          <w:rFonts w:eastAsia="Calibri" w:cs="Times New Roman"/>
          <w:u w:val="single"/>
        </w:rPr>
        <w:t xml:space="preserve">. This program consists of 11 wildland firefighting crews who fight over 100 fires per year in the rugged landscapes of Arizona. Each crew is comprised of 20 prisoners, three correctional officers, and </w:t>
      </w:r>
      <w:r w:rsidRPr="00FC6126">
        <w:rPr>
          <w:rFonts w:eastAsia="Calibri" w:cs="Times New Roman"/>
          <w:u w:val="single"/>
        </w:rPr>
        <w:lastRenderedPageBreak/>
        <w:t>one crew coordinator from the state forestry department who fight wildfires side by side. While fighting fires, prisoners sometimes stay in the field for weeks on end. Over time, all of them gain certifications and skills that equal or surpass those of many non-incarcerated firefighters</w:t>
      </w:r>
      <w:r w:rsidRPr="00FC6126">
        <w:rPr>
          <w:rFonts w:eastAsia="Calibri" w:cs="Times New Roman"/>
        </w:rPr>
        <w:t xml:space="preserve">. Prisoners must apply to the wildfire program, graduate from a federally mandated course on wildfire fighting, and make it through several rigorous physical exams before receiving their wildland firefighter type-2 certification. Once certified, they hold the same qualifications as all federal type-2 crews employed by U.S. Forest Service. Over the course of years on the crew, some prisoners attain other qualifications, such as the chainsaw certification and even the wildland firefighter type-1 certification—the same level of expertise attained by the highly regarded Hotshot crews that work throughout the U.S. In some ways, </w:t>
      </w:r>
      <w:r w:rsidRPr="00FC6126">
        <w:rPr>
          <w:rFonts w:eastAsia="Calibri" w:cs="Times New Roman"/>
          <w:highlight w:val="yellow"/>
          <w:u w:val="single"/>
        </w:rPr>
        <w:t xml:space="preserve">the </w:t>
      </w:r>
      <w:r w:rsidRPr="00FC6126">
        <w:rPr>
          <w:rFonts w:eastAsia="Calibri" w:cs="Times New Roman"/>
          <w:u w:val="single"/>
        </w:rPr>
        <w:t xml:space="preserve">inmate wildfire </w:t>
      </w:r>
      <w:r w:rsidRPr="00FC6126">
        <w:rPr>
          <w:rFonts w:eastAsia="Calibri" w:cs="Times New Roman"/>
          <w:highlight w:val="yellow"/>
          <w:u w:val="single"/>
        </w:rPr>
        <w:t>program fits perfectly into the logic of the prison industrial complex</w:t>
      </w:r>
      <w:r w:rsidRPr="00FC6126">
        <w:rPr>
          <w:rFonts w:eastAsia="Calibri" w:cs="Times New Roman"/>
        </w:rPr>
        <w:t>, which the grass-roots organization Critical Resistance defines as “</w:t>
      </w:r>
      <w:r w:rsidRPr="00FC6126">
        <w:rPr>
          <w:rFonts w:eastAsia="Calibri" w:cs="Times New Roman"/>
          <w:highlight w:val="yellow"/>
          <w:u w:val="single"/>
        </w:rPr>
        <w:t>the overlapping interests of government and industry that use surveillance, policing, and imprisonment as solutions to economic, social, and political problems</w:t>
      </w:r>
      <w:r w:rsidRPr="00FC6126">
        <w:rPr>
          <w:rFonts w:eastAsia="Calibri" w:cs="Times New Roman"/>
        </w:rPr>
        <w:t xml:space="preserve">.” Broadly speaking, </w:t>
      </w:r>
      <w:r w:rsidRPr="00FC6126">
        <w:rPr>
          <w:rFonts w:eastAsia="Calibri" w:cs="Times New Roman"/>
          <w:highlight w:val="yellow"/>
          <w:u w:val="single"/>
        </w:rPr>
        <w:t>prisoners are being used as a cheap, indentured solution to the national issue of rising wages</w:t>
      </w:r>
      <w:r w:rsidRPr="00FC6126">
        <w:rPr>
          <w:rFonts w:eastAsia="Calibri" w:cs="Times New Roman"/>
          <w:u w:val="single"/>
        </w:rPr>
        <w:t xml:space="preserve"> and economic stagnation.</w:t>
      </w:r>
      <w:r w:rsidRPr="00FC6126">
        <w:rPr>
          <w:rFonts w:eastAsia="Calibri" w:cs="Times New Roman"/>
        </w:rPr>
        <w:t xml:space="preserve"> In the inmate firefighter program, prisoners are being used to assuage the enormous expense of fighting wildfires, which cost the U.S. government over $2 billion in 2015 alone. </w:t>
      </w:r>
      <w:r w:rsidRPr="00FC6126">
        <w:rPr>
          <w:rFonts w:eastAsia="Calibri" w:cs="Times New Roman"/>
          <w:highlight w:val="yellow"/>
          <w:u w:val="single"/>
        </w:rPr>
        <w:t>Prisoners who battle wildfires risk their lives</w:t>
      </w:r>
      <w:r w:rsidRPr="00FC6126">
        <w:rPr>
          <w:rFonts w:eastAsia="Calibri" w:cs="Times New Roman"/>
          <w:u w:val="single"/>
        </w:rPr>
        <w:t xml:space="preserve"> for very little economic reward; </w:t>
      </w:r>
      <w:r w:rsidRPr="00FC6126">
        <w:rPr>
          <w:rFonts w:eastAsia="Calibri" w:cs="Times New Roman"/>
          <w:highlight w:val="yellow"/>
          <w:u w:val="single"/>
        </w:rPr>
        <w:t>they are paid $1.50 per hour</w:t>
      </w:r>
      <w:r w:rsidRPr="00FC6126">
        <w:rPr>
          <w:rFonts w:eastAsia="Calibri" w:cs="Times New Roman"/>
          <w:u w:val="single"/>
        </w:rPr>
        <w:t xml:space="preserve"> to fight fires, and upon their release, they are offered no clear path to a career in firefighting. The </w:t>
      </w:r>
      <w:r w:rsidRPr="00FC6126">
        <w:rPr>
          <w:rFonts w:eastAsia="Calibri" w:cs="Times New Roman"/>
          <w:highlight w:val="yellow"/>
          <w:u w:val="single"/>
        </w:rPr>
        <w:t>crew members understand their role in this prison system</w:t>
      </w:r>
      <w:r w:rsidRPr="00FC6126">
        <w:rPr>
          <w:rFonts w:eastAsia="Calibri" w:cs="Times New Roman"/>
          <w:u w:val="single"/>
        </w:rPr>
        <w:t xml:space="preserve">. I frequently heard crew members say, </w:t>
      </w:r>
      <w:r w:rsidRPr="00FC6126">
        <w:rPr>
          <w:rFonts w:eastAsia="Calibri" w:cs="Times New Roman"/>
          <w:highlight w:val="yellow"/>
          <w:u w:val="single"/>
        </w:rPr>
        <w:t>“We’re cheap labor</w:t>
      </w:r>
      <w:r w:rsidRPr="00FC6126">
        <w:rPr>
          <w:rFonts w:eastAsia="Calibri" w:cs="Times New Roman"/>
          <w:highlight w:val="yellow"/>
        </w:rPr>
        <w:t>.”</w:t>
      </w:r>
      <w:r w:rsidRPr="00FC6126">
        <w:rPr>
          <w:rFonts w:eastAsia="Calibri" w:cs="Times New Roman"/>
        </w:rPr>
        <w:t xml:space="preserve"> Or, perhaps even more salient, some would cite verbatim the 13th Amendment of the U.S. Constitution, to underscore an awareness that their economic exploitation is not only happening, but is sanctioned by forces much greater than themselves: “Neither slavery nor involuntary servitude, except as a punishment for crime whereof the party shall have been duly convicted, shall exist within the United States, or any place subject to their jurisdiction.” </w:t>
      </w:r>
      <w:r w:rsidRPr="00FC6126">
        <w:rPr>
          <w:rFonts w:eastAsia="Calibri" w:cs="Times New Roman"/>
          <w:b/>
          <w:iCs/>
          <w:u w:val="single"/>
        </w:rPr>
        <w:t xml:space="preserve">But </w:t>
      </w:r>
      <w:r w:rsidRPr="00FC6126">
        <w:rPr>
          <w:rFonts w:eastAsia="Calibri" w:cs="Times New Roman"/>
          <w:b/>
          <w:iCs/>
          <w:highlight w:val="yellow"/>
          <w:u w:val="single"/>
        </w:rPr>
        <w:t>what do we miss if we end the conversation on prison labor at “exploitation” and ignore the ability of incarcerated people to find meaning in their work—and their lives</w:t>
      </w:r>
      <w:r w:rsidRPr="00FC6126">
        <w:rPr>
          <w:rFonts w:eastAsia="Calibri" w:cs="Times New Roman"/>
          <w:highlight w:val="yellow"/>
        </w:rPr>
        <w:t>?</w:t>
      </w:r>
      <w:r w:rsidRPr="00FC6126">
        <w:rPr>
          <w:rFonts w:eastAsia="Calibri" w:cs="Times New Roman"/>
        </w:rPr>
        <w:t xml:space="preserve"> This is the question I asked at the outset of my dissertation project. </w:t>
      </w:r>
      <w:r w:rsidRPr="00FC6126">
        <w:rPr>
          <w:rFonts w:eastAsia="Calibri" w:cs="Times New Roman"/>
          <w:b/>
          <w:iCs/>
          <w:highlight w:val="yellow"/>
          <w:u w:val="single"/>
        </w:rPr>
        <w:t>The many ways that the inmate wildfire program is experienced, and the meanings the program holds—in terms of personal growth, interpersonal relationships, and blurring the boundaries between life inside and outside prison—should not be ignored</w:t>
      </w:r>
      <w:r w:rsidRPr="00FC6126">
        <w:rPr>
          <w:rFonts w:eastAsia="Calibri" w:cs="Times New Roman"/>
        </w:rPr>
        <w:t xml:space="preserve">. In my research, I set out to understand the paradoxical way in which skilled prison labor is at once exploitative and meaningful for those who participate in it. For 15 months, I worked alongside men in the inmate wildfire program. </w:t>
      </w:r>
      <w:r w:rsidRPr="00FC6126">
        <w:rPr>
          <w:rFonts w:eastAsia="Calibri" w:cs="Times New Roman"/>
          <w:u w:val="single"/>
        </w:rPr>
        <w:t xml:space="preserve">Through formal interviews and by fighting wildfires with crews of prisoners, I saw and heard how </w:t>
      </w:r>
      <w:r w:rsidRPr="00FC6126">
        <w:rPr>
          <w:rFonts w:eastAsia="Calibri" w:cs="Times New Roman"/>
          <w:highlight w:val="yellow"/>
          <w:u w:val="single"/>
        </w:rPr>
        <w:t>the wildfire program was meaningful for its participants</w:t>
      </w:r>
      <w:r w:rsidRPr="00FC6126">
        <w:rPr>
          <w:rFonts w:eastAsia="Calibri" w:cs="Times New Roman"/>
          <w:u w:val="single"/>
        </w:rPr>
        <w:t xml:space="preserve">. I have discovered that </w:t>
      </w:r>
      <w:r w:rsidRPr="00FC6126">
        <w:rPr>
          <w:rFonts w:eastAsia="Calibri" w:cs="Times New Roman"/>
          <w:highlight w:val="yellow"/>
          <w:u w:val="single"/>
        </w:rPr>
        <w:t>the program opens up a space for emotionally and physically vulnerable experiences</w:t>
      </w:r>
      <w:r w:rsidRPr="00FC6126">
        <w:rPr>
          <w:rFonts w:eastAsia="Calibri" w:cs="Times New Roman"/>
          <w:u w:val="single"/>
        </w:rPr>
        <w:t>—deep friendships form, nights are spent sleeping under the stars—</w:t>
      </w:r>
      <w:r w:rsidRPr="00FC6126">
        <w:rPr>
          <w:rFonts w:eastAsia="Calibri" w:cs="Times New Roman"/>
          <w:highlight w:val="yellow"/>
          <w:u w:val="single"/>
        </w:rPr>
        <w:t>that deserves as much attention as the fact of the prisoners’ low pay for risky work</w:t>
      </w:r>
      <w:r w:rsidRPr="00FC6126">
        <w:rPr>
          <w:rFonts w:eastAsia="Calibri" w:cs="Times New Roman"/>
          <w:u w:val="single"/>
        </w:rPr>
        <w:t xml:space="preserve">. This </w:t>
      </w:r>
      <w:r w:rsidRPr="00FC6126">
        <w:rPr>
          <w:rFonts w:eastAsia="Calibri" w:cs="Times New Roman"/>
          <w:highlight w:val="yellow"/>
          <w:u w:val="single"/>
        </w:rPr>
        <w:t>photo</w:t>
      </w:r>
      <w:r w:rsidRPr="00FC6126">
        <w:rPr>
          <w:rFonts w:eastAsia="Calibri" w:cs="Times New Roman"/>
          <w:u w:val="single"/>
        </w:rPr>
        <w:t xml:space="preserve"> essay, which </w:t>
      </w:r>
      <w:r w:rsidRPr="00FC6126">
        <w:rPr>
          <w:rFonts w:eastAsia="Calibri" w:cs="Times New Roman"/>
          <w:highlight w:val="yellow"/>
          <w:u w:val="single"/>
        </w:rPr>
        <w:t>highlights</w:t>
      </w:r>
      <w:r w:rsidRPr="00FC6126">
        <w:rPr>
          <w:rFonts w:eastAsia="Calibri" w:cs="Times New Roman"/>
          <w:u w:val="single"/>
        </w:rPr>
        <w:t xml:space="preserve"> some of </w:t>
      </w:r>
      <w:r w:rsidRPr="00FC6126">
        <w:rPr>
          <w:rFonts w:eastAsia="Calibri" w:cs="Times New Roman"/>
          <w:highlight w:val="yellow"/>
          <w:u w:val="single"/>
        </w:rPr>
        <w:t>these experiences</w:t>
      </w:r>
      <w:r w:rsidRPr="00FC6126">
        <w:rPr>
          <w:rFonts w:eastAsia="Calibri" w:cs="Times New Roman"/>
          <w:u w:val="single"/>
        </w:rPr>
        <w:t xml:space="preserve">, is </w:t>
      </w:r>
      <w:r w:rsidRPr="00FC6126">
        <w:rPr>
          <w:rFonts w:eastAsia="Calibri" w:cs="Times New Roman"/>
          <w:highlight w:val="yellow"/>
          <w:u w:val="single"/>
        </w:rPr>
        <w:t>a recognition of the</w:t>
      </w:r>
      <w:r w:rsidRPr="00FC6126">
        <w:rPr>
          <w:rFonts w:eastAsia="Calibri" w:cs="Times New Roman"/>
          <w:u w:val="single"/>
        </w:rPr>
        <w:t xml:space="preserve"> creative </w:t>
      </w:r>
      <w:r w:rsidRPr="00FC6126">
        <w:rPr>
          <w:rFonts w:eastAsia="Calibri" w:cs="Times New Roman"/>
          <w:highlight w:val="yellow"/>
          <w:u w:val="single"/>
        </w:rPr>
        <w:t>ways individuals resist the dehumanizing effects of the prison industrial complex through their work on the fireline</w:t>
      </w:r>
      <w:r w:rsidRPr="00FC6126">
        <w:rPr>
          <w:rFonts w:eastAsia="Calibri" w:cs="Times New Roman"/>
        </w:rPr>
        <w:t>.</w:t>
      </w:r>
    </w:p>
    <w:p w14:paraId="72C22B49" w14:textId="77777777" w:rsidR="00B23EA5" w:rsidRDefault="00B23EA5" w:rsidP="00B23EA5"/>
    <w:p w14:paraId="1E039053" w14:textId="77777777" w:rsidR="00B23EA5" w:rsidRDefault="00B23EA5" w:rsidP="00B23EA5">
      <w:pPr>
        <w:pStyle w:val="Heading4"/>
      </w:pPr>
      <w:r>
        <w:t>This story persists in both legal and social realms. The Jones decision made it illegal for prisoners to form unions in search of higher pay – this legal precedent was felt on social levels as well. As lines between the social and the political are blurred, we assume to know what the prisoner feels. Your assumptions might be wrong.</w:t>
      </w:r>
    </w:p>
    <w:p w14:paraId="09C47CEC" w14:textId="77777777" w:rsidR="00B23EA5" w:rsidRDefault="00B23EA5" w:rsidP="00B23EA5"/>
    <w:p w14:paraId="51F9291F" w14:textId="77777777" w:rsidR="00B23EA5" w:rsidRPr="00F565B9" w:rsidRDefault="00B23EA5" w:rsidP="00B23EA5">
      <w:r>
        <w:rPr>
          <w:noProof/>
        </w:rPr>
        <w:lastRenderedPageBreak/>
        <w:drawing>
          <wp:inline distT="0" distB="0" distL="0" distR="0" wp14:anchorId="011AC88F" wp14:editId="7B8CC9DF">
            <wp:extent cx="5352792" cy="3564960"/>
            <wp:effectExtent l="0" t="0" r="635" b="0"/>
            <wp:docPr id="717810495" name="Picture 1" descr="A firefighter in Arizona. No distinguishing marks are shown to separate man or women or prisoner or fre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95" name="Picture 1" descr="A firefighter in Arizona. No distinguishing marks are shown to separate man or women or prisoner or freed.&#10; "/>
                    <pic:cNvPicPr/>
                  </pic:nvPicPr>
                  <pic:blipFill>
                    <a:blip r:embed="rId9">
                      <a:extLst>
                        <a:ext uri="{28A0092B-C50C-407E-A947-70E740481C1C}">
                          <a14:useLocalDpi xmlns:a14="http://schemas.microsoft.com/office/drawing/2010/main" val="0"/>
                        </a:ext>
                      </a:extLst>
                    </a:blip>
                    <a:stretch>
                      <a:fillRect/>
                    </a:stretch>
                  </pic:blipFill>
                  <pic:spPr>
                    <a:xfrm>
                      <a:off x="0" y="0"/>
                      <a:ext cx="5366328" cy="3573975"/>
                    </a:xfrm>
                    <a:prstGeom prst="rect">
                      <a:avLst/>
                    </a:prstGeom>
                  </pic:spPr>
                </pic:pic>
              </a:graphicData>
            </a:graphic>
          </wp:inline>
        </w:drawing>
      </w:r>
    </w:p>
    <w:p w14:paraId="5EAB7DBA" w14:textId="77777777" w:rsidR="00B23EA5" w:rsidRPr="00F565B9" w:rsidRDefault="00B23EA5" w:rsidP="00B23EA5">
      <w:bookmarkStart w:id="0" w:name="_Hlk217180445"/>
      <w:r w:rsidRPr="00F565B9">
        <w:t>(Photo credit goes to Lindsey Feldman, https://www.sapiens.org/culture/arizonas-inmate-firefighters/)</w:t>
      </w:r>
      <w:bookmarkEnd w:id="0"/>
    </w:p>
    <w:p w14:paraId="74031EE3" w14:textId="77777777" w:rsidR="00B23EA5" w:rsidRDefault="00B23EA5" w:rsidP="00B23EA5">
      <w:pPr>
        <w:pStyle w:val="Heading4"/>
      </w:pPr>
      <w:r>
        <w:t xml:space="preserve">This black and white picture shows a person in Arizona dressed in firefighting gear, looking out over a valley. No distinctions are made between free or slaved. The firefighter is reduced to a number only, tally marks on the wall of the justice system we call “fair and equal” while overwhelmingly black persons are locked up. </w:t>
      </w:r>
    </w:p>
    <w:p w14:paraId="36C4CDE5" w14:textId="77777777" w:rsidR="00B23EA5" w:rsidRPr="00D772B7" w:rsidRDefault="00B23EA5" w:rsidP="00B23EA5">
      <w:pPr>
        <w:rPr>
          <w:rStyle w:val="StyleUnderline"/>
        </w:rPr>
      </w:pPr>
    </w:p>
    <w:p w14:paraId="371BA588" w14:textId="30903E75" w:rsidR="00B23EA5" w:rsidRDefault="00D54290" w:rsidP="00B23EA5">
      <w:pPr>
        <w:pStyle w:val="Heading4"/>
      </w:pPr>
      <w:r>
        <w:t>Plan: The United States Federal Government should</w:t>
      </w:r>
      <w:r w:rsidR="00AD1F02">
        <w:t xml:space="preserve"> substantially strengthen</w:t>
      </w:r>
      <w:r>
        <w:t xml:space="preserve"> </w:t>
      </w:r>
      <w:r w:rsidR="00A0322D">
        <w:t xml:space="preserve">collective bargaining rights for incarcerated workers </w:t>
      </w:r>
      <w:r w:rsidR="003549E5">
        <w:t xml:space="preserve">through unions. </w:t>
      </w:r>
    </w:p>
    <w:p w14:paraId="3AAA15FE" w14:textId="77777777" w:rsidR="00B23EA5" w:rsidRPr="004D4BEE" w:rsidRDefault="00B23EA5" w:rsidP="00B23EA5"/>
    <w:p w14:paraId="2A1A84F8" w14:textId="77777777" w:rsidR="00B23EA5" w:rsidRDefault="00B23EA5" w:rsidP="00B23EA5">
      <w:pPr>
        <w:pStyle w:val="Heading4"/>
      </w:pPr>
      <w:r>
        <w:t>The aff has two prongs – the social and political. In the social realm, a counter-visual ethnography as methodology can break down the state’s power – the pictures create a story about the incarcerated person which, when told to the outside world, changes our perception of who they are. Like the firefighters with no distinction between inmate or free, our views of humanity are shattered. This is how we change our epistemology, or our in-round debate impacts.</w:t>
      </w:r>
    </w:p>
    <w:p w14:paraId="566BF3D0" w14:textId="77777777" w:rsidR="00B23EA5" w:rsidRDefault="00B23EA5" w:rsidP="00B23EA5">
      <w:r w:rsidRPr="00512011">
        <w:rPr>
          <w:rStyle w:val="Style13ptBold"/>
        </w:rPr>
        <w:t>Schept 14</w:t>
      </w:r>
      <w:r>
        <w:t>. Judah Schept, School of Justice Studies, Eastern Kentucky University. “</w:t>
      </w:r>
      <w:r w:rsidRPr="00512011">
        <w:t>(Un)seeing like a prison: Counter-visual ethnography of the carceral state</w:t>
      </w:r>
      <w:r>
        <w:t xml:space="preserve">” published in Theoretical Criminology, vol. 18 iss. 2. DOI: </w:t>
      </w:r>
      <w:r w:rsidRPr="00512011">
        <w:t>10.1177/1362480613517256</w:t>
      </w:r>
      <w:r>
        <w:t>//n*x</w:t>
      </w:r>
    </w:p>
    <w:p w14:paraId="0675449D" w14:textId="77777777" w:rsidR="00B23EA5" w:rsidRDefault="00B23EA5" w:rsidP="00B23EA5">
      <w:r w:rsidRPr="00C35D08">
        <w:rPr>
          <w:u w:val="single"/>
        </w:rPr>
        <w:t xml:space="preserve">A </w:t>
      </w:r>
      <w:bookmarkStart w:id="1" w:name="_Hlk216776557"/>
      <w:r w:rsidRPr="009F3077">
        <w:rPr>
          <w:highlight w:val="yellow"/>
          <w:u w:val="single"/>
        </w:rPr>
        <w:t>counter-visual ethnography looks for what is not ‘there’</w:t>
      </w:r>
      <w:r>
        <w:t xml:space="preserve"> </w:t>
      </w:r>
      <w:bookmarkEnd w:id="1"/>
      <w:r>
        <w:t xml:space="preserve">(Gordon, 2008): </w:t>
      </w:r>
      <w:r w:rsidRPr="00C35D08">
        <w:rPr>
          <w:u w:val="single"/>
        </w:rPr>
        <w:t xml:space="preserve">the </w:t>
      </w:r>
      <w:r w:rsidRPr="009F3077">
        <w:rPr>
          <w:highlight w:val="yellow"/>
          <w:u w:val="single"/>
        </w:rPr>
        <w:t>ghosts of racialized regimes past, the sediment of dirty industry that seeps into and imbues the present, and the trans-</w:t>
      </w:r>
      <w:r w:rsidRPr="009F3077">
        <w:rPr>
          <w:highlight w:val="yellow"/>
          <w:u w:val="single"/>
        </w:rPr>
        <w:lastRenderedPageBreak/>
        <w:t>historical and trans-local circulation of carceral logics and epistemologies that structure the contemporary empirical realities we observe, record, and analyze</w:t>
      </w:r>
      <w:r w:rsidRPr="00C35D08">
        <w:rPr>
          <w:u w:val="single"/>
        </w:rPr>
        <w:t>.</w:t>
      </w:r>
      <w:r>
        <w:t xml:space="preserve"> This is thus an argument for </w:t>
      </w:r>
      <w:r w:rsidRPr="00E662FF">
        <w:rPr>
          <w:highlight w:val="yellow"/>
          <w:u w:val="single"/>
        </w:rPr>
        <w:t>a committed epistemology</w:t>
      </w:r>
      <w:r w:rsidRPr="00C35D08">
        <w:rPr>
          <w:u w:val="single"/>
        </w:rPr>
        <w:t>, an ‘ethnographic sensibility’</w:t>
      </w:r>
      <w:r>
        <w:t xml:space="preserve"> (Ferrell et al., 2008: 179) </w:t>
      </w:r>
      <w:r w:rsidRPr="00C35D08">
        <w:rPr>
          <w:u w:val="single"/>
        </w:rPr>
        <w:t xml:space="preserve">that </w:t>
      </w:r>
      <w:r w:rsidRPr="00E662FF">
        <w:rPr>
          <w:highlight w:val="yellow"/>
          <w:u w:val="single"/>
        </w:rPr>
        <w:t>foregrounds and then destabilizes</w:t>
      </w:r>
      <w:r w:rsidRPr="00C35D08">
        <w:rPr>
          <w:u w:val="single"/>
        </w:rPr>
        <w:t xml:space="preserve"> the geographical and political-economic structuring of </w:t>
      </w:r>
      <w:r w:rsidRPr="00E662FF">
        <w:rPr>
          <w:highlight w:val="yellow"/>
          <w:u w:val="single"/>
        </w:rPr>
        <w:t>contemporary discourse and knowledge</w:t>
      </w:r>
      <w:r w:rsidRPr="00C35D08">
        <w:rPr>
          <w:u w:val="single"/>
        </w:rPr>
        <w:t>.</w:t>
      </w:r>
      <w:r>
        <w:t xml:space="preserve"> Such an approach aims to reveal that </w:t>
      </w:r>
      <w:r w:rsidRPr="009F3077">
        <w:rPr>
          <w:highlight w:val="yellow"/>
          <w:u w:val="single"/>
        </w:rPr>
        <w:t>our vocabularies of perception and our ‘visual language’</w:t>
      </w:r>
      <w:r>
        <w:t xml:space="preserve"> (Carrabine, 2011: 6) </w:t>
      </w:r>
      <w:r w:rsidRPr="009F3077">
        <w:rPr>
          <w:highlight w:val="yellow"/>
          <w:u w:val="single"/>
        </w:rPr>
        <w:t>of the carceral moment are limited to the familiar and predictable refrains enabled by</w:t>
      </w:r>
      <w:r w:rsidRPr="00C35D08">
        <w:rPr>
          <w:u w:val="single"/>
        </w:rPr>
        <w:t xml:space="preserve"> what Morrison</w:t>
      </w:r>
      <w:r>
        <w:t xml:space="preserve"> (2004: 343–344) </w:t>
      </w:r>
      <w:r w:rsidRPr="00C35D08">
        <w:rPr>
          <w:u w:val="single"/>
        </w:rPr>
        <w:t xml:space="preserve">has called </w:t>
      </w:r>
      <w:r w:rsidRPr="009F3077">
        <w:rPr>
          <w:highlight w:val="yellow"/>
          <w:u w:val="single"/>
        </w:rPr>
        <w:t>the ‘defining ability of state power [which] remains the key to criminological epistemology’. This method offers a variation on existing calls for new methodological approaches to the visual</w:t>
      </w:r>
      <w:r>
        <w:t xml:space="preserve"> including Ferrell and Van de Voorde’s (2010) argument for </w:t>
      </w:r>
      <w:r w:rsidRPr="009F3077">
        <w:rPr>
          <w:highlight w:val="yellow"/>
          <w:u w:val="single"/>
        </w:rPr>
        <w:t>a critical visual analysis that integrates cultural criminology and the documentary photograph tradition</w:t>
      </w:r>
      <w:r>
        <w:t xml:space="preserve"> (see also Courtney and Lyng, 2007; Greer et al., 2007). </w:t>
      </w:r>
      <w:r w:rsidRPr="009F3077">
        <w:rPr>
          <w:highlight w:val="yellow"/>
          <w:u w:val="single"/>
        </w:rPr>
        <w:t>Such an analysis</w:t>
      </w:r>
      <w:r w:rsidRPr="009F3077">
        <w:t xml:space="preserve">, they argue, </w:t>
      </w:r>
      <w:r w:rsidRPr="009F3077">
        <w:rPr>
          <w:b/>
          <w:bCs/>
          <w:highlight w:val="yellow"/>
          <w:u w:val="single"/>
        </w:rPr>
        <w:t>furthers the important project of ‘unlearning’ conventional research designs, hegemonic representations of both criminal and crime control agent, and the larger and imperative task of orthodox criminological convention</w:t>
      </w:r>
      <w:r w:rsidRPr="00C35D08">
        <w:rPr>
          <w:u w:val="single"/>
        </w:rPr>
        <w:t>.</w:t>
      </w:r>
      <w:r>
        <w:t xml:space="preserve"> And yet this article also departs from theirs in its insistence on historicizing the ‘decisive moments’ that Ferrell and Van de Voorde position as the target of a cultural criminology of the image. </w:t>
      </w:r>
      <w:r w:rsidRPr="00C35D08">
        <w:rPr>
          <w:u w:val="single"/>
        </w:rPr>
        <w:t>There is a distinction between critical study of the image and critical study of visuality</w:t>
      </w:r>
      <w:r>
        <w:t xml:space="preserve">. In the latter, the image is only a constitutive part of the larger scholarly and political project, both in the important role it can play in attaching epistemic legitimacy to representation but also in its strategic importance in looking back at the state. Indeed, as Wall and Linneman (no date) argue in an unpublished paper, </w:t>
      </w:r>
      <w:r w:rsidRPr="009F3077">
        <w:rPr>
          <w:b/>
          <w:bCs/>
          <w:highlight w:val="yellow"/>
          <w:u w:val="single"/>
        </w:rPr>
        <w:t>visuality is never complete</w:t>
      </w:r>
      <w:r>
        <w:t xml:space="preserve">. Read by the authors as the aesthetic authority of police power, </w:t>
      </w:r>
      <w:r w:rsidRPr="00FA6742">
        <w:rPr>
          <w:u w:val="single"/>
        </w:rPr>
        <w:t>visuality is not absolute and</w:t>
      </w:r>
      <w:r w:rsidRPr="009F3077">
        <w:rPr>
          <w:highlight w:val="yellow"/>
          <w:u w:val="single"/>
        </w:rPr>
        <w:t>/or uncontested, as slave revolts, colonial insurrections, revolutions, and everyday acts of resistance to the dominant order prove</w:t>
      </w:r>
      <w:r w:rsidRPr="00FA6742">
        <w:rPr>
          <w:u w:val="single"/>
        </w:rPr>
        <w:t>. Some form of countervisuality always exists in antagonistic relation to those peoples, institutions, and structures seeking to ‘authorize authority’ by aestheticizing a particular (im)moral geography</w:t>
      </w:r>
      <w:r>
        <w:t xml:space="preserve">. Along with them, </w:t>
      </w:r>
      <w:r w:rsidRPr="009F3077">
        <w:rPr>
          <w:b/>
          <w:bCs/>
          <w:highlight w:val="yellow"/>
          <w:u w:val="single"/>
        </w:rPr>
        <w:t>I argue for a committed methodological praxis that enacts a counter-carceral counter-stare</w:t>
      </w:r>
      <w:r w:rsidRPr="00FA6742">
        <w:rPr>
          <w:b/>
          <w:bCs/>
          <w:u w:val="single"/>
        </w:rPr>
        <w:t>.</w:t>
      </w:r>
      <w:r>
        <w:t xml:space="preserve"> Following Hayward’s (2010: 3) important call </w:t>
      </w:r>
      <w:r w:rsidRPr="00FA6742">
        <w:rPr>
          <w:u w:val="single"/>
        </w:rPr>
        <w:t xml:space="preserve">for </w:t>
      </w:r>
      <w:r w:rsidRPr="009F3077">
        <w:rPr>
          <w:highlight w:val="yellow"/>
          <w:u w:val="single"/>
        </w:rPr>
        <w:t xml:space="preserve">a ‘new methodological orientation toward the visual’, I suggest </w:t>
      </w:r>
      <w:r w:rsidRPr="009F3077">
        <w:rPr>
          <w:b/>
          <w:bCs/>
          <w:highlight w:val="yellow"/>
          <w:u w:val="single"/>
        </w:rPr>
        <w:t>foregrounding the study of visuality and offering counter-visual analyses as the primary expression of such an approach’s ‘politically charged analysis</w:t>
      </w:r>
      <w:r w:rsidRPr="009F3077">
        <w:rPr>
          <w:highlight w:val="yellow"/>
          <w:u w:val="single"/>
        </w:rPr>
        <w:t>’</w:t>
      </w:r>
      <w:r>
        <w:t xml:space="preserve"> (Hayward, 2010: 3).</w:t>
      </w:r>
    </w:p>
    <w:p w14:paraId="5BD5EA8A" w14:textId="77777777" w:rsidR="00B23EA5" w:rsidRDefault="00B23EA5" w:rsidP="00B23EA5"/>
    <w:p w14:paraId="3893901E" w14:textId="77777777" w:rsidR="00B23EA5" w:rsidRDefault="00B23EA5" w:rsidP="00B23EA5">
      <w:r>
        <w:rPr>
          <w:noProof/>
        </w:rPr>
        <w:lastRenderedPageBreak/>
        <w:drawing>
          <wp:inline distT="0" distB="0" distL="0" distR="0" wp14:anchorId="63296B7E" wp14:editId="470DB357">
            <wp:extent cx="4534933" cy="6351447"/>
            <wp:effectExtent l="0" t="0" r="0" b="0"/>
            <wp:docPr id="858781062" name="Picture 2" descr="A group of firefighters in yellow uni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1062" name="Picture 2" descr="A group of firefighters in yellow uniforms"/>
                    <pic:cNvPicPr/>
                  </pic:nvPicPr>
                  <pic:blipFill>
                    <a:blip r:embed="rId10">
                      <a:extLst>
                        <a:ext uri="{28A0092B-C50C-407E-A947-70E740481C1C}">
                          <a14:useLocalDpi xmlns:a14="http://schemas.microsoft.com/office/drawing/2010/main" val="0"/>
                        </a:ext>
                      </a:extLst>
                    </a:blip>
                    <a:stretch>
                      <a:fillRect/>
                    </a:stretch>
                  </pic:blipFill>
                  <pic:spPr>
                    <a:xfrm>
                      <a:off x="0" y="0"/>
                      <a:ext cx="4534933" cy="6351447"/>
                    </a:xfrm>
                    <a:prstGeom prst="rect">
                      <a:avLst/>
                    </a:prstGeom>
                  </pic:spPr>
                </pic:pic>
              </a:graphicData>
            </a:graphic>
          </wp:inline>
        </w:drawing>
      </w:r>
    </w:p>
    <w:p w14:paraId="100C9C87" w14:textId="77777777" w:rsidR="00B23EA5" w:rsidRDefault="00B23EA5" w:rsidP="00B23EA5">
      <w:r w:rsidRPr="00F565B9">
        <w:t>(Photo credit goes to Lindsey Feldman, https://www.sapiens.org/culture/arizonas-inmate-firefighters/)</w:t>
      </w:r>
    </w:p>
    <w:p w14:paraId="4EDDA169" w14:textId="77777777" w:rsidR="00B23EA5" w:rsidRDefault="00B23EA5" w:rsidP="00B23EA5">
      <w:pPr>
        <w:pStyle w:val="Heading4"/>
      </w:pPr>
      <w:r>
        <w:lastRenderedPageBreak/>
        <w:t>Workers gather together to fight wildfires in Arizona – their yellow clothes do not single out the prisoners. Over ten firefighters line up in this picture – all working together, erasing the boundaries between prisoner or freed.</w:t>
      </w:r>
    </w:p>
    <w:p w14:paraId="27862618" w14:textId="77777777" w:rsidR="00B23EA5" w:rsidRDefault="00B23EA5" w:rsidP="00B23EA5">
      <w:pPr>
        <w:pStyle w:val="Heading4"/>
      </w:pPr>
      <w:r>
        <w:t>In the legal realm, giving incarcerated persons the right to collective bargaining through prison strikes improves prison conditions. This is the out-of-round debate impacts.</w:t>
      </w:r>
    </w:p>
    <w:p w14:paraId="60701E3D" w14:textId="77777777" w:rsidR="00B23EA5" w:rsidRDefault="00B23EA5" w:rsidP="00B23EA5">
      <w:r w:rsidRPr="007F2C86">
        <w:rPr>
          <w:rStyle w:val="Style13ptBold"/>
        </w:rPr>
        <w:t>HLR 19</w:t>
      </w:r>
      <w:r>
        <w:t xml:space="preserve">. “Striking the Right Balance: Toward a Better Understanding of Prison Strikes,” Published in Harvard Law Review, March 2019. </w:t>
      </w:r>
      <w:r w:rsidRPr="007F2C86">
        <w:t>Volume 132, Issue 5, https://harvardlawreview.org/print/vol-132/striking-the-right-balance-toward-a-better-understanding-of-prison-strikes</w:t>
      </w:r>
      <w:r>
        <w:t>//n*x</w:t>
      </w:r>
    </w:p>
    <w:p w14:paraId="4844FADA" w14:textId="77777777" w:rsidR="00B23EA5" w:rsidRPr="00072BCF" w:rsidRDefault="00B23EA5" w:rsidP="00B23EA5">
      <w:pPr>
        <w:rPr>
          <w:sz w:val="16"/>
        </w:rPr>
      </w:pPr>
      <w:r w:rsidRPr="00DB60AD">
        <w:rPr>
          <w:sz w:val="16"/>
        </w:rPr>
        <w:t xml:space="preserve">As a threshold matter, </w:t>
      </w:r>
      <w:r w:rsidRPr="00F8766D">
        <w:rPr>
          <w:u w:val="single"/>
        </w:rPr>
        <w:t>state</w:t>
      </w:r>
      <w:r w:rsidRPr="00DB60AD">
        <w:rPr>
          <w:sz w:val="16"/>
        </w:rPr>
        <w:t xml:space="preserve"> and federal statutory </w:t>
      </w:r>
      <w:r w:rsidRPr="00F8766D">
        <w:rPr>
          <w:u w:val="single"/>
        </w:rPr>
        <w:t>law provides no recourse for protecting prison strikes</w:t>
      </w:r>
      <w:r w:rsidRPr="00DB60AD">
        <w:rPr>
          <w:sz w:val="16"/>
        </w:rPr>
        <w:t>. Incarcerated individuals are not included as protected “employees” in the text of federal labor laws like the Fair Labor Standards Act</w:t>
      </w:r>
      <w:r w:rsidRPr="00DB60AD">
        <w:rPr>
          <w:sz w:val="16"/>
          <w:vertAlign w:val="superscript"/>
        </w:rPr>
        <w:t>78</w:t>
      </w:r>
      <w:r w:rsidRPr="00DB60AD">
        <w:rPr>
          <w:sz w:val="16"/>
        </w:rPr>
        <w:t xml:space="preserve"> and the National Labor Relations Act,</w:t>
      </w:r>
      <w:r w:rsidRPr="00DB60AD">
        <w:rPr>
          <w:sz w:val="16"/>
          <w:vertAlign w:val="superscript"/>
        </w:rPr>
        <w:t>79</w:t>
      </w:r>
      <w:r w:rsidRPr="00DB60AD">
        <w:rPr>
          <w:sz w:val="16"/>
        </w:rPr>
        <w:t xml:space="preserve"> and </w:t>
      </w:r>
      <w:r w:rsidRPr="00F8766D">
        <w:rPr>
          <w:u w:val="single"/>
        </w:rPr>
        <w:t>courts have refused to extend the protections that these statutes offer to those confined within prison walls</w:t>
      </w:r>
      <w:r w:rsidRPr="00DB60AD">
        <w:rPr>
          <w:sz w:val="16"/>
        </w:rPr>
        <w:t>.</w:t>
      </w:r>
      <w:r w:rsidRPr="00DB60AD">
        <w:rPr>
          <w:sz w:val="16"/>
          <w:vertAlign w:val="superscript"/>
        </w:rPr>
        <w:t>80</w:t>
      </w:r>
      <w:r w:rsidRPr="00DB60AD">
        <w:rPr>
          <w:sz w:val="16"/>
        </w:rPr>
        <w:t xml:space="preserve"> Further, this Note is aware of no state labor laws, or for that matter any state constitutional provisions, that have been interpreted to allow prisoners to strike. Not only are prison strikes not protected by statutory law — they </w:t>
      </w:r>
      <w:r w:rsidRPr="00F8766D">
        <w:rPr>
          <w:u w:val="single"/>
        </w:rPr>
        <w:t>also are often explicitly prohibited</w:t>
      </w:r>
      <w:r w:rsidRPr="00DB60AD">
        <w:rPr>
          <w:sz w:val="16"/>
        </w:rPr>
        <w:t>. State statutes and prison regulations pose the most immediate barrier to prison strike activity, as states across the union appear to categorically bar prison strikes and other forms of inmate collective organizing. For instance, Alaska’s administrative code lists “participation in an organized work stoppage” and “encouraging others to engage in a food strike” as “[h]igh-moderate infractions.”</w:t>
      </w:r>
      <w:r w:rsidRPr="00DB60AD">
        <w:rPr>
          <w:sz w:val="16"/>
          <w:vertAlign w:val="superscript"/>
        </w:rPr>
        <w:t>81</w:t>
      </w:r>
      <w:r w:rsidRPr="00DB60AD">
        <w:rPr>
          <w:sz w:val="16"/>
        </w:rPr>
        <w:t xml:space="preserve"> The same is true at the federal level, as the Bureau of Prisons has made “[e]ngaging in or encouraging a group demonstration” and “[e]ncouraging others to refuse to work, or to participate in a work stoppage” prohibited acts.</w:t>
      </w:r>
      <w:r w:rsidRPr="00DB60AD">
        <w:rPr>
          <w:sz w:val="16"/>
          <w:vertAlign w:val="superscript"/>
        </w:rPr>
        <w:t>82</w:t>
      </w:r>
      <w:r w:rsidRPr="00DB60AD">
        <w:rPr>
          <w:sz w:val="16"/>
        </w:rPr>
        <w:t xml:space="preserve"> Further research is certainly necessary to develop a fuller, more nuanced treatment of the various state and federal statutory schemes that impact prison strikes.</w:t>
      </w:r>
      <w:r w:rsidRPr="00DB60AD">
        <w:rPr>
          <w:sz w:val="16"/>
          <w:vertAlign w:val="superscript"/>
        </w:rPr>
        <w:t>83</w:t>
      </w:r>
      <w:r w:rsidRPr="00DB60AD">
        <w:rPr>
          <w:sz w:val="16"/>
        </w:rPr>
        <w:t xml:space="preserve"> But even this brief overview drives home a clear bottom line: </w:t>
      </w:r>
      <w:r w:rsidRPr="00F8766D">
        <w:rPr>
          <w:u w:val="single"/>
        </w:rPr>
        <w:t xml:space="preserve">that </w:t>
      </w:r>
      <w:r w:rsidRPr="00DB60AD">
        <w:rPr>
          <w:highlight w:val="yellow"/>
          <w:u w:val="single"/>
        </w:rPr>
        <w:t>state and federal laws</w:t>
      </w:r>
      <w:r w:rsidRPr="00F8766D">
        <w:rPr>
          <w:u w:val="single"/>
        </w:rPr>
        <w:t xml:space="preserve">, in their current forms, likely </w:t>
      </w:r>
      <w:r w:rsidRPr="00DB60AD">
        <w:rPr>
          <w:highlight w:val="yellow"/>
          <w:u w:val="single"/>
        </w:rPr>
        <w:t>offer no viable protection for prison strikes and</w:t>
      </w:r>
      <w:r w:rsidRPr="00F8766D">
        <w:rPr>
          <w:u w:val="single"/>
        </w:rPr>
        <w:t xml:space="preserve"> indeed often </w:t>
      </w:r>
      <w:r w:rsidRPr="00DB60AD">
        <w:rPr>
          <w:highlight w:val="yellow"/>
          <w:u w:val="single"/>
        </w:rPr>
        <w:t>prohibit them</w:t>
      </w:r>
      <w:r w:rsidRPr="00F8766D">
        <w:rPr>
          <w:u w:val="single"/>
        </w:rPr>
        <w:t xml:space="preserve"> outright</w:t>
      </w:r>
      <w:r w:rsidRPr="00DB60AD">
        <w:rPr>
          <w:sz w:val="16"/>
        </w:rPr>
        <w:t xml:space="preserve">. B. Constitutional Law The Supreme Court has not spoken directly on the question of whether peaceful prison protests merit constitutional protection. However, two areas of constitutional analysis — prisoners’ rights broadly and prisoners’ First Amendment rights specifically — suggest that under current law, the answer to this question is likely also a resounding no. 1. Prisoners’ Constitutional Rights Generally. — Section 1 of </w:t>
      </w:r>
      <w:r w:rsidRPr="00DE226A">
        <w:rPr>
          <w:u w:val="single"/>
        </w:rPr>
        <w:t>the Thirteenth Amendment states</w:t>
      </w:r>
      <w:r w:rsidRPr="00DB60AD">
        <w:rPr>
          <w:sz w:val="16"/>
        </w:rPr>
        <w:t>: “Neither slavery nor involuntary servitude, except as a punishment for crime whereof the party shall have been duly convicted, shall exist within the United States, or any place subject to their jurisdiction.”</w:t>
      </w:r>
      <w:r w:rsidRPr="00DB60AD">
        <w:rPr>
          <w:sz w:val="16"/>
          <w:vertAlign w:val="superscript"/>
        </w:rPr>
        <w:t>84</w:t>
      </w:r>
      <w:r w:rsidRPr="00DB60AD">
        <w:rPr>
          <w:sz w:val="16"/>
        </w:rPr>
        <w:t xml:space="preserve"> By its express terms, the amendment creates </w:t>
      </w:r>
      <w:r w:rsidRPr="00DE226A">
        <w:rPr>
          <w:u w:val="single"/>
        </w:rPr>
        <w:t>an explicit exception for persons serving a sentence pursuant to conviction of a crime, and it therefore offers prisoners no basis to refuse to work or to engage in other forms of peaceful strikes</w:t>
      </w:r>
      <w:r w:rsidRPr="00DB60AD">
        <w:rPr>
          <w:sz w:val="16"/>
        </w:rPr>
        <w:t>.</w:t>
      </w:r>
      <w:r w:rsidRPr="00DB60AD">
        <w:rPr>
          <w:sz w:val="16"/>
          <w:vertAlign w:val="superscript"/>
        </w:rPr>
        <w:t>85</w:t>
      </w:r>
      <w:r w:rsidRPr="00DB60AD">
        <w:rPr>
          <w:sz w:val="16"/>
        </w:rPr>
        <w:t xml:space="preserve"> Despite the Thirteenth Amendment’s clear textual carve-out, </w:t>
      </w:r>
      <w:r w:rsidRPr="00DE226A">
        <w:rPr>
          <w:u w:val="single"/>
        </w:rPr>
        <w:t>courts have not</w:t>
      </w:r>
      <w:r w:rsidRPr="00DB60AD">
        <w:rPr>
          <w:sz w:val="16"/>
        </w:rPr>
        <w:t xml:space="preserve">, in modern times, </w:t>
      </w:r>
      <w:r w:rsidRPr="00DE226A">
        <w:rPr>
          <w:u w:val="single"/>
        </w:rPr>
        <w:t>read the wording of the amendment literally to allow the State to treat inmates like slaves</w:t>
      </w:r>
      <w:r w:rsidRPr="00DB60AD">
        <w:rPr>
          <w:sz w:val="16"/>
        </w:rPr>
        <w:t>.</w:t>
      </w:r>
      <w:r w:rsidRPr="00DB60AD">
        <w:rPr>
          <w:sz w:val="16"/>
          <w:vertAlign w:val="superscript"/>
        </w:rPr>
        <w:t>86</w:t>
      </w:r>
      <w:r w:rsidRPr="00DB60AD">
        <w:rPr>
          <w:sz w:val="16"/>
        </w:rPr>
        <w:t xml:space="preserve"> According to the Court, “[t]here is no iron curtain drawn between the Constitution and the prisons of this country.”</w:t>
      </w:r>
      <w:r w:rsidRPr="00DB60AD">
        <w:rPr>
          <w:sz w:val="16"/>
          <w:vertAlign w:val="superscript"/>
        </w:rPr>
        <w:t>87</w:t>
      </w:r>
      <w:r w:rsidRPr="00DB60AD">
        <w:rPr>
          <w:sz w:val="16"/>
        </w:rPr>
        <w:t xml:space="preserve"> Instead, as neither slaves nor free people,</w:t>
      </w:r>
      <w:r w:rsidRPr="00DB60AD">
        <w:rPr>
          <w:sz w:val="16"/>
          <w:vertAlign w:val="superscript"/>
        </w:rPr>
        <w:t>88</w:t>
      </w:r>
      <w:r w:rsidRPr="00DB60AD">
        <w:rPr>
          <w:sz w:val="16"/>
        </w:rPr>
        <w:t xml:space="preserve"> inmates retain some (but not all) of their constitutional rights when they cross into the prison.</w:t>
      </w:r>
      <w:r w:rsidRPr="00DB60AD">
        <w:rPr>
          <w:sz w:val="16"/>
          <w:vertAlign w:val="superscript"/>
        </w:rPr>
        <w:t>89</w:t>
      </w:r>
      <w:r w:rsidRPr="00DB60AD">
        <w:rPr>
          <w:sz w:val="16"/>
        </w:rPr>
        <w:t xml:space="preserve"> The Supreme Court has time and again asserted that “[l]awful incarceration brings about the necessary withdrawal or limitation of many privileges and rights.”</w:t>
      </w:r>
      <w:r w:rsidRPr="00DB60AD">
        <w:rPr>
          <w:sz w:val="16"/>
          <w:vertAlign w:val="superscript"/>
        </w:rPr>
        <w:t>90</w:t>
      </w:r>
      <w:r w:rsidRPr="00DB60AD">
        <w:rPr>
          <w:sz w:val="16"/>
        </w:rPr>
        <w:t xml:space="preserve"> This is the case not only because of the inherently “deprivat[ory]” nature of imprisonment,</w:t>
      </w:r>
      <w:r w:rsidRPr="00DB60AD">
        <w:rPr>
          <w:sz w:val="16"/>
          <w:vertAlign w:val="superscript"/>
        </w:rPr>
        <w:t>91</w:t>
      </w:r>
      <w:r w:rsidRPr="00DB60AD">
        <w:rPr>
          <w:sz w:val="16"/>
        </w:rPr>
        <w:t xml:space="preserve"> but also because prison administrators must be accorded wide latitude in the complex and difficult task of operating a penal institution.</w:t>
      </w:r>
      <w:r w:rsidRPr="00DB60AD">
        <w:rPr>
          <w:sz w:val="16"/>
          <w:vertAlign w:val="superscript"/>
        </w:rPr>
        <w:t>92</w:t>
      </w:r>
      <w:r w:rsidRPr="00DB60AD">
        <w:rPr>
          <w:sz w:val="16"/>
        </w:rPr>
        <w:t xml:space="preserve"> This deference, however, “yield[s] to the strictures of the Constitution.”</w:t>
      </w:r>
      <w:r w:rsidRPr="00DB60AD">
        <w:rPr>
          <w:sz w:val="16"/>
          <w:vertAlign w:val="superscript"/>
        </w:rPr>
        <w:t>93</w:t>
      </w:r>
      <w:r w:rsidRPr="00DB60AD">
        <w:rPr>
          <w:sz w:val="16"/>
        </w:rPr>
        <w:t xml:space="preserve"> Indeed, courts recognize that inmates, despite being incarcerated, retain particular constitutional rights “that the courts must be alert to protect.”</w:t>
      </w:r>
      <w:r w:rsidRPr="00DB60AD">
        <w:rPr>
          <w:sz w:val="16"/>
          <w:vertAlign w:val="superscript"/>
        </w:rPr>
        <w:t>94</w:t>
      </w:r>
      <w:r w:rsidRPr="00DB60AD">
        <w:rPr>
          <w:sz w:val="16"/>
        </w:rPr>
        <w:t xml:space="preserve"> Such rights that an inmate retains are those “that are not inconsistent with his status as a prisoner or with the legitimate penological objective of the corrections system.”</w:t>
      </w:r>
      <w:r w:rsidRPr="00DB60AD">
        <w:rPr>
          <w:sz w:val="16"/>
          <w:vertAlign w:val="superscript"/>
        </w:rPr>
        <w:t>95</w:t>
      </w:r>
      <w:r w:rsidRPr="00DB60AD">
        <w:rPr>
          <w:sz w:val="16"/>
        </w:rPr>
        <w:t xml:space="preserve"> However, as the Court explained in Turner v. Safley,</w:t>
      </w:r>
      <w:r w:rsidRPr="00DB60AD">
        <w:rPr>
          <w:sz w:val="16"/>
          <w:vertAlign w:val="superscript"/>
        </w:rPr>
        <w:t>96</w:t>
      </w:r>
      <w:r w:rsidRPr="00DB60AD">
        <w:rPr>
          <w:sz w:val="16"/>
        </w:rPr>
        <w:t xml:space="preserve"> </w:t>
      </w:r>
      <w:r w:rsidRPr="00DE226A">
        <w:rPr>
          <w:u w:val="single"/>
        </w:rPr>
        <w:t>a prison regulation may infringe on a prisoner’s retained constitutional rights as long as “it is reasonably related to legitimate penological interests.</w:t>
      </w:r>
      <w:r w:rsidRPr="00DB60AD">
        <w:rPr>
          <w:sz w:val="16"/>
        </w:rPr>
        <w:t>”</w:t>
      </w:r>
      <w:r w:rsidRPr="00DB60AD">
        <w:rPr>
          <w:sz w:val="16"/>
          <w:vertAlign w:val="superscript"/>
        </w:rPr>
        <w:t>97</w:t>
      </w:r>
      <w:r w:rsidRPr="00DB60AD">
        <w:rPr>
          <w:sz w:val="16"/>
        </w:rPr>
        <w:t xml:space="preserve"> Turner identified four relevant factors in determining the reasonableness of a prison regulation: (1) whether there is “a ‘valid, rational connection’ between the regulation and the legitimate governmental interest [advanced] to justify it”;</w:t>
      </w:r>
      <w:r w:rsidRPr="00DB60AD">
        <w:rPr>
          <w:sz w:val="16"/>
          <w:vertAlign w:val="superscript"/>
        </w:rPr>
        <w:t>98</w:t>
      </w:r>
      <w:r w:rsidRPr="00DB60AD">
        <w:rPr>
          <w:sz w:val="16"/>
        </w:rPr>
        <w:t xml:space="preserve"> (2) whether alternative means for exercising the asserted right remain available;</w:t>
      </w:r>
      <w:r w:rsidRPr="00DB60AD">
        <w:rPr>
          <w:sz w:val="16"/>
          <w:vertAlign w:val="superscript"/>
        </w:rPr>
        <w:t>99</w:t>
      </w:r>
      <w:r w:rsidRPr="00DB60AD">
        <w:rPr>
          <w:sz w:val="16"/>
        </w:rPr>
        <w:t xml:space="preserve"> (3) whether accommodation of the asserted right will adversely affect “guards[,] other inmates, and . . . the allocation of prison resources generally”;</w:t>
      </w:r>
      <w:r w:rsidRPr="00DB60AD">
        <w:rPr>
          <w:sz w:val="16"/>
          <w:vertAlign w:val="superscript"/>
        </w:rPr>
        <w:t>100</w:t>
      </w:r>
      <w:r w:rsidRPr="00DB60AD">
        <w:rPr>
          <w:sz w:val="16"/>
        </w:rPr>
        <w:t xml:space="preserve"> and (4) whether there is a “ready alternative[]”</w:t>
      </w:r>
      <w:r w:rsidRPr="00DB60AD">
        <w:rPr>
          <w:sz w:val="16"/>
          <w:vertAlign w:val="superscript"/>
        </w:rPr>
        <w:t>101</w:t>
      </w:r>
      <w:r w:rsidRPr="00DB60AD">
        <w:rPr>
          <w:sz w:val="16"/>
        </w:rPr>
        <w:t xml:space="preserve"> to the regulation “that fully accommodates the prisoner’s right at de minimis cost to valid penological interests.”</w:t>
      </w:r>
      <w:r w:rsidRPr="00DB60AD">
        <w:rPr>
          <w:sz w:val="16"/>
          <w:vertAlign w:val="superscript"/>
        </w:rPr>
        <w:t>102</w:t>
      </w:r>
      <w:r w:rsidRPr="00DB60AD">
        <w:rPr>
          <w:sz w:val="16"/>
        </w:rPr>
        <w:t xml:space="preserve"> So, </w:t>
      </w:r>
      <w:r w:rsidRPr="0038135B">
        <w:rPr>
          <w:u w:val="single"/>
        </w:rPr>
        <w:t>under the general legal framework for prisoners’ rights, finding constitutional protection for peaceful collective actions like the 2018 prison strike will likely face an uphill battle</w:t>
      </w:r>
      <w:r w:rsidRPr="00DB60AD">
        <w:rPr>
          <w:sz w:val="16"/>
        </w:rPr>
        <w:t>. Such a right to strike not only must fit within the confines of a “retained right,” which appears to be narrowly defined; it also must go up against Turner and its progeny, which mandate rational basis review for any prison regulation — providing prison officials with broad deference to curtail any rights that a prisoner might retain.</w:t>
      </w:r>
      <w:r w:rsidRPr="00DB60AD">
        <w:rPr>
          <w:sz w:val="16"/>
          <w:vertAlign w:val="superscript"/>
        </w:rPr>
        <w:t>103</w:t>
      </w:r>
      <w:r w:rsidRPr="00DB60AD">
        <w:rPr>
          <w:sz w:val="16"/>
        </w:rPr>
        <w:t xml:space="preserve"> Turning to prisoner First Amendment jurisprudence specifically, it becomes even clearer that a </w:t>
      </w:r>
      <w:r w:rsidRPr="00DB60AD">
        <w:rPr>
          <w:sz w:val="16"/>
        </w:rPr>
        <w:lastRenderedPageBreak/>
        <w:t xml:space="preserve">right to strike likely cannot navigate either difficulty successfully. 2. Prisoners’ First Amendment Rights. — </w:t>
      </w:r>
      <w:r w:rsidRPr="00DB60AD">
        <w:rPr>
          <w:highlight w:val="yellow"/>
          <w:u w:val="single"/>
        </w:rPr>
        <w:t>The First Amendment</w:t>
      </w:r>
      <w:r w:rsidRPr="0038135B">
        <w:rPr>
          <w:u w:val="single"/>
        </w:rPr>
        <w:t xml:space="preserve"> of the Constitution </w:t>
      </w:r>
      <w:r w:rsidRPr="00DB60AD">
        <w:rPr>
          <w:highlight w:val="yellow"/>
          <w:u w:val="single"/>
        </w:rPr>
        <w:t>includes within its guarantees political rights to communicate, associate, and present grievances to the government</w:t>
      </w:r>
      <w:r w:rsidRPr="0038135B">
        <w:rPr>
          <w:u w:val="single"/>
        </w:rPr>
        <w:t>.</w:t>
      </w:r>
      <w:r w:rsidRPr="00DB60AD">
        <w:rPr>
          <w:sz w:val="16"/>
          <w:vertAlign w:val="superscript"/>
        </w:rPr>
        <w:t>104</w:t>
      </w:r>
      <w:r w:rsidRPr="00DB60AD">
        <w:rPr>
          <w:sz w:val="16"/>
        </w:rPr>
        <w:t xml:space="preserve"> </w:t>
      </w:r>
      <w:r w:rsidRPr="0038135B">
        <w:rPr>
          <w:u w:val="single"/>
        </w:rPr>
        <w:t>These rights go to the very heart of our political system — one that, as a democracy, values the participation of its citizens</w:t>
      </w:r>
      <w:r w:rsidRPr="00DB60AD">
        <w:rPr>
          <w:sz w:val="16"/>
        </w:rPr>
        <w:t>.</w:t>
      </w:r>
      <w:r w:rsidRPr="00DB60AD">
        <w:rPr>
          <w:sz w:val="16"/>
          <w:vertAlign w:val="superscript"/>
        </w:rPr>
        <w:t>105</w:t>
      </w:r>
      <w:r w:rsidRPr="00DB60AD">
        <w:rPr>
          <w:sz w:val="16"/>
        </w:rPr>
        <w:t xml:space="preserve"> Outside of prison walls, the Supreme Court has recognized that individuals may, in many situations, exercise their First Amendment associational rights by peacefully engaging in a work strike.</w:t>
      </w:r>
      <w:r w:rsidRPr="00DB60AD">
        <w:rPr>
          <w:sz w:val="16"/>
          <w:vertAlign w:val="superscript"/>
        </w:rPr>
        <w:t>106</w:t>
      </w:r>
      <w:r w:rsidRPr="00DB60AD">
        <w:rPr>
          <w:sz w:val="16"/>
        </w:rPr>
        <w:t xml:space="preserve"> Inside prison walls, however, the right to strike is a legal gray area. The Court has analyzed a number of First Amendment rights, including those implicating concerted political activity and association, in the prison context — asking whether (1) the First Amendment right in question is inconsistent with an inmate’s status as a prisoner and (2) prison officials’ interference with such a right reasonably relates to a legitimate penological interest.</w:t>
      </w:r>
      <w:r w:rsidRPr="00DB60AD">
        <w:rPr>
          <w:sz w:val="16"/>
          <w:vertAlign w:val="superscript"/>
        </w:rPr>
        <w:t>107</w:t>
      </w:r>
      <w:r w:rsidRPr="00DB60AD">
        <w:rPr>
          <w:sz w:val="16"/>
        </w:rPr>
        <w:t xml:space="preserve"> However, the Court has yet to perform such an analysis for prison strikes specifically. </w:t>
      </w:r>
      <w:r w:rsidRPr="00B0075F">
        <w:rPr>
          <w:u w:val="single"/>
        </w:rPr>
        <w:t xml:space="preserve">But </w:t>
      </w:r>
      <w:r w:rsidRPr="00DB60AD">
        <w:rPr>
          <w:highlight w:val="yellow"/>
          <w:u w:val="single"/>
        </w:rPr>
        <w:t>one</w:t>
      </w:r>
      <w:r w:rsidRPr="00B0075F">
        <w:rPr>
          <w:u w:val="single"/>
        </w:rPr>
        <w:t xml:space="preserve"> seminal </w:t>
      </w:r>
      <w:r w:rsidRPr="00DB60AD">
        <w:rPr>
          <w:highlight w:val="yellow"/>
          <w:u w:val="single"/>
        </w:rPr>
        <w:t>Supreme Court case</w:t>
      </w:r>
      <w:r w:rsidRPr="00B0075F">
        <w:rPr>
          <w:u w:val="single"/>
        </w:rPr>
        <w:t xml:space="preserve"> — </w:t>
      </w:r>
      <w:r w:rsidRPr="00DB60AD">
        <w:rPr>
          <w:highlight w:val="yellow"/>
          <w:u w:val="single"/>
        </w:rPr>
        <w:t>Jones v. North Carolina Prisoners’ Labor Union</w:t>
      </w:r>
      <w:r w:rsidRPr="00B0075F">
        <w:rPr>
          <w:u w:val="single"/>
        </w:rPr>
        <w:t>, Inc.</w:t>
      </w:r>
      <w:r w:rsidRPr="00DB60AD">
        <w:rPr>
          <w:sz w:val="16"/>
          <w:vertAlign w:val="superscript"/>
        </w:rPr>
        <w:t>108</w:t>
      </w:r>
      <w:r w:rsidRPr="00B0075F">
        <w:rPr>
          <w:u w:val="single"/>
        </w:rPr>
        <w:t xml:space="preserve"> — casts serious doubt on prisoners’ collective right to strike. In Jones, a prisoners’ labor union</w:t>
      </w:r>
      <w:r w:rsidRPr="00DB60AD">
        <w:rPr>
          <w:sz w:val="16"/>
          <w:vertAlign w:val="superscript"/>
        </w:rPr>
        <w:t>109</w:t>
      </w:r>
      <w:r w:rsidRPr="00DB60AD">
        <w:rPr>
          <w:sz w:val="16"/>
        </w:rPr>
        <w:t xml:space="preserve"> brought an action under 42 U.S.C. § 1983, </w:t>
      </w:r>
      <w:r w:rsidRPr="00B0075F">
        <w:rPr>
          <w:u w:val="single"/>
        </w:rPr>
        <w:t>claiming that the North Carolina Department of Corrections violated its First Amendment rights</w:t>
      </w:r>
      <w:r w:rsidRPr="00DB60AD">
        <w:rPr>
          <w:sz w:val="16"/>
          <w:vertAlign w:val="superscript"/>
        </w:rPr>
        <w:t>110</w:t>
      </w:r>
      <w:r w:rsidRPr="00DB60AD">
        <w:rPr>
          <w:sz w:val="16"/>
        </w:rPr>
        <w:t xml:space="preserve"> </w:t>
      </w:r>
      <w:r w:rsidRPr="00B0075F">
        <w:rPr>
          <w:u w:val="single"/>
        </w:rPr>
        <w:t>by promulgating a prison rule that prohibited</w:t>
      </w:r>
      <w:r w:rsidRPr="00DB60AD">
        <w:rPr>
          <w:sz w:val="16"/>
        </w:rPr>
        <w:t xml:space="preserve">, among other things, </w:t>
      </w:r>
      <w:r w:rsidRPr="00B0075F">
        <w:rPr>
          <w:u w:val="single"/>
        </w:rPr>
        <w:t>union meetings among inmates</w:t>
      </w:r>
      <w:r w:rsidRPr="00DB60AD">
        <w:rPr>
          <w:sz w:val="16"/>
        </w:rPr>
        <w:t>.</w:t>
      </w:r>
      <w:r w:rsidRPr="00DB60AD">
        <w:rPr>
          <w:sz w:val="16"/>
          <w:vertAlign w:val="superscript"/>
        </w:rPr>
        <w:t>111</w:t>
      </w:r>
      <w:r w:rsidRPr="00DB60AD">
        <w:rPr>
          <w:sz w:val="16"/>
        </w:rPr>
        <w:t xml:space="preserve"> The three-judge district court agreed, granting substantial injunctive relief to the union.</w:t>
      </w:r>
      <w:r w:rsidRPr="00DB60AD">
        <w:rPr>
          <w:sz w:val="16"/>
          <w:vertAlign w:val="superscript"/>
        </w:rPr>
        <w:t>112</w:t>
      </w:r>
      <w:r w:rsidRPr="00DB60AD">
        <w:rPr>
          <w:sz w:val="16"/>
        </w:rPr>
        <w:t xml:space="preserve"> The </w:t>
      </w:r>
      <w:r w:rsidRPr="00B0075F">
        <w:rPr>
          <w:u w:val="single"/>
        </w:rPr>
        <w:t>Supreme Court reversed</w:t>
      </w:r>
      <w:r w:rsidRPr="00DB60AD">
        <w:rPr>
          <w:sz w:val="16"/>
        </w:rPr>
        <w:t>, however, doing so on two main grounds. Writing for the majority, then-Justice Rehnquist first invoked the familiar notion that “[t]he fact of confinement and the needs of the penal institution impose limitations on constitutional rights,” especially First Amendment associational rights.</w:t>
      </w:r>
      <w:r w:rsidRPr="00DB60AD">
        <w:rPr>
          <w:sz w:val="16"/>
          <w:vertAlign w:val="superscript"/>
        </w:rPr>
        <w:t>2</w:t>
      </w:r>
      <w:r w:rsidRPr="00DB60AD">
        <w:rPr>
          <w:sz w:val="16"/>
        </w:rPr>
        <w:t xml:space="preserve"> Then, without engaging with the specific nature of the potentially retained associational interest in question (that is, that of organizing as a union), Justice Rehnquist concluded that the challenged regulation did not unduly abridge inmates’ First Amendment rights.</w:t>
      </w:r>
      <w:r w:rsidRPr="00DB60AD">
        <w:rPr>
          <w:sz w:val="16"/>
          <w:vertAlign w:val="superscript"/>
        </w:rPr>
        <w:t>114</w:t>
      </w:r>
      <w:r w:rsidRPr="00DB60AD">
        <w:rPr>
          <w:sz w:val="16"/>
        </w:rPr>
        <w:t xml:space="preserve"> He did so by adopting a rational basis test — emphasizing the critical importance of “wide-ranging [judicial] deference” to prison officials and their informed discretion in carrying out penological goals.</w:t>
      </w:r>
      <w:r w:rsidRPr="00DB60AD">
        <w:rPr>
          <w:sz w:val="16"/>
          <w:vertAlign w:val="superscript"/>
        </w:rPr>
        <w:t>115</w:t>
      </w:r>
      <w:r w:rsidRPr="00DB60AD">
        <w:rPr>
          <w:sz w:val="16"/>
        </w:rPr>
        <w:t xml:space="preserve"> In particular, Justice Rehnquist argued that “[r]esponsible prison officials must be permitted to take reasonable steps to forestall” the “ever present potential for violent confrontation” within prisons.</w:t>
      </w:r>
      <w:r w:rsidRPr="00DB60AD">
        <w:rPr>
          <w:sz w:val="16"/>
          <w:vertAlign w:val="superscript"/>
        </w:rPr>
        <w:t>116</w:t>
      </w:r>
      <w:r w:rsidRPr="00DB60AD">
        <w:rPr>
          <w:sz w:val="16"/>
        </w:rPr>
        <w:t xml:space="preserve"> And as he highlighted, North Carolina prison administrators had testified that the presence of, and potentially even the very objectives of, a prisoners’ union did potentially pose a danger</w:t>
      </w:r>
      <w:r w:rsidRPr="00DB60AD">
        <w:rPr>
          <w:sz w:val="16"/>
          <w:vertAlign w:val="superscript"/>
        </w:rPr>
        <w:t>117</w:t>
      </w:r>
      <w:r w:rsidRPr="00DB60AD">
        <w:rPr>
          <w:sz w:val="16"/>
        </w:rPr>
        <w:t xml:space="preserve"> — likely resulting in increased friction between inmates themselves or between inmates and prison personnel, as well as in “easily foreseeable” outcomes like “[w]ork stoppages.”</w:t>
      </w:r>
      <w:r w:rsidRPr="00DB60AD">
        <w:rPr>
          <w:sz w:val="16"/>
          <w:vertAlign w:val="superscript"/>
        </w:rPr>
        <w:t>118</w:t>
      </w:r>
      <w:r w:rsidRPr="00DB60AD">
        <w:rPr>
          <w:sz w:val="16"/>
        </w:rPr>
        <w:t xml:space="preserve"> </w:t>
      </w:r>
      <w:r w:rsidRPr="00DB60AD">
        <w:rPr>
          <w:highlight w:val="yellow"/>
          <w:u w:val="single"/>
        </w:rPr>
        <w:t>In light of Jones, it is unlikely that the Supreme Court would</w:t>
      </w:r>
      <w:r w:rsidRPr="00246ABA">
        <w:rPr>
          <w:u w:val="single"/>
        </w:rPr>
        <w:t xml:space="preserve">, if the question came before it, </w:t>
      </w:r>
      <w:r w:rsidRPr="00DB60AD">
        <w:rPr>
          <w:highlight w:val="yellow"/>
          <w:u w:val="single"/>
        </w:rPr>
        <w:t>recognize inmates’ First Amendment right to strike</w:t>
      </w:r>
      <w:r w:rsidRPr="00246ABA">
        <w:rPr>
          <w:u w:val="single"/>
        </w:rPr>
        <w:t xml:space="preserve">. Although the case concerned the specific issue of prison unions, the Jones Court’s holding was, in its methodology and reasoning, far reaching </w:t>
      </w:r>
      <w:r w:rsidRPr="00DB60AD">
        <w:rPr>
          <w:sz w:val="16"/>
        </w:rPr>
        <w:t xml:space="preserve">— (1) </w:t>
      </w:r>
      <w:r w:rsidRPr="00246ABA">
        <w:rPr>
          <w:u w:val="single"/>
        </w:rPr>
        <w:t>providing prison administrators with wide latitude to curtail any inmate collective activity that, in their “reasonable” judgment, threatened institutional order and security</w:t>
      </w:r>
      <w:r w:rsidRPr="00DB60AD">
        <w:rPr>
          <w:sz w:val="16"/>
          <w:vertAlign w:val="superscript"/>
        </w:rPr>
        <w:t>119</w:t>
      </w:r>
      <w:r w:rsidRPr="00DB60AD">
        <w:rPr>
          <w:sz w:val="16"/>
        </w:rPr>
        <w:t xml:space="preserve"> and, as a result, (2) </w:t>
      </w:r>
      <w:r w:rsidRPr="00246ABA">
        <w:rPr>
          <w:u w:val="single"/>
        </w:rPr>
        <w:t>appearing to severely curtail inmates’ First Amendment rights</w:t>
      </w:r>
      <w:r w:rsidRPr="00DB60AD">
        <w:rPr>
          <w:sz w:val="16"/>
        </w:rPr>
        <w:t>.</w:t>
      </w:r>
      <w:r w:rsidRPr="00DB60AD">
        <w:rPr>
          <w:sz w:val="16"/>
          <w:vertAlign w:val="superscript"/>
        </w:rPr>
        <w:t>120</w:t>
      </w:r>
      <w:r w:rsidRPr="00DB60AD">
        <w:rPr>
          <w:sz w:val="16"/>
        </w:rPr>
        <w:t xml:space="preserve"> 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w:t>
      </w:r>
      <w:r w:rsidRPr="00DB60AD">
        <w:rPr>
          <w:sz w:val="16"/>
          <w:vertAlign w:val="superscript"/>
        </w:rPr>
        <w:t>121</w:t>
      </w:r>
      <w:r w:rsidRPr="00DB60AD">
        <w:rPr>
          <w:sz w:val="16"/>
        </w:rPr>
        <w:t xml:space="preserve"> and which </w:t>
      </w:r>
      <w:r w:rsidRPr="00246ABA">
        <w:rPr>
          <w:u w:val="single"/>
        </w:rPr>
        <w:t>Jones specifically acknowledged as a possible unwelcome outcome of allowing prisoners to unionize</w:t>
      </w:r>
      <w:r w:rsidRPr="00DB60AD">
        <w:rPr>
          <w:sz w:val="16"/>
        </w:rPr>
        <w:t>. That Jones likely prevents any constitutional protection for prison strikes — and therefore liberally protects prison regulations banning strike activities — is reinforced by how the Supreme Court has applied the case over the past forty years. In Turner, for example, the Court rejected efforts to cabin Jones to barring only “‘presumptively dangerous’ inmate activities.”</w:t>
      </w:r>
      <w:r w:rsidRPr="00DB60AD">
        <w:rPr>
          <w:sz w:val="16"/>
          <w:vertAlign w:val="superscript"/>
        </w:rPr>
        <w:t>122</w:t>
      </w:r>
      <w:r w:rsidRPr="00DB60AD">
        <w:rPr>
          <w:sz w:val="16"/>
        </w:rPr>
        <w:t xml:space="preserve"> The Court specifically discussed Jones as part of a line of “prisoners’ rights” cases permitting “reasonable” prison regulations to impinge on inmates’ constitutional rights</w:t>
      </w:r>
      <w:r w:rsidRPr="00DB60AD">
        <w:rPr>
          <w:sz w:val="16"/>
          <w:vertAlign w:val="superscript"/>
        </w:rPr>
        <w:t>123</w:t>
      </w:r>
      <w:r w:rsidRPr="00DB60AD">
        <w:rPr>
          <w:sz w:val="16"/>
        </w:rPr>
        <w:t xml:space="preserve"> and ultimately relied in part on Jones to fashion its general four-part framework for assessing “reasonableness” across prison regulations.</w:t>
      </w:r>
      <w:r w:rsidRPr="00DB60AD">
        <w:rPr>
          <w:sz w:val="16"/>
          <w:vertAlign w:val="superscript"/>
        </w:rPr>
        <w:t>124</w:t>
      </w:r>
      <w:r w:rsidRPr="00DB60AD">
        <w:rPr>
          <w:sz w:val="16"/>
        </w:rPr>
        <w:t xml:space="preserve"> And in Overton v. Bazzetta,</w:t>
      </w:r>
      <w:r w:rsidRPr="00DB60AD">
        <w:rPr>
          <w:sz w:val="16"/>
          <w:vertAlign w:val="superscript"/>
        </w:rPr>
        <w:t>125</w:t>
      </w:r>
      <w:r w:rsidRPr="00DB60AD">
        <w:rPr>
          <w:sz w:val="16"/>
        </w:rPr>
        <w:t xml:space="preserve"> the Supreme Court again invoked Jones to emphasize that “freedom of association is among the rights least compatible with incarceration”</w:t>
      </w:r>
      <w:r w:rsidRPr="00DB60AD">
        <w:rPr>
          <w:sz w:val="16"/>
          <w:vertAlign w:val="superscript"/>
        </w:rPr>
        <w:t>126</w:t>
      </w:r>
      <w:r w:rsidRPr="00DB60AD">
        <w:rPr>
          <w:sz w:val="16"/>
        </w:rPr>
        <w:t xml:space="preserve"> — though it declined to draw any precise boundaries that would be helpful for determining what, if any, associational rights inmates retain within prison walls, and whether those include strikes.</w:t>
      </w:r>
      <w:r w:rsidRPr="00DB60AD">
        <w:rPr>
          <w:sz w:val="16"/>
          <w:vertAlign w:val="superscript"/>
        </w:rPr>
        <w:t>127</w:t>
      </w:r>
      <w:r w:rsidRPr="00DB60AD">
        <w:rPr>
          <w:sz w:val="16"/>
        </w:rPr>
        <w:t xml:space="preserve"> Lower courts have not been as wary to draw such boundaries. </w:t>
      </w:r>
      <w:r w:rsidRPr="00246ABA">
        <w:rPr>
          <w:u w:val="single"/>
        </w:rPr>
        <w:t>Under Jones, lower federal courts have uniformly held that prisoners have no constitutionally protected right under the First Amendment to strike. One district court interpreted Jones to hold that prison officials may act to prevent such strikes whenever they have a “good faith” belief that such strikes “threaten the security of the institutions they manage</w:t>
      </w:r>
      <w:r w:rsidRPr="00DB60AD">
        <w:rPr>
          <w:sz w:val="16"/>
        </w:rPr>
        <w:t>.”</w:t>
      </w:r>
      <w:r w:rsidRPr="00DB60AD">
        <w:rPr>
          <w:sz w:val="16"/>
          <w:vertAlign w:val="superscript"/>
        </w:rPr>
        <w:t>128</w:t>
      </w:r>
      <w:r w:rsidRPr="00DB60AD">
        <w:rPr>
          <w:sz w:val="16"/>
        </w:rPr>
        <w:t xml:space="preserve"> Lower courts have rejected a right to strike by simply citing to or briefly discussing Jones and contending that it naturally compels such a result,</w:t>
      </w:r>
      <w:r w:rsidRPr="00DB60AD">
        <w:rPr>
          <w:sz w:val="16"/>
          <w:vertAlign w:val="superscript"/>
        </w:rPr>
        <w:t>129</w:t>
      </w:r>
      <w:r w:rsidRPr="00DB60AD">
        <w:rPr>
          <w:sz w:val="16"/>
        </w:rPr>
        <w:t xml:space="preserve"> or by drawing an explicit connection between the prohibited prison unions at issue in Jones and prison strikes, dubbing strikes to be “a species of ‘organized union activity.’”</w:t>
      </w:r>
      <w:r w:rsidRPr="00DB60AD">
        <w:rPr>
          <w:sz w:val="16"/>
          <w:vertAlign w:val="superscript"/>
        </w:rPr>
        <w:t>130</w:t>
      </w:r>
      <w:r w:rsidRPr="00DB60AD">
        <w:rPr>
          <w:sz w:val="16"/>
        </w:rPr>
        <w:t xml:space="preserve"> They have also done so by delving into the specifics of why strikes purportedly pose safety and security risks within prisons and why prison regulations barring strikes are therefore rationally related to legitimate penological goals.</w:t>
      </w:r>
      <w:r w:rsidRPr="00DB60AD">
        <w:rPr>
          <w:sz w:val="16"/>
          <w:vertAlign w:val="superscript"/>
        </w:rPr>
        <w:t>131</w:t>
      </w:r>
      <w:r w:rsidRPr="00DB60AD">
        <w:rPr>
          <w:sz w:val="16"/>
        </w:rPr>
        <w:t xml:space="preserve"> Lower courts also have justified upholding prison regulations barring strikes by explicitly or implicitly turning to the general Turner framework that Jones helped create — including by arguing that there are ready alternatives to prison strikes,</w:t>
      </w:r>
      <w:r w:rsidRPr="00DB60AD">
        <w:rPr>
          <w:sz w:val="16"/>
          <w:vertAlign w:val="superscript"/>
        </w:rPr>
        <w:t>132</w:t>
      </w:r>
      <w:r w:rsidRPr="00DB60AD">
        <w:rPr>
          <w:sz w:val="16"/>
        </w:rPr>
        <w:t xml:space="preserve"> or that such regulations are generally permissible exercises of penal authority.</w:t>
      </w:r>
      <w:r w:rsidRPr="00DB60AD">
        <w:rPr>
          <w:sz w:val="16"/>
          <w:vertAlign w:val="superscript"/>
        </w:rPr>
        <w:t>133</w:t>
      </w:r>
      <w:r w:rsidRPr="00DB60AD">
        <w:rPr>
          <w:sz w:val="16"/>
        </w:rPr>
        <w:t xml:space="preserve"> And finally, it is worth noting that lower federal courts have, in deferring to prison officials’ judgments regarding security, also permitted all manner of regulations designed to punish strikers</w:t>
      </w:r>
      <w:r w:rsidRPr="00DB60AD">
        <w:rPr>
          <w:sz w:val="16"/>
          <w:vertAlign w:val="superscript"/>
        </w:rPr>
        <w:t>134</w:t>
      </w:r>
      <w:r w:rsidRPr="00DB60AD">
        <w:rPr>
          <w:sz w:val="16"/>
        </w:rPr>
        <w:t xml:space="preserve"> and aid officials in preventing strikes from occurring.</w:t>
      </w:r>
      <w:r w:rsidRPr="00DB60AD">
        <w:rPr>
          <w:sz w:val="16"/>
          <w:vertAlign w:val="superscript"/>
        </w:rPr>
        <w:t>135</w:t>
      </w:r>
      <w:r w:rsidRPr="00DB60AD">
        <w:rPr>
          <w:sz w:val="16"/>
        </w:rPr>
        <w:t xml:space="preserve"> In short, </w:t>
      </w:r>
      <w:r w:rsidRPr="00DB60AD">
        <w:rPr>
          <w:highlight w:val="yellow"/>
          <w:u w:val="single"/>
        </w:rPr>
        <w:t>there exists little</w:t>
      </w:r>
      <w:r w:rsidRPr="001224B9">
        <w:rPr>
          <w:u w:val="single"/>
        </w:rPr>
        <w:t xml:space="preserve">, if any, </w:t>
      </w:r>
      <w:r w:rsidRPr="00DB60AD">
        <w:rPr>
          <w:highlight w:val="yellow"/>
          <w:u w:val="single"/>
        </w:rPr>
        <w:t xml:space="preserve">room under current constitutional case law for protecting </w:t>
      </w:r>
      <w:r w:rsidRPr="00DB60AD">
        <w:rPr>
          <w:highlight w:val="yellow"/>
          <w:u w:val="single"/>
        </w:rPr>
        <w:lastRenderedPageBreak/>
        <w:t>prison strikes</w:t>
      </w:r>
      <w:r w:rsidRPr="00DB60AD">
        <w:rPr>
          <w:sz w:val="16"/>
        </w:rPr>
        <w:t>. III. CONSIDERING A RIGHT TO PRISON STRIKES Many have critiqued the legal framework governing prisoners’ rights. For example, a number of scholars compellingly argue that employment and labor laws should cover inmates working in prisons — placing them within “the scope of protections and support gathered around the honored figure of the worker.”</w:t>
      </w:r>
      <w:r w:rsidRPr="00DB60AD">
        <w:rPr>
          <w:sz w:val="16"/>
          <w:vertAlign w:val="superscript"/>
        </w:rPr>
        <w:t>136</w:t>
      </w:r>
      <w:r w:rsidRPr="00DB60AD">
        <w:rPr>
          <w:sz w:val="16"/>
        </w:rPr>
        <w:t xml:space="preserve"> Scholars have also critiqued courts’ stringent interpretation of the Thirteenth Amendment as allowing for forced labor within prisons.</w:t>
      </w:r>
      <w:r w:rsidRPr="00DB60AD">
        <w:rPr>
          <w:sz w:val="16"/>
          <w:vertAlign w:val="superscript"/>
        </w:rPr>
        <w:t>137</w:t>
      </w:r>
      <w:r w:rsidRPr="00DB60AD">
        <w:rPr>
          <w:sz w:val="16"/>
        </w:rPr>
        <w:t xml:space="preserve">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w:t>
      </w:r>
      <w:r w:rsidRPr="00DB60AD">
        <w:rPr>
          <w:sz w:val="16"/>
          <w:vertAlign w:val="superscript"/>
        </w:rPr>
        <w:t>138</w:t>
      </w:r>
      <w:r w:rsidRPr="00DB60AD">
        <w:rPr>
          <w:sz w:val="16"/>
        </w:rPr>
        <w:t xml:space="preserve"> Despite these critical appraisals of prisoners’ rights more broadly, no similar concerns have been raised regarding the constitutionality of barring prison strikes. Indeed, </w:t>
      </w:r>
      <w:r w:rsidRPr="001224B9">
        <w:rPr>
          <w:u w:val="single"/>
        </w:rPr>
        <w:t>commentators (and even many prisoners’ rights activists), while arguing that courts should afford less deference to prison administrators and protect inmates’ right to form and join unions, have stopped well short of arguing for protecting prison strikes</w:t>
      </w:r>
      <w:r w:rsidRPr="00DB60AD">
        <w:rPr>
          <w:sz w:val="16"/>
        </w:rPr>
        <w:t>.</w:t>
      </w:r>
      <w:r w:rsidRPr="00DB60AD">
        <w:rPr>
          <w:sz w:val="16"/>
          <w:vertAlign w:val="superscript"/>
        </w:rPr>
        <w:t>139</w:t>
      </w:r>
      <w:r w:rsidRPr="00DB60AD">
        <w:rPr>
          <w:sz w:val="16"/>
        </w:rPr>
        <w:t xml:space="preserve">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 Perhaps this is because the security- and safety-based arguments in favor of barring prison strikes are relatively straightforward and admittedly have some intuitive appeal. Prisons, in order to “function optimally,” require “heavy rule orientation” — as chaotic institutions, they depend on rules governing “every aspect of prison life,” and on the ability of prison officials to enforce these rules.</w:t>
      </w:r>
      <w:r w:rsidRPr="00DB60AD">
        <w:rPr>
          <w:sz w:val="16"/>
          <w:vertAlign w:val="superscript"/>
        </w:rPr>
        <w:t>140</w:t>
      </w:r>
      <w:r w:rsidRPr="00DB60AD">
        <w:rPr>
          <w:sz w:val="16"/>
        </w:rPr>
        <w:t xml:space="preserve"> A prison strike — whether it involves inmates not showing up to work or refusing to eat — flouts these rules</w:t>
      </w:r>
      <w:r w:rsidRPr="00DB60AD">
        <w:rPr>
          <w:sz w:val="16"/>
          <w:vertAlign w:val="superscript"/>
        </w:rPr>
        <w:t>141</w:t>
      </w:r>
      <w:r w:rsidRPr="00DB60AD">
        <w:rPr>
          <w:sz w:val="16"/>
        </w:rPr>
        <w:t xml:space="preserve"> and therefore inherently calls into question officials’ authority and ability to run prisons. More specifically, </w:t>
      </w:r>
      <w:r w:rsidRPr="001224B9">
        <w:rPr>
          <w:u w:val="single"/>
        </w:rPr>
        <w:t xml:space="preserve">strikes pose a nontrivial threat of causing violence within prisons. </w:t>
      </w:r>
      <w:r w:rsidRPr="00DB60AD">
        <w:rPr>
          <w:sz w:val="16"/>
        </w:rPr>
        <w:t>This is the case for many of the same reasons identified by the Jones Court in its evaluation of prisoners’ unions.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w:t>
      </w:r>
      <w:r w:rsidRPr="00DB60AD">
        <w:rPr>
          <w:sz w:val="16"/>
          <w:vertAlign w:val="superscript"/>
        </w:rPr>
        <w:t>142</w:t>
      </w:r>
      <w:r w:rsidRPr="00DB60AD">
        <w:rPr>
          <w:sz w:val="16"/>
        </w:rPr>
        <w:t xml:space="preserve"> But in order to ensure that the Constitution truly does not stop at the prison walls, courts cannot simply accept prison administrators’ fears regarding strikes at face value and instead should rigorously test their credibility and basis in fact.</w:t>
      </w:r>
      <w:r w:rsidRPr="00DB60AD">
        <w:rPr>
          <w:sz w:val="16"/>
          <w:vertAlign w:val="superscript"/>
        </w:rPr>
        <w:t>143</w:t>
      </w:r>
      <w:r w:rsidRPr="00DB60AD">
        <w:rPr>
          <w:sz w:val="16"/>
        </w:rPr>
        <w:t xml:space="preserve"> And more importantly, </w:t>
      </w:r>
      <w:r w:rsidRPr="001224B9">
        <w:rPr>
          <w:u w:val="single"/>
        </w:rPr>
        <w:t>by over deferring and failing to engage in any analysis of the merits of prison strikes, courts miss an important opportunity</w:t>
      </w:r>
      <w:r w:rsidRPr="00DB60AD">
        <w:rPr>
          <w:sz w:val="16"/>
        </w:rPr>
        <w:t>. As this Note has argued, prison strikes represent an underappreciated aspect of prison life — the means by which prisoners have, throughout the course of American history, surfaced pressing problems of our carceral state and initiated important transformations in our prison system. Therefore, it is imperative to meaningfully consider why and how such strikes merit legal protection — even if such protection appears to fly in the face of the current state of the law and to defy conventional wisdom. To that end, this Part first explores the First Amendment as one potential avenue for considering the merits of prison strikes, by presenting three critical First Amendment values contained within prison strikes,</w:t>
      </w:r>
      <w:r w:rsidRPr="00DB60AD">
        <w:rPr>
          <w:sz w:val="16"/>
          <w:vertAlign w:val="superscript"/>
        </w:rPr>
        <w:t>144</w:t>
      </w:r>
      <w:r w:rsidRPr="00DB60AD">
        <w:rPr>
          <w:sz w:val="16"/>
        </w:rPr>
        <w:t xml:space="preserve"> and it then briefly discusses other potential legal avenues for courts and scholars to consider. A. Considering the First Amendment Values of Prison Strikes </w:t>
      </w:r>
      <w:r w:rsidRPr="001224B9">
        <w:rPr>
          <w:u w:val="single"/>
        </w:rPr>
        <w:t>The right to strike within prisons may be conceptually viewed as a composite of three separate fundamental First Amendment freedoms: the freedom to peacefully associate, the freedom of speech, and the freedom to assemble and petition for redress of grievances</w:t>
      </w:r>
      <w:r w:rsidRPr="00DB60AD">
        <w:rPr>
          <w:sz w:val="16"/>
        </w:rPr>
        <w:t>.</w:t>
      </w:r>
      <w:r w:rsidRPr="00DB60AD">
        <w:rPr>
          <w:sz w:val="16"/>
          <w:vertAlign w:val="superscript"/>
        </w:rPr>
        <w:t>145</w:t>
      </w:r>
      <w:r w:rsidRPr="00DB60AD">
        <w:rPr>
          <w:sz w:val="16"/>
        </w:rPr>
        <w:t xml:space="preserve"> Each is considered in turn. 1. Association. — The right to peaceful association is one that captures the right of individuals to commune with others for the expression of ideas and for effective advocacy.</w:t>
      </w:r>
      <w:r w:rsidRPr="00DB60AD">
        <w:rPr>
          <w:sz w:val="16"/>
          <w:vertAlign w:val="superscript"/>
        </w:rPr>
        <w:t>146</w:t>
      </w:r>
      <w:r w:rsidRPr="00DB60AD">
        <w:rPr>
          <w:sz w:val="16"/>
        </w:rPr>
        <w:t xml:space="preserve"> </w:t>
      </w:r>
      <w:r w:rsidRPr="001224B9">
        <w:rPr>
          <w:u w:val="single"/>
        </w:rPr>
        <w:t>Strikes, like prison unions, represent an important means of association for prisoners — allowing them to “lay claim to a social identity as ‘workers’ . . . and in doing so generate claims to respect and solidarity</w:t>
      </w:r>
      <w:r w:rsidRPr="00DB60AD">
        <w:rPr>
          <w:sz w:val="16"/>
        </w:rPr>
        <w:t>.”</w:t>
      </w:r>
      <w:r w:rsidRPr="00DB60AD">
        <w:rPr>
          <w:sz w:val="16"/>
          <w:vertAlign w:val="superscript"/>
        </w:rPr>
        <w:t>147</w:t>
      </w:r>
      <w:r w:rsidRPr="00DB60AD">
        <w:rPr>
          <w:sz w:val="16"/>
        </w:rPr>
        <w:t xml:space="preserve"> This identity and solidarity can, in turn, enable inmates to engage in productive and peaceful bargains with prison officials for better conditions, higher pay, and other reform desires. Bargaining is, in many respects, already very common in prisons, “for the simple reason that [prison] administrators rarely have sufficient resources to gain complete conformity to all the rules.”</w:t>
      </w:r>
      <w:r w:rsidRPr="00DB60AD">
        <w:rPr>
          <w:sz w:val="16"/>
          <w:vertAlign w:val="superscript"/>
        </w:rPr>
        <w:t>148</w:t>
      </w:r>
      <w:r w:rsidRPr="00DB60AD">
        <w:rPr>
          <w:sz w:val="16"/>
        </w:rPr>
        <w:t xml:space="preserve"> However, such bargaining typically happens in an informal, ongoing, private process;</w:t>
      </w:r>
      <w:r w:rsidRPr="00DB60AD">
        <w:rPr>
          <w:sz w:val="16"/>
          <w:vertAlign w:val="superscript"/>
        </w:rPr>
        <w:t>149</w:t>
      </w:r>
      <w:r w:rsidRPr="00DB60AD">
        <w:rPr>
          <w:sz w:val="16"/>
        </w:rPr>
        <w:t xml:space="preserve"> in their recurrent, day-to-day contact with inmates, prison administrators use their arsenal of tools</w:t>
      </w:r>
      <w:r w:rsidRPr="00DB60AD">
        <w:rPr>
          <w:sz w:val="16"/>
          <w:vertAlign w:val="superscript"/>
        </w:rPr>
        <w:t>150</w:t>
      </w:r>
      <w:r w:rsidRPr="00DB60AD">
        <w:rPr>
          <w:sz w:val="16"/>
        </w:rPr>
        <w:t xml:space="preserve"> to “negotiate” only with select inmate leaders,</w:t>
      </w:r>
      <w:r w:rsidRPr="00DB60AD">
        <w:rPr>
          <w:sz w:val="16"/>
          <w:vertAlign w:val="superscript"/>
        </w:rPr>
        <w:t>151</w:t>
      </w:r>
      <w:r w:rsidRPr="00DB60AD">
        <w:rPr>
          <w:sz w:val="16"/>
        </w:rPr>
        <w:t xml:space="preserve"> with the central goal of maintaining “short term surface order.”</w:t>
      </w:r>
      <w:r w:rsidRPr="00DB60AD">
        <w:rPr>
          <w:sz w:val="16"/>
          <w:vertAlign w:val="superscript"/>
        </w:rPr>
        <w:t>152</w:t>
      </w:r>
      <w:r w:rsidRPr="00DB60AD">
        <w:rPr>
          <w:sz w:val="16"/>
        </w:rPr>
        <w:t xml:space="preserve"> This informal bargaining is “dysfunctional” to the long-term stability of prison institutions and “the real needs of those incarcerated within” them</w:t>
      </w:r>
      <w:r w:rsidRPr="00DB60AD">
        <w:rPr>
          <w:sz w:val="16"/>
          <w:vertAlign w:val="superscript"/>
        </w:rPr>
        <w:t>153</w:t>
      </w:r>
      <w:r w:rsidRPr="00DB60AD">
        <w:rPr>
          <w:sz w:val="16"/>
        </w:rPr>
        <w:t xml:space="preserve"> — creating hierarchical relationships</w:t>
      </w:r>
      <w:r w:rsidRPr="00DB60AD">
        <w:rPr>
          <w:sz w:val="16"/>
          <w:vertAlign w:val="superscript"/>
        </w:rPr>
        <w:t>154</w:t>
      </w:r>
      <w:r w:rsidRPr="00DB60AD">
        <w:rPr>
          <w:sz w:val="16"/>
        </w:rPr>
        <w:t xml:space="preserve"> that breed mistrust</w:t>
      </w:r>
      <w:r w:rsidRPr="00DB60AD">
        <w:rPr>
          <w:sz w:val="16"/>
          <w:vertAlign w:val="superscript"/>
        </w:rPr>
        <w:t>155</w:t>
      </w:r>
      <w:r w:rsidRPr="00DB60AD">
        <w:rPr>
          <w:sz w:val="16"/>
        </w:rPr>
        <w:t xml:space="preserve"> and leave many inmates powerless and feeling aggrieved.</w:t>
      </w:r>
      <w:r w:rsidRPr="00DB60AD">
        <w:rPr>
          <w:sz w:val="16"/>
          <w:vertAlign w:val="superscript"/>
        </w:rPr>
        <w:t>156</w:t>
      </w:r>
      <w:r w:rsidRPr="00DB60AD">
        <w:rPr>
          <w:sz w:val="16"/>
        </w:rPr>
        <w:t xml:space="preserve"> As a result, inmates often feel that they have to resort to violence to protect themselves from exploitation, express their dissatisfaction, and obtain redress.</w:t>
      </w:r>
      <w:r w:rsidRPr="00DB60AD">
        <w:rPr>
          <w:sz w:val="16"/>
          <w:vertAlign w:val="superscript"/>
        </w:rPr>
        <w:t>157</w:t>
      </w:r>
      <w:r w:rsidRPr="00DB60AD">
        <w:rPr>
          <w:sz w:val="16"/>
        </w:rPr>
        <w:t xml:space="preserve"> </w:t>
      </w:r>
      <w:r w:rsidRPr="00DB60AD">
        <w:rPr>
          <w:highlight w:val="yellow"/>
          <w:u w:val="single"/>
        </w:rPr>
        <w:t>Alternatively, peaceful, collective prison strikes avoid</w:t>
      </w:r>
      <w:r w:rsidRPr="00DB60AD">
        <w:rPr>
          <w:u w:val="single"/>
        </w:rPr>
        <w:t xml:space="preserve"> these </w:t>
      </w:r>
      <w:r w:rsidRPr="00DB60AD">
        <w:rPr>
          <w:highlight w:val="yellow"/>
          <w:u w:val="single"/>
        </w:rPr>
        <w:t>harmful consequences by allowing for “open” and “formal” negotiations between all inmates and prison staff</w:t>
      </w:r>
      <w:r w:rsidRPr="00DB60AD">
        <w:rPr>
          <w:sz w:val="16"/>
        </w:rPr>
        <w:t>.</w:t>
      </w:r>
      <w:r w:rsidRPr="00DB60AD">
        <w:rPr>
          <w:sz w:val="16"/>
          <w:vertAlign w:val="superscript"/>
        </w:rPr>
        <w:t>158</w:t>
      </w:r>
      <w:r w:rsidRPr="00DB60AD">
        <w:rPr>
          <w:sz w:val="16"/>
        </w:rPr>
        <w:t xml:space="preserve"> Such transparent and legitimated bargaining benefits both inmates and prisons as a whole. </w:t>
      </w:r>
      <w:r w:rsidRPr="00074285">
        <w:rPr>
          <w:u w:val="single"/>
        </w:rPr>
        <w:t xml:space="preserve">By initiating peaceful protests such as work stoppages, </w:t>
      </w:r>
      <w:r w:rsidRPr="00DB60AD">
        <w:rPr>
          <w:highlight w:val="yellow"/>
          <w:u w:val="single"/>
        </w:rPr>
        <w:t>all inmates are able “to solve problems, maximize gains, articulate goals, develop alternative strategies, and deal with [administrators] without resorting to force or violence</w:t>
      </w:r>
      <w:r w:rsidRPr="00074285">
        <w:rPr>
          <w:u w:val="single"/>
        </w:rPr>
        <w:t>.</w:t>
      </w:r>
      <w:r w:rsidRPr="00DB60AD">
        <w:rPr>
          <w:sz w:val="16"/>
        </w:rPr>
        <w:t>”</w:t>
      </w:r>
      <w:r w:rsidRPr="00DB60AD">
        <w:rPr>
          <w:sz w:val="16"/>
          <w:vertAlign w:val="superscript"/>
        </w:rPr>
        <w:t>159</w:t>
      </w:r>
      <w:r w:rsidRPr="00DB60AD">
        <w:rPr>
          <w:sz w:val="16"/>
        </w:rPr>
        <w:t xml:space="preserve"> And by permitting peaceful strikes, prison administrators “provide inmates with a channel for airing grievances and gaining official response . . . giv[ing] the institution a kind of safety-valve for peaceful, rather than violent, change”</w:t>
      </w:r>
      <w:r w:rsidRPr="00DB60AD">
        <w:rPr>
          <w:sz w:val="16"/>
          <w:vertAlign w:val="superscript"/>
        </w:rPr>
        <w:t>160</w:t>
      </w:r>
      <w:r w:rsidRPr="00DB60AD">
        <w:rPr>
          <w:sz w:val="16"/>
        </w:rPr>
        <w:t xml:space="preserve"> — avoiding potentially expensive and time-consuming litigation and even helping rehabilitate inmates,</w:t>
      </w:r>
      <w:r w:rsidRPr="00DB60AD">
        <w:rPr>
          <w:sz w:val="16"/>
          <w:vertAlign w:val="superscript"/>
        </w:rPr>
        <w:t>161</w:t>
      </w:r>
      <w:r w:rsidRPr="00DB60AD">
        <w:rPr>
          <w:sz w:val="16"/>
        </w:rPr>
        <w:t xml:space="preserve"> all while deemphasizing </w:t>
      </w:r>
      <w:r w:rsidRPr="00DB60AD">
        <w:rPr>
          <w:sz w:val="16"/>
        </w:rPr>
        <w:lastRenderedPageBreak/>
        <w:t>hierarchical structures in prisons that harm institutional order.</w:t>
      </w:r>
      <w:r w:rsidRPr="00DB60AD">
        <w:rPr>
          <w:sz w:val="16"/>
          <w:vertAlign w:val="superscript"/>
        </w:rPr>
        <w:t>162</w:t>
      </w:r>
      <w:r w:rsidRPr="00DB60AD">
        <w:rPr>
          <w:sz w:val="16"/>
        </w:rPr>
        <w:t xml:space="preserve"> 2. Speech. — </w:t>
      </w:r>
      <w:r w:rsidRPr="00074285">
        <w:rPr>
          <w:u w:val="single"/>
        </w:rPr>
        <w:t>A prison strike also represents a critical way by which inmates can express themselves</w:t>
      </w:r>
      <w:r w:rsidRPr="00DB60AD">
        <w:rPr>
          <w:sz w:val="16"/>
        </w:rPr>
        <w:t>.</w:t>
      </w:r>
      <w:r w:rsidRPr="00DB60AD">
        <w:rPr>
          <w:sz w:val="16"/>
          <w:vertAlign w:val="superscript"/>
        </w:rPr>
        <w:t>163</w:t>
      </w:r>
      <w:r w:rsidRPr="00DB60AD">
        <w:rPr>
          <w:sz w:val="16"/>
        </w:rPr>
        <w:t xml:space="preserve"> </w:t>
      </w:r>
      <w:r w:rsidRPr="00074285">
        <w:rPr>
          <w:u w:val="single"/>
        </w:rPr>
        <w:t>First, as alluded to above, a strike allows inmates to claim and communicate an identity — as more than just marginalized, ignored convicts with little to no self-determination, but instead as workers and human beings entitled to basic dignity. Such collective actions represent the “performative declaration and affirmation of rights that one does not (yet) have</w:t>
      </w:r>
      <w:r w:rsidRPr="00DB60AD">
        <w:rPr>
          <w:sz w:val="16"/>
        </w:rPr>
        <w:t>.”</w:t>
      </w:r>
      <w:r w:rsidRPr="00DB60AD">
        <w:rPr>
          <w:sz w:val="16"/>
          <w:vertAlign w:val="superscript"/>
        </w:rPr>
        <w:t>164</w:t>
      </w:r>
      <w:r w:rsidRPr="00DB60AD">
        <w:rPr>
          <w:sz w:val="16"/>
        </w:rPr>
        <w:t xml:space="preserve"> And, as Professor Jocelyn Simonson discusses, </w:t>
      </w:r>
      <w:r w:rsidRPr="00074285">
        <w:rPr>
          <w:u w:val="single"/>
        </w:rPr>
        <w:t xml:space="preserve">these </w:t>
      </w:r>
      <w:r w:rsidRPr="00DB60AD">
        <w:rPr>
          <w:highlight w:val="yellow"/>
          <w:u w:val="single"/>
        </w:rPr>
        <w:t>strikes are collective contestations to “demand dignity, calling attention to the ways in which [prisoners] are treated as less than human and in the process reclaiming their own agency</w:t>
      </w:r>
      <w:r w:rsidRPr="00DB60AD">
        <w:rPr>
          <w:sz w:val="16"/>
        </w:rPr>
        <w:t>.”</w:t>
      </w:r>
      <w:r w:rsidRPr="00DB60AD">
        <w:rPr>
          <w:sz w:val="16"/>
          <w:vertAlign w:val="superscript"/>
        </w:rPr>
        <w:t>165</w:t>
      </w:r>
      <w:r w:rsidRPr="00DB60AD">
        <w:rPr>
          <w:sz w:val="16"/>
        </w:rPr>
        <w:t xml:space="preserve"> </w:t>
      </w:r>
      <w:r w:rsidRPr="00074285">
        <w:rPr>
          <w:u w:val="single"/>
        </w:rPr>
        <w:t>Such dignitary considerations, which courts have sought to protect under First Amendment principles, should therefore naturally extend to prisoners attempting to, through strikes, express their basic selfworth</w:t>
      </w:r>
      <w:r w:rsidRPr="00DB60AD">
        <w:rPr>
          <w:sz w:val="16"/>
        </w:rPr>
        <w:t>.</w:t>
      </w:r>
      <w:r w:rsidRPr="00DB60AD">
        <w:rPr>
          <w:sz w:val="16"/>
          <w:vertAlign w:val="superscript"/>
        </w:rPr>
        <w:t>166</w:t>
      </w:r>
      <w:r w:rsidRPr="00DB60AD">
        <w:rPr>
          <w:sz w:val="16"/>
        </w:rPr>
        <w:t xml:space="preserve"> </w:t>
      </w:r>
      <w:r w:rsidRPr="00074285">
        <w:rPr>
          <w:u w:val="single"/>
        </w:rPr>
        <w:t>Beyond representing a form of inherent, individual expression for inmates, prison strikes also represent a broader form of expression, allowing inmates to be visible to and heard by the public at large</w:t>
      </w:r>
      <w:r w:rsidRPr="00DB60AD">
        <w:rPr>
          <w:sz w:val="16"/>
        </w:rPr>
        <w:t>. Over the course of American history, inmates — by virtue of being locked up in isolated, impregnable penitentiaries — have largely been a silent and ignored segment of the American population.</w:t>
      </w:r>
      <w:r w:rsidRPr="00DB60AD">
        <w:rPr>
          <w:sz w:val="16"/>
          <w:vertAlign w:val="superscript"/>
        </w:rPr>
        <w:t>167</w:t>
      </w:r>
      <w:r w:rsidRPr="00DB60AD">
        <w:rPr>
          <w:sz w:val="16"/>
        </w:rPr>
        <w:t xml:space="preserve"> Through peaceful protests like the 2018 national prison strike, however, their suffering, their calls for reform, and their voices are, for the first time, directly expressed on a large scale, ringing out loudly beyond the prison walls and jumpstarting important conversations of criminal justice reform. It is critical to protect such expression; “[i]ndeed, it is from the voices of those who have been most harmed by the punitive nature of our criminal justice system that we can hear the most profound reimaginings of how the system might be truly responsive to local demands for justice and equality.”</w:t>
      </w:r>
      <w:r w:rsidRPr="00DB60AD">
        <w:rPr>
          <w:sz w:val="16"/>
          <w:vertAlign w:val="superscript"/>
        </w:rPr>
        <w:t>168</w:t>
      </w:r>
      <w:r w:rsidRPr="00DB60AD">
        <w:rPr>
          <w:sz w:val="16"/>
        </w:rPr>
        <w:t xml:space="preserve"> 3. Petition for Redress. — Inmates’ strikes can be seen not only as expressions of their dignity and general efforts to express their voices beyond prison walls but also as significant methods of assembly to call attention to specific grievances and seek redress from the government.</w:t>
      </w:r>
      <w:r w:rsidRPr="00DB60AD">
        <w:rPr>
          <w:sz w:val="16"/>
          <w:vertAlign w:val="superscript"/>
        </w:rPr>
        <w:t>169</w:t>
      </w:r>
      <w:r w:rsidRPr="00DB60AD">
        <w:rPr>
          <w:sz w:val="16"/>
        </w:rPr>
        <w:t xml:space="preserve"> While in theory “[t]here is no iron curtain drawn between the Constitution and the prisons of this country,”</w:t>
      </w:r>
      <w:r w:rsidRPr="00DB60AD">
        <w:rPr>
          <w:sz w:val="16"/>
          <w:vertAlign w:val="superscript"/>
        </w:rPr>
        <w:t>170</w:t>
      </w:r>
      <w:r w:rsidRPr="00DB60AD">
        <w:rPr>
          <w:sz w:val="16"/>
        </w:rPr>
        <w:t xml:space="preserve"> in practice, “prisons often escape the daily microscope focused on other American institutions such as schools, churches, and government.”</w:t>
      </w:r>
      <w:r w:rsidRPr="00DB60AD">
        <w:rPr>
          <w:sz w:val="16"/>
          <w:vertAlign w:val="superscript"/>
        </w:rPr>
        <w:t>171</w:t>
      </w:r>
      <w:r w:rsidRPr="00DB60AD">
        <w:rPr>
          <w:sz w:val="16"/>
        </w:rPr>
        <w:t xml:space="preserve"> Courts grant prison administrators wide deference not only in running day-to-day life within prisons but also in restricting press access to prisons.</w:t>
      </w:r>
      <w:r w:rsidRPr="00DB60AD">
        <w:rPr>
          <w:sz w:val="16"/>
          <w:vertAlign w:val="superscript"/>
        </w:rPr>
        <w:t>172</w:t>
      </w:r>
      <w:r w:rsidRPr="00DB60AD">
        <w:rPr>
          <w:sz w:val="16"/>
        </w:rPr>
        <w:t xml:space="preserve"> Therefore, much of the American public — already closed off from and largely indifferent to the lives of prisoners — is kept even more in the dark about prison conditions and the state of our carceral system as a whole. </w:t>
      </w:r>
      <w:r w:rsidRPr="00074285">
        <w:rPr>
          <w:u w:val="single"/>
        </w:rPr>
        <w:t>Prison conditions, from what has been documented, are horrendous across states. Many prisons are severely overcrowded and seriously understaffed</w:t>
      </w:r>
      <w:r w:rsidRPr="00DB60AD">
        <w:rPr>
          <w:sz w:val="16"/>
        </w:rPr>
        <w:t>;</w:t>
      </w:r>
      <w:r w:rsidRPr="00DB60AD">
        <w:rPr>
          <w:sz w:val="16"/>
          <w:vertAlign w:val="superscript"/>
        </w:rPr>
        <w:t>173</w:t>
      </w:r>
      <w:r w:rsidRPr="00DB60AD">
        <w:rPr>
          <w:sz w:val="16"/>
        </w:rPr>
        <w:t xml:space="preserve"> </w:t>
      </w:r>
      <w:r w:rsidRPr="00074285">
        <w:rPr>
          <w:u w:val="single"/>
        </w:rPr>
        <w:t>inmates routinely experience physical abuse and even death at the hands of prison guards</w:t>
      </w:r>
      <w:r w:rsidRPr="00DB60AD">
        <w:rPr>
          <w:sz w:val="16"/>
        </w:rPr>
        <w:t>,</w:t>
      </w:r>
      <w:r w:rsidRPr="00DB60AD">
        <w:rPr>
          <w:sz w:val="16"/>
          <w:vertAlign w:val="superscript"/>
        </w:rPr>
        <w:t>174</w:t>
      </w:r>
      <w:r w:rsidRPr="00DB60AD">
        <w:rPr>
          <w:sz w:val="16"/>
        </w:rPr>
        <w:t xml:space="preserve"> </w:t>
      </w:r>
      <w:r w:rsidRPr="00074285">
        <w:rPr>
          <w:u w:val="single"/>
        </w:rPr>
        <w:t>receive inadequate protection from guards, are deprived of basic necessities</w:t>
      </w:r>
      <w:r w:rsidRPr="00DB60AD">
        <w:rPr>
          <w:sz w:val="16"/>
        </w:rPr>
        <w:t xml:space="preserve">,175 </w:t>
      </w:r>
      <w:r w:rsidRPr="00074285">
        <w:rPr>
          <w:u w:val="single"/>
        </w:rPr>
        <w:t>are given substandard medical care</w:t>
      </w:r>
      <w:r w:rsidRPr="00DB60AD">
        <w:rPr>
          <w:sz w:val="16"/>
        </w:rPr>
        <w:t>,</w:t>
      </w:r>
      <w:r w:rsidRPr="00DB60AD">
        <w:rPr>
          <w:sz w:val="16"/>
          <w:vertAlign w:val="superscript"/>
        </w:rPr>
        <w:t>176</w:t>
      </w:r>
      <w:r w:rsidRPr="00DB60AD">
        <w:rPr>
          <w:sz w:val="16"/>
        </w:rPr>
        <w:t xml:space="preserve"> </w:t>
      </w:r>
      <w:r w:rsidRPr="00074285">
        <w:rPr>
          <w:u w:val="single"/>
        </w:rPr>
        <w:t>and are forced to live in squalor and tolerate extreme circumstances;</w:t>
      </w:r>
      <w:r w:rsidRPr="00DB60AD">
        <w:rPr>
          <w:sz w:val="16"/>
          <w:vertAlign w:val="superscript"/>
        </w:rPr>
        <w:t>177</w:t>
      </w:r>
      <w:r w:rsidRPr="00DB60AD">
        <w:rPr>
          <w:sz w:val="16"/>
        </w:rPr>
        <w:t xml:space="preserve"> </w:t>
      </w:r>
      <w:r w:rsidRPr="00074285">
        <w:rPr>
          <w:u w:val="single"/>
        </w:rPr>
        <w:t>most prisoners have minimal, if any, access, to rehabilitative or mental health services</w:t>
      </w:r>
      <w:r w:rsidRPr="00DB60AD">
        <w:rPr>
          <w:sz w:val="16"/>
        </w:rPr>
        <w:t>;</w:t>
      </w:r>
      <w:r w:rsidRPr="00DB60AD">
        <w:rPr>
          <w:sz w:val="16"/>
          <w:vertAlign w:val="superscript"/>
        </w:rPr>
        <w:t>178</w:t>
      </w:r>
      <w:r w:rsidRPr="00DB60AD">
        <w:rPr>
          <w:sz w:val="16"/>
        </w:rPr>
        <w:t xml:space="preserve"> and </w:t>
      </w:r>
      <w:r w:rsidRPr="00074285">
        <w:rPr>
          <w:u w:val="single"/>
        </w:rPr>
        <w:t>prisoners have little legal recourse, as internal prison grievance procedures are often stacked against inmates</w:t>
      </w:r>
      <w:r w:rsidRPr="00DB60AD">
        <w:rPr>
          <w:sz w:val="16"/>
        </w:rPr>
        <w:t>,</w:t>
      </w:r>
      <w:r w:rsidRPr="00DB60AD">
        <w:rPr>
          <w:sz w:val="16"/>
          <w:vertAlign w:val="superscript"/>
        </w:rPr>
        <w:t>179</w:t>
      </w:r>
      <w:r w:rsidRPr="00DB60AD">
        <w:rPr>
          <w:sz w:val="16"/>
        </w:rPr>
        <w:t xml:space="preserve"> and </w:t>
      </w:r>
      <w:r w:rsidRPr="00DB60AD">
        <w:rPr>
          <w:highlight w:val="yellow"/>
          <w:u w:val="single"/>
        </w:rPr>
        <w:t>judicial deference and federal legislation have effectively shut the courthouse doors on prisoners’ civil rights claims</w:t>
      </w:r>
      <w:r w:rsidRPr="00DB60AD">
        <w:rPr>
          <w:sz w:val="16"/>
        </w:rPr>
        <w:t>.</w:t>
      </w:r>
      <w:r w:rsidRPr="00DB60AD">
        <w:rPr>
          <w:sz w:val="16"/>
          <w:vertAlign w:val="superscript"/>
        </w:rPr>
        <w:t>180</w:t>
      </w:r>
      <w:r w:rsidRPr="00DB60AD">
        <w:rPr>
          <w:sz w:val="16"/>
        </w:rPr>
        <w:t xml:space="preserve"> And across prisons</w:t>
      </w:r>
      <w:r w:rsidRPr="00DB60AD">
        <w:rPr>
          <w:sz w:val="16"/>
          <w:highlight w:val="yellow"/>
        </w:rPr>
        <w:t xml:space="preserve">, </w:t>
      </w:r>
      <w:r w:rsidRPr="00DB60AD">
        <w:rPr>
          <w:highlight w:val="yellow"/>
          <w:u w:val="single"/>
        </w:rPr>
        <w:t>criminal sentencing laws not only have contributed to an unprecedented era of mass incarceration, but also have forced African Americans and people of color broadly to bear much of this burden</w:t>
      </w:r>
      <w:r w:rsidRPr="00DB60AD">
        <w:rPr>
          <w:sz w:val="16"/>
          <w:highlight w:val="yellow"/>
        </w:rPr>
        <w:t>.</w:t>
      </w:r>
      <w:r w:rsidRPr="00DB60AD">
        <w:rPr>
          <w:sz w:val="16"/>
          <w:vertAlign w:val="superscript"/>
        </w:rPr>
        <w:t>181</w:t>
      </w:r>
      <w:r w:rsidRPr="00DB60AD">
        <w:rPr>
          <w:sz w:val="16"/>
        </w:rPr>
        <w:t xml:space="preserve"> As the Marshall Project states, “[s]ociety won’t fix a prison system it can’t see”;</w:t>
      </w:r>
      <w:r w:rsidRPr="00DB60AD">
        <w:rPr>
          <w:sz w:val="16"/>
          <w:vertAlign w:val="superscript"/>
        </w:rPr>
        <w:t>182</w:t>
      </w:r>
      <w:r w:rsidRPr="00DB60AD">
        <w:rPr>
          <w:sz w:val="16"/>
        </w:rPr>
        <w:t xml:space="preserve"> peaceful prison strikes like the 2018 strike, however, draw back the “iron curtain” of prison walls, bringing to light many of the pressing issues described above. Through these strikes, inmates are able not only to express their grievances to their prison administrators, but also to “publicize their on-the-ground realities to the larger world”</w:t>
      </w:r>
      <w:r w:rsidRPr="00DB60AD">
        <w:rPr>
          <w:sz w:val="16"/>
          <w:vertAlign w:val="superscript"/>
        </w:rPr>
        <w:t>183</w:t>
      </w:r>
      <w:r w:rsidRPr="00DB60AD">
        <w:rPr>
          <w:sz w:val="16"/>
        </w:rPr>
        <w:t xml:space="preserve"> and, in turn, gain attention from and access to the political branches able to implement policy reforms.</w:t>
      </w:r>
      <w:r w:rsidRPr="00DB60AD">
        <w:rPr>
          <w:sz w:val="16"/>
          <w:vertAlign w:val="superscript"/>
        </w:rPr>
        <w:t>184</w:t>
      </w:r>
      <w:r w:rsidRPr="00DB60AD">
        <w:rPr>
          <w:sz w:val="16"/>
        </w:rPr>
        <w:t xml:space="preserve"> As recent history has shown, inmates have experienced some success by pressing their claims against the government through publicized strikes. For example, as described above, the California strikes in 2011 and 2013 generated public outcry that eventually resulted in transformations to the California prison system’s solitary confinement policies.185 In Alabama, inmates’ participation in the 2016 nationwide prison strike helped prompt the Department of Justice to open an investigation into the state’s prison conditions.</w:t>
      </w:r>
      <w:r w:rsidRPr="00DB60AD">
        <w:rPr>
          <w:sz w:val="16"/>
          <w:vertAlign w:val="superscript"/>
        </w:rPr>
        <w:t>186</w:t>
      </w:r>
      <w:r w:rsidRPr="00DB60AD">
        <w:rPr>
          <w:sz w:val="16"/>
        </w:rPr>
        <w:t xml:space="preserve"> And more broadly speaking, </w:t>
      </w:r>
      <w:r w:rsidRPr="00074285">
        <w:rPr>
          <w:u w:val="single"/>
        </w:rPr>
        <w:t>strikes like the 2018 strike have begun to “remedy power imbalances, bring aggregate structural harms into view, and shift deeply entrenched legal and constitutional” barriers to critical prison reforms</w:t>
      </w:r>
      <w:r w:rsidRPr="00DB60AD">
        <w:rPr>
          <w:sz w:val="16"/>
        </w:rPr>
        <w:t>.</w:t>
      </w:r>
      <w:r w:rsidRPr="00DB60AD">
        <w:rPr>
          <w:sz w:val="16"/>
          <w:vertAlign w:val="superscript"/>
        </w:rPr>
        <w:t>187</w:t>
      </w:r>
      <w:r w:rsidRPr="00DB60AD">
        <w:rPr>
          <w:sz w:val="16"/>
        </w:rPr>
        <w:t xml:space="preserve"> B. Considering Additional Legal Avenues for Protecting Prison Strikes The foregoing analysis suggests that the First Amendment is a critical, worthwhile vehicle for considering the merits of a right to strike for prisoners. As Justice Black recognized, the importance of such analysis likely transcends prisoners themselves. He wrote: “I do not believe that it can be too often repeated that the freedoms of speech, press, petition and assembly guaranteed by the First Amendment must be accorded to the ideas we hate or sooner or later they will be denied to the ideas we cherish.”</w:t>
      </w:r>
      <w:r w:rsidRPr="00DB60AD">
        <w:rPr>
          <w:sz w:val="16"/>
          <w:vertAlign w:val="superscript"/>
        </w:rPr>
        <w:t>188</w:t>
      </w:r>
      <w:r w:rsidRPr="00DB60AD">
        <w:rPr>
          <w:sz w:val="16"/>
        </w:rPr>
        <w:t xml:space="preserve"> But this Note acknowledges that </w:t>
      </w:r>
      <w:r w:rsidRPr="00DB60AD">
        <w:rPr>
          <w:highlight w:val="yellow"/>
          <w:u w:val="single"/>
        </w:rPr>
        <w:t>judicial recognition of prison strikes’ First Amendment values requires significant doctrinal change. Convincing the Supreme Court to overturn its</w:t>
      </w:r>
      <w:r w:rsidRPr="00074285">
        <w:rPr>
          <w:u w:val="single"/>
        </w:rPr>
        <w:t xml:space="preserve"> Jones and Turner </w:t>
      </w:r>
      <w:r w:rsidRPr="00DB60AD">
        <w:rPr>
          <w:highlight w:val="yellow"/>
          <w:u w:val="single"/>
        </w:rPr>
        <w:t>precedents</w:t>
      </w:r>
      <w:r w:rsidRPr="00074285">
        <w:rPr>
          <w:u w:val="single"/>
        </w:rPr>
        <w:t xml:space="preserve">, and instead to adopt a test with less deference than is currently afforded to prison administrators, </w:t>
      </w:r>
      <w:r w:rsidRPr="00DB60AD">
        <w:rPr>
          <w:highlight w:val="yellow"/>
          <w:u w:val="single"/>
        </w:rPr>
        <w:t xml:space="preserve">is </w:t>
      </w:r>
      <w:r w:rsidRPr="00DB60AD">
        <w:rPr>
          <w:highlight w:val="yellow"/>
          <w:u w:val="single"/>
        </w:rPr>
        <w:lastRenderedPageBreak/>
        <w:t>unlikely</w:t>
      </w:r>
      <w:r w:rsidRPr="00DB60AD">
        <w:rPr>
          <w:sz w:val="16"/>
        </w:rPr>
        <w:t xml:space="preserve">. As a result, </w:t>
      </w:r>
      <w:r w:rsidRPr="00DB60AD">
        <w:rPr>
          <w:highlight w:val="yellow"/>
          <w:u w:val="single"/>
        </w:rPr>
        <w:t>future research is necessary to identify other potential avenues to consider the legal status and merits of prison strikes</w:t>
      </w:r>
      <w:r w:rsidRPr="00DB60AD">
        <w:rPr>
          <w:sz w:val="16"/>
          <w:highlight w:val="yellow"/>
        </w:rPr>
        <w:t>.</w:t>
      </w:r>
      <w:r w:rsidRPr="00DB60AD">
        <w:rPr>
          <w:sz w:val="16"/>
        </w:rPr>
        <w:t xml:space="preserve"> As alluded to above, </w:t>
      </w:r>
      <w:r w:rsidRPr="00DB60AD">
        <w:rPr>
          <w:highlight w:val="yellow"/>
          <w:u w:val="single"/>
        </w:rPr>
        <w:t>labor law presents one such promising avenue</w:t>
      </w:r>
      <w:r w:rsidRPr="00074285">
        <w:rPr>
          <w:u w:val="single"/>
        </w:rPr>
        <w:t>, as does state constitutional and statutory law</w:t>
      </w:r>
      <w:r w:rsidRPr="00DB60AD">
        <w:rPr>
          <w:sz w:val="16"/>
        </w:rPr>
        <w:t>. Drawing from the broader jurisprudence around hunger strikes, and this area of the law’s focus on the body, may present yet another avenue to consider.</w:t>
      </w:r>
      <w:r w:rsidRPr="00DB60AD">
        <w:rPr>
          <w:sz w:val="16"/>
          <w:vertAlign w:val="superscript"/>
        </w:rPr>
        <w:t>189</w:t>
      </w:r>
      <w:r w:rsidRPr="00DB60AD">
        <w:rPr>
          <w:sz w:val="16"/>
        </w:rPr>
        <w:t xml:space="preserve"> And more fundamentally, </w:t>
      </w:r>
      <w:r w:rsidRPr="00856AD3">
        <w:rPr>
          <w:u w:val="single"/>
        </w:rPr>
        <w:t>reconsidering incarceration — including the nature of penal punishment, the constitutional status of prisoners, the judiciary’s role in our carceral system, and the ability of social science and social movements to inform the law — may be needed to protect prison strikes and bring about the reforms that strikes have advocated for</w:t>
      </w:r>
      <w:r w:rsidRPr="00DB60AD">
        <w:rPr>
          <w:sz w:val="16"/>
        </w:rPr>
        <w:t xml:space="preserve">. </w:t>
      </w:r>
    </w:p>
    <w:p w14:paraId="19585E3B" w14:textId="77777777" w:rsidR="00B23EA5" w:rsidRDefault="00B23EA5" w:rsidP="00B23EA5">
      <w:pPr>
        <w:pStyle w:val="Heading4"/>
      </w:pPr>
      <w:r>
        <w:t>Unions secure dignity for workers in four main ways.</w:t>
      </w:r>
    </w:p>
    <w:p w14:paraId="6E23B986" w14:textId="77777777" w:rsidR="00B23EA5" w:rsidRPr="00072BCF" w:rsidRDefault="00B23EA5" w:rsidP="00B23EA5">
      <w:r w:rsidRPr="00072BCF">
        <w:rPr>
          <w:rStyle w:val="Style13ptBold"/>
        </w:rPr>
        <w:t>Richter 24</w:t>
      </w:r>
      <w:r>
        <w:t>. Samuel Richter is a third-year student at Northwestern Pritzker School of Law. “Incarcerated Workers Will Be Heard: Protecting the Right to Unionize Prisoners Through Dignity,” published in the Northwestern Journal of Law and Social Policy, Vol. 19. https://scholarlycommons.law.northwestern.edu/cgi/viewcontent.cgi?article=1253&amp;context=njlsp//n*x</w:t>
      </w:r>
    </w:p>
    <w:p w14:paraId="6B913D71" w14:textId="77777777" w:rsidR="00B23EA5" w:rsidRDefault="00B23EA5" w:rsidP="00B23EA5">
      <w:r w:rsidRPr="007F7754">
        <w:rPr>
          <w:highlight w:val="yellow"/>
          <w:u w:val="single"/>
        </w:rPr>
        <w:t>Unions</w:t>
      </w:r>
      <w:r w:rsidRPr="00072BCF">
        <w:rPr>
          <w:u w:val="single"/>
        </w:rPr>
        <w:t xml:space="preserve"> are collective worker organizations </w:t>
      </w:r>
      <w:r w:rsidRPr="007F7754">
        <w:rPr>
          <w:u w:val="single"/>
        </w:rPr>
        <w:t xml:space="preserve">that </w:t>
      </w:r>
      <w:r w:rsidRPr="007F7754">
        <w:rPr>
          <w:highlight w:val="yellow"/>
          <w:u w:val="single"/>
        </w:rPr>
        <w:t>advocate on behalf of their own interests regarding wages,</w:t>
      </w:r>
      <w:r w:rsidRPr="00072BCF">
        <w:rPr>
          <w:u w:val="single"/>
        </w:rPr>
        <w:t xml:space="preserve"> hours, and other terms and conditions of their employment</w:t>
      </w:r>
      <w:r>
        <w:t>.</w:t>
      </w:r>
      <w:r w:rsidRPr="00072BCF">
        <w:rPr>
          <w:vertAlign w:val="superscript"/>
        </w:rPr>
        <w:t>6</w:t>
      </w:r>
      <w:r>
        <w:t xml:space="preserve">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w:t>
      </w:r>
      <w:r w:rsidRPr="00072BCF">
        <w:rPr>
          <w:vertAlign w:val="superscript"/>
        </w:rPr>
        <w:t>7</w:t>
      </w:r>
      <w:r>
        <w:t xml:space="preserve"> Unionization occurs when individuals in a workplace join together (often through an election) as a collective to demand recognition from their employers.</w:t>
      </w:r>
      <w:r w:rsidRPr="00072BCF">
        <w:rPr>
          <w:vertAlign w:val="superscript"/>
        </w:rPr>
        <w:t>8</w:t>
      </w:r>
      <w:r>
        <w:t xml:space="preserve"> </w:t>
      </w:r>
      <w:r w:rsidRPr="007F7754">
        <w:rPr>
          <w:highlight w:val="yellow"/>
          <w:u w:val="single"/>
        </w:rPr>
        <w:t>Unionization’s collectivist disruption of freemarket economics remains</w:t>
      </w:r>
      <w:r w:rsidRPr="00072BCF">
        <w:rPr>
          <w:u w:val="single"/>
        </w:rPr>
        <w:t xml:space="preserve"> rather </w:t>
      </w:r>
      <w:r w:rsidRPr="007F7754">
        <w:rPr>
          <w:highlight w:val="yellow"/>
          <w:u w:val="single"/>
        </w:rPr>
        <w:t>incompatible with American</w:t>
      </w:r>
      <w:r w:rsidRPr="00072BCF">
        <w:rPr>
          <w:u w:val="single"/>
        </w:rPr>
        <w:t xml:space="preserve"> culture’s </w:t>
      </w:r>
      <w:r w:rsidRPr="007F7754">
        <w:rPr>
          <w:highlight w:val="yellow"/>
          <w:u w:val="single"/>
        </w:rPr>
        <w:t>emphasis on</w:t>
      </w:r>
      <w:r w:rsidRPr="00072BCF">
        <w:rPr>
          <w:u w:val="single"/>
        </w:rPr>
        <w:t xml:space="preserve"> individualistic laissez faire </w:t>
      </w:r>
      <w:r w:rsidRPr="007F7754">
        <w:rPr>
          <w:highlight w:val="yellow"/>
          <w:u w:val="single"/>
        </w:rPr>
        <w:t>capitalism</w:t>
      </w:r>
      <w:r>
        <w:t>.</w:t>
      </w:r>
      <w:r w:rsidRPr="00072BCF">
        <w:rPr>
          <w:vertAlign w:val="superscript"/>
        </w:rPr>
        <w:t>9</w:t>
      </w:r>
      <w:r>
        <w:t xml:space="preserve"> Applying such collectivism to the prison context would be especially radical in this country, where our criminal punishment system uniquely degrades its offenders compared to other developed countries.</w:t>
      </w:r>
      <w:r w:rsidRPr="00072BCF">
        <w:rPr>
          <w:vertAlign w:val="superscript"/>
        </w:rPr>
        <w:t>10</w:t>
      </w:r>
      <w:r>
        <w:t xml:space="preserve"> Even so, </w:t>
      </w:r>
      <w:r w:rsidRPr="00072BCF">
        <w:rPr>
          <w:rStyle w:val="StyleUnderline"/>
        </w:rPr>
        <w:t xml:space="preserve">incarcerated workers require this radical solution to secure procedural and substantive protections against the abuses they suffer. </w:t>
      </w:r>
      <w:r w:rsidRPr="007F7754">
        <w:rPr>
          <w:rStyle w:val="StyleUnderline"/>
          <w:highlight w:val="yellow"/>
        </w:rPr>
        <w:t>Unions secure dignity for incarcerated workers</w:t>
      </w:r>
      <w:r w:rsidRPr="00072BCF">
        <w:rPr>
          <w:rStyle w:val="StyleUnderline"/>
        </w:rPr>
        <w:t xml:space="preserve"> in four main ways: (A) </w:t>
      </w:r>
      <w:r w:rsidRPr="007F7754">
        <w:rPr>
          <w:rStyle w:val="StyleUnderline"/>
          <w:highlight w:val="yellow"/>
        </w:rPr>
        <w:t>they promote workplace safety and economic freedom through collective bargaining</w:t>
      </w:r>
      <w:r w:rsidRPr="00072BCF">
        <w:rPr>
          <w:rStyle w:val="StyleUnderline"/>
        </w:rPr>
        <w:t xml:space="preserve">, (B) they create meaningful work, (C) they involve their members in democratic processes, </w:t>
      </w:r>
      <w:r w:rsidRPr="007F7754">
        <w:rPr>
          <w:rStyle w:val="StyleUnderline"/>
          <w:highlight w:val="yellow"/>
        </w:rPr>
        <w:t>and</w:t>
      </w:r>
      <w:r w:rsidRPr="00072BCF">
        <w:rPr>
          <w:rStyle w:val="StyleUnderline"/>
        </w:rPr>
        <w:t xml:space="preserve"> (D) </w:t>
      </w:r>
      <w:r w:rsidRPr="007F7754">
        <w:rPr>
          <w:rStyle w:val="StyleUnderline"/>
          <w:highlight w:val="yellow"/>
        </w:rPr>
        <w:t>they foster reintegrative and collective identities</w:t>
      </w:r>
      <w:r>
        <w:t>. I explain each of these in subparts below.</w:t>
      </w:r>
    </w:p>
    <w:p w14:paraId="3DEF0A51" w14:textId="77777777" w:rsidR="00B23EA5" w:rsidRPr="00072BCF" w:rsidRDefault="00B23EA5" w:rsidP="00B23EA5">
      <w:r>
        <w:t xml:space="preserve"> </w:t>
      </w:r>
    </w:p>
    <w:p w14:paraId="166B9F6B" w14:textId="77777777" w:rsidR="00B23EA5" w:rsidRDefault="00B23EA5" w:rsidP="00B23EA5">
      <w:pPr>
        <w:pStyle w:val="Heading2"/>
      </w:pPr>
      <w:r>
        <w:lastRenderedPageBreak/>
        <w:t>Framing:</w:t>
      </w:r>
    </w:p>
    <w:p w14:paraId="39CF851E" w14:textId="77777777" w:rsidR="00B23EA5" w:rsidRDefault="00B23EA5" w:rsidP="00B23EA5"/>
    <w:p w14:paraId="6932A10B" w14:textId="77777777" w:rsidR="00B23EA5" w:rsidRPr="00F565B9" w:rsidRDefault="00B23EA5" w:rsidP="00B23EA5">
      <w:r>
        <w:rPr>
          <w:noProof/>
        </w:rPr>
        <w:drawing>
          <wp:inline distT="0" distB="0" distL="0" distR="0" wp14:anchorId="73A5E007" wp14:editId="0FF459CC">
            <wp:extent cx="4962681" cy="3308454"/>
            <wp:effectExtent l="0" t="0" r="9525" b="6350"/>
            <wp:docPr id="1827418208" name="Picture 1" descr="A firefighter standing in front of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18208" name="Picture 1" descr="A firefighter standing in front of a fi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5696" cy="3350464"/>
                    </a:xfrm>
                    <a:prstGeom prst="rect">
                      <a:avLst/>
                    </a:prstGeom>
                  </pic:spPr>
                </pic:pic>
              </a:graphicData>
            </a:graphic>
          </wp:inline>
        </w:drawing>
      </w:r>
    </w:p>
    <w:p w14:paraId="56591855" w14:textId="77777777" w:rsidR="00B23EA5" w:rsidRDefault="00B23EA5" w:rsidP="00B23EA5">
      <w:pPr>
        <w:pStyle w:val="Heading4"/>
      </w:pPr>
      <w:r w:rsidRPr="00F565B9">
        <w:t>An inmate firefighter cuts a line around the edge of a nighttime burn</w:t>
      </w:r>
      <w:r>
        <w:t>.</w:t>
      </w:r>
      <w:r w:rsidRPr="00F565B9">
        <w:t xml:space="preserve"> </w:t>
      </w:r>
    </w:p>
    <w:p w14:paraId="33075FF4" w14:textId="77777777" w:rsidR="00B23EA5" w:rsidRPr="00F565B9" w:rsidRDefault="00B23EA5" w:rsidP="00B23EA5">
      <w:bookmarkStart w:id="2" w:name="_Hlk217180419"/>
      <w:r w:rsidRPr="00F565B9">
        <w:t xml:space="preserve">(Photo and </w:t>
      </w:r>
      <w:r>
        <w:t xml:space="preserve">description </w:t>
      </w:r>
      <w:r w:rsidRPr="00F565B9">
        <w:t>credit goes to Lindsey Feldman, https://www.sapiens.org/culture/arizonas-inmate-firefighters/)</w:t>
      </w:r>
    </w:p>
    <w:bookmarkEnd w:id="2"/>
    <w:p w14:paraId="3CF8DCC5" w14:textId="77777777" w:rsidR="00B23EA5" w:rsidRDefault="00B23EA5" w:rsidP="00B23EA5">
      <w:pPr>
        <w:pStyle w:val="Heading4"/>
      </w:pPr>
      <w:r>
        <w:t>Our impacts come first – the violence of prisons is rendered socially invisible. The prison industrial system reproduces racism, colonialism, and sexual domination.</w:t>
      </w:r>
    </w:p>
    <w:p w14:paraId="323A5632" w14:textId="77777777" w:rsidR="00B23EA5" w:rsidRDefault="00B23EA5" w:rsidP="00B23EA5">
      <w:r w:rsidRPr="005052D9">
        <w:rPr>
          <w:rStyle w:val="Style13ptBold"/>
        </w:rPr>
        <w:t>Loyd 11</w:t>
      </w:r>
      <w:r>
        <w:t>. Jenna Loyd. “American Exceptionalism, Abolition and the Possibilities of Nonkilling Futures” published in “Nonkilling Geography.” pp. 119-120//n*x</w:t>
      </w:r>
    </w:p>
    <w:p w14:paraId="030993D6" w14:textId="77777777" w:rsidR="00B23EA5" w:rsidRDefault="00B23EA5" w:rsidP="00B23EA5">
      <w:r w:rsidRPr="00B139DC">
        <w:rPr>
          <w:u w:val="single"/>
        </w:rPr>
        <w:t xml:space="preserve">The relative </w:t>
      </w:r>
      <w:r w:rsidRPr="00B139DC">
        <w:rPr>
          <w:highlight w:val="yellow"/>
          <w:u w:val="single"/>
        </w:rPr>
        <w:t>invisibility of domestic state violence</w:t>
      </w:r>
      <w:r w:rsidRPr="00B139DC">
        <w:rPr>
          <w:u w:val="single"/>
        </w:rPr>
        <w:t xml:space="preserve"> vis-à-vis war </w:t>
      </w:r>
      <w:r w:rsidRPr="00B139DC">
        <w:rPr>
          <w:highlight w:val="yellow"/>
          <w:u w:val="single"/>
        </w:rPr>
        <w:t>constrains the</w:t>
      </w:r>
      <w:r w:rsidRPr="00B139DC">
        <w:rPr>
          <w:u w:val="single"/>
        </w:rPr>
        <w:t xml:space="preserve"> imagination and </w:t>
      </w:r>
      <w:r w:rsidRPr="00B139DC">
        <w:rPr>
          <w:highlight w:val="yellow"/>
          <w:u w:val="single"/>
        </w:rPr>
        <w:t>imperative for building just</w:t>
      </w:r>
      <w:r w:rsidRPr="00B139DC">
        <w:rPr>
          <w:u w:val="single"/>
        </w:rPr>
        <w:t xml:space="preserve">, free, </w:t>
      </w:r>
      <w:r w:rsidRPr="00B139DC">
        <w:rPr>
          <w:highlight w:val="yellow"/>
          <w:u w:val="single"/>
        </w:rPr>
        <w:t>and peaceful futures</w:t>
      </w:r>
      <w:r>
        <w:t xml:space="preserve">, internationally and domestically. </w:t>
      </w:r>
      <w:r w:rsidRPr="00B139DC">
        <w:rPr>
          <w:rStyle w:val="StyleUnderline"/>
        </w:rPr>
        <w:t xml:space="preserve">Domestic </w:t>
      </w:r>
      <w:r w:rsidRPr="00B139DC">
        <w:rPr>
          <w:rStyle w:val="StyleUnderline"/>
          <w:highlight w:val="yellow"/>
        </w:rPr>
        <w:t>practices of state violence</w:t>
      </w:r>
      <w:r w:rsidRPr="00B139DC">
        <w:rPr>
          <w:rStyle w:val="StyleUnderline"/>
        </w:rPr>
        <w:t xml:space="preserve"> (</w:t>
      </w:r>
      <w:r w:rsidRPr="00B139DC">
        <w:rPr>
          <w:rStyle w:val="StyleUnderline"/>
          <w:highlight w:val="yellow"/>
        </w:rPr>
        <w:t>namely</w:t>
      </w:r>
      <w:r w:rsidRPr="00B139DC">
        <w:rPr>
          <w:rStyle w:val="StyleUnderline"/>
        </w:rPr>
        <w:t xml:space="preserve"> policing and </w:t>
      </w:r>
      <w:r w:rsidRPr="00B139DC">
        <w:rPr>
          <w:rStyle w:val="StyleUnderline"/>
          <w:highlight w:val="yellow"/>
        </w:rPr>
        <w:t>imprisonment</w:t>
      </w:r>
      <w:r w:rsidRPr="00B139DC">
        <w:rPr>
          <w:rStyle w:val="StyleUnderline"/>
        </w:rPr>
        <w:t xml:space="preserve">) are frequently treated as inherently more legitimate than war-making because these practices are founded in popular sovereignty. Yet, these institutions </w:t>
      </w:r>
      <w:r w:rsidRPr="00B139DC">
        <w:rPr>
          <w:rStyle w:val="StyleUnderline"/>
          <w:highlight w:val="yellow"/>
        </w:rPr>
        <w:t>reproduce racial, gender, class, and sexual relations of hierarchy and domination that contribute to family separation, community fragmentation, labor exploitation and</w:t>
      </w:r>
      <w:r w:rsidRPr="00B139DC">
        <w:rPr>
          <w:rStyle w:val="StyleUnderline"/>
        </w:rPr>
        <w:t xml:space="preserve"> premature </w:t>
      </w:r>
      <w:r w:rsidRPr="00B139DC">
        <w:rPr>
          <w:rStyle w:val="StyleUnderline"/>
          <w:highlight w:val="yellow"/>
        </w:rPr>
        <w:t>death</w:t>
      </w:r>
      <w:r w:rsidRPr="00B139DC">
        <w:rPr>
          <w:rStyle w:val="StyleUnderline"/>
        </w:rPr>
        <w:t>. Building a nonkilling future, thus, means challenging the state’s organization for violence that are practiced domestically in the form of defense</w:t>
      </w:r>
      <w:r>
        <w:t xml:space="preserve"> (military-industrial complex) and in the form of </w:t>
      </w:r>
      <w:r w:rsidRPr="00B139DC">
        <w:rPr>
          <w:rStyle w:val="StyleUnderline"/>
        </w:rPr>
        <w:t>prisons and policing as the “answer” to social and economic problems ranging from poverty</w:t>
      </w:r>
      <w:r>
        <w:t xml:space="preserve">, to boisterous youth, to human migration, and drug use (Braz, 2008; Gilmore and Gilmore, 2008). </w:t>
      </w:r>
      <w:r w:rsidRPr="00B139DC">
        <w:rPr>
          <w:rStyle w:val="StyleUnderline"/>
        </w:rPr>
        <w:t xml:space="preserve">It takes sustained ideological work to contain “war” as the only form of state violence and to contain the good sense that war’s harms cannot be confined to weapons, neatly demarcated battlefields, and declarations of wars’ conclusions. </w:t>
      </w:r>
      <w:r w:rsidRPr="00B139DC">
        <w:rPr>
          <w:rStyle w:val="StyleUnderline"/>
          <w:highlight w:val="yellow"/>
        </w:rPr>
        <w:t xml:space="preserve">Building critiques of and movements against state violence means confronting hegemonic </w:t>
      </w:r>
      <w:r w:rsidRPr="00B139DC">
        <w:rPr>
          <w:rStyle w:val="StyleUnderline"/>
          <w:highlight w:val="yellow"/>
        </w:rPr>
        <w:lastRenderedPageBreak/>
        <w:t>frames that understand state violence as exceptional, rather than as normal</w:t>
      </w:r>
      <w:r w:rsidRPr="00B139DC">
        <w:rPr>
          <w:rStyle w:val="StyleUnderline"/>
        </w:rPr>
        <w:t xml:space="preserve"> practices structuring both international relations and domestic governance</w:t>
      </w:r>
      <w:r>
        <w:t xml:space="preserve">. It means asking why denunciations of the “war at home” sound hyperbolic to some Americans. It means asking in what ways domestic practices of state violence are practiced elsewhere and international practices are imported. </w:t>
      </w:r>
      <w:r w:rsidRPr="00B139DC">
        <w:rPr>
          <w:rStyle w:val="StyleUnderline"/>
        </w:rPr>
        <w:t xml:space="preserve">Such cross-boundary traffic in practices (and personnel) of policing, </w:t>
      </w:r>
      <w:r w:rsidRPr="00B139DC">
        <w:rPr>
          <w:rStyle w:val="StyleUnderline"/>
          <w:highlight w:val="yellow"/>
        </w:rPr>
        <w:t>imprisonment and war-making</w:t>
      </w:r>
      <w:r w:rsidRPr="00B139DC">
        <w:rPr>
          <w:rStyle w:val="StyleUnderline"/>
        </w:rPr>
        <w:t xml:space="preserve"> are important for </w:t>
      </w:r>
      <w:r w:rsidRPr="00B139DC">
        <w:rPr>
          <w:rStyle w:val="StyleUnderline"/>
          <w:highlight w:val="yellow"/>
        </w:rPr>
        <w:t>show</w:t>
      </w:r>
      <w:r w:rsidRPr="00B139DC">
        <w:rPr>
          <w:rStyle w:val="StyleUnderline"/>
        </w:rPr>
        <w:t xml:space="preserve">ing that </w:t>
      </w:r>
      <w:r w:rsidRPr="00B139DC">
        <w:rPr>
          <w:rStyle w:val="StyleUnderline"/>
          <w:highlight w:val="yellow"/>
        </w:rPr>
        <w:t>the lines between foreign and domestic, war and peace, civilian and military are constantly blurred</w:t>
      </w:r>
      <w:r w:rsidRPr="00B139DC">
        <w:rPr>
          <w:rStyle w:val="StyleUnderline"/>
        </w:rPr>
        <w:t>.</w:t>
      </w:r>
      <w:r>
        <w:t xml:space="preserve">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w:t>
      </w:r>
      <w:r w:rsidRPr="00B139DC">
        <w:rPr>
          <w:rStyle w:val="StyleUnderline"/>
        </w:rPr>
        <w:t xml:space="preserve">it is to trace the frame of exceptionalism that structures the relations between these places in ways that facilitate violence in both places. As we have seen, </w:t>
      </w:r>
      <w:r w:rsidRPr="00B139DC">
        <w:rPr>
          <w:rStyle w:val="StyleUnderline"/>
          <w:highlight w:val="yellow"/>
        </w:rPr>
        <w:t>the invisibility and naturalization of state violence in the form of the prison is one of the most overlooked sites of American exceptionalism</w:t>
      </w:r>
      <w:r w:rsidRPr="00B139DC">
        <w:rPr>
          <w:rStyle w:val="StyleUnderline"/>
        </w:rPr>
        <w:t xml:space="preserve">, critiques of US state violence, and of antiwar efforts. For precisely this reason, </w:t>
      </w:r>
      <w:r w:rsidRPr="00B139DC">
        <w:rPr>
          <w:rStyle w:val="StyleUnderline"/>
          <w:highlight w:val="yellow"/>
        </w:rPr>
        <w:t>attentions should be placed on challenging the prison regime</w:t>
      </w:r>
      <w:r w:rsidRPr="00B139DC">
        <w:rPr>
          <w:rStyle w:val="StyleUnderline"/>
        </w:rPr>
        <w:t xml:space="preserve"> as one aspect of building nonkilling futures</w:t>
      </w:r>
      <w:r>
        <w:t xml:space="preserve">. For this historical moment, Dylan Rodríguez argues that undoing </w:t>
      </w:r>
      <w:r w:rsidRPr="00B139DC">
        <w:rPr>
          <w:rStyle w:val="StyleUnderline"/>
        </w:rPr>
        <w:t xml:space="preserve">the naturalization of such commonplace violence, centers squarely on an abolitionist pedagogy </w:t>
      </w:r>
      <w:r w:rsidRPr="00B139DC">
        <w:rPr>
          <w:rStyle w:val="StyleUnderline"/>
          <w:highlight w:val="yellow"/>
        </w:rPr>
        <w:t>that works “against</w:t>
      </w:r>
      <w:r w:rsidRPr="00B139DC">
        <w:rPr>
          <w:rStyle w:val="StyleUnderline"/>
        </w:rPr>
        <w:t xml:space="preserve"> the assumptive necessity, integrity, and taken-for-grantedness of prisons, policing, and the </w:t>
      </w:r>
      <w:r w:rsidRPr="00B139DC">
        <w:rPr>
          <w:rStyle w:val="StyleUnderline"/>
          <w:highlight w:val="yellow"/>
        </w:rPr>
        <w:t>normalized state violence</w:t>
      </w:r>
      <w:r w:rsidRPr="00B139DC">
        <w:rPr>
          <w:rStyle w:val="StyleUnderline"/>
        </w:rPr>
        <w:t xml:space="preserve"> they reproduce”</w:t>
      </w:r>
      <w:r>
        <w:t xml:space="preserve"> (2010: 9). </w:t>
      </w:r>
      <w:r w:rsidRPr="00B139DC">
        <w:rPr>
          <w:rStyle w:val="StyleUnderline"/>
        </w:rPr>
        <w:t xml:space="preserve">Dismantling prisons is about </w:t>
      </w:r>
      <w:r w:rsidRPr="00B139DC">
        <w:rPr>
          <w:rStyle w:val="StyleUnderline"/>
          <w:highlight w:val="yellow"/>
        </w:rPr>
        <w:t>dismantling relations of white supremacy, heteropatriarchy and economic exploitation that undermine the possibilities for freedom</w:t>
      </w:r>
      <w:r w:rsidRPr="00B139DC">
        <w:rPr>
          <w:rStyle w:val="StyleUnderline"/>
        </w:rPr>
        <w:t xml:space="preserve"> and human flourishing. Prison abolition has </w:t>
      </w:r>
      <w:r w:rsidRPr="00B139DC">
        <w:rPr>
          <w:rStyle w:val="StyleUnderline"/>
          <w:highlight w:val="yellow"/>
        </w:rPr>
        <w:t>an expansive antiviolence imperative that necessarily demands an end to</w:t>
      </w:r>
      <w:r w:rsidRPr="00B139DC">
        <w:rPr>
          <w:rStyle w:val="StyleUnderline"/>
        </w:rPr>
        <w:t xml:space="preserve"> connected practices of war, </w:t>
      </w:r>
      <w:r w:rsidRPr="00B139DC">
        <w:rPr>
          <w:rStyle w:val="StyleUnderline"/>
          <w:highlight w:val="yellow"/>
        </w:rPr>
        <w:t>colonial dispossession, and imperial rule</w:t>
      </w:r>
      <w:r>
        <w:t xml:space="preserve">. </w:t>
      </w:r>
    </w:p>
    <w:p w14:paraId="217919CA" w14:textId="77777777" w:rsidR="00B23EA5" w:rsidRPr="005052D9" w:rsidRDefault="00B23EA5" w:rsidP="00B23EA5"/>
    <w:p w14:paraId="3DDF11D5" w14:textId="77777777" w:rsidR="00B23EA5" w:rsidRDefault="00B23EA5" w:rsidP="00B23EA5">
      <w:pPr>
        <w:pStyle w:val="Heading4"/>
      </w:pPr>
      <w:r>
        <w:t>Prioritize our framing of prisons – our epistemology cannot be meaningful without an inclusion of those who are incarcerated.</w:t>
      </w:r>
    </w:p>
    <w:p w14:paraId="31BBF2BE" w14:textId="77777777" w:rsidR="00B23EA5" w:rsidRDefault="00B23EA5" w:rsidP="00B23EA5">
      <w:bookmarkStart w:id="3" w:name="_Hlk218002136"/>
      <w:r w:rsidRPr="00432890">
        <w:rPr>
          <w:rStyle w:val="Style13ptBold"/>
        </w:rPr>
        <w:t>Antojado</w:t>
      </w:r>
      <w:bookmarkEnd w:id="3"/>
      <w:r w:rsidRPr="00432890">
        <w:rPr>
          <w:rStyle w:val="Style13ptBold"/>
        </w:rPr>
        <w:t xml:space="preserve"> 25</w:t>
      </w:r>
      <w:r>
        <w:t>. Dwayne Antojado is from the school of social and political sciences, University of Melbourne. ““Nothing About Us Without Us”: Analyzing the Potential Contributions of Lived Experience to Penological Pedagogy,” Journal of Criminal Justice Education Vol. 36, No. 2, pp. 271-276//n*x CJS = C</w:t>
      </w:r>
      <w:r w:rsidRPr="00AF5810">
        <w:t xml:space="preserve">riminal </w:t>
      </w:r>
      <w:r>
        <w:t>J</w:t>
      </w:r>
      <w:r w:rsidRPr="00AF5810">
        <w:t xml:space="preserve">ustice </w:t>
      </w:r>
      <w:r>
        <w:t>S</w:t>
      </w:r>
      <w:r w:rsidRPr="00AF5810">
        <w:t>ystem</w:t>
      </w:r>
    </w:p>
    <w:p w14:paraId="125C3F1D" w14:textId="77777777" w:rsidR="00B23EA5" w:rsidRPr="0034549D" w:rsidRDefault="00B23EA5" w:rsidP="00B23EA5">
      <w:pPr>
        <w:rPr>
          <w:sz w:val="14"/>
        </w:rPr>
      </w:pPr>
      <w:r w:rsidRPr="00AF5810">
        <w:rPr>
          <w:highlight w:val="yellow"/>
          <w:u w:val="single"/>
        </w:rPr>
        <w:t>Criminological knowledge has traditionally been conceptualized as</w:t>
      </w:r>
      <w:r w:rsidRPr="00AF5810">
        <w:rPr>
          <w:u w:val="single"/>
        </w:rPr>
        <w:t xml:space="preserve"> the culmination of meticulous </w:t>
      </w:r>
      <w:r w:rsidRPr="00AF5810">
        <w:rPr>
          <w:highlight w:val="yellow"/>
          <w:u w:val="single"/>
        </w:rPr>
        <w:t>research conducted by scholars</w:t>
      </w:r>
      <w:r w:rsidRPr="00AF5810">
        <w:rPr>
          <w:u w:val="single"/>
        </w:rPr>
        <w:t xml:space="preserve"> and experts. This research is typically comprised of empirical investigations, critical analysis, and theoretical paradigms</w:t>
      </w:r>
      <w:r w:rsidRPr="0034549D">
        <w:rPr>
          <w:sz w:val="14"/>
        </w:rPr>
        <w:t xml:space="preserve"> (Bon&amp; Burke, 2022). Thus, it is presupposed that tertiary education is undertaken by students to stay up-to-date and in alignment with this established paradigm of knowledge acquisition. </w:t>
      </w:r>
      <w:r w:rsidRPr="00AF5810">
        <w:rPr>
          <w:u w:val="single"/>
        </w:rPr>
        <w:t>Nonetheless, the scope of knowledge extends beyond the confines of empirical research and theoretical constructs. Knowledge generation is an everyday phenomenon, evolving as individuals encounter experiences and subsequently learn, reflect, adapt, and transform due to their interactions and memberships within specific societal groups. Recently, a steady but noticeable shift within social sciences has emerged, acknowledging the occurrence of knowledge creation outside the boundaries of traditional theoretical, research, and empirical contexts.</w:t>
      </w:r>
      <w:r w:rsidRPr="0034549D">
        <w:rPr>
          <w:sz w:val="14"/>
        </w:rPr>
        <w:t xml:space="preserve"> 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hold the potential to offer invaluable insights into the nature of mental illness and the efficacy of mental health interventions. </w:t>
      </w:r>
      <w:r w:rsidRPr="0034549D">
        <w:rPr>
          <w:u w:val="single"/>
        </w:rPr>
        <w:t>Within the disability studies sector, Charlton (1998) also proposes the maxim of “</w:t>
      </w:r>
      <w:r w:rsidRPr="0034549D">
        <w:rPr>
          <w:highlight w:val="yellow"/>
          <w:u w:val="single"/>
        </w:rPr>
        <w:t>Nothing About Us Without Us,” arguing that</w:t>
      </w:r>
      <w:r w:rsidRPr="0034549D">
        <w:rPr>
          <w:u w:val="single"/>
        </w:rPr>
        <w:t xml:space="preserve"> the </w:t>
      </w:r>
      <w:r w:rsidRPr="0034549D">
        <w:rPr>
          <w:u w:val="single"/>
        </w:rPr>
        <w:lastRenderedPageBreak/>
        <w:t xml:space="preserve">formulation of </w:t>
      </w:r>
      <w:r w:rsidRPr="0034549D">
        <w:rPr>
          <w:highlight w:val="yellow"/>
          <w:u w:val="single"/>
        </w:rPr>
        <w:t>knowledge</w:t>
      </w:r>
      <w:r w:rsidRPr="0034549D">
        <w:rPr>
          <w:u w:val="single"/>
        </w:rPr>
        <w:t xml:space="preserve"> about disabilities </w:t>
      </w:r>
      <w:r w:rsidRPr="0034549D">
        <w:rPr>
          <w:highlight w:val="yellow"/>
          <w:u w:val="single"/>
        </w:rPr>
        <w:t>cannot be meaningful without the inclusion of those with lived experience</w:t>
      </w:r>
      <w:r w:rsidRPr="0034549D">
        <w:rPr>
          <w:u w:val="single"/>
        </w:rPr>
        <w:t xml:space="preserve"> of disabilities. Mirroring this trajectory, the </w:t>
      </w:r>
      <w:bookmarkStart w:id="4" w:name="_Hlk216771942"/>
      <w:r w:rsidRPr="0034549D">
        <w:rPr>
          <w:u w:val="single"/>
        </w:rPr>
        <w:t xml:space="preserve">criminal justice system </w:t>
      </w:r>
      <w:bookmarkEnd w:id="4"/>
      <w:r w:rsidRPr="0034549D">
        <w:rPr>
          <w:u w:val="single"/>
        </w:rPr>
        <w:t>(CJS)</w:t>
      </w:r>
      <w:r w:rsidRPr="00AF5810">
        <w:rPr>
          <w:u w:val="single"/>
        </w:rPr>
        <w:t xml:space="preserve"> has also begun to subscribe to the lived experience movement</w:t>
      </w:r>
      <w:r w:rsidRPr="0034549D">
        <w:rPr>
          <w:sz w:val="14"/>
        </w:rPr>
        <w:t xml:space="preserve"> prevalent in the mental health sector (Maier et al., 2022). The advent of the peer work force and the implementation of co-production processes in criminal justice underscore the global efforts to integrate lived experience perspectives into criminology and criminal justice (e.g. Johns et al., 2022; Martinovic et al., 2022). </w:t>
      </w:r>
      <w:r w:rsidRPr="00AF5810">
        <w:rPr>
          <w:u w:val="single"/>
        </w:rPr>
        <w:t>The valuable contributions that lived experience can offer to criminological knowledge are increasingly being acknowledged</w:t>
      </w:r>
      <w:r w:rsidRPr="0034549D">
        <w:rPr>
          <w:sz w:val="14"/>
        </w:rPr>
        <w:t xml:space="preserve"> (e.g. Antojado et al., 2023; Martinovic et al., 2022).Despite the continued growth of such efforts, as manifest in the increased recruitment for "lived experience" roles in public and private sector organizations operating within the CJS (e.g. Jesuit Social Services, 2022), the inclusion of lived experience as a pivotal component of penological pedagogy is largely overlooked.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34549D">
        <w:rPr>
          <w:highlight w:val="yellow"/>
          <w:u w:val="single"/>
        </w:rPr>
        <w:t>there is a pressing requirement to include lived experience perspectives in penological pedagogy. This</w:t>
      </w:r>
      <w:r w:rsidRPr="00AF5810">
        <w:rPr>
          <w:u w:val="single"/>
        </w:rPr>
        <w:t xml:space="preserve"> integration </w:t>
      </w:r>
      <w:r w:rsidRPr="0034549D">
        <w:rPr>
          <w:highlight w:val="yellow"/>
          <w:u w:val="single"/>
        </w:rPr>
        <w:t>will equip future</w:t>
      </w:r>
      <w:r w:rsidRPr="00AF5810">
        <w:rPr>
          <w:u w:val="single"/>
        </w:rPr>
        <w:t xml:space="preserve"> criminal justice </w:t>
      </w:r>
      <w:r w:rsidRPr="0034549D">
        <w:rPr>
          <w:highlight w:val="yellow"/>
          <w:u w:val="single"/>
        </w:rPr>
        <w:t>professionals with a comprehensive skill set that allows them to effectively respond to the nuanced complexities of criminal justice interactions.</w:t>
      </w:r>
      <w:r w:rsidRPr="00AF5810">
        <w:rPr>
          <w:u w:val="single"/>
        </w:rPr>
        <w:t xml:space="preserve"> </w:t>
      </w:r>
      <w:r w:rsidRPr="0034549D">
        <w:rPr>
          <w:u w:val="single"/>
        </w:rPr>
        <w:t>The inclusion of lived experience or "insider" perspectives in criminological and criminal justice curricula is not a novel concept</w:t>
      </w:r>
      <w:r w:rsidRPr="0034549D">
        <w:rPr>
          <w:sz w:val="14"/>
        </w:rPr>
        <w:t xml:space="preserve">. Several established university pro-grams, including the Inside-Out Prison Exchange Program (Alexander et al., 2011;Hilinski-Rosick &amp; Blackmer, 2014; Pompa, 2013), Learning Together (Armstrong &amp;Ludlow, 2020; Ludlow et al., 2019), and Walls to Bridges (Fayter, 2016; Kilty &amp; Lehalle,2018),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 This paper advocates for the integration of lived experience perspectives especially of incarceration, into contemporary penological pedagogy. This critical move would enable students to comprehend the practical impacts and realities of theoretical approaches in daily penological practices.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 Convict criminology and lived experience criminology 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(e.g.Brierley, 2023; Clemmer, 1940). This burgeoning field is contemporaneously known as Convict Criminology, spotlighted by luminaries such as Irwin and Cressey (1962),Irwin (1970, 1985), Austin and Irwin (2001), Micklethwaite and Earle (2021), Aresti et al.(2012), Tietjen (2019), Ross et al. (2014), Ross and Darke (2018), Ross and Richards(2003), has led to a robust body of research that uses autoethnography as a core theoretical and methodological approach (King, 2018; Newbold, 2017).However,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&amp;Esbensen, 2016). For instance, Gold (1970) discovered in a U.S. study that out of 20teenagers,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 In the Australian context, the term "convict" is strongly connected to the country’s history of colonization and its deleterious effects on Indigenous Australians (Roscoe&amp;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 Although Convict Criminologists such as Ortiz et al. (2022) argue for the continued use of "convict," their perspective does not take into account the cultural context of countries like Australia, where the term has a different connotation (Pearson, 1999).This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 Theorizing lived experience criminology 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w:t>
      </w:r>
      <w:r w:rsidRPr="0034549D">
        <w:rPr>
          <w:sz w:val="14"/>
        </w:rPr>
        <w:lastRenderedPageBreak/>
        <w:t xml:space="preserve">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 As previously noted, the scope of this paper precludes a comprehensive conceptualization of LEC. Considering that a notable subset of scholars leverages their lived experience, particularly incarceration, to inform their work (Antojado, 2023; Brierley,2023),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 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 such as the austere physical space of a cell, the prison uniform, the isolation imposed by prison walls, </w:t>
      </w:r>
      <w:r w:rsidRPr="0034549D">
        <w:rPr>
          <w:highlight w:val="yellow"/>
          <w:u w:val="single"/>
        </w:rPr>
        <w:t>the</w:t>
      </w:r>
      <w:r w:rsidRPr="0034549D">
        <w:rPr>
          <w:u w:val="single"/>
        </w:rPr>
        <w:t xml:space="preserve"> enforced </w:t>
      </w:r>
      <w:r w:rsidRPr="0034549D">
        <w:rPr>
          <w:highlight w:val="yellow"/>
          <w:u w:val="single"/>
        </w:rPr>
        <w:t>labor of incarcerated individuals, and their interactions</w:t>
      </w:r>
      <w:r w:rsidRPr="0034549D">
        <w:rPr>
          <w:u w:val="single"/>
        </w:rPr>
        <w:t xml:space="preserve"> with their peers </w:t>
      </w:r>
      <w:r w:rsidRPr="0034549D">
        <w:rPr>
          <w:highlight w:val="yellow"/>
          <w:u w:val="single"/>
        </w:rPr>
        <w:t>contribute to the unique “social” that is being created in prisons</w:t>
      </w:r>
      <w:r w:rsidRPr="0034549D">
        <w:rPr>
          <w:u w:val="single"/>
        </w:rPr>
        <w:t xml:space="preserve">. An </w:t>
      </w:r>
      <w:r w:rsidRPr="0034549D">
        <w:rPr>
          <w:highlight w:val="yellow"/>
          <w:u w:val="single"/>
        </w:rPr>
        <w:t>analysis</w:t>
      </w:r>
      <w:r w:rsidRPr="0034549D">
        <w:rPr>
          <w:u w:val="single"/>
        </w:rPr>
        <w:t xml:space="preserve"> of incarcerated individuals’ experiences </w:t>
      </w:r>
      <w:r w:rsidRPr="0034549D">
        <w:rPr>
          <w:highlight w:val="yellow"/>
          <w:u w:val="single"/>
        </w:rPr>
        <w:t>must necessarily consider these dimensions. Without such</w:t>
      </w:r>
      <w:r w:rsidRPr="0034549D">
        <w:rPr>
          <w:u w:val="single"/>
        </w:rPr>
        <w:t xml:space="preserve"> considerations, the </w:t>
      </w:r>
      <w:r w:rsidRPr="0034549D">
        <w:rPr>
          <w:highlight w:val="yellow"/>
          <w:u w:val="single"/>
        </w:rPr>
        <w:t>understanding of the prison experience lacks</w:t>
      </w:r>
      <w:r w:rsidRPr="0034549D">
        <w:rPr>
          <w:u w:val="single"/>
        </w:rPr>
        <w:t xml:space="preserve"> substantive </w:t>
      </w:r>
      <w:r w:rsidRPr="0034549D">
        <w:rPr>
          <w:highlight w:val="yellow"/>
          <w:u w:val="single"/>
        </w:rPr>
        <w:t>depth</w:t>
      </w:r>
      <w:r w:rsidRPr="0034549D">
        <w:rPr>
          <w:u w:val="single"/>
        </w:rPr>
        <w:t xml:space="preserve"> and the context that differentiates these lived experiences from other experiences</w:t>
      </w:r>
      <w:r w:rsidRPr="0034549D">
        <w:rPr>
          <w:sz w:val="14"/>
        </w:rPr>
        <w:t>. Interactions within prisons cannot be reduced to simplistic modes of enquiry that neglector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77EDF813" w14:textId="77777777" w:rsidR="00B23EA5" w:rsidRDefault="00B23EA5" w:rsidP="00B23EA5">
      <w:pPr>
        <w:pStyle w:val="Heading4"/>
      </w:pPr>
      <w:r>
        <w:t>The aff comes first – we have a natural bias that distorts our ability to assess racist behavior or discrimination. This bias means we cannot tell when something is neutral or fair.</w:t>
      </w:r>
    </w:p>
    <w:p w14:paraId="7F52E81C" w14:textId="77777777" w:rsidR="00B23EA5" w:rsidRDefault="00B23EA5" w:rsidP="00B23EA5">
      <w:r w:rsidRPr="003C1923">
        <w:rPr>
          <w:rStyle w:val="Style13ptBold"/>
        </w:rPr>
        <w:t>Wang 6</w:t>
      </w:r>
      <w:r>
        <w:t xml:space="preserve"> Lu-in Wang is a</w:t>
      </w:r>
      <w:r w:rsidRPr="003C1923">
        <w:t xml:space="preserve"> Professor of Law at the University of Pittsburgh School of Law, "Discrimination by Default: How Racism Becomes Routine”, New York University Press, </w:t>
      </w:r>
      <w:r>
        <w:t>2006. Pp. 90 //n*x</w:t>
      </w:r>
    </w:p>
    <w:p w14:paraId="2A9F7A13" w14:textId="77777777" w:rsidR="00B23EA5" w:rsidRDefault="00B23EA5" w:rsidP="00B23EA5">
      <w:r w:rsidRPr="003C1923">
        <w:rPr>
          <w:u w:val="single"/>
        </w:rPr>
        <w:t>Because counterfactual thinking influences our reactions to and explanations of negative events</w:t>
      </w:r>
      <w:r w:rsidRPr="00EA1E46">
        <w:rPr>
          <w:u w:val="single"/>
        </w:rPr>
        <w:t xml:space="preserve">, </w:t>
      </w:r>
      <w:r w:rsidRPr="00EA1E46">
        <w:rPr>
          <w:highlight w:val="yellow"/>
          <w:u w:val="single"/>
        </w:rPr>
        <w:t>biases in counterfactual thinking have the potential to distort our assessments of discriminatory outcomes at several levels</w:t>
      </w:r>
      <w:r w:rsidRPr="003C1923">
        <w:rPr>
          <w:u w:val="single"/>
        </w:rPr>
        <w:t xml:space="preserve">. First, </w:t>
      </w:r>
      <w:r w:rsidRPr="00EA1E46">
        <w:rPr>
          <w:highlight w:val="yellow"/>
          <w:u w:val="single"/>
        </w:rPr>
        <w:t>they can mute our reactions to discrimination generally, leading us to tolerate and</w:t>
      </w:r>
      <w:r w:rsidRPr="003C1923">
        <w:rPr>
          <w:u w:val="single"/>
        </w:rPr>
        <w:t xml:space="preserve"> even to </w:t>
      </w:r>
      <w:r w:rsidRPr="00EA1E46">
        <w:rPr>
          <w:highlight w:val="yellow"/>
          <w:u w:val="single"/>
        </w:rPr>
        <w:t>accept unequal outcomes.</w:t>
      </w:r>
      <w:r>
        <w:t xml:space="preserve"> Our </w:t>
      </w:r>
      <w:r w:rsidRPr="00031533">
        <w:rPr>
          <w:highlight w:val="yellow"/>
          <w:u w:val="single"/>
        </w:rPr>
        <w:t>acceptance of discrimination is</w:t>
      </w:r>
      <w:r w:rsidRPr="003C1923">
        <w:rPr>
          <w:u w:val="single"/>
        </w:rPr>
        <w:t xml:space="preserve"> not due solely to a general indifference or hardness toward groups that are vulnerable to discrimination, but results </w:t>
      </w:r>
      <w:r w:rsidRPr="00031533">
        <w:rPr>
          <w:highlight w:val="yellow"/>
          <w:u w:val="single"/>
        </w:rPr>
        <w:t>in part from the specific ways in which our preference for the normal</w:t>
      </w:r>
      <w:r w:rsidRPr="003C1923">
        <w:rPr>
          <w:u w:val="single"/>
        </w:rPr>
        <w:t xml:space="preserve"> or customary </w:t>
      </w:r>
      <w:r w:rsidRPr="00031533">
        <w:rPr>
          <w:highlight w:val="yellow"/>
          <w:u w:val="single"/>
        </w:rPr>
        <w:t>affects how we process and evaluate events and behavior</w:t>
      </w:r>
      <w:r>
        <w:t xml:space="preserve">. That is, </w:t>
      </w:r>
      <w:r w:rsidRPr="003C1923">
        <w:rPr>
          <w:u w:val="single"/>
        </w:rPr>
        <w:t xml:space="preserve">the </w:t>
      </w:r>
      <w:r w:rsidRPr="00031533">
        <w:rPr>
          <w:highlight w:val="yellow"/>
          <w:u w:val="single"/>
        </w:rPr>
        <w:t>normality bias leads us to</w:t>
      </w:r>
      <w:r w:rsidRPr="003C1923">
        <w:rPr>
          <w:u w:val="single"/>
        </w:rPr>
        <w:t xml:space="preserve"> react less strongly to (and perhaps to </w:t>
      </w:r>
      <w:r w:rsidRPr="00031533">
        <w:rPr>
          <w:highlight w:val="yellow"/>
          <w:u w:val="single"/>
        </w:rPr>
        <w:t>not</w:t>
      </w:r>
      <w:r w:rsidRPr="00031533">
        <w:rPr>
          <w:u w:val="single"/>
        </w:rPr>
        <w:t xml:space="preserve"> even </w:t>
      </w:r>
      <w:r w:rsidRPr="00031533">
        <w:rPr>
          <w:highlight w:val="yellow"/>
          <w:u w:val="single"/>
        </w:rPr>
        <w:t>notice</w:t>
      </w:r>
      <w:r w:rsidRPr="003C1923">
        <w:rPr>
          <w:u w:val="single"/>
        </w:rPr>
        <w:t xml:space="preserve">) </w:t>
      </w:r>
      <w:r w:rsidRPr="00031533">
        <w:rPr>
          <w:highlight w:val="yellow"/>
          <w:u w:val="single"/>
        </w:rPr>
        <w:t>misfortunes that we take for granted</w:t>
      </w:r>
      <w:r w:rsidRPr="003C1923">
        <w:rPr>
          <w:u w:val="single"/>
        </w:rPr>
        <w:t xml:space="preserve"> or that follow an expected pattern</w:t>
      </w:r>
      <w:r>
        <w:t>. This bias also promotes the entrenchment of those patterns because it leads us to accept the established order but to find jarring, and therefore to resist, challenges to those accepted ways. Furthermore</w:t>
      </w:r>
      <w:r w:rsidRPr="003C1923">
        <w:rPr>
          <w:u w:val="single"/>
        </w:rPr>
        <w:t>, it makes it easier for us to justify the established patterns by viewing them as rational and even fair.</w:t>
      </w:r>
      <w:r>
        <w:t xml:space="preserve"> Second, </w:t>
      </w:r>
      <w:r w:rsidRPr="00031533">
        <w:rPr>
          <w:highlight w:val="yellow"/>
          <w:u w:val="single"/>
        </w:rPr>
        <w:t>when a case of alleged discrimination does come under scrutiny, biases</w:t>
      </w:r>
      <w:r w:rsidRPr="003C1923">
        <w:rPr>
          <w:u w:val="single"/>
        </w:rPr>
        <w:t xml:space="preserve"> in counterfactual thinking </w:t>
      </w:r>
      <w:r w:rsidRPr="00031533">
        <w:rPr>
          <w:highlight w:val="yellow"/>
          <w:u w:val="single"/>
        </w:rPr>
        <w:t>can distort our causal explanations of the events in question</w:t>
      </w:r>
      <w:r w:rsidRPr="003C1923">
        <w:rPr>
          <w:u w:val="single"/>
        </w:rPr>
        <w:t xml:space="preserve"> and our evaluations of the parties. Because determining whether discrimination has occurred is “fundamentally an exercise in causal attribution,</w:t>
      </w:r>
      <w:r>
        <w:t>”</w:t>
      </w:r>
      <w:r w:rsidRPr="003C1923">
        <w:rPr>
          <w:vertAlign w:val="superscript"/>
        </w:rPr>
        <w:t>27</w:t>
      </w:r>
      <w:r>
        <w:t xml:space="preserve"> </w:t>
      </w:r>
      <w:r w:rsidRPr="003C1923">
        <w:rPr>
          <w:u w:val="single"/>
        </w:rPr>
        <w:t xml:space="preserve">the relative normality or mutability of the parties’ conduct can influence our judgments of their roles in </w:t>
      </w:r>
      <w:r w:rsidRPr="00031533">
        <w:rPr>
          <w:highlight w:val="yellow"/>
          <w:u w:val="single"/>
        </w:rPr>
        <w:t>producing the outcome in a way that leads us to reduce the perpetrator’s responsibility and ascribe undue responsibility to the victim</w:t>
      </w:r>
      <w:r w:rsidRPr="003C1923">
        <w:rPr>
          <w:u w:val="single"/>
        </w:rPr>
        <w:t xml:space="preserve">. More broadly, our </w:t>
      </w:r>
      <w:r w:rsidRPr="00031533">
        <w:rPr>
          <w:highlight w:val="yellow"/>
          <w:u w:val="single"/>
        </w:rPr>
        <w:t>judgments of blame</w:t>
      </w:r>
      <w:r w:rsidRPr="00031533">
        <w:rPr>
          <w:u w:val="single"/>
        </w:rPr>
        <w:t xml:space="preserve"> and sympathy </w:t>
      </w:r>
      <w:r w:rsidRPr="00031533">
        <w:rPr>
          <w:highlight w:val="yellow"/>
          <w:u w:val="single"/>
        </w:rPr>
        <w:t xml:space="preserve">create a </w:t>
      </w:r>
      <w:r w:rsidRPr="00031533">
        <w:rPr>
          <w:highlight w:val="yellow"/>
          <w:u w:val="single"/>
        </w:rPr>
        <w:lastRenderedPageBreak/>
        <w:t>feedback loop that reinforces the norms</w:t>
      </w:r>
      <w:r w:rsidRPr="00031533">
        <w:rPr>
          <w:u w:val="single"/>
        </w:rPr>
        <w:t xml:space="preserve">, expectations, </w:t>
      </w:r>
      <w:r w:rsidRPr="00031533">
        <w:rPr>
          <w:highlight w:val="yellow"/>
          <w:u w:val="single"/>
        </w:rPr>
        <w:t>and practices that contributed to our biased judgments and perpetuate discriminatory reactions and behavior</w:t>
      </w:r>
      <w:r>
        <w:t>.</w:t>
      </w:r>
    </w:p>
    <w:p w14:paraId="434B329A" w14:textId="71F44D4E" w:rsidR="00B23EA5" w:rsidRDefault="00B23EA5" w:rsidP="00B23EA5">
      <w:pPr>
        <w:pStyle w:val="Heading4"/>
      </w:pPr>
      <w:r>
        <w:t xml:space="preserve">Existential risk threats make zero sense but legitimize eugenics and racism </w:t>
      </w:r>
    </w:p>
    <w:p w14:paraId="36E113BD" w14:textId="77777777" w:rsidR="00B23EA5" w:rsidRPr="00E97D73" w:rsidRDefault="00B23EA5" w:rsidP="00B23EA5">
      <w:r w:rsidRPr="00FD0B0E">
        <w:rPr>
          <w:rStyle w:val="Style13ptBold"/>
        </w:rPr>
        <w:t>Schuster &amp; Woods 21</w:t>
      </w:r>
      <w:r>
        <w:t>. Joshua Schuster is associate professor of English and core faculty member of the Centre for the Study of Theory and Criticism at Western University. Derek Woods is assistant professor of English at the University of British Columbia. “Calamity Theory: Three Critiques of Existential Risk,” published by the University of Minnesota Press. pp.52-58//n*x</w:t>
      </w:r>
    </w:p>
    <w:p w14:paraId="73BF12AC" w14:textId="77777777" w:rsidR="00B23EA5" w:rsidRDefault="00B23EA5" w:rsidP="00B23EA5">
      <w:r w:rsidRPr="006837C5">
        <w:rPr>
          <w:sz w:val="16"/>
        </w:rPr>
        <w:t xml:space="preserve">Another example of Bostrom’s use of probability appears in the first chapter of Superintelligence, where he posits that AI will reach human-level intelligence during our century. In this case, </w:t>
      </w:r>
      <w:r w:rsidRPr="00E8096A">
        <w:rPr>
          <w:rStyle w:val="StyleUnderline"/>
        </w:rPr>
        <w:t xml:space="preserve">the </w:t>
      </w:r>
      <w:r w:rsidRPr="00E8096A">
        <w:rPr>
          <w:rStyle w:val="StyleUnderline"/>
          <w:highlight w:val="yellow"/>
        </w:rPr>
        <w:t>evidence</w:t>
      </w:r>
      <w:r w:rsidRPr="00E8096A">
        <w:rPr>
          <w:rStyle w:val="StyleUnderline"/>
        </w:rPr>
        <w:t xml:space="preserve"> with which </w:t>
      </w:r>
      <w:r w:rsidRPr="00E8096A">
        <w:rPr>
          <w:rStyle w:val="StyleUnderline"/>
          <w:highlight w:val="yellow"/>
        </w:rPr>
        <w:t>to calculate</w:t>
      </w:r>
      <w:r w:rsidRPr="00E8096A">
        <w:rPr>
          <w:rStyle w:val="StyleUnderline"/>
        </w:rPr>
        <w:t xml:space="preserve"> such </w:t>
      </w:r>
      <w:r w:rsidRPr="00E8096A">
        <w:rPr>
          <w:rStyle w:val="StyleUnderline"/>
          <w:highlight w:val="yellow"/>
        </w:rPr>
        <w:t>probabilities comes secondhand from surveys of AI</w:t>
      </w:r>
      <w:r w:rsidRPr="00E8096A">
        <w:rPr>
          <w:rStyle w:val="StyleUnderline"/>
        </w:rPr>
        <w:t xml:space="preserve"> experts recalibrated by Bostrom. </w:t>
      </w:r>
      <w:r w:rsidRPr="00E8096A">
        <w:rPr>
          <w:rStyle w:val="StyleUnderline"/>
          <w:highlight w:val="yellow"/>
        </w:rPr>
        <w:t>Rather than</w:t>
      </w:r>
      <w:r w:rsidRPr="00E8096A">
        <w:rPr>
          <w:rStyle w:val="StyleUnderline"/>
        </w:rPr>
        <w:t xml:space="preserve"> probabilities </w:t>
      </w:r>
      <w:r w:rsidRPr="00E8096A">
        <w:rPr>
          <w:rStyle w:val="StyleUnderline"/>
          <w:highlight w:val="yellow"/>
        </w:rPr>
        <w:t>calculated on</w:t>
      </w:r>
      <w:r w:rsidRPr="00E8096A">
        <w:rPr>
          <w:rStyle w:val="StyleUnderline"/>
        </w:rPr>
        <w:t xml:space="preserve"> the basis of </w:t>
      </w:r>
      <w:r w:rsidRPr="00E8096A">
        <w:rPr>
          <w:rStyle w:val="StyleUnderline"/>
          <w:highlight w:val="yellow"/>
        </w:rPr>
        <w:t>known conditions</w:t>
      </w:r>
      <w:r w:rsidRPr="00E8096A">
        <w:rPr>
          <w:rStyle w:val="StyleUnderline"/>
        </w:rPr>
        <w:t xml:space="preserve"> such as the two sides of a coin or all the data about car accidents used by insurance companies, </w:t>
      </w:r>
      <w:r w:rsidRPr="00E8096A">
        <w:rPr>
          <w:rStyle w:val="StyleUnderline"/>
          <w:highlight w:val="yellow"/>
        </w:rPr>
        <w:t>we have researchers guessing at probabilities, other researchers averaging them out</w:t>
      </w:r>
      <w:r w:rsidRPr="00E8096A">
        <w:rPr>
          <w:rStyle w:val="StyleUnderline"/>
        </w:rPr>
        <w:t xml:space="preserve">, and Bostrom reporting the results. So he is right to admit that </w:t>
      </w:r>
      <w:r w:rsidRPr="00E8096A">
        <w:rPr>
          <w:rStyle w:val="StyleUnderline"/>
          <w:highlight w:val="yellow"/>
        </w:rPr>
        <w:t>small sample sizes, selection biases, and</w:t>
      </w:r>
      <w:r w:rsidRPr="00E8096A">
        <w:rPr>
          <w:rStyle w:val="StyleUnderline"/>
        </w:rPr>
        <w:t xml:space="preserve">—above all—the </w:t>
      </w:r>
      <w:r w:rsidRPr="00E8096A">
        <w:rPr>
          <w:rStyle w:val="StyleUnderline"/>
          <w:highlight w:val="yellow"/>
        </w:rPr>
        <w:t>inherent unreliability of the subjective opinions</w:t>
      </w:r>
      <w:r w:rsidRPr="00E8096A">
        <w:rPr>
          <w:rStyle w:val="StyleUnderline"/>
        </w:rPr>
        <w:t xml:space="preserve"> elicited </w:t>
      </w:r>
      <w:r w:rsidRPr="00E8096A">
        <w:rPr>
          <w:rStyle w:val="StyleUnderline"/>
          <w:highlight w:val="yellow"/>
        </w:rPr>
        <w:t>mean that</w:t>
      </w:r>
      <w:r w:rsidRPr="00E8096A">
        <w:rPr>
          <w:rStyle w:val="StyleUnderline"/>
        </w:rPr>
        <w:t xml:space="preserve"> one should not read too much into these expert surveys and interviews. </w:t>
      </w:r>
      <w:r w:rsidRPr="00E8096A">
        <w:rPr>
          <w:rStyle w:val="StyleUnderline"/>
          <w:highlight w:val="yellow"/>
        </w:rPr>
        <w:t>They do not let us draw any strong conclusion</w:t>
      </w:r>
      <w:r w:rsidRPr="006837C5">
        <w:rPr>
          <w:sz w:val="16"/>
          <w:highlight w:val="yellow"/>
        </w:rPr>
        <w:t>.</w:t>
      </w:r>
      <w:r w:rsidRPr="006837C5">
        <w:rPr>
          <w:sz w:val="16"/>
        </w:rPr>
        <w:t xml:space="preserve">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w:t>
      </w:r>
      <w:r w:rsidRPr="006837C5">
        <w:rPr>
          <w:sz w:val="16"/>
          <w:vertAlign w:val="superscript"/>
        </w:rPr>
        <w:t>15</w:t>
      </w:r>
      <w:r w:rsidRPr="006837C5">
        <w:rPr>
          <w:sz w:val="16"/>
        </w:rPr>
        <w:t xml:space="preserve"> 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w:t>
      </w:r>
      <w:r w:rsidRPr="00E8096A">
        <w:rPr>
          <w:rStyle w:val="StyleUnderline"/>
        </w:rPr>
        <w:t xml:space="preserve">This </w:t>
      </w:r>
      <w:r w:rsidRPr="00E8096A">
        <w:rPr>
          <w:rStyle w:val="StyleUnderline"/>
          <w:highlight w:val="yellow"/>
        </w:rPr>
        <w:t>rhetoric of probability</w:t>
      </w:r>
      <w:r w:rsidRPr="00E8096A">
        <w:rPr>
          <w:rStyle w:val="StyleUnderline"/>
        </w:rPr>
        <w:t xml:space="preserve"> does not </w:t>
      </w:r>
      <w:r w:rsidRPr="00E8096A">
        <w:rPr>
          <w:rStyle w:val="StyleUnderline"/>
          <w:highlight w:val="yellow"/>
        </w:rPr>
        <w:t>amount to</w:t>
      </w:r>
      <w:r w:rsidRPr="00E8096A">
        <w:rPr>
          <w:rStyle w:val="StyleUnderline"/>
        </w:rPr>
        <w:t xml:space="preserve"> anything very different from </w:t>
      </w:r>
      <w:r w:rsidRPr="00E8096A">
        <w:rPr>
          <w:rStyle w:val="StyleUnderline"/>
          <w:highlight w:val="yellow"/>
        </w:rPr>
        <w:t>an unguided estimate</w:t>
      </w:r>
      <w:r w:rsidRPr="006837C5">
        <w:rPr>
          <w:sz w:val="16"/>
        </w:rPr>
        <w:t>. More generously</w:t>
      </w:r>
      <w:r w:rsidRPr="00E8096A">
        <w:rPr>
          <w:rStyle w:val="StyleUnderline"/>
        </w:rPr>
        <w:t>, we can say that the changing opinions of experts allow for guesses that are easier to trust secondhand, and that these guesses can be updated as new evidence arrives</w:t>
      </w:r>
      <w:r w:rsidRPr="006837C5">
        <w:rPr>
          <w:sz w:val="16"/>
        </w:rPr>
        <w:t xml:space="preserve">. Yet they remain guesses about several things that we do not know to be possible in the first place. </w:t>
      </w:r>
      <w:r w:rsidRPr="006837C5">
        <w:rPr>
          <w:rStyle w:val="StyleUnderline"/>
          <w:highlight w:val="yellow"/>
        </w:rPr>
        <w:t>There would seem to be a qualitative difference between such “probabilities”</w:t>
      </w:r>
      <w:r w:rsidRPr="006837C5">
        <w:rPr>
          <w:rStyle w:val="StyleUnderline"/>
        </w:rPr>
        <w:t xml:space="preserve"> (if this is still the right term) </w:t>
      </w:r>
      <w:r w:rsidRPr="006837C5">
        <w:rPr>
          <w:rStyle w:val="StyleUnderline"/>
          <w:highlight w:val="yellow"/>
        </w:rPr>
        <w:t>that involve educated guesses and secondhand surveys, and the kind of probabilistic risk analysis that</w:t>
      </w:r>
      <w:r w:rsidRPr="006837C5">
        <w:rPr>
          <w:rStyle w:val="StyleUnderline"/>
        </w:rPr>
        <w:t xml:space="preserve">, though its conclusions remain uncertain, is able to </w:t>
      </w:r>
      <w:r w:rsidRPr="006837C5">
        <w:rPr>
          <w:rStyle w:val="StyleUnderline"/>
          <w:highlight w:val="yellow"/>
        </w:rPr>
        <w:t>use data about real past events</w:t>
      </w:r>
      <w:r w:rsidRPr="006837C5">
        <w:rPr>
          <w:rStyle w:val="StyleUnderline"/>
        </w:rPr>
        <w:t xml:space="preserve"> to calculate a probability. Surveying the expert community can tell us the probability that a given expert will believe in human extinction by AI, not the probability of the event itself. Given Bostrom’s hedging, </w:t>
      </w:r>
      <w:r w:rsidRPr="006837C5">
        <w:rPr>
          <w:rStyle w:val="StyleUnderline"/>
          <w:highlight w:val="yellow"/>
        </w:rPr>
        <w:t>we are</w:t>
      </w:r>
      <w:r w:rsidRPr="006837C5">
        <w:rPr>
          <w:rStyle w:val="StyleUnderline"/>
        </w:rPr>
        <w:t xml:space="preserve"> not just </w:t>
      </w:r>
      <w:r w:rsidRPr="006837C5">
        <w:rPr>
          <w:rStyle w:val="StyleUnderline"/>
          <w:highlight w:val="yellow"/>
        </w:rPr>
        <w:t>dealing with</w:t>
      </w:r>
      <w:r w:rsidRPr="006837C5">
        <w:rPr>
          <w:rStyle w:val="StyleUnderline"/>
        </w:rPr>
        <w:t xml:space="preserve"> uncertainty but, what is more abstract, </w:t>
      </w:r>
      <w:r w:rsidRPr="006837C5">
        <w:rPr>
          <w:rStyle w:val="StyleUnderline"/>
          <w:highlight w:val="yellow"/>
        </w:rPr>
        <w:t>rhetorical play with uncertainty about uncertainty</w:t>
      </w:r>
      <w:r w:rsidRPr="006837C5">
        <w:rPr>
          <w:rStyle w:val="StyleUnderline"/>
        </w:rPr>
        <w:t>.</w:t>
      </w:r>
      <w:r w:rsidRPr="006837C5">
        <w:rPr>
          <w:sz w:val="16"/>
        </w:rPr>
        <w:t xml:space="preserve"> We would have to be very generous readers to grant that there is some truth to these forecasts when the author is explicitly telling us not to read much into them. Given the fundamentally speculative nature of extinction scenarios, such guesswork is understandable. The problem is when it is also treated as “scientific” and “rational” grounds for political policy—even as the only grounds worth mentioning. Stepping Back from the Precipice 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Pr(H1) as a “prior probability,” new evidence E will give a posterior probability, Pr(H1/E).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 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 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in light of scientific evidence. When there is a lot of evidence, these approaches converge. But when there isn’t, the starting point can matter.17 In an </w:t>
      </w:r>
      <w:r w:rsidRPr="006837C5">
        <w:rPr>
          <w:sz w:val="16"/>
        </w:rPr>
        <w:lastRenderedPageBreak/>
        <w:t xml:space="preserve">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 One could imagine a situation in which these ideas were more innocently speculative, so that the effort to treat guesswork as a foundation would be less problematic. But the mixture of </w:t>
      </w:r>
      <w:r w:rsidRPr="006837C5">
        <w:rPr>
          <w:rStyle w:val="StyleUnderline"/>
          <w:highlight w:val="yellow"/>
        </w:rPr>
        <w:t>util</w:t>
      </w:r>
      <w:r w:rsidRPr="006837C5">
        <w:rPr>
          <w:rStyle w:val="StyleUnderline"/>
        </w:rPr>
        <w:t xml:space="preserve">itarianism and the rhetoric of probability that forms the field’s basic model entails norms about what should be done in the present to mitigate existential risks. These promissory probabilities and their </w:t>
      </w:r>
      <w:r w:rsidRPr="006837C5">
        <w:rPr>
          <w:rStyle w:val="StyleUnderline"/>
          <w:highlight w:val="yellow"/>
        </w:rPr>
        <w:t>norms don’t take place in a political-economic vacuum, isolated from practice</w:t>
      </w:r>
      <w:r w:rsidRPr="006837C5">
        <w:rPr>
          <w:rStyle w:val="StyleUnderline"/>
        </w:rPr>
        <w:t xml:space="preserve">. </w:t>
      </w:r>
      <w:r w:rsidRPr="006837C5">
        <w:rPr>
          <w:rStyle w:val="StyleUnderline"/>
          <w:highlight w:val="yellow"/>
        </w:rPr>
        <w:t>The Future of Humanity Institute</w:t>
      </w:r>
      <w:r w:rsidRPr="006837C5">
        <w:rPr>
          <w:rStyle w:val="StyleUnderline"/>
        </w:rPr>
        <w:t xml:space="preserve">, The </w:t>
      </w:r>
      <w:r w:rsidRPr="006837C5">
        <w:rPr>
          <w:rStyle w:val="StyleUnderline"/>
          <w:highlight w:val="yellow"/>
        </w:rPr>
        <w:t>Future of Life Institute, and</w:t>
      </w:r>
      <w:r w:rsidRPr="006837C5">
        <w:rPr>
          <w:rStyle w:val="StyleUnderline"/>
        </w:rPr>
        <w:t xml:space="preserve"> the </w:t>
      </w:r>
      <w:r w:rsidRPr="006837C5">
        <w:rPr>
          <w:rStyle w:val="StyleUnderline"/>
          <w:highlight w:val="yellow"/>
        </w:rPr>
        <w:t>Centre for the Study of Existential Risk have received</w:t>
      </w:r>
      <w:r w:rsidRPr="006837C5">
        <w:rPr>
          <w:rStyle w:val="StyleUnderline"/>
        </w:rPr>
        <w:t xml:space="preserve"> considerable </w:t>
      </w:r>
      <w:r w:rsidRPr="006837C5">
        <w:rPr>
          <w:rStyle w:val="StyleUnderline"/>
          <w:highlight w:val="yellow"/>
        </w:rPr>
        <w:t>funding, interest, and participation from tech billionaires</w:t>
      </w:r>
      <w:r w:rsidRPr="006837C5">
        <w:rPr>
          <w:rStyle w:val="StyleUnderline"/>
        </w:rPr>
        <w:t xml:space="preserve">. YouTube videos by Bostrom are widely viewed. As their institutional and media footprints suggest, </w:t>
      </w:r>
      <w:r w:rsidRPr="006837C5">
        <w:rPr>
          <w:rStyle w:val="StyleUnderline"/>
          <w:highlight w:val="yellow"/>
        </w:rPr>
        <w:t>this field is not</w:t>
      </w:r>
      <w:r w:rsidRPr="006837C5">
        <w:rPr>
          <w:rStyle w:val="StyleUnderline"/>
        </w:rPr>
        <w:t xml:space="preserve"> at all </w:t>
      </w:r>
      <w:r w:rsidRPr="006837C5">
        <w:rPr>
          <w:rStyle w:val="StyleUnderline"/>
          <w:highlight w:val="yellow"/>
        </w:rPr>
        <w:t>shy about capturing attention and funding</w:t>
      </w:r>
      <w:r w:rsidRPr="006837C5">
        <w:rPr>
          <w:rStyle w:val="StyleUnderline"/>
        </w:rPr>
        <w:t xml:space="preserve">. After offering his belief-type probabilities, Ord argues that humanity has a 1/6 chance of extinction over the next hundred years, and lowering this number should be “a key global priority.”21 </w:t>
      </w:r>
      <w:r w:rsidRPr="006837C5">
        <w:rPr>
          <w:rStyle w:val="StyleUnderline"/>
          <w:highlight w:val="yellow"/>
        </w:rPr>
        <w:t>All five of the major existential risks</w:t>
      </w:r>
      <w:r w:rsidRPr="006837C5">
        <w:rPr>
          <w:rStyle w:val="StyleUnderline"/>
        </w:rPr>
        <w:t>— nuclear war, climate change, other environmental damage, AI, and designed pandemics—“</w:t>
      </w:r>
      <w:r w:rsidRPr="006837C5">
        <w:rPr>
          <w:rStyle w:val="StyleUnderline"/>
          <w:highlight w:val="yellow"/>
        </w:rPr>
        <w:t>warrant major global efforts</w:t>
      </w:r>
      <w:r w:rsidRPr="006837C5">
        <w:rPr>
          <w:rStyle w:val="StyleUnderline"/>
        </w:rPr>
        <w:t xml:space="preserve"> on the grounds of their contribution to existential risk”</w:t>
      </w:r>
      <w:r w:rsidRPr="006837C5">
        <w:rPr>
          <w:sz w:val="16"/>
        </w:rPr>
        <w:t xml:space="preserve">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 Radical political change is needed to ease the effects of global warming and preserve biodiversity, even if they are not extinction risks to humanity. </w:t>
      </w:r>
      <w:r w:rsidRPr="006837C5">
        <w:rPr>
          <w:rStyle w:val="StyleUnderline"/>
        </w:rPr>
        <w:t xml:space="preserve">But </w:t>
      </w:r>
      <w:r w:rsidRPr="006837C5">
        <w:rPr>
          <w:rStyle w:val="StyleUnderline"/>
          <w:highlight w:val="yellow"/>
        </w:rPr>
        <w:t>existential risk studies take such a bird’s eye view of humanity that it is incapable of intervening in a context of austerity measures for education and public services, systemic racism, and extreme, worsening class inequality, among other social problems</w:t>
      </w:r>
      <w:r w:rsidRPr="006837C5">
        <w:rPr>
          <w:rStyle w:val="StyleUnderline"/>
        </w:rPr>
        <w:t>.</w:t>
      </w:r>
      <w:r w:rsidRPr="006837C5">
        <w:rPr>
          <w:sz w:val="16"/>
        </w:rPr>
        <w:t xml:space="preserve"> So these genuine proposals for a massive expansion of existential risk mitigation must compete with other sorely needed fields that are at constant risk of being defunded. In the university space, existential risk studies gather steam and institutional support while </w:t>
      </w:r>
      <w:r w:rsidRPr="006837C5">
        <w:rPr>
          <w:rStyle w:val="StyleUnderline"/>
          <w:highlight w:val="yellow"/>
        </w:rPr>
        <w:t>austerity reigns for</w:t>
      </w:r>
      <w:r w:rsidRPr="006837C5">
        <w:rPr>
          <w:rStyle w:val="StyleUnderline"/>
        </w:rPr>
        <w:t xml:space="preserve"> traditional humanities disciplines as well as for more recent </w:t>
      </w:r>
      <w:r w:rsidRPr="006837C5">
        <w:rPr>
          <w:rStyle w:val="StyleUnderline"/>
          <w:highlight w:val="yellow"/>
        </w:rPr>
        <w:t>fields like critical race studies that educate</w:t>
      </w:r>
      <w:r w:rsidRPr="006837C5">
        <w:rPr>
          <w:rStyle w:val="StyleUnderline"/>
        </w:rPr>
        <w:t xml:space="preserve"> people </w:t>
      </w:r>
      <w:r w:rsidRPr="006837C5">
        <w:rPr>
          <w:rStyle w:val="StyleUnderline"/>
          <w:highlight w:val="yellow"/>
        </w:rPr>
        <w:t>about</w:t>
      </w:r>
      <w:r w:rsidRPr="006837C5">
        <w:rPr>
          <w:rStyle w:val="StyleUnderline"/>
        </w:rPr>
        <w:t xml:space="preserve"> human histories of </w:t>
      </w:r>
      <w:r w:rsidRPr="006837C5">
        <w:rPr>
          <w:rStyle w:val="StyleUnderline"/>
          <w:highlight w:val="yellow"/>
        </w:rPr>
        <w:t>oppression</w:t>
      </w:r>
      <w:r w:rsidRPr="006837C5">
        <w:rPr>
          <w:sz w:val="16"/>
        </w:rPr>
        <w:t xml:space="preserve"> in a time of nationalist and white-supremacist reaction.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in the near future. </w:t>
      </w:r>
      <w:r w:rsidRPr="006837C5">
        <w:rPr>
          <w:rStyle w:val="StyleUnderline"/>
          <w:highlight w:val="yellow"/>
        </w:rPr>
        <w:t>Existential risk analysis is not risk analysis</w:t>
      </w:r>
      <w:r w:rsidRPr="006837C5">
        <w:rPr>
          <w:rStyle w:val="StyleUnderline"/>
        </w:rPr>
        <w:t>. This statement is only slightly hyperbolic</w:t>
      </w:r>
      <w:r w:rsidRPr="006837C5">
        <w:rPr>
          <w:sz w:val="16"/>
        </w:rPr>
        <w:t xml:space="preserve">. To be fair, there are some cases where calculating rough probabilities of planetary extinction seems possible. The frequently cited example is asteroid strikes. But even Ord admits the theoretical limits inherent in calculating the probabilities of unprecedented events—especially the kind that, by definition, would leave no survivors to perform Bayesian updates. From Bostrom and Ćirković’s early Global Catastrophic Risk to the growing archive of relevant papers on the website </w:t>
      </w:r>
      <w:r w:rsidRPr="006837C5">
        <w:rPr>
          <w:rStyle w:val="StyleUnderline"/>
        </w:rPr>
        <w:t xml:space="preserve">of the Centre for the Study of Existential Risk, our reading suggests that </w:t>
      </w:r>
      <w:r w:rsidRPr="006837C5">
        <w:rPr>
          <w:rStyle w:val="StyleUnderline"/>
          <w:highlight w:val="yellow"/>
        </w:rPr>
        <w:t>there is very little actionable probabilistic risk analysis going on in this field</w:t>
      </w:r>
      <w:r w:rsidRPr="006837C5">
        <w:rPr>
          <w:rStyle w:val="StyleUnderline"/>
        </w:rPr>
        <w:t xml:space="preserve">. Perhaps this is due to conceptual incoherence: </w:t>
      </w:r>
      <w:r w:rsidRPr="006837C5">
        <w:rPr>
          <w:rStyle w:val="Emphasis"/>
          <w:highlight w:val="yellow"/>
        </w:rPr>
        <w:t xml:space="preserve">the study of existential risk is founded on an impossible data </w:t>
      </w:r>
      <w:r w:rsidRPr="006837C5">
        <w:rPr>
          <w:rStyle w:val="StyleUnderline"/>
          <w:highlight w:val="yellow"/>
        </w:rPr>
        <w:t>point. Most of the extinction events that form its core object of study are simply not tractable in its model</w:t>
      </w:r>
      <w:r w:rsidRPr="006837C5">
        <w:rPr>
          <w:sz w:val="16"/>
        </w:rPr>
        <w:t xml:space="preserve">. We can study extinction through other methods, but </w:t>
      </w:r>
      <w:r w:rsidRPr="006837C5">
        <w:rPr>
          <w:highlight w:val="yellow"/>
          <w:u w:val="single"/>
        </w:rPr>
        <w:t>we cannot estimate the probability of most extinction events</w:t>
      </w:r>
      <w:r>
        <w:t xml:space="preserve">—especially the kind that matter most to these theorists, which are the “humancaused” or technological ones over which “we” would seem to have the most agency. </w:t>
      </w:r>
    </w:p>
    <w:p w14:paraId="5E15748B" w14:textId="043C4899" w:rsidR="000F1DAB" w:rsidRPr="00B23EA5" w:rsidRDefault="000F1DAB" w:rsidP="00B23EA5"/>
    <w:sectPr w:rsidR="000F1DAB" w:rsidRPr="00B23E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93F22" w14:textId="77777777" w:rsidR="00BB3BB6" w:rsidRDefault="00BB3BB6" w:rsidP="00066D2C">
      <w:pPr>
        <w:spacing w:after="0" w:line="240" w:lineRule="auto"/>
      </w:pPr>
      <w:r>
        <w:separator/>
      </w:r>
    </w:p>
  </w:endnote>
  <w:endnote w:type="continuationSeparator" w:id="0">
    <w:p w14:paraId="2274F018" w14:textId="77777777" w:rsidR="00BB3BB6" w:rsidRDefault="00BB3B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7296E" w14:textId="77777777" w:rsidR="00BB3BB6" w:rsidRDefault="00BB3BB6" w:rsidP="00066D2C">
      <w:pPr>
        <w:spacing w:after="0" w:line="240" w:lineRule="auto"/>
      </w:pPr>
      <w:r>
        <w:separator/>
      </w:r>
    </w:p>
  </w:footnote>
  <w:footnote w:type="continuationSeparator" w:id="0">
    <w:p w14:paraId="076C7A02" w14:textId="77777777" w:rsidR="00BB3BB6" w:rsidRDefault="00BB3B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B23EA5"/>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45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07107"/>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49E5"/>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37CCD"/>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7C9"/>
    <w:rsid w:val="009F34CC"/>
    <w:rsid w:val="009F3C4D"/>
    <w:rsid w:val="009F479E"/>
    <w:rsid w:val="009F66D9"/>
    <w:rsid w:val="00A0322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D1F0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EA5"/>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3BB6"/>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4D6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4290"/>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66D41"/>
  <w15:chartTrackingRefBased/>
  <w15:docId w15:val="{518ED98B-CDD8-8840-BBF9-0DF616FD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290"/>
    <w:rPr>
      <w:rFonts w:ascii="Calibri" w:hAnsi="Calibri" w:cs="Calibri"/>
    </w:rPr>
  </w:style>
  <w:style w:type="paragraph" w:styleId="Heading1">
    <w:name w:val="heading 1"/>
    <w:aliases w:val="Pocket"/>
    <w:basedOn w:val="Normal"/>
    <w:next w:val="Normal"/>
    <w:link w:val="Heading1Char"/>
    <w:qFormat/>
    <w:rsid w:val="00D542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42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Char1 Char,Char1 Char + Left:  2.54 cm,First line:  0 Heading 3,First line:  0 cm,Char Char,Text 7,Tag Char Char,Bold Cite,Char,Heading 3 Char1 Char Char,3: Cite"/>
    <w:basedOn w:val="Normal"/>
    <w:next w:val="Normal"/>
    <w:link w:val="Heading3Char"/>
    <w:uiPriority w:val="2"/>
    <w:qFormat/>
    <w:rsid w:val="00D542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D542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42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42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290"/>
  </w:style>
  <w:style w:type="character" w:styleId="Emphasis">
    <w:name w:val="Emphasis"/>
    <w:aliases w:val="Evidence,Minimized,minimized,Highlighted,tag2,Size 10,emphasis in card,CD Card,ED - Tag,emphasis,Bold Underline,Emphasis!!,small,Qualifications,bold underline,qualifications in card,qualifications,normal card text,Shrunk,Style1,s"/>
    <w:basedOn w:val="DefaultParagraphFont"/>
    <w:link w:val="textbold"/>
    <w:uiPriority w:val="8"/>
    <w:qFormat/>
    <w:rsid w:val="00D542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4290"/>
    <w:rPr>
      <w:color w:val="auto"/>
      <w:u w:val="none"/>
    </w:rPr>
  </w:style>
  <w:style w:type="character" w:customStyle="1" w:styleId="Heading1Char">
    <w:name w:val="Heading 1 Char"/>
    <w:aliases w:val="Pocket Char"/>
    <w:basedOn w:val="DefaultParagraphFont"/>
    <w:link w:val="Heading1"/>
    <w:rsid w:val="00D542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4290"/>
    <w:rPr>
      <w:rFonts w:ascii="Calibri" w:eastAsiaTheme="majorEastAsia" w:hAnsi="Calibri" w:cstheme="majorBidi"/>
      <w:b/>
      <w:sz w:val="44"/>
      <w:szCs w:val="26"/>
      <w:u w:val="double"/>
    </w:rPr>
  </w:style>
  <w:style w:type="character" w:customStyle="1" w:styleId="Heading3Char">
    <w:name w:val="Heading 3 Char"/>
    <w:aliases w:val="Block Char,CardStyle Char,Char Char Char Char Char Char Char Char,Heading 3 Char Char Char, Char Char Char,Char1 Char Char,Char1 Char + Left:  2.54 cm Char,First line:  0 Heading 3 Char,First line:  0 cm Char,Char Char Char,Text 7 Char"/>
    <w:basedOn w:val="DefaultParagraphFont"/>
    <w:link w:val="Heading3"/>
    <w:uiPriority w:val="2"/>
    <w:rsid w:val="00D54290"/>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D5429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D5429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It"/>
    <w:basedOn w:val="DefaultParagraphFont"/>
    <w:uiPriority w:val="7"/>
    <w:qFormat/>
    <w:rsid w:val="00D54290"/>
    <w:rPr>
      <w:b w:val="0"/>
      <w:sz w:val="22"/>
      <w:u w:val="single"/>
    </w:rPr>
  </w:style>
  <w:style w:type="character" w:styleId="Strong">
    <w:name w:val="Strong"/>
    <w:basedOn w:val="DefaultParagraphFont"/>
    <w:uiPriority w:val="22"/>
    <w:semiHidden/>
    <w:qFormat/>
    <w:rsid w:val="00D54290"/>
    <w:rPr>
      <w:b/>
      <w:bCs/>
    </w:rPr>
  </w:style>
  <w:style w:type="character" w:styleId="BookTitle">
    <w:name w:val="Book Title"/>
    <w:basedOn w:val="DefaultParagraphFont"/>
    <w:uiPriority w:val="33"/>
    <w:semiHidden/>
    <w:qFormat/>
    <w:rsid w:val="00D54290"/>
    <w:rPr>
      <w:b/>
      <w:bCs/>
      <w:i/>
      <w:iCs/>
      <w:spacing w:val="5"/>
    </w:rPr>
  </w:style>
  <w:style w:type="character" w:customStyle="1" w:styleId="Heading5Char">
    <w:name w:val="Heading 5 Char"/>
    <w:basedOn w:val="DefaultParagraphFont"/>
    <w:link w:val="Heading5"/>
    <w:uiPriority w:val="9"/>
    <w:semiHidden/>
    <w:rsid w:val="00D542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290"/>
  </w:style>
  <w:style w:type="paragraph" w:styleId="Header">
    <w:name w:val="header"/>
    <w:basedOn w:val="Normal"/>
    <w:link w:val="HeaderChar"/>
    <w:uiPriority w:val="99"/>
    <w:semiHidden/>
    <w:rsid w:val="00D542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4290"/>
    <w:rPr>
      <w:rFonts w:ascii="Calibri" w:hAnsi="Calibri" w:cs="Calibri"/>
    </w:rPr>
  </w:style>
  <w:style w:type="paragraph" w:styleId="Footer">
    <w:name w:val="footer"/>
    <w:basedOn w:val="Normal"/>
    <w:link w:val="FooterChar"/>
    <w:uiPriority w:val="99"/>
    <w:semiHidden/>
    <w:rsid w:val="00D542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4290"/>
    <w:rPr>
      <w:rFonts w:ascii="Calibri" w:hAnsi="Calibri" w:cs="Calibri"/>
    </w:rPr>
  </w:style>
  <w:style w:type="paragraph" w:styleId="BodyText">
    <w:name w:val="Body Text"/>
    <w:basedOn w:val="Normal"/>
    <w:link w:val="BodyTextChar"/>
    <w:uiPriority w:val="99"/>
    <w:semiHidden/>
    <w:unhideWhenUsed/>
    <w:rsid w:val="00D54290"/>
    <w:pPr>
      <w:spacing w:after="120"/>
    </w:pPr>
  </w:style>
  <w:style w:type="character" w:customStyle="1" w:styleId="BodyTextChar">
    <w:name w:val="Body Text Char"/>
    <w:basedOn w:val="DefaultParagraphFont"/>
    <w:link w:val="BodyText"/>
    <w:uiPriority w:val="99"/>
    <w:semiHidden/>
    <w:rsid w:val="00D54290"/>
    <w:rPr>
      <w:rFonts w:ascii="Calibri" w:hAnsi="Calibri" w:cs="Calibri"/>
    </w:rPr>
  </w:style>
  <w:style w:type="paragraph" w:styleId="NoSpacing">
    <w:name w:val="No Spacing"/>
    <w:link w:val="NoSpacingChar"/>
    <w:uiPriority w:val="99"/>
    <w:semiHidden/>
    <w:unhideWhenUsed/>
    <w:qFormat/>
    <w:rsid w:val="00D542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4290"/>
    <w:rPr>
      <w:rFonts w:ascii="Calibri" w:hAnsi="Calibri" w:cs="Calibri"/>
    </w:rPr>
  </w:style>
  <w:style w:type="character" w:styleId="Hyperlink">
    <w:name w:val="Hyperlink"/>
    <w:basedOn w:val="DefaultParagraphFont"/>
    <w:uiPriority w:val="99"/>
    <w:unhideWhenUsed/>
    <w:rsid w:val="00D54290"/>
    <w:rPr>
      <w:color w:val="0563C1" w:themeColor="hyperlink"/>
      <w:u w:val="single"/>
    </w:rPr>
  </w:style>
  <w:style w:type="character" w:styleId="UnresolvedMention">
    <w:name w:val="Unresolved Mention"/>
    <w:basedOn w:val="DefaultParagraphFont"/>
    <w:uiPriority w:val="99"/>
    <w:semiHidden/>
    <w:unhideWhenUsed/>
    <w:rsid w:val="00D54290"/>
    <w:rPr>
      <w:color w:val="605E5C"/>
      <w:shd w:val="clear" w:color="auto" w:fill="E1DFDD"/>
    </w:rPr>
  </w:style>
  <w:style w:type="character" w:customStyle="1" w:styleId="apple-converted-space">
    <w:name w:val="apple-converted-space"/>
    <w:basedOn w:val="DefaultParagraphFont"/>
    <w:rsid w:val="00D54290"/>
  </w:style>
  <w:style w:type="table" w:styleId="TableGrid">
    <w:name w:val="Table Grid"/>
    <w:basedOn w:val="TableNormal"/>
    <w:uiPriority w:val="39"/>
    <w:rsid w:val="00D54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B23EA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19</Pages>
  <Words>12270</Words>
  <Characters>69944</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6</cp:revision>
  <dcterms:created xsi:type="dcterms:W3CDTF">2026-01-03T14:02:00Z</dcterms:created>
  <dcterms:modified xsi:type="dcterms:W3CDTF">2026-01-04T14:03:00Z</dcterms:modified>
</cp:coreProperties>
</file>