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0931" w14:textId="77777777" w:rsidR="004B1769" w:rsidRPr="00D54E73" w:rsidRDefault="004B1769" w:rsidP="004B1769">
      <w:pPr>
        <w:pStyle w:val="Heading1"/>
      </w:pPr>
      <w:r>
        <w:t>2AC – R2 – Gonzaga</w:t>
      </w:r>
    </w:p>
    <w:p w14:paraId="239C9B48" w14:textId="77777777" w:rsidR="004B1769" w:rsidRDefault="004B1769" w:rsidP="004B1769">
      <w:pPr>
        <w:pStyle w:val="Heading2"/>
      </w:pPr>
      <w:r>
        <w:t>Green Bargaining</w:t>
      </w:r>
    </w:p>
    <w:p w14:paraId="3456E9CB" w14:textId="77777777" w:rsidR="004B1769" w:rsidRDefault="004B1769" w:rsidP="004B1769">
      <w:pPr>
        <w:pStyle w:val="Heading2"/>
      </w:pPr>
      <w:r>
        <w:t>Economy</w:t>
      </w:r>
    </w:p>
    <w:p w14:paraId="6014F574" w14:textId="77777777" w:rsidR="004B1769" w:rsidRDefault="004B1769" w:rsidP="004B1769">
      <w:pPr>
        <w:pStyle w:val="Heading3"/>
      </w:pPr>
      <w:r>
        <w:t>AT: Circumvention – T/L – 2AC</w:t>
      </w:r>
    </w:p>
    <w:p w14:paraId="4708D8E2" w14:textId="77777777" w:rsidR="004B1769" w:rsidRPr="00A92DEB" w:rsidRDefault="004B1769" w:rsidP="004B1769">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39753D34" w14:textId="77777777" w:rsidR="004B1769" w:rsidRPr="00123724" w:rsidRDefault="004B1769" w:rsidP="004B1769">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xml:space="preserve">– Professor of Civil Law, Labour Law and Law of Civil Procedure at Bucerius Law School &amp; Doctorate from Bucerius Law School. “A Worthy </w:t>
      </w:r>
      <w:proofErr w:type="gramStart"/>
      <w:r w:rsidRPr="00123724">
        <w:t>Import?:</w:t>
      </w:r>
      <w:proofErr w:type="gramEnd"/>
      <w:r w:rsidRPr="00123724">
        <w:t xml:space="preserve"> Examining the Advantages and Disadvantages of Sectoral Collective Bargaining in Germany,” 09/26/2022, International Center for Law and Economics, https://laweconcenter.org/wp-content/uploads/2022/09/German-Sectoral-Bargaining.pdf</w:t>
      </w:r>
    </w:p>
    <w:p w14:paraId="61B9CB55" w14:textId="77777777" w:rsidR="004B1769" w:rsidRPr="00123724" w:rsidRDefault="004B1769" w:rsidP="004B1769">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2FBA54BF" w14:textId="77777777" w:rsidR="004B1769" w:rsidRPr="00123724" w:rsidRDefault="004B1769" w:rsidP="004B1769">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proofErr w:type="gramStart"/>
      <w:r w:rsidRPr="00123724">
        <w:rPr>
          <w:sz w:val="16"/>
        </w:rPr>
        <w:t>.28</w:t>
      </w:r>
      <w:proofErr w:type="gramEnd"/>
      <w:r w:rsidRPr="00123724">
        <w:rPr>
          <w:sz w:val="16"/>
        </w:rPr>
        <w:t xml:space="preserve">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1A51E733" w14:textId="77777777" w:rsidR="004B1769" w:rsidRPr="00A92DEB" w:rsidRDefault="004B1769" w:rsidP="004B1769">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w:t>
      </w:r>
      <w:proofErr w:type="gramStart"/>
      <w:r w:rsidRPr="00123724">
        <w:rPr>
          <w:u w:val="single"/>
        </w:rPr>
        <w:t>bundles</w:t>
      </w:r>
      <w:proofErr w:type="gramEnd"/>
      <w:r w:rsidRPr="00123724">
        <w:rPr>
          <w:u w:val="single"/>
        </w:rPr>
        <w:t xml:space="preserve">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w:t>
      </w:r>
      <w:proofErr w:type="gramStart"/>
      <w:r w:rsidRPr="00123724">
        <w:rPr>
          <w:u w:val="single"/>
        </w:rPr>
        <w:t>dues</w:t>
      </w:r>
      <w:proofErr w:type="gramEnd"/>
      <w:r w:rsidRPr="00123724">
        <w:rPr>
          <w:u w:val="single"/>
        </w:rPr>
        <w:t xml:space="preserve">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 xml:space="preserve">The more centralized the conduct of </w:t>
      </w:r>
      <w:proofErr w:type="gramStart"/>
      <w:r w:rsidRPr="00123724">
        <w:rPr>
          <w:sz w:val="16"/>
        </w:rPr>
        <w:t>negotiations</w:t>
      </w:r>
      <w:proofErr w:type="gramEnd"/>
      <w:r w:rsidRPr="00123724">
        <w:rPr>
          <w:sz w:val="16"/>
        </w:rPr>
        <w:t xml:space="preserve">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7390958E" w14:textId="77777777" w:rsidR="004B1769" w:rsidRPr="005E6A1A" w:rsidRDefault="004B1769" w:rsidP="004B1769">
      <w:pPr>
        <w:pStyle w:val="Heading3"/>
      </w:pPr>
      <w:r w:rsidRPr="005E6A1A">
        <w:t xml:space="preserve">AT: Circumvention – </w:t>
      </w:r>
      <w:r>
        <w:t>Catch-all</w:t>
      </w:r>
    </w:p>
    <w:p w14:paraId="0CC66220" w14:textId="77777777" w:rsidR="004B1769" w:rsidRPr="005E6A1A" w:rsidRDefault="004B1769" w:rsidP="004B1769">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31AF0AB7" w14:textId="77777777" w:rsidR="004B1769" w:rsidRPr="005E6A1A" w:rsidRDefault="004B1769" w:rsidP="004B1769">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233AE4F3" w14:textId="77777777" w:rsidR="004B1769" w:rsidRPr="005E6A1A" w:rsidRDefault="004B1769" w:rsidP="004B1769">
      <w:pPr>
        <w:rPr>
          <w:sz w:val="16"/>
        </w:rPr>
      </w:pPr>
      <w:r w:rsidRPr="005E6A1A">
        <w:rPr>
          <w:sz w:val="16"/>
        </w:rPr>
        <w:t xml:space="preserve">No one knows what will happen to labor in the coming years </w:t>
      </w:r>
      <w:r w:rsidRPr="005E6A1A">
        <w:rPr>
          <w:u w:val="single"/>
        </w:rPr>
        <w:t xml:space="preserve">under the hostile </w:t>
      </w:r>
      <w:r w:rsidRPr="00474EB9">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474EB9">
        <w:rPr>
          <w:highlight w:val="cyan"/>
          <w:u w:val="single"/>
        </w:rPr>
        <w:t>might</w:t>
      </w:r>
      <w:r w:rsidRPr="005E6A1A">
        <w:rPr>
          <w:u w:val="single"/>
        </w:rPr>
        <w:t xml:space="preserve"> take further actions to </w:t>
      </w:r>
      <w:r w:rsidRPr="00474EB9">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256E0948" w14:textId="77777777" w:rsidR="004B1769" w:rsidRPr="005E6A1A" w:rsidRDefault="004B1769" w:rsidP="004B1769">
      <w:pPr>
        <w:rPr>
          <w:sz w:val="16"/>
        </w:rPr>
      </w:pPr>
      <w:r w:rsidRPr="00474EB9">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474EB9">
        <w:rPr>
          <w:highlight w:val="cyan"/>
          <w:u w:val="single"/>
        </w:rPr>
        <w:t xml:space="preserve">there is </w:t>
      </w:r>
      <w:r w:rsidRPr="00474EB9">
        <w:rPr>
          <w:b/>
          <w:iCs/>
          <w:highlight w:val="cyan"/>
          <w:u w:val="single"/>
          <w:bdr w:val="single" w:sz="8" w:space="0" w:color="auto"/>
        </w:rPr>
        <w:t>still</w:t>
      </w:r>
      <w:r w:rsidRPr="005E6A1A">
        <w:rPr>
          <w:u w:val="single"/>
        </w:rPr>
        <w:t xml:space="preserve"> a National Labor Relations agency </w:t>
      </w:r>
      <w:r w:rsidRPr="00474EB9">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51214E">
        <w:rPr>
          <w:highlight w:val="cyan"/>
          <w:u w:val="single"/>
        </w:rPr>
        <w:t>regional attorneys</w:t>
      </w:r>
      <w:r w:rsidRPr="005E6A1A">
        <w:rPr>
          <w:u w:val="single"/>
        </w:rPr>
        <w:t xml:space="preserve"> and staff are still working, </w:t>
      </w:r>
      <w:r w:rsidRPr="0051214E">
        <w:rPr>
          <w:rStyle w:val="Emphasis"/>
          <w:highlight w:val="cyan"/>
        </w:rPr>
        <w:t>A</w:t>
      </w:r>
      <w:r w:rsidRPr="005E6A1A">
        <w:rPr>
          <w:u w:val="single"/>
        </w:rPr>
        <w:t xml:space="preserve">dministrative </w:t>
      </w:r>
      <w:r w:rsidRPr="0051214E">
        <w:rPr>
          <w:rStyle w:val="Emphasis"/>
          <w:highlight w:val="cyan"/>
        </w:rPr>
        <w:t>L</w:t>
      </w:r>
      <w:r w:rsidRPr="005E6A1A">
        <w:rPr>
          <w:u w:val="single"/>
        </w:rPr>
        <w:t xml:space="preserve">aw </w:t>
      </w:r>
      <w:r w:rsidRPr="0051214E">
        <w:rPr>
          <w:rStyle w:val="Emphasis"/>
          <w:highlight w:val="cyan"/>
        </w:rPr>
        <w:t>J</w:t>
      </w:r>
      <w:r w:rsidRPr="005E6A1A">
        <w:rPr>
          <w:u w:val="single"/>
        </w:rPr>
        <w:t>udge</w:t>
      </w:r>
      <w:r w:rsidRPr="0051214E">
        <w:rPr>
          <w:highlight w:val="cyan"/>
          <w:u w:val="single"/>
        </w:rPr>
        <w:t>s</w:t>
      </w:r>
      <w:r w:rsidRPr="005E6A1A">
        <w:rPr>
          <w:u w:val="single"/>
        </w:rPr>
        <w:t xml:space="preserve"> are still having hearings, </w:t>
      </w:r>
      <w:r w:rsidRPr="0051214E">
        <w:rPr>
          <w:highlight w:val="cyan"/>
          <w:u w:val="single"/>
        </w:rPr>
        <w:t xml:space="preserve">Regional </w:t>
      </w:r>
      <w:r w:rsidRPr="006A129F">
        <w:rPr>
          <w:highlight w:val="cyan"/>
          <w:u w:val="single"/>
        </w:rPr>
        <w:t>Directors are</w:t>
      </w:r>
      <w:r w:rsidRPr="005E6A1A">
        <w:rPr>
          <w:u w:val="single"/>
        </w:rPr>
        <w:t xml:space="preserve"> still </w:t>
      </w:r>
      <w:r w:rsidRPr="006A129F">
        <w:rPr>
          <w:highlight w:val="cyan"/>
          <w:u w:val="single"/>
        </w:rPr>
        <w:t>issuing certifications</w:t>
      </w:r>
      <w:r w:rsidRPr="005E6A1A">
        <w:rPr>
          <w:sz w:val="16"/>
        </w:rPr>
        <w:t xml:space="preserve">. In this moment, what does that mean, what can we do, and what should we avoid? </w:t>
      </w:r>
    </w:p>
    <w:p w14:paraId="0966E22E" w14:textId="77777777" w:rsidR="004B1769" w:rsidRPr="005E6A1A" w:rsidRDefault="004B1769" w:rsidP="004B1769">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 xml:space="preserve">gotten dozens of Complaints issued, ALJ decisions rendered, Decisions &amp; Direction of Elections issued, Hearing Officer and Regional Director decisions delivered, and settlements </w:t>
      </w:r>
      <w:proofErr w:type="gramStart"/>
      <w:r w:rsidRPr="006A129F">
        <w:rPr>
          <w:u w:val="single"/>
        </w:rPr>
        <w:t>entered into</w:t>
      </w:r>
      <w:proofErr w:type="gramEnd"/>
      <w:r w:rsidRPr="006A129F">
        <w:rPr>
          <w:u w:val="single"/>
        </w:rPr>
        <w:t>—</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51214E">
        <w:rPr>
          <w:highlight w:val="cyan"/>
          <w:u w:val="single"/>
        </w:rPr>
        <w:t>have worked under the</w:t>
      </w:r>
      <w:r w:rsidRPr="005E6A1A">
        <w:rPr>
          <w:u w:val="single"/>
        </w:rPr>
        <w:t xml:space="preserve"> status-quo </w:t>
      </w:r>
      <w:r w:rsidRPr="0051214E">
        <w:rPr>
          <w:b/>
          <w:iCs/>
          <w:highlight w:val="cyan"/>
          <w:u w:val="single"/>
          <w:bdr w:val="single" w:sz="8" w:space="0" w:color="auto"/>
        </w:rPr>
        <w:t>under-funded</w:t>
      </w:r>
      <w:r w:rsidRPr="0051214E">
        <w:rPr>
          <w:highlight w:val="cyan"/>
          <w:u w:val="single"/>
        </w:rPr>
        <w:t xml:space="preserve"> Board</w:t>
      </w:r>
      <w:r w:rsidRPr="0051214E">
        <w:rPr>
          <w:u w:val="single"/>
        </w:rPr>
        <w:t xml:space="preserve"> for years,</w:t>
      </w:r>
      <w:r w:rsidRPr="005E6A1A">
        <w:rPr>
          <w:u w:val="single"/>
        </w:rPr>
        <w:t xml:space="preserve"> </w:t>
      </w:r>
      <w:r w:rsidRPr="0051214E">
        <w:rPr>
          <w:highlight w:val="cyan"/>
          <w:u w:val="single"/>
        </w:rPr>
        <w:t>and</w:t>
      </w:r>
      <w:r w:rsidRPr="005E6A1A">
        <w:rPr>
          <w:u w:val="single"/>
        </w:rPr>
        <w:t xml:space="preserve"> under </w:t>
      </w:r>
      <w:r w:rsidRPr="0051214E">
        <w:rPr>
          <w:b/>
          <w:iCs/>
          <w:highlight w:val="cyan"/>
          <w:u w:val="single"/>
          <w:bdr w:val="single" w:sz="8" w:space="0" w:color="auto"/>
        </w:rPr>
        <w:t>hostile</w:t>
      </w:r>
      <w:r w:rsidRPr="005E6A1A">
        <w:rPr>
          <w:b/>
          <w:iCs/>
          <w:u w:val="single"/>
          <w:bdr w:val="single" w:sz="8" w:space="0" w:color="auto"/>
        </w:rPr>
        <w:t xml:space="preserve"> Republican </w:t>
      </w:r>
      <w:r w:rsidRPr="0051214E">
        <w:rPr>
          <w:b/>
          <w:iCs/>
          <w:highlight w:val="cyan"/>
          <w:u w:val="single"/>
          <w:bdr w:val="single" w:sz="8" w:space="0" w:color="auto"/>
        </w:rPr>
        <w:t>administration</w:t>
      </w:r>
      <w:r w:rsidRPr="005E6A1A">
        <w:rPr>
          <w:u w:val="single"/>
        </w:rPr>
        <w:t xml:space="preserve"> boards </w:t>
      </w:r>
      <w:r w:rsidRPr="0051214E">
        <w:rPr>
          <w:b/>
          <w:iCs/>
          <w:highlight w:val="cyan"/>
          <w:u w:val="single"/>
          <w:bdr w:val="single" w:sz="8" w:space="0" w:color="auto"/>
        </w:rPr>
        <w:t>before</w:t>
      </w:r>
      <w:r w:rsidRPr="005E6A1A">
        <w:rPr>
          <w:sz w:val="16"/>
        </w:rPr>
        <w:t xml:space="preserve">—we can mine that experience for strategies to employ today. </w:t>
      </w:r>
    </w:p>
    <w:p w14:paraId="4AFFBC14" w14:textId="77777777" w:rsidR="004B1769" w:rsidRPr="005E6A1A" w:rsidRDefault="004B1769" w:rsidP="004B1769">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4FDF1C0A" w14:textId="77777777" w:rsidR="004B1769" w:rsidRPr="005E6A1A" w:rsidRDefault="004B1769" w:rsidP="004B1769">
      <w:pPr>
        <w:rPr>
          <w:sz w:val="16"/>
        </w:rPr>
      </w:pPr>
      <w:r w:rsidRPr="005E6A1A">
        <w:rPr>
          <w:sz w:val="16"/>
        </w:rPr>
        <w:t>What Does No Board Mean for Forming a Union?</w:t>
      </w:r>
    </w:p>
    <w:p w14:paraId="3D437E21" w14:textId="77777777" w:rsidR="004B1769" w:rsidRPr="005E6A1A" w:rsidRDefault="004B1769" w:rsidP="004B1769">
      <w:pPr>
        <w:rPr>
          <w:u w:val="single"/>
        </w:rPr>
      </w:pPr>
      <w:r w:rsidRPr="005E6A1A">
        <w:rPr>
          <w:sz w:val="16"/>
        </w:rPr>
        <w:t xml:space="preserve">One piece of good news is that </w:t>
      </w:r>
      <w:r w:rsidRPr="005E6A1A">
        <w:rPr>
          <w:u w:val="single"/>
        </w:rPr>
        <w:t xml:space="preserve">the </w:t>
      </w:r>
      <w:r w:rsidRPr="0051214E">
        <w:rPr>
          <w:b/>
          <w:iCs/>
          <w:highlight w:val="cyan"/>
          <w:u w:val="single"/>
          <w:bdr w:val="single" w:sz="8" w:space="0" w:color="auto"/>
        </w:rPr>
        <w:t>expedited rules</w:t>
      </w:r>
      <w:r w:rsidRPr="005E6A1A">
        <w:rPr>
          <w:u w:val="single"/>
        </w:rPr>
        <w:t xml:space="preserve"> for representation proceedings </w:t>
      </w:r>
      <w:r w:rsidRPr="0051214E">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6A129F">
        <w:rPr>
          <w:highlight w:val="cyan"/>
          <w:u w:val="single"/>
        </w:rPr>
        <w:t>it cannot be undone except by</w:t>
      </w:r>
      <w:r w:rsidRPr="005E6A1A">
        <w:rPr>
          <w:u w:val="single"/>
        </w:rPr>
        <w:t xml:space="preserve"> future </w:t>
      </w:r>
      <w:r w:rsidRPr="006A129F">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w:t>
      </w:r>
      <w:proofErr w:type="gramStart"/>
      <w:r w:rsidRPr="005E6A1A">
        <w:rPr>
          <w:sz w:val="16"/>
        </w:rPr>
        <w:t>example</w:t>
      </w:r>
      <w:proofErr w:type="gramEnd"/>
      <w:r w:rsidRPr="005E6A1A">
        <w:rPr>
          <w:sz w:val="16"/>
        </w:rPr>
        <w:t xml:space="preserve"> under the old </w:t>
      </w:r>
      <w:proofErr w:type="gramStart"/>
      <w:r w:rsidRPr="005E6A1A">
        <w:rPr>
          <w:sz w:val="16"/>
        </w:rPr>
        <w:t>rules</w:t>
      </w:r>
      <w:proofErr w:type="gramEnd"/>
      <w:r w:rsidRPr="005E6A1A">
        <w:rPr>
          <w:sz w:val="16"/>
        </w:rPr>
        <w:t xml:space="preserve">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proofErr w:type="gramStart"/>
      <w:r w:rsidRPr="0051214E">
        <w:rPr>
          <w:highlight w:val="cyan"/>
          <w:u w:val="single"/>
        </w:rPr>
        <w:t>the majority of</w:t>
      </w:r>
      <w:proofErr w:type="gramEnd"/>
      <w:r w:rsidRPr="0051214E">
        <w:rPr>
          <w:highlight w:val="cyan"/>
          <w:u w:val="single"/>
        </w:rPr>
        <w:t xml:space="preserve"> issues </w:t>
      </w:r>
      <w:r w:rsidRPr="006A129F">
        <w:rPr>
          <w:highlight w:val="cyan"/>
          <w:u w:val="single"/>
        </w:rPr>
        <w:t xml:space="preserve">are now </w:t>
      </w:r>
      <w:r w:rsidRPr="006A129F">
        <w:rPr>
          <w:b/>
          <w:iCs/>
          <w:highlight w:val="cyan"/>
          <w:u w:val="single"/>
          <w:bdr w:val="single" w:sz="8" w:space="0" w:color="auto"/>
        </w:rPr>
        <w:t>re</w:t>
      </w:r>
      <w:r w:rsidRPr="0051214E">
        <w:rPr>
          <w:b/>
          <w:iCs/>
          <w:highlight w:val="cyan"/>
          <w:u w:val="single"/>
          <w:bdr w:val="single" w:sz="8" w:space="0" w:color="auto"/>
        </w:rPr>
        <w:t>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614A914D" w14:textId="77777777" w:rsidR="004B1769" w:rsidRPr="001058CF" w:rsidRDefault="004B1769" w:rsidP="004B1769">
      <w:pPr>
        <w:rPr>
          <w:u w:val="single"/>
        </w:rPr>
      </w:pPr>
      <w:r w:rsidRPr="005E6A1A">
        <w:rPr>
          <w:sz w:val="16"/>
        </w:rPr>
        <w:t xml:space="preserve">The other good news is that </w:t>
      </w:r>
      <w:r w:rsidRPr="0051214E">
        <w:rPr>
          <w:highlight w:val="cyan"/>
          <w:u w:val="single"/>
        </w:rPr>
        <w:t>certifications</w:t>
      </w:r>
      <w:r w:rsidRPr="005E6A1A">
        <w:rPr>
          <w:u w:val="single"/>
        </w:rPr>
        <w:t>—the legal documents that issue when workers vote to be represented by the union—</w:t>
      </w:r>
      <w:r w:rsidRPr="0051214E">
        <w:rPr>
          <w:highlight w:val="cyan"/>
          <w:u w:val="single"/>
        </w:rPr>
        <w:t>are issued by Regional Directors</w:t>
      </w:r>
      <w:r w:rsidRPr="005E6A1A">
        <w:rPr>
          <w:u w:val="single"/>
        </w:rPr>
        <w:t xml:space="preserve">, not by the Board. </w:t>
      </w:r>
      <w:proofErr w:type="gramStart"/>
      <w:r w:rsidRPr="001058CF">
        <w:rPr>
          <w:highlight w:val="cyan"/>
          <w:u w:val="single"/>
        </w:rPr>
        <w:t>So</w:t>
      </w:r>
      <w:proofErr w:type="gramEnd"/>
      <w:r w:rsidRPr="005E6A1A">
        <w:rPr>
          <w:u w:val="single"/>
        </w:rPr>
        <w:t xml:space="preserve"> when </w:t>
      </w:r>
      <w:r w:rsidRPr="0051214E">
        <w:rPr>
          <w:highlight w:val="cyan"/>
          <w:u w:val="single"/>
        </w:rPr>
        <w:t>unions</w:t>
      </w:r>
      <w:r w:rsidRPr="005E6A1A">
        <w:rPr>
          <w:u w:val="single"/>
        </w:rPr>
        <w:t xml:space="preserve"> win </w:t>
      </w:r>
      <w:proofErr w:type="gramStart"/>
      <w:r w:rsidRPr="005E6A1A">
        <w:rPr>
          <w:u w:val="single"/>
        </w:rPr>
        <w:t>elections</w:t>
      </w:r>
      <w:proofErr w:type="gramEnd"/>
      <w:r w:rsidRPr="005E6A1A">
        <w:rPr>
          <w:u w:val="single"/>
        </w:rPr>
        <w:t xml:space="preserve"> they </w:t>
      </w:r>
      <w:r w:rsidRPr="0051214E">
        <w:rPr>
          <w:highlight w:val="cyan"/>
          <w:u w:val="single"/>
        </w:rPr>
        <w:t xml:space="preserve">will be </w:t>
      </w:r>
      <w:r w:rsidRPr="0051214E">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04B52499" w14:textId="77777777" w:rsidR="004B1769" w:rsidRPr="005E6A1A" w:rsidRDefault="004B1769" w:rsidP="004B1769">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51214E">
        <w:rPr>
          <w:highlight w:val="cyan"/>
          <w:u w:val="single"/>
        </w:rPr>
        <w:t xml:space="preserve">when </w:t>
      </w:r>
      <w:r w:rsidRPr="001058CF">
        <w:rPr>
          <w:u w:val="single"/>
        </w:rPr>
        <w:t xml:space="preserve">the Board does </w:t>
      </w:r>
      <w:r w:rsidRPr="0051214E">
        <w:rPr>
          <w:highlight w:val="cyan"/>
          <w:u w:val="single"/>
        </w:rPr>
        <w:t xml:space="preserve">not </w:t>
      </w:r>
      <w:r w:rsidRPr="001058CF">
        <w:rPr>
          <w:u w:val="single"/>
        </w:rPr>
        <w:t xml:space="preserve">have </w:t>
      </w:r>
      <w:r w:rsidRPr="0051214E">
        <w:rPr>
          <w:highlight w:val="cyan"/>
          <w:u w:val="single"/>
        </w:rPr>
        <w:t>a quorum</w:t>
      </w:r>
      <w:r w:rsidRPr="005E6A1A">
        <w:rPr>
          <w:u w:val="single"/>
        </w:rPr>
        <w:t xml:space="preserve">, the </w:t>
      </w:r>
      <w:r w:rsidRPr="0051214E">
        <w:rPr>
          <w:highlight w:val="cyan"/>
          <w:u w:val="single"/>
        </w:rPr>
        <w:t>automatic impounding</w:t>
      </w:r>
      <w:r w:rsidRPr="005E6A1A">
        <w:rPr>
          <w:u w:val="single"/>
        </w:rPr>
        <w:t xml:space="preserve"> of ballots </w:t>
      </w:r>
      <w:r w:rsidRPr="0051214E">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51214E">
        <w:rPr>
          <w:highlight w:val="cyan"/>
          <w:u w:val="single"/>
        </w:rPr>
        <w:t>cases</w:t>
      </w:r>
      <w:r w:rsidRPr="005E6A1A">
        <w:rPr>
          <w:u w:val="single"/>
        </w:rPr>
        <w:t xml:space="preserve"> may </w:t>
      </w:r>
      <w:r w:rsidRPr="0051214E">
        <w:rPr>
          <w:b/>
          <w:iCs/>
          <w:highlight w:val="cyan"/>
          <w:u w:val="single"/>
          <w:bdr w:val="single" w:sz="8" w:space="0" w:color="auto"/>
        </w:rPr>
        <w:t xml:space="preserve">continue to be </w:t>
      </w:r>
      <w:proofErr w:type="gramStart"/>
      <w:r w:rsidRPr="0051214E">
        <w:rPr>
          <w:b/>
          <w:iCs/>
          <w:highlight w:val="cyan"/>
          <w:u w:val="single"/>
          <w:bdr w:val="single" w:sz="8" w:space="0" w:color="auto"/>
        </w:rPr>
        <w:t>processed</w:t>
      </w:r>
      <w:proofErr w:type="gramEnd"/>
      <w:r w:rsidRPr="005E6A1A">
        <w:rPr>
          <w:u w:val="single"/>
        </w:rPr>
        <w:t xml:space="preserve"> and the appropriate certification should be issued by the Regional Director notwithstanding the pendency of a request for review</w:t>
      </w:r>
      <w:r w:rsidRPr="005E6A1A">
        <w:rPr>
          <w:sz w:val="16"/>
        </w:rPr>
        <w:t>.”</w:t>
      </w:r>
    </w:p>
    <w:p w14:paraId="3449AB18" w14:textId="77777777" w:rsidR="004B1769" w:rsidRPr="001058CF" w:rsidRDefault="004B1769" w:rsidP="004B1769">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09358353" w14:textId="77777777" w:rsidR="004B1769" w:rsidRPr="001058CF" w:rsidRDefault="004B1769" w:rsidP="004B1769">
      <w:pPr>
        <w:rPr>
          <w:sz w:val="16"/>
        </w:rPr>
      </w:pPr>
      <w:r w:rsidRPr="001058CF">
        <w:rPr>
          <w:sz w:val="16"/>
        </w:rPr>
        <w:t>What Does No Board Mean for Enforcing the Act?</w:t>
      </w:r>
    </w:p>
    <w:p w14:paraId="64FBC531" w14:textId="77777777" w:rsidR="004B1769" w:rsidRPr="005E6A1A" w:rsidRDefault="004B1769" w:rsidP="004B1769">
      <w:pPr>
        <w:rPr>
          <w:u w:val="single"/>
        </w:rPr>
      </w:pPr>
      <w:r w:rsidRPr="001058CF">
        <w:rPr>
          <w:sz w:val="16"/>
        </w:rPr>
        <w:t xml:space="preserve">With regards to unfair labor practices (ULPs), the good news is that </w:t>
      </w:r>
      <w:proofErr w:type="gramStart"/>
      <w:r w:rsidRPr="001058CF">
        <w:rPr>
          <w:u w:val="single"/>
        </w:rPr>
        <w:t>the vast majority of</w:t>
      </w:r>
      <w:proofErr w:type="gramEnd"/>
      <w:r w:rsidRPr="001058CF">
        <w:rPr>
          <w:u w:val="single"/>
        </w:rPr>
        <w:t xml:space="preserve"> work associated with processing and prosecuting unfair labor practices is done by </w:t>
      </w:r>
      <w:proofErr w:type="gramStart"/>
      <w:r w:rsidRPr="001058CF">
        <w:rPr>
          <w:b/>
          <w:iCs/>
          <w:u w:val="single"/>
          <w:bdr w:val="single" w:sz="8" w:space="0" w:color="auto"/>
        </w:rPr>
        <w:t>Regional</w:t>
      </w:r>
      <w:proofErr w:type="gramEnd"/>
      <w:r w:rsidRPr="001058CF">
        <w:rPr>
          <w:b/>
          <w:iCs/>
          <w:u w:val="single"/>
          <w:bdr w:val="single" w:sz="8" w:space="0" w:color="auto"/>
        </w:rPr>
        <w:t xml:space="preserve">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w:t>
      </w:r>
      <w:proofErr w:type="gramStart"/>
      <w:r w:rsidRPr="001058CF">
        <w:rPr>
          <w:sz w:val="16"/>
        </w:rPr>
        <w:t>So</w:t>
      </w:r>
      <w:proofErr w:type="gramEnd"/>
      <w:r w:rsidRPr="001058CF">
        <w:rPr>
          <w:sz w:val="16"/>
        </w:rPr>
        <w:t xml:space="preserve"> </w:t>
      </w:r>
      <w:r w:rsidRPr="001058CF">
        <w:rPr>
          <w:u w:val="single"/>
        </w:rPr>
        <w:t>workers or unions</w:t>
      </w:r>
      <w:r w:rsidRPr="001058CF">
        <w:rPr>
          <w:sz w:val="16"/>
        </w:rPr>
        <w:t xml:space="preserve"> (or employers</w:t>
      </w:r>
      <w:r w:rsidRPr="001058CF">
        <w:rPr>
          <w:u w:val="single"/>
        </w:rPr>
        <w:t xml:space="preserve">) can still file unfair labor practice charges, and regional staff </w:t>
      </w:r>
      <w:proofErr w:type="gramStart"/>
      <w:r w:rsidRPr="001058CF">
        <w:rPr>
          <w:u w:val="single"/>
        </w:rPr>
        <w:t>is</w:t>
      </w:r>
      <w:proofErr w:type="gramEnd"/>
      <w:r w:rsidRPr="001058CF">
        <w:rPr>
          <w:u w:val="single"/>
        </w:rPr>
        <w:t xml:space="preserve">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51214E">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51214E">
        <w:rPr>
          <w:highlight w:val="cyan"/>
          <w:u w:val="single"/>
        </w:rPr>
        <w:t>unions can secure</w:t>
      </w:r>
      <w:r w:rsidRPr="005E6A1A">
        <w:rPr>
          <w:u w:val="single"/>
        </w:rPr>
        <w:t xml:space="preserve"> through settlement of ULP charges. </w:t>
      </w:r>
    </w:p>
    <w:p w14:paraId="29C8D1ED" w14:textId="77777777" w:rsidR="004B1769" w:rsidRPr="001058CF" w:rsidRDefault="004B1769" w:rsidP="004B1769">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182A44DF" w14:textId="77777777" w:rsidR="004B1769" w:rsidRPr="0051214E" w:rsidRDefault="004B1769" w:rsidP="004B1769">
      <w:pPr>
        <w:rPr>
          <w:rStyle w:val="Emphasis"/>
        </w:rPr>
      </w:pPr>
      <w:r w:rsidRPr="001058CF">
        <w:rPr>
          <w:u w:val="single"/>
        </w:rPr>
        <w:t xml:space="preserve">Workers and unions have been finding ways to deal with our weak labor laws </w:t>
      </w:r>
      <w:r w:rsidRPr="001058CF">
        <w:rPr>
          <w:b/>
          <w:iCs/>
          <w:u w:val="single"/>
          <w:bdr w:val="single" w:sz="8" w:space="0" w:color="auto"/>
        </w:rPr>
        <w:t>for decades</w:t>
      </w:r>
      <w:r w:rsidRPr="001058CF">
        <w:rPr>
          <w:u w:val="single"/>
        </w:rPr>
        <w:t xml:space="preserve">. Today is </w:t>
      </w:r>
      <w:r w:rsidRPr="001058CF">
        <w:rPr>
          <w:b/>
          <w:iCs/>
          <w:u w:val="single"/>
          <w:bdr w:val="single" w:sz="8" w:space="0" w:color="auto"/>
        </w:rPr>
        <w:t>no exception</w:t>
      </w:r>
      <w:r w:rsidRPr="001058CF">
        <w:rPr>
          <w:u w:val="single"/>
        </w:rPr>
        <w:t>. The overarching</w:t>
      </w:r>
      <w:r w:rsidRPr="005E6A1A">
        <w:rPr>
          <w:u w:val="single"/>
        </w:rPr>
        <w:t xml:space="preserve"> takeaway</w:t>
      </w:r>
      <w:r w:rsidRPr="005E6A1A">
        <w:rPr>
          <w:sz w:val="16"/>
        </w:rPr>
        <w:t xml:space="preserve"> has always been and </w:t>
      </w:r>
      <w:r w:rsidRPr="005E6A1A">
        <w:rPr>
          <w:u w:val="single"/>
        </w:rPr>
        <w:t xml:space="preserve">continues to be that </w:t>
      </w:r>
      <w:r w:rsidRPr="005E6A1A">
        <w:rPr>
          <w:sz w:val="16"/>
        </w:rPr>
        <w:t>the law doesn’t give workers power, workers give workers power. While the Board remains without a quorum</w:t>
      </w:r>
      <w:r w:rsidRPr="005E6A1A">
        <w:rPr>
          <w:sz w:val="16"/>
          <w:u w:val="single"/>
        </w:rPr>
        <w:t xml:space="preserve"> </w:t>
      </w:r>
      <w:r w:rsidRPr="005E6A1A">
        <w:rPr>
          <w:u w:val="single"/>
        </w:rPr>
        <w:t xml:space="preserve">workers and </w:t>
      </w:r>
      <w:r w:rsidRPr="0051214E">
        <w:rPr>
          <w:highlight w:val="cyan"/>
          <w:u w:val="single"/>
        </w:rPr>
        <w:t xml:space="preserve">unions will </w:t>
      </w:r>
      <w:r w:rsidRPr="0051214E">
        <w:rPr>
          <w:sz w:val="16"/>
        </w:rPr>
        <w:t>continue to</w:t>
      </w:r>
      <w:r w:rsidRPr="0051214E">
        <w:rPr>
          <w:b/>
          <w:iCs/>
          <w:sz w:val="16"/>
          <w:u w:val="single"/>
          <w:bdr w:val="single" w:sz="8" w:space="0" w:color="auto"/>
        </w:rPr>
        <w:t xml:space="preserve"> </w:t>
      </w:r>
      <w:r w:rsidRPr="0051214E">
        <w:rPr>
          <w:rStyle w:val="Emphasis"/>
          <w:highlight w:val="cyan"/>
        </w:rPr>
        <w:t>organize around it.</w:t>
      </w:r>
      <w:r w:rsidRPr="0051214E">
        <w:rPr>
          <w:rStyle w:val="Emphasis"/>
        </w:rPr>
        <w:t xml:space="preserve">  </w:t>
      </w:r>
    </w:p>
    <w:p w14:paraId="4736FAA1" w14:textId="77777777" w:rsidR="004B1769" w:rsidRDefault="004B1769" w:rsidP="004B1769">
      <w:pPr>
        <w:pStyle w:val="Heading2"/>
      </w:pPr>
      <w:r>
        <w:t xml:space="preserve">T- Substantial </w:t>
      </w:r>
    </w:p>
    <w:p w14:paraId="7CEA5277" w14:textId="77777777" w:rsidR="004B1769" w:rsidRPr="006F781C" w:rsidRDefault="004B1769" w:rsidP="004B1769">
      <w:pPr>
        <w:pStyle w:val="Heading4"/>
        <w:numPr>
          <w:ilvl w:val="0"/>
          <w:numId w:val="86"/>
        </w:numPr>
      </w:pPr>
      <w:r>
        <w:t xml:space="preserve">CI -- </w:t>
      </w:r>
      <w:r w:rsidRPr="006F781C">
        <w:t xml:space="preserve">A </w:t>
      </w:r>
      <w:r w:rsidRPr="006F781C">
        <w:rPr>
          <w:u w:val="single"/>
        </w:rPr>
        <w:t>substantial</w:t>
      </w:r>
      <w:r w:rsidRPr="006F781C">
        <w:t xml:space="preserve"> change </w:t>
      </w:r>
      <w:r w:rsidRPr="006F781C">
        <w:rPr>
          <w:u w:val="single"/>
        </w:rPr>
        <w:t>specifically</w:t>
      </w:r>
      <w:r w:rsidRPr="006F781C">
        <w:t xml:space="preserve"> allows subsets---it doesn’t need to affect </w:t>
      </w:r>
      <w:r w:rsidRPr="006F781C">
        <w:rPr>
          <w:u w:val="single"/>
        </w:rPr>
        <w:t>ALL</w:t>
      </w:r>
      <w:r w:rsidRPr="006F781C">
        <w:t xml:space="preserve"> collective bargaining rights, only a </w:t>
      </w:r>
      <w:r w:rsidRPr="006F781C">
        <w:rPr>
          <w:u w:val="single"/>
        </w:rPr>
        <w:t>broad</w:t>
      </w:r>
      <w:r w:rsidRPr="006F781C">
        <w:t xml:space="preserve"> change that modifies the rights’ </w:t>
      </w:r>
      <w:r w:rsidRPr="006F781C">
        <w:rPr>
          <w:u w:val="single"/>
        </w:rPr>
        <w:t>core spirit</w:t>
      </w:r>
      <w:r w:rsidRPr="006F781C">
        <w:t xml:space="preserve">. </w:t>
      </w:r>
    </w:p>
    <w:p w14:paraId="446AA9D9" w14:textId="77777777" w:rsidR="004B1769" w:rsidRPr="006F781C" w:rsidRDefault="004B1769" w:rsidP="004B1769">
      <w:r w:rsidRPr="006F781C">
        <w:t xml:space="preserve">Jeffrey Bossert </w:t>
      </w:r>
      <w:r w:rsidRPr="006F781C">
        <w:rPr>
          <w:rStyle w:val="Style13ptBold"/>
        </w:rPr>
        <w:t>Clark et al. 20</w:t>
      </w:r>
      <w:r w:rsidRPr="006F781C">
        <w:t>, Clark is Acting Assistant Attorney General, United States Department of Justice; Scott is United States Attorney; Rosenberg is Assistant Director, United States Department of Justice; Bryce is Trial Attorney, United States Department of Justice Civil Division Federal Programs Branch, "Memorandum in Support of Federal Defendants' Cross Motion for Summary Judgment and Opposition to Plaintiff's Motion for Summary Judgment," Case 2:20-cv-00953-KJM-DB, United States District Court Eastern District of California, 12/18/2020, Lexis</w:t>
      </w:r>
    </w:p>
    <w:p w14:paraId="4B02C52B" w14:textId="77777777" w:rsidR="004B1769" w:rsidRPr="006F781C" w:rsidRDefault="004B1769" w:rsidP="004B1769">
      <w:pPr>
        <w:rPr>
          <w:sz w:val="14"/>
          <w:szCs w:val="20"/>
        </w:rPr>
      </w:pPr>
      <w:r w:rsidRPr="006F781C">
        <w:rPr>
          <w:sz w:val="14"/>
          <w:szCs w:val="20"/>
        </w:rPr>
        <w:t>1. Plaintiffs’ “Holistic” Interpretation of Section 13(c) Is Unpersuasive and Does Not Support Their Preferred Result</w:t>
      </w:r>
    </w:p>
    <w:p w14:paraId="4452EC92" w14:textId="77777777" w:rsidR="004B1769" w:rsidRPr="006F781C" w:rsidRDefault="004B1769" w:rsidP="004B1769">
      <w:pPr>
        <w:rPr>
          <w:sz w:val="14"/>
          <w:szCs w:val="20"/>
        </w:rPr>
      </w:pPr>
      <w:r w:rsidRPr="006F781C">
        <w:rPr>
          <w:sz w:val="14"/>
          <w:szCs w:val="20"/>
        </w:rPr>
        <w:t xml:space="preserve">Plaintiffs offer little in the way of textual support for their claim that the statute compels their preferred result. Indeed, plaintiffs concede that the phrase “continuation of collective bargaining rights,” standing alone, is “not altogether clear.” Pl. MSJ at 8. Nonetheless, they argue that when Section 13(c)(2) is read in a “holistic” manner, it requires denial of certification. Pl. MSJ </w:t>
      </w:r>
      <w:proofErr w:type="gramStart"/>
      <w:r w:rsidRPr="006F781C">
        <w:rPr>
          <w:sz w:val="14"/>
          <w:szCs w:val="20"/>
        </w:rPr>
        <w:t>at</w:t>
      </w:r>
      <w:proofErr w:type="gramEnd"/>
      <w:r w:rsidRPr="006F781C">
        <w:rPr>
          <w:sz w:val="14"/>
          <w:szCs w:val="20"/>
        </w:rPr>
        <w:t xml:space="preserve"> 8-12. They are incorrect.</w:t>
      </w:r>
    </w:p>
    <w:p w14:paraId="3C4A70BC" w14:textId="77777777" w:rsidR="004B1769" w:rsidRDefault="004B1769" w:rsidP="004B1769">
      <w:pPr>
        <w:rPr>
          <w:sz w:val="14"/>
          <w:szCs w:val="20"/>
        </w:rPr>
      </w:pPr>
      <w:r w:rsidRPr="006F781C">
        <w:rPr>
          <w:rStyle w:val="StyleUnderline"/>
        </w:rPr>
        <w:t>Plaintiffs</w:t>
      </w:r>
      <w:r w:rsidRPr="006F781C">
        <w:rPr>
          <w:sz w:val="14"/>
          <w:szCs w:val="20"/>
        </w:rPr>
        <w:t xml:space="preserve"> first </w:t>
      </w:r>
      <w:r w:rsidRPr="006F781C">
        <w:rPr>
          <w:rStyle w:val="StyleUnderline"/>
        </w:rPr>
        <w:t>argue that the term “</w:t>
      </w:r>
      <w:r w:rsidRPr="00C93704">
        <w:rPr>
          <w:rStyle w:val="StyleUnderline"/>
          <w:highlight w:val="cyan"/>
        </w:rPr>
        <w:t>collective bargaining rights”</w:t>
      </w:r>
      <w:r w:rsidRPr="006F781C">
        <w:rPr>
          <w:rStyle w:val="StyleUnderline"/>
        </w:rPr>
        <w:t xml:space="preserve"> should be </w:t>
      </w:r>
      <w:r w:rsidRPr="00C93704">
        <w:rPr>
          <w:rStyle w:val="StyleUnderline"/>
          <w:highlight w:val="cyan"/>
        </w:rPr>
        <w:t>construed in context to incorporate a “</w:t>
      </w:r>
      <w:r w:rsidRPr="00C93704">
        <w:rPr>
          <w:rStyle w:val="Emphasis"/>
          <w:highlight w:val="cyan"/>
        </w:rPr>
        <w:t>bundle</w:t>
      </w:r>
      <w:r w:rsidRPr="00C93704">
        <w:rPr>
          <w:sz w:val="14"/>
          <w:szCs w:val="20"/>
          <w:highlight w:val="cyan"/>
        </w:rPr>
        <w:t xml:space="preserve"> </w:t>
      </w:r>
      <w:r w:rsidRPr="00C93704">
        <w:rPr>
          <w:rStyle w:val="StyleUnderline"/>
          <w:highlight w:val="cyan"/>
        </w:rPr>
        <w:t>of ‘rights’</w:t>
      </w:r>
      <w:r w:rsidRPr="00C93704">
        <w:rPr>
          <w:sz w:val="14"/>
          <w:szCs w:val="20"/>
          <w:highlight w:val="cyan"/>
        </w:rPr>
        <w:t xml:space="preserve"> (</w:t>
      </w:r>
      <w:r w:rsidRPr="00C93704">
        <w:rPr>
          <w:rStyle w:val="Emphasis"/>
          <w:highlight w:val="cyan"/>
        </w:rPr>
        <w:t>plural</w:t>
      </w:r>
      <w:r w:rsidRPr="006F781C">
        <w:rPr>
          <w:sz w:val="14"/>
          <w:szCs w:val="20"/>
        </w:rPr>
        <w:t xml:space="preserve">)” </w:t>
      </w:r>
      <w:r w:rsidRPr="006F781C">
        <w:rPr>
          <w:rStyle w:val="StyleUnderline"/>
        </w:rPr>
        <w:t>that employees have under the NLRA, including a prohibition on</w:t>
      </w:r>
      <w:r w:rsidRPr="006F781C">
        <w:rPr>
          <w:sz w:val="14"/>
          <w:szCs w:val="20"/>
        </w:rPr>
        <w:t xml:space="preserve"> employers making </w:t>
      </w:r>
      <w:r w:rsidRPr="00C93704">
        <w:rPr>
          <w:rStyle w:val="StyleUnderline"/>
          <w:highlight w:val="cyan"/>
        </w:rPr>
        <w:t>even</w:t>
      </w:r>
      <w:r w:rsidRPr="00C93704">
        <w:rPr>
          <w:sz w:val="14"/>
          <w:szCs w:val="20"/>
          <w:highlight w:val="cyan"/>
        </w:rPr>
        <w:t xml:space="preserve"> </w:t>
      </w:r>
      <w:r w:rsidRPr="00C93704">
        <w:rPr>
          <w:rStyle w:val="Emphasis"/>
          <w:highlight w:val="cyan"/>
        </w:rPr>
        <w:t>minimal unilateral changes</w:t>
      </w:r>
      <w:r w:rsidRPr="006F781C">
        <w:rPr>
          <w:sz w:val="14"/>
          <w:szCs w:val="20"/>
        </w:rPr>
        <w:t xml:space="preserve"> </w:t>
      </w:r>
      <w:r w:rsidRPr="006F781C">
        <w:rPr>
          <w:rStyle w:val="StyleUnderline"/>
        </w:rPr>
        <w:t>to the terms and conditions of employment</w:t>
      </w:r>
      <w:r w:rsidRPr="006F781C">
        <w:rPr>
          <w:sz w:val="14"/>
          <w:szCs w:val="20"/>
        </w:rPr>
        <w:t xml:space="preserve">. See Pl. MSJ at 8-12. From this premise, plaintiffs conclude that Congress intended to preclude certification in </w:t>
      </w:r>
      <w:proofErr w:type="gramStart"/>
      <w:r w:rsidRPr="006F781C">
        <w:rPr>
          <w:sz w:val="14"/>
          <w:szCs w:val="20"/>
        </w:rPr>
        <w:t>any and all</w:t>
      </w:r>
      <w:proofErr w:type="gramEnd"/>
      <w:r w:rsidRPr="006F781C">
        <w:rPr>
          <w:sz w:val="14"/>
          <w:szCs w:val="20"/>
        </w:rPr>
        <w:t xml:space="preserve"> instances where a state law unilaterally imposes restrictions on basic terms of employment. See id. </w:t>
      </w:r>
      <w:r w:rsidRPr="006F781C">
        <w:rPr>
          <w:rStyle w:val="StyleUnderline"/>
        </w:rPr>
        <w:t>But</w:t>
      </w:r>
      <w:r w:rsidRPr="006F781C">
        <w:rPr>
          <w:sz w:val="14"/>
          <w:szCs w:val="20"/>
        </w:rPr>
        <w:t xml:space="preserve"> this argument relies heavily on DOL’s 2015 historical analysis of NRLA case law, rather than the language of the statute, see Pl. MSJ at 9, and the Court has already found that this analysis did not support a finding that certification must be denied. See Cal. II, 2016 WL 4441221, at *19-21. As this Court recognized, </w:t>
      </w:r>
      <w:r w:rsidRPr="00C93704">
        <w:rPr>
          <w:rStyle w:val="StyleUnderline"/>
          <w:highlight w:val="cyan"/>
        </w:rPr>
        <w:t xml:space="preserve">providing a </w:t>
      </w:r>
      <w:r w:rsidRPr="00C93704">
        <w:rPr>
          <w:rStyle w:val="Emphasis"/>
          <w:highlight w:val="cyan"/>
        </w:rPr>
        <w:t>definition</w:t>
      </w:r>
      <w:r w:rsidRPr="00C93704">
        <w:rPr>
          <w:rStyle w:val="StyleUnderline"/>
          <w:highlight w:val="cyan"/>
        </w:rPr>
        <w:t xml:space="preserve"> of</w:t>
      </w:r>
      <w:r w:rsidRPr="00C93704">
        <w:rPr>
          <w:sz w:val="14"/>
          <w:szCs w:val="20"/>
          <w:highlight w:val="cyan"/>
        </w:rPr>
        <w:t xml:space="preserve"> </w:t>
      </w:r>
      <w:r w:rsidRPr="00C93704">
        <w:rPr>
          <w:rStyle w:val="Emphasis"/>
          <w:highlight w:val="cyan"/>
        </w:rPr>
        <w:t>“collective bargaining rights”</w:t>
      </w:r>
      <w:r w:rsidRPr="00C93704">
        <w:rPr>
          <w:sz w:val="14"/>
          <w:szCs w:val="20"/>
          <w:highlight w:val="cyan"/>
        </w:rPr>
        <w:t xml:space="preserve"> </w:t>
      </w:r>
      <w:r w:rsidRPr="00C93704">
        <w:rPr>
          <w:rStyle w:val="StyleUnderline"/>
          <w:highlight w:val="cyan"/>
        </w:rPr>
        <w:t>does</w:t>
      </w:r>
      <w:r w:rsidRPr="00C93704">
        <w:rPr>
          <w:sz w:val="14"/>
          <w:szCs w:val="20"/>
          <w:highlight w:val="cyan"/>
        </w:rPr>
        <w:t xml:space="preserve"> </w:t>
      </w:r>
      <w:r w:rsidRPr="00C93704">
        <w:rPr>
          <w:rStyle w:val="Emphasis"/>
          <w:highlight w:val="cyan"/>
        </w:rPr>
        <w:t>no</w:t>
      </w:r>
      <w:r w:rsidRPr="006F781C">
        <w:rPr>
          <w:rStyle w:val="Emphasis"/>
        </w:rPr>
        <w:t>t</w:t>
      </w:r>
      <w:r w:rsidRPr="006F781C">
        <w:rPr>
          <w:sz w:val="14"/>
          <w:szCs w:val="20"/>
        </w:rPr>
        <w:t xml:space="preserve"> automatically </w:t>
      </w:r>
      <w:r w:rsidRPr="00C93704">
        <w:rPr>
          <w:rStyle w:val="StyleUnderline"/>
          <w:highlight w:val="cyan"/>
        </w:rPr>
        <w:t>resolve what the</w:t>
      </w:r>
      <w:r w:rsidRPr="00C93704">
        <w:rPr>
          <w:sz w:val="14"/>
          <w:szCs w:val="20"/>
          <w:highlight w:val="cyan"/>
        </w:rPr>
        <w:t xml:space="preserve"> </w:t>
      </w:r>
      <w:r w:rsidRPr="00C93704">
        <w:rPr>
          <w:rStyle w:val="Emphasis"/>
          <w:highlight w:val="cyan"/>
        </w:rPr>
        <w:t>“continuation”</w:t>
      </w:r>
      <w:r w:rsidRPr="00C93704">
        <w:rPr>
          <w:sz w:val="14"/>
          <w:szCs w:val="20"/>
          <w:highlight w:val="cyan"/>
        </w:rPr>
        <w:t xml:space="preserve"> </w:t>
      </w:r>
      <w:r w:rsidRPr="00C93704">
        <w:rPr>
          <w:rStyle w:val="StyleUnderline"/>
          <w:highlight w:val="cyan"/>
        </w:rPr>
        <w:t>of such rights entails</w:t>
      </w:r>
      <w:r w:rsidRPr="006F781C">
        <w:rPr>
          <w:sz w:val="14"/>
          <w:szCs w:val="20"/>
        </w:rPr>
        <w:t xml:space="preserve">. See id. at *19 (stating, inter alia, that </w:t>
      </w:r>
      <w:r w:rsidRPr="006F781C">
        <w:rPr>
          <w:rStyle w:val="StyleUnderline"/>
        </w:rPr>
        <w:t xml:space="preserve">it “do[es] not necessarily follow” that Congress intended to require collective bargaining “over </w:t>
      </w:r>
      <w:r w:rsidRPr="006F781C">
        <w:rPr>
          <w:rStyle w:val="Emphasis"/>
        </w:rPr>
        <w:t>every change</w:t>
      </w:r>
      <w:r w:rsidRPr="006F781C">
        <w:rPr>
          <w:sz w:val="14"/>
          <w:szCs w:val="20"/>
        </w:rPr>
        <w:t xml:space="preserve"> a state makes to pension plans or retirement provisions,” </w:t>
      </w:r>
      <w:r w:rsidRPr="006F781C">
        <w:rPr>
          <w:rStyle w:val="StyleUnderline"/>
        </w:rPr>
        <w:t xml:space="preserve">or </w:t>
      </w:r>
      <w:r w:rsidRPr="00C93704">
        <w:rPr>
          <w:rStyle w:val="StyleUnderline"/>
          <w:highlight w:val="cyan"/>
        </w:rPr>
        <w:t>that even</w:t>
      </w:r>
      <w:r w:rsidRPr="00C93704">
        <w:rPr>
          <w:sz w:val="14"/>
          <w:szCs w:val="20"/>
          <w:highlight w:val="cyan"/>
        </w:rPr>
        <w:t xml:space="preserve"> </w:t>
      </w:r>
      <w:r w:rsidRPr="00C93704">
        <w:rPr>
          <w:rStyle w:val="Emphasis"/>
          <w:highlight w:val="cyan"/>
        </w:rPr>
        <w:t>“minimal</w:t>
      </w:r>
      <w:r w:rsidRPr="00C93704">
        <w:rPr>
          <w:sz w:val="14"/>
          <w:szCs w:val="20"/>
          <w:highlight w:val="cyan"/>
        </w:rPr>
        <w:t xml:space="preserve"> </w:t>
      </w:r>
      <w:r w:rsidRPr="00C93704">
        <w:rPr>
          <w:rStyle w:val="StyleUnderline"/>
          <w:highlight w:val="cyan"/>
        </w:rPr>
        <w:t>unilateral changes” would prevent “</w:t>
      </w:r>
      <w:r w:rsidRPr="00C93704">
        <w:rPr>
          <w:rStyle w:val="Emphasis"/>
          <w:highlight w:val="cyan"/>
        </w:rPr>
        <w:t>continuation</w:t>
      </w:r>
      <w:r w:rsidRPr="00C93704">
        <w:rPr>
          <w:sz w:val="14"/>
          <w:szCs w:val="20"/>
          <w:highlight w:val="cyan"/>
        </w:rPr>
        <w:t xml:space="preserve"> </w:t>
      </w:r>
      <w:r w:rsidRPr="00C93704">
        <w:rPr>
          <w:rStyle w:val="StyleUnderline"/>
          <w:highlight w:val="cyan"/>
        </w:rPr>
        <w:t>of collective bargaining</w:t>
      </w:r>
      <w:r w:rsidRPr="006F781C">
        <w:rPr>
          <w:rStyle w:val="StyleUnderline"/>
        </w:rPr>
        <w:t xml:space="preserve"> rights</w:t>
      </w:r>
      <w:r w:rsidRPr="006F781C">
        <w:rPr>
          <w:sz w:val="14"/>
          <w:szCs w:val="20"/>
        </w:rPr>
        <w:t>” or preclude certification under Section 13(c)(2)). “</w:t>
      </w:r>
      <w:r w:rsidRPr="006F781C">
        <w:rPr>
          <w:rStyle w:val="StyleUnderline"/>
        </w:rPr>
        <w:t>If Congress had intended</w:t>
      </w:r>
      <w:r w:rsidRPr="006F781C">
        <w:rPr>
          <w:sz w:val="14"/>
          <w:szCs w:val="20"/>
        </w:rPr>
        <w:t xml:space="preserve"> for the Labor Secretary to approve </w:t>
      </w:r>
      <w:r w:rsidRPr="006F781C">
        <w:rPr>
          <w:rStyle w:val="StyleUnderline"/>
        </w:rPr>
        <w:t>federal funding only when</w:t>
      </w:r>
      <w:r w:rsidRPr="006F781C">
        <w:rPr>
          <w:sz w:val="14"/>
          <w:szCs w:val="20"/>
        </w:rPr>
        <w:t xml:space="preserve"> a state’s collective bargaining </w:t>
      </w:r>
      <w:r w:rsidRPr="006F781C">
        <w:rPr>
          <w:rStyle w:val="StyleUnderline"/>
        </w:rPr>
        <w:t>laws would not have violated the</w:t>
      </w:r>
      <w:r w:rsidRPr="006F781C">
        <w:rPr>
          <w:sz w:val="14"/>
          <w:szCs w:val="20"/>
        </w:rPr>
        <w:t xml:space="preserve"> </w:t>
      </w:r>
      <w:r w:rsidRPr="006F781C">
        <w:rPr>
          <w:rStyle w:val="Emphasis"/>
        </w:rPr>
        <w:t>NLRA</w:t>
      </w:r>
      <w:r w:rsidRPr="006F781C">
        <w:rPr>
          <w:sz w:val="14"/>
          <w:szCs w:val="20"/>
        </w:rPr>
        <w:t xml:space="preserve"> if adopted by a private employer, </w:t>
      </w:r>
      <w:r w:rsidRPr="006F781C">
        <w:rPr>
          <w:rStyle w:val="StyleUnderline"/>
        </w:rPr>
        <w:t xml:space="preserve">Congress could have </w:t>
      </w:r>
      <w:r w:rsidRPr="006F781C">
        <w:rPr>
          <w:rStyle w:val="Emphasis"/>
        </w:rPr>
        <w:t>cited</w:t>
      </w:r>
      <w:r w:rsidRPr="006F781C">
        <w:rPr>
          <w:sz w:val="14"/>
          <w:szCs w:val="20"/>
        </w:rPr>
        <w:t xml:space="preserve"> section 8(d) of </w:t>
      </w:r>
      <w:r w:rsidRPr="006F781C">
        <w:rPr>
          <w:rStyle w:val="Emphasis"/>
        </w:rPr>
        <w:t>that Act</w:t>
      </w:r>
      <w:r w:rsidRPr="006F781C">
        <w:rPr>
          <w:sz w:val="14"/>
          <w:szCs w:val="20"/>
        </w:rPr>
        <w:t xml:space="preserve">.” Cal. II, 2016 WL 4441221, at *19; see also 29 U.S.C. § 158(d) (codification of the definition of collective bargaining in Section 8(d) of the NLRA). </w:t>
      </w:r>
      <w:r w:rsidRPr="006F781C">
        <w:rPr>
          <w:rStyle w:val="Emphasis"/>
        </w:rPr>
        <w:t>Rather</w:t>
      </w:r>
      <w:r w:rsidRPr="006F781C">
        <w:rPr>
          <w:sz w:val="14"/>
          <w:szCs w:val="20"/>
        </w:rPr>
        <w:t xml:space="preserve">, as explained above, </w:t>
      </w:r>
      <w:r w:rsidRPr="006F781C">
        <w:rPr>
          <w:rStyle w:val="StyleUnderline"/>
        </w:rPr>
        <w:t xml:space="preserve">the </w:t>
      </w:r>
      <w:r w:rsidRPr="00C93704">
        <w:rPr>
          <w:rStyle w:val="StyleUnderline"/>
          <w:highlight w:val="cyan"/>
        </w:rPr>
        <w:t>statutory scheme evidences an intent to allow consideration of states’</w:t>
      </w:r>
      <w:r w:rsidRPr="00C93704">
        <w:rPr>
          <w:sz w:val="14"/>
          <w:szCs w:val="20"/>
          <w:highlight w:val="cyan"/>
        </w:rPr>
        <w:t xml:space="preserve"> </w:t>
      </w:r>
      <w:r w:rsidRPr="00C93704">
        <w:rPr>
          <w:rStyle w:val="Emphasis"/>
          <w:highlight w:val="cyan"/>
        </w:rPr>
        <w:t>unique circumstances</w:t>
      </w:r>
      <w:r w:rsidRPr="00C93704">
        <w:rPr>
          <w:sz w:val="14"/>
          <w:szCs w:val="20"/>
          <w:highlight w:val="cyan"/>
        </w:rPr>
        <w:t xml:space="preserve"> </w:t>
      </w:r>
      <w:r w:rsidRPr="00C93704">
        <w:rPr>
          <w:rStyle w:val="StyleUnderline"/>
          <w:highlight w:val="cyan"/>
        </w:rPr>
        <w:t>and</w:t>
      </w:r>
      <w:r w:rsidRPr="00C93704">
        <w:rPr>
          <w:sz w:val="14"/>
          <w:szCs w:val="20"/>
          <w:highlight w:val="cyan"/>
        </w:rPr>
        <w:t xml:space="preserve"> </w:t>
      </w:r>
      <w:r w:rsidRPr="00C93704">
        <w:rPr>
          <w:rStyle w:val="Emphasis"/>
          <w:highlight w:val="cyan"/>
        </w:rPr>
        <w:t>not</w:t>
      </w:r>
      <w:r w:rsidRPr="00C93704">
        <w:rPr>
          <w:sz w:val="14"/>
          <w:szCs w:val="20"/>
          <w:highlight w:val="cyan"/>
        </w:rPr>
        <w:t xml:space="preserve"> </w:t>
      </w:r>
      <w:r w:rsidRPr="00C93704">
        <w:rPr>
          <w:rStyle w:val="StyleUnderline"/>
          <w:highlight w:val="cyan"/>
        </w:rPr>
        <w:t>incorporate the precise strictures of the NLRA</w:t>
      </w:r>
      <w:r w:rsidRPr="00C93704">
        <w:rPr>
          <w:sz w:val="14"/>
          <w:szCs w:val="20"/>
          <w:highlight w:val="cyan"/>
        </w:rPr>
        <w:t>.</w:t>
      </w:r>
      <w:r w:rsidRPr="006F781C">
        <w:rPr>
          <w:sz w:val="14"/>
          <w:szCs w:val="20"/>
        </w:rPr>
        <w:t xml:space="preserve"> </w:t>
      </w:r>
    </w:p>
    <w:p w14:paraId="0ED3B205" w14:textId="77777777" w:rsidR="004B1769" w:rsidRDefault="004B1769" w:rsidP="004B1769">
      <w:pPr>
        <w:rPr>
          <w:sz w:val="14"/>
          <w:szCs w:val="20"/>
        </w:rPr>
      </w:pPr>
    </w:p>
    <w:p w14:paraId="6A61157F" w14:textId="77777777" w:rsidR="004B1769" w:rsidRPr="006F781C" w:rsidRDefault="004B1769" w:rsidP="004B1769">
      <w:pPr>
        <w:rPr>
          <w:sz w:val="14"/>
          <w:szCs w:val="20"/>
        </w:rPr>
      </w:pPr>
      <w:r w:rsidRPr="006F781C">
        <w:rPr>
          <w:sz w:val="14"/>
          <w:szCs w:val="20"/>
        </w:rPr>
        <w:t>See Donovan, 767 F.2d at 949.</w:t>
      </w:r>
    </w:p>
    <w:p w14:paraId="2982A55F" w14:textId="77777777" w:rsidR="004B1769" w:rsidRPr="006F781C" w:rsidRDefault="004B1769" w:rsidP="004B1769">
      <w:pPr>
        <w:rPr>
          <w:sz w:val="14"/>
          <w:szCs w:val="20"/>
        </w:rPr>
      </w:pPr>
      <w:r w:rsidRPr="006F781C">
        <w:rPr>
          <w:rStyle w:val="StyleUnderline"/>
        </w:rPr>
        <w:t>Plaintiffs also argue that the statutory reference to collective bargaining “</w:t>
      </w:r>
      <w:r w:rsidRPr="00C93704">
        <w:rPr>
          <w:rStyle w:val="StyleUnderline"/>
          <w:highlight w:val="cyan"/>
        </w:rPr>
        <w:t>rights” in the plural, rather than the singular,</w:t>
      </w:r>
      <w:r w:rsidRPr="00C93704">
        <w:rPr>
          <w:sz w:val="14"/>
          <w:szCs w:val="20"/>
          <w:highlight w:val="cyan"/>
        </w:rPr>
        <w:t xml:space="preserve"> </w:t>
      </w:r>
      <w:r w:rsidRPr="00C93704">
        <w:rPr>
          <w:rStyle w:val="Emphasis"/>
          <w:highlight w:val="cyan"/>
        </w:rPr>
        <w:t>refutes</w:t>
      </w:r>
      <w:r w:rsidRPr="00C93704">
        <w:rPr>
          <w:sz w:val="14"/>
          <w:szCs w:val="20"/>
          <w:highlight w:val="cyan"/>
        </w:rPr>
        <w:t xml:space="preserve"> </w:t>
      </w:r>
      <w:r w:rsidRPr="00C93704">
        <w:rPr>
          <w:rStyle w:val="StyleUnderline"/>
          <w:highlight w:val="cyan"/>
        </w:rPr>
        <w:t>the notion that Section 13(c)(2) “does</w:t>
      </w:r>
      <w:r w:rsidRPr="00C93704">
        <w:rPr>
          <w:sz w:val="14"/>
          <w:szCs w:val="20"/>
          <w:highlight w:val="cyan"/>
        </w:rPr>
        <w:t xml:space="preserve"> </w:t>
      </w:r>
      <w:r w:rsidRPr="00C93704">
        <w:rPr>
          <w:rStyle w:val="Emphasis"/>
          <w:highlight w:val="cyan"/>
        </w:rPr>
        <w:t>nothing more</w:t>
      </w:r>
      <w:r w:rsidRPr="00C93704">
        <w:rPr>
          <w:sz w:val="14"/>
          <w:szCs w:val="20"/>
          <w:highlight w:val="cyan"/>
        </w:rPr>
        <w:t xml:space="preserve"> </w:t>
      </w:r>
      <w:r w:rsidRPr="00C93704">
        <w:rPr>
          <w:rStyle w:val="StyleUnderline"/>
          <w:highlight w:val="cyan"/>
        </w:rPr>
        <w:t>than preserve an</w:t>
      </w:r>
      <w:r w:rsidRPr="00C93704">
        <w:rPr>
          <w:sz w:val="14"/>
          <w:szCs w:val="20"/>
          <w:highlight w:val="cyan"/>
        </w:rPr>
        <w:t xml:space="preserve"> </w:t>
      </w:r>
      <w:r w:rsidRPr="00C93704">
        <w:rPr>
          <w:rStyle w:val="Emphasis"/>
          <w:highlight w:val="cyan"/>
        </w:rPr>
        <w:t>undifferentiated ‘right’ (singular</w:t>
      </w:r>
      <w:r w:rsidRPr="006F781C">
        <w:rPr>
          <w:rStyle w:val="Emphasis"/>
        </w:rPr>
        <w:t>)</w:t>
      </w:r>
      <w:r w:rsidRPr="006F781C">
        <w:rPr>
          <w:sz w:val="14"/>
          <w:szCs w:val="20"/>
        </w:rPr>
        <w:t xml:space="preserve"> of transit employees to engage in some form of collective bargaining with their public transit agency employers.” Pl. MSJ 11-12. But </w:t>
      </w:r>
      <w:r w:rsidRPr="006F781C">
        <w:rPr>
          <w:rStyle w:val="StyleUnderline"/>
        </w:rPr>
        <w:t>this argument is a</w:t>
      </w:r>
      <w:r w:rsidRPr="006F781C">
        <w:rPr>
          <w:sz w:val="14"/>
          <w:szCs w:val="20"/>
        </w:rPr>
        <w:t xml:space="preserve"> </w:t>
      </w:r>
      <w:r w:rsidRPr="006F781C">
        <w:rPr>
          <w:rStyle w:val="Emphasis"/>
        </w:rPr>
        <w:t>strawman</w:t>
      </w:r>
      <w:r w:rsidRPr="006F781C">
        <w:rPr>
          <w:sz w:val="14"/>
          <w:szCs w:val="20"/>
        </w:rPr>
        <w:t xml:space="preserve">, because DOL has not construed Section 13(c) to be so limited in effect. </w:t>
      </w:r>
      <w:r w:rsidRPr="006F781C">
        <w:rPr>
          <w:rStyle w:val="StyleUnderline"/>
        </w:rPr>
        <w:t xml:space="preserve">The DOL </w:t>
      </w:r>
      <w:r w:rsidRPr="00C93704">
        <w:rPr>
          <w:rStyle w:val="StyleUnderline"/>
          <w:highlight w:val="cyan"/>
        </w:rPr>
        <w:t>does</w:t>
      </w:r>
      <w:r w:rsidRPr="00C93704">
        <w:rPr>
          <w:sz w:val="14"/>
          <w:szCs w:val="20"/>
          <w:highlight w:val="cyan"/>
        </w:rPr>
        <w:t xml:space="preserve"> </w:t>
      </w:r>
      <w:r w:rsidRPr="00C93704">
        <w:rPr>
          <w:rStyle w:val="Emphasis"/>
          <w:highlight w:val="cyan"/>
        </w:rPr>
        <w:t>not</w:t>
      </w:r>
      <w:r w:rsidRPr="00C93704">
        <w:rPr>
          <w:sz w:val="14"/>
          <w:szCs w:val="20"/>
          <w:highlight w:val="cyan"/>
        </w:rPr>
        <w:t xml:space="preserve"> </w:t>
      </w:r>
      <w:r w:rsidRPr="00C93704">
        <w:rPr>
          <w:rStyle w:val="StyleUnderline"/>
          <w:highlight w:val="cyan"/>
        </w:rPr>
        <w:t>interpret the “continuation of collective bargaining rights”</w:t>
      </w:r>
      <w:r w:rsidRPr="006F781C">
        <w:rPr>
          <w:sz w:val="14"/>
          <w:szCs w:val="20"/>
        </w:rPr>
        <w:t xml:space="preserve"> under Section 13(c)(2) </w:t>
      </w:r>
      <w:r w:rsidRPr="006F781C">
        <w:rPr>
          <w:rStyle w:val="StyleUnderline"/>
        </w:rPr>
        <w:t>to do</w:t>
      </w:r>
      <w:r w:rsidRPr="006F781C">
        <w:rPr>
          <w:sz w:val="14"/>
          <w:szCs w:val="20"/>
        </w:rPr>
        <w:t xml:space="preserve"> </w:t>
      </w:r>
      <w:r w:rsidRPr="00C93704">
        <w:rPr>
          <w:rStyle w:val="Emphasis"/>
          <w:highlight w:val="cyan"/>
        </w:rPr>
        <w:t>nothing</w:t>
      </w:r>
      <w:r w:rsidRPr="00C93704">
        <w:rPr>
          <w:sz w:val="14"/>
          <w:szCs w:val="20"/>
          <w:highlight w:val="cyan"/>
        </w:rPr>
        <w:t xml:space="preserve"> </w:t>
      </w:r>
      <w:r w:rsidRPr="00C93704">
        <w:rPr>
          <w:rStyle w:val="StyleUnderline"/>
          <w:highlight w:val="cyan"/>
        </w:rPr>
        <w:t>more than prevent a</w:t>
      </w:r>
      <w:r w:rsidRPr="00C93704">
        <w:rPr>
          <w:sz w:val="14"/>
          <w:szCs w:val="20"/>
          <w:highlight w:val="cyan"/>
        </w:rPr>
        <w:t xml:space="preserve"> </w:t>
      </w:r>
      <w:r w:rsidRPr="00C93704">
        <w:rPr>
          <w:rStyle w:val="Emphasis"/>
          <w:highlight w:val="cyan"/>
        </w:rPr>
        <w:t>complete termination</w:t>
      </w:r>
      <w:r w:rsidRPr="006F781C">
        <w:rPr>
          <w:sz w:val="14"/>
          <w:szCs w:val="20"/>
        </w:rPr>
        <w:t xml:space="preserve"> or cessation of such rights. See Cal. II, 2016 WL 4441221, at *10-11 (discussing this possible interpretation). </w:t>
      </w:r>
      <w:r w:rsidRPr="006F781C">
        <w:rPr>
          <w:rStyle w:val="StyleUnderline"/>
        </w:rPr>
        <w:t>Instead</w:t>
      </w:r>
      <w:r w:rsidRPr="006F781C">
        <w:rPr>
          <w:sz w:val="14"/>
          <w:szCs w:val="20"/>
        </w:rPr>
        <w:t xml:space="preserve">, DOL </w:t>
      </w:r>
      <w:r w:rsidRPr="006F781C">
        <w:rPr>
          <w:rStyle w:val="StyleUnderline"/>
        </w:rPr>
        <w:t>reads Section 13(c)(2) to require an assessment of whether state law changes</w:t>
      </w:r>
      <w:r w:rsidRPr="006F781C">
        <w:rPr>
          <w:sz w:val="14"/>
          <w:szCs w:val="20"/>
        </w:rPr>
        <w:t xml:space="preserve"> </w:t>
      </w:r>
      <w:r w:rsidRPr="006F781C">
        <w:rPr>
          <w:rStyle w:val="Emphasis"/>
        </w:rPr>
        <w:t>impermissibly affect</w:t>
      </w:r>
      <w:r w:rsidRPr="006F781C">
        <w:rPr>
          <w:sz w:val="14"/>
          <w:szCs w:val="20"/>
        </w:rPr>
        <w:t xml:space="preserve"> </w:t>
      </w:r>
      <w:r w:rsidRPr="006F781C">
        <w:rPr>
          <w:rStyle w:val="StyleUnderline"/>
        </w:rPr>
        <w:t xml:space="preserve">collective bargaining rights such that those </w:t>
      </w:r>
      <w:r w:rsidRPr="00C93704">
        <w:rPr>
          <w:rStyle w:val="StyleUnderline"/>
          <w:highlight w:val="cyan"/>
        </w:rPr>
        <w:t>rights are</w:t>
      </w:r>
      <w:r w:rsidRPr="00C93704">
        <w:rPr>
          <w:sz w:val="14"/>
          <w:szCs w:val="20"/>
          <w:highlight w:val="cyan"/>
        </w:rPr>
        <w:t xml:space="preserve"> </w:t>
      </w:r>
      <w:r w:rsidRPr="00C93704">
        <w:rPr>
          <w:rStyle w:val="Emphasis"/>
          <w:highlight w:val="cyan"/>
        </w:rPr>
        <w:t>effectively</w:t>
      </w:r>
      <w:r w:rsidRPr="00C93704">
        <w:rPr>
          <w:sz w:val="14"/>
          <w:szCs w:val="20"/>
          <w:highlight w:val="cyan"/>
        </w:rPr>
        <w:t xml:space="preserve"> </w:t>
      </w:r>
      <w:r w:rsidRPr="00C93704">
        <w:rPr>
          <w:rStyle w:val="StyleUnderline"/>
          <w:highlight w:val="cyan"/>
        </w:rPr>
        <w:t>discontinued</w:t>
      </w:r>
      <w:r w:rsidRPr="006F781C">
        <w:rPr>
          <w:sz w:val="14"/>
          <w:szCs w:val="20"/>
        </w:rPr>
        <w:t xml:space="preserve">. DL at 5-7. </w:t>
      </w:r>
      <w:r w:rsidRPr="006F781C">
        <w:rPr>
          <w:rStyle w:val="StyleUnderline"/>
        </w:rPr>
        <w:t xml:space="preserve">In other words, </w:t>
      </w:r>
      <w:r w:rsidRPr="00C93704">
        <w:rPr>
          <w:rStyle w:val="StyleUnderline"/>
          <w:highlight w:val="cyan"/>
        </w:rPr>
        <w:t>DOL determines whether collective bargaining benefits are</w:t>
      </w:r>
      <w:r w:rsidRPr="00C93704">
        <w:rPr>
          <w:sz w:val="14"/>
          <w:szCs w:val="20"/>
          <w:highlight w:val="cyan"/>
        </w:rPr>
        <w:t xml:space="preserve"> </w:t>
      </w:r>
      <w:r w:rsidRPr="00C93704">
        <w:rPr>
          <w:rStyle w:val="Emphasis"/>
          <w:highlight w:val="cyan"/>
        </w:rPr>
        <w:t>“substantially preserv[ed]”</w:t>
      </w:r>
      <w:r w:rsidRPr="00C93704">
        <w:rPr>
          <w:sz w:val="14"/>
          <w:szCs w:val="20"/>
          <w:highlight w:val="cyan"/>
        </w:rPr>
        <w:t xml:space="preserve"> </w:t>
      </w:r>
      <w:r w:rsidRPr="00C93704">
        <w:rPr>
          <w:rStyle w:val="StyleUnderline"/>
          <w:highlight w:val="cyan"/>
        </w:rPr>
        <w:t>and rights</w:t>
      </w:r>
      <w:r w:rsidRPr="00C93704">
        <w:rPr>
          <w:sz w:val="14"/>
          <w:szCs w:val="20"/>
          <w:highlight w:val="cyan"/>
        </w:rPr>
        <w:t xml:space="preserve"> </w:t>
      </w:r>
      <w:r w:rsidRPr="00C93704">
        <w:rPr>
          <w:rStyle w:val="Emphasis"/>
          <w:highlight w:val="cyan"/>
        </w:rPr>
        <w:t>substantially continue</w:t>
      </w:r>
      <w:r w:rsidRPr="006F781C">
        <w:rPr>
          <w:rStyle w:val="Emphasis"/>
        </w:rPr>
        <w:t>d</w:t>
      </w:r>
      <w:r w:rsidRPr="006F781C">
        <w:rPr>
          <w:sz w:val="14"/>
          <w:szCs w:val="20"/>
        </w:rPr>
        <w:t xml:space="preserve">. See DL at 7 (quoting Donovan, 767 F.2d at 948 n.9). </w:t>
      </w:r>
      <w:r w:rsidRPr="00C93704">
        <w:rPr>
          <w:rStyle w:val="StyleUnderline"/>
          <w:highlight w:val="cyan"/>
        </w:rPr>
        <w:t>Nothing</w:t>
      </w:r>
      <w:r w:rsidRPr="006F781C">
        <w:rPr>
          <w:rStyle w:val="StyleUnderline"/>
        </w:rPr>
        <w:t xml:space="preserve"> in</w:t>
      </w:r>
      <w:r w:rsidRPr="006F781C">
        <w:rPr>
          <w:sz w:val="14"/>
          <w:szCs w:val="20"/>
        </w:rPr>
        <w:t xml:space="preserve"> Congress’s </w:t>
      </w:r>
      <w:r w:rsidRPr="006F781C">
        <w:rPr>
          <w:rStyle w:val="StyleUnderline"/>
        </w:rPr>
        <w:t>use of the</w:t>
      </w:r>
      <w:r w:rsidRPr="006F781C">
        <w:rPr>
          <w:sz w:val="14"/>
          <w:szCs w:val="20"/>
        </w:rPr>
        <w:t xml:space="preserve"> </w:t>
      </w:r>
      <w:r w:rsidRPr="006F781C">
        <w:rPr>
          <w:rStyle w:val="Emphasis"/>
        </w:rPr>
        <w:t>plural</w:t>
      </w:r>
      <w:r w:rsidRPr="006F781C">
        <w:rPr>
          <w:sz w:val="14"/>
          <w:szCs w:val="20"/>
        </w:rPr>
        <w:t xml:space="preserve"> </w:t>
      </w:r>
      <w:r w:rsidRPr="006F781C">
        <w:rPr>
          <w:rStyle w:val="StyleUnderline"/>
        </w:rPr>
        <w:t>term,</w:t>
      </w:r>
      <w:r w:rsidRPr="006F781C">
        <w:rPr>
          <w:sz w:val="14"/>
          <w:szCs w:val="20"/>
        </w:rPr>
        <w:t xml:space="preserve"> </w:t>
      </w:r>
      <w:r w:rsidRPr="006F781C">
        <w:rPr>
          <w:rStyle w:val="Emphasis"/>
        </w:rPr>
        <w:t>“rights,”</w:t>
      </w:r>
      <w:r w:rsidRPr="006F781C">
        <w:rPr>
          <w:sz w:val="14"/>
          <w:szCs w:val="20"/>
        </w:rPr>
        <w:t xml:space="preserve"> </w:t>
      </w:r>
      <w:r w:rsidRPr="00C93704">
        <w:rPr>
          <w:rStyle w:val="Emphasis"/>
          <w:highlight w:val="cyan"/>
        </w:rPr>
        <w:t>undercuts</w:t>
      </w:r>
      <w:r w:rsidRPr="00C93704">
        <w:rPr>
          <w:sz w:val="14"/>
          <w:szCs w:val="20"/>
          <w:highlight w:val="cyan"/>
        </w:rPr>
        <w:t xml:space="preserve"> </w:t>
      </w:r>
      <w:r w:rsidRPr="00C93704">
        <w:rPr>
          <w:rStyle w:val="StyleUnderline"/>
          <w:highlight w:val="cyan"/>
        </w:rPr>
        <w:t>that interpretation</w:t>
      </w:r>
      <w:r w:rsidRPr="006F781C">
        <w:rPr>
          <w:sz w:val="14"/>
          <w:szCs w:val="20"/>
        </w:rPr>
        <w:t>, much less unambiguously precludes it. Indeed, as discussed above, it is consistent with the Court’s own interpretation in the prior case.</w:t>
      </w:r>
    </w:p>
    <w:p w14:paraId="140EE722" w14:textId="77777777" w:rsidR="004B1769" w:rsidRPr="009C06DB" w:rsidRDefault="004B1769" w:rsidP="004B1769">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1AC5D0FB" w14:textId="77777777" w:rsidR="004B1769" w:rsidRPr="003C6428" w:rsidRDefault="004B1769" w:rsidP="004B1769">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31EEE78E" w14:textId="77777777" w:rsidR="004B1769" w:rsidRDefault="004B1769" w:rsidP="004B1769">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 xml:space="preserve">underlying </w:t>
      </w:r>
      <w:proofErr w:type="gramStart"/>
      <w:r w:rsidRPr="00045800">
        <w:rPr>
          <w:rStyle w:val="Emphasis"/>
          <w:highlight w:val="cyan"/>
        </w:rPr>
        <w:t>matter</w:t>
      </w:r>
      <w:proofErr w:type="gramEnd"/>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proofErr w:type="gramStart"/>
      <w:r w:rsidRPr="00045800">
        <w:rPr>
          <w:rStyle w:val="Emphasis"/>
          <w:highlight w:val="cyan"/>
        </w:rPr>
        <w:t>strength</w:t>
      </w:r>
      <w:r w:rsidRPr="009C06DB">
        <w:rPr>
          <w:sz w:val="14"/>
          <w:szCs w:val="20"/>
        </w:rPr>
        <w:t>,</w:t>
      </w:r>
      <w:proofErr w:type="gramEnd"/>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w:t>
      </w:r>
      <w:proofErr w:type="gramStart"/>
      <w:r w:rsidRPr="003C6428">
        <w:rPr>
          <w:rStyle w:val="StyleUnderline"/>
        </w:rPr>
        <w:t>its</w:t>
      </w:r>
      <w:proofErr w:type="gramEnd"/>
      <w:r w:rsidRPr="003C6428">
        <w:rPr>
          <w:rStyle w:val="StyleUnderline"/>
        </w:rPr>
        <w:t xml:space="preserve">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3535F92B" w14:textId="77777777" w:rsidR="004B1769" w:rsidRPr="009C06DB" w:rsidRDefault="004B1769" w:rsidP="004B1769">
      <w:pPr>
        <w:pStyle w:val="Heading4"/>
      </w:pPr>
      <w:r>
        <w:t xml:space="preserve">AND, </w:t>
      </w:r>
      <w:proofErr w:type="gramStart"/>
      <w:r>
        <w:t>It’s</w:t>
      </w:r>
      <w:proofErr w:type="gramEnd"/>
      <w:r>
        <w:t xml:space="preserve"> impossible to quantify a right’s strength. </w:t>
      </w:r>
      <w:r w:rsidRPr="009C06DB">
        <w:t xml:space="preserve"> </w:t>
      </w:r>
    </w:p>
    <w:p w14:paraId="72A4C481" w14:textId="77777777" w:rsidR="004B1769" w:rsidRPr="003C6428" w:rsidRDefault="004B1769" w:rsidP="004B1769">
      <w:r w:rsidRPr="003C6428">
        <w:t xml:space="preserve">James G. </w:t>
      </w:r>
      <w:r w:rsidRPr="003C6428">
        <w:rPr>
          <w:rStyle w:val="Style13ptBold"/>
        </w:rPr>
        <w:t>Dwyer 11</w:t>
      </w:r>
      <w:r w:rsidRPr="003C6428">
        <w:t>, Arthur B. Hanson Professor of Law, College of William &amp; Mary, "The Good, the Bad, and the Ugly of Employment Division v. Smith for Family Law," Cardozo Law Review, vol. 32, 05/01/2011, pp. 1781-1786, Lexis</w:t>
      </w:r>
    </w:p>
    <w:p w14:paraId="3613798E" w14:textId="77777777" w:rsidR="004B1769" w:rsidRPr="009C06DB" w:rsidRDefault="004B1769" w:rsidP="004B1769">
      <w:pPr>
        <w:rPr>
          <w:sz w:val="14"/>
          <w:szCs w:val="20"/>
        </w:rPr>
      </w:pPr>
      <w:r w:rsidRPr="003C6428">
        <w:rPr>
          <w:rStyle w:val="StyleUnderline"/>
        </w:rPr>
        <w:t>A</w:t>
      </w:r>
      <w:r w:rsidRPr="009C06DB">
        <w:rPr>
          <w:sz w:val="14"/>
          <w:szCs w:val="20"/>
        </w:rPr>
        <w:t xml:space="preserve"> somewhat more </w:t>
      </w:r>
      <w:r w:rsidRPr="003C6428">
        <w:rPr>
          <w:rStyle w:val="StyleUnderline"/>
        </w:rPr>
        <w:t>plausible, but still inaccurate, way to interpret Yoder to make it support the hybrid rights idea would be to view it as resting on an assumption that</w:t>
      </w:r>
      <w:r w:rsidRPr="009C06DB">
        <w:rPr>
          <w:sz w:val="14"/>
          <w:szCs w:val="20"/>
        </w:rPr>
        <w:t xml:space="preserve"> </w:t>
      </w:r>
      <w:r w:rsidRPr="003C6428">
        <w:rPr>
          <w:rStyle w:val="Emphasis"/>
        </w:rPr>
        <w:t>neither s</w:t>
      </w:r>
      <w:r w:rsidRPr="009C06DB">
        <w:rPr>
          <w:sz w:val="14"/>
          <w:szCs w:val="20"/>
        </w:rPr>
        <w:t xml:space="preserve">ubstantive </w:t>
      </w:r>
      <w:r w:rsidRPr="003C6428">
        <w:rPr>
          <w:rStyle w:val="Emphasis"/>
        </w:rPr>
        <w:t>d</w:t>
      </w:r>
      <w:r w:rsidRPr="009C06DB">
        <w:rPr>
          <w:sz w:val="14"/>
          <w:szCs w:val="20"/>
        </w:rPr>
        <w:t xml:space="preserve">ue </w:t>
      </w:r>
      <w:r w:rsidRPr="003C6428">
        <w:rPr>
          <w:rStyle w:val="Emphasis"/>
        </w:rPr>
        <w:t>p</w:t>
      </w:r>
      <w:r w:rsidRPr="009C06DB">
        <w:rPr>
          <w:sz w:val="14"/>
          <w:szCs w:val="20"/>
        </w:rPr>
        <w:t xml:space="preserve">rocess </w:t>
      </w:r>
      <w:r w:rsidRPr="003C6428">
        <w:rPr>
          <w:rStyle w:val="StyleUnderline"/>
        </w:rPr>
        <w:t>nor</w:t>
      </w:r>
      <w:r w:rsidRPr="009C06DB">
        <w:rPr>
          <w:sz w:val="14"/>
          <w:szCs w:val="20"/>
        </w:rPr>
        <w:t xml:space="preserve"> </w:t>
      </w:r>
      <w:r w:rsidRPr="003C6428">
        <w:rPr>
          <w:rStyle w:val="Emphasis"/>
        </w:rPr>
        <w:t>free exercise</w:t>
      </w:r>
      <w:r w:rsidRPr="009C06DB">
        <w:rPr>
          <w:sz w:val="14"/>
          <w:szCs w:val="20"/>
        </w:rPr>
        <w:t xml:space="preserve"> </w:t>
      </w:r>
      <w:r w:rsidRPr="003C6428">
        <w:rPr>
          <w:rStyle w:val="Emphasis"/>
        </w:rPr>
        <w:t>alone</w:t>
      </w:r>
      <w:r w:rsidRPr="009C06DB">
        <w:rPr>
          <w:sz w:val="14"/>
          <w:szCs w:val="20"/>
        </w:rPr>
        <w:t xml:space="preserve"> </w:t>
      </w:r>
      <w:r w:rsidRPr="003C6428">
        <w:rPr>
          <w:rStyle w:val="StyleUnderline"/>
        </w:rPr>
        <w:t>triggers heightened scrutiny, but the</w:t>
      </w:r>
      <w:r w:rsidRPr="009C06DB">
        <w:rPr>
          <w:sz w:val="14"/>
          <w:szCs w:val="20"/>
        </w:rPr>
        <w:t xml:space="preserve"> </w:t>
      </w:r>
      <w:r w:rsidRPr="003C6428">
        <w:rPr>
          <w:rStyle w:val="Emphasis"/>
        </w:rPr>
        <w:t>combination</w:t>
      </w:r>
      <w:r w:rsidRPr="009C06DB">
        <w:rPr>
          <w:sz w:val="14"/>
          <w:szCs w:val="20"/>
        </w:rPr>
        <w:t xml:space="preserve"> of the two </w:t>
      </w:r>
      <w:r w:rsidRPr="003C6428">
        <w:rPr>
          <w:rStyle w:val="Emphasis"/>
        </w:rPr>
        <w:t>does</w:t>
      </w:r>
      <w:r w:rsidRPr="009C06DB">
        <w:rPr>
          <w:sz w:val="14"/>
          <w:szCs w:val="20"/>
        </w:rPr>
        <w:t xml:space="preserve"> so. </w:t>
      </w:r>
      <w:r w:rsidRPr="003C6428">
        <w:rPr>
          <w:rStyle w:val="StyleUnderline"/>
        </w:rPr>
        <w:t>In other words, both</w:t>
      </w:r>
      <w:r w:rsidRPr="009C06DB">
        <w:rPr>
          <w:sz w:val="14"/>
          <w:szCs w:val="20"/>
        </w:rPr>
        <w:t xml:space="preserve"> parents' </w:t>
      </w:r>
      <w:r w:rsidRPr="003C6428">
        <w:rPr>
          <w:rStyle w:val="StyleUnderline"/>
        </w:rPr>
        <w:t>rights</w:t>
      </w:r>
      <w:r w:rsidRPr="009C06DB">
        <w:rPr>
          <w:sz w:val="14"/>
          <w:szCs w:val="20"/>
        </w:rPr>
        <w:t xml:space="preserve"> and free exercise [*1786] rights </w:t>
      </w:r>
      <w:r w:rsidRPr="003C6428">
        <w:rPr>
          <w:rStyle w:val="StyleUnderline"/>
        </w:rPr>
        <w:t>might be</w:t>
      </w:r>
      <w:r w:rsidRPr="009C06DB">
        <w:rPr>
          <w:sz w:val="14"/>
          <w:szCs w:val="20"/>
        </w:rPr>
        <w:t xml:space="preserve"> "</w:t>
      </w:r>
      <w:r w:rsidRPr="003C6428">
        <w:rPr>
          <w:rStyle w:val="Emphasis"/>
        </w:rPr>
        <w:t>weak</w:t>
      </w:r>
      <w:r w:rsidRPr="009C06DB">
        <w:rPr>
          <w:sz w:val="14"/>
          <w:szCs w:val="20"/>
        </w:rPr>
        <w:t xml:space="preserve"> rights," as against laws of general applicability, </w:t>
      </w:r>
      <w:r w:rsidRPr="003C6428">
        <w:rPr>
          <w:rStyle w:val="StyleUnderline"/>
        </w:rPr>
        <w:t>but when</w:t>
      </w:r>
      <w:r w:rsidRPr="009C06DB">
        <w:rPr>
          <w:sz w:val="14"/>
          <w:szCs w:val="20"/>
        </w:rPr>
        <w:t xml:space="preserve"> </w:t>
      </w:r>
      <w:r w:rsidRPr="003C6428">
        <w:rPr>
          <w:rStyle w:val="Emphasis"/>
        </w:rPr>
        <w:t>combined collectively</w:t>
      </w:r>
      <w:r w:rsidRPr="009C06DB">
        <w:rPr>
          <w:sz w:val="14"/>
          <w:szCs w:val="20"/>
        </w:rPr>
        <w:t xml:space="preserve"> </w:t>
      </w:r>
      <w:r w:rsidRPr="003C6428">
        <w:rPr>
          <w:rStyle w:val="StyleUnderline"/>
        </w:rPr>
        <w:t>constitute a</w:t>
      </w:r>
      <w:r w:rsidRPr="009C06DB">
        <w:rPr>
          <w:sz w:val="14"/>
          <w:szCs w:val="20"/>
        </w:rPr>
        <w:t xml:space="preserve"> </w:t>
      </w:r>
      <w:r w:rsidRPr="003C6428">
        <w:rPr>
          <w:rStyle w:val="Emphasis"/>
        </w:rPr>
        <w:t>"strong right."</w:t>
      </w:r>
      <w:r w:rsidRPr="009C06DB">
        <w:rPr>
          <w:sz w:val="14"/>
          <w:szCs w:val="20"/>
        </w:rPr>
        <w:t xml:space="preserve"> </w:t>
      </w:r>
      <w:r w:rsidRPr="003C6428">
        <w:rPr>
          <w:rStyle w:val="StyleUnderline"/>
        </w:rPr>
        <w:t>Commentators considering this understanding</w:t>
      </w:r>
      <w:r w:rsidRPr="009C06DB">
        <w:rPr>
          <w:sz w:val="14"/>
          <w:szCs w:val="20"/>
        </w:rPr>
        <w:t xml:space="preserve"> of Smith's hybrid rights language </w:t>
      </w:r>
      <w:r w:rsidRPr="003C6428">
        <w:rPr>
          <w:rStyle w:val="StyleUnderline"/>
        </w:rPr>
        <w:t>were</w:t>
      </w:r>
      <w:r w:rsidRPr="009C06DB">
        <w:rPr>
          <w:sz w:val="14"/>
          <w:szCs w:val="20"/>
        </w:rPr>
        <w:t xml:space="preserve"> predominantly </w:t>
      </w:r>
      <w:r w:rsidRPr="003C6428">
        <w:rPr>
          <w:rStyle w:val="Emphasis"/>
        </w:rPr>
        <w:t>derisive</w:t>
      </w:r>
      <w:r w:rsidRPr="009C06DB">
        <w:rPr>
          <w:sz w:val="14"/>
          <w:szCs w:val="20"/>
        </w:rPr>
        <w:t xml:space="preserve"> </w:t>
      </w:r>
      <w:r w:rsidRPr="003C6428">
        <w:rPr>
          <w:rStyle w:val="StyleUnderline"/>
        </w:rPr>
        <w:t>of this idea</w:t>
      </w:r>
      <w:r w:rsidRPr="009C06DB">
        <w:rPr>
          <w:sz w:val="14"/>
          <w:szCs w:val="20"/>
        </w:rPr>
        <w:t xml:space="preserve"> for two primary reasons: (1) </w:t>
      </w:r>
      <w:r w:rsidRPr="001D3754">
        <w:rPr>
          <w:rStyle w:val="StyleUnderline"/>
          <w:highlight w:val="cyan"/>
        </w:rPr>
        <w:t>it is</w:t>
      </w:r>
      <w:r w:rsidRPr="009C06DB">
        <w:rPr>
          <w:sz w:val="14"/>
          <w:szCs w:val="20"/>
        </w:rPr>
        <w:t xml:space="preserve"> </w:t>
      </w:r>
      <w:r w:rsidRPr="003C6428">
        <w:rPr>
          <w:rStyle w:val="Emphasis"/>
        </w:rPr>
        <w:t xml:space="preserve">quite </w:t>
      </w:r>
      <w:r w:rsidRPr="001D3754">
        <w:rPr>
          <w:rStyle w:val="Emphasis"/>
          <w:highlight w:val="cyan"/>
        </w:rPr>
        <w:t>difficult</w:t>
      </w:r>
      <w:r w:rsidRPr="001D3754">
        <w:rPr>
          <w:sz w:val="14"/>
          <w:szCs w:val="20"/>
          <w:highlight w:val="cyan"/>
        </w:rPr>
        <w:t xml:space="preserve"> </w:t>
      </w:r>
      <w:r w:rsidRPr="001D3754">
        <w:rPr>
          <w:rStyle w:val="StyleUnderline"/>
          <w:highlight w:val="cyan"/>
        </w:rPr>
        <w:t>to</w:t>
      </w:r>
      <w:r w:rsidRPr="009C06DB">
        <w:rPr>
          <w:sz w:val="14"/>
          <w:szCs w:val="20"/>
        </w:rPr>
        <w:t xml:space="preserve"> </w:t>
      </w:r>
      <w:r w:rsidRPr="00C94418">
        <w:rPr>
          <w:rStyle w:val="Emphasis"/>
        </w:rPr>
        <w:t>make sense of</w:t>
      </w:r>
      <w:r w:rsidRPr="00C94418">
        <w:rPr>
          <w:sz w:val="14"/>
          <w:szCs w:val="20"/>
        </w:rPr>
        <w:t xml:space="preserve"> </w:t>
      </w:r>
      <w:r w:rsidRPr="00C94418">
        <w:rPr>
          <w:rStyle w:val="StyleUnderline"/>
        </w:rPr>
        <w:t>and</w:t>
      </w:r>
      <w:r w:rsidRPr="00C94418">
        <w:rPr>
          <w:sz w:val="14"/>
          <w:szCs w:val="20"/>
        </w:rPr>
        <w:t xml:space="preserve"> </w:t>
      </w:r>
      <w:r w:rsidRPr="001D3754">
        <w:rPr>
          <w:rStyle w:val="Emphasis"/>
          <w:highlight w:val="cyan"/>
        </w:rPr>
        <w:t>justify</w:t>
      </w:r>
      <w:r w:rsidRPr="001D3754">
        <w:rPr>
          <w:sz w:val="14"/>
          <w:szCs w:val="20"/>
          <w:highlight w:val="cyan"/>
        </w:rPr>
        <w:t xml:space="preserve"> </w:t>
      </w:r>
      <w:r w:rsidRPr="001D3754">
        <w:rPr>
          <w:rStyle w:val="StyleUnderline"/>
          <w:highlight w:val="cyan"/>
        </w:rPr>
        <w:t>an</w:t>
      </w:r>
      <w:r w:rsidRPr="009C06DB">
        <w:rPr>
          <w:sz w:val="14"/>
          <w:szCs w:val="20"/>
        </w:rPr>
        <w:t xml:space="preserve"> </w:t>
      </w:r>
      <w:r w:rsidRPr="001D3754">
        <w:rPr>
          <w:rStyle w:val="Emphasis"/>
          <w:highlight w:val="cyan"/>
        </w:rPr>
        <w:t>additive notion of rights</w:t>
      </w:r>
      <w:r w:rsidRPr="009C06DB">
        <w:rPr>
          <w:sz w:val="14"/>
          <w:szCs w:val="20"/>
        </w:rPr>
        <w:t>; and (2) it is about as clear an instance as one could imagine of an exception swallowing a rule. 28</w:t>
      </w:r>
    </w:p>
    <w:p w14:paraId="242B1D9F" w14:textId="77777777" w:rsidR="004B1769" w:rsidRPr="00811AEF" w:rsidRDefault="004B1769" w:rsidP="004B1769">
      <w:pPr>
        <w:rPr>
          <w:b/>
          <w:iCs/>
          <w:u w:val="single"/>
          <w:bdr w:val="single" w:sz="8" w:space="0" w:color="auto"/>
        </w:rPr>
      </w:pPr>
      <w:r w:rsidRPr="009C06DB">
        <w:rPr>
          <w:sz w:val="14"/>
          <w:szCs w:val="20"/>
        </w:rPr>
        <w:t xml:space="preserve">The additive view of rights is difficult to </w:t>
      </w:r>
      <w:r w:rsidRPr="00C94418">
        <w:rPr>
          <w:sz w:val="14"/>
          <w:szCs w:val="20"/>
        </w:rPr>
        <w:t xml:space="preserve">justify </w:t>
      </w:r>
      <w:r w:rsidRPr="00C94418">
        <w:rPr>
          <w:rStyle w:val="Emphasis"/>
        </w:rPr>
        <w:t>conceptually</w:t>
      </w:r>
      <w:r w:rsidRPr="00C94418">
        <w:rPr>
          <w:sz w:val="14"/>
          <w:szCs w:val="20"/>
        </w:rPr>
        <w:t xml:space="preserve"> </w:t>
      </w:r>
      <w:r w:rsidRPr="00C94418">
        <w:rPr>
          <w:rStyle w:val="StyleUnderline"/>
        </w:rPr>
        <w:t>because it appears to presuppose a</w:t>
      </w:r>
      <w:r w:rsidRPr="00C94418">
        <w:rPr>
          <w:sz w:val="14"/>
          <w:szCs w:val="20"/>
        </w:rPr>
        <w:t xml:space="preserve"> </w:t>
      </w:r>
      <w:r w:rsidRPr="00C94418">
        <w:rPr>
          <w:rStyle w:val="Emphasis"/>
        </w:rPr>
        <w:t>quantification</w:t>
      </w:r>
      <w:r w:rsidRPr="00C94418">
        <w:rPr>
          <w:sz w:val="14"/>
          <w:szCs w:val="20"/>
        </w:rPr>
        <w:t xml:space="preserve"> </w:t>
      </w:r>
      <w:r w:rsidRPr="00C94418">
        <w:rPr>
          <w:rStyle w:val="StyleUnderline"/>
        </w:rPr>
        <w:t>of a right's</w:t>
      </w:r>
      <w:r w:rsidRPr="00C94418">
        <w:rPr>
          <w:sz w:val="14"/>
          <w:szCs w:val="20"/>
        </w:rPr>
        <w:t xml:space="preserve"> </w:t>
      </w:r>
      <w:r w:rsidRPr="00C94418">
        <w:rPr>
          <w:rStyle w:val="Emphasis"/>
        </w:rPr>
        <w:t>strength</w:t>
      </w:r>
      <w:r w:rsidRPr="003C6428">
        <w:rPr>
          <w:rStyle w:val="StyleUnderline"/>
        </w:rPr>
        <w:t xml:space="preserve">. </w:t>
      </w:r>
      <w:r w:rsidRPr="001D3754">
        <w:rPr>
          <w:rStyle w:val="StyleUnderline"/>
          <w:highlight w:val="cyan"/>
        </w:rPr>
        <w:t>One would</w:t>
      </w:r>
      <w:r w:rsidRPr="003C6428">
        <w:rPr>
          <w:rStyle w:val="StyleUnderline"/>
        </w:rPr>
        <w:t xml:space="preserve"> need, in at least a rough sort of way, to </w:t>
      </w:r>
      <w:r w:rsidRPr="001D3754">
        <w:rPr>
          <w:rStyle w:val="StyleUnderline"/>
          <w:highlight w:val="cyan"/>
        </w:rPr>
        <w:t>assign</w:t>
      </w:r>
      <w:r w:rsidRPr="003C6428">
        <w:rPr>
          <w:rStyle w:val="StyleUnderline"/>
        </w:rPr>
        <w:t xml:space="preserve"> some</w:t>
      </w:r>
      <w:r w:rsidRPr="009C06DB">
        <w:rPr>
          <w:sz w:val="14"/>
          <w:szCs w:val="20"/>
        </w:rPr>
        <w:t xml:space="preserve"> </w:t>
      </w:r>
      <w:r w:rsidRPr="001D3754">
        <w:rPr>
          <w:rStyle w:val="Emphasis"/>
          <w:highlight w:val="cyan"/>
        </w:rPr>
        <w:t>value</w:t>
      </w:r>
      <w:r w:rsidRPr="001D3754">
        <w:rPr>
          <w:sz w:val="14"/>
          <w:szCs w:val="20"/>
          <w:highlight w:val="cyan"/>
        </w:rPr>
        <w:t xml:space="preserve"> </w:t>
      </w:r>
      <w:r w:rsidRPr="001D3754">
        <w:rPr>
          <w:rStyle w:val="StyleUnderline"/>
          <w:highlight w:val="cyan"/>
        </w:rPr>
        <w:t>to each</w:t>
      </w:r>
      <w:r w:rsidRPr="001D3754">
        <w:rPr>
          <w:sz w:val="14"/>
          <w:szCs w:val="20"/>
          <w:highlight w:val="cyan"/>
        </w:rPr>
        <w:t xml:space="preserve"> </w:t>
      </w:r>
      <w:r w:rsidRPr="00C94418">
        <w:rPr>
          <w:rStyle w:val="Emphasis"/>
        </w:rPr>
        <w:t>single</w:t>
      </w:r>
      <w:r w:rsidRPr="00C94418">
        <w:rPr>
          <w:sz w:val="14"/>
          <w:szCs w:val="20"/>
        </w:rPr>
        <w:t xml:space="preserve"> </w:t>
      </w:r>
      <w:r w:rsidRPr="00C94418">
        <w:rPr>
          <w:rStyle w:val="StyleUnderline"/>
        </w:rPr>
        <w:t>right</w:t>
      </w:r>
      <w:r w:rsidRPr="003C6428">
        <w:rPr>
          <w:rStyle w:val="StyleUnderline"/>
        </w:rPr>
        <w:t xml:space="preserve">, </w:t>
      </w:r>
      <w:r w:rsidRPr="001D3754">
        <w:rPr>
          <w:rStyle w:val="StyleUnderline"/>
          <w:highlight w:val="cyan"/>
        </w:rPr>
        <w:t xml:space="preserve">establish </w:t>
      </w:r>
      <w:r w:rsidRPr="00C94418">
        <w:rPr>
          <w:rStyle w:val="StyleUnderline"/>
        </w:rPr>
        <w:t>some</w:t>
      </w:r>
      <w:r w:rsidRPr="00C94418">
        <w:rPr>
          <w:sz w:val="14"/>
          <w:szCs w:val="20"/>
        </w:rPr>
        <w:t xml:space="preserve"> </w:t>
      </w:r>
      <w:r w:rsidRPr="001D3754">
        <w:rPr>
          <w:rStyle w:val="Emphasis"/>
          <w:highlight w:val="cyan"/>
        </w:rPr>
        <w:t>threshold</w:t>
      </w:r>
      <w:r w:rsidRPr="003C6428">
        <w:rPr>
          <w:rStyle w:val="Emphasis"/>
        </w:rPr>
        <w:t xml:space="preserve"> value</w:t>
      </w:r>
      <w:r w:rsidRPr="009C06DB">
        <w:rPr>
          <w:sz w:val="14"/>
          <w:szCs w:val="20"/>
        </w:rPr>
        <w:t xml:space="preserve"> </w:t>
      </w:r>
      <w:r w:rsidRPr="001D3754">
        <w:rPr>
          <w:rStyle w:val="StyleUnderline"/>
          <w:highlight w:val="cyan"/>
        </w:rPr>
        <w:t>for a right's</w:t>
      </w:r>
      <w:r w:rsidRPr="003C6428">
        <w:rPr>
          <w:rStyle w:val="StyleUnderline"/>
        </w:rPr>
        <w:t xml:space="preserve"> triggering</w:t>
      </w:r>
      <w:r w:rsidRPr="009C06DB">
        <w:rPr>
          <w:sz w:val="14"/>
          <w:szCs w:val="20"/>
        </w:rPr>
        <w:t xml:space="preserve"> </w:t>
      </w:r>
      <w:r w:rsidRPr="001D3754">
        <w:rPr>
          <w:rStyle w:val="Emphasis"/>
          <w:highlight w:val="cyan"/>
        </w:rPr>
        <w:t>heightened review</w:t>
      </w:r>
      <w:r w:rsidRPr="003C6428">
        <w:rPr>
          <w:rStyle w:val="StyleUnderline"/>
        </w:rPr>
        <w:t>, and assume that the value of each</w:t>
      </w:r>
      <w:r w:rsidRPr="009C06DB">
        <w:rPr>
          <w:sz w:val="14"/>
          <w:szCs w:val="20"/>
        </w:rPr>
        <w:t xml:space="preserve"> </w:t>
      </w:r>
      <w:r w:rsidRPr="003C6428">
        <w:rPr>
          <w:rStyle w:val="Emphasis"/>
        </w:rPr>
        <w:t>single</w:t>
      </w:r>
      <w:r w:rsidRPr="009C06DB">
        <w:rPr>
          <w:sz w:val="14"/>
          <w:szCs w:val="20"/>
        </w:rPr>
        <w:t xml:space="preserve"> </w:t>
      </w:r>
      <w:r w:rsidRPr="003C6428">
        <w:rPr>
          <w:rStyle w:val="StyleUnderline"/>
        </w:rPr>
        <w:t>right is</w:t>
      </w:r>
      <w:r w:rsidRPr="009C06DB">
        <w:rPr>
          <w:sz w:val="14"/>
          <w:szCs w:val="20"/>
        </w:rPr>
        <w:t xml:space="preserve"> </w:t>
      </w:r>
      <w:r w:rsidRPr="003C6428">
        <w:rPr>
          <w:rStyle w:val="Emphasis"/>
        </w:rPr>
        <w:t>below</w:t>
      </w:r>
      <w:r w:rsidRPr="009C06DB">
        <w:rPr>
          <w:sz w:val="14"/>
          <w:szCs w:val="20"/>
        </w:rPr>
        <w:t xml:space="preserve"> </w:t>
      </w:r>
      <w:r w:rsidRPr="003C6428">
        <w:rPr>
          <w:rStyle w:val="StyleUnderline"/>
        </w:rPr>
        <w:t xml:space="preserve">this threshold, but </w:t>
      </w:r>
      <w:r w:rsidRPr="001D3754">
        <w:rPr>
          <w:rStyle w:val="StyleUnderline"/>
          <w:highlight w:val="cyan"/>
        </w:rPr>
        <w:t>then find</w:t>
      </w:r>
      <w:r w:rsidRPr="003C6428">
        <w:rPr>
          <w:rStyle w:val="StyleUnderline"/>
        </w:rPr>
        <w:t xml:space="preserve"> that </w:t>
      </w:r>
      <w:r w:rsidRPr="001D3754">
        <w:rPr>
          <w:rStyle w:val="Emphasis"/>
          <w:highlight w:val="cyan"/>
        </w:rPr>
        <w:t>adding</w:t>
      </w:r>
      <w:r w:rsidRPr="001D3754">
        <w:rPr>
          <w:sz w:val="14"/>
          <w:szCs w:val="20"/>
          <w:highlight w:val="cyan"/>
        </w:rPr>
        <w:t xml:space="preserve"> </w:t>
      </w:r>
      <w:r w:rsidRPr="001D3754">
        <w:rPr>
          <w:rStyle w:val="StyleUnderline"/>
          <w:highlight w:val="cyan"/>
        </w:rPr>
        <w:t>the values</w:t>
      </w:r>
      <w:r w:rsidRPr="003C6428">
        <w:rPr>
          <w:rStyle w:val="StyleUnderline"/>
        </w:rPr>
        <w:t xml:space="preserve"> of</w:t>
      </w:r>
      <w:r w:rsidRPr="009C06DB">
        <w:rPr>
          <w:sz w:val="14"/>
          <w:szCs w:val="20"/>
        </w:rPr>
        <w:t xml:space="preserve"> </w:t>
      </w:r>
      <w:r w:rsidRPr="003C6428">
        <w:rPr>
          <w:rStyle w:val="Emphasis"/>
        </w:rPr>
        <w:t>two</w:t>
      </w:r>
      <w:r w:rsidRPr="009C06DB">
        <w:rPr>
          <w:sz w:val="14"/>
          <w:szCs w:val="20"/>
        </w:rPr>
        <w:t xml:space="preserve"> </w:t>
      </w:r>
      <w:r w:rsidRPr="003C6428">
        <w:rPr>
          <w:rStyle w:val="StyleUnderline"/>
        </w:rPr>
        <w:t>such rights</w:t>
      </w:r>
      <w:r w:rsidRPr="009C06DB">
        <w:rPr>
          <w:sz w:val="14"/>
          <w:szCs w:val="20"/>
        </w:rPr>
        <w:t xml:space="preserve"> </w:t>
      </w:r>
      <w:r w:rsidRPr="001D3754">
        <w:rPr>
          <w:rStyle w:val="Emphasis"/>
          <w:highlight w:val="cyan"/>
        </w:rPr>
        <w:t>together</w:t>
      </w:r>
      <w:r w:rsidRPr="001D3754">
        <w:rPr>
          <w:sz w:val="14"/>
          <w:szCs w:val="20"/>
          <w:highlight w:val="cyan"/>
        </w:rPr>
        <w:t xml:space="preserve"> </w:t>
      </w:r>
      <w:r w:rsidRPr="001D3754">
        <w:rPr>
          <w:rStyle w:val="StyleUnderline"/>
          <w:highlight w:val="cyan"/>
        </w:rPr>
        <w:t>creates a sum</w:t>
      </w:r>
      <w:r w:rsidRPr="003C6428">
        <w:rPr>
          <w:rStyle w:val="StyleUnderline"/>
        </w:rPr>
        <w:t xml:space="preserve"> that is </w:t>
      </w:r>
      <w:r w:rsidRPr="001D3754">
        <w:rPr>
          <w:rStyle w:val="Emphasis"/>
          <w:highlight w:val="cyan"/>
        </w:rPr>
        <w:t>above</w:t>
      </w:r>
      <w:r w:rsidRPr="001D3754">
        <w:rPr>
          <w:sz w:val="14"/>
          <w:szCs w:val="20"/>
          <w:highlight w:val="cyan"/>
        </w:rPr>
        <w:t xml:space="preserve"> </w:t>
      </w:r>
      <w:r w:rsidRPr="001D3754">
        <w:rPr>
          <w:rStyle w:val="StyleUnderline"/>
          <w:highlight w:val="cyan"/>
        </w:rPr>
        <w:t>the threshold</w:t>
      </w:r>
      <w:r w:rsidRPr="003C6428">
        <w:rPr>
          <w:rStyle w:val="StyleUnderline"/>
        </w:rPr>
        <w:t xml:space="preserve">. </w:t>
      </w:r>
      <w:r w:rsidRPr="001D3754">
        <w:rPr>
          <w:rStyle w:val="Emphasis"/>
          <w:highlight w:val="cyan"/>
        </w:rPr>
        <w:t>It is difficult to know</w:t>
      </w:r>
      <w:r w:rsidRPr="009C06DB">
        <w:rPr>
          <w:rStyle w:val="Emphasis"/>
        </w:rPr>
        <w:t xml:space="preserve"> even </w:t>
      </w:r>
      <w:r w:rsidRPr="001D3754">
        <w:rPr>
          <w:rStyle w:val="Emphasis"/>
          <w:highlight w:val="cyan"/>
        </w:rPr>
        <w:t>where to begin</w:t>
      </w:r>
      <w:r w:rsidRPr="009C06DB">
        <w:rPr>
          <w:rStyle w:val="Emphasis"/>
        </w:rPr>
        <w:t xml:space="preserve"> with such quantification and </w:t>
      </w:r>
      <w:r>
        <w:rPr>
          <w:rStyle w:val="Emphasis"/>
        </w:rPr>
        <w:t>calculatio</w:t>
      </w:r>
      <w:r w:rsidRPr="009C06DB">
        <w:rPr>
          <w:rStyle w:val="Emphasis"/>
        </w:rPr>
        <w:t>n</w:t>
      </w:r>
    </w:p>
    <w:p w14:paraId="60A9D7B7" w14:textId="77777777" w:rsidR="004B1769" w:rsidRDefault="004B1769" w:rsidP="004B1769">
      <w:pPr>
        <w:pStyle w:val="Heading2"/>
      </w:pPr>
      <w:r>
        <w:t>T - Embodiment</w:t>
      </w:r>
    </w:p>
    <w:p w14:paraId="6EC57FF6" w14:textId="77777777" w:rsidR="004B1769" w:rsidRDefault="004B1769" w:rsidP="004B1769">
      <w:pPr>
        <w:pStyle w:val="Heading3"/>
      </w:pPr>
      <w:r>
        <w:t>AT: T-Embodiment – 2AC</w:t>
      </w:r>
    </w:p>
    <w:p w14:paraId="5F33B6FC" w14:textId="77777777" w:rsidR="004B1769" w:rsidRDefault="004B1769" w:rsidP="004B1769">
      <w:pPr>
        <w:pStyle w:val="Heading4"/>
      </w:pPr>
      <w:r>
        <w:t xml:space="preserve">6. Privileging immediate embodiment oversimplifies ethical space.  We should try to build reflexivity that helps us detect what is not present rather than rely on appeals to immediacy.  </w:t>
      </w:r>
    </w:p>
    <w:p w14:paraId="5DFFD77C" w14:textId="77777777" w:rsidR="004B1769" w:rsidRDefault="004B1769" w:rsidP="004B1769">
      <w:r>
        <w:t xml:space="preserve">Kristie </w:t>
      </w:r>
      <w:r w:rsidRPr="00686064">
        <w:rPr>
          <w:rStyle w:val="Style13ptBold"/>
        </w:rPr>
        <w:t>DOTSON</w:t>
      </w:r>
      <w:r>
        <w:t xml:space="preserve"> </w:t>
      </w:r>
      <w:r w:rsidRPr="008D2EF3">
        <w:t xml:space="preserve">University Diversity and Social Transformation Professor </w:t>
      </w:r>
      <w:r>
        <w:t xml:space="preserve">@ Michigan </w:t>
      </w:r>
      <w:r w:rsidRPr="00686064">
        <w:rPr>
          <w:rStyle w:val="Style13ptBold"/>
        </w:rPr>
        <w:t>AND</w:t>
      </w:r>
      <w:r>
        <w:t xml:space="preserve"> Kyle </w:t>
      </w:r>
      <w:r w:rsidRPr="00686064">
        <w:rPr>
          <w:rStyle w:val="Style13ptBold"/>
        </w:rPr>
        <w:t>WHITE</w:t>
      </w:r>
      <w:r>
        <w:t xml:space="preserve"> </w:t>
      </w:r>
      <w:r w:rsidRPr="008D2EF3">
        <w:t>Professor of Environment and Sustainability and George Willis Pack Professor at the University of Michigan's School for Environment and Sustainability</w:t>
      </w:r>
      <w:r>
        <w:t xml:space="preserve"> </w:t>
      </w:r>
      <w:r w:rsidRPr="00686064">
        <w:rPr>
          <w:rStyle w:val="Style13ptBold"/>
        </w:rPr>
        <w:t>’13</w:t>
      </w:r>
      <w:r>
        <w:t xml:space="preserve"> “</w:t>
      </w:r>
      <w:r w:rsidRPr="008D2EF3">
        <w:t>Environmental Justice, Unknowability and Unqualified Affectability</w:t>
      </w:r>
      <w:r>
        <w:t xml:space="preserve">” </w:t>
      </w:r>
      <w:r>
        <w:rPr>
          <w:iCs/>
        </w:rPr>
        <w:t>Ethics and the Environment</w:t>
      </w:r>
      <w:r>
        <w:t xml:space="preserve"> 18 (2) p. 70-75</w:t>
      </w:r>
    </w:p>
    <w:p w14:paraId="3AFA8624" w14:textId="77777777" w:rsidR="004B1769" w:rsidRPr="003E0332" w:rsidRDefault="004B1769" w:rsidP="004B1769">
      <w:pPr>
        <w:rPr>
          <w:sz w:val="16"/>
        </w:rPr>
      </w:pPr>
      <w:r w:rsidRPr="003E0332">
        <w:rPr>
          <w:sz w:val="16"/>
        </w:rPr>
        <w:t xml:space="preserve">Still, in granting the response that moral gateways are a transcendental feature of ethical contexts, a second problem emerges. </w:t>
      </w:r>
      <w:r w:rsidRPr="004F20D8">
        <w:rPr>
          <w:rStyle w:val="StyleUnderline"/>
          <w:highlight w:val="cyan"/>
        </w:rPr>
        <w:t xml:space="preserve">Tying moral gateways to </w:t>
      </w:r>
      <w:r w:rsidRPr="004F20D8">
        <w:rPr>
          <w:rStyle w:val="Emphasis"/>
          <w:highlight w:val="cyan"/>
        </w:rPr>
        <w:t>embodied proximity</w:t>
      </w:r>
      <w:r w:rsidRPr="004F20D8">
        <w:rPr>
          <w:rStyle w:val="StyleUnderline"/>
          <w:highlight w:val="cyan"/>
        </w:rPr>
        <w:t xml:space="preserve"> is limited when attempting to think</w:t>
      </w:r>
      <w:r w:rsidRPr="00CF3122">
        <w:rPr>
          <w:rStyle w:val="StyleUnderline"/>
        </w:rPr>
        <w:t xml:space="preserve"> through </w:t>
      </w:r>
      <w:r w:rsidRPr="004F20D8">
        <w:rPr>
          <w:rStyle w:val="StyleUnderline"/>
          <w:highlight w:val="cyan"/>
        </w:rPr>
        <w:t>broad social issues</w:t>
      </w:r>
      <w:r w:rsidRPr="003E0332">
        <w:rPr>
          <w:sz w:val="16"/>
        </w:rPr>
        <w:t xml:space="preserve">. When </w:t>
      </w:r>
      <w:r w:rsidRPr="00CF3122">
        <w:rPr>
          <w:rStyle w:val="StyleUnderline"/>
        </w:rPr>
        <w:t>one’s conduct can serve to strongly affect another population that one never encounters in open space,</w:t>
      </w:r>
      <w:r w:rsidRPr="003E0332">
        <w:rPr>
          <w:sz w:val="16"/>
        </w:rPr>
        <w:t xml:space="preserve"> Figueroa, Waitt, and McGee’s </w:t>
      </w:r>
      <w:r w:rsidRPr="00CF3122">
        <w:rPr>
          <w:rStyle w:val="StyleUnderline"/>
        </w:rPr>
        <w:t xml:space="preserve">moral ecology </w:t>
      </w:r>
      <w:proofErr w:type="gramStart"/>
      <w:r w:rsidRPr="00CF3122">
        <w:rPr>
          <w:rStyle w:val="StyleUnderline"/>
        </w:rPr>
        <w:t>fails</w:t>
      </w:r>
      <w:proofErr w:type="gramEnd"/>
      <w:r w:rsidRPr="00CF3122">
        <w:rPr>
          <w:rStyle w:val="StyleUnderline"/>
        </w:rPr>
        <w:t xml:space="preserve"> to gain purchase</w:t>
      </w:r>
      <w:r w:rsidRPr="003E0332">
        <w:rPr>
          <w:sz w:val="16"/>
        </w:rPr>
        <w:t xml:space="preserve">. The observation that differences do not sit on the surface for ready detection is not simply a point of poorly trained faculties of corporeal affectivity, which is important. But it is also an observation about the limitations casting ethical contexts according to spatial proximity </w:t>
      </w:r>
      <w:proofErr w:type="gramStart"/>
      <w:r w:rsidRPr="003E0332">
        <w:rPr>
          <w:sz w:val="16"/>
        </w:rPr>
        <w:t>place</w:t>
      </w:r>
      <w:proofErr w:type="gramEnd"/>
      <w:r w:rsidRPr="003E0332">
        <w:rPr>
          <w:sz w:val="16"/>
        </w:rPr>
        <w:t xml:space="preserve"> upon those ethical contexts. </w:t>
      </w:r>
      <w:r w:rsidRPr="004F20D8">
        <w:rPr>
          <w:rStyle w:val="StyleUnderline"/>
          <w:highlight w:val="cyan"/>
        </w:rPr>
        <w:t>Ethics</w:t>
      </w:r>
      <w:r w:rsidRPr="003E0332">
        <w:rPr>
          <w:sz w:val="16"/>
        </w:rPr>
        <w:t xml:space="preserve">, we want to claim, </w:t>
      </w:r>
      <w:r w:rsidRPr="004F20D8">
        <w:rPr>
          <w:rStyle w:val="StyleUnderline"/>
          <w:highlight w:val="cyan"/>
        </w:rPr>
        <w:t xml:space="preserve">extends </w:t>
      </w:r>
      <w:r w:rsidRPr="004F20D8">
        <w:rPr>
          <w:rStyle w:val="Emphasis"/>
          <w:highlight w:val="cyan"/>
        </w:rPr>
        <w:t>farther than</w:t>
      </w:r>
      <w:r w:rsidRPr="00CF3122">
        <w:rPr>
          <w:rStyle w:val="Emphasis"/>
        </w:rPr>
        <w:t xml:space="preserve"> our </w:t>
      </w:r>
      <w:r w:rsidRPr="004F20D8">
        <w:rPr>
          <w:rStyle w:val="Emphasis"/>
          <w:highlight w:val="cyan"/>
        </w:rPr>
        <w:t>embodied engagements</w:t>
      </w:r>
      <w:r w:rsidRPr="003E0332">
        <w:rPr>
          <w:sz w:val="16"/>
        </w:rPr>
        <w:t xml:space="preserve"> and yet, similarly to Figueroa, Waitt, and McGee, is absolutely a function of such engagement. As a result, we claim that their moral ecology needs </w:t>
      </w:r>
      <w:proofErr w:type="gramStart"/>
      <w:r w:rsidRPr="003E0332">
        <w:rPr>
          <w:sz w:val="16"/>
        </w:rPr>
        <w:t>an added</w:t>
      </w:r>
      <w:proofErr w:type="gramEnd"/>
      <w:r w:rsidRPr="003E0332">
        <w:rPr>
          <w:sz w:val="16"/>
        </w:rPr>
        <w:t xml:space="preserve"> consideration to address these limitations of their position, i.e. the shortcut </w:t>
      </w:r>
      <w:proofErr w:type="gramStart"/>
      <w:r w:rsidRPr="003E0332">
        <w:rPr>
          <w:sz w:val="16"/>
        </w:rPr>
        <w:t>of</w:t>
      </w:r>
      <w:proofErr w:type="gramEnd"/>
      <w:r w:rsidRPr="003E0332">
        <w:rPr>
          <w:sz w:val="16"/>
        </w:rPr>
        <w:t xml:space="preserve"> making moral gateways a feature of ethical contexts and the limitations of spatial metaphors for ethical engagement. They need a consideration of affectability as the interdependence of human existence built into the very structure of their account.</w:t>
      </w:r>
    </w:p>
    <w:p w14:paraId="37F8E19B" w14:textId="77777777" w:rsidR="004B1769" w:rsidRPr="003E0332" w:rsidRDefault="004B1769" w:rsidP="004B1769">
      <w:pPr>
        <w:rPr>
          <w:sz w:val="16"/>
        </w:rPr>
      </w:pPr>
      <w:r w:rsidRPr="003E0332">
        <w:rPr>
          <w:sz w:val="16"/>
        </w:rPr>
        <w:t>Affectivity as bodily affect can map dynamics between people/</w:t>
      </w:r>
      <w:proofErr w:type="gramStart"/>
      <w:r w:rsidRPr="003E0332">
        <w:rPr>
          <w:sz w:val="16"/>
        </w:rPr>
        <w:t>peoples</w:t>
      </w:r>
      <w:proofErr w:type="gramEnd"/>
      <w:r w:rsidRPr="003E0332">
        <w:rPr>
          <w:sz w:val="16"/>
        </w:rPr>
        <w:t xml:space="preserve"> with a kind of proximal relationship, as Figueroa, Waitt, and McGee suggest. As a heuristic, it works best for an analysis of community dynamics informed by direct contact. </w:t>
      </w:r>
      <w:r w:rsidRPr="00CF3122">
        <w:rPr>
          <w:rStyle w:val="StyleUnderline"/>
        </w:rPr>
        <w:t xml:space="preserve">When one begins to </w:t>
      </w:r>
      <w:r w:rsidRPr="004F20D8">
        <w:rPr>
          <w:rStyle w:val="StyleUnderline"/>
          <w:highlight w:val="cyan"/>
        </w:rPr>
        <w:t>consider</w:t>
      </w:r>
      <w:r w:rsidRPr="003E0332">
        <w:rPr>
          <w:sz w:val="16"/>
        </w:rPr>
        <w:t xml:space="preserve"> something like a global community and </w:t>
      </w:r>
      <w:r w:rsidRPr="004F20D8">
        <w:rPr>
          <w:rStyle w:val="StyleUnderline"/>
          <w:highlight w:val="cyan"/>
        </w:rPr>
        <w:t>global environmental justice</w:t>
      </w:r>
      <w:r w:rsidRPr="003E0332">
        <w:rPr>
          <w:sz w:val="16"/>
        </w:rPr>
        <w:t xml:space="preserve">, </w:t>
      </w:r>
      <w:r w:rsidRPr="004F20D8">
        <w:rPr>
          <w:rStyle w:val="StyleUnderline"/>
          <w:highlight w:val="cyan"/>
        </w:rPr>
        <w:t>corporeal affect becomes difficult</w:t>
      </w:r>
      <w:r w:rsidRPr="00CF3122">
        <w:rPr>
          <w:rStyle w:val="StyleUnderline"/>
        </w:rPr>
        <w:t xml:space="preserve"> to map.</w:t>
      </w:r>
      <w:r w:rsidRPr="003E0332">
        <w:rPr>
          <w:sz w:val="16"/>
        </w:rPr>
        <w:t xml:space="preserve"> </w:t>
      </w:r>
      <w:r w:rsidRPr="00CF3122">
        <w:rPr>
          <w:rStyle w:val="StyleUnderline"/>
        </w:rPr>
        <w:t xml:space="preserve">The degree to which populations are abjected takes on a proportion that makes </w:t>
      </w:r>
      <w:r w:rsidRPr="00CF3122">
        <w:rPr>
          <w:rStyle w:val="Emphasis"/>
        </w:rPr>
        <w:t>corporeal affectability</w:t>
      </w:r>
      <w:r w:rsidRPr="00CF3122">
        <w:rPr>
          <w:rStyle w:val="StyleUnderline"/>
        </w:rPr>
        <w:t xml:space="preserve"> a difficult heuristic to use.</w:t>
      </w:r>
      <w:r w:rsidRPr="003E0332">
        <w:rPr>
          <w:sz w:val="16"/>
        </w:rPr>
        <w:t xml:space="preserve"> In many ways, one must begin to think beyond affectability as embodied emotion to also include affectability as brute, or unqualified, interdependence when considering a global community. In turn, considering ethics in a global community can aid in identifying strategies to counter current </w:t>
      </w:r>
      <w:proofErr w:type="gramStart"/>
      <w:r w:rsidRPr="003E0332">
        <w:rPr>
          <w:sz w:val="16"/>
        </w:rPr>
        <w:t>abjection</w:t>
      </w:r>
      <w:proofErr w:type="gramEnd"/>
      <w:r w:rsidRPr="003E0332">
        <w:rPr>
          <w:sz w:val="16"/>
        </w:rPr>
        <w:t xml:space="preserve"> of difference.</w:t>
      </w:r>
    </w:p>
    <w:p w14:paraId="61F3B892" w14:textId="77777777" w:rsidR="004B1769" w:rsidRPr="003E0332" w:rsidRDefault="004B1769" w:rsidP="004B1769">
      <w:pPr>
        <w:rPr>
          <w:sz w:val="16"/>
        </w:rPr>
      </w:pPr>
      <w:r w:rsidRPr="003E0332">
        <w:rPr>
          <w:sz w:val="16"/>
        </w:rPr>
        <w:t>5. conclusion: unqualified affectability and Enivronmental Justice</w:t>
      </w:r>
    </w:p>
    <w:p w14:paraId="5DFC9AE5" w14:textId="77777777" w:rsidR="004B1769" w:rsidRPr="003E0332" w:rsidRDefault="004B1769" w:rsidP="004B1769">
      <w:pPr>
        <w:rPr>
          <w:sz w:val="16"/>
        </w:rPr>
      </w:pPr>
      <w:r w:rsidRPr="003E0332">
        <w:rPr>
          <w:sz w:val="16"/>
        </w:rPr>
        <w:t xml:space="preserve">Unqualified affectability or unqualified interdependence accords with the reality that we exist as beings that variously affect and are affected by others. This </w:t>
      </w:r>
      <w:r w:rsidRPr="004F20D8">
        <w:rPr>
          <w:rStyle w:val="StyleUnderline"/>
          <w:highlight w:val="cyan"/>
        </w:rPr>
        <w:t>ability to affect each other</w:t>
      </w:r>
      <w:r w:rsidRPr="003E0332">
        <w:rPr>
          <w:sz w:val="16"/>
        </w:rPr>
        <w:t xml:space="preserve">, whether </w:t>
      </w:r>
      <w:r w:rsidRPr="004F20D8">
        <w:rPr>
          <w:rStyle w:val="StyleUnderline"/>
          <w:highlight w:val="cyan"/>
        </w:rPr>
        <w:t>interpersonally</w:t>
      </w:r>
      <w:r w:rsidRPr="00CF3122">
        <w:rPr>
          <w:rStyle w:val="StyleUnderline"/>
        </w:rPr>
        <w:t xml:space="preserve">, </w:t>
      </w:r>
      <w:r w:rsidRPr="004F20D8">
        <w:rPr>
          <w:rStyle w:val="StyleUnderline"/>
          <w:highlight w:val="cyan"/>
        </w:rPr>
        <w:t>locally</w:t>
      </w:r>
      <w:r w:rsidRPr="00CF3122">
        <w:rPr>
          <w:rStyle w:val="StyleUnderline"/>
        </w:rPr>
        <w:t xml:space="preserve">, </w:t>
      </w:r>
      <w:r w:rsidRPr="004F20D8">
        <w:rPr>
          <w:rStyle w:val="StyleUnderline"/>
          <w:highlight w:val="cyan"/>
        </w:rPr>
        <w:t>transnationally</w:t>
      </w:r>
      <w:r w:rsidRPr="00CF3122">
        <w:rPr>
          <w:rStyle w:val="StyleUnderline"/>
        </w:rPr>
        <w:t xml:space="preserve">, or globally, </w:t>
      </w:r>
      <w:r w:rsidRPr="004F20D8">
        <w:rPr>
          <w:rStyle w:val="StyleUnderline"/>
          <w:highlight w:val="cyan"/>
        </w:rPr>
        <w:t>will never go away</w:t>
      </w:r>
      <w:r w:rsidRPr="004F20D8">
        <w:rPr>
          <w:sz w:val="16"/>
          <w:highlight w:val="cyan"/>
        </w:rPr>
        <w:t>.</w:t>
      </w:r>
      <w:r w:rsidRPr="003E0332">
        <w:rPr>
          <w:sz w:val="16"/>
        </w:rPr>
        <w:t xml:space="preserve"> It is a basic state of human existence that we can only </w:t>
      </w:r>
      <w:proofErr w:type="gramStart"/>
      <w:r w:rsidRPr="003E0332">
        <w:rPr>
          <w:sz w:val="16"/>
        </w:rPr>
        <w:t>ignore, but</w:t>
      </w:r>
      <w:proofErr w:type="gramEnd"/>
      <w:r w:rsidRPr="003E0332">
        <w:rPr>
          <w:sz w:val="16"/>
        </w:rPr>
        <w:t xml:space="preserve"> never abrogate. Erin Gilson, drawing on Judith Butler and Debra Bergoffen, highlights the affect-prone nature of human existence. Through her understanding of vulnerability, Gilson claims that affectability is a universal human condition and defines vulnerability as “a condition of openness, openness to being affected and affecting in turn” (2011, 310). Vulnerability, or what we </w:t>
      </w:r>
      <w:proofErr w:type="gramStart"/>
      <w:r w:rsidRPr="003E0332">
        <w:rPr>
          <w:sz w:val="16"/>
        </w:rPr>
        <w:t>are calling</w:t>
      </w:r>
      <w:proofErr w:type="gramEnd"/>
      <w:r w:rsidRPr="003E0332">
        <w:rPr>
          <w:sz w:val="16"/>
        </w:rPr>
        <w:t xml:space="preserve"> unqualified affectability, is an ambivalent human condition. That is, the human condition of vulnerability is neither wholly negative, as that which enables harm, or wholly positive, as that which enables positive activity (Gilson 2011, 309). It simply is a characteristic of human existence. This basic characteristic of human existence highlights a thin sense of community membership </w:t>
      </w:r>
      <w:proofErr w:type="gramStart"/>
      <w:r w:rsidRPr="003E0332">
        <w:rPr>
          <w:sz w:val="16"/>
        </w:rPr>
        <w:t>similar to</w:t>
      </w:r>
      <w:proofErr w:type="gramEnd"/>
      <w:r w:rsidRPr="003E0332">
        <w:rPr>
          <w:sz w:val="16"/>
        </w:rPr>
        <w:t xml:space="preserve"> what the term global communities </w:t>
      </w:r>
      <w:proofErr w:type="gramStart"/>
      <w:r w:rsidRPr="003E0332">
        <w:rPr>
          <w:sz w:val="16"/>
        </w:rPr>
        <w:t>invokes</w:t>
      </w:r>
      <w:proofErr w:type="gramEnd"/>
      <w:r w:rsidRPr="003E0332">
        <w:rPr>
          <w:sz w:val="16"/>
        </w:rPr>
        <w:t>.</w:t>
      </w:r>
    </w:p>
    <w:p w14:paraId="3ECF2593" w14:textId="77777777" w:rsidR="004B1769" w:rsidRPr="003E0332" w:rsidRDefault="004B1769" w:rsidP="004B1769">
      <w:pPr>
        <w:rPr>
          <w:sz w:val="16"/>
        </w:rPr>
      </w:pPr>
      <w:r w:rsidRPr="003E0332">
        <w:rPr>
          <w:sz w:val="16"/>
        </w:rPr>
        <w:t xml:space="preserve">To build unqualified interdependence into one’s moral ecology is to extend the structure of ethical comportment beyond “feeling right” with respect to varying moral heritages to re-visioned experiences of moral terrains that can account for unqualified affectability. </w:t>
      </w:r>
      <w:proofErr w:type="gramStart"/>
      <w:r w:rsidRPr="003E0332">
        <w:rPr>
          <w:sz w:val="16"/>
        </w:rPr>
        <w:t>That is to say, Figueroa</w:t>
      </w:r>
      <w:proofErr w:type="gramEnd"/>
      <w:r w:rsidRPr="003E0332">
        <w:rPr>
          <w:sz w:val="16"/>
        </w:rPr>
        <w:t xml:space="preserve">, Waitt, and McGee’s moral ecology needs to build in a consideration of complex moral terrains, which can truly only be tracked by attending to the openness of human existence. </w:t>
      </w:r>
      <w:r w:rsidRPr="004F20D8">
        <w:rPr>
          <w:rStyle w:val="StyleUnderline"/>
          <w:highlight w:val="cyan"/>
        </w:rPr>
        <w:t>A complex moral terrain</w:t>
      </w:r>
      <w:r w:rsidRPr="00CF3122">
        <w:rPr>
          <w:rStyle w:val="StyleUnderline"/>
        </w:rPr>
        <w:t xml:space="preserve">, as we understand it, </w:t>
      </w:r>
      <w:r w:rsidRPr="004F20D8">
        <w:rPr>
          <w:rStyle w:val="StyleUnderline"/>
          <w:highlight w:val="cyan"/>
        </w:rPr>
        <w:t>is</w:t>
      </w:r>
      <w:r w:rsidRPr="00CF3122">
        <w:rPr>
          <w:rStyle w:val="StyleUnderline"/>
        </w:rPr>
        <w:t xml:space="preserve"> a moral horizon that is </w:t>
      </w:r>
      <w:r w:rsidRPr="004F20D8">
        <w:rPr>
          <w:rStyle w:val="StyleUnderline"/>
          <w:highlight w:val="cyan"/>
        </w:rPr>
        <w:t>rife with</w:t>
      </w:r>
      <w:r w:rsidRPr="00CF3122">
        <w:rPr>
          <w:rStyle w:val="StyleUnderline"/>
        </w:rPr>
        <w:t xml:space="preserve"> </w:t>
      </w:r>
      <w:r w:rsidRPr="004F20D8">
        <w:rPr>
          <w:rStyle w:val="StyleUnderline"/>
          <w:highlight w:val="cyan"/>
        </w:rPr>
        <w:t xml:space="preserve">detectable and </w:t>
      </w:r>
      <w:r w:rsidRPr="004F20D8">
        <w:rPr>
          <w:rStyle w:val="Emphasis"/>
          <w:highlight w:val="cyan"/>
        </w:rPr>
        <w:t>undetectable</w:t>
      </w:r>
      <w:r w:rsidRPr="00CF3122">
        <w:rPr>
          <w:rStyle w:val="StyleUnderline"/>
        </w:rPr>
        <w:t xml:space="preserve"> </w:t>
      </w:r>
      <w:r w:rsidRPr="00586D6D">
        <w:rPr>
          <w:rStyle w:val="StyleUnderline"/>
        </w:rPr>
        <w:t xml:space="preserve">moral </w:t>
      </w:r>
      <w:r w:rsidRPr="004F20D8">
        <w:rPr>
          <w:rStyle w:val="StyleUnderline"/>
          <w:highlight w:val="cyan"/>
        </w:rPr>
        <w:t>claims</w:t>
      </w:r>
      <w:r w:rsidRPr="00CF3122">
        <w:rPr>
          <w:rStyle w:val="StyleUnderline"/>
        </w:rPr>
        <w:t xml:space="preserve"> and/</w:t>
      </w:r>
      <w:r w:rsidRPr="004F20D8">
        <w:rPr>
          <w:rStyle w:val="StyleUnderline"/>
          <w:highlight w:val="cyan"/>
        </w:rPr>
        <w:t>or</w:t>
      </w:r>
      <w:r w:rsidRPr="00CF3122">
        <w:rPr>
          <w:rStyle w:val="StyleUnderline"/>
        </w:rPr>
        <w:t xml:space="preserve"> moral </w:t>
      </w:r>
      <w:r w:rsidRPr="004F20D8">
        <w:rPr>
          <w:rStyle w:val="StyleUnderline"/>
          <w:highlight w:val="cyan"/>
        </w:rPr>
        <w:t>heritages</w:t>
      </w:r>
      <w:r w:rsidRPr="003E0332">
        <w:rPr>
          <w:sz w:val="16"/>
        </w:rPr>
        <w:t xml:space="preserve">. This definition makes no claims concerning the content of moral </w:t>
      </w:r>
      <w:proofErr w:type="gramStart"/>
      <w:r w:rsidRPr="003E0332">
        <w:rPr>
          <w:sz w:val="16"/>
        </w:rPr>
        <w:t>heritages, but</w:t>
      </w:r>
      <w:proofErr w:type="gramEnd"/>
      <w:r w:rsidRPr="003E0332">
        <w:rPr>
          <w:sz w:val="16"/>
        </w:rPr>
        <w:t xml:space="preserve"> rather harkens to the fact that the way moral terrains are experienced is part of the problem of the </w:t>
      </w:r>
      <w:proofErr w:type="gramStart"/>
      <w:r w:rsidRPr="003E0332">
        <w:rPr>
          <w:sz w:val="16"/>
        </w:rPr>
        <w:t>abjection</w:t>
      </w:r>
      <w:proofErr w:type="gramEnd"/>
      <w:r w:rsidRPr="003E0332">
        <w:rPr>
          <w:sz w:val="16"/>
        </w:rPr>
        <w:t xml:space="preserve"> of difference. Within complex moral terrains, entire facets of salient moral heritages are undetectable. </w:t>
      </w:r>
      <w:proofErr w:type="gramStart"/>
      <w:r w:rsidRPr="003E0332">
        <w:rPr>
          <w:sz w:val="16"/>
        </w:rPr>
        <w:t>Attending to</w:t>
      </w:r>
      <w:proofErr w:type="gramEnd"/>
      <w:r w:rsidRPr="003E0332">
        <w:rPr>
          <w:sz w:val="16"/>
        </w:rPr>
        <w:t xml:space="preserve"> unqualified affectability becomes an avenue for detecting moral claims that demand more than a detection of differences in moral heritages to the ways we affect and are affected by each other. We claim that attending to unqualified affectability can begin to address problems of detectability that follow from being an absent presence or the abjection of morally salient differences. Understanding the way attending to unqualified affectability, or </w:t>
      </w:r>
      <w:proofErr w:type="gramStart"/>
      <w:r w:rsidRPr="003E0332">
        <w:rPr>
          <w:sz w:val="16"/>
        </w:rPr>
        <w:t>interdependence,</w:t>
      </w:r>
      <w:proofErr w:type="gramEnd"/>
      <w:r w:rsidRPr="003E0332">
        <w:rPr>
          <w:sz w:val="16"/>
        </w:rPr>
        <w:t xml:space="preserve"> can address the problems we have identified with the abjection of difference requires an exploration of two questions. They are (1) What is the role of normative assessments in </w:t>
      </w:r>
      <w:proofErr w:type="gramStart"/>
      <w:r w:rsidRPr="003E0332">
        <w:rPr>
          <w:sz w:val="16"/>
        </w:rPr>
        <w:t>a relational</w:t>
      </w:r>
      <w:proofErr w:type="gramEnd"/>
      <w:r w:rsidRPr="003E0332">
        <w:rPr>
          <w:sz w:val="16"/>
        </w:rPr>
        <w:t xml:space="preserve"> ethics like </w:t>
      </w:r>
      <w:proofErr w:type="gramStart"/>
      <w:r w:rsidRPr="003E0332">
        <w:rPr>
          <w:sz w:val="16"/>
        </w:rPr>
        <w:t>the triadic</w:t>
      </w:r>
      <w:proofErr w:type="gramEnd"/>
      <w:r w:rsidRPr="003E0332">
        <w:rPr>
          <w:sz w:val="16"/>
        </w:rPr>
        <w:t xml:space="preserve"> moral ecology? And (2) to what degree do our ethical theories require attending to socially sanctioned ignorance and indifference?</w:t>
      </w:r>
    </w:p>
    <w:p w14:paraId="2BE13ED6" w14:textId="77777777" w:rsidR="004B1769" w:rsidRPr="003E0332" w:rsidRDefault="004B1769" w:rsidP="004B1769">
      <w:pPr>
        <w:rPr>
          <w:sz w:val="16"/>
        </w:rPr>
      </w:pPr>
      <w:r w:rsidRPr="003E0332">
        <w:rPr>
          <w:sz w:val="16"/>
        </w:rPr>
        <w:t xml:space="preserve">Figueroa, Waitt, and McGee, in offering an analysis of experiential accounts of shifting moral judgments, produce a triadic moral ecology that includes an account of moral terrains (horizons), moral gateways (convergences of differing moral heritages), and corporeal affectivity (ethical sensibilities). Their articles read, as was probably their intention, as a description of our moral situations, more broadly with specific proposals for increased sensitivity to already present differing moral heritages. In doing so, Figueroa, Waitt, and McGee offer a description of our everyday ethical engagement and a normative proposal for the kinds of emotional responses that should be fostered given that picture of our everyday ethical engagement. They do not, however, challenge the limits of our everyday ethical comportment. Rather, they advocate for some one emotional response over another, i.e. shame over guilt, </w:t>
      </w:r>
      <w:proofErr w:type="gramStart"/>
      <w:r w:rsidRPr="003E0332">
        <w:rPr>
          <w:sz w:val="16"/>
        </w:rPr>
        <w:t>in order to</w:t>
      </w:r>
      <w:proofErr w:type="gramEnd"/>
      <w:r w:rsidRPr="003E0332">
        <w:rPr>
          <w:sz w:val="16"/>
        </w:rPr>
        <w:t xml:space="preserve"> address problems that result from the </w:t>
      </w:r>
      <w:proofErr w:type="gramStart"/>
      <w:r w:rsidRPr="003E0332">
        <w:rPr>
          <w:sz w:val="16"/>
        </w:rPr>
        <w:t>abjection</w:t>
      </w:r>
      <w:proofErr w:type="gramEnd"/>
      <w:r w:rsidRPr="003E0332">
        <w:rPr>
          <w:sz w:val="16"/>
        </w:rPr>
        <w:t xml:space="preserve"> of difference. However, normative demands need to be located within the description of our everyday ethical </w:t>
      </w:r>
      <w:r w:rsidRPr="00546922">
        <w:rPr>
          <w:sz w:val="16"/>
        </w:rPr>
        <w:t xml:space="preserve">comportment. That is to say, </w:t>
      </w:r>
      <w:r w:rsidRPr="00546922">
        <w:rPr>
          <w:rStyle w:val="StyleUnderline"/>
        </w:rPr>
        <w:t>the problem of the abjection</w:t>
      </w:r>
      <w:r w:rsidRPr="00546922">
        <w:rPr>
          <w:sz w:val="16"/>
        </w:rPr>
        <w:t xml:space="preserve"> of difference </w:t>
      </w:r>
      <w:r w:rsidRPr="00546922">
        <w:rPr>
          <w:rStyle w:val="StyleUnderline"/>
        </w:rPr>
        <w:t xml:space="preserve">follows from insensitivity with respect to the </w:t>
      </w:r>
      <w:r w:rsidRPr="00546922">
        <w:rPr>
          <w:rStyle w:val="Emphasis"/>
        </w:rPr>
        <w:t>complexity of our moral terrains</w:t>
      </w:r>
      <w:r w:rsidRPr="00546922">
        <w:rPr>
          <w:sz w:val="16"/>
        </w:rPr>
        <w:t xml:space="preserve">, </w:t>
      </w:r>
      <w:r w:rsidRPr="00546922">
        <w:rPr>
          <w:rStyle w:val="StyleUnderline"/>
        </w:rPr>
        <w:t xml:space="preserve">not </w:t>
      </w:r>
      <w:r w:rsidRPr="00546922">
        <w:rPr>
          <w:rStyle w:val="Emphasis"/>
        </w:rPr>
        <w:t>insensitivity</w:t>
      </w:r>
      <w:r w:rsidRPr="00546922">
        <w:rPr>
          <w:rStyle w:val="StyleUnderline"/>
        </w:rPr>
        <w:t xml:space="preserve"> </w:t>
      </w:r>
      <w:r w:rsidRPr="00546922">
        <w:rPr>
          <w:rStyle w:val="Emphasis"/>
        </w:rPr>
        <w:t>with respect to</w:t>
      </w:r>
      <w:r w:rsidRPr="00546922">
        <w:rPr>
          <w:sz w:val="16"/>
        </w:rPr>
        <w:t xml:space="preserve"> varying, </w:t>
      </w:r>
      <w:r w:rsidRPr="00546922">
        <w:rPr>
          <w:rStyle w:val="Emphasis"/>
        </w:rPr>
        <w:t>already present, moral heritages</w:t>
      </w:r>
      <w:r w:rsidRPr="00546922">
        <w:rPr>
          <w:sz w:val="16"/>
        </w:rPr>
        <w:t>.</w:t>
      </w:r>
    </w:p>
    <w:p w14:paraId="7B3467B0" w14:textId="77777777" w:rsidR="004B1769" w:rsidRPr="003E0332" w:rsidRDefault="004B1769" w:rsidP="004B1769">
      <w:pPr>
        <w:rPr>
          <w:sz w:val="16"/>
        </w:rPr>
      </w:pPr>
      <w:r w:rsidRPr="003E0332">
        <w:rPr>
          <w:sz w:val="16"/>
        </w:rPr>
        <w:t xml:space="preserve">Recall that abjection of difference in this project refers to socially sanctioned, willful ignorance of “present absent” populations that fosters an authorized indifference towards the lives, needs, and claims of those populations. Encountering moral differences that one is willfully ignorant of by virtue of an authorized indifference will not provoke an emotional response ripe for moral engagement. In fact, it is quite possible that there will be no emotional response at all, because the moral differences in question will go completely undetected. This reality is clearly reflected in our opening example. </w:t>
      </w:r>
      <w:r w:rsidRPr="00CF3122">
        <w:rPr>
          <w:rStyle w:val="StyleUnderline"/>
        </w:rPr>
        <w:t>The toxicologist speaking with members of the Akwesasne community</w:t>
      </w:r>
      <w:r w:rsidRPr="003E0332">
        <w:rPr>
          <w:sz w:val="16"/>
        </w:rPr>
        <w:t xml:space="preserve"> </w:t>
      </w:r>
      <w:r w:rsidRPr="00CF3122">
        <w:rPr>
          <w:rStyle w:val="StyleUnderline"/>
        </w:rPr>
        <w:t xml:space="preserve">recognized an environmental injustice had </w:t>
      </w:r>
      <w:proofErr w:type="gramStart"/>
      <w:r w:rsidRPr="00CF3122">
        <w:rPr>
          <w:rStyle w:val="StyleUnderline"/>
        </w:rPr>
        <w:t>occurred</w:t>
      </w:r>
      <w:r w:rsidRPr="003E0332">
        <w:rPr>
          <w:sz w:val="16"/>
        </w:rPr>
        <w:t xml:space="preserve">, </w:t>
      </w:r>
      <w:r w:rsidRPr="00CF3122">
        <w:rPr>
          <w:rStyle w:val="StyleUnderline"/>
        </w:rPr>
        <w:t>but</w:t>
      </w:r>
      <w:proofErr w:type="gramEnd"/>
      <w:r w:rsidRPr="00CF3122">
        <w:rPr>
          <w:rStyle w:val="StyleUnderline"/>
        </w:rPr>
        <w:t xml:space="preserve"> also failed to grasp the</w:t>
      </w:r>
      <w:r w:rsidRPr="003E0332">
        <w:rPr>
          <w:sz w:val="16"/>
        </w:rPr>
        <w:t xml:space="preserve"> already present </w:t>
      </w:r>
      <w:r w:rsidRPr="00CF3122">
        <w:rPr>
          <w:rStyle w:val="StyleUnderline"/>
        </w:rPr>
        <w:t>impact</w:t>
      </w:r>
      <w:r w:rsidRPr="003E0332">
        <w:rPr>
          <w:sz w:val="16"/>
        </w:rPr>
        <w:t xml:space="preserve"> of that occurrence. Her experience of the moral terrain was vastly oversimplified. As a result, she failed to grasp the profound wrong of losing one’s lifeways </w:t>
      </w:r>
      <w:proofErr w:type="gramStart"/>
      <w:r w:rsidRPr="003E0332">
        <w:rPr>
          <w:sz w:val="16"/>
        </w:rPr>
        <w:t>and also</w:t>
      </w:r>
      <w:proofErr w:type="gramEnd"/>
      <w:r w:rsidRPr="003E0332">
        <w:rPr>
          <w:sz w:val="16"/>
        </w:rPr>
        <w:t xml:space="preserve"> the less transparent history of social and political exchanges between the tribe and dominant society where their needs and lifeways </w:t>
      </w:r>
      <w:proofErr w:type="gramStart"/>
      <w:r w:rsidRPr="003E0332">
        <w:rPr>
          <w:sz w:val="16"/>
        </w:rPr>
        <w:t>where</w:t>
      </w:r>
      <w:proofErr w:type="gramEnd"/>
      <w:r w:rsidRPr="003E0332">
        <w:rPr>
          <w:sz w:val="16"/>
        </w:rPr>
        <w:t xml:space="preserve"> not only devalued, but abjected. </w:t>
      </w:r>
      <w:r w:rsidRPr="00CF3122">
        <w:rPr>
          <w:rStyle w:val="StyleUnderline"/>
        </w:rPr>
        <w:t>The</w:t>
      </w:r>
      <w:r w:rsidRPr="003E0332">
        <w:rPr>
          <w:sz w:val="16"/>
        </w:rPr>
        <w:t xml:space="preserve"> touted </w:t>
      </w:r>
      <w:r w:rsidRPr="00CF3122">
        <w:rPr>
          <w:rStyle w:val="StyleUnderline"/>
        </w:rPr>
        <w:t>solution</w:t>
      </w:r>
      <w:r w:rsidRPr="003E0332">
        <w:rPr>
          <w:sz w:val="16"/>
        </w:rPr>
        <w:t xml:space="preserve"> to the water pollution, “</w:t>
      </w:r>
      <w:r w:rsidRPr="00CF3122">
        <w:rPr>
          <w:rStyle w:val="StyleUnderline"/>
        </w:rPr>
        <w:t>if it has become bad for you, don’t eat fish,” continues that moral affront by obscuring what has been lost</w:t>
      </w:r>
      <w:r w:rsidRPr="003E0332">
        <w:rPr>
          <w:sz w:val="16"/>
        </w:rPr>
        <w:t>.</w:t>
      </w:r>
    </w:p>
    <w:p w14:paraId="247AC3E0" w14:textId="77777777" w:rsidR="004B1769" w:rsidRPr="003E0332" w:rsidRDefault="004B1769" w:rsidP="004B1769">
      <w:pPr>
        <w:rPr>
          <w:sz w:val="16"/>
        </w:rPr>
      </w:pPr>
      <w:r w:rsidRPr="003E0332">
        <w:rPr>
          <w:sz w:val="16"/>
        </w:rPr>
        <w:t xml:space="preserve">In the case of the toxicologist, she has, one might argue, the appropriate emotional response. However, given a simplified experience of the moral terrain marked out in the Akwesasne community, she fails to grasp the less transparent aspects of that moral terrain. Now, to say that they are less transparent is not to say that the portions of the moral terrain missed by the toxicologist are inaccessible. A little thought in the direction of assessing the historical range of the interdependence between the Akwesasne community and dominant society might have allowed her to uncover a more complex picture of the wrongs suffered by the Akwesasne community. </w:t>
      </w:r>
      <w:r w:rsidRPr="00CF3122">
        <w:rPr>
          <w:rStyle w:val="StyleUnderline"/>
        </w:rPr>
        <w:t>However</w:t>
      </w:r>
      <w:r w:rsidRPr="003E0332">
        <w:rPr>
          <w:sz w:val="16"/>
        </w:rPr>
        <w:t xml:space="preserve">, </w:t>
      </w:r>
      <w:r w:rsidRPr="00CF3122">
        <w:rPr>
          <w:rStyle w:val="StyleUnderline"/>
        </w:rPr>
        <w:t>her everyday comportment alone would not have provided the ability for the toxicologist to create or maintain a sufficiently complex encounter with the moral terrains of the Akwesasne community</w:t>
      </w:r>
      <w:r w:rsidRPr="003E0332">
        <w:rPr>
          <w:sz w:val="16"/>
        </w:rPr>
        <w:t xml:space="preserve">. It is her everyday </w:t>
      </w:r>
      <w:proofErr w:type="gramStart"/>
      <w:r w:rsidRPr="003E0332">
        <w:rPr>
          <w:sz w:val="16"/>
        </w:rPr>
        <w:t>comportment</w:t>
      </w:r>
      <w:proofErr w:type="gramEnd"/>
      <w:r w:rsidRPr="003E0332">
        <w:rPr>
          <w:sz w:val="16"/>
        </w:rPr>
        <w:t xml:space="preserve"> that is most likely the culprit for her oversight.5 In light of the demands addressing the abjection of differences makes on our ability to detect and experience complex moral terrains, we suggest that attending to unqualified interdependence or unqualified affectability within the structure of one’s moral ecology account is necessary.</w:t>
      </w:r>
    </w:p>
    <w:p w14:paraId="14B92273" w14:textId="77777777" w:rsidR="004B1769" w:rsidRDefault="004B1769" w:rsidP="004B1769">
      <w:pPr>
        <w:rPr>
          <w:sz w:val="16"/>
        </w:rPr>
      </w:pPr>
      <w:proofErr w:type="gramStart"/>
      <w:r w:rsidRPr="003E0332">
        <w:rPr>
          <w:sz w:val="16"/>
        </w:rPr>
        <w:t>Attending to</w:t>
      </w:r>
      <w:proofErr w:type="gramEnd"/>
      <w:r w:rsidRPr="003E0332">
        <w:rPr>
          <w:sz w:val="16"/>
        </w:rPr>
        <w:t xml:space="preserve"> unqualified affectability would require that part of any given embodied experience of a moral terrain, one at least retains an openness to what one is not detecting and, at most, aggressively search for what one is not detecting. </w:t>
      </w:r>
      <w:proofErr w:type="gramStart"/>
      <w:r w:rsidRPr="003E0332">
        <w:rPr>
          <w:sz w:val="16"/>
        </w:rPr>
        <w:t>That is to say, part</w:t>
      </w:r>
      <w:proofErr w:type="gramEnd"/>
      <w:r w:rsidRPr="003E0332">
        <w:rPr>
          <w:sz w:val="16"/>
        </w:rPr>
        <w:t xml:space="preserve"> of any description of moral terrains is the realization that moral terrains are far more complex than any given person fully tracks, along with an assessment of what kinds of prompts and/or emotional responses foster further investigation. Also, given the nature of complex moral terrains, </w:t>
      </w:r>
      <w:r w:rsidRPr="004F20D8">
        <w:rPr>
          <w:rStyle w:val="StyleUnderline"/>
          <w:highlight w:val="cyan"/>
        </w:rPr>
        <w:t xml:space="preserve">ethical </w:t>
      </w:r>
      <w:proofErr w:type="gramStart"/>
      <w:r w:rsidRPr="004F20D8">
        <w:rPr>
          <w:rStyle w:val="StyleUnderline"/>
          <w:highlight w:val="cyan"/>
        </w:rPr>
        <w:t>comportment</w:t>
      </w:r>
      <w:proofErr w:type="gramEnd"/>
      <w:r w:rsidRPr="00CF3122">
        <w:rPr>
          <w:rStyle w:val="StyleUnderline"/>
        </w:rPr>
        <w:t xml:space="preserve"> would </w:t>
      </w:r>
      <w:r w:rsidRPr="004F20D8">
        <w:rPr>
          <w:rStyle w:val="StyleUnderline"/>
          <w:highlight w:val="cyan"/>
        </w:rPr>
        <w:t xml:space="preserve">require us to </w:t>
      </w:r>
      <w:r w:rsidRPr="00586D6D">
        <w:rPr>
          <w:rStyle w:val="StyleUnderline"/>
        </w:rPr>
        <w:t>always</w:t>
      </w:r>
      <w:r w:rsidRPr="00CF3122">
        <w:rPr>
          <w:rStyle w:val="StyleUnderline"/>
        </w:rPr>
        <w:t xml:space="preserve"> </w:t>
      </w:r>
      <w:r w:rsidRPr="004F20D8">
        <w:rPr>
          <w:rStyle w:val="StyleUnderline"/>
          <w:highlight w:val="cyan"/>
        </w:rPr>
        <w:t>be capable of interrupting our experience</w:t>
      </w:r>
      <w:r w:rsidRPr="00CF3122">
        <w:rPr>
          <w:rStyle w:val="StyleUnderline"/>
        </w:rPr>
        <w:t xml:space="preserve"> </w:t>
      </w:r>
      <w:r w:rsidRPr="00546922">
        <w:rPr>
          <w:rStyle w:val="StyleUnderline"/>
        </w:rPr>
        <w:t xml:space="preserve">of a given moral terrain </w:t>
      </w:r>
      <w:r w:rsidRPr="004F20D8">
        <w:rPr>
          <w:rStyle w:val="StyleUnderline"/>
          <w:highlight w:val="cyan"/>
        </w:rPr>
        <w:t>with</w:t>
      </w:r>
      <w:r w:rsidRPr="00CF3122">
        <w:rPr>
          <w:rStyle w:val="StyleUnderline"/>
        </w:rPr>
        <w:t xml:space="preserve"> an </w:t>
      </w:r>
      <w:r w:rsidRPr="004F20D8">
        <w:rPr>
          <w:rStyle w:val="StyleUnderline"/>
          <w:highlight w:val="cyan"/>
        </w:rPr>
        <w:t xml:space="preserve">openness to </w:t>
      </w:r>
      <w:r w:rsidRPr="004F20D8">
        <w:rPr>
          <w:rStyle w:val="Emphasis"/>
          <w:highlight w:val="cyan"/>
        </w:rPr>
        <w:t>what we are not detecting</w:t>
      </w:r>
      <w:r w:rsidRPr="00CF3122">
        <w:rPr>
          <w:rStyle w:val="Emphasis"/>
        </w:rPr>
        <w:t xml:space="preserve"> at any given moment.</w:t>
      </w:r>
      <w:r w:rsidRPr="003E0332">
        <w:rPr>
          <w:sz w:val="16"/>
        </w:rPr>
        <w:t xml:space="preserve"> If attending to unqualified affectability had an embodied state, it would be a state of sophisticated ignorance. </w:t>
      </w:r>
      <w:r w:rsidRPr="004F20D8">
        <w:rPr>
          <w:rStyle w:val="StyleUnderline"/>
          <w:highlight w:val="cyan"/>
        </w:rPr>
        <w:t>Sophisticated ignorance</w:t>
      </w:r>
      <w:r w:rsidRPr="003E0332">
        <w:rPr>
          <w:sz w:val="16"/>
        </w:rPr>
        <w:t xml:space="preserve"> is the state of being ignorant with a general awareness of this state. The awareness here </w:t>
      </w:r>
      <w:r w:rsidRPr="004F20D8">
        <w:rPr>
          <w:rStyle w:val="StyleUnderline"/>
          <w:highlight w:val="cyan"/>
        </w:rPr>
        <w:t>is</w:t>
      </w:r>
      <w:r w:rsidRPr="00CF3122">
        <w:rPr>
          <w:rStyle w:val="StyleUnderline"/>
        </w:rPr>
        <w:t xml:space="preserve"> </w:t>
      </w:r>
      <w:r w:rsidRPr="004F20D8">
        <w:rPr>
          <w:rStyle w:val="StyleUnderline"/>
          <w:highlight w:val="cyan"/>
        </w:rPr>
        <w:t>not</w:t>
      </w:r>
      <w:r w:rsidRPr="003E0332">
        <w:rPr>
          <w:sz w:val="16"/>
        </w:rPr>
        <w:t xml:space="preserve"> </w:t>
      </w:r>
      <w:proofErr w:type="gramStart"/>
      <w:r w:rsidRPr="003E0332">
        <w:rPr>
          <w:sz w:val="16"/>
        </w:rPr>
        <w:t xml:space="preserve">a </w:t>
      </w:r>
      <w:r w:rsidRPr="004F20D8">
        <w:rPr>
          <w:rStyle w:val="StyleUnderline"/>
          <w:highlight w:val="cyan"/>
        </w:rPr>
        <w:t>smug</w:t>
      </w:r>
      <w:proofErr w:type="gramEnd"/>
      <w:r w:rsidRPr="003E0332">
        <w:rPr>
          <w:sz w:val="16"/>
        </w:rPr>
        <w:t xml:space="preserve">, satisfactory ignorance, </w:t>
      </w:r>
      <w:r w:rsidRPr="004F20D8">
        <w:rPr>
          <w:rStyle w:val="StyleUnderline"/>
          <w:highlight w:val="cyan"/>
        </w:rPr>
        <w:t>but</w:t>
      </w:r>
      <w:r w:rsidRPr="003E0332">
        <w:rPr>
          <w:sz w:val="16"/>
        </w:rPr>
        <w:t xml:space="preserve"> rather </w:t>
      </w:r>
      <w:r w:rsidRPr="004F20D8">
        <w:rPr>
          <w:rStyle w:val="StyleUnderline"/>
          <w:highlight w:val="cyan"/>
        </w:rPr>
        <w:t>an attitude towards one’s ignorance that leaves space</w:t>
      </w:r>
      <w:r w:rsidRPr="00CF3122">
        <w:rPr>
          <w:rStyle w:val="StyleUnderline"/>
        </w:rPr>
        <w:t xml:space="preserve"> open </w:t>
      </w:r>
      <w:r w:rsidRPr="004F20D8">
        <w:rPr>
          <w:rStyle w:val="StyleUnderline"/>
          <w:highlight w:val="cyan"/>
        </w:rPr>
        <w:t>for</w:t>
      </w:r>
      <w:r w:rsidRPr="00CF3122">
        <w:rPr>
          <w:rStyle w:val="StyleUnderline"/>
        </w:rPr>
        <w:t xml:space="preserve"> the </w:t>
      </w:r>
      <w:r w:rsidRPr="004F20D8">
        <w:rPr>
          <w:rStyle w:val="StyleUnderline"/>
          <w:highlight w:val="cyan"/>
        </w:rPr>
        <w:t>interruption</w:t>
      </w:r>
      <w:r w:rsidRPr="00CF3122">
        <w:rPr>
          <w:rStyle w:val="StyleUnderline"/>
        </w:rPr>
        <w:t xml:space="preserve"> of one’s experiences</w:t>
      </w:r>
      <w:r w:rsidRPr="003E0332">
        <w:rPr>
          <w:sz w:val="16"/>
        </w:rPr>
        <w:t xml:space="preserve"> and conclusions </w:t>
      </w:r>
      <w:proofErr w:type="gramStart"/>
      <w:r w:rsidRPr="003E0332">
        <w:rPr>
          <w:sz w:val="16"/>
        </w:rPr>
        <w:t>in order to</w:t>
      </w:r>
      <w:proofErr w:type="gramEnd"/>
      <w:r w:rsidRPr="003E0332">
        <w:rPr>
          <w:sz w:val="16"/>
        </w:rPr>
        <w:t xml:space="preserve"> mark moments </w:t>
      </w:r>
      <w:r w:rsidRPr="004F20D8">
        <w:rPr>
          <w:rStyle w:val="StyleUnderline"/>
          <w:highlight w:val="cyan"/>
        </w:rPr>
        <w:t>where</w:t>
      </w:r>
      <w:r w:rsidRPr="00CF3122">
        <w:rPr>
          <w:rStyle w:val="StyleUnderline"/>
        </w:rPr>
        <w:t xml:space="preserve"> that </w:t>
      </w:r>
      <w:r w:rsidRPr="004F20D8">
        <w:rPr>
          <w:rStyle w:val="StyleUnderline"/>
          <w:highlight w:val="cyan"/>
        </w:rPr>
        <w:t>ignorance is encountered</w:t>
      </w:r>
      <w:r w:rsidRPr="003E0332">
        <w:rPr>
          <w:sz w:val="16"/>
        </w:rPr>
        <w:t xml:space="preserve">. It is not clear that the situated ignorance the toxicologist exhibited can be eradicated. However, it can be marked. That marking is not arbitrary. Marking sites of ignorance is tantamount to marking undetectable moral differences in a complex moral terrain. But </w:t>
      </w:r>
      <w:r w:rsidRPr="004F20D8">
        <w:rPr>
          <w:rStyle w:val="StyleUnderline"/>
          <w:highlight w:val="cyan"/>
        </w:rPr>
        <w:t>this</w:t>
      </w:r>
      <w:r w:rsidRPr="003E0332">
        <w:rPr>
          <w:sz w:val="16"/>
        </w:rPr>
        <w:t xml:space="preserve"> </w:t>
      </w:r>
      <w:r w:rsidRPr="00CF3122">
        <w:rPr>
          <w:rStyle w:val="StyleUnderline"/>
        </w:rPr>
        <w:t>marking</w:t>
      </w:r>
      <w:r w:rsidRPr="003E0332">
        <w:rPr>
          <w:sz w:val="16"/>
        </w:rPr>
        <w:t xml:space="preserve"> is not done for the sake of understanding the moral differences per se. Rather, it </w:t>
      </w:r>
      <w:r w:rsidRPr="00586D6D">
        <w:rPr>
          <w:rStyle w:val="StyleUnderline"/>
        </w:rPr>
        <w:t>offers</w:t>
      </w:r>
      <w:r w:rsidRPr="00CF3122">
        <w:rPr>
          <w:rStyle w:val="StyleUnderline"/>
        </w:rPr>
        <w:t xml:space="preserve"> the beginning of the development of a </w:t>
      </w:r>
      <w:r w:rsidRPr="004F20D8">
        <w:rPr>
          <w:rStyle w:val="StyleUnderline"/>
          <w:highlight w:val="cyan"/>
        </w:rPr>
        <w:t>sensitivity</w:t>
      </w:r>
      <w:r w:rsidRPr="00CF3122">
        <w:rPr>
          <w:rStyle w:val="StyleUnderline"/>
        </w:rPr>
        <w:t xml:space="preserve"> to complex moral terrains that </w:t>
      </w:r>
      <w:proofErr w:type="gramStart"/>
      <w:r w:rsidRPr="004F20D8">
        <w:rPr>
          <w:rStyle w:val="StyleUnderline"/>
          <w:highlight w:val="cyan"/>
        </w:rPr>
        <w:t>does</w:t>
      </w:r>
      <w:proofErr w:type="gramEnd"/>
      <w:r w:rsidRPr="004F20D8">
        <w:rPr>
          <w:rStyle w:val="StyleUnderline"/>
          <w:highlight w:val="cyan"/>
        </w:rPr>
        <w:t xml:space="preserve"> not require absolute understanding</w:t>
      </w:r>
      <w:r w:rsidRPr="003E0332">
        <w:rPr>
          <w:sz w:val="16"/>
        </w:rPr>
        <w:t xml:space="preserve">, </w:t>
      </w:r>
      <w:r w:rsidRPr="004F20D8">
        <w:rPr>
          <w:rStyle w:val="StyleUnderline"/>
          <w:highlight w:val="cyan"/>
        </w:rPr>
        <w:t>but</w:t>
      </w:r>
      <w:r w:rsidRPr="003E0332">
        <w:rPr>
          <w:sz w:val="16"/>
        </w:rPr>
        <w:t xml:space="preserve"> rather the possibility of </w:t>
      </w:r>
      <w:r w:rsidRPr="00CF3122">
        <w:rPr>
          <w:rStyle w:val="StyleUnderline"/>
        </w:rPr>
        <w:t xml:space="preserve">the </w:t>
      </w:r>
      <w:r w:rsidRPr="004F20D8">
        <w:rPr>
          <w:rStyle w:val="StyleUnderline"/>
          <w:highlight w:val="cyan"/>
        </w:rPr>
        <w:t>detection of</w:t>
      </w:r>
      <w:r w:rsidRPr="00CF3122">
        <w:rPr>
          <w:rStyle w:val="StyleUnderline"/>
        </w:rPr>
        <w:t xml:space="preserve"> </w:t>
      </w:r>
      <w:r w:rsidRPr="004F20D8">
        <w:rPr>
          <w:rStyle w:val="StyleUnderline"/>
          <w:highlight w:val="cyan"/>
        </w:rPr>
        <w:t>complex</w:t>
      </w:r>
      <w:r w:rsidRPr="00CF3122">
        <w:rPr>
          <w:rStyle w:val="StyleUnderline"/>
        </w:rPr>
        <w:t xml:space="preserve">, moral </w:t>
      </w:r>
      <w:r w:rsidRPr="004F20D8">
        <w:rPr>
          <w:rStyle w:val="StyleUnderline"/>
          <w:highlight w:val="cyan"/>
        </w:rPr>
        <w:t>differences</w:t>
      </w:r>
      <w:r w:rsidRPr="003E0332">
        <w:rPr>
          <w:sz w:val="16"/>
        </w:rPr>
        <w:t xml:space="preserve">. That is to say, the experience of moral terrains needs to be reflexively open to revisions of one’s experience of moral terrains that </w:t>
      </w:r>
      <w:proofErr w:type="gramStart"/>
      <w:r w:rsidRPr="003E0332">
        <w:rPr>
          <w:sz w:val="16"/>
        </w:rPr>
        <w:t>are capable of tracking</w:t>
      </w:r>
      <w:proofErr w:type="gramEnd"/>
      <w:r w:rsidRPr="003E0332">
        <w:rPr>
          <w:sz w:val="16"/>
        </w:rPr>
        <w:t xml:space="preserve"> the complexity of conflicts between moral heritages. Attending to unqualified affectability adds to Figueroa, Waitt, and McGee’s triadic moral ecology the complexity of moral terrains that retains the openness necessary to mark encounters with hard-to-detect moral differences.</w:t>
      </w:r>
    </w:p>
    <w:p w14:paraId="1D6B407D" w14:textId="77777777" w:rsidR="004B1769" w:rsidRDefault="004B1769" w:rsidP="004B1769">
      <w:pPr>
        <w:pStyle w:val="Heading2"/>
      </w:pPr>
      <w:r>
        <w:t>Nommo CP</w:t>
      </w:r>
    </w:p>
    <w:p w14:paraId="5715C3D1" w14:textId="77777777" w:rsidR="004B1769" w:rsidRDefault="004B1769" w:rsidP="004B1769">
      <w:pPr>
        <w:pStyle w:val="Heading2"/>
      </w:pPr>
      <w:r>
        <w:t>Poetics</w:t>
      </w:r>
    </w:p>
    <w:p w14:paraId="799608FD" w14:textId="77777777" w:rsidR="004B1769" w:rsidRDefault="004B1769" w:rsidP="004B1769">
      <w:pPr>
        <w:pStyle w:val="Heading2"/>
      </w:pPr>
      <w:r>
        <w:t xml:space="preserve">K </w:t>
      </w:r>
    </w:p>
    <w:p w14:paraId="0BE3CC1F" w14:textId="77777777" w:rsidR="004B1769" w:rsidRDefault="004B1769" w:rsidP="004B1769">
      <w:pPr>
        <w:pStyle w:val="Heading3"/>
      </w:pPr>
      <w:r>
        <w:t>AT: K – 2AC</w:t>
      </w:r>
    </w:p>
    <w:p w14:paraId="7A05860E" w14:textId="77777777" w:rsidR="004B1769" w:rsidRDefault="004B1769" w:rsidP="004B1769">
      <w:pPr>
        <w:pStyle w:val="Heading3"/>
      </w:pPr>
      <w:r>
        <w:t xml:space="preserve">FW – 2AC </w:t>
      </w:r>
    </w:p>
    <w:p w14:paraId="06C553B5" w14:textId="77777777" w:rsidR="004B1769" w:rsidRPr="00DA4986" w:rsidRDefault="004B1769" w:rsidP="004B1769">
      <w:pPr>
        <w:pStyle w:val="Heading3"/>
        <w:rPr>
          <w:rFonts w:cs="Arial"/>
        </w:rPr>
      </w:pPr>
      <w:r w:rsidRPr="00DA4986">
        <w:rPr>
          <w:rFonts w:cs="Arial"/>
        </w:rPr>
        <w:t>AT: Ontology</w:t>
      </w:r>
    </w:p>
    <w:p w14:paraId="5B28F2F6" w14:textId="77777777" w:rsidR="004B1769" w:rsidRPr="00DA4986" w:rsidRDefault="004B1769" w:rsidP="004B1769">
      <w:pPr>
        <w:pStyle w:val="Heading4"/>
        <w:rPr>
          <w:rStyle w:val="Style13ptBold"/>
          <w:rFonts w:cs="Arial"/>
          <w:b/>
          <w:bCs w:val="0"/>
        </w:rPr>
      </w:pPr>
      <w:r w:rsidRPr="00DA4986">
        <w:rPr>
          <w:rStyle w:val="Style13ptBold"/>
          <w:rFonts w:cs="Arial"/>
          <w:b/>
        </w:rPr>
        <w:t xml:space="preserve">Winning ontology doesn’t win them the debate – ontologies aren’t fixed/out there. They are enacted politically – their ontological fatalism is an SFP. </w:t>
      </w:r>
    </w:p>
    <w:p w14:paraId="4CFDA7A6" w14:textId="77777777" w:rsidR="004B1769" w:rsidRPr="00DA4986" w:rsidRDefault="004B1769" w:rsidP="004B1769">
      <w:pPr>
        <w:rPr>
          <w:rStyle w:val="Style13ptBold"/>
        </w:rPr>
      </w:pPr>
      <w:r w:rsidRPr="00DA4986">
        <w:rPr>
          <w:rStyle w:val="Style13ptBold"/>
        </w:rPr>
        <w:t>Chandler and Reid, PhDs 18</w:t>
      </w:r>
    </w:p>
    <w:p w14:paraId="3A1574CE" w14:textId="77777777" w:rsidR="004B1769" w:rsidRPr="00DA4986" w:rsidRDefault="004B1769" w:rsidP="004B1769">
      <w:pPr>
        <w:rPr>
          <w:sz w:val="16"/>
        </w:rPr>
      </w:pPr>
      <w:proofErr w:type="gramStart"/>
      <w:r w:rsidRPr="00DA4986">
        <w:rPr>
          <w:sz w:val="16"/>
        </w:rPr>
        <w:t>( David</w:t>
      </w:r>
      <w:proofErr w:type="gramEnd"/>
      <w:r w:rsidRPr="00DA4986">
        <w:rPr>
          <w:sz w:val="16"/>
        </w:rPr>
        <w:t xml:space="preserve"> Chandler &amp; Julian Reid (</w:t>
      </w:r>
      <w:proofErr w:type="gramStart"/>
      <w:r w:rsidRPr="00DA4986">
        <w:rPr>
          <w:sz w:val="16"/>
        </w:rPr>
        <w:t>2018) ‘</w:t>
      </w:r>
      <w:proofErr w:type="gramEnd"/>
      <w:r w:rsidRPr="00DA4986">
        <w:rPr>
          <w:sz w:val="16"/>
        </w:rPr>
        <w:t xml:space="preserve">Being in Being’: Contesting the Ontopolitics of </w:t>
      </w:r>
      <w:proofErr w:type="gramStart"/>
      <w:r w:rsidRPr="00DA4986">
        <w:rPr>
          <w:sz w:val="16"/>
        </w:rPr>
        <w:t>Indigeneity ,</w:t>
      </w:r>
      <w:proofErr w:type="gramEnd"/>
      <w:r w:rsidRPr="00DA4986">
        <w:rPr>
          <w:sz w:val="16"/>
        </w:rPr>
        <w:t xml:space="preserve"> The European Legacy, 23:3, 251-268, DOI: 10.1080/10848770.2017.1420284)</w:t>
      </w:r>
    </w:p>
    <w:p w14:paraId="642ED315" w14:textId="77777777" w:rsidR="004B1769" w:rsidRPr="00DA4986" w:rsidRDefault="004B1769" w:rsidP="004B1769">
      <w:r w:rsidRPr="00DA4986">
        <w:rPr>
          <w:sz w:val="16"/>
        </w:rPr>
        <w:t xml:space="preserve">What is important is that </w:t>
      </w:r>
      <w:r w:rsidRPr="00DA4986">
        <w:rPr>
          <w:rStyle w:val="StyleUnderline"/>
        </w:rPr>
        <w:t xml:space="preserve">the </w:t>
      </w:r>
      <w:r w:rsidRPr="008336B7">
        <w:rPr>
          <w:rStyle w:val="StyleUnderline"/>
          <w:highlight w:val="yellow"/>
        </w:rPr>
        <w:t>ontological turn</w:t>
      </w:r>
      <w:r w:rsidRPr="00DA4986">
        <w:rPr>
          <w:rStyle w:val="StyleUnderline"/>
        </w:rPr>
        <w:t xml:space="preserve"> in the social sciences</w:t>
      </w:r>
      <w:r w:rsidRPr="00DA4986">
        <w:rPr>
          <w:sz w:val="16"/>
        </w:rPr>
        <w:t>—a metonym for the end of the culture/nature divide—</w:t>
      </w:r>
      <w:r w:rsidRPr="00DA4986">
        <w:rPr>
          <w:rStyle w:val="StyleUnderline"/>
        </w:rPr>
        <w:t xml:space="preserve">has </w:t>
      </w:r>
      <w:r w:rsidRPr="008336B7">
        <w:rPr>
          <w:rStyle w:val="StyleUnderline"/>
          <w:highlight w:val="yellow"/>
        </w:rPr>
        <w:t>gained</w:t>
      </w:r>
      <w:r w:rsidRPr="00DA4986">
        <w:rPr>
          <w:rStyle w:val="StyleUnderline"/>
        </w:rPr>
        <w:t xml:space="preserve"> new </w:t>
      </w:r>
      <w:r w:rsidRPr="008336B7">
        <w:rPr>
          <w:rStyle w:val="StyleUnderline"/>
          <w:highlight w:val="yellow"/>
        </w:rPr>
        <w:t>traction for</w:t>
      </w:r>
      <w:r w:rsidRPr="00DA4986">
        <w:rPr>
          <w:rStyle w:val="StyleUnderline"/>
        </w:rPr>
        <w:t xml:space="preserve"> celebrations of </w:t>
      </w:r>
      <w:r w:rsidRPr="008336B7">
        <w:rPr>
          <w:rStyle w:val="StyleUnderline"/>
          <w:highlight w:val="yellow"/>
        </w:rPr>
        <w:t>indigenous</w:t>
      </w:r>
      <w:r w:rsidRPr="00DA4986">
        <w:rPr>
          <w:rStyle w:val="StyleUnderline"/>
        </w:rPr>
        <w:t xml:space="preserve"> </w:t>
      </w:r>
      <w:r w:rsidRPr="00DA4986">
        <w:rPr>
          <w:sz w:val="16"/>
        </w:rPr>
        <w:t xml:space="preserve">forms of knowledge, </w:t>
      </w:r>
      <w:r w:rsidRPr="00DA4986">
        <w:rPr>
          <w:rStyle w:val="StyleUnderline"/>
        </w:rPr>
        <w:t xml:space="preserve">ways of being and </w:t>
      </w:r>
      <w:proofErr w:type="gramStart"/>
      <w:r w:rsidRPr="00DA4986">
        <w:rPr>
          <w:rStyle w:val="StyleUnderline"/>
        </w:rPr>
        <w:t>world-</w:t>
      </w:r>
      <w:r w:rsidRPr="008336B7">
        <w:rPr>
          <w:rStyle w:val="StyleUnderline"/>
          <w:highlight w:val="yellow"/>
        </w:rPr>
        <w:t>views</w:t>
      </w:r>
      <w:proofErr w:type="gramEnd"/>
      <w:r w:rsidRPr="00DA4986">
        <w:rPr>
          <w:sz w:val="16"/>
        </w:rPr>
        <w:t xml:space="preserve"> that provide support for alternative practices and ways of acting in the world. </w:t>
      </w:r>
      <w:r w:rsidRPr="008336B7">
        <w:rPr>
          <w:rStyle w:val="StyleUnderline"/>
          <w:highlight w:val="yellow"/>
        </w:rPr>
        <w:t>These</w:t>
      </w:r>
      <w:r w:rsidRPr="00DA4986">
        <w:rPr>
          <w:sz w:val="16"/>
        </w:rPr>
        <w:t xml:space="preserve"> alternative </w:t>
      </w:r>
      <w:r w:rsidRPr="00DA4986">
        <w:rPr>
          <w:rStyle w:val="StyleUnderline"/>
        </w:rPr>
        <w:t xml:space="preserve">approaches </w:t>
      </w:r>
      <w:r w:rsidRPr="008336B7">
        <w:rPr>
          <w:rStyle w:val="StyleUnderline"/>
          <w:highlight w:val="yellow"/>
        </w:rPr>
        <w:t>have been</w:t>
      </w:r>
      <w:r w:rsidRPr="00DA4986">
        <w:rPr>
          <w:rStyle w:val="StyleUnderline"/>
        </w:rPr>
        <w:t xml:space="preserve"> </w:t>
      </w:r>
      <w:r w:rsidRPr="00DA4986">
        <w:rPr>
          <w:rStyle w:val="Emphasis"/>
        </w:rPr>
        <w:t xml:space="preserve">eagerly </w:t>
      </w:r>
      <w:r w:rsidRPr="008336B7">
        <w:rPr>
          <w:rStyle w:val="Emphasis"/>
          <w:highlight w:val="yellow"/>
        </w:rPr>
        <w:t>taken up</w:t>
      </w:r>
      <w:r w:rsidRPr="008336B7">
        <w:rPr>
          <w:rStyle w:val="StyleUnderline"/>
          <w:highlight w:val="yellow"/>
        </w:rPr>
        <w:t xml:space="preserve"> by</w:t>
      </w:r>
      <w:r w:rsidRPr="00DA4986">
        <w:rPr>
          <w:sz w:val="16"/>
        </w:rPr>
        <w:t xml:space="preserve"> governing </w:t>
      </w:r>
      <w:r w:rsidRPr="008336B7">
        <w:rPr>
          <w:rStyle w:val="StyleUnderline"/>
          <w:highlight w:val="yellow"/>
        </w:rPr>
        <w:t>institutions seeking</w:t>
      </w:r>
      <w:r w:rsidRPr="00DA4986">
        <w:rPr>
          <w:rStyle w:val="StyleUnderline"/>
        </w:rPr>
        <w:t xml:space="preserve"> new </w:t>
      </w:r>
      <w:r w:rsidRPr="008336B7">
        <w:rPr>
          <w:rStyle w:val="StyleUnderline"/>
          <w:highlight w:val="yellow"/>
        </w:rPr>
        <w:t>ways of</w:t>
      </w:r>
      <w:r w:rsidRPr="00DA4986">
        <w:rPr>
          <w:rStyle w:val="StyleUnderline"/>
        </w:rPr>
        <w:t xml:space="preserve"> </w:t>
      </w:r>
      <w:r w:rsidRPr="00DA4986">
        <w:rPr>
          <w:rStyle w:val="Emphasis"/>
        </w:rPr>
        <w:t xml:space="preserve">reviving and </w:t>
      </w:r>
      <w:r w:rsidRPr="008336B7">
        <w:rPr>
          <w:rStyle w:val="Emphasis"/>
          <w:highlight w:val="yellow"/>
        </w:rPr>
        <w:t>maintaining neoliberal frameworks</w:t>
      </w:r>
      <w:r w:rsidRPr="00DA4986">
        <w:rPr>
          <w:rStyle w:val="Emphasis"/>
        </w:rPr>
        <w:t xml:space="preserve"> of rule</w:t>
      </w:r>
      <w:r w:rsidRPr="00DA4986">
        <w:rPr>
          <w:sz w:val="16"/>
        </w:rPr>
        <w:t xml:space="preserve">, from the international level through state bodies to local authorities. The convergence of critical approaches in STS, postcolonial theory, queer theory and poststructuralist feminism with new and emerging governing agendas has given indigeneity a political purchase that would otherwise seem entirely unrelated to historical or contemporary political trends. In the rest of this </w:t>
      </w:r>
      <w:proofErr w:type="gramStart"/>
      <w:r w:rsidRPr="00DA4986">
        <w:rPr>
          <w:sz w:val="16"/>
        </w:rPr>
        <w:t>essay</w:t>
      </w:r>
      <w:proofErr w:type="gramEnd"/>
      <w:r w:rsidRPr="00DA4986">
        <w:rPr>
          <w:sz w:val="16"/>
        </w:rPr>
        <w:t xml:space="preserve"> we develop a careful analysis of how </w:t>
      </w:r>
      <w:r w:rsidRPr="00DA4986">
        <w:rPr>
          <w:rStyle w:val="StyleUnderline"/>
        </w:rPr>
        <w:t>indigeneity functions discursively</w:t>
      </w:r>
      <w:r w:rsidRPr="00DA4986">
        <w:rPr>
          <w:sz w:val="16"/>
        </w:rPr>
        <w:t xml:space="preserve">, both in political theory and policy, </w:t>
      </w:r>
      <w:r w:rsidRPr="00DA4986">
        <w:rPr>
          <w:rStyle w:val="StyleUnderline"/>
        </w:rPr>
        <w:t xml:space="preserve">to produce new forms of thinking concerning subjectivity. </w:t>
      </w:r>
      <w:r w:rsidRPr="008336B7">
        <w:rPr>
          <w:rStyle w:val="StyleUnderline"/>
          <w:highlight w:val="yellow"/>
        </w:rPr>
        <w:t>These</w:t>
      </w:r>
      <w:r w:rsidRPr="00DA4986">
        <w:rPr>
          <w:rStyle w:val="StyleUnderline"/>
        </w:rPr>
        <w:t xml:space="preserve"> new </w:t>
      </w:r>
      <w:r w:rsidRPr="008336B7">
        <w:rPr>
          <w:rStyle w:val="StyleUnderline"/>
          <w:highlight w:val="yellow"/>
        </w:rPr>
        <w:t>forms</w:t>
      </w:r>
      <w:r w:rsidRPr="00DA4986">
        <w:rPr>
          <w:sz w:val="16"/>
        </w:rPr>
        <w:t xml:space="preserve"> of subjectivity, we argue, </w:t>
      </w:r>
      <w:r w:rsidRPr="00DA4986">
        <w:rPr>
          <w:rStyle w:val="Emphasis"/>
        </w:rPr>
        <w:t xml:space="preserve">contrary to the claims of their manufacturers, </w:t>
      </w:r>
      <w:r w:rsidRPr="008336B7">
        <w:rPr>
          <w:rStyle w:val="StyleUnderline"/>
          <w:highlight w:val="yellow"/>
        </w:rPr>
        <w:t xml:space="preserve">are </w:t>
      </w:r>
      <w:proofErr w:type="gramStart"/>
      <w:r w:rsidRPr="008336B7">
        <w:rPr>
          <w:rStyle w:val="StyleUnderline"/>
          <w:highlight w:val="yellow"/>
        </w:rPr>
        <w:t>disabling</w:t>
      </w:r>
      <w:r w:rsidRPr="00DA4986">
        <w:rPr>
          <w:rStyle w:val="StyleUnderline"/>
        </w:rPr>
        <w:t xml:space="preserve"> of</w:t>
      </w:r>
      <w:proofErr w:type="gramEnd"/>
      <w:r w:rsidRPr="00DA4986">
        <w:rPr>
          <w:rStyle w:val="StyleUnderline"/>
        </w:rPr>
        <w:t xml:space="preserve"> </w:t>
      </w:r>
      <w:r w:rsidRPr="008336B7">
        <w:rPr>
          <w:rStyle w:val="StyleUnderline"/>
          <w:highlight w:val="yellow"/>
        </w:rPr>
        <w:t>people’s capacities for political action</w:t>
      </w:r>
      <w:r w:rsidRPr="00DA4986">
        <w:rPr>
          <w:sz w:val="16"/>
        </w:rPr>
        <w:t xml:space="preserve">. In the following section </w:t>
      </w:r>
      <w:r w:rsidRPr="00DA4986">
        <w:rPr>
          <w:rStyle w:val="StyleUnderline"/>
        </w:rPr>
        <w:t xml:space="preserve">we trace the rise of the notion of dispossession as a mode of being </w:t>
      </w:r>
      <w:r w:rsidRPr="00DA4986">
        <w:rPr>
          <w:sz w:val="16"/>
        </w:rPr>
        <w:t xml:space="preserve">in the world that, while supposedly definitive of indigenous subjectivity, can and ought to be universalized as a “property” of subjects of the wider western world and beyond. </w:t>
      </w:r>
      <w:r w:rsidRPr="00DA4986">
        <w:rPr>
          <w:rStyle w:val="StyleUnderline"/>
        </w:rPr>
        <w:t>Further sections relate the focus upon indigeneity to the ontological turn</w:t>
      </w:r>
      <w:r w:rsidRPr="00DA4986">
        <w:rPr>
          <w:sz w:val="16"/>
        </w:rPr>
        <w:t xml:space="preserve"> and the crisis of modernist approaches in the humanities and social sciences, particularly in anthropology and geography. We highlight how these forms of indigenous subjectification operate in relation to the capacities and performativities of resilience, the aim of which is to help western societies cope with the environmental crises of the Anthropocene. While the modern subject is encouraged to “become indigenous,” the attention to indigeneity, we argue, does not extend to the suffering and struggles of indigenous peoples who are held to have failed to become more-than-human exemplars of resilience. (253-4) (continued) This shift in approach to indigenous forms of knowing and being reflects </w:t>
      </w:r>
      <w:r w:rsidRPr="00DA4986">
        <w:rPr>
          <w:rStyle w:val="StyleUnderline"/>
        </w:rPr>
        <w:t xml:space="preserve">the </w:t>
      </w:r>
      <w:r w:rsidRPr="008336B7">
        <w:rPr>
          <w:rStyle w:val="StyleUnderline"/>
          <w:highlight w:val="yellow"/>
        </w:rPr>
        <w:t>ontological turn</w:t>
      </w:r>
      <w:r w:rsidRPr="00DA4986">
        <w:rPr>
          <w:sz w:val="16"/>
        </w:rPr>
        <w:t xml:space="preserve"> in anthropology. Rather than seeing indigenous ways of understanding the world as inferior or different from our modern understandings, this turn </w:t>
      </w:r>
      <w:r w:rsidRPr="008336B7">
        <w:rPr>
          <w:rStyle w:val="StyleUnderline"/>
          <w:highlight w:val="yellow"/>
        </w:rPr>
        <w:t>suggests</w:t>
      </w:r>
      <w:r w:rsidRPr="00DA4986">
        <w:rPr>
          <w:rStyle w:val="StyleUnderline"/>
        </w:rPr>
        <w:t xml:space="preserve"> their </w:t>
      </w:r>
      <w:r w:rsidRPr="008336B7">
        <w:rPr>
          <w:rStyle w:val="StyleUnderline"/>
          <w:highlight w:val="yellow"/>
        </w:rPr>
        <w:t>importance as constituting different worlds</w:t>
      </w:r>
      <w:r w:rsidRPr="00DA4986">
        <w:rPr>
          <w:sz w:val="16"/>
        </w:rPr>
        <w:t xml:space="preserve"> and performatively “worlding” the world in a different way. </w:t>
      </w:r>
      <w:r w:rsidRPr="00DA4986">
        <w:rPr>
          <w:rStyle w:val="StyleUnderline"/>
        </w:rPr>
        <w:t xml:space="preserve">The </w:t>
      </w:r>
      <w:r w:rsidRPr="008336B7">
        <w:rPr>
          <w:rStyle w:val="StyleUnderline"/>
          <w:highlight w:val="yellow"/>
        </w:rPr>
        <w:t>radical promise is</w:t>
      </w:r>
      <w:r w:rsidRPr="00DA4986">
        <w:rPr>
          <w:rStyle w:val="StyleUnderline"/>
        </w:rPr>
        <w:t xml:space="preserve"> that a </w:t>
      </w:r>
      <w:r w:rsidRPr="008336B7">
        <w:rPr>
          <w:rStyle w:val="StyleUnderline"/>
          <w:highlight w:val="yellow"/>
        </w:rPr>
        <w:t>different world already exists</w:t>
      </w:r>
      <w:r w:rsidRPr="00DA4986">
        <w:rPr>
          <w:sz w:val="16"/>
        </w:rPr>
        <w:t xml:space="preserve"> in potentia </w:t>
      </w:r>
      <w:r w:rsidRPr="008336B7">
        <w:rPr>
          <w:rStyle w:val="StyleUnderline"/>
          <w:highlight w:val="yellow"/>
        </w:rPr>
        <w:t xml:space="preserve">and that moderns can </w:t>
      </w:r>
      <w:r w:rsidRPr="008336B7">
        <w:rPr>
          <w:rStyle w:val="Emphasis"/>
          <w:highlight w:val="yellow"/>
        </w:rPr>
        <w:t>choose to make it</w:t>
      </w:r>
      <w:r w:rsidRPr="00DA4986">
        <w:rPr>
          <w:sz w:val="16"/>
        </w:rPr>
        <w:t xml:space="preserve"> by learning to world in the ways indigenous peoples already do. </w:t>
      </w:r>
      <w:r w:rsidRPr="008336B7">
        <w:rPr>
          <w:rStyle w:val="StyleUnderline"/>
          <w:highlight w:val="yellow"/>
        </w:rPr>
        <w:t xml:space="preserve">In place of the </w:t>
      </w:r>
      <w:r w:rsidRPr="008336B7">
        <w:rPr>
          <w:rStyle w:val="Emphasis"/>
          <w:highlight w:val="yellow"/>
        </w:rPr>
        <w:t>politics of critique</w:t>
      </w:r>
      <w:r w:rsidRPr="008336B7">
        <w:rPr>
          <w:rStyle w:val="StyleUnderline"/>
          <w:highlight w:val="yellow"/>
        </w:rPr>
        <w:t xml:space="preserve"> we have an ontopolitics of </w:t>
      </w:r>
      <w:r w:rsidRPr="008336B7">
        <w:rPr>
          <w:rStyle w:val="Emphasis"/>
          <w:highlight w:val="yellow"/>
        </w:rPr>
        <w:t>alternative ways of being</w:t>
      </w:r>
      <w:r w:rsidRPr="00DA4986">
        <w:rPr>
          <w:rStyle w:val="StyleUnderline"/>
        </w:rPr>
        <w:t xml:space="preserve"> </w:t>
      </w:r>
      <w:r w:rsidRPr="00DA4986">
        <w:rPr>
          <w:sz w:val="16"/>
        </w:rPr>
        <w:t xml:space="preserve">in the world. </w:t>
      </w:r>
      <w:r w:rsidRPr="00DA4986">
        <w:rPr>
          <w:rStyle w:val="StyleUnderline"/>
        </w:rPr>
        <w:t>Access to this alternative world is a question of ontology</w:t>
      </w:r>
      <w:r w:rsidRPr="00DA4986">
        <w:rPr>
          <w:sz w:val="16"/>
        </w:rPr>
        <w:t xml:space="preserve">—of being differently— being in being rather than thinking, acting and world-making as if we were transcendent or possessive subjects. It is the ontopolitics of being that makes the difference here. This is where the ontological turn in anthropology plays a crucial role, one which is closely aligned to that of STS, or to actor-network theory approaches, which similarly seek to undermine the modernist episteme founded upon the culture/nature divide.26 The much-cited debate in the 2010 issue of Critique of Anthropology on whether “Ontology is Just Another Word for Culture” highlights what is at stake.27 The point of contestation for the anthropologists who argue that the ontological turn is distinct from the study of culture is their concern that focusing on cultural understanding never took alterity seriously enough. In other words, the study of different cultures affirmed the modernist </w:t>
      </w:r>
      <w:proofErr w:type="gramStart"/>
      <w:r w:rsidRPr="00DA4986">
        <w:rPr>
          <w:sz w:val="16"/>
        </w:rPr>
        <w:t>world-view</w:t>
      </w:r>
      <w:proofErr w:type="gramEnd"/>
      <w:r w:rsidRPr="00DA4986">
        <w:rPr>
          <w:sz w:val="16"/>
        </w:rPr>
        <w:t xml:space="preserve"> rather than challenging it; its basic assumption was that western knowledge needed to expand to understand why other cultures thought in the way they did rather than questioning its hegemonic concept of the universal nature of knowledge. This assumption was based on the view that the world was single and uniform and that culture depended on the plural ways of representing the world.29 The nature/culture divide was thus affirmed rather than challenged through the study of culture or the focus on epistemological differences. Blaser argues that the side-effect of the culturalist approach was that by minimizing differences the modern ontology was naturalized in the process of ‘Sameing’ rather than Othering, which is why the turn to ontology “radicalizes” postcolonial theory by taking difference more seriously.30 Martin </w:t>
      </w:r>
      <w:r w:rsidRPr="00DA4986">
        <w:rPr>
          <w:rStyle w:val="StyleUnderline"/>
        </w:rPr>
        <w:t>Holbraad</w:t>
      </w:r>
      <w:r w:rsidRPr="00DA4986">
        <w:rPr>
          <w:sz w:val="16"/>
        </w:rPr>
        <w:t xml:space="preserve">, in turn, </w:t>
      </w:r>
      <w:r w:rsidRPr="00DA4986">
        <w:rPr>
          <w:rStyle w:val="StyleUnderline"/>
        </w:rPr>
        <w:t>argues</w:t>
      </w:r>
      <w:r w:rsidRPr="00DA4986">
        <w:rPr>
          <w:sz w:val="16"/>
        </w:rPr>
        <w:t xml:space="preserve"> that the ontological approach does not start from the question of why others “get stuff wrong” but rather challenges the analytical concepts anthropologists actually use.31 Thus </w:t>
      </w:r>
      <w:r w:rsidRPr="00DA4986">
        <w:rPr>
          <w:rStyle w:val="StyleUnderline"/>
        </w:rPr>
        <w:t>the ontological turn is an ethical challenge</w:t>
      </w:r>
      <w:r w:rsidRPr="00DA4986">
        <w:rPr>
          <w:sz w:val="16"/>
        </w:rPr>
        <w:t xml:space="preserve"> to take alterity seriously by taking what interlocutors say literally rather than metaphorically. </w:t>
      </w:r>
      <w:r w:rsidRPr="00DA4986">
        <w:rPr>
          <w:rStyle w:val="StyleUnderline"/>
        </w:rPr>
        <w:t>However, for Blaser (</w:t>
      </w:r>
      <w:r w:rsidRPr="00DA4986">
        <w:rPr>
          <w:sz w:val="16"/>
        </w:rPr>
        <w:t xml:space="preserve">drawing on the work of Bruno Latour, John Law, Donna Haraway, Annemarie Mol and others) </w:t>
      </w:r>
      <w:r w:rsidRPr="00DA4986">
        <w:rPr>
          <w:rStyle w:val="StyleUnderline"/>
        </w:rPr>
        <w:t xml:space="preserve">this is where the </w:t>
      </w:r>
      <w:r w:rsidRPr="008336B7">
        <w:rPr>
          <w:rStyle w:val="StyleUnderline"/>
          <w:highlight w:val="yellow"/>
        </w:rPr>
        <w:t xml:space="preserve">ontological </w:t>
      </w:r>
      <w:r w:rsidRPr="008336B7">
        <w:rPr>
          <w:rStyle w:val="Emphasis"/>
          <w:highlight w:val="yellow"/>
        </w:rPr>
        <w:t>turn reaches its limit</w:t>
      </w:r>
      <w:r w:rsidRPr="00DA4986">
        <w:rPr>
          <w:sz w:val="16"/>
        </w:rPr>
        <w:t xml:space="preserve">: </w:t>
      </w:r>
      <w:r w:rsidRPr="00DA4986">
        <w:rPr>
          <w:rStyle w:val="StyleUnderline"/>
        </w:rPr>
        <w:t xml:space="preserve">it </w:t>
      </w:r>
      <w:r w:rsidRPr="008336B7">
        <w:rPr>
          <w:rStyle w:val="StyleUnderline"/>
          <w:highlight w:val="yellow"/>
        </w:rPr>
        <w:t>assumes</w:t>
      </w:r>
      <w:r w:rsidRPr="00DA4986">
        <w:rPr>
          <w:rStyle w:val="StyleUnderline"/>
        </w:rPr>
        <w:t xml:space="preserve"> that </w:t>
      </w:r>
      <w:r w:rsidRPr="008336B7">
        <w:rPr>
          <w:rStyle w:val="StyleUnderline"/>
          <w:highlight w:val="yellow"/>
        </w:rPr>
        <w:t>realities are “</w:t>
      </w:r>
      <w:r w:rsidRPr="008336B7">
        <w:rPr>
          <w:rStyle w:val="Emphasis"/>
          <w:highlight w:val="yellow"/>
        </w:rPr>
        <w:t>out there</w:t>
      </w:r>
      <w:r w:rsidRPr="00DA4986">
        <w:rPr>
          <w:rStyle w:val="StyleUnderline"/>
        </w:rPr>
        <w:t xml:space="preserve">” </w:t>
      </w:r>
      <w:r w:rsidRPr="008336B7">
        <w:rPr>
          <w:rStyle w:val="StyleUnderline"/>
          <w:highlight w:val="yellow"/>
        </w:rPr>
        <w:t>rather than</w:t>
      </w:r>
      <w:r w:rsidRPr="00DA4986">
        <w:rPr>
          <w:rStyle w:val="StyleUnderline"/>
        </w:rPr>
        <w:t xml:space="preserve"> being </w:t>
      </w:r>
      <w:r w:rsidRPr="00DA4986">
        <w:rPr>
          <w:rStyle w:val="Emphasis"/>
        </w:rPr>
        <w:t xml:space="preserve">continually and </w:t>
      </w:r>
      <w:r w:rsidRPr="008336B7">
        <w:rPr>
          <w:rStyle w:val="Emphasis"/>
          <w:highlight w:val="yellow"/>
        </w:rPr>
        <w:t>multiply enacted</w:t>
      </w:r>
      <w:r w:rsidRPr="00DA4986">
        <w:rPr>
          <w:rStyle w:val="StyleUnderline"/>
        </w:rPr>
        <w:t xml:space="preserve"> or performed</w:t>
      </w:r>
      <w:r w:rsidRPr="00DA4986">
        <w:rPr>
          <w:sz w:val="16"/>
        </w:rPr>
        <w:t>.32 On this point Mol’s work is particularly useful: “</w:t>
      </w:r>
      <w:r w:rsidRPr="008336B7">
        <w:rPr>
          <w:rStyle w:val="StyleUnderline"/>
          <w:highlight w:val="yellow"/>
        </w:rPr>
        <w:t>understanding ontology as</w:t>
      </w:r>
      <w:r w:rsidRPr="00DA4986">
        <w:rPr>
          <w:sz w:val="16"/>
        </w:rPr>
        <w:t xml:space="preserve"> performance or </w:t>
      </w:r>
      <w:r w:rsidRPr="008336B7">
        <w:rPr>
          <w:rStyle w:val="StyleUnderline"/>
          <w:highlight w:val="yellow"/>
        </w:rPr>
        <w:t>enactment brings to</w:t>
      </w:r>
      <w:r w:rsidRPr="00DA4986">
        <w:rPr>
          <w:rStyle w:val="StyleUnderline"/>
        </w:rPr>
        <w:t xml:space="preserve"> the </w:t>
      </w:r>
      <w:r w:rsidRPr="008336B7">
        <w:rPr>
          <w:rStyle w:val="StyleUnderline"/>
          <w:highlight w:val="yellow"/>
        </w:rPr>
        <w:t>fore</w:t>
      </w:r>
      <w:r w:rsidRPr="00DA4986">
        <w:rPr>
          <w:rStyle w:val="StyleUnderline"/>
        </w:rPr>
        <w:t xml:space="preserve"> the </w:t>
      </w:r>
      <w:r w:rsidRPr="008336B7">
        <w:rPr>
          <w:rStyle w:val="StyleUnderline"/>
          <w:highlight w:val="yellow"/>
        </w:rPr>
        <w:t xml:space="preserve">notion of </w:t>
      </w:r>
      <w:r w:rsidRPr="008336B7">
        <w:rPr>
          <w:rStyle w:val="Emphasis"/>
          <w:highlight w:val="yellow"/>
        </w:rPr>
        <w:t>ontological multiplicity</w:t>
      </w:r>
      <w:r w:rsidRPr="00DA4986">
        <w:rPr>
          <w:sz w:val="16"/>
        </w:rPr>
        <w:t xml:space="preserve">,” where </w:t>
      </w:r>
      <w:r w:rsidRPr="00DA4986">
        <w:rPr>
          <w:rStyle w:val="StyleUnderline"/>
        </w:rPr>
        <w:t>different stories and practices are neither describing something existing ultimately ‘out there’</w:t>
      </w:r>
      <w:r w:rsidRPr="00DA4986">
        <w:rPr>
          <w:sz w:val="16"/>
        </w:rPr>
        <w:t xml:space="preserve"> nor are they mistaken or metaphorical, </w:t>
      </w:r>
      <w:r w:rsidRPr="00DA4986">
        <w:rPr>
          <w:rStyle w:val="StyleUnderline"/>
        </w:rPr>
        <w:t>but actually enact or ‘world’</w:t>
      </w:r>
      <w:r w:rsidRPr="00DA4986">
        <w:rPr>
          <w:sz w:val="16"/>
        </w:rPr>
        <w:t xml:space="preserve">.33 This defines ontological work that tends to see multiple ontologies as a literal metaontology (such as Philippe Descola’s project of mapping ontologies, or Bruno Latour’s An Inquiry into Modes of Existence).34 The </w:t>
      </w:r>
      <w:r w:rsidRPr="008336B7">
        <w:rPr>
          <w:rStyle w:val="StyleUnderline"/>
          <w:highlight w:val="yellow"/>
        </w:rPr>
        <w:t>focus on enactment</w:t>
      </w:r>
      <w:r w:rsidRPr="00DA4986">
        <w:rPr>
          <w:sz w:val="16"/>
        </w:rPr>
        <w:t xml:space="preserve">, performance and practice </w:t>
      </w:r>
      <w:r w:rsidRPr="00DA4986">
        <w:rPr>
          <w:rStyle w:val="StyleUnderline"/>
        </w:rPr>
        <w:t xml:space="preserve">is </w:t>
      </w:r>
      <w:r w:rsidRPr="008336B7">
        <w:rPr>
          <w:rStyle w:val="StyleUnderline"/>
          <w:highlight w:val="yellow"/>
        </w:rPr>
        <w:t>crucial to understanding</w:t>
      </w:r>
      <w:r w:rsidRPr="00DA4986">
        <w:rPr>
          <w:rStyle w:val="StyleUnderline"/>
        </w:rPr>
        <w:t xml:space="preserve"> the </w:t>
      </w:r>
      <w:r w:rsidRPr="008336B7">
        <w:rPr>
          <w:rStyle w:val="StyleUnderline"/>
          <w:highlight w:val="yellow"/>
        </w:rPr>
        <w:t>centrality of indigeneity</w:t>
      </w:r>
      <w:r w:rsidRPr="00DA4986">
        <w:rPr>
          <w:rStyle w:val="StyleUnderline"/>
        </w:rPr>
        <w:t xml:space="preserve"> and indigenous knowledge in the contemporary critical and policy discourse.</w:t>
      </w:r>
      <w:r w:rsidRPr="00DA4986">
        <w:rPr>
          <w:sz w:val="16"/>
        </w:rPr>
        <w:t xml:space="preserve"> Rather than taking as given the multiple ontologies of anthropology and thus reducing ontology to culture, </w:t>
      </w:r>
      <w:r w:rsidRPr="008336B7">
        <w:rPr>
          <w:rStyle w:val="StyleUnderline"/>
          <w:highlight w:val="yellow"/>
        </w:rPr>
        <w:t>ontologies should be practiced</w:t>
      </w:r>
      <w:r w:rsidRPr="00DA4986">
        <w:rPr>
          <w:rStyle w:val="StyleUnderline"/>
        </w:rPr>
        <w:t xml:space="preserve"> or enacted </w:t>
      </w:r>
      <w:r w:rsidRPr="008336B7">
        <w:rPr>
          <w:rStyle w:val="StyleUnderline"/>
          <w:highlight w:val="yellow"/>
        </w:rPr>
        <w:t>rather than</w:t>
      </w:r>
      <w:r w:rsidRPr="00DA4986">
        <w:rPr>
          <w:rStyle w:val="StyleUnderline"/>
        </w:rPr>
        <w:t xml:space="preserve"> merely mapped, </w:t>
      </w:r>
      <w:r w:rsidRPr="008336B7">
        <w:rPr>
          <w:rStyle w:val="StyleUnderline"/>
          <w:highlight w:val="yellow"/>
        </w:rPr>
        <w:t>studied</w:t>
      </w:r>
      <w:r w:rsidRPr="00DA4986">
        <w:rPr>
          <w:rStyle w:val="StyleUnderline"/>
        </w:rPr>
        <w:t xml:space="preserve"> or collected</w:t>
      </w:r>
      <w:r w:rsidRPr="00DA4986">
        <w:rPr>
          <w:sz w:val="16"/>
        </w:rPr>
        <w:t xml:space="preserve">.35 </w:t>
      </w:r>
      <w:r w:rsidRPr="00DA4986">
        <w:rPr>
          <w:rStyle w:val="StyleUnderline"/>
        </w:rPr>
        <w:t xml:space="preserve">It is these </w:t>
      </w:r>
      <w:r w:rsidRPr="008336B7">
        <w:rPr>
          <w:rStyle w:val="StyleUnderline"/>
          <w:highlight w:val="yellow"/>
        </w:rPr>
        <w:t>enactments</w:t>
      </w:r>
      <w:r w:rsidRPr="00DA4986">
        <w:rPr>
          <w:rStyle w:val="StyleUnderline"/>
        </w:rPr>
        <w:t xml:space="preserve"> that </w:t>
      </w:r>
      <w:r w:rsidRPr="008336B7">
        <w:rPr>
          <w:rStyle w:val="Emphasis"/>
          <w:highlight w:val="yellow"/>
        </w:rPr>
        <w:t>bring new worlds into being</w:t>
      </w:r>
      <w:r w:rsidRPr="00DA4986">
        <w:rPr>
          <w:rStyle w:val="StyleUnderline"/>
        </w:rPr>
        <w:t>.</w:t>
      </w:r>
      <w:r w:rsidRPr="00DA4986">
        <w:rPr>
          <w:sz w:val="16"/>
        </w:rPr>
        <w:t xml:space="preserve"> But </w:t>
      </w:r>
      <w:r w:rsidRPr="00DA4986">
        <w:rPr>
          <w:rStyle w:val="StyleUnderline"/>
        </w:rPr>
        <w:t>the question is what worlds should and should not be brought into being</w:t>
      </w:r>
      <w:r w:rsidRPr="00DA4986">
        <w:rPr>
          <w:sz w:val="16"/>
        </w:rPr>
        <w:t xml:space="preserve">. All these worlds potentially exist equally at the ontological level: the distinction is an ethico-political one. Whereas postcolonial and decolonial thought seeks to bring other human, nonmodern worlds, into a relationship of equality and mutual respect, the debate around indigeneity and indigenous knowledge cannot be fully grasped in these traditional political terms. The political ethics of the ontological turn goes beyond the anthropocentric contestations of the last century by emphasizing the urgency of listening to nonhuman actors and agents. It is thus in the new context of global warming, extreme weather events, environmental disasters and the Anthropocene that indigeneity and alternative ways of being are integrated into governance. The point we wish to emphasize is that in extending its scope to include the nonhuman, the focus on indigeneity is not merely a reflection of the crisis of modern ontology but is a necessary result of the </w:t>
      </w:r>
      <w:proofErr w:type="gramStart"/>
      <w:r w:rsidRPr="00DA4986">
        <w:rPr>
          <w:sz w:val="16"/>
        </w:rPr>
        <w:t>particular form</w:t>
      </w:r>
      <w:proofErr w:type="gramEnd"/>
      <w:r w:rsidRPr="00DA4986">
        <w:rPr>
          <w:sz w:val="16"/>
        </w:rPr>
        <w:t xml:space="preserve"> of that crisis today. In making this claim we do not mean that indigenous peoples are seen or treated as if they were nonhuman or not fully human, but quite the opposite: we seek to promote and extend indigenous ways of being. However, the reason why indigenous ways of being are feted is for the specific attributes of coping with natural or environmental problems, which are seen to evade the grasp of modern science and technology. When nature was seen as a passive object open to modernist understanding and appropriation, indigenous ways of being were said to lack history and agency. Today, the tables have turned. As Latour notes, it seems that nature has more power and agency than humans and better ways of knowing and calculating.36 The collapse of the nature/culture divide and the focus on the interactive and contingent power and agency of natural forces, previously ignored and thought to be passive, innate and lacking in agency, has transformed the understanding of indigeneity. The indigenous are the anthropocenealogists of nonmodern ontology: they can teach us how to see the nonhuman </w:t>
      </w:r>
      <w:proofErr w:type="gramStart"/>
      <w:r w:rsidRPr="00DA4986">
        <w:rPr>
          <w:sz w:val="16"/>
        </w:rPr>
        <w:t>differently.(</w:t>
      </w:r>
      <w:proofErr w:type="gramEnd"/>
      <w:r w:rsidRPr="00DA4986">
        <w:rPr>
          <w:sz w:val="16"/>
        </w:rPr>
        <w:t>257-9)</w:t>
      </w:r>
    </w:p>
    <w:p w14:paraId="7364BB12" w14:textId="77777777" w:rsidR="004B1769" w:rsidRPr="00DA4986" w:rsidRDefault="004B1769" w:rsidP="004B1769"/>
    <w:p w14:paraId="7A6997B3" w14:textId="77777777" w:rsidR="004B1769" w:rsidRPr="00DA4986" w:rsidRDefault="004B1769" w:rsidP="004B1769">
      <w:pPr>
        <w:pStyle w:val="Heading3"/>
        <w:rPr>
          <w:rFonts w:cs="Arial"/>
        </w:rPr>
      </w:pPr>
      <w:r w:rsidRPr="00DA4986">
        <w:rPr>
          <w:rFonts w:cs="Arial"/>
        </w:rPr>
        <w:t>AT: State/Psychoanalysis Links</w:t>
      </w:r>
    </w:p>
    <w:p w14:paraId="3FED991A" w14:textId="77777777" w:rsidR="004B1769" w:rsidRPr="00DA4986" w:rsidRDefault="004B1769" w:rsidP="004B1769">
      <w:pPr>
        <w:pStyle w:val="Heading4"/>
        <w:rPr>
          <w:rFonts w:cs="Arial"/>
        </w:rPr>
      </w:pPr>
      <w:r w:rsidRPr="00DA4986">
        <w:rPr>
          <w:rFonts w:cs="Arial"/>
        </w:rPr>
        <w:t xml:space="preserve">Their state etc. links boil down to impossible purity tests their own authors can’t pass </w:t>
      </w:r>
    </w:p>
    <w:p w14:paraId="191743A7" w14:textId="77777777" w:rsidR="004B1769" w:rsidRPr="00DA4986" w:rsidRDefault="004B1769" w:rsidP="004B1769">
      <w:pPr>
        <w:rPr>
          <w:rStyle w:val="Style13ptBold"/>
        </w:rPr>
      </w:pPr>
      <w:r w:rsidRPr="00DA4986">
        <w:rPr>
          <w:rStyle w:val="Style13ptBold"/>
        </w:rPr>
        <w:t>Povinelli, PhD Yale, 97</w:t>
      </w:r>
    </w:p>
    <w:p w14:paraId="2C8B22E7" w14:textId="77777777" w:rsidR="004B1769" w:rsidRPr="00DA4986" w:rsidRDefault="004B1769" w:rsidP="004B1769">
      <w:pPr>
        <w:rPr>
          <w:sz w:val="14"/>
        </w:rPr>
      </w:pPr>
      <w:r w:rsidRPr="00DA4986">
        <w:rPr>
          <w:sz w:val="14"/>
        </w:rPr>
        <w:t>(Elizabeth A., Anthropology/Gender@</w:t>
      </w:r>
      <w:proofErr w:type="gramStart"/>
      <w:r w:rsidRPr="00DA4986">
        <w:rPr>
          <w:sz w:val="14"/>
        </w:rPr>
        <w:t>Columbia,  READING</w:t>
      </w:r>
      <w:proofErr w:type="gramEnd"/>
      <w:r w:rsidRPr="00DA4986">
        <w:rPr>
          <w:sz w:val="14"/>
        </w:rPr>
        <w:t xml:space="preserve"> RUPTURES, RUPTURING READINGS: Mabo and the Cultural Politics of </w:t>
      </w:r>
      <w:proofErr w:type="gramStart"/>
      <w:r w:rsidRPr="00DA4986">
        <w:rPr>
          <w:sz w:val="14"/>
        </w:rPr>
        <w:t>Activism  SOCIAL</w:t>
      </w:r>
      <w:proofErr w:type="gramEnd"/>
      <w:r w:rsidRPr="00DA4986">
        <w:rPr>
          <w:sz w:val="14"/>
        </w:rPr>
        <w:t xml:space="preserve"> ANALYSIS No. 41(2), July 1)</w:t>
      </w:r>
    </w:p>
    <w:p w14:paraId="70C6CB76" w14:textId="77777777" w:rsidR="004B1769" w:rsidRPr="00DA4986" w:rsidRDefault="004B1769" w:rsidP="004B1769">
      <w:pPr>
        <w:rPr>
          <w:sz w:val="16"/>
        </w:rPr>
      </w:pPr>
      <w:r w:rsidRPr="00DA4986">
        <w:rPr>
          <w:sz w:val="16"/>
        </w:rPr>
        <w:t xml:space="preserve"> The first disciplinary gesture I have already alluded to; that is, Wolfe argues that </w:t>
      </w:r>
      <w:r w:rsidRPr="00DA4986">
        <w:rPr>
          <w:rStyle w:val="StyleUnderline"/>
        </w:rPr>
        <w:t xml:space="preserve">any </w:t>
      </w:r>
      <w:r w:rsidRPr="008336B7">
        <w:rPr>
          <w:rStyle w:val="StyleUnderline"/>
          <w:highlight w:val="yellow"/>
        </w:rPr>
        <w:t>discussion which does not insist on</w:t>
      </w:r>
      <w:r w:rsidRPr="00DA4986">
        <w:rPr>
          <w:sz w:val="16"/>
        </w:rPr>
        <w:t xml:space="preserve"> the </w:t>
      </w:r>
      <w:r w:rsidRPr="008336B7">
        <w:rPr>
          <w:rStyle w:val="StyleUnderline"/>
          <w:highlight w:val="yellow"/>
        </w:rPr>
        <w:t>polarity</w:t>
      </w:r>
      <w:r w:rsidRPr="00DA4986">
        <w:rPr>
          <w:sz w:val="16"/>
        </w:rPr>
        <w:t xml:space="preserve"> of the Australian colonial project ("one's position on binarism cannot be innocent") </w:t>
      </w:r>
      <w:r w:rsidRPr="00DA4986">
        <w:rPr>
          <w:rStyle w:val="StyleUnderline"/>
        </w:rPr>
        <w:t xml:space="preserve">is </w:t>
      </w:r>
      <w:r w:rsidRPr="008336B7">
        <w:rPr>
          <w:rStyle w:val="StyleUnderline"/>
          <w:highlight w:val="yellow"/>
        </w:rPr>
        <w:t>assimilationist</w:t>
      </w:r>
      <w:r w:rsidRPr="00DA4986">
        <w:rPr>
          <w:sz w:val="16"/>
        </w:rPr>
        <w:t xml:space="preserve">; worse yet, is </w:t>
      </w:r>
      <w:r w:rsidRPr="00DA4986">
        <w:rPr>
          <w:rStyle w:val="StyleUnderline"/>
        </w:rPr>
        <w:t>participating, in logic and practice, in the completion of the colonial project</w:t>
      </w:r>
      <w:r w:rsidRPr="00DA4986">
        <w:rPr>
          <w:sz w:val="16"/>
        </w:rPr>
        <w:t xml:space="preserve"> of (sub)merging and eliminating Aboriginal people. </w:t>
      </w:r>
      <w:r w:rsidRPr="00DA4986">
        <w:rPr>
          <w:rStyle w:val="StyleUnderline"/>
        </w:rPr>
        <w:t>Any attempt to examine the dia logical or hybrid nature of colonial subjectivity</w:t>
      </w:r>
      <w:r w:rsidRPr="00DA4986">
        <w:rPr>
          <w:sz w:val="16"/>
        </w:rPr>
        <w:t xml:space="preserve"> (which is not an attempt to provide an account of the merger of colonizers and colonized) </w:t>
      </w:r>
      <w:r w:rsidRPr="00DA4986">
        <w:rPr>
          <w:rStyle w:val="Emphasis"/>
        </w:rPr>
        <w:t xml:space="preserve">is </w:t>
      </w:r>
      <w:r w:rsidRPr="008336B7">
        <w:rPr>
          <w:rStyle w:val="Emphasis"/>
          <w:highlight w:val="yellow"/>
        </w:rPr>
        <w:t>disciplined as genocidal</w:t>
      </w:r>
      <w:r w:rsidRPr="00DA4986">
        <w:rPr>
          <w:sz w:val="16"/>
        </w:rPr>
        <w:t xml:space="preserve"> in effect if not intent and, more importantly, as wholly other than his own practice ("procedure"). </w:t>
      </w:r>
      <w:r w:rsidRPr="00DA4986">
        <w:rPr>
          <w:rStyle w:val="StyleUnderline"/>
        </w:rPr>
        <w:t xml:space="preserve">This especially holds for whites' nonpolarized </w:t>
      </w:r>
      <w:proofErr w:type="gramStart"/>
      <w:r w:rsidRPr="00DA4986">
        <w:rPr>
          <w:rStyle w:val="StyleUnderline"/>
        </w:rPr>
        <w:t xml:space="preserve">accounts, </w:t>
      </w:r>
      <w:r w:rsidRPr="00DA4986">
        <w:rPr>
          <w:rStyle w:val="Emphasis"/>
        </w:rPr>
        <w:t>but</w:t>
      </w:r>
      <w:proofErr w:type="gramEnd"/>
      <w:r w:rsidRPr="00DA4986">
        <w:rPr>
          <w:rStyle w:val="Emphasis"/>
        </w:rPr>
        <w:t xml:space="preserve"> also </w:t>
      </w:r>
      <w:r w:rsidRPr="00DA4986">
        <w:rPr>
          <w:rStyle w:val="StyleUnderline"/>
        </w:rPr>
        <w:t>holds for Aboriginal men and women's</w:t>
      </w:r>
      <w:r w:rsidRPr="00DA4986">
        <w:rPr>
          <w:sz w:val="16"/>
        </w:rPr>
        <w:t xml:space="preserve">. The second disciplinary gesture also runs throughout the essay and is determined by the first; </w:t>
      </w:r>
      <w:r w:rsidRPr="00DA4986">
        <w:rPr>
          <w:rStyle w:val="StyleUnderline"/>
        </w:rPr>
        <w:t>the only nonassimilationist position is</w:t>
      </w:r>
      <w:r w:rsidRPr="00DA4986">
        <w:rPr>
          <w:sz w:val="16"/>
        </w:rPr>
        <w:t xml:space="preserve"> one that adheres strictly and solely to </w:t>
      </w:r>
      <w:r w:rsidRPr="00DA4986">
        <w:rPr>
          <w:rStyle w:val="Emphasis"/>
        </w:rPr>
        <w:t>a critique of state discourse</w:t>
      </w:r>
      <w:r w:rsidRPr="00DA4986">
        <w:rPr>
          <w:sz w:val="16"/>
        </w:rPr>
        <w:t xml:space="preserve"> — his procedure "deals with Aboriginal people as constructed and/or appropriated.... by that discourse" and has absolutely nothing to say about anything else. </w:t>
      </w:r>
      <w:proofErr w:type="gramStart"/>
      <w:r w:rsidRPr="00DA4986">
        <w:rPr>
          <w:rStyle w:val="StyleUnderline"/>
        </w:rPr>
        <w:t>Again</w:t>
      </w:r>
      <w:proofErr w:type="gramEnd"/>
      <w:r w:rsidRPr="00DA4986">
        <w:rPr>
          <w:rStyle w:val="StyleUnderline"/>
        </w:rPr>
        <w:t xml:space="preserve"> we are dealing in absolute polarities</w:t>
      </w:r>
      <w:r w:rsidRPr="00DA4986">
        <w:rPr>
          <w:sz w:val="16"/>
        </w:rPr>
        <w:t xml:space="preserve">, but not simply in relation to the invasion-state's logic of elimination — his "procedure is entirely different from the invasive practice of prescribing proxy Aboriginalities however gratifyingly oppositional these may seem". Here again </w:t>
      </w:r>
      <w:r w:rsidRPr="00DA4986">
        <w:rPr>
          <w:rStyle w:val="StyleUnderline"/>
        </w:rPr>
        <w:t>Wolfe sees the troubles ahead</w:t>
      </w:r>
      <w:r w:rsidRPr="00DA4986">
        <w:rPr>
          <w:sz w:val="16"/>
        </w:rPr>
        <w:t xml:space="preserve"> — </w:t>
      </w:r>
      <w:r w:rsidRPr="008336B7">
        <w:rPr>
          <w:rStyle w:val="StyleUnderline"/>
          <w:highlight w:val="yellow"/>
        </w:rPr>
        <w:t>Aboriginal people</w:t>
      </w:r>
      <w:r w:rsidRPr="00DA4986">
        <w:rPr>
          <w:rStyle w:val="StyleUnderline"/>
        </w:rPr>
        <w:t>, he acknowledges, "</w:t>
      </w:r>
      <w:r w:rsidRPr="008336B7">
        <w:rPr>
          <w:rStyle w:val="StyleUnderline"/>
          <w:highlight w:val="yellow"/>
        </w:rPr>
        <w:t xml:space="preserve">can </w:t>
      </w:r>
      <w:r w:rsidRPr="008336B7">
        <w:rPr>
          <w:rStyle w:val="Emphasis"/>
          <w:highlight w:val="yellow"/>
        </w:rPr>
        <w:t>strategically acquiesce</w:t>
      </w:r>
      <w:r w:rsidRPr="00DA4986">
        <w:rPr>
          <w:rStyle w:val="StyleUnderline"/>
        </w:rPr>
        <w:t xml:space="preserve"> in repressive authenticity </w:t>
      </w:r>
      <w:r w:rsidRPr="008336B7">
        <w:rPr>
          <w:rStyle w:val="StyleUnderline"/>
          <w:highlight w:val="yellow"/>
        </w:rPr>
        <w:t>to further</w:t>
      </w:r>
      <w:r w:rsidRPr="00DA4986">
        <w:rPr>
          <w:rStyle w:val="StyleUnderline"/>
        </w:rPr>
        <w:t xml:space="preserve"> </w:t>
      </w:r>
      <w:r w:rsidRPr="00DA4986">
        <w:rPr>
          <w:rStyle w:val="Emphasis"/>
        </w:rPr>
        <w:t xml:space="preserve">particular </w:t>
      </w:r>
      <w:r w:rsidRPr="008336B7">
        <w:rPr>
          <w:rStyle w:val="Emphasis"/>
          <w:highlight w:val="yellow"/>
        </w:rPr>
        <w:t>interests</w:t>
      </w:r>
      <w:r w:rsidRPr="00DA4986">
        <w:rPr>
          <w:rStyle w:val="StyleUnderline"/>
        </w:rPr>
        <w:t xml:space="preserve">" </w:t>
      </w:r>
      <w:r w:rsidRPr="00DA4986">
        <w:rPr>
          <w:rStyle w:val="Emphasis"/>
        </w:rPr>
        <w:t>and white people can participate</w:t>
      </w:r>
      <w:r w:rsidRPr="00DA4986">
        <w:rPr>
          <w:rStyle w:val="StyleUnderline"/>
        </w:rPr>
        <w:t xml:space="preserve">. But </w:t>
      </w:r>
      <w:r w:rsidRPr="008336B7">
        <w:rPr>
          <w:rStyle w:val="StyleUnderline"/>
          <w:highlight w:val="yellow"/>
        </w:rPr>
        <w:t>in allowing for</w:t>
      </w:r>
      <w:r w:rsidRPr="008336B7">
        <w:rPr>
          <w:sz w:val="16"/>
          <w:highlight w:val="yellow"/>
        </w:rPr>
        <w:t xml:space="preserve"> </w:t>
      </w:r>
      <w:r w:rsidRPr="00DA4986">
        <w:rPr>
          <w:sz w:val="16"/>
        </w:rPr>
        <w:t xml:space="preserve">this </w:t>
      </w:r>
      <w:r w:rsidRPr="00DA4986">
        <w:rPr>
          <w:rStyle w:val="StyleUnderline"/>
        </w:rPr>
        <w:t xml:space="preserve">strategic </w:t>
      </w:r>
      <w:r w:rsidRPr="008336B7">
        <w:rPr>
          <w:rStyle w:val="StyleUnderline"/>
          <w:highlight w:val="yellow"/>
        </w:rPr>
        <w:t>acquiescence</w:t>
      </w:r>
      <w:r w:rsidRPr="00DA4986">
        <w:rPr>
          <w:sz w:val="16"/>
        </w:rPr>
        <w:t xml:space="preserve"> </w:t>
      </w:r>
      <w:r w:rsidRPr="00DA4986">
        <w:rPr>
          <w:rStyle w:val="StyleUnderline"/>
        </w:rPr>
        <w:t xml:space="preserve">Wolfe </w:t>
      </w:r>
      <w:r w:rsidRPr="00DA4986">
        <w:rPr>
          <w:sz w:val="16"/>
        </w:rPr>
        <w:t xml:space="preserve">simultaneously </w:t>
      </w:r>
      <w:r w:rsidRPr="008336B7">
        <w:rPr>
          <w:rStyle w:val="Emphasis"/>
          <w:highlight w:val="yellow"/>
        </w:rPr>
        <w:t>breaks</w:t>
      </w:r>
      <w:r w:rsidRPr="00DA4986">
        <w:rPr>
          <w:rStyle w:val="Emphasis"/>
        </w:rPr>
        <w:t xml:space="preserve"> his own compulsively repeated </w:t>
      </w:r>
      <w:r w:rsidRPr="008336B7">
        <w:rPr>
          <w:rStyle w:val="Emphasis"/>
          <w:highlight w:val="yellow"/>
        </w:rPr>
        <w:t>assertion</w:t>
      </w:r>
      <w:r w:rsidRPr="00DA4986">
        <w:rPr>
          <w:rStyle w:val="Emphasis"/>
        </w:rPr>
        <w:t xml:space="preserve"> </w:t>
      </w:r>
      <w:r w:rsidRPr="00DA4986">
        <w:rPr>
          <w:sz w:val="16"/>
        </w:rPr>
        <w:t xml:space="preserve">that his account is stone silent on Aboriginality and Aboriginal subjectivity and syntagmatically constructs First Australian men and women as subjects of an intransitive action with even that action particular in nature. This, as Wolfe well knows, is exactly in keeping with how the High Court in Mabo constructed Aboriginality. </w:t>
      </w:r>
      <w:r w:rsidRPr="00DA4986">
        <w:rPr>
          <w:rStyle w:val="StyleUnderline"/>
        </w:rPr>
        <w:t>Their resistance and their acquiesce is wholly "generated" by settler colonial power and wholly incorporatable into settler law</w:t>
      </w:r>
      <w:r w:rsidRPr="00DA4986">
        <w:rPr>
          <w:sz w:val="16"/>
        </w:rPr>
        <w:t xml:space="preserve">, with some allowance for "specific residue(s) that provide Aborigines with bases for resistance" — </w:t>
      </w:r>
      <w:r w:rsidRPr="00DA4986">
        <w:rPr>
          <w:rStyle w:val="Emphasis"/>
        </w:rPr>
        <w:t xml:space="preserve">as any good Lacanian would say, </w:t>
      </w:r>
      <w:r w:rsidRPr="008336B7">
        <w:rPr>
          <w:rStyle w:val="Emphasis"/>
          <w:highlight w:val="yellow"/>
        </w:rPr>
        <w:t>no symbolic can encompass without a remainder and every symbolic creates the "itchy feeling" that something is being hidden</w:t>
      </w:r>
      <w:r w:rsidRPr="00DA4986">
        <w:rPr>
          <w:sz w:val="16"/>
        </w:rPr>
        <w:t xml:space="preserve"> (Copjec 1994) — </w:t>
      </w:r>
      <w:r w:rsidRPr="008336B7">
        <w:rPr>
          <w:rStyle w:val="StyleUnderline"/>
          <w:highlight w:val="yellow"/>
        </w:rPr>
        <w:t xml:space="preserve">and </w:t>
      </w:r>
      <w:r w:rsidRPr="008336B7">
        <w:rPr>
          <w:rStyle w:val="Emphasis"/>
          <w:highlight w:val="yellow"/>
        </w:rPr>
        <w:t>exploitable discursive contradictions generated by</w:t>
      </w:r>
      <w:r w:rsidRPr="00DA4986">
        <w:rPr>
          <w:rStyle w:val="Emphasis"/>
        </w:rPr>
        <w:t xml:space="preserve"> Australian </w:t>
      </w:r>
      <w:r w:rsidRPr="008336B7">
        <w:rPr>
          <w:rStyle w:val="Emphasis"/>
          <w:highlight w:val="yellow"/>
        </w:rPr>
        <w:t>state discourse</w:t>
      </w:r>
      <w:r w:rsidRPr="00DA4986">
        <w:rPr>
          <w:sz w:val="16"/>
        </w:rPr>
        <w:t xml:space="preserve">. </w:t>
      </w:r>
      <w:r w:rsidRPr="00DA4986">
        <w:rPr>
          <w:rStyle w:val="StyleUnderline"/>
        </w:rPr>
        <w:t xml:space="preserve">Wolfe </w:t>
      </w:r>
      <w:r w:rsidRPr="008336B7">
        <w:rPr>
          <w:rStyle w:val="Emphasis"/>
          <w:highlight w:val="yellow"/>
        </w:rPr>
        <w:t>participates</w:t>
      </w:r>
      <w:r w:rsidRPr="008336B7">
        <w:rPr>
          <w:rStyle w:val="StyleUnderline"/>
          <w:highlight w:val="yellow"/>
        </w:rPr>
        <w:t xml:space="preserve"> in</w:t>
      </w:r>
      <w:r w:rsidRPr="00DA4986">
        <w:rPr>
          <w:rStyle w:val="StyleUnderline"/>
        </w:rPr>
        <w:t xml:space="preserve"> this </w:t>
      </w:r>
      <w:r w:rsidRPr="008336B7">
        <w:rPr>
          <w:rStyle w:val="StyleUnderline"/>
          <w:highlight w:val="yellow"/>
        </w:rPr>
        <w:t>rendering</w:t>
      </w:r>
      <w:r w:rsidRPr="00DA4986">
        <w:rPr>
          <w:rStyle w:val="StyleUnderline"/>
        </w:rPr>
        <w:t xml:space="preserve"> of </w:t>
      </w:r>
      <w:r w:rsidRPr="008336B7">
        <w:rPr>
          <w:rStyle w:val="StyleUnderline"/>
          <w:highlight w:val="yellow"/>
        </w:rPr>
        <w:t xml:space="preserve">Aboriginality </w:t>
      </w:r>
      <w:r w:rsidRPr="008336B7">
        <w:rPr>
          <w:rStyle w:val="Emphasis"/>
          <w:highlight w:val="yellow"/>
        </w:rPr>
        <w:t>even as</w:t>
      </w:r>
      <w:r w:rsidRPr="00DA4986">
        <w:rPr>
          <w:rStyle w:val="Emphasis"/>
        </w:rPr>
        <w:t xml:space="preserve"> he compulsively </w:t>
      </w:r>
      <w:r w:rsidRPr="008336B7">
        <w:rPr>
          <w:rStyle w:val="Emphasis"/>
          <w:highlight w:val="yellow"/>
        </w:rPr>
        <w:t xml:space="preserve">tells us </w:t>
      </w:r>
      <w:r w:rsidRPr="008336B7">
        <w:rPr>
          <w:rStyle w:val="StyleUnderline"/>
          <w:highlight w:val="yellow"/>
        </w:rPr>
        <w:t>he has nothing to say</w:t>
      </w:r>
      <w:r w:rsidRPr="00DA4986">
        <w:rPr>
          <w:rStyle w:val="StyleUnderline"/>
        </w:rPr>
        <w:t xml:space="preserve"> on the matter</w:t>
      </w:r>
      <w:r w:rsidRPr="00DA4986">
        <w:rPr>
          <w:sz w:val="16"/>
        </w:rPr>
        <w:t xml:space="preserve">: he has resisted the temptation of invasiveness. One suspects </w:t>
      </w:r>
      <w:r w:rsidRPr="00DA4986">
        <w:rPr>
          <w:rStyle w:val="StyleUnderline"/>
        </w:rPr>
        <w:t xml:space="preserve">the </w:t>
      </w:r>
      <w:r w:rsidRPr="008336B7">
        <w:rPr>
          <w:rStyle w:val="StyleUnderline"/>
          <w:highlight w:val="yellow"/>
        </w:rPr>
        <w:t>repetition</w:t>
      </w:r>
      <w:r w:rsidRPr="00DA4986">
        <w:rPr>
          <w:rStyle w:val="StyleUnderline"/>
        </w:rPr>
        <w:t xml:space="preserve"> </w:t>
      </w:r>
      <w:r w:rsidRPr="008336B7">
        <w:rPr>
          <w:rStyle w:val="StyleUnderline"/>
          <w:highlight w:val="yellow"/>
        </w:rPr>
        <w:t>hides</w:t>
      </w:r>
      <w:r w:rsidRPr="00DA4986">
        <w:rPr>
          <w:rStyle w:val="StyleUnderline"/>
        </w:rPr>
        <w:t xml:space="preserve"> some trauma</w:t>
      </w:r>
      <w:r w:rsidRPr="00DA4986">
        <w:rPr>
          <w:sz w:val="16"/>
        </w:rPr>
        <w:t xml:space="preserve">, </w:t>
      </w:r>
      <w:r w:rsidRPr="00DA4986">
        <w:rPr>
          <w:rStyle w:val="Emphasis"/>
        </w:rPr>
        <w:t xml:space="preserve">perhaps the </w:t>
      </w:r>
      <w:r w:rsidRPr="008336B7">
        <w:rPr>
          <w:rStyle w:val="Emphasis"/>
          <w:highlight w:val="yellow"/>
        </w:rPr>
        <w:t>shattered dream of an unimplicated position</w:t>
      </w:r>
      <w:r w:rsidRPr="00DA4986">
        <w:rPr>
          <w:rStyle w:val="Emphasis"/>
        </w:rPr>
        <w:t xml:space="preserve"> </w:t>
      </w:r>
      <w:r w:rsidRPr="00DA4986">
        <w:rPr>
          <w:sz w:val="16"/>
        </w:rPr>
        <w:t xml:space="preserve">— </w:t>
      </w:r>
      <w:r w:rsidRPr="008336B7">
        <w:rPr>
          <w:rStyle w:val="StyleUnderline"/>
          <w:highlight w:val="yellow"/>
        </w:rPr>
        <w:t>somewhere</w:t>
      </w:r>
      <w:r w:rsidRPr="00DA4986">
        <w:rPr>
          <w:rStyle w:val="StyleUnderline"/>
        </w:rPr>
        <w:t xml:space="preserve"> in the dispersed field of knowledge and power where the </w:t>
      </w:r>
      <w:r w:rsidRPr="008336B7">
        <w:rPr>
          <w:rStyle w:val="StyleUnderline"/>
          <w:highlight w:val="yellow"/>
        </w:rPr>
        <w:t xml:space="preserve">academic can crouch </w:t>
      </w:r>
      <w:r w:rsidRPr="008336B7">
        <w:rPr>
          <w:rStyle w:val="Emphasis"/>
          <w:highlight w:val="yellow"/>
        </w:rPr>
        <w:t>without their hands being soiled</w:t>
      </w:r>
      <w:r w:rsidRPr="00DA4986">
        <w:rPr>
          <w:rStyle w:val="Emphasis"/>
        </w:rPr>
        <w:t>.</w:t>
      </w:r>
      <w:r w:rsidRPr="00DA4986">
        <w:rPr>
          <w:sz w:val="16"/>
        </w:rPr>
        <w:t xml:space="preserve"> </w:t>
      </w:r>
      <w:proofErr w:type="gramStart"/>
      <w:r w:rsidRPr="00DA4986">
        <w:rPr>
          <w:sz w:val="16"/>
        </w:rPr>
        <w:t>Heaven</w:t>
      </w:r>
      <w:proofErr w:type="gramEnd"/>
      <w:r w:rsidRPr="00DA4986">
        <w:rPr>
          <w:sz w:val="16"/>
        </w:rPr>
        <w:t xml:space="preserve"> </w:t>
      </w:r>
      <w:proofErr w:type="gramStart"/>
      <w:r w:rsidRPr="00DA4986">
        <w:rPr>
          <w:sz w:val="16"/>
        </w:rPr>
        <w:t>forbid</w:t>
      </w:r>
      <w:proofErr w:type="gramEnd"/>
      <w:r w:rsidRPr="00DA4986">
        <w:rPr>
          <w:sz w:val="16"/>
        </w:rPr>
        <w:t xml:space="preserve"> </w:t>
      </w:r>
      <w:proofErr w:type="gramStart"/>
      <w:r w:rsidRPr="00DA4986">
        <w:rPr>
          <w:sz w:val="16"/>
        </w:rPr>
        <w:t>we succumb</w:t>
      </w:r>
      <w:proofErr w:type="gramEnd"/>
      <w:r w:rsidRPr="00DA4986">
        <w:rPr>
          <w:sz w:val="16"/>
        </w:rPr>
        <w:t xml:space="preserve"> to that dream.</w:t>
      </w:r>
    </w:p>
    <w:p w14:paraId="15785C04" w14:textId="77777777" w:rsidR="004B1769" w:rsidRDefault="004B1769" w:rsidP="004B1769">
      <w:pPr>
        <w:pStyle w:val="Heading3"/>
      </w:pPr>
      <w:r>
        <w:t>Link – Renewables Bad – 2AC</w:t>
      </w:r>
    </w:p>
    <w:p w14:paraId="456EB987" w14:textId="77777777" w:rsidR="004B1769" w:rsidRDefault="004B1769" w:rsidP="004B1769">
      <w:pPr>
        <w:pStyle w:val="Heading4"/>
      </w:pPr>
      <w:r>
        <w:t xml:space="preserve">Shifting to renewable energy </w:t>
      </w:r>
      <w:r w:rsidRPr="00B34055">
        <w:rPr>
          <w:u w:val="single"/>
        </w:rPr>
        <w:t>reduces</w:t>
      </w:r>
      <w:r>
        <w:t xml:space="preserve"> mining and mineral demand by </w:t>
      </w:r>
      <w:r w:rsidRPr="00B34055">
        <w:rPr>
          <w:u w:val="single"/>
        </w:rPr>
        <w:t>500 times</w:t>
      </w:r>
    </w:p>
    <w:p w14:paraId="43D05319" w14:textId="77777777" w:rsidR="004B1769" w:rsidRPr="00875D32" w:rsidRDefault="004B1769" w:rsidP="004B1769">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2A10C4DE" w14:textId="77777777" w:rsidR="004B1769" w:rsidRPr="00926FC6" w:rsidRDefault="004B1769" w:rsidP="004B1769">
      <w:r>
        <w:t>[</w:t>
      </w:r>
      <w:r w:rsidRPr="00A25228">
        <w:t>Figure</w:t>
      </w:r>
      <w:r>
        <w:t xml:space="preserve"> omitted]</w:t>
      </w:r>
    </w:p>
    <w:p w14:paraId="605D49DE" w14:textId="77777777" w:rsidR="004B1769" w:rsidRPr="00A25228" w:rsidRDefault="004B1769" w:rsidP="004B1769">
      <w:pPr>
        <w:rPr>
          <w:sz w:val="16"/>
        </w:rPr>
      </w:pPr>
      <w:r w:rsidRPr="0098439C">
        <w:rPr>
          <w:rStyle w:val="StyleUnderline"/>
          <w:highlight w:val="cyan"/>
        </w:rPr>
        <w:t>Decarbonizing</w:t>
      </w:r>
      <w:r w:rsidRPr="00A25228">
        <w:rPr>
          <w:sz w:val="16"/>
        </w:rPr>
        <w:t xml:space="preserve"> the world’s economy </w:t>
      </w:r>
      <w:r w:rsidRPr="0098439C">
        <w:rPr>
          <w:rStyle w:val="StyleUnderline"/>
          <w:highlight w:val="cyan"/>
        </w:rPr>
        <w:t>will require</w:t>
      </w:r>
      <w:r w:rsidRPr="00A25228">
        <w:rPr>
          <w:rStyle w:val="StyleUnderline"/>
        </w:rPr>
        <w:t xml:space="preserve"> an enormous amount of </w:t>
      </w:r>
      <w:r w:rsidRPr="0098439C">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75E7C5F4" w14:textId="77777777" w:rsidR="004B1769" w:rsidRPr="00A25228" w:rsidRDefault="004B1769" w:rsidP="004B1769">
      <w:pPr>
        <w:rPr>
          <w:sz w:val="16"/>
        </w:rPr>
      </w:pPr>
      <w:r w:rsidRPr="00A25228">
        <w:rPr>
          <w:rStyle w:val="StyleUnderline"/>
        </w:rPr>
        <w:t xml:space="preserve">In some cases, </w:t>
      </w:r>
      <w:r w:rsidRPr="0098439C">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57A20897" w14:textId="77777777" w:rsidR="004B1769" w:rsidRPr="00A25228" w:rsidRDefault="004B1769" w:rsidP="004B1769">
      <w:pPr>
        <w:rPr>
          <w:sz w:val="16"/>
        </w:rPr>
      </w:pPr>
      <w:r w:rsidRPr="00A25228">
        <w:rPr>
          <w:sz w:val="16"/>
        </w:rPr>
        <w:t xml:space="preserve">But </w:t>
      </w:r>
      <w:r w:rsidRPr="0098439C">
        <w:rPr>
          <w:rStyle w:val="StyleUnderline"/>
          <w:highlight w:val="cyan"/>
        </w:rPr>
        <w:t>transitioning</w:t>
      </w:r>
      <w:r w:rsidRPr="00A25228">
        <w:rPr>
          <w:rStyle w:val="StyleUnderline"/>
        </w:rPr>
        <w:t xml:space="preserve"> to clean energy will </w:t>
      </w:r>
      <w:r w:rsidRPr="0098439C">
        <w:rPr>
          <w:rStyle w:val="StyleUnderline"/>
          <w:highlight w:val="cyan"/>
        </w:rPr>
        <w:t>mean we no longer have to</w:t>
      </w:r>
      <w:r w:rsidRPr="00A25228">
        <w:rPr>
          <w:rStyle w:val="StyleUnderline"/>
        </w:rPr>
        <w:t xml:space="preserve"> mine and </w:t>
      </w:r>
      <w:r w:rsidRPr="0098439C">
        <w:rPr>
          <w:rStyle w:val="StyleUnderline"/>
          <w:highlight w:val="cyan"/>
        </w:rPr>
        <w:t xml:space="preserve">extract </w:t>
      </w:r>
      <w:r w:rsidRPr="0098439C">
        <w:rPr>
          <w:rStyle w:val="Emphasis"/>
          <w:highlight w:val="cyan"/>
        </w:rPr>
        <w:t>vast quantities of fossil fuels</w:t>
      </w:r>
      <w:r w:rsidRPr="00A25228">
        <w:rPr>
          <w:rStyle w:val="StyleUnderline"/>
        </w:rPr>
        <w:t xml:space="preserve"> each year</w:t>
      </w:r>
      <w:r w:rsidRPr="00A25228">
        <w:rPr>
          <w:sz w:val="16"/>
        </w:rPr>
        <w:t xml:space="preserve">. A </w:t>
      </w:r>
      <w:r w:rsidRPr="0098439C">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98439C">
        <w:rPr>
          <w:rStyle w:val="StyleUnderline"/>
          <w:highlight w:val="cyan"/>
        </w:rPr>
        <w:t xml:space="preserve">save </w:t>
      </w:r>
      <w:r w:rsidRPr="0098439C">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98439C">
        <w:rPr>
          <w:rStyle w:val="StyleUnderline"/>
          <w:highlight w:val="cyan"/>
        </w:rPr>
        <w:t>and</w:t>
      </w:r>
      <w:r w:rsidRPr="00A25228">
        <w:rPr>
          <w:sz w:val="16"/>
        </w:rPr>
        <w:t xml:space="preserve">, </w:t>
      </w:r>
      <w:r w:rsidRPr="0098439C">
        <w:rPr>
          <w:rStyle w:val="Emphasis"/>
          <w:highlight w:val="cyan"/>
        </w:rPr>
        <w:t>importantly</w:t>
      </w:r>
      <w:r w:rsidRPr="00A25228">
        <w:rPr>
          <w:sz w:val="16"/>
        </w:rPr>
        <w:t xml:space="preserve">, </w:t>
      </w:r>
      <w:r w:rsidRPr="00A25228">
        <w:rPr>
          <w:rStyle w:val="StyleUnderline"/>
        </w:rPr>
        <w:t xml:space="preserve">it will </w:t>
      </w:r>
      <w:r w:rsidRPr="0098439C">
        <w:rPr>
          <w:rStyle w:val="Emphasis"/>
          <w:highlight w:val="cyan"/>
        </w:rPr>
        <w:t>reduce</w:t>
      </w:r>
      <w:r w:rsidRPr="00A25228">
        <w:rPr>
          <w:rStyle w:val="Emphasis"/>
        </w:rPr>
        <w:t xml:space="preserve"> the </w:t>
      </w:r>
      <w:r w:rsidRPr="0098439C">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98439C">
        <w:rPr>
          <w:rStyle w:val="StyleUnderline"/>
          <w:highlight w:val="cyan"/>
        </w:rPr>
        <w:t>harmful mining</w:t>
      </w:r>
      <w:r w:rsidRPr="00A25228">
        <w:rPr>
          <w:sz w:val="16"/>
        </w:rPr>
        <w:t xml:space="preserve"> each year.</w:t>
      </w:r>
    </w:p>
    <w:p w14:paraId="7E3078DF" w14:textId="77777777" w:rsidR="004B1769" w:rsidRPr="00A25228" w:rsidRDefault="004B1769" w:rsidP="004B1769">
      <w:pPr>
        <w:rPr>
          <w:sz w:val="16"/>
        </w:rPr>
      </w:pPr>
      <w:r w:rsidRPr="00A25228">
        <w:rPr>
          <w:sz w:val="16"/>
        </w:rPr>
        <w:t xml:space="preserve">In 2020, 7 million tons of minerals were mined globally for low-carbon energy, according to the International Energy Agency (IEA). (These are often referred to as “transition minerals.”) </w:t>
      </w:r>
      <w:proofErr w:type="gramStart"/>
      <w:r w:rsidRPr="00A25228">
        <w:rPr>
          <w:sz w:val="16"/>
        </w:rPr>
        <w:t>In order to</w:t>
      </w:r>
      <w:proofErr w:type="gramEnd"/>
      <w:r w:rsidRPr="00A25228">
        <w:rPr>
          <w:sz w:val="16"/>
        </w:rPr>
        <w:t xml:space="preserve"> limit warming to 2 degrees celsius, we’ll need to scale up that production to about 28 million tons per year.</w:t>
      </w:r>
    </w:p>
    <w:p w14:paraId="2499F20F" w14:textId="77777777" w:rsidR="004B1769" w:rsidRPr="00A25228" w:rsidRDefault="004B1769" w:rsidP="004B1769">
      <w:pPr>
        <w:rPr>
          <w:sz w:val="16"/>
        </w:rPr>
      </w:pPr>
      <w:r w:rsidRPr="00A25228">
        <w:rPr>
          <w:sz w:val="16"/>
        </w:rPr>
        <w:t>That’s a lot of transition minerals. But how does it compare to the mining and extraction of today’s fossil fuel economy?</w:t>
      </w:r>
    </w:p>
    <w:p w14:paraId="40E7E46B" w14:textId="77777777" w:rsidR="004B1769" w:rsidRPr="00A25228" w:rsidRDefault="004B1769" w:rsidP="004B1769">
      <w:pPr>
        <w:rPr>
          <w:sz w:val="16"/>
        </w:rPr>
      </w:pPr>
      <w:r w:rsidRPr="0098439C">
        <w:rPr>
          <w:rStyle w:val="Emphasis"/>
          <w:highlight w:val="cyan"/>
        </w:rPr>
        <w:t>Every year</w:t>
      </w:r>
      <w:r w:rsidRPr="00A25228">
        <w:rPr>
          <w:sz w:val="16"/>
        </w:rPr>
        <w:t xml:space="preserve">, about </w:t>
      </w:r>
      <w:r w:rsidRPr="0098439C">
        <w:rPr>
          <w:rStyle w:val="Emphasis"/>
          <w:highlight w:val="cyan"/>
        </w:rPr>
        <w:t>15 billion tons</w:t>
      </w:r>
      <w:r w:rsidRPr="0098439C">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98439C">
        <w:rPr>
          <w:rStyle w:val="Emphasis"/>
          <w:highlight w:val="cyan"/>
        </w:rPr>
        <w:t>535 times</w:t>
      </w:r>
      <w:r w:rsidRPr="00A25228">
        <w:rPr>
          <w:sz w:val="16"/>
        </w:rPr>
        <w:t xml:space="preserve"> </w:t>
      </w:r>
      <w:r w:rsidRPr="0098439C">
        <w:rPr>
          <w:rStyle w:val="StyleUnderline"/>
          <w:highlight w:val="cyan"/>
        </w:rPr>
        <w:t>more</w:t>
      </w:r>
      <w:r w:rsidRPr="00A25228">
        <w:rPr>
          <w:rStyle w:val="StyleUnderline"/>
        </w:rPr>
        <w:t xml:space="preserve"> mining </w:t>
      </w:r>
      <w:r w:rsidRPr="0098439C">
        <w:rPr>
          <w:rStyle w:val="StyleUnderline"/>
          <w:highlight w:val="cyan"/>
        </w:rPr>
        <w:t xml:space="preserve">than </w:t>
      </w:r>
      <w:r w:rsidRPr="005C6A70">
        <w:rPr>
          <w:rStyle w:val="StyleUnderline"/>
        </w:rPr>
        <w:t xml:space="preserve">a </w:t>
      </w:r>
      <w:r w:rsidRPr="0098439C">
        <w:rPr>
          <w:rStyle w:val="StyleUnderline"/>
          <w:highlight w:val="cyan"/>
        </w:rPr>
        <w:t>clean</w:t>
      </w:r>
      <w:r w:rsidRPr="00A25228">
        <w:rPr>
          <w:rStyle w:val="StyleUnderline"/>
        </w:rPr>
        <w:t xml:space="preserve"> </w:t>
      </w:r>
      <w:r w:rsidRPr="0098439C">
        <w:rPr>
          <w:rStyle w:val="StyleUnderline"/>
          <w:highlight w:val="cyan"/>
        </w:rPr>
        <w:t>energy</w:t>
      </w:r>
      <w:r w:rsidRPr="00A25228">
        <w:rPr>
          <w:rStyle w:val="StyleUnderline"/>
        </w:rPr>
        <w:t xml:space="preserve"> economy </w:t>
      </w:r>
      <w:r w:rsidRPr="0098439C">
        <w:rPr>
          <w:rStyle w:val="StyleUnderline"/>
          <w:highlight w:val="cyan"/>
        </w:rPr>
        <w:t>would require</w:t>
      </w:r>
      <w:r w:rsidRPr="00A25228">
        <w:rPr>
          <w:sz w:val="16"/>
        </w:rPr>
        <w:t xml:space="preserve"> in 2040.</w:t>
      </w:r>
    </w:p>
    <w:p w14:paraId="1B32B4D7" w14:textId="77777777" w:rsidR="004B1769" w:rsidRPr="00A25228" w:rsidRDefault="004B1769" w:rsidP="004B1769">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03505907" w14:textId="77777777" w:rsidR="004B1769" w:rsidRPr="00A25228" w:rsidRDefault="004B1769" w:rsidP="004B1769">
      <w:pPr>
        <w:rPr>
          <w:sz w:val="16"/>
        </w:rPr>
      </w:pPr>
      <w:r w:rsidRPr="00A25228">
        <w:rPr>
          <w:rStyle w:val="StyleUnderline"/>
        </w:rPr>
        <w:t xml:space="preserve">A </w:t>
      </w:r>
      <w:r w:rsidRPr="0098439C">
        <w:rPr>
          <w:rStyle w:val="StyleUnderline"/>
          <w:highlight w:val="cyan"/>
        </w:rPr>
        <w:t>clean energy</w:t>
      </w:r>
      <w:r w:rsidRPr="00A25228">
        <w:rPr>
          <w:rStyle w:val="StyleUnderline"/>
        </w:rPr>
        <w:t xml:space="preserve"> economy just </w:t>
      </w:r>
      <w:r w:rsidRPr="0098439C">
        <w:rPr>
          <w:rStyle w:val="StyleUnderline"/>
          <w:highlight w:val="cyan"/>
        </w:rPr>
        <w:t xml:space="preserve">requires </w:t>
      </w:r>
      <w:r w:rsidRPr="0098439C">
        <w:rPr>
          <w:rStyle w:val="Emphasis"/>
          <w:highlight w:val="cyan"/>
        </w:rPr>
        <w:t>much less energy</w:t>
      </w:r>
      <w:r w:rsidRPr="00A25228">
        <w:rPr>
          <w:sz w:val="16"/>
        </w:rPr>
        <w:t xml:space="preserve"> than a fossil fuel economy.</w:t>
      </w:r>
    </w:p>
    <w:p w14:paraId="3C740882" w14:textId="77777777" w:rsidR="004B1769" w:rsidRPr="00A25228" w:rsidRDefault="004B1769" w:rsidP="004B1769">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w:t>
      </w:r>
      <w:proofErr w:type="gramStart"/>
      <w:r w:rsidRPr="00A25228">
        <w:rPr>
          <w:sz w:val="16"/>
        </w:rPr>
        <w:t>In order to</w:t>
      </w:r>
      <w:proofErr w:type="gramEnd"/>
      <w:r w:rsidRPr="00A25228">
        <w:rPr>
          <w:sz w:val="16"/>
        </w:rPr>
        <w:t xml:space="preserve"> generate power, </w:t>
      </w:r>
      <w:r w:rsidRPr="00A25228">
        <w:rPr>
          <w:rStyle w:val="StyleUnderline"/>
        </w:rPr>
        <w:t>you need to burn coal or gas every day</w:t>
      </w:r>
      <w:r w:rsidRPr="00A25228">
        <w:rPr>
          <w:sz w:val="16"/>
        </w:rPr>
        <w:t xml:space="preserve"> for decades. </w:t>
      </w:r>
      <w:r w:rsidRPr="0098439C">
        <w:rPr>
          <w:rStyle w:val="StyleUnderline"/>
          <w:highlight w:val="cyan"/>
        </w:rPr>
        <w:t>Wind and solar</w:t>
      </w:r>
      <w:r w:rsidRPr="00A25228">
        <w:rPr>
          <w:rStyle w:val="StyleUnderline"/>
        </w:rPr>
        <w:t xml:space="preserve"> projects</w:t>
      </w:r>
      <w:r w:rsidRPr="00A25228">
        <w:rPr>
          <w:sz w:val="16"/>
        </w:rPr>
        <w:t xml:space="preserve">, by comparison, </w:t>
      </w:r>
      <w:r w:rsidRPr="0098439C">
        <w:rPr>
          <w:rStyle w:val="StyleUnderline"/>
          <w:highlight w:val="cyan"/>
        </w:rPr>
        <w:t>don’t require</w:t>
      </w:r>
      <w:r w:rsidRPr="00A25228">
        <w:rPr>
          <w:rStyle w:val="StyleUnderline"/>
        </w:rPr>
        <w:t xml:space="preserve"> </w:t>
      </w:r>
      <w:r w:rsidRPr="00A25228">
        <w:rPr>
          <w:rStyle w:val="Emphasis"/>
        </w:rPr>
        <w:t xml:space="preserve">any </w:t>
      </w:r>
      <w:r w:rsidRPr="0098439C">
        <w:rPr>
          <w:rStyle w:val="Emphasis"/>
          <w:highlight w:val="cyan"/>
        </w:rPr>
        <w:t>ongoing</w:t>
      </w:r>
      <w:r w:rsidRPr="00A25228">
        <w:rPr>
          <w:rStyle w:val="Emphasis"/>
        </w:rPr>
        <w:t xml:space="preserve"> fuel </w:t>
      </w:r>
      <w:r w:rsidRPr="0098439C">
        <w:rPr>
          <w:rStyle w:val="Emphasis"/>
          <w:highlight w:val="cyan"/>
        </w:rPr>
        <w:t>input</w:t>
      </w:r>
      <w:r w:rsidRPr="00A25228">
        <w:rPr>
          <w:sz w:val="16"/>
        </w:rPr>
        <w:t>.</w:t>
      </w:r>
    </w:p>
    <w:p w14:paraId="4A772816" w14:textId="77777777" w:rsidR="004B1769" w:rsidRPr="00A25228" w:rsidRDefault="004B1769" w:rsidP="004B1769">
      <w:pPr>
        <w:rPr>
          <w:sz w:val="16"/>
        </w:rPr>
      </w:pPr>
      <w:r w:rsidRPr="00A25228">
        <w:rPr>
          <w:sz w:val="16"/>
        </w:rPr>
        <w:t xml:space="preserve">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w:t>
      </w:r>
      <w:proofErr w:type="gramStart"/>
      <w:r w:rsidRPr="00A25228">
        <w:rPr>
          <w:sz w:val="16"/>
        </w:rPr>
        <w:t>environmentally-friendly</w:t>
      </w:r>
      <w:proofErr w:type="gramEnd"/>
      <w:r w:rsidRPr="00A25228">
        <w:rPr>
          <w:sz w:val="16"/>
        </w:rPr>
        <w:t xml:space="preserve"> ways.</w:t>
      </w:r>
    </w:p>
    <w:p w14:paraId="5849C210" w14:textId="77777777" w:rsidR="004B1769" w:rsidRPr="00BF2896" w:rsidRDefault="004B1769" w:rsidP="004B1769">
      <w:r w:rsidRPr="00A25228">
        <w:rPr>
          <w:sz w:val="16"/>
        </w:rPr>
        <w:t xml:space="preserve">But make no mistake: </w:t>
      </w:r>
      <w:r w:rsidRPr="0098439C">
        <w:rPr>
          <w:rStyle w:val="StyleUnderline"/>
          <w:highlight w:val="cyan"/>
        </w:rPr>
        <w:t>transitioning</w:t>
      </w:r>
      <w:r w:rsidRPr="00A25228">
        <w:rPr>
          <w:rStyle w:val="StyleUnderline"/>
        </w:rPr>
        <w:t xml:space="preserve"> away from fossil fuels </w:t>
      </w:r>
      <w:r w:rsidRPr="0098439C">
        <w:rPr>
          <w:rStyle w:val="StyleUnderline"/>
          <w:highlight w:val="cyan"/>
        </w:rPr>
        <w:t xml:space="preserve">is one of the </w:t>
      </w:r>
      <w:r w:rsidRPr="0098439C">
        <w:rPr>
          <w:rStyle w:val="Emphasis"/>
          <w:highlight w:val="cyan"/>
        </w:rPr>
        <w:t>most effective ways</w:t>
      </w:r>
      <w:r w:rsidRPr="0098439C">
        <w:rPr>
          <w:rStyle w:val="StyleUnderline"/>
          <w:highlight w:val="cyan"/>
        </w:rPr>
        <w:t xml:space="preserve"> to protect</w:t>
      </w:r>
      <w:r w:rsidRPr="00A25228">
        <w:rPr>
          <w:sz w:val="16"/>
        </w:rPr>
        <w:t xml:space="preserve"> both the environment and </w:t>
      </w:r>
      <w:r w:rsidRPr="00A25228">
        <w:rPr>
          <w:rStyle w:val="Emphasis"/>
        </w:rPr>
        <w:t xml:space="preserve">the </w:t>
      </w:r>
      <w:r w:rsidRPr="0098439C">
        <w:rPr>
          <w:rStyle w:val="Emphasis"/>
          <w:highlight w:val="cyan"/>
        </w:rPr>
        <w:t>most marginalized communities</w:t>
      </w:r>
      <w:r w:rsidRPr="00A25228">
        <w:rPr>
          <w:rStyle w:val="StyleUnderline"/>
        </w:rPr>
        <w:t xml:space="preserve"> in the world</w:t>
      </w:r>
      <w:r w:rsidRPr="00A25228">
        <w:rPr>
          <w:sz w:val="16"/>
        </w:rPr>
        <w:t>.</w:t>
      </w:r>
    </w:p>
    <w:p w14:paraId="0313C07D" w14:textId="77777777" w:rsidR="004B1769" w:rsidRPr="00DA4986" w:rsidRDefault="004B1769" w:rsidP="004B1769">
      <w:pPr>
        <w:pStyle w:val="Heading3"/>
        <w:rPr>
          <w:rFonts w:cs="Arial"/>
        </w:rPr>
      </w:pPr>
      <w:r w:rsidRPr="00DA4986">
        <w:rPr>
          <w:rFonts w:cs="Arial"/>
        </w:rPr>
        <w:t>Perm – Collaborative Struggle</w:t>
      </w:r>
    </w:p>
    <w:p w14:paraId="51642A4D" w14:textId="77777777" w:rsidR="004B1769" w:rsidRPr="00DA4986" w:rsidRDefault="004B1769" w:rsidP="004B1769">
      <w:pPr>
        <w:pStyle w:val="Heading3"/>
        <w:rPr>
          <w:rFonts w:cs="Arial"/>
        </w:rPr>
      </w:pPr>
      <w:r w:rsidRPr="00DA4986">
        <w:rPr>
          <w:rFonts w:cs="Arial"/>
        </w:rPr>
        <w:t>AT: Decolonization</w:t>
      </w:r>
    </w:p>
    <w:p w14:paraId="0AB7B4CD" w14:textId="77777777" w:rsidR="004B1769" w:rsidRPr="00DA4986" w:rsidRDefault="004B1769" w:rsidP="004B1769">
      <w:pPr>
        <w:pStyle w:val="Heading4"/>
        <w:rPr>
          <w:rFonts w:cs="Arial"/>
        </w:rPr>
      </w:pPr>
      <w:r w:rsidRPr="00DA4986">
        <w:rPr>
          <w:rFonts w:cs="Arial"/>
        </w:rPr>
        <w:t>“Decolonization” is too vague to be meaningful-structural claims of set col make it impossible.</w:t>
      </w:r>
    </w:p>
    <w:p w14:paraId="449FD45F" w14:textId="77777777" w:rsidR="004B1769" w:rsidRPr="00DA4986" w:rsidRDefault="004B1769" w:rsidP="004B1769">
      <w:pPr>
        <w:rPr>
          <w:rStyle w:val="Style13ptBold"/>
        </w:rPr>
      </w:pPr>
      <w:r w:rsidRPr="00DA4986">
        <w:rPr>
          <w:rStyle w:val="Style13ptBold"/>
        </w:rPr>
        <w:t>Bashir and Busbridge, PhDs, 19</w:t>
      </w:r>
    </w:p>
    <w:p w14:paraId="42A30752" w14:textId="77777777" w:rsidR="004B1769" w:rsidRPr="00DA4986" w:rsidRDefault="004B1769" w:rsidP="004B1769">
      <w:pPr>
        <w:rPr>
          <w:sz w:val="16"/>
        </w:rPr>
      </w:pPr>
      <w:r w:rsidRPr="00DA4986">
        <w:rPr>
          <w:sz w:val="16"/>
        </w:rPr>
        <w:t xml:space="preserve">(Bashir, Sociology@OpenUniv., Rachel, ACUs National School of </w:t>
      </w:r>
      <w:proofErr w:type="gramStart"/>
      <w:r w:rsidRPr="00DA4986">
        <w:rPr>
          <w:sz w:val="16"/>
        </w:rPr>
        <w:t>Arts ,</w:t>
      </w:r>
      <w:proofErr w:type="gramEnd"/>
      <w:r w:rsidRPr="00DA4986">
        <w:rPr>
          <w:sz w:val="16"/>
        </w:rPr>
        <w:t xml:space="preserve"> The Politics of Decolonisation and Bi-Nationalism in Israel/Palestine Vol 67, Issue 2, 2019)</w:t>
      </w:r>
    </w:p>
    <w:p w14:paraId="035CA138" w14:textId="77777777" w:rsidR="004B1769" w:rsidRDefault="004B1769" w:rsidP="004B1769">
      <w:pPr>
        <w:rPr>
          <w:sz w:val="16"/>
          <w:highlight w:val="yellow"/>
        </w:rPr>
      </w:pPr>
      <w:r w:rsidRPr="00DA4986">
        <w:rPr>
          <w:sz w:val="16"/>
        </w:rPr>
        <w:t xml:space="preserve">For all its attached redemptive prospects and radical possibilities, </w:t>
      </w:r>
      <w:r w:rsidRPr="00DA4986">
        <w:rPr>
          <w:rStyle w:val="StyleUnderline"/>
        </w:rPr>
        <w:t xml:space="preserve">it is important to emphasise that the meanings of </w:t>
      </w:r>
      <w:r w:rsidRPr="008336B7">
        <w:rPr>
          <w:rStyle w:val="StyleUnderline"/>
          <w:highlight w:val="yellow"/>
        </w:rPr>
        <w:t>decolonisation</w:t>
      </w:r>
      <w:r w:rsidRPr="00DA4986">
        <w:rPr>
          <w:sz w:val="16"/>
        </w:rPr>
        <w:t xml:space="preserve"> as both a concept and political project </w:t>
      </w:r>
      <w:r w:rsidRPr="008336B7">
        <w:rPr>
          <w:rStyle w:val="Emphasis"/>
          <w:highlight w:val="yellow"/>
        </w:rPr>
        <w:t>are</w:t>
      </w:r>
      <w:r w:rsidRPr="00DA4986">
        <w:rPr>
          <w:rStyle w:val="Emphasis"/>
        </w:rPr>
        <w:t xml:space="preserve"> not just broad, but also </w:t>
      </w:r>
      <w:r w:rsidRPr="008336B7">
        <w:rPr>
          <w:rStyle w:val="Emphasis"/>
          <w:highlight w:val="yellow"/>
        </w:rPr>
        <w:t>multifaceted and highly contested</w:t>
      </w:r>
      <w:r w:rsidRPr="008336B7">
        <w:rPr>
          <w:sz w:val="16"/>
          <w:highlight w:val="yellow"/>
        </w:rPr>
        <w:t xml:space="preserve">. </w:t>
      </w:r>
      <w:r w:rsidRPr="008336B7">
        <w:rPr>
          <w:rStyle w:val="StyleUnderline"/>
          <w:highlight w:val="yellow"/>
        </w:rPr>
        <w:t>What it means to ‘undo’ colonialism is</w:t>
      </w:r>
      <w:r w:rsidRPr="00DA4986">
        <w:rPr>
          <w:rStyle w:val="StyleUnderline"/>
        </w:rPr>
        <w:t xml:space="preserve"> deeply </w:t>
      </w:r>
      <w:r w:rsidRPr="008336B7">
        <w:rPr>
          <w:rStyle w:val="StyleUnderline"/>
          <w:highlight w:val="yellow"/>
        </w:rPr>
        <w:t>contextual</w:t>
      </w:r>
      <w:r w:rsidRPr="00DA4986">
        <w:rPr>
          <w:sz w:val="16"/>
        </w:rPr>
        <w:t xml:space="preserve"> (Jansen and Osterhammel, 2017). </w:t>
      </w:r>
      <w:r w:rsidRPr="008336B7">
        <w:rPr>
          <w:rStyle w:val="StyleUnderline"/>
          <w:highlight w:val="yellow"/>
        </w:rPr>
        <w:t>While</w:t>
      </w:r>
      <w:r w:rsidRPr="00DA4986">
        <w:rPr>
          <w:rStyle w:val="StyleUnderline"/>
        </w:rPr>
        <w:t xml:space="preserve"> </w:t>
      </w:r>
      <w:r w:rsidRPr="008336B7">
        <w:rPr>
          <w:rStyle w:val="StyleUnderline"/>
          <w:highlight w:val="yellow"/>
        </w:rPr>
        <w:t>colonialism can be defined broadly</w:t>
      </w:r>
      <w:r w:rsidRPr="00DA4986">
        <w:rPr>
          <w:sz w:val="16"/>
        </w:rPr>
        <w:t xml:space="preserve"> as a relationship of domination in which a people or territory is politically and economically subjugated to a foreign power, </w:t>
      </w:r>
      <w:r w:rsidRPr="008336B7">
        <w:rPr>
          <w:rStyle w:val="Emphasis"/>
          <w:highlight w:val="yellow"/>
        </w:rPr>
        <w:t>actual colonial situations vary quite widely</w:t>
      </w:r>
      <w:r w:rsidRPr="00DA4986">
        <w:rPr>
          <w:sz w:val="16"/>
        </w:rPr>
        <w:t xml:space="preserve"> from each other, depending on, among others, the particular political systems instituted to maintain control, types of exploitation and expropriation (resources, labour, plantations), relationship between the metropole and colony and patterns of migration they compel (slavery, settlement). Projects of decolonisation accordingly take different forms even if they are united by the common concern of ending or overturning structures of domination instituted by colonialism, which has historically taken place mostly through the withdrawal of colonial powers and achievement of independence for the colonised (Buchanan, 2010). Decolonisation speaks to the aspiration of self-rule and its concomitant critique of colonialism as the ‘systematic denial of freedom’ (Kohn and McBride, 2011: 6) and is therefore entangled with a variety of concerns, namely, self-determination, justice, equality, freedom and solidarity against colonialism and imperialism</w:t>
      </w:r>
      <w:r w:rsidRPr="00DA4986">
        <w:rPr>
          <w:rStyle w:val="StyleUnderline"/>
        </w:rPr>
        <w:t>. As</w:t>
      </w:r>
      <w:r w:rsidRPr="00DA4986">
        <w:rPr>
          <w:sz w:val="16"/>
        </w:rPr>
        <w:t xml:space="preserve"> Todd </w:t>
      </w:r>
      <w:r w:rsidRPr="00DA4986">
        <w:rPr>
          <w:rStyle w:val="StyleUnderline"/>
        </w:rPr>
        <w:t>Shepherd</w:t>
      </w:r>
      <w:r w:rsidRPr="00DA4986">
        <w:rPr>
          <w:sz w:val="16"/>
        </w:rPr>
        <w:t xml:space="preserve"> (2006: 3–4) </w:t>
      </w:r>
      <w:r w:rsidRPr="00DA4986">
        <w:rPr>
          <w:rStyle w:val="StyleUnderline"/>
        </w:rPr>
        <w:t>writes, decolonisation is ‘a much wider concept than</w:t>
      </w:r>
      <w:r w:rsidRPr="00DA4986">
        <w:rPr>
          <w:sz w:val="16"/>
        </w:rPr>
        <w:t xml:space="preserve"> the mere “winning of I</w:t>
      </w:r>
      <w:r w:rsidRPr="00DA4986">
        <w:rPr>
          <w:rStyle w:val="StyleUnderline"/>
        </w:rPr>
        <w:t>ndependence</w:t>
      </w:r>
      <w:r w:rsidRPr="00DA4986">
        <w:rPr>
          <w:sz w:val="16"/>
        </w:rPr>
        <w:t xml:space="preserve">” or “transfer of </w:t>
      </w:r>
      <w:proofErr w:type="gramStart"/>
      <w:r w:rsidRPr="00DA4986">
        <w:rPr>
          <w:sz w:val="16"/>
        </w:rPr>
        <w:t>power”…</w:t>
      </w:r>
      <w:proofErr w:type="gramEnd"/>
      <w:r w:rsidRPr="00DA4986">
        <w:rPr>
          <w:sz w:val="16"/>
        </w:rPr>
        <w:t xml:space="preserve"> </w:t>
      </w:r>
      <w:r w:rsidRPr="00DA4986">
        <w:rPr>
          <w:rStyle w:val="StyleUnderline"/>
        </w:rPr>
        <w:t xml:space="preserve">It entails the exploration of dreams, the analysis of struggles, compromises, pledges and achievements, and the rethinking of </w:t>
      </w:r>
      <w:proofErr w:type="gramStart"/>
      <w:r w:rsidRPr="00DA4986">
        <w:rPr>
          <w:rStyle w:val="StyleUnderline"/>
        </w:rPr>
        <w:t>fundamentals’</w:t>
      </w:r>
      <w:proofErr w:type="gramEnd"/>
      <w:r w:rsidRPr="00DA4986">
        <w:rPr>
          <w:rStyle w:val="StyleUnderline"/>
        </w:rPr>
        <w:t xml:space="preserve">. </w:t>
      </w:r>
      <w:r w:rsidRPr="00DA4986">
        <w:rPr>
          <w:sz w:val="16"/>
        </w:rPr>
        <w:t xml:space="preserve">Traditional literature on decolonisation approached it in terms of the historical process that began in the immediate aftermath of World War Two in which countries previously under (typically European) foreign rule transitioned to constitutional independence (Buchanan, 2010). Decolonisation was one of the most significant developments of the twentieth century, radically changing the face of the globe from one in which a small number of empires had dominion over some 80% of the earth’s surface to an international order based on the principle of self-determination and made up of ostensibly independent states (Hopkins, 2008). Scholars in this tradition have done much to illuminate the widereaching structural transformations that accompanied decolonisation, including the emergence of anti-colonial and national liberation struggles at the turn of the century, shifts in world economy that made the maintenance of traditional forms of Empire increasingly difficult, the development of a ‘Third World’ political project and the institutionalisation of human and civic rights principles that rendered systems based on ideas of racial and ethnic superiority less viable (Hopkins, 2008: 216). Yet, the focus on transition has been critiqued for its narrowness insofar as it seems to take for granted the meanings of </w:t>
      </w:r>
      <w:proofErr w:type="gramStart"/>
      <w:r w:rsidRPr="00DA4986">
        <w:rPr>
          <w:sz w:val="16"/>
        </w:rPr>
        <w:t>selfdetermination</w:t>
      </w:r>
      <w:proofErr w:type="gramEnd"/>
      <w:r w:rsidRPr="00DA4986">
        <w:rPr>
          <w:sz w:val="16"/>
        </w:rPr>
        <w:t xml:space="preserve"> and temporally restricts decolonisation to the moment of national liberation. Postcolonial scholars, among others, have been at the forefront of this charge, arguing that decolonisation did not produce a postcolonial world per se, but rather one that continues to be shaped in significant ways by the legacies of European colonialism (e.g. Spivak, 1999). As Ella Shohat (1992) has argued, there is no way of turning back from the world colonialism set in play nor did colonial modes of domination end with the formal period of decolonisation. From this broadened perspective, decolonisation is the difficult task of tracing the economic, political, social, cultural, relational and linguistic consequences of colonialism and is therefore also an ongoing imaginative project seeking ‘a new form of consciousness and way of life’ (Pieterse and Parekh, 1995: 3) beyond the coloniality of modern modes of culture, identity and knowledge more generally. While the transitional focus of conventional scholarship is quite </w:t>
      </w:r>
      <w:proofErr w:type="gramStart"/>
      <w:r w:rsidRPr="00DA4986">
        <w:rPr>
          <w:sz w:val="16"/>
        </w:rPr>
        <w:t>illuminating</w:t>
      </w:r>
      <w:proofErr w:type="gramEnd"/>
      <w:r w:rsidRPr="00DA4986">
        <w:rPr>
          <w:sz w:val="16"/>
        </w:rPr>
        <w:t xml:space="preserve"> in the contexts of Africa and Asia, for example, it furthermore excludes a great many decolonisation efforts that have taken place and continue to take place in other regions. This includes countries that remained dependent or only achieved semi-independence as dominions, decolonising projects carried out in territories never formally under colonial rule (the Iranian Revolution, for instance) and – as is particularly important to our discussion here – settler colonies that only partially decolonised, whether by way of loosening ties with the Motherland or achieving independence, but which continue to dominate substantial indigenous populations (Hopkins, 2008). </w:t>
      </w:r>
      <w:r w:rsidRPr="00DA4986">
        <w:rPr>
          <w:rStyle w:val="StyleUnderline"/>
        </w:rPr>
        <w:t xml:space="preserve">There is a </w:t>
      </w:r>
      <w:r w:rsidRPr="00DA4986">
        <w:rPr>
          <w:rStyle w:val="Emphasis"/>
        </w:rPr>
        <w:t>significant lacuna</w:t>
      </w:r>
      <w:r w:rsidRPr="00DA4986">
        <w:rPr>
          <w:sz w:val="16"/>
        </w:rPr>
        <w:t xml:space="preserve"> </w:t>
      </w:r>
      <w:r w:rsidRPr="00DA4986">
        <w:rPr>
          <w:rStyle w:val="StyleUnderline"/>
        </w:rPr>
        <w:t>in</w:t>
      </w:r>
      <w:r w:rsidRPr="00DA4986">
        <w:rPr>
          <w:sz w:val="16"/>
        </w:rPr>
        <w:t xml:space="preserve"> the </w:t>
      </w:r>
      <w:r w:rsidRPr="00DA4986">
        <w:rPr>
          <w:rStyle w:val="StyleUnderline"/>
        </w:rPr>
        <w:t>decolonisation literature when it comes to set</w:t>
      </w:r>
      <w:r w:rsidRPr="00DA4986">
        <w:rPr>
          <w:sz w:val="16"/>
        </w:rPr>
        <w:t xml:space="preserve">tler </w:t>
      </w:r>
      <w:r w:rsidRPr="00DA4986">
        <w:rPr>
          <w:rStyle w:val="StyleUnderline"/>
        </w:rPr>
        <w:t>col</w:t>
      </w:r>
      <w:r w:rsidRPr="00DA4986">
        <w:rPr>
          <w:sz w:val="16"/>
        </w:rPr>
        <w:t xml:space="preserve">onialism, which has increasingly been recognised as </w:t>
      </w:r>
      <w:r w:rsidRPr="00DA4986">
        <w:rPr>
          <w:rStyle w:val="StyleUnderline"/>
        </w:rPr>
        <w:t>a distinct form</w:t>
      </w:r>
      <w:r w:rsidRPr="00DA4986">
        <w:rPr>
          <w:sz w:val="16"/>
        </w:rPr>
        <w:t xml:space="preserve"> of colonial practice – and one </w:t>
      </w:r>
      <w:r w:rsidRPr="00DA4986">
        <w:rPr>
          <w:rStyle w:val="Emphasis"/>
        </w:rPr>
        <w:t>that is particularly resistant to decolonisation</w:t>
      </w:r>
      <w:r w:rsidRPr="00DA4986">
        <w:rPr>
          <w:sz w:val="16"/>
        </w:rPr>
        <w:t xml:space="preserve"> (Veracini, 2007). As the transfer of an exogenous population to a territory they intend to claim as their permanent home, settler colonialism establishes quite a different structural relationship to ‘traditional’ forms of colonialism, especially when settler colonial projects succeed in creating a state (Bateman and Pilkington, 2011). Rather than governing native peoples </w:t>
      </w:r>
      <w:proofErr w:type="gramStart"/>
      <w:r w:rsidRPr="00DA4986">
        <w:rPr>
          <w:sz w:val="16"/>
        </w:rPr>
        <w:t>in order to</w:t>
      </w:r>
      <w:proofErr w:type="gramEnd"/>
      <w:r w:rsidRPr="00DA4986">
        <w:rPr>
          <w:sz w:val="16"/>
        </w:rPr>
        <w:t xml:space="preserve"> extract resources for economic gain, settler colonisers instead aim to ‘seize their land and push them beyond an ever-expanding frontier of settlement’ (Elkin and Pedersen, 2005: 2). For Patrick Wolfe (2006), what distinguishes settler colonialism is thus that it is guided by a logic of elimination as opposed to a logic of exploitation, wherein the eradication of indigenous presence is essential to the success of settler colonial projects. </w:t>
      </w:r>
      <w:r w:rsidRPr="008336B7">
        <w:rPr>
          <w:rStyle w:val="StyleUnderline"/>
          <w:highlight w:val="yellow"/>
        </w:rPr>
        <w:t>The primacy of national liberation</w:t>
      </w:r>
      <w:r w:rsidRPr="00DA4986">
        <w:rPr>
          <w:sz w:val="16"/>
        </w:rPr>
        <w:t xml:space="preserve"> in </w:t>
      </w:r>
      <w:proofErr w:type="gramStart"/>
      <w:r w:rsidRPr="00DA4986">
        <w:rPr>
          <w:sz w:val="16"/>
        </w:rPr>
        <w:t>the literature</w:t>
      </w:r>
      <w:proofErr w:type="gramEnd"/>
      <w:r w:rsidRPr="00DA4986">
        <w:rPr>
          <w:sz w:val="16"/>
        </w:rPr>
        <w:t xml:space="preserve"> </w:t>
      </w:r>
      <w:r w:rsidRPr="008336B7">
        <w:rPr>
          <w:rStyle w:val="StyleUnderline"/>
          <w:highlight w:val="yellow"/>
        </w:rPr>
        <w:t>makes it especially difficult to</w:t>
      </w:r>
      <w:r w:rsidRPr="00DA4986">
        <w:rPr>
          <w:sz w:val="16"/>
        </w:rPr>
        <w:t xml:space="preserve"> imagine, let alone </w:t>
      </w:r>
      <w:r w:rsidRPr="008336B7">
        <w:rPr>
          <w:rStyle w:val="Emphasis"/>
          <w:highlight w:val="yellow"/>
        </w:rPr>
        <w:t>theorise, decolonisation</w:t>
      </w:r>
      <w:r w:rsidRPr="008336B7">
        <w:rPr>
          <w:sz w:val="16"/>
          <w:highlight w:val="yellow"/>
        </w:rPr>
        <w:t xml:space="preserve"> </w:t>
      </w:r>
      <w:r w:rsidRPr="008336B7">
        <w:rPr>
          <w:rStyle w:val="StyleUnderline"/>
          <w:highlight w:val="yellow"/>
        </w:rPr>
        <w:t>in</w:t>
      </w:r>
      <w:r w:rsidRPr="00DA4986">
        <w:rPr>
          <w:sz w:val="16"/>
        </w:rPr>
        <w:t xml:space="preserve"> many </w:t>
      </w:r>
      <w:proofErr w:type="gramStart"/>
      <w:r w:rsidRPr="008336B7">
        <w:rPr>
          <w:rStyle w:val="StyleUnderline"/>
          <w:highlight w:val="yellow"/>
        </w:rPr>
        <w:t>settler</w:t>
      </w:r>
      <w:proofErr w:type="gramEnd"/>
      <w:r w:rsidRPr="00DA4986">
        <w:rPr>
          <w:sz w:val="16"/>
        </w:rPr>
        <w:t xml:space="preserve"> colonial </w:t>
      </w:r>
      <w:r w:rsidRPr="00DA4986">
        <w:rPr>
          <w:rStyle w:val="StyleUnderline"/>
        </w:rPr>
        <w:t>contexts.</w:t>
      </w:r>
      <w:r w:rsidRPr="00DA4986">
        <w:rPr>
          <w:sz w:val="16"/>
        </w:rPr>
        <w:t xml:space="preserve"> Whereas </w:t>
      </w:r>
      <w:r w:rsidRPr="00DA4986">
        <w:rPr>
          <w:rStyle w:val="StyleUnderline"/>
        </w:rPr>
        <w:t xml:space="preserve">some </w:t>
      </w:r>
      <w:r w:rsidRPr="008336B7">
        <w:rPr>
          <w:rStyle w:val="StyleUnderline"/>
          <w:highlight w:val="yellow"/>
        </w:rPr>
        <w:t>settler</w:t>
      </w:r>
      <w:r w:rsidRPr="00DA4986">
        <w:rPr>
          <w:sz w:val="16"/>
        </w:rPr>
        <w:t xml:space="preserve"> colonial </w:t>
      </w:r>
      <w:r w:rsidRPr="008336B7">
        <w:rPr>
          <w:rStyle w:val="StyleUnderline"/>
          <w:highlight w:val="yellow"/>
        </w:rPr>
        <w:t>project</w:t>
      </w:r>
      <w:r w:rsidRPr="008336B7">
        <w:rPr>
          <w:sz w:val="16"/>
          <w:highlight w:val="yellow"/>
        </w:rPr>
        <w:t>s</w:t>
      </w:r>
      <w:r w:rsidRPr="00DA4986">
        <w:rPr>
          <w:sz w:val="16"/>
        </w:rPr>
        <w:t xml:space="preserve"> like Algeria and Kenya </w:t>
      </w:r>
      <w:r w:rsidRPr="008336B7">
        <w:rPr>
          <w:rStyle w:val="StyleUnderline"/>
          <w:highlight w:val="yellow"/>
        </w:rPr>
        <w:t>saw decolonisation by</w:t>
      </w:r>
      <w:r w:rsidRPr="00DA4986">
        <w:rPr>
          <w:sz w:val="16"/>
        </w:rPr>
        <w:t xml:space="preserve"> way of a </w:t>
      </w:r>
      <w:r w:rsidRPr="008336B7">
        <w:rPr>
          <w:rStyle w:val="Emphasis"/>
          <w:highlight w:val="yellow"/>
        </w:rPr>
        <w:t>mass settler exodus</w:t>
      </w:r>
      <w:r w:rsidRPr="00DA4986">
        <w:rPr>
          <w:sz w:val="16"/>
        </w:rPr>
        <w:t xml:space="preserve">, paving the way for the establishment of independent states, the </w:t>
      </w:r>
      <w:r w:rsidRPr="00DA4986">
        <w:rPr>
          <w:rStyle w:val="StyleUnderline"/>
        </w:rPr>
        <w:t>more successful ones established permanent settler communities</w:t>
      </w:r>
      <w:r w:rsidRPr="00DA4986">
        <w:rPr>
          <w:sz w:val="16"/>
        </w:rPr>
        <w:t xml:space="preserve"> (e.g. Northern Ireland) </w:t>
      </w:r>
      <w:r w:rsidRPr="00DA4986">
        <w:rPr>
          <w:rStyle w:val="StyleUnderline"/>
        </w:rPr>
        <w:t>or their own states</w:t>
      </w:r>
      <w:r w:rsidRPr="00DA4986">
        <w:rPr>
          <w:sz w:val="16"/>
        </w:rPr>
        <w:t xml:space="preserve"> (e.g. Australia, Canada, the United States) which preclude a simple transition from foreign rule to sovereign status (Veracini, 2007). This is of course not to say that self-determination of the type aspired to by anti-colonial national movements was an easy or even necessarily achievable task. As Kohn and McBride (2011) suggest, in pursuing the dream of self-rule, </w:t>
      </w:r>
      <w:r w:rsidRPr="00DA4986">
        <w:rPr>
          <w:rStyle w:val="StyleUnderline"/>
        </w:rPr>
        <w:t>anti-colonial thinkers had to reckon with the difficulties of articulating alternative political foundations that would make for a genuinely self-determining polity,</w:t>
      </w:r>
      <w:r w:rsidRPr="00DA4986">
        <w:rPr>
          <w:sz w:val="16"/>
        </w:rPr>
        <w:t xml:space="preserve"> </w:t>
      </w:r>
      <w:r w:rsidRPr="00DA4986">
        <w:rPr>
          <w:rStyle w:val="Emphasis"/>
        </w:rPr>
        <w:t>an enormous task</w:t>
      </w:r>
      <w:r w:rsidRPr="00DA4986">
        <w:rPr>
          <w:sz w:val="16"/>
        </w:rPr>
        <w:t xml:space="preserve"> </w:t>
      </w:r>
      <w:r w:rsidRPr="00DA4986">
        <w:rPr>
          <w:rStyle w:val="StyleUnderline"/>
        </w:rPr>
        <w:t xml:space="preserve">which demands decolonising of minds as </w:t>
      </w:r>
      <w:proofErr w:type="gramStart"/>
      <w:r w:rsidRPr="00DA4986">
        <w:rPr>
          <w:rStyle w:val="StyleUnderline"/>
        </w:rPr>
        <w:t>much</w:t>
      </w:r>
      <w:proofErr w:type="gramEnd"/>
      <w:r w:rsidRPr="00DA4986">
        <w:rPr>
          <w:rStyle w:val="StyleUnderline"/>
        </w:rPr>
        <w:t xml:space="preserve"> institutions and territory</w:t>
      </w:r>
      <w:r w:rsidRPr="00DA4986">
        <w:rPr>
          <w:sz w:val="16"/>
        </w:rPr>
        <w:t xml:space="preserve"> (see Fanon, 2001[1963]). Decolonisation must pursue a convincing ‘break’ between a colonial past and a postcolonial future ‘through decisive action in the present’; it must also ‘seek to reinterpret the past in such a way that it may help in the present and future struggle for self-rule’ (Kohn and McBride, 2011: 19). While these pursuits are invariably contingent, partial and commonly symbolic, national liberation struggles very often provide the fodder for a reinterpreted past that is robustly </w:t>
      </w:r>
      <w:proofErr w:type="gramStart"/>
      <w:r w:rsidRPr="00DA4986">
        <w:rPr>
          <w:sz w:val="16"/>
        </w:rPr>
        <w:t>positive</w:t>
      </w:r>
      <w:proofErr w:type="gramEnd"/>
      <w:r w:rsidRPr="00DA4986">
        <w:rPr>
          <w:sz w:val="16"/>
        </w:rPr>
        <w:t xml:space="preserve"> and the establishment of an independent state serves as that aspired for ‘break’. </w:t>
      </w:r>
      <w:r w:rsidRPr="00DA4986">
        <w:rPr>
          <w:rStyle w:val="StyleUnderline"/>
        </w:rPr>
        <w:t>Settler</w:t>
      </w:r>
      <w:r w:rsidRPr="00DA4986">
        <w:rPr>
          <w:sz w:val="16"/>
        </w:rPr>
        <w:t xml:space="preserve"> colonial </w:t>
      </w:r>
      <w:r w:rsidRPr="00DA4986">
        <w:rPr>
          <w:rStyle w:val="StyleUnderline"/>
        </w:rPr>
        <w:t>contexts</w:t>
      </w:r>
      <w:r w:rsidRPr="00DA4986">
        <w:rPr>
          <w:sz w:val="16"/>
        </w:rPr>
        <w:t xml:space="preserve">, especially those where indigenous peoples live as minorities in settler states, </w:t>
      </w:r>
      <w:r w:rsidRPr="00DA4986">
        <w:rPr>
          <w:rStyle w:val="Emphasis"/>
        </w:rPr>
        <w:t>make these types of symbolic transitions challenging</w:t>
      </w:r>
      <w:r w:rsidRPr="00DA4986">
        <w:rPr>
          <w:sz w:val="16"/>
        </w:rPr>
        <w:t xml:space="preserve">, </w:t>
      </w:r>
      <w:r w:rsidRPr="00DA4986">
        <w:rPr>
          <w:rStyle w:val="StyleUnderline"/>
        </w:rPr>
        <w:t xml:space="preserve">as they do the </w:t>
      </w:r>
      <w:r w:rsidRPr="00DA4986">
        <w:rPr>
          <w:rStyle w:val="Emphasis"/>
        </w:rPr>
        <w:t>imagining of postcolonial alternatives</w:t>
      </w:r>
      <w:r w:rsidRPr="00DA4986">
        <w:rPr>
          <w:sz w:val="16"/>
        </w:rPr>
        <w:t xml:space="preserve">. </w:t>
      </w:r>
      <w:r w:rsidRPr="00DA4986">
        <w:rPr>
          <w:rStyle w:val="StyleUnderline"/>
        </w:rPr>
        <w:t xml:space="preserve">If the narrative structure of colonialism is circular </w:t>
      </w:r>
      <w:r w:rsidRPr="00DA4986">
        <w:rPr>
          <w:sz w:val="16"/>
        </w:rPr>
        <w:t xml:space="preserve">(leave, stay, return), </w:t>
      </w:r>
      <w:r w:rsidRPr="00DA4986">
        <w:rPr>
          <w:rStyle w:val="StyleUnderline"/>
        </w:rPr>
        <w:t xml:space="preserve">making that symbolic break possible, settler colonial narratives are </w:t>
      </w:r>
      <w:r w:rsidRPr="00DA4986">
        <w:rPr>
          <w:rStyle w:val="Emphasis"/>
        </w:rPr>
        <w:t xml:space="preserve">linear </w:t>
      </w:r>
      <w:r w:rsidRPr="00DA4986">
        <w:rPr>
          <w:rStyle w:val="StyleUnderline"/>
        </w:rPr>
        <w:t xml:space="preserve">insofar as the settler </w:t>
      </w:r>
      <w:r w:rsidRPr="00DA4986">
        <w:rPr>
          <w:rStyle w:val="Emphasis"/>
        </w:rPr>
        <w:t xml:space="preserve">comes to stay and the line </w:t>
      </w:r>
      <w:proofErr w:type="gramStart"/>
      <w:r w:rsidRPr="00DA4986">
        <w:rPr>
          <w:rStyle w:val="Emphasis"/>
        </w:rPr>
        <w:t>continues on</w:t>
      </w:r>
      <w:proofErr w:type="gramEnd"/>
      <w:r w:rsidRPr="00DA4986">
        <w:rPr>
          <w:rStyle w:val="Emphasis"/>
        </w:rPr>
        <w:t xml:space="preserve"> unbroken</w:t>
      </w:r>
      <w:r w:rsidRPr="00DA4986">
        <w:rPr>
          <w:sz w:val="16"/>
        </w:rPr>
        <w:t xml:space="preserve"> (Veracini, 2007). As Ann Curthoys (1999: 288) writes, </w:t>
      </w:r>
      <w:r w:rsidRPr="00DA4986">
        <w:rPr>
          <w:rStyle w:val="StyleUnderline"/>
        </w:rPr>
        <w:t xml:space="preserve">settler colonial spaces are simultaneously colonial and postcolonial, colonising and decolonising, which makes decolonisation temporally </w:t>
      </w:r>
      <w:r w:rsidRPr="00DA4986">
        <w:rPr>
          <w:rStyle w:val="Emphasis"/>
        </w:rPr>
        <w:t>ambivalent at best.</w:t>
      </w:r>
      <w:r w:rsidRPr="00DA4986">
        <w:rPr>
          <w:rStyle w:val="StyleUnderline"/>
        </w:rPr>
        <w:t xml:space="preserve"> </w:t>
      </w:r>
      <w:r w:rsidRPr="00DA4986">
        <w:rPr>
          <w:sz w:val="16"/>
        </w:rPr>
        <w:t xml:space="preserve">Lorenzo </w:t>
      </w:r>
      <w:r w:rsidRPr="00DA4986">
        <w:rPr>
          <w:rStyle w:val="StyleUnderline"/>
        </w:rPr>
        <w:t>Veracini</w:t>
      </w:r>
      <w:r w:rsidRPr="00DA4986">
        <w:rPr>
          <w:sz w:val="16"/>
        </w:rPr>
        <w:t xml:space="preserve"> (2007</w:t>
      </w:r>
      <w:r w:rsidRPr="00DA4986">
        <w:rPr>
          <w:rStyle w:val="StyleUnderline"/>
        </w:rPr>
        <w:t>) suggests</w:t>
      </w:r>
      <w:r w:rsidRPr="00DA4986">
        <w:rPr>
          <w:sz w:val="16"/>
        </w:rPr>
        <w:t xml:space="preserve"> that </w:t>
      </w:r>
      <w:r w:rsidRPr="00DA4986">
        <w:rPr>
          <w:rStyle w:val="StyleUnderline"/>
        </w:rPr>
        <w:t xml:space="preserve">there are </w:t>
      </w:r>
      <w:r w:rsidRPr="00DA4986">
        <w:rPr>
          <w:rStyle w:val="Emphasis"/>
        </w:rPr>
        <w:t>only two alternatives to settler evacuation</w:t>
      </w:r>
      <w:r w:rsidRPr="00DA4986">
        <w:rPr>
          <w:sz w:val="16"/>
        </w:rPr>
        <w:t xml:space="preserve"> for decolonising settler colonial forms </w:t>
      </w:r>
      <w:r w:rsidRPr="00DA4986">
        <w:rPr>
          <w:rStyle w:val="StyleUnderline"/>
        </w:rPr>
        <w:t>and it is dubious whether one of these counts as decolonisation at all</w:t>
      </w:r>
      <w:r w:rsidRPr="00DA4986">
        <w:rPr>
          <w:sz w:val="16"/>
        </w:rPr>
        <w:t xml:space="preserve">: the </w:t>
      </w:r>
      <w:r w:rsidRPr="00DA4986">
        <w:rPr>
          <w:rStyle w:val="StyleUnderline"/>
        </w:rPr>
        <w:t>decolonisation</w:t>
      </w:r>
      <w:r w:rsidRPr="00DA4986">
        <w:rPr>
          <w:sz w:val="16"/>
        </w:rPr>
        <w:t xml:space="preserve"> of relationships </w:t>
      </w:r>
      <w:r w:rsidRPr="00DA4986">
        <w:rPr>
          <w:rStyle w:val="StyleUnderline"/>
        </w:rPr>
        <w:t xml:space="preserve">through </w:t>
      </w:r>
      <w:r w:rsidRPr="00DA4986">
        <w:rPr>
          <w:sz w:val="16"/>
        </w:rPr>
        <w:t xml:space="preserve">‘the promotion of various processes of </w:t>
      </w:r>
      <w:r w:rsidRPr="008336B7">
        <w:rPr>
          <w:rStyle w:val="StyleUnderline"/>
          <w:highlight w:val="yellow"/>
        </w:rPr>
        <w:t>Indigenous reconciliation’</w:t>
      </w:r>
      <w:r w:rsidRPr="008336B7">
        <w:rPr>
          <w:sz w:val="16"/>
          <w:highlight w:val="yellow"/>
        </w:rPr>
        <w:t xml:space="preserve"> </w:t>
      </w:r>
      <w:r w:rsidRPr="008336B7">
        <w:rPr>
          <w:rStyle w:val="StyleUnderline"/>
          <w:highlight w:val="yellow"/>
        </w:rPr>
        <w:t>or the maintenance of the status quo</w:t>
      </w:r>
      <w:r w:rsidRPr="00DA4986">
        <w:rPr>
          <w:rStyle w:val="StyleUnderline"/>
        </w:rPr>
        <w:t xml:space="preserve"> ‘with the explicit rejection of</w:t>
      </w:r>
      <w:r w:rsidRPr="00DA4986">
        <w:rPr>
          <w:sz w:val="16"/>
        </w:rPr>
        <w:t xml:space="preserve"> the possibility of </w:t>
      </w:r>
      <w:r w:rsidRPr="008336B7">
        <w:rPr>
          <w:rStyle w:val="StyleUnderline"/>
          <w:highlight w:val="yellow"/>
        </w:rPr>
        <w:t>reform</w:t>
      </w:r>
      <w:r w:rsidRPr="00DA4986">
        <w:rPr>
          <w:rStyle w:val="StyleUnderline"/>
        </w:rPr>
        <w:t xml:space="preserve">ing </w:t>
      </w:r>
      <w:r w:rsidRPr="008336B7">
        <w:rPr>
          <w:rStyle w:val="StyleUnderline"/>
          <w:highlight w:val="yellow"/>
        </w:rPr>
        <w:t>the settler body</w:t>
      </w:r>
      <w:r w:rsidRPr="00DA4986">
        <w:rPr>
          <w:rStyle w:val="StyleUnderline"/>
        </w:rPr>
        <w:t xml:space="preserve"> </w:t>
      </w:r>
      <w:r w:rsidRPr="008336B7">
        <w:rPr>
          <w:rStyle w:val="StyleUnderline"/>
          <w:highlight w:val="yellow"/>
        </w:rPr>
        <w:t>politic’</w:t>
      </w:r>
      <w:r w:rsidRPr="00DA4986">
        <w:rPr>
          <w:sz w:val="16"/>
        </w:rPr>
        <w:t xml:space="preserve">. Again, </w:t>
      </w:r>
      <w:r w:rsidRPr="008336B7">
        <w:rPr>
          <w:rStyle w:val="StyleUnderline"/>
          <w:highlight w:val="yellow"/>
        </w:rPr>
        <w:t xml:space="preserve">what the former might mean is </w:t>
      </w:r>
      <w:r w:rsidRPr="008336B7">
        <w:rPr>
          <w:rStyle w:val="Emphasis"/>
          <w:highlight w:val="yellow"/>
        </w:rPr>
        <w:t>often vague</w:t>
      </w:r>
      <w:r w:rsidRPr="00DA4986">
        <w:rPr>
          <w:rStyle w:val="Emphasis"/>
        </w:rPr>
        <w:t>,</w:t>
      </w:r>
      <w:r w:rsidRPr="00DA4986">
        <w:rPr>
          <w:sz w:val="16"/>
        </w:rPr>
        <w:t xml:space="preserve"> and </w:t>
      </w:r>
      <w:r w:rsidRPr="00DA4986">
        <w:rPr>
          <w:rStyle w:val="StyleUnderline"/>
        </w:rPr>
        <w:t xml:space="preserve">historically </w:t>
      </w:r>
      <w:r w:rsidRPr="008336B7">
        <w:rPr>
          <w:rStyle w:val="StyleUnderline"/>
          <w:highlight w:val="yellow"/>
        </w:rPr>
        <w:t xml:space="preserve">it is the decolonisation of relationships that </w:t>
      </w:r>
      <w:r w:rsidRPr="008336B7">
        <w:rPr>
          <w:rStyle w:val="Emphasis"/>
          <w:highlight w:val="yellow"/>
        </w:rPr>
        <w:t>is hardest to come by</w:t>
      </w:r>
      <w:r w:rsidRPr="00DA4986">
        <w:rPr>
          <w:sz w:val="16"/>
        </w:rPr>
        <w:t xml:space="preserve"> </w:t>
      </w:r>
      <w:r w:rsidRPr="00DA4986">
        <w:rPr>
          <w:rStyle w:val="StyleUnderline"/>
        </w:rPr>
        <w:t xml:space="preserve">considering the psychological consequences of colonialism for coloniser and colonised alike </w:t>
      </w:r>
      <w:r w:rsidRPr="00DA4986">
        <w:rPr>
          <w:sz w:val="16"/>
        </w:rPr>
        <w:t xml:space="preserve">(Memmi, 1965). Like traditional forms of colonialism, settler colonialism was legitimated by a belief in the colonised’s racial and cultural inferiority. However, the specific settler colonial pursuit of land seizure compels additional stereotypes of native peoples or unique applications of existing colonial ones, wherein their supposed inferiority makes them ill-equipped to develop that land (premodern, nomadic, barbaric) or, alternatively, voids any claims to ownership (terra nullius). In other words, settler colonialism is as much premised on the denial of indigenous peoples as a political constituency with rights to land as it is their purported inferiority, which is typically enshrined in their status as second-class citizens with all the economic, cultural and social disadvantage this entails (Bateman and Pilkington, 2011: 3). </w:t>
      </w:r>
      <w:r w:rsidRPr="00DA4986">
        <w:rPr>
          <w:rStyle w:val="StyleUnderline"/>
        </w:rPr>
        <w:t>Given</w:t>
      </w:r>
      <w:r w:rsidRPr="00DA4986">
        <w:rPr>
          <w:sz w:val="16"/>
        </w:rPr>
        <w:t xml:space="preserve"> that </w:t>
      </w:r>
      <w:r w:rsidRPr="008336B7">
        <w:rPr>
          <w:rStyle w:val="StyleUnderline"/>
          <w:highlight w:val="yellow"/>
        </w:rPr>
        <w:t>settler societies are marked by ‘pervasive inequalities</w:t>
      </w:r>
      <w:r w:rsidRPr="00DA4986">
        <w:rPr>
          <w:sz w:val="16"/>
        </w:rPr>
        <w:t xml:space="preserve">, usually </w:t>
      </w:r>
      <w:r w:rsidRPr="00DA4986">
        <w:rPr>
          <w:rStyle w:val="Emphasis"/>
        </w:rPr>
        <w:t>codified in law,</w:t>
      </w:r>
      <w:r w:rsidRPr="00DA4986">
        <w:rPr>
          <w:sz w:val="16"/>
        </w:rPr>
        <w:t xml:space="preserve"> between native and settler populations’ </w:t>
      </w:r>
      <w:r w:rsidRPr="008336B7">
        <w:rPr>
          <w:rStyle w:val="Emphasis"/>
          <w:highlight w:val="yellow"/>
        </w:rPr>
        <w:t>which preserve political and economic privileges</w:t>
      </w:r>
      <w:r w:rsidRPr="00DA4986">
        <w:rPr>
          <w:sz w:val="16"/>
        </w:rPr>
        <w:t xml:space="preserve"> for the latter (Elkin and Pedersen, 2005: 4), </w:t>
      </w:r>
      <w:r w:rsidRPr="008336B7">
        <w:rPr>
          <w:rStyle w:val="StyleUnderline"/>
          <w:highlight w:val="yellow"/>
        </w:rPr>
        <w:t xml:space="preserve">decolonising relationships </w:t>
      </w:r>
      <w:r w:rsidRPr="008336B7">
        <w:rPr>
          <w:rStyle w:val="Emphasis"/>
          <w:highlight w:val="yellow"/>
        </w:rPr>
        <w:t>demands structural</w:t>
      </w:r>
      <w:r w:rsidRPr="008336B7">
        <w:rPr>
          <w:rStyle w:val="StyleUnderline"/>
          <w:highlight w:val="yellow"/>
        </w:rPr>
        <w:t xml:space="preserve"> changes</w:t>
      </w:r>
      <w:r w:rsidRPr="00DA4986">
        <w:rPr>
          <w:rStyle w:val="StyleUnderline"/>
        </w:rPr>
        <w:t xml:space="preserve"> that often </w:t>
      </w:r>
      <w:r w:rsidRPr="00DA4986">
        <w:rPr>
          <w:rStyle w:val="Emphasis"/>
        </w:rPr>
        <w:t>encounter significant resistance</w:t>
      </w:r>
      <w:r w:rsidRPr="00DA4986">
        <w:rPr>
          <w:rStyle w:val="StyleUnderline"/>
        </w:rPr>
        <w:t xml:space="preserve"> from settler constituencies.</w:t>
      </w:r>
      <w:r w:rsidRPr="00DA4986">
        <w:rPr>
          <w:sz w:val="16"/>
        </w:rPr>
        <w:t xml:space="preserve"> Likewise, it requires a reckoning with historical injustice – specifically violence and conflict at the colonial frontier – that is challenging for settler states and populations because it opens questions of settler identity, privileges, legitimacy and reparations and expressly seeks to scrutinise disavowed and long suppressed histories. </w:t>
      </w:r>
      <w:r w:rsidRPr="00DA4986">
        <w:rPr>
          <w:rStyle w:val="StyleUnderline"/>
        </w:rPr>
        <w:t>Settler</w:t>
      </w:r>
      <w:r w:rsidRPr="00DA4986">
        <w:rPr>
          <w:sz w:val="16"/>
        </w:rPr>
        <w:t xml:space="preserve"> colonial </w:t>
      </w:r>
      <w:r w:rsidRPr="008336B7">
        <w:rPr>
          <w:rStyle w:val="StyleUnderline"/>
          <w:highlight w:val="yellow"/>
        </w:rPr>
        <w:t xml:space="preserve">decolonisation is thus complicated by a </w:t>
      </w:r>
      <w:r w:rsidRPr="008336B7">
        <w:rPr>
          <w:rStyle w:val="Emphasis"/>
          <w:highlight w:val="yellow"/>
        </w:rPr>
        <w:t>multitude of hurdles</w:t>
      </w:r>
      <w:r w:rsidRPr="008336B7">
        <w:rPr>
          <w:sz w:val="16"/>
          <w:highlight w:val="yellow"/>
        </w:rPr>
        <w:t xml:space="preserve">, </w:t>
      </w:r>
    </w:p>
    <w:p w14:paraId="13A19F50" w14:textId="77777777" w:rsidR="004B1769" w:rsidRDefault="004B1769" w:rsidP="004B1769">
      <w:pPr>
        <w:rPr>
          <w:sz w:val="16"/>
          <w:highlight w:val="yellow"/>
        </w:rPr>
      </w:pPr>
    </w:p>
    <w:p w14:paraId="3A697BDB" w14:textId="77777777" w:rsidR="004B1769" w:rsidRDefault="004B1769" w:rsidP="004B1769">
      <w:pPr>
        <w:rPr>
          <w:sz w:val="16"/>
        </w:rPr>
      </w:pPr>
      <w:r w:rsidRPr="008336B7">
        <w:rPr>
          <w:rStyle w:val="StyleUnderline"/>
          <w:highlight w:val="yellow"/>
        </w:rPr>
        <w:t xml:space="preserve">which </w:t>
      </w:r>
      <w:proofErr w:type="gramStart"/>
      <w:r w:rsidRPr="008336B7">
        <w:rPr>
          <w:rStyle w:val="StyleUnderline"/>
          <w:highlight w:val="yellow"/>
        </w:rPr>
        <w:t>bring</w:t>
      </w:r>
      <w:proofErr w:type="gramEnd"/>
      <w:r w:rsidRPr="008336B7">
        <w:rPr>
          <w:rStyle w:val="StyleUnderline"/>
          <w:highlight w:val="yellow"/>
        </w:rPr>
        <w:t xml:space="preserve"> the postcolonial caution of the </w:t>
      </w:r>
      <w:r w:rsidRPr="008336B7">
        <w:rPr>
          <w:rStyle w:val="Emphasis"/>
          <w:highlight w:val="yellow"/>
        </w:rPr>
        <w:t>impossibility of a ‘break’</w:t>
      </w:r>
      <w:r w:rsidRPr="00DA4986">
        <w:rPr>
          <w:rStyle w:val="StyleUnderline"/>
        </w:rPr>
        <w:t xml:space="preserve"> into stark relief.</w:t>
      </w:r>
      <w:r w:rsidRPr="00DA4986">
        <w:rPr>
          <w:sz w:val="16"/>
        </w:rPr>
        <w:t xml:space="preserve"> Kohn and McBride (2011) suggest that decisive </w:t>
      </w:r>
      <w:r w:rsidRPr="00DA4986">
        <w:rPr>
          <w:rStyle w:val="StyleUnderline"/>
        </w:rPr>
        <w:t>action in the present is essential to decolonisation</w:t>
      </w:r>
      <w:r w:rsidRPr="00DA4986">
        <w:rPr>
          <w:sz w:val="16"/>
        </w:rPr>
        <w:t xml:space="preserve">, </w:t>
      </w:r>
      <w:r w:rsidRPr="00DA4986">
        <w:rPr>
          <w:rStyle w:val="StyleUnderline"/>
        </w:rPr>
        <w:t xml:space="preserve">but </w:t>
      </w:r>
      <w:r w:rsidRPr="008336B7">
        <w:rPr>
          <w:rStyle w:val="StyleUnderline"/>
          <w:highlight w:val="yellow"/>
        </w:rPr>
        <w:t>in settler</w:t>
      </w:r>
      <w:r w:rsidRPr="00DA4986">
        <w:rPr>
          <w:sz w:val="16"/>
        </w:rPr>
        <w:t xml:space="preserve"> colonial </w:t>
      </w:r>
      <w:r w:rsidRPr="008336B7">
        <w:rPr>
          <w:rStyle w:val="Emphasis"/>
          <w:highlight w:val="yellow"/>
        </w:rPr>
        <w:t>contexts this is hindered by power discrepancie</w:t>
      </w:r>
      <w:r w:rsidRPr="00DA4986">
        <w:rPr>
          <w:rStyle w:val="Emphasis"/>
        </w:rPr>
        <w:t xml:space="preserve">s </w:t>
      </w:r>
      <w:r w:rsidRPr="00DA4986">
        <w:rPr>
          <w:sz w:val="16"/>
        </w:rPr>
        <w:t xml:space="preserve">between settler and native constituencies, a general lack of settler political will to </w:t>
      </w:r>
      <w:proofErr w:type="gramStart"/>
      <w:r w:rsidRPr="00DA4986">
        <w:rPr>
          <w:sz w:val="16"/>
        </w:rPr>
        <w:t>enter into</w:t>
      </w:r>
      <w:proofErr w:type="gramEnd"/>
      <w:r w:rsidRPr="00DA4986">
        <w:rPr>
          <w:sz w:val="16"/>
        </w:rPr>
        <w:t xml:space="preserve"> difficult processes of historical introspection as well as the constraining of Indigenous claims within the settler state. Indeed, even a commitment to a postcolonial polity as expressed through processes of historical reconciliation often encounters strong resistance when it comes to judicial, constitutional or legislative change genuinely decolonised relationships would demand. Nevertheless, even if it remains difficult to comprehensively imagine the decolonisation of ‘settler societies vis-à-vis Indigenous constituencies’ (Veracini, 2007), </w:t>
      </w:r>
      <w:r w:rsidRPr="00DA4986">
        <w:rPr>
          <w:rStyle w:val="StyleUnderline"/>
        </w:rPr>
        <w:t xml:space="preserve">the central question must be how to construct political foundations which simultaneously acknowledge ‘the practices of racism, violence and subordination’ </w:t>
      </w:r>
      <w:r w:rsidRPr="00DA4986">
        <w:rPr>
          <w:sz w:val="16"/>
        </w:rPr>
        <w:t xml:space="preserve">(Kohn and McBride, 2011: 18) </w:t>
      </w:r>
      <w:r w:rsidRPr="00DA4986">
        <w:rPr>
          <w:rStyle w:val="StyleUnderline"/>
        </w:rPr>
        <w:t xml:space="preserve">that preceded them while also paving the way for a postcolonial future in which natives and settlers are equal parties and share the right to narrate the polity. Equality, freedom and justice may come from legally enshrining Indigenous rights to self-determination or, alternatively, doing away with the categories of ‘settler’ and ‘native’ altogether </w:t>
      </w:r>
      <w:r w:rsidRPr="00DA4986">
        <w:rPr>
          <w:sz w:val="16"/>
        </w:rPr>
        <w:t>(Mamdani, 2001). What shape such efforts are likely to take depends, among others, on the ‘size and tenacity’ of Indigenous populations as well as the power of the settler constituency (Elkin and Pedersen, 2005: 3, 6). But we would suggest that the measure to which they may</w:t>
      </w:r>
    </w:p>
    <w:p w14:paraId="6AB6819B" w14:textId="1A5D7126" w:rsidR="004B1769" w:rsidRPr="003F41B0" w:rsidRDefault="004B1769" w:rsidP="004B1769">
      <w:pPr>
        <w:pStyle w:val="Heading1"/>
      </w:pPr>
      <w:r>
        <w:t>1AR</w:t>
      </w:r>
    </w:p>
    <w:p w14:paraId="76970BF8" w14:textId="77777777" w:rsidR="004B1769" w:rsidRPr="00C761C5" w:rsidRDefault="004B1769" w:rsidP="004B1769">
      <w:pPr>
        <w:rPr>
          <w:u w:val="single"/>
        </w:rPr>
      </w:pPr>
    </w:p>
    <w:p w14:paraId="05ED2FA5" w14:textId="77777777" w:rsidR="004B1769" w:rsidRPr="004B16EE" w:rsidRDefault="004B1769" w:rsidP="004B1769">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7749740D" w14:textId="77777777" w:rsidR="004B1769" w:rsidRPr="00FD4D10" w:rsidRDefault="004B1769" w:rsidP="004B1769">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57F60FE1" w14:textId="77777777" w:rsidR="004B1769" w:rsidRPr="00CB31B7" w:rsidRDefault="004B1769" w:rsidP="004B1769">
      <w:pPr>
        <w:rPr>
          <w:sz w:val="16"/>
        </w:rPr>
      </w:pPr>
      <w:r w:rsidRPr="00CB31B7">
        <w:rPr>
          <w:sz w:val="16"/>
        </w:rPr>
        <w:t xml:space="preserve">The five case studies offer ample examples of the diverse resources TUs can </w:t>
      </w:r>
      <w:proofErr w:type="gramStart"/>
      <w:r w:rsidRPr="00CB31B7">
        <w:rPr>
          <w:sz w:val="16"/>
        </w:rPr>
        <w:t>muster</w:t>
      </w:r>
      <w:proofErr w:type="gramEnd"/>
      <w:r w:rsidRPr="00CB31B7">
        <w:rPr>
          <w:sz w:val="16"/>
        </w:rPr>
        <w:t xml:space="preserve"> and of the </w:t>
      </w:r>
      <w:proofErr w:type="gramStart"/>
      <w:r w:rsidRPr="00CB31B7">
        <w:rPr>
          <w:sz w:val="16"/>
        </w:rPr>
        <w:t>actions,</w:t>
      </w:r>
      <w:proofErr w:type="gramEnd"/>
      <w:r w:rsidRPr="00CB31B7">
        <w:rPr>
          <w:sz w:val="16"/>
        </w:rPr>
        <w:t xml:space="preserve"> they can undertake to achieve their objectives. We distinguish those actions and resources that trade unions can develop internally from those with external orientation, e.g. that trade unions can use </w:t>
      </w:r>
      <w:proofErr w:type="gramStart"/>
      <w:r w:rsidRPr="00CB31B7">
        <w:rPr>
          <w:sz w:val="16"/>
        </w:rPr>
        <w:t>vis-à-vis</w:t>
      </w:r>
      <w:proofErr w:type="gramEnd"/>
      <w:r w:rsidRPr="00CB31B7">
        <w:rPr>
          <w:sz w:val="16"/>
        </w:rPr>
        <w:t xml:space="preserve"> employers, governments, and the broader society (see Table 3).</w:t>
      </w:r>
    </w:p>
    <w:p w14:paraId="15CC2001" w14:textId="77777777" w:rsidR="004B1769" w:rsidRPr="00CB31B7" w:rsidRDefault="004B1769" w:rsidP="004B1769">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w:t>
      </w:r>
      <w:proofErr w:type="gramStart"/>
      <w:r w:rsidRPr="00BF5102">
        <w:rPr>
          <w:rStyle w:val="StyleUnderline"/>
        </w:rPr>
        <w:t>internal expertise building</w:t>
      </w:r>
      <w:proofErr w:type="gramEnd"/>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52F4841A" w14:textId="77777777" w:rsidR="004B1769" w:rsidRPr="00BF5102" w:rsidRDefault="004B1769" w:rsidP="004B1769">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097CCD10" w14:textId="77777777" w:rsidR="004B1769" w:rsidRPr="00CB31B7" w:rsidRDefault="004B1769" w:rsidP="004B1769">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w:t>
      </w:r>
      <w:proofErr w:type="gramStart"/>
      <w:r w:rsidRPr="00CB31B7">
        <w:rPr>
          <w:rStyle w:val="StyleUnderline"/>
        </w:rPr>
        <w:t xml:space="preserve">has </w:t>
      </w:r>
      <w:r w:rsidRPr="008C3942">
        <w:rPr>
          <w:rStyle w:val="StyleUnderline"/>
          <w:highlight w:val="cyan"/>
        </w:rPr>
        <w:t>to</w:t>
      </w:r>
      <w:proofErr w:type="gramEnd"/>
      <w:r w:rsidRPr="008C3942">
        <w:rPr>
          <w:rStyle w:val="StyleUnderline"/>
          <w:highlight w:val="cyan"/>
        </w:rPr>
        <w:t xml:space="preserve">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13D39CB5" w14:textId="77777777" w:rsidR="004B1769" w:rsidRPr="00CB31B7" w:rsidRDefault="004B1769" w:rsidP="004B1769">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w:t>
      </w:r>
      <w:proofErr w:type="gramStart"/>
      <w:r w:rsidRPr="00CB31B7">
        <w:rPr>
          <w:rStyle w:val="StyleUnderline"/>
        </w:rPr>
        <w:t>have to</w:t>
      </w:r>
      <w:proofErr w:type="gramEnd"/>
      <w:r w:rsidRPr="00CB31B7">
        <w:rPr>
          <w:rStyle w:val="StyleUnderline"/>
        </w:rPr>
        <w:t xml:space="preserve">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382F8094" w14:textId="77777777" w:rsidR="004B1769" w:rsidRDefault="004B1769" w:rsidP="004B1769">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w:t>
      </w:r>
      <w:proofErr w:type="gramStart"/>
      <w:r w:rsidRPr="00CB31B7">
        <w:rPr>
          <w:rStyle w:val="StyleUnderline"/>
        </w:rPr>
        <w:t xml:space="preserve">in order </w:t>
      </w:r>
      <w:r w:rsidRPr="008C3942">
        <w:rPr>
          <w:rStyle w:val="StyleUnderline"/>
          <w:highlight w:val="cyan"/>
        </w:rPr>
        <w:t>to</w:t>
      </w:r>
      <w:proofErr w:type="gramEnd"/>
      <w:r w:rsidRPr="008C3942">
        <w:rPr>
          <w:rStyle w:val="StyleUnderline"/>
          <w:highlight w:val="cyan"/>
        </w:rPr>
        <w:t xml:space="preserve">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1D84A46F" w14:textId="77777777" w:rsidR="004B1769" w:rsidRPr="005E6A1A" w:rsidRDefault="004B1769" w:rsidP="004B1769">
      <w:pPr>
        <w:pStyle w:val="Heading4"/>
      </w:pPr>
      <w:r>
        <w:t xml:space="preserve">Severing </w:t>
      </w:r>
      <w:r w:rsidRPr="00ED594D">
        <w:rPr>
          <w:u w:val="single"/>
        </w:rPr>
        <w:t>certain responsibilties</w:t>
      </w:r>
      <w:r>
        <w:t xml:space="preserve"> won’t undermine the NLRB.</w:t>
      </w:r>
    </w:p>
    <w:p w14:paraId="04A4F8DD" w14:textId="77777777" w:rsidR="004B1769" w:rsidRPr="005E6A1A" w:rsidRDefault="004B1769" w:rsidP="004B1769">
      <w:pPr>
        <w:rPr>
          <w:b/>
          <w:bCs/>
          <w:sz w:val="26"/>
        </w:rPr>
      </w:pPr>
      <w:r w:rsidRPr="005E6A1A">
        <w:t>Samuel</w:t>
      </w:r>
      <w:r w:rsidRPr="005E6A1A">
        <w:rPr>
          <w:b/>
          <w:bCs/>
          <w:sz w:val="26"/>
        </w:rPr>
        <w:t xml:space="preserve"> </w:t>
      </w:r>
      <w:r w:rsidRPr="00F00CB8">
        <w:rPr>
          <w:rStyle w:val="Style13ptBold"/>
        </w:rPr>
        <w:t>Estreicher 25</w:t>
      </w:r>
      <w:r w:rsidRPr="005E6A1A">
        <w:rPr>
          <w:b/>
          <w:bCs/>
          <w:sz w:val="26"/>
        </w:rPr>
        <w:t xml:space="preserve"> </w:t>
      </w:r>
      <w:r w:rsidRPr="005E6A1A">
        <w:t>- Professor of Law, director of Center for Labor and Employment, and co-director of Institute of Judicial Administration at New York University School of Law. “Embracing the Purely Adjudicatory Administrative Agency: The Case for a Labor Court,” 08/20/2025, Just Security, https://www.justsecurity.org/119345/embracing-the-purely-adjudicatory-administrative-agency-the-case-for-a-labor-court/</w:t>
      </w:r>
    </w:p>
    <w:p w14:paraId="47EBF526" w14:textId="77777777" w:rsidR="004B1769" w:rsidRPr="005E6A1A" w:rsidRDefault="004B1769" w:rsidP="004B1769">
      <w:pPr>
        <w:rPr>
          <w:sz w:val="16"/>
        </w:rPr>
      </w:pPr>
      <w:r w:rsidRPr="005E6A1A">
        <w:rPr>
          <w:sz w:val="16"/>
        </w:rPr>
        <w:t>The Wilcox Litigation</w:t>
      </w:r>
    </w:p>
    <w:p w14:paraId="42289BDB" w14:textId="77777777" w:rsidR="004B1769" w:rsidRPr="005E6A1A" w:rsidRDefault="004B1769" w:rsidP="004B1769">
      <w:pPr>
        <w:rPr>
          <w:sz w:val="16"/>
        </w:rPr>
      </w:pPr>
      <w:r w:rsidRPr="005E6A1A">
        <w:rPr>
          <w:sz w:val="16"/>
        </w:rPr>
        <w:t xml:space="preserve">President Trump’s removal without </w:t>
      </w:r>
      <w:proofErr w:type="gramStart"/>
      <w:r w:rsidRPr="005E6A1A">
        <w:rPr>
          <w:sz w:val="16"/>
        </w:rPr>
        <w:t>cause</w:t>
      </w:r>
      <w:proofErr w:type="gramEnd"/>
      <w:r w:rsidRPr="005E6A1A">
        <w:rPr>
          <w:sz w:val="16"/>
        </w:rPr>
        <w:t xml:space="preserve"> earlier this year of NLRB Member Gwynne A. Wilcox led to lower court rulings holding the firing unlawful and requiring her reinstatement. In Trump v. Wilcox, a case on the emergency docket, </w:t>
      </w:r>
      <w:proofErr w:type="gramStart"/>
      <w:r w:rsidRPr="005E6A1A">
        <w:rPr>
          <w:sz w:val="16"/>
        </w:rPr>
        <w:t>a majority of</w:t>
      </w:r>
      <w:proofErr w:type="gramEnd"/>
      <w:r w:rsidRPr="005E6A1A">
        <w:rPr>
          <w:sz w:val="16"/>
        </w:rPr>
        <w:t xml:space="preserve"> the Supreme Court stayed the lower-court orders, indicating that only two “narrow exceptions” exist to plenary presidential removal of executive officers under Seila Law LLC v. Consumer Financial Protection Bureau. These exceptions are “for multimember expert agencies that do not wield substantial executive power, and one for inferior officers with limited duties and no policymaking or administrative authority.” Quoting from a Kavanaugh dissent while on the D.C. Circuit, the majority noted these exceptions “‘represent what up to now have been the outermost constitutional limits of permissible congressional restrictions on the President’s removal power.’” The Wilcox majority stated that the Government was likely to prevail on the merits because Board members exercise “considerable executive authority.” A petition for certiorari has not yet been </w:t>
      </w:r>
      <w:proofErr w:type="gramStart"/>
      <w:r w:rsidRPr="005E6A1A">
        <w:rPr>
          <w:sz w:val="16"/>
        </w:rPr>
        <w:t>filed, and</w:t>
      </w:r>
      <w:proofErr w:type="gramEnd"/>
      <w:r w:rsidRPr="005E6A1A">
        <w:rPr>
          <w:sz w:val="16"/>
        </w:rPr>
        <w:t xml:space="preserve"> nor has a case on the merits been scheduled for argument.</w:t>
      </w:r>
    </w:p>
    <w:p w14:paraId="2AEFED5D" w14:textId="77777777" w:rsidR="004B1769" w:rsidRPr="005E6A1A" w:rsidRDefault="004B1769" w:rsidP="004B1769">
      <w:pPr>
        <w:rPr>
          <w:sz w:val="16"/>
        </w:rPr>
      </w:pPr>
      <w:r w:rsidRPr="005E6A1A">
        <w:rPr>
          <w:u w:val="single"/>
        </w:rPr>
        <w:t>The majority’s language in Wilcox is critical because the Court has made clear in a number of decisions that</w:t>
      </w:r>
      <w:r w:rsidRPr="005E6A1A">
        <w:rPr>
          <w:sz w:val="16"/>
        </w:rPr>
        <w:t xml:space="preserve">, influenced by the so-called “unitary executive” theory underlying Article II of the Constitution, </w:t>
      </w:r>
      <w:r w:rsidRPr="005E6A1A">
        <w:rPr>
          <w:u w:val="single"/>
        </w:rPr>
        <w:t xml:space="preserve">the President has inherent authority, not bound by statutory limits, to remove without cause “principal officers of the United States” </w:t>
      </w:r>
      <w:r w:rsidRPr="005E6A1A">
        <w:rPr>
          <w:sz w:val="16"/>
        </w:rPr>
        <w:t>– i.e., heads of all executive department and other executive officials.</w:t>
      </w:r>
    </w:p>
    <w:p w14:paraId="5171C33A" w14:textId="77777777" w:rsidR="004B1769" w:rsidRPr="005E6A1A" w:rsidRDefault="004B1769" w:rsidP="004B1769">
      <w:pPr>
        <w:rPr>
          <w:sz w:val="16"/>
        </w:rPr>
      </w:pPr>
      <w:r w:rsidRPr="005E6A1A">
        <w:rPr>
          <w:sz w:val="16"/>
        </w:rPr>
        <w:t>Likely Overruling of Humphrey’s Executor but Possibly Leaving Room Open for a Purely Adjudicative Agency</w:t>
      </w:r>
    </w:p>
    <w:p w14:paraId="145B7BFD" w14:textId="77777777" w:rsidR="004B1769" w:rsidRPr="0085747D" w:rsidRDefault="004B1769" w:rsidP="004B1769">
      <w:pPr>
        <w:rPr>
          <w:sz w:val="16"/>
        </w:rPr>
      </w:pPr>
      <w:r w:rsidRPr="005E6A1A">
        <w:rPr>
          <w:u w:val="single"/>
        </w:rPr>
        <w:t xml:space="preserve">It is time to embrace the purely adjudicatory </w:t>
      </w:r>
      <w:r w:rsidRPr="005E6A1A">
        <w:rPr>
          <w:b/>
          <w:iCs/>
          <w:u w:val="single"/>
          <w:bdr w:val="single" w:sz="8" w:space="0" w:color="auto"/>
        </w:rPr>
        <w:t>administrative agency</w:t>
      </w:r>
      <w:r w:rsidRPr="005E6A1A">
        <w:rPr>
          <w:u w:val="single"/>
        </w:rPr>
        <w:t>.</w:t>
      </w:r>
      <w:r w:rsidRPr="005E6A1A">
        <w:rPr>
          <w:sz w:val="16"/>
        </w:rPr>
        <w:t xml:space="preserve"> The Court recognized in Freytag v. Commissioner—still good law—that because the Tax Court, an Article I tribunal, was performing an essentially judicial function, it was a “</w:t>
      </w:r>
      <w:proofErr w:type="gramStart"/>
      <w:r w:rsidRPr="005E6A1A">
        <w:rPr>
          <w:sz w:val="16"/>
        </w:rPr>
        <w:t>court[</w:t>
      </w:r>
      <w:proofErr w:type="gramEnd"/>
      <w:r w:rsidRPr="005E6A1A">
        <w:rPr>
          <w:sz w:val="16"/>
        </w:rPr>
        <w:t xml:space="preserve">] of law” under the Constitution’s Appointment Clause and hence the Chief Judge of the Tax Court could appoint non-principal officers, as special trial judges. In Weiner v. United States, admittedly under the sway of Humphrey’s, the Court unanimously ruled that the members of the War Claims Court, also an Article I court, were not removable by the President without cause (even though there were no express removal protections in the authorizing statute). Justice Frankfurter wrote for the Court that it was inconceivable that even an Article I tribunal, as in that case, could have the necessary integrity if the adjudicators could be removed for political </w:t>
      </w:r>
      <w:proofErr w:type="gramStart"/>
      <w:r w:rsidRPr="005E6A1A">
        <w:rPr>
          <w:sz w:val="16"/>
        </w:rPr>
        <w:t>or no reason</w:t>
      </w:r>
      <w:proofErr w:type="gramEnd"/>
      <w:r w:rsidRPr="005E6A1A">
        <w:rPr>
          <w:sz w:val="16"/>
        </w:rPr>
        <w:t xml:space="preserve"> at all. The only alternative to administrative agency or other Article I adjudications is Article III adjudications which </w:t>
      </w:r>
      <w:r w:rsidRPr="0085747D">
        <w:rPr>
          <w:sz w:val="16"/>
        </w:rPr>
        <w:t>would require a swelling of the number of lifetime judges, perhaps akin to what some Latin American judiciaries look like.</w:t>
      </w:r>
    </w:p>
    <w:p w14:paraId="14B04C50" w14:textId="77777777" w:rsidR="004B1769" w:rsidRPr="005E6A1A" w:rsidRDefault="004B1769" w:rsidP="004B1769">
      <w:pPr>
        <w:rPr>
          <w:u w:val="single"/>
        </w:rPr>
      </w:pPr>
      <w:r w:rsidRPr="0085747D">
        <w:rPr>
          <w:sz w:val="16"/>
        </w:rPr>
        <w:t xml:space="preserve">One hopes that when the Court </w:t>
      </w:r>
      <w:r w:rsidRPr="005E6A1A">
        <w:rPr>
          <w:sz w:val="16"/>
        </w:rPr>
        <w:t>reaches the merits in Wilcox,</w:t>
      </w:r>
      <w:r w:rsidRPr="005E6A1A">
        <w:rPr>
          <w:u w:val="single"/>
        </w:rPr>
        <w:t xml:space="preserve"> a majority will be persuaded </w:t>
      </w:r>
      <w:r w:rsidRPr="005E6A1A">
        <w:rPr>
          <w:sz w:val="16"/>
        </w:rPr>
        <w:t>— and there is a need for members of the labor-management community and others to file amici briefs urging them to do so —</w:t>
      </w:r>
      <w:r w:rsidRPr="005E6A1A">
        <w:rPr>
          <w:u w:val="single"/>
        </w:rPr>
        <w:t xml:space="preserve"> that the </w:t>
      </w:r>
      <w:r w:rsidRPr="0085747D">
        <w:rPr>
          <w:u w:val="single"/>
        </w:rPr>
        <w:t xml:space="preserve">NLRB performs a </w:t>
      </w:r>
      <w:r w:rsidRPr="0085747D">
        <w:rPr>
          <w:b/>
          <w:iCs/>
          <w:u w:val="single"/>
          <w:bdr w:val="single" w:sz="8" w:space="0" w:color="auto"/>
        </w:rPr>
        <w:t>principally adjudicative function</w:t>
      </w:r>
      <w:r w:rsidRPr="005E6A1A">
        <w:rPr>
          <w:u w:val="single"/>
        </w:rPr>
        <w:t xml:space="preserve">, sitting as an administrative tribunal hearing cases on a record compiled in a trial-type hearing before an ALJ, and that whatever </w:t>
      </w:r>
      <w:r w:rsidRPr="0085747D">
        <w:rPr>
          <w:b/>
          <w:iCs/>
          <w:highlight w:val="cyan"/>
          <w:u w:val="single"/>
          <w:bdr w:val="single" w:sz="8" w:space="0" w:color="auto"/>
        </w:rPr>
        <w:t>executive functions</w:t>
      </w:r>
      <w:r w:rsidRPr="005E6A1A">
        <w:rPr>
          <w:u w:val="single"/>
        </w:rPr>
        <w:t xml:space="preserve"> the Board presently exercises </w:t>
      </w:r>
      <w:r w:rsidRPr="0085747D">
        <w:rPr>
          <w:b/>
          <w:iCs/>
          <w:highlight w:val="cyan"/>
          <w:u w:val="single"/>
          <w:bdr w:val="single" w:sz="8" w:space="0" w:color="auto"/>
        </w:rPr>
        <w:t>can be severed</w:t>
      </w:r>
      <w:r w:rsidRPr="0085747D">
        <w:rPr>
          <w:highlight w:val="cyan"/>
          <w:u w:val="single"/>
        </w:rPr>
        <w:t xml:space="preserve"> </w:t>
      </w:r>
      <w:r w:rsidRPr="0085747D">
        <w:rPr>
          <w:u w:val="single"/>
        </w:rPr>
        <w:t>from the</w:t>
      </w:r>
      <w:r w:rsidRPr="005E6A1A">
        <w:rPr>
          <w:sz w:val="16"/>
        </w:rPr>
        <w:t xml:space="preserve"> National Labor Relations Act of 1935 (</w:t>
      </w:r>
      <w:r w:rsidRPr="0085747D">
        <w:rPr>
          <w:u w:val="single"/>
        </w:rPr>
        <w:t>NLRA</w:t>
      </w:r>
      <w:r w:rsidRPr="005E6A1A">
        <w:rPr>
          <w:sz w:val="16"/>
        </w:rPr>
        <w:t xml:space="preserve"> or Act), its authorizing law, </w:t>
      </w:r>
      <w:r w:rsidRPr="0085747D">
        <w:rPr>
          <w:highlight w:val="cyan"/>
          <w:u w:val="single"/>
        </w:rPr>
        <w:t xml:space="preserve">leaving the </w:t>
      </w:r>
      <w:r w:rsidRPr="0085747D">
        <w:rPr>
          <w:b/>
          <w:iCs/>
          <w:highlight w:val="cyan"/>
          <w:u w:val="single"/>
          <w:bdr w:val="single" w:sz="8" w:space="0" w:color="auto"/>
        </w:rPr>
        <w:t>rest of the Act</w:t>
      </w:r>
      <w:r w:rsidRPr="0085747D">
        <w:rPr>
          <w:highlight w:val="cyan"/>
          <w:u w:val="single"/>
        </w:rPr>
        <w:t xml:space="preserve"> intact</w:t>
      </w:r>
      <w:r w:rsidRPr="005E6A1A">
        <w:rPr>
          <w:u w:val="single"/>
        </w:rPr>
        <w:t>.</w:t>
      </w:r>
    </w:p>
    <w:p w14:paraId="4A6C63C4" w14:textId="77777777" w:rsidR="004B1769" w:rsidRPr="005E6A1A" w:rsidRDefault="004B1769" w:rsidP="004B1769">
      <w:pPr>
        <w:rPr>
          <w:sz w:val="16"/>
        </w:rPr>
      </w:pPr>
      <w:r w:rsidRPr="005E6A1A">
        <w:rPr>
          <w:u w:val="single"/>
        </w:rPr>
        <w:t xml:space="preserve">Those executive functions are </w:t>
      </w:r>
      <w:r w:rsidRPr="0085747D">
        <w:rPr>
          <w:u w:val="single"/>
        </w:rPr>
        <w:t>law enforcement functions</w:t>
      </w:r>
      <w:r w:rsidRPr="005E6A1A">
        <w:rPr>
          <w:u w:val="single"/>
        </w:rPr>
        <w:t>, including the issuance of regulations, authorization of applications for preliminary injunctive relief</w:t>
      </w:r>
      <w:r w:rsidRPr="005E6A1A">
        <w:rPr>
          <w:sz w:val="16"/>
        </w:rPr>
        <w:t xml:space="preserve"> under §10(j) of the Act, </w:t>
      </w:r>
      <w:r w:rsidRPr="005E6A1A">
        <w:rPr>
          <w:u w:val="single"/>
        </w:rPr>
        <w:t>and supervision of the Regional Directors</w:t>
      </w:r>
      <w:r w:rsidRPr="005E6A1A">
        <w:rPr>
          <w:sz w:val="16"/>
        </w:rPr>
        <w:t xml:space="preserve"> in representation cases. </w:t>
      </w:r>
      <w:r w:rsidRPr="0085747D">
        <w:rPr>
          <w:u w:val="single"/>
        </w:rPr>
        <w:t xml:space="preserve">Since </w:t>
      </w:r>
      <w:r w:rsidRPr="0085747D">
        <w:rPr>
          <w:highlight w:val="cyan"/>
          <w:u w:val="single"/>
        </w:rPr>
        <w:t>the Board’s involvement in these</w:t>
      </w:r>
      <w:r w:rsidRPr="005E6A1A">
        <w:rPr>
          <w:u w:val="single"/>
        </w:rPr>
        <w:t xml:space="preserve"> matters </w:t>
      </w:r>
      <w:r w:rsidRPr="0085747D">
        <w:rPr>
          <w:highlight w:val="cyan"/>
          <w:u w:val="single"/>
        </w:rPr>
        <w:t>has</w:t>
      </w:r>
      <w:r w:rsidRPr="005E6A1A">
        <w:rPr>
          <w:u w:val="single"/>
        </w:rPr>
        <w:t xml:space="preserve">, </w:t>
      </w:r>
      <w:r w:rsidRPr="0085747D">
        <w:rPr>
          <w:u w:val="single"/>
        </w:rPr>
        <w:t xml:space="preserve">as a </w:t>
      </w:r>
      <w:r w:rsidRPr="0085747D">
        <w:rPr>
          <w:b/>
          <w:iCs/>
          <w:u w:val="single"/>
          <w:bdr w:val="single" w:sz="8" w:space="0" w:color="auto"/>
        </w:rPr>
        <w:t>practical matter</w:t>
      </w:r>
      <w:r w:rsidRPr="0085747D">
        <w:rPr>
          <w:u w:val="single"/>
        </w:rPr>
        <w:t xml:space="preserve">, </w:t>
      </w:r>
      <w:r w:rsidRPr="0085747D">
        <w:rPr>
          <w:highlight w:val="cyan"/>
          <w:u w:val="single"/>
        </w:rPr>
        <w:t xml:space="preserve">been </w:t>
      </w:r>
      <w:r w:rsidRPr="0085747D">
        <w:rPr>
          <w:b/>
          <w:iCs/>
          <w:highlight w:val="cyan"/>
          <w:u w:val="single"/>
          <w:bdr w:val="single" w:sz="8" w:space="0" w:color="auto"/>
        </w:rPr>
        <w:t>minimal</w:t>
      </w:r>
      <w:r w:rsidRPr="0085747D">
        <w:rPr>
          <w:highlight w:val="cyan"/>
          <w:u w:val="single"/>
        </w:rPr>
        <w:t>, these</w:t>
      </w:r>
      <w:r w:rsidRPr="005E6A1A">
        <w:rPr>
          <w:u w:val="single"/>
        </w:rPr>
        <w:t xml:space="preserve"> functions </w:t>
      </w:r>
      <w:r w:rsidRPr="0085747D">
        <w:rPr>
          <w:highlight w:val="cyan"/>
          <w:u w:val="single"/>
        </w:rPr>
        <w:t xml:space="preserve">would be </w:t>
      </w:r>
      <w:r w:rsidRPr="0085747D">
        <w:rPr>
          <w:b/>
          <w:iCs/>
          <w:highlight w:val="cyan"/>
          <w:u w:val="single"/>
          <w:bdr w:val="single" w:sz="8" w:space="0" w:color="auto"/>
        </w:rPr>
        <w:t>exercised by the General Counsel</w:t>
      </w:r>
      <w:r w:rsidRPr="005E6A1A">
        <w:rPr>
          <w:sz w:val="16"/>
        </w:rPr>
        <w:t>, also a presidential appointee but</w:t>
      </w:r>
      <w:r w:rsidRPr="005E6A1A">
        <w:rPr>
          <w:sz w:val="16"/>
          <w:u w:val="single"/>
        </w:rPr>
        <w:t xml:space="preserve"> </w:t>
      </w:r>
      <w:r w:rsidRPr="005E6A1A">
        <w:rPr>
          <w:u w:val="single"/>
        </w:rPr>
        <w:t xml:space="preserve">who is no longer protected against at-will presidential removal. </w:t>
      </w:r>
      <w:r w:rsidRPr="00E134DC">
        <w:rPr>
          <w:u w:val="single"/>
        </w:rPr>
        <w:t>These</w:t>
      </w:r>
      <w:r w:rsidRPr="005E6A1A">
        <w:rPr>
          <w:u w:val="single"/>
        </w:rPr>
        <w:t xml:space="preserve"> functions </w:t>
      </w:r>
      <w:r w:rsidRPr="00E134DC">
        <w:rPr>
          <w:u w:val="single"/>
        </w:rPr>
        <w:t>could be severed</w:t>
      </w:r>
      <w:r w:rsidRPr="005E6A1A">
        <w:rPr>
          <w:u w:val="single"/>
        </w:rPr>
        <w:t xml:space="preserve"> </w:t>
      </w:r>
      <w:proofErr w:type="gramStart"/>
      <w:r w:rsidRPr="005E6A1A">
        <w:rPr>
          <w:u w:val="single"/>
        </w:rPr>
        <w:t>from</w:t>
      </w:r>
      <w:proofErr w:type="gramEnd"/>
      <w:r w:rsidRPr="005E6A1A">
        <w:rPr>
          <w:u w:val="single"/>
        </w:rPr>
        <w:t xml:space="preserve"> the Board </w:t>
      </w:r>
      <w:r w:rsidRPr="0085747D">
        <w:rPr>
          <w:b/>
          <w:iCs/>
          <w:highlight w:val="cyan"/>
          <w:u w:val="single"/>
          <w:bdr w:val="single" w:sz="8" w:space="0" w:color="auto"/>
        </w:rPr>
        <w:t xml:space="preserve">without undermining </w:t>
      </w:r>
      <w:r w:rsidRPr="0085747D">
        <w:rPr>
          <w:highlight w:val="cyan"/>
          <w:u w:val="single"/>
        </w:rPr>
        <w:t>its general mission</w:t>
      </w:r>
      <w:r w:rsidRPr="005E6A1A">
        <w:rPr>
          <w:u w:val="single"/>
        </w:rPr>
        <w:t xml:space="preserve"> as contemplated by Congress</w:t>
      </w:r>
      <w:r w:rsidRPr="005E6A1A">
        <w:rPr>
          <w:sz w:val="16"/>
        </w:rPr>
        <w:t xml:space="preserve">. In other cases, </w:t>
      </w:r>
      <w:r w:rsidRPr="005E6A1A">
        <w:rPr>
          <w:u w:val="single"/>
        </w:rPr>
        <w:t xml:space="preserve">where the Court has found problems with removal protections, it has engaged in </w:t>
      </w:r>
      <w:r w:rsidRPr="005E6A1A">
        <w:rPr>
          <w:b/>
          <w:iCs/>
          <w:u w:val="single"/>
          <w:bdr w:val="single" w:sz="8" w:space="0" w:color="auto"/>
        </w:rPr>
        <w:t xml:space="preserve">severability </w:t>
      </w:r>
      <w:proofErr w:type="gramStart"/>
      <w:r w:rsidRPr="005E6A1A">
        <w:rPr>
          <w:b/>
          <w:iCs/>
          <w:u w:val="single"/>
          <w:bdr w:val="single" w:sz="8" w:space="0" w:color="auto"/>
        </w:rPr>
        <w:t>analysis</w:t>
      </w:r>
      <w:r w:rsidRPr="005E6A1A">
        <w:rPr>
          <w:sz w:val="16"/>
        </w:rPr>
        <w:t>, and</w:t>
      </w:r>
      <w:proofErr w:type="gramEnd"/>
      <w:r w:rsidRPr="005E6A1A">
        <w:rPr>
          <w:sz w:val="16"/>
        </w:rPr>
        <w:t xml:space="preserve"> hopefully will do so in this case.</w:t>
      </w:r>
    </w:p>
    <w:p w14:paraId="3B3C33B7" w14:textId="77777777" w:rsidR="004B1769" w:rsidRPr="005E6A1A" w:rsidRDefault="004B1769" w:rsidP="004B1769">
      <w:pPr>
        <w:rPr>
          <w:sz w:val="16"/>
        </w:rPr>
      </w:pPr>
      <w:r w:rsidRPr="005E6A1A">
        <w:rPr>
          <w:sz w:val="16"/>
        </w:rPr>
        <w:t>Understandably, the President may still argue that the executive’s responsibility under Article II, § 3 to “take Care that the Laws be faithfully executed” entails the final say over policies of the United States having legal effect arrived at both in agency adjudications and rulemaking, unless they are rendered in decisions by Article III courts.</w:t>
      </w:r>
    </w:p>
    <w:p w14:paraId="0F98C156" w14:textId="77777777" w:rsidR="004B1769" w:rsidRPr="005E6A1A" w:rsidRDefault="004B1769" w:rsidP="004B1769">
      <w:pPr>
        <w:rPr>
          <w:sz w:val="16"/>
        </w:rPr>
      </w:pPr>
      <w:r w:rsidRPr="005E6A1A">
        <w:rPr>
          <w:sz w:val="16"/>
        </w:rPr>
        <w:t xml:space="preserve">But </w:t>
      </w:r>
      <w:r w:rsidRPr="005E6A1A">
        <w:rPr>
          <w:u w:val="single"/>
        </w:rPr>
        <w:t xml:space="preserve">in addition to concerns over the fate of the Federal Reserve System, </w:t>
      </w:r>
      <w:r w:rsidRPr="0085747D">
        <w:rPr>
          <w:highlight w:val="cyan"/>
          <w:u w:val="single"/>
        </w:rPr>
        <w:t>the</w:t>
      </w:r>
      <w:r w:rsidRPr="005E6A1A">
        <w:rPr>
          <w:u w:val="single"/>
        </w:rPr>
        <w:t xml:space="preserve"> Supreme </w:t>
      </w:r>
      <w:r w:rsidRPr="0085747D">
        <w:rPr>
          <w:highlight w:val="cyan"/>
          <w:u w:val="single"/>
        </w:rPr>
        <w:t xml:space="preserve">Court </w:t>
      </w:r>
      <w:r w:rsidRPr="00E134DC">
        <w:rPr>
          <w:u w:val="single"/>
        </w:rPr>
        <w:t xml:space="preserve">may </w:t>
      </w:r>
      <w:r w:rsidRPr="0085747D">
        <w:rPr>
          <w:highlight w:val="cyan"/>
          <w:u w:val="single"/>
        </w:rPr>
        <w:t xml:space="preserve">have an </w:t>
      </w:r>
      <w:r w:rsidRPr="00E134DC">
        <w:rPr>
          <w:b/>
          <w:iCs/>
          <w:u w:val="single"/>
          <w:bdr w:val="single" w:sz="8" w:space="0" w:color="auto"/>
        </w:rPr>
        <w:t xml:space="preserve">added </w:t>
      </w:r>
      <w:r w:rsidRPr="0085747D">
        <w:rPr>
          <w:b/>
          <w:iCs/>
          <w:highlight w:val="cyan"/>
          <w:u w:val="single"/>
          <w:bdr w:val="single" w:sz="8" w:space="0" w:color="auto"/>
        </w:rPr>
        <w:t>incentive</w:t>
      </w:r>
      <w:r w:rsidRPr="0085747D">
        <w:rPr>
          <w:highlight w:val="cyan"/>
          <w:u w:val="single"/>
        </w:rPr>
        <w:t xml:space="preserve"> to employ the</w:t>
      </w:r>
      <w:r w:rsidRPr="005E6A1A">
        <w:rPr>
          <w:u w:val="single"/>
        </w:rPr>
        <w:t xml:space="preserve"> suggested </w:t>
      </w:r>
      <w:r w:rsidRPr="0085747D">
        <w:rPr>
          <w:highlight w:val="cyan"/>
          <w:u w:val="single"/>
        </w:rPr>
        <w:t xml:space="preserve">severability approach because </w:t>
      </w:r>
      <w:r w:rsidRPr="0085747D">
        <w:rPr>
          <w:u w:val="single"/>
        </w:rPr>
        <w:t xml:space="preserve">allowing </w:t>
      </w:r>
      <w:r w:rsidRPr="0085747D">
        <w:rPr>
          <w:highlight w:val="cyan"/>
          <w:u w:val="single"/>
        </w:rPr>
        <w:t>at-will</w:t>
      </w:r>
      <w:r w:rsidRPr="005E6A1A">
        <w:rPr>
          <w:u w:val="single"/>
        </w:rPr>
        <w:t xml:space="preserve"> presidential </w:t>
      </w:r>
      <w:r w:rsidRPr="0085747D">
        <w:rPr>
          <w:highlight w:val="cyan"/>
          <w:u w:val="single"/>
        </w:rPr>
        <w:t>removal</w:t>
      </w:r>
      <w:r w:rsidRPr="005E6A1A">
        <w:rPr>
          <w:u w:val="single"/>
        </w:rPr>
        <w:t xml:space="preserve"> of members of adjudicatory bodies </w:t>
      </w:r>
      <w:r w:rsidRPr="0085747D">
        <w:rPr>
          <w:highlight w:val="cyan"/>
          <w:u w:val="single"/>
        </w:rPr>
        <w:t>will</w:t>
      </w:r>
      <w:r w:rsidRPr="005E6A1A">
        <w:rPr>
          <w:u w:val="single"/>
        </w:rPr>
        <w:t xml:space="preserve"> likely </w:t>
      </w:r>
      <w:r w:rsidRPr="0085747D">
        <w:rPr>
          <w:b/>
          <w:iCs/>
          <w:highlight w:val="cyan"/>
          <w:u w:val="single"/>
          <w:bdr w:val="single" w:sz="8" w:space="0" w:color="auto"/>
        </w:rPr>
        <w:t>undermine</w:t>
      </w:r>
      <w:r w:rsidRPr="0085747D">
        <w:rPr>
          <w:highlight w:val="cyan"/>
          <w:u w:val="single"/>
        </w:rPr>
        <w:t xml:space="preserve"> </w:t>
      </w:r>
      <w:r w:rsidRPr="0085747D">
        <w:rPr>
          <w:u w:val="single"/>
        </w:rPr>
        <w:t>the</w:t>
      </w:r>
      <w:r w:rsidRPr="005E6A1A">
        <w:rPr>
          <w:u w:val="single"/>
        </w:rPr>
        <w:t xml:space="preserve"> actual and certainly </w:t>
      </w:r>
      <w:r w:rsidRPr="0085747D">
        <w:rPr>
          <w:b/>
          <w:iCs/>
          <w:highlight w:val="cyan"/>
          <w:u w:val="single"/>
          <w:bdr w:val="single" w:sz="8" w:space="0" w:color="auto"/>
        </w:rPr>
        <w:t>perceived integrity</w:t>
      </w:r>
      <w:r w:rsidRPr="0085747D">
        <w:rPr>
          <w:highlight w:val="cyan"/>
          <w:u w:val="single"/>
        </w:rPr>
        <w:t xml:space="preserve"> </w:t>
      </w:r>
      <w:r w:rsidRPr="0085747D">
        <w:rPr>
          <w:u w:val="single"/>
        </w:rPr>
        <w:t>of these tribunals</w:t>
      </w:r>
      <w:r w:rsidRPr="0085747D">
        <w:rPr>
          <w:sz w:val="16"/>
        </w:rPr>
        <w:t xml:space="preserve">. </w:t>
      </w:r>
      <w:r w:rsidRPr="0085747D">
        <w:rPr>
          <w:u w:val="single"/>
        </w:rPr>
        <w:t>No one will regard a process as fair and having integrity if the adjudicator is influenced in rendering a decision by fear of possible removal by the President</w:t>
      </w:r>
      <w:r w:rsidRPr="005E6A1A">
        <w:rPr>
          <w:sz w:val="16"/>
        </w:rPr>
        <w:t xml:space="preserve"> for any reason if the order is considered unfavorable to the interests of a business or trade or other interest group supporting the President’s party.</w:t>
      </w:r>
    </w:p>
    <w:p w14:paraId="723DA926" w14:textId="77777777" w:rsidR="004B1769" w:rsidRPr="005E6A1A" w:rsidRDefault="004B1769" w:rsidP="004B1769">
      <w:pPr>
        <w:rPr>
          <w:sz w:val="16"/>
        </w:rPr>
      </w:pPr>
      <w:r w:rsidRPr="005E6A1A">
        <w:rPr>
          <w:sz w:val="16"/>
        </w:rPr>
        <w:t xml:space="preserve">At-will removal of adjudicators would have enormous implications for adjudications in other multimember agencies like the Federal Trade Commission, the Securities and Exchange Commission, the Nuclear Regulatory Commission and many others but also for a wide range of Article I or Legislative Courts—tribunals like the U.S. Tax Court, the U.S. Court of Federal Claims, the U.S. Court of Appeals for Veterans Claims, and the U.S. Court of Appeals for the Armed Forces—whose members sit for relatively long terms protected against removal without cause before expiration of their terms. The Justices will have to consider whether a ruling in the case of the NLRB or other agencies that </w:t>
      </w:r>
      <w:proofErr w:type="gramStart"/>
      <w:r w:rsidRPr="005E6A1A">
        <w:rPr>
          <w:sz w:val="16"/>
        </w:rPr>
        <w:t>ends</w:t>
      </w:r>
      <w:proofErr w:type="gramEnd"/>
      <w:r w:rsidRPr="005E6A1A">
        <w:rPr>
          <w:sz w:val="16"/>
        </w:rPr>
        <w:t xml:space="preserve"> up requiring all adjudications to be held in tribunals whose members are removable at-will or in Article III courts (where judges must have life tenure) will be practicable and beneficial for our system.</w:t>
      </w:r>
    </w:p>
    <w:p w14:paraId="428F1DC0" w14:textId="77777777" w:rsidR="004B1769" w:rsidRPr="008809D4" w:rsidRDefault="004B1769" w:rsidP="004B1769"/>
    <w:p w14:paraId="116489C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C440" w14:textId="77777777" w:rsidR="00BE5A86" w:rsidRDefault="00BE5A86" w:rsidP="00066D2C">
      <w:pPr>
        <w:spacing w:after="0" w:line="240" w:lineRule="auto"/>
      </w:pPr>
      <w:r>
        <w:separator/>
      </w:r>
    </w:p>
  </w:endnote>
  <w:endnote w:type="continuationSeparator" w:id="0">
    <w:p w14:paraId="42771106" w14:textId="77777777" w:rsidR="00BE5A86" w:rsidRDefault="00BE5A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CB9E6" w14:textId="77777777" w:rsidR="00BE5A86" w:rsidRDefault="00BE5A86" w:rsidP="00066D2C">
      <w:pPr>
        <w:spacing w:after="0" w:line="240" w:lineRule="auto"/>
      </w:pPr>
      <w:r>
        <w:separator/>
      </w:r>
    </w:p>
  </w:footnote>
  <w:footnote w:type="continuationSeparator" w:id="0">
    <w:p w14:paraId="305A895D" w14:textId="77777777" w:rsidR="00BE5A86" w:rsidRDefault="00BE5A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24198F"/>
    <w:multiLevelType w:val="hybridMultilevel"/>
    <w:tmpl w:val="00761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37793C"/>
    <w:multiLevelType w:val="hybridMultilevel"/>
    <w:tmpl w:val="974A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9F3F94"/>
    <w:multiLevelType w:val="hybridMultilevel"/>
    <w:tmpl w:val="C7DE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B251A7"/>
    <w:multiLevelType w:val="hybridMultilevel"/>
    <w:tmpl w:val="2CC4C01C"/>
    <w:lvl w:ilvl="0" w:tplc="7038884E">
      <w:start w:val="1"/>
      <w:numFmt w:val="decimal"/>
      <w:lvlText w:val="%1."/>
      <w:lvlJc w:val="left"/>
      <w:pPr>
        <w:ind w:left="720" w:hanging="360"/>
      </w:pPr>
      <w:rPr>
        <w:rFonts w:ascii="Arial" w:eastAsiaTheme="majorEastAsia" w:hAnsi="Arial" w:cstheme="majorBidi"/>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F3BF0"/>
    <w:multiLevelType w:val="hybridMultilevel"/>
    <w:tmpl w:val="AD1A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8CD79FF"/>
    <w:multiLevelType w:val="hybridMultilevel"/>
    <w:tmpl w:val="B1D4AB62"/>
    <w:lvl w:ilvl="0" w:tplc="0966CA34">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D826B24"/>
    <w:multiLevelType w:val="hybridMultilevel"/>
    <w:tmpl w:val="3312B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C22710"/>
    <w:multiLevelType w:val="hybridMultilevel"/>
    <w:tmpl w:val="2840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5"/>
  </w:num>
  <w:num w:numId="45" w16cid:durableId="384380342">
    <w:abstractNumId w:val="47"/>
  </w:num>
  <w:num w:numId="46" w16cid:durableId="623194516">
    <w:abstractNumId w:val="23"/>
  </w:num>
  <w:num w:numId="47" w16cid:durableId="1110660144">
    <w:abstractNumId w:val="13"/>
  </w:num>
  <w:num w:numId="48" w16cid:durableId="303202244">
    <w:abstractNumId w:val="46"/>
  </w:num>
  <w:num w:numId="49" w16cid:durableId="1654872188">
    <w:abstractNumId w:val="39"/>
  </w:num>
  <w:num w:numId="50" w16cid:durableId="1133056768">
    <w:abstractNumId w:val="21"/>
  </w:num>
  <w:num w:numId="51" w16cid:durableId="1186212455">
    <w:abstractNumId w:val="20"/>
  </w:num>
  <w:num w:numId="52" w16cid:durableId="1882788536">
    <w:abstractNumId w:val="45"/>
  </w:num>
  <w:num w:numId="53" w16cid:durableId="1172723556">
    <w:abstractNumId w:val="38"/>
  </w:num>
  <w:num w:numId="54" w16cid:durableId="1707366295">
    <w:abstractNumId w:val="37"/>
  </w:num>
  <w:num w:numId="55" w16cid:durableId="372196480">
    <w:abstractNumId w:val="44"/>
  </w:num>
  <w:num w:numId="56" w16cid:durableId="607661620">
    <w:abstractNumId w:val="52"/>
  </w:num>
  <w:num w:numId="57" w16cid:durableId="492138247">
    <w:abstractNumId w:val="26"/>
  </w:num>
  <w:num w:numId="58" w16cid:durableId="87505059">
    <w:abstractNumId w:val="32"/>
  </w:num>
  <w:num w:numId="59" w16cid:durableId="138034058">
    <w:abstractNumId w:val="29"/>
  </w:num>
  <w:num w:numId="60" w16cid:durableId="934679023">
    <w:abstractNumId w:val="24"/>
  </w:num>
  <w:num w:numId="61" w16cid:durableId="262033439">
    <w:abstractNumId w:val="53"/>
  </w:num>
  <w:num w:numId="62" w16cid:durableId="1688215661">
    <w:abstractNumId w:val="49"/>
  </w:num>
  <w:num w:numId="63" w16cid:durableId="1853645543">
    <w:abstractNumId w:val="11"/>
  </w:num>
  <w:num w:numId="64" w16cid:durableId="218366481">
    <w:abstractNumId w:val="48"/>
  </w:num>
  <w:num w:numId="65" w16cid:durableId="404768631">
    <w:abstractNumId w:val="51"/>
  </w:num>
  <w:num w:numId="66" w16cid:durableId="1500584223">
    <w:abstractNumId w:val="42"/>
  </w:num>
  <w:num w:numId="67" w16cid:durableId="1952976532">
    <w:abstractNumId w:val="31"/>
  </w:num>
  <w:num w:numId="68" w16cid:durableId="1774128851">
    <w:abstractNumId w:val="43"/>
  </w:num>
  <w:num w:numId="69" w16cid:durableId="184829540">
    <w:abstractNumId w:val="34"/>
  </w:num>
  <w:num w:numId="70" w16cid:durableId="1519543746">
    <w:abstractNumId w:val="54"/>
  </w:num>
  <w:num w:numId="71" w16cid:durableId="757752880">
    <w:abstractNumId w:val="10"/>
  </w:num>
  <w:num w:numId="72" w16cid:durableId="1096361842">
    <w:abstractNumId w:val="40"/>
  </w:num>
  <w:num w:numId="73" w16cid:durableId="1682202111">
    <w:abstractNumId w:val="12"/>
  </w:num>
  <w:num w:numId="74" w16cid:durableId="2016568326">
    <w:abstractNumId w:val="36"/>
  </w:num>
  <w:num w:numId="75" w16cid:durableId="322511628">
    <w:abstractNumId w:val="55"/>
  </w:num>
  <w:num w:numId="76" w16cid:durableId="923534867">
    <w:abstractNumId w:val="27"/>
  </w:num>
  <w:num w:numId="77" w16cid:durableId="61291901">
    <w:abstractNumId w:val="18"/>
  </w:num>
  <w:num w:numId="78" w16cid:durableId="1665549771">
    <w:abstractNumId w:val="22"/>
  </w:num>
  <w:num w:numId="79" w16cid:durableId="744690893">
    <w:abstractNumId w:val="33"/>
  </w:num>
  <w:num w:numId="80" w16cid:durableId="1204291823">
    <w:abstractNumId w:val="28"/>
  </w:num>
  <w:num w:numId="81" w16cid:durableId="387530059">
    <w:abstractNumId w:val="30"/>
  </w:num>
  <w:num w:numId="82" w16cid:durableId="1952584584">
    <w:abstractNumId w:val="14"/>
  </w:num>
  <w:num w:numId="83" w16cid:durableId="910457477">
    <w:abstractNumId w:val="56"/>
  </w:num>
  <w:num w:numId="84" w16cid:durableId="809249130">
    <w:abstractNumId w:val="41"/>
  </w:num>
  <w:num w:numId="85" w16cid:durableId="1764570611">
    <w:abstractNumId w:val="25"/>
  </w:num>
  <w:num w:numId="86" w16cid:durableId="1025329046">
    <w:abstractNumId w:val="50"/>
  </w:num>
  <w:num w:numId="87" w16cid:durableId="1070352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1769"/>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6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64"/>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5A8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6ADA2"/>
  <w15:chartTrackingRefBased/>
  <w15:docId w15:val="{D658F5AB-E51A-4EBC-A22F-2EDEA6E1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1769"/>
    <w:rPr>
      <w:rFonts w:ascii="Times New Roman" w:hAnsi="Times New Roman" w:cs="Times New Roman"/>
    </w:rPr>
  </w:style>
  <w:style w:type="paragraph" w:styleId="Heading1">
    <w:name w:val="heading 1"/>
    <w:aliases w:val="Pocket"/>
    <w:basedOn w:val="Normal"/>
    <w:next w:val="Normal"/>
    <w:link w:val="Heading1Char"/>
    <w:qFormat/>
    <w:rsid w:val="004B17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17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4B17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Heading 21,no read,No Spacing12,No Spacing211,No Spacing2111,Heading 211,TAG,Card,ta,Ta"/>
    <w:basedOn w:val="Normal"/>
    <w:next w:val="Normal"/>
    <w:link w:val="Heading4Char"/>
    <w:uiPriority w:val="3"/>
    <w:qFormat/>
    <w:rsid w:val="004B17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B17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17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7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7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7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17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76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B176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B1769"/>
    <w:rPr>
      <w:color w:val="auto"/>
      <w:u w:val="none"/>
    </w:rPr>
  </w:style>
  <w:style w:type="character" w:customStyle="1" w:styleId="Heading1Char">
    <w:name w:val="Heading 1 Char"/>
    <w:aliases w:val="Pocket Char"/>
    <w:basedOn w:val="DefaultParagraphFont"/>
    <w:link w:val="Heading1"/>
    <w:rsid w:val="004B176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B1769"/>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4B1769"/>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TAG Char"/>
    <w:basedOn w:val="DefaultParagraphFont"/>
    <w:link w:val="Heading4"/>
    <w:uiPriority w:val="3"/>
    <w:rsid w:val="004B1769"/>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B1769"/>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B1769"/>
    <w:rPr>
      <w:b w:val="0"/>
      <w:sz w:val="22"/>
      <w:u w:val="single"/>
    </w:rPr>
  </w:style>
  <w:style w:type="character" w:styleId="Strong">
    <w:name w:val="Strong"/>
    <w:basedOn w:val="DefaultParagraphFont"/>
    <w:uiPriority w:val="22"/>
    <w:qFormat/>
    <w:rsid w:val="004B1769"/>
    <w:rPr>
      <w:b/>
      <w:bCs/>
    </w:rPr>
  </w:style>
  <w:style w:type="character" w:styleId="BookTitle">
    <w:name w:val="Book Title"/>
    <w:basedOn w:val="DefaultParagraphFont"/>
    <w:uiPriority w:val="33"/>
    <w:qFormat/>
    <w:rsid w:val="004B1769"/>
    <w:rPr>
      <w:b/>
      <w:bCs/>
      <w:i/>
      <w:iCs/>
      <w:spacing w:val="5"/>
    </w:rPr>
  </w:style>
  <w:style w:type="character" w:customStyle="1" w:styleId="Heading5Char">
    <w:name w:val="Heading 5 Char"/>
    <w:basedOn w:val="DefaultParagraphFont"/>
    <w:link w:val="Heading5"/>
    <w:uiPriority w:val="9"/>
    <w:rsid w:val="004B17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1769"/>
  </w:style>
  <w:style w:type="paragraph" w:styleId="Header">
    <w:name w:val="header"/>
    <w:basedOn w:val="Normal"/>
    <w:link w:val="HeaderChar"/>
    <w:uiPriority w:val="99"/>
    <w:rsid w:val="004B1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769"/>
    <w:rPr>
      <w:rFonts w:ascii="Times New Roman" w:hAnsi="Times New Roman" w:cs="Times New Roman"/>
    </w:rPr>
  </w:style>
  <w:style w:type="paragraph" w:styleId="Footer">
    <w:name w:val="footer"/>
    <w:basedOn w:val="Normal"/>
    <w:link w:val="FooterChar"/>
    <w:uiPriority w:val="99"/>
    <w:rsid w:val="004B1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769"/>
    <w:rPr>
      <w:rFonts w:ascii="Times New Roman" w:hAnsi="Times New Roman" w:cs="Times New Roman"/>
    </w:rPr>
  </w:style>
  <w:style w:type="paragraph" w:styleId="BodyText">
    <w:name w:val="Body Text"/>
    <w:basedOn w:val="Normal"/>
    <w:link w:val="BodyTextChar"/>
    <w:uiPriority w:val="99"/>
    <w:unhideWhenUsed/>
    <w:rsid w:val="004B1769"/>
    <w:pPr>
      <w:spacing w:after="120"/>
    </w:pPr>
  </w:style>
  <w:style w:type="character" w:customStyle="1" w:styleId="BodyTextChar">
    <w:name w:val="Body Text Char"/>
    <w:basedOn w:val="DefaultParagraphFont"/>
    <w:link w:val="BodyText"/>
    <w:uiPriority w:val="99"/>
    <w:rsid w:val="004B1769"/>
    <w:rPr>
      <w:rFonts w:ascii="Times New Roman" w:hAnsi="Times New Roman" w:cs="Times New Roman"/>
    </w:rPr>
  </w:style>
  <w:style w:type="paragraph" w:styleId="NoSpacing">
    <w:name w:val="No Spacing"/>
    <w:link w:val="NoSpacingChar"/>
    <w:uiPriority w:val="99"/>
    <w:unhideWhenUsed/>
    <w:qFormat/>
    <w:rsid w:val="004B17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B176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4B1769"/>
    <w:rPr>
      <w:color w:val="0563C1" w:themeColor="hyperlink"/>
      <w:u w:val="single"/>
    </w:rPr>
  </w:style>
  <w:style w:type="character" w:styleId="UnresolvedMention">
    <w:name w:val="Unresolved Mention"/>
    <w:basedOn w:val="DefaultParagraphFont"/>
    <w:uiPriority w:val="99"/>
    <w:semiHidden/>
    <w:unhideWhenUsed/>
    <w:rsid w:val="004B1769"/>
    <w:rPr>
      <w:color w:val="605E5C"/>
      <w:shd w:val="clear" w:color="auto" w:fill="E1DFDD"/>
    </w:rPr>
  </w:style>
  <w:style w:type="paragraph" w:customStyle="1" w:styleId="Analytic">
    <w:name w:val="Analytic"/>
    <w:basedOn w:val="Heading4"/>
    <w:link w:val="AnalyticChar"/>
    <w:autoRedefine/>
    <w:uiPriority w:val="5"/>
    <w:qFormat/>
    <w:rsid w:val="004B1769"/>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4B1769"/>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B17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176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4B176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Heading6Char">
    <w:name w:val="Heading 6 Char"/>
    <w:basedOn w:val="DefaultParagraphFont"/>
    <w:link w:val="Heading6"/>
    <w:uiPriority w:val="9"/>
    <w:semiHidden/>
    <w:rsid w:val="004B176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B176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B176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B1769"/>
    <w:rPr>
      <w:rFonts w:ascii="Times New Roman" w:eastAsiaTheme="majorEastAsia" w:hAnsi="Times New Roman" w:cstheme="majorBidi"/>
      <w:color w:val="272727" w:themeColor="text1" w:themeTint="D8"/>
    </w:rPr>
  </w:style>
  <w:style w:type="numbering" w:customStyle="1" w:styleId="StyleNumbered">
    <w:name w:val="StyleNumbered"/>
    <w:rsid w:val="004B1769"/>
    <w:pPr>
      <w:numPr>
        <w:numId w:val="46"/>
      </w:numPr>
    </w:pPr>
  </w:style>
  <w:style w:type="numbering" w:customStyle="1" w:styleId="1ai">
    <w:name w:val="1ai"/>
    <w:rsid w:val="004B1769"/>
    <w:pPr>
      <w:numPr>
        <w:numId w:val="45"/>
      </w:numPr>
    </w:pPr>
  </w:style>
  <w:style w:type="paragraph" w:styleId="Title">
    <w:name w:val="Title"/>
    <w:basedOn w:val="Normal"/>
    <w:next w:val="Normal"/>
    <w:link w:val="TitleChar"/>
    <w:uiPriority w:val="10"/>
    <w:qFormat/>
    <w:rsid w:val="004B17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76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B1769"/>
    <w:pPr>
      <w:spacing w:before="160"/>
      <w:jc w:val="center"/>
    </w:pPr>
    <w:rPr>
      <w:i/>
      <w:iCs/>
      <w:color w:val="404040" w:themeColor="text1" w:themeTint="BF"/>
    </w:rPr>
  </w:style>
  <w:style w:type="character" w:customStyle="1" w:styleId="QuoteChar">
    <w:name w:val="Quote Char"/>
    <w:basedOn w:val="DefaultParagraphFont"/>
    <w:link w:val="Quote"/>
    <w:uiPriority w:val="29"/>
    <w:rsid w:val="004B1769"/>
    <w:rPr>
      <w:rFonts w:ascii="Times New Roman" w:hAnsi="Times New Roman" w:cs="Times New Roman"/>
      <w:i/>
      <w:iCs/>
      <w:color w:val="404040" w:themeColor="text1" w:themeTint="BF"/>
    </w:rPr>
  </w:style>
  <w:style w:type="paragraph" w:styleId="ListParagraph">
    <w:name w:val="List Paragraph"/>
    <w:aliases w:val="6 font"/>
    <w:basedOn w:val="Normal"/>
    <w:uiPriority w:val="34"/>
    <w:qFormat/>
    <w:rsid w:val="004B1769"/>
    <w:pPr>
      <w:ind w:left="720"/>
      <w:contextualSpacing/>
    </w:pPr>
  </w:style>
  <w:style w:type="character" w:styleId="IntenseEmphasis">
    <w:name w:val="Intense Emphasis"/>
    <w:basedOn w:val="DefaultParagraphFont"/>
    <w:uiPriority w:val="21"/>
    <w:qFormat/>
    <w:rsid w:val="004B1769"/>
    <w:rPr>
      <w:i/>
      <w:iCs/>
      <w:color w:val="2F5496" w:themeColor="accent1" w:themeShade="BF"/>
    </w:rPr>
  </w:style>
  <w:style w:type="paragraph" w:styleId="IntenseQuote">
    <w:name w:val="Intense Quote"/>
    <w:basedOn w:val="Normal"/>
    <w:next w:val="Normal"/>
    <w:link w:val="IntenseQuoteChar"/>
    <w:uiPriority w:val="30"/>
    <w:qFormat/>
    <w:rsid w:val="004B1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76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B1769"/>
    <w:rPr>
      <w:b/>
      <w:bCs/>
      <w:smallCaps/>
      <w:color w:val="2F5496" w:themeColor="accent1" w:themeShade="BF"/>
      <w:spacing w:val="5"/>
    </w:rPr>
  </w:style>
  <w:style w:type="paragraph" w:customStyle="1" w:styleId="Emphasis1">
    <w:name w:val="Emphasis1"/>
    <w:basedOn w:val="Normal"/>
    <w:autoRedefine/>
    <w:uiPriority w:val="8"/>
    <w:qFormat/>
    <w:rsid w:val="004B176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4B1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B1769"/>
    <w:pPr>
      <w:spacing w:after="0" w:line="240" w:lineRule="auto"/>
    </w:pPr>
    <w:rPr>
      <w:u w:val="single"/>
    </w:rPr>
  </w:style>
  <w:style w:type="paragraph" w:customStyle="1" w:styleId="UnderlinePara">
    <w:name w:val="Underline Para"/>
    <w:basedOn w:val="Normal"/>
    <w:uiPriority w:val="7"/>
    <w:qFormat/>
    <w:rsid w:val="004B1769"/>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4B1769"/>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4B176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4B1769"/>
    <w:pPr>
      <w:numPr>
        <w:numId w:val="59"/>
      </w:numPr>
    </w:pPr>
  </w:style>
  <w:style w:type="character" w:customStyle="1" w:styleId="underline">
    <w:name w:val="underline"/>
    <w:basedOn w:val="DefaultParagraphFont"/>
    <w:qFormat/>
    <w:rsid w:val="004B1769"/>
    <w:rPr>
      <w:rFonts w:ascii="Times New Roman" w:hAnsi="Times New Roman"/>
      <w:u w:val="single"/>
    </w:rPr>
  </w:style>
  <w:style w:type="paragraph" w:customStyle="1" w:styleId="Indent">
    <w:name w:val="Indent"/>
    <w:basedOn w:val="Normal"/>
    <w:autoRedefine/>
    <w:qFormat/>
    <w:rsid w:val="004B1769"/>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10498</Words>
  <Characters>59839</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1</cp:revision>
  <dcterms:created xsi:type="dcterms:W3CDTF">2025-11-01T19:46:00Z</dcterms:created>
  <dcterms:modified xsi:type="dcterms:W3CDTF">2025-11-01T19:48:00Z</dcterms:modified>
</cp:coreProperties>
</file>