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BF01" w14:textId="77777777" w:rsidR="005D388F" w:rsidRDefault="005D388F" w:rsidP="005D388F"/>
    <w:p w14:paraId="3DA6A1E1" w14:textId="5FE250DF" w:rsidR="00D93CF5" w:rsidRDefault="00D93CF5" w:rsidP="00E44DB0">
      <w:pPr>
        <w:pStyle w:val="Heading2"/>
      </w:pPr>
      <w:r>
        <w:t>CP</w:t>
      </w:r>
    </w:p>
    <w:p w14:paraId="2760BF44" w14:textId="77777777" w:rsidR="00D93CF5" w:rsidRDefault="00D93CF5" w:rsidP="00D93CF5"/>
    <w:p w14:paraId="6BBA487B" w14:textId="42B78C93" w:rsidR="00D93CF5" w:rsidRDefault="00A205B4" w:rsidP="00A205B4">
      <w:pPr>
        <w:pStyle w:val="Heading4"/>
      </w:pPr>
      <w:r>
        <w:t xml:space="preserve">The United States Federal Government should mandate </w:t>
      </w:r>
      <w:r w:rsidR="0009077C">
        <w:t xml:space="preserve">individual </w:t>
      </w:r>
      <w:r>
        <w:t xml:space="preserve">arbitration agreements </w:t>
      </w:r>
      <w:r w:rsidR="00801B22">
        <w:t xml:space="preserve">for Workers in the United States to Substantially Strengthen Collective Bargaining Rights </w:t>
      </w:r>
    </w:p>
    <w:p w14:paraId="77E44FF3" w14:textId="77777777" w:rsidR="00D93CF5" w:rsidRPr="004B41D3" w:rsidRDefault="00D93CF5" w:rsidP="00D93CF5">
      <w:pPr>
        <w:pStyle w:val="Heading4"/>
      </w:pPr>
      <w:r w:rsidRPr="004B41D3">
        <w:t xml:space="preserve">It’s a </w:t>
      </w:r>
      <w:r w:rsidRPr="004B41D3">
        <w:rPr>
          <w:u w:val="single"/>
        </w:rPr>
        <w:t>more effective</w:t>
      </w:r>
      <w:r w:rsidRPr="004B41D3">
        <w:t xml:space="preserve"> means of redress</w:t>
      </w:r>
      <w:r>
        <w:t xml:space="preserve"> and </w:t>
      </w:r>
      <w:r>
        <w:rPr>
          <w:u w:val="single"/>
        </w:rPr>
        <w:t>more costly</w:t>
      </w:r>
      <w:r>
        <w:t xml:space="preserve"> to corporations</w:t>
      </w:r>
    </w:p>
    <w:p w14:paraId="0CDC0A87" w14:textId="77777777" w:rsidR="00D93CF5" w:rsidRDefault="00D93CF5" w:rsidP="00D93CF5">
      <w:r w:rsidRPr="004B41D3">
        <w:rPr>
          <w:rStyle w:val="Style13ptBold"/>
        </w:rPr>
        <w:t>Eisman et. al.</w:t>
      </w:r>
      <w:r>
        <w:t xml:space="preserve"> 10/8/</w:t>
      </w:r>
      <w:r w:rsidRPr="004B41D3">
        <w:rPr>
          <w:rStyle w:val="Style13ptBold"/>
        </w:rPr>
        <w:t>2025</w:t>
      </w:r>
      <w:r>
        <w:t xml:space="preserve"> – [Scott, Craig M. Reiser, and Jarod G. Taylor, “</w:t>
      </w:r>
      <w:r w:rsidRPr="004B41D3">
        <w:t>Be Careful What You Wish For: Class Action Waivers and Arbitration Agreements Can Create Headaches if Not Carefully Drafted</w:t>
      </w:r>
      <w:r>
        <w:t xml:space="preserve">”, Axinn, </w:t>
      </w:r>
      <w:r w:rsidRPr="004B41D3">
        <w:t>https://www.axinn.com/en/insights/axinn-viewpoints/be-careful-what-you-wish-for-class-action-waivers-and-arbitration-agreements-can?id=102lp7o</w:t>
      </w:r>
      <w:r>
        <w:t xml:space="preserve">]//iowa-debate </w:t>
      </w:r>
    </w:p>
    <w:p w14:paraId="708C8A39" w14:textId="77777777" w:rsidR="00D93CF5" w:rsidRPr="004B41D3" w:rsidRDefault="00D93CF5" w:rsidP="00D93CF5">
      <w:pPr>
        <w:rPr>
          <w:sz w:val="16"/>
        </w:rPr>
      </w:pPr>
      <w:r w:rsidRPr="004B41D3">
        <w:rPr>
          <w:rStyle w:val="StyleUnderline"/>
          <w:highlight w:val="yellow"/>
        </w:rPr>
        <w:t>Companies</w:t>
      </w:r>
      <w:r w:rsidRPr="004B41D3">
        <w:rPr>
          <w:rStyle w:val="StyleUnderline"/>
        </w:rPr>
        <w:t xml:space="preserve"> often </w:t>
      </w:r>
      <w:r w:rsidRPr="004B41D3">
        <w:rPr>
          <w:rStyle w:val="StyleUnderline"/>
          <w:highlight w:val="yellow"/>
        </w:rPr>
        <w:t>seek to avoid the expense and</w:t>
      </w:r>
      <w:r w:rsidRPr="004B41D3">
        <w:rPr>
          <w:rStyle w:val="StyleUnderline"/>
        </w:rPr>
        <w:t xml:space="preserve"> outsized potential </w:t>
      </w:r>
      <w:r w:rsidRPr="004B41D3">
        <w:rPr>
          <w:rStyle w:val="StyleUnderline"/>
          <w:highlight w:val="yellow"/>
        </w:rPr>
        <w:t>liability of class actions by</w:t>
      </w:r>
      <w:r w:rsidRPr="004B41D3">
        <w:rPr>
          <w:rStyle w:val="StyleUnderline"/>
        </w:rPr>
        <w:t xml:space="preserve"> </w:t>
      </w:r>
      <w:r w:rsidRPr="004B41D3">
        <w:rPr>
          <w:sz w:val="16"/>
        </w:rPr>
        <w:t>including class action waivers and</w:t>
      </w:r>
      <w:r w:rsidRPr="004B41D3">
        <w:rPr>
          <w:rStyle w:val="StyleUnderline"/>
        </w:rPr>
        <w:t xml:space="preserve"> </w:t>
      </w:r>
      <w:r w:rsidRPr="004B41D3">
        <w:rPr>
          <w:rStyle w:val="Emphasis"/>
          <w:highlight w:val="yellow"/>
        </w:rPr>
        <w:t>arbitration clauses</w:t>
      </w:r>
      <w:r w:rsidRPr="004B41D3">
        <w:rPr>
          <w:sz w:val="16"/>
        </w:rPr>
        <w:t xml:space="preserve"> </w:t>
      </w:r>
      <w:r w:rsidRPr="004B41D3">
        <w:rPr>
          <w:rStyle w:val="StyleUnderline"/>
        </w:rPr>
        <w:t xml:space="preserve">in contracts with consumers, employees, and corporate counterparties alike. But </w:t>
      </w:r>
      <w:r w:rsidRPr="004B41D3">
        <w:rPr>
          <w:rStyle w:val="Emphasis"/>
          <w:highlight w:val="yellow"/>
        </w:rPr>
        <w:t>plaintiffs have increasingly been calling their bluff</w:t>
      </w:r>
      <w:r w:rsidRPr="004B41D3">
        <w:rPr>
          <w:sz w:val="16"/>
          <w:highlight w:val="yellow"/>
        </w:rPr>
        <w:t xml:space="preserve">. </w:t>
      </w:r>
      <w:r w:rsidRPr="004B41D3">
        <w:rPr>
          <w:rStyle w:val="StyleUnderline"/>
          <w:highlight w:val="yellow"/>
        </w:rPr>
        <w:t>Rather than being deterred</w:t>
      </w:r>
      <w:r w:rsidRPr="004B41D3">
        <w:rPr>
          <w:rStyle w:val="StyleUnderline"/>
        </w:rPr>
        <w:t xml:space="preserve"> by the prospect of prosecuting multiple arbitrations, </w:t>
      </w:r>
      <w:r w:rsidRPr="004B41D3">
        <w:rPr>
          <w:rStyle w:val="StyleUnderline"/>
          <w:highlight w:val="yellow"/>
        </w:rPr>
        <w:t xml:space="preserve">plaintiffs’ counsel are leaning into filing </w:t>
      </w:r>
      <w:r w:rsidRPr="004B41D3">
        <w:rPr>
          <w:rStyle w:val="Emphasis"/>
          <w:highlight w:val="yellow"/>
        </w:rPr>
        <w:t>mass arbitrations</w:t>
      </w:r>
      <w:r w:rsidRPr="004B41D3">
        <w:rPr>
          <w:rStyle w:val="StyleUnderline"/>
        </w:rPr>
        <w:t xml:space="preserve">—dozens, hundreds, or even </w:t>
      </w:r>
      <w:r w:rsidRPr="004B41D3">
        <w:rPr>
          <w:rStyle w:val="Emphasis"/>
          <w:highlight w:val="yellow"/>
        </w:rPr>
        <w:t>thousands</w:t>
      </w:r>
      <w:r w:rsidRPr="004B41D3">
        <w:rPr>
          <w:rStyle w:val="StyleUnderline"/>
        </w:rPr>
        <w:t xml:space="preserve"> of arbitrations </w:t>
      </w:r>
      <w:r w:rsidRPr="004B41D3">
        <w:rPr>
          <w:rStyle w:val="StyleUnderline"/>
          <w:highlight w:val="yellow"/>
        </w:rPr>
        <w:t>involving the same allegations</w:t>
      </w:r>
      <w:r w:rsidRPr="004B41D3">
        <w:rPr>
          <w:rStyle w:val="StyleUnderline"/>
        </w:rPr>
        <w:t xml:space="preserve"> against a company </w:t>
      </w:r>
      <w:r w:rsidRPr="004B41D3">
        <w:rPr>
          <w:rStyle w:val="StyleUnderline"/>
          <w:highlight w:val="yellow"/>
        </w:rPr>
        <w:t xml:space="preserve">on behalf of </w:t>
      </w:r>
      <w:r w:rsidRPr="004B41D3">
        <w:rPr>
          <w:rStyle w:val="Emphasis"/>
          <w:highlight w:val="yellow"/>
        </w:rPr>
        <w:t>numerous individual plaintiffs</w:t>
      </w:r>
      <w:r w:rsidRPr="004B41D3">
        <w:rPr>
          <w:sz w:val="16"/>
        </w:rPr>
        <w:t xml:space="preserve">. In response, major arbitral bodies have revised their rules to address some of the problems that mass arbitrations present. Yet these revisions go only so far. </w:t>
      </w:r>
      <w:r w:rsidRPr="004B41D3">
        <w:rPr>
          <w:rStyle w:val="StyleUnderline"/>
        </w:rPr>
        <w:t xml:space="preserve">Mass arbitrations can still be costly for respondents, including through </w:t>
      </w:r>
      <w:r w:rsidRPr="004B41D3">
        <w:rPr>
          <w:rStyle w:val="Emphasis"/>
          <w:highlight w:val="yellow"/>
        </w:rPr>
        <w:t>duplicative proceedings</w:t>
      </w:r>
      <w:r w:rsidRPr="004B41D3">
        <w:rPr>
          <w:rStyle w:val="StyleUnderline"/>
          <w:highlight w:val="yellow"/>
        </w:rPr>
        <w:t xml:space="preserve"> and </w:t>
      </w:r>
      <w:r w:rsidRPr="004B41D3">
        <w:rPr>
          <w:rStyle w:val="Emphasis"/>
          <w:highlight w:val="yellow"/>
        </w:rPr>
        <w:t>high filing fees</w:t>
      </w:r>
      <w:r w:rsidRPr="004B41D3">
        <w:rPr>
          <w:sz w:val="16"/>
        </w:rPr>
        <w:t xml:space="preserve">. Companies should therefore take note and review their arbitration clauses to avoid the problems that can arise by relying solely on the arbitral forum’s default rules. Class Actions and Mass Arbitrations in Context The </w:t>
      </w:r>
      <w:r w:rsidRPr="004B41D3">
        <w:rPr>
          <w:rStyle w:val="StyleUnderline"/>
        </w:rPr>
        <w:t>1966 amendments to the Federal Rules of Civil Procedure created a mechanism for obtaining damages awards on behalf of numerous absent class members on an opt-out basis</w:t>
      </w:r>
      <w:r w:rsidRPr="004B41D3">
        <w:rPr>
          <w:sz w:val="16"/>
        </w:rPr>
        <w:t xml:space="preserve">. A key policy behind the rule was to enable plaintiffs to find representation when the costs of litigating exceed any potential individual award. </w:t>
      </w:r>
      <w:r w:rsidRPr="004B41D3">
        <w:rPr>
          <w:rStyle w:val="StyleUnderline"/>
        </w:rPr>
        <w:t>As the Supreme Court explained forty years ago: “A critical fact in this litigation is that petitioner’s individual stake in the damages award he seeks is only $70. No competent attorney would undertake this complex antitrust action to recover so inconsequential an amount</w:t>
      </w:r>
      <w:r w:rsidRPr="004B41D3">
        <w:rPr>
          <w:sz w:val="16"/>
        </w:rPr>
        <w:t>. Economic reality dictates that petitioner’s suit proceed as a class action or not at all.”[1]</w:t>
      </w:r>
      <w:r w:rsidRPr="004B41D3">
        <w:rPr>
          <w:rStyle w:val="StyleUnderline"/>
        </w:rPr>
        <w:t>Since then, class actions have exploded</w:t>
      </w:r>
      <w:r w:rsidRPr="004B41D3">
        <w:rPr>
          <w:sz w:val="16"/>
        </w:rPr>
        <w:t xml:space="preserve">. For instance, the number of federal class actions increased by 268% between 2010 and 2020.[2] In response to this class action boom, </w:t>
      </w:r>
      <w:r w:rsidRPr="004B41D3">
        <w:rPr>
          <w:rStyle w:val="StyleUnderline"/>
        </w:rPr>
        <w:t>companies turned to class action waivers and arbitration clauses. Some observers feared that this would spell the end of litigation of low-value claims, which are lucrative for lawyers only if brought in bulk</w:t>
      </w:r>
      <w:r w:rsidRPr="004B41D3">
        <w:rPr>
          <w:sz w:val="16"/>
        </w:rPr>
        <w:t xml:space="preserve">. As Justice Breyer put it in dissenting from a decision that effectively required the plaintiffs to pursue individual arbitration in lieu of a class action over their $30 claim: “What rational lawyer would have signed on to represent the [plaintiffs] in litigation for the possibility of fees stemming from a $30.22 claim?”[3] </w:t>
      </w:r>
      <w:r w:rsidRPr="004B41D3">
        <w:rPr>
          <w:rStyle w:val="StyleUnderline"/>
        </w:rPr>
        <w:t>Yet rational lawyers soon found a way to make individual arbitrations lucrative</w:t>
      </w:r>
      <w:r w:rsidRPr="004B41D3">
        <w:rPr>
          <w:sz w:val="16"/>
        </w:rPr>
        <w:t xml:space="preserve">. Indeed, many plaintiffs’ lawyers now view filing multiple small-value arbitrations as an opportunity, rather than an obstacle. </w:t>
      </w:r>
      <w:r w:rsidRPr="004B41D3">
        <w:rPr>
          <w:rStyle w:val="StyleUnderline"/>
        </w:rPr>
        <w:t>A number of factors simultaneously incentivize mass filings and create massive headaches for respondents. Statutory or contractual fee-shifting provisions can make it worthwhile for plaintiffs’ attorneys to litigate many small-value cases.</w:t>
      </w:r>
      <w:r w:rsidRPr="004B41D3">
        <w:rPr>
          <w:sz w:val="16"/>
        </w:rPr>
        <w:t xml:space="preserve"> The Fair Labor Standards Act, for example, awards fees and costs to prevailing employee-plaintiffs, and fee awards can exceed by far compensatory damage awards. </w:t>
      </w:r>
      <w:r w:rsidRPr="004B41D3">
        <w:rPr>
          <w:rStyle w:val="StyleUnderline"/>
        </w:rPr>
        <w:t xml:space="preserve">Companies, meanwhile, face significant risks from facing many arbitrations at once. When hundreds or thousands of individual arbitrations are filed, respondents’ portions of </w:t>
      </w:r>
      <w:r w:rsidRPr="004B41D3">
        <w:rPr>
          <w:rStyle w:val="Emphasis"/>
          <w:highlight w:val="yellow"/>
        </w:rPr>
        <w:t>filing fees alone</w:t>
      </w:r>
      <w:r w:rsidRPr="004B41D3">
        <w:rPr>
          <w:rStyle w:val="StyleUnderline"/>
        </w:rPr>
        <w:t xml:space="preserve"> can </w:t>
      </w:r>
      <w:r w:rsidRPr="004B41D3">
        <w:rPr>
          <w:rStyle w:val="StyleUnderline"/>
          <w:highlight w:val="yellow"/>
        </w:rPr>
        <w:t>reach into the millions</w:t>
      </w:r>
      <w:r w:rsidRPr="004B41D3">
        <w:rPr>
          <w:rStyle w:val="StyleUnderline"/>
        </w:rPr>
        <w:t xml:space="preserve"> of dollars. Not only can companies be on the hook for disproportionate legal and other fees, but </w:t>
      </w:r>
      <w:r w:rsidRPr="004B41D3">
        <w:rPr>
          <w:rStyle w:val="StyleUnderline"/>
          <w:highlight w:val="yellow"/>
        </w:rPr>
        <w:t>those fees can exceed what would have been incurred from class action litigation</w:t>
      </w:r>
      <w:r w:rsidRPr="004B41D3">
        <w:rPr>
          <w:rStyle w:val="StyleUnderline"/>
        </w:rPr>
        <w:t xml:space="preserve"> in court</w:t>
      </w:r>
      <w:r w:rsidRPr="004B41D3">
        <w:rPr>
          <w:sz w:val="16"/>
        </w:rPr>
        <w:t xml:space="preserve">. For example, </w:t>
      </w:r>
      <w:r w:rsidRPr="004B41D3">
        <w:rPr>
          <w:rStyle w:val="StyleUnderline"/>
        </w:rPr>
        <w:t>different plaintiffs making identical claims can demand a separate corporate-representative deposition in each arbitration, as opposed to the single corporate-representative deposition to which they would be entitled in federal court</w:t>
      </w:r>
      <w:r w:rsidRPr="004B41D3">
        <w:rPr>
          <w:sz w:val="16"/>
        </w:rPr>
        <w:t xml:space="preserve">. </w:t>
      </w:r>
      <w:r w:rsidRPr="004B41D3">
        <w:rPr>
          <w:rStyle w:val="StyleUnderline"/>
          <w:highlight w:val="yellow"/>
        </w:rPr>
        <w:t>Multiple arbitrations</w:t>
      </w:r>
      <w:r w:rsidRPr="004B41D3">
        <w:rPr>
          <w:rStyle w:val="StyleUnderline"/>
        </w:rPr>
        <w:t xml:space="preserve">, with duplicative discovery and other proceedings, can thus </w:t>
      </w:r>
      <w:r w:rsidRPr="004B41D3">
        <w:rPr>
          <w:rStyle w:val="Emphasis"/>
          <w:highlight w:val="yellow"/>
        </w:rPr>
        <w:t>ratchet up the cost</w:t>
      </w:r>
      <w:r w:rsidRPr="004B41D3">
        <w:rPr>
          <w:rStyle w:val="StyleUnderline"/>
        </w:rPr>
        <w:t xml:space="preserve"> of litigation </w:t>
      </w:r>
      <w:r w:rsidRPr="004B41D3">
        <w:rPr>
          <w:rStyle w:val="StyleUnderline"/>
          <w:highlight w:val="yellow"/>
        </w:rPr>
        <w:t>while giving plaintiffs</w:t>
      </w:r>
      <w:r w:rsidRPr="004B41D3">
        <w:rPr>
          <w:rStyle w:val="StyleUnderline"/>
        </w:rPr>
        <w:t xml:space="preserve"> </w:t>
      </w:r>
      <w:r w:rsidRPr="004B41D3">
        <w:rPr>
          <w:rStyle w:val="Emphasis"/>
          <w:highlight w:val="yellow"/>
        </w:rPr>
        <w:t>many bites at the apple</w:t>
      </w:r>
      <w:r w:rsidRPr="004B41D3">
        <w:rPr>
          <w:rStyle w:val="StyleUnderline"/>
        </w:rPr>
        <w:t>.</w:t>
      </w:r>
      <w:r>
        <w:rPr>
          <w:rStyle w:val="StyleUnderline"/>
        </w:rPr>
        <w:t xml:space="preserve"> </w:t>
      </w:r>
      <w:r w:rsidRPr="004B41D3">
        <w:rPr>
          <w:sz w:val="16"/>
        </w:rPr>
        <w:t xml:space="preserve">Arbitral Bodies Respond Both the American Arbitration Association and JAMS (formerly the Judicial Arbitration and Mediation Services) have created supplemental mass arbitration rules designed to mitigate some of those problems. In 2024, the AAA adopted its Mass Arbitration Supplementary Rules, which automatically apply when 25 or more similar consumer or employment demands are filed against or on behalf of the same party or related parties. The AAA amended the rules again in April 2025 so that they also apply when 100 or more similar demands in other types of cases are filed. In each case, the rules apply regardless of whether the demands are filed simultaneously. The new rules include: a flat initiation fee regardless of the number of filings, and lower per-case fees that decrease as the number of arbitrations increases; a streamlined preliminary process involving a “process arbitrator” to address issues such as filing requirements, contractual conditions precedent, which arbitrations should be included in the mass arbitration, and the process for selecting merits arbitrators; an analogue to Federal Rule of Civil Procedure 11 requiring filers to affirm that the information filed is correct, which is designed to reduce issues like frivolous cutting and pasting across multiple demands and nonexistent plaintiffs; and procedural consolidation for some purposes, such as allowing substantially similar answers and other pleadings to be filed in a single document, consolidated notices and other documents, and assigning multiple cases to a single merits arbitrator “[t]o facilitate arbitrator selection, to satisfy the parties’ desired arbitrator qualifications, if the number of individual cases exceeds the number of qualified arbitrators in the locale, or in any other circumstance determined by the AAA-ICDR to warrant such action.” JAMS instituted similar Mass Arbitration Procedures and Guidelines in May 2024. While the AAA mass arbitration rules apply automatically, the JAMS rules apply only where its mass arbitration rules are expressly adopted by the parties pre- or post-dispute. </w:t>
      </w:r>
      <w:r w:rsidRPr="004B41D3">
        <w:rPr>
          <w:rStyle w:val="Emphasis"/>
        </w:rPr>
        <w:t xml:space="preserve">The </w:t>
      </w:r>
      <w:r w:rsidRPr="004B41D3">
        <w:rPr>
          <w:rStyle w:val="Emphasis"/>
          <w:highlight w:val="yellow"/>
        </w:rPr>
        <w:t>New Rules Fail to Protect Companies</w:t>
      </w:r>
      <w:r>
        <w:rPr>
          <w:rStyle w:val="Emphasis"/>
        </w:rPr>
        <w:t xml:space="preserve"> </w:t>
      </w:r>
      <w:r w:rsidRPr="004B41D3">
        <w:rPr>
          <w:sz w:val="16"/>
        </w:rPr>
        <w:t xml:space="preserve">Although </w:t>
      </w:r>
      <w:r w:rsidRPr="004B41D3">
        <w:rPr>
          <w:rStyle w:val="StyleUnderline"/>
        </w:rPr>
        <w:t>these rules</w:t>
      </w:r>
      <w:r w:rsidRPr="004B41D3">
        <w:rPr>
          <w:sz w:val="16"/>
        </w:rPr>
        <w:t xml:space="preserve"> are a step in the right direction, they </w:t>
      </w:r>
      <w:r w:rsidRPr="004B41D3">
        <w:rPr>
          <w:rStyle w:val="StyleUnderline"/>
        </w:rPr>
        <w:t>still leave a number of problems unresolved</w:t>
      </w:r>
      <w:r w:rsidRPr="004B41D3">
        <w:rPr>
          <w:sz w:val="16"/>
        </w:rPr>
        <w:t xml:space="preserve">. </w:t>
      </w:r>
      <w:r w:rsidRPr="004B41D3">
        <w:rPr>
          <w:rStyle w:val="Emphasis"/>
          <w:highlight w:val="yellow"/>
        </w:rPr>
        <w:t>Per-case filing fees</w:t>
      </w:r>
      <w:r w:rsidRPr="004B41D3">
        <w:rPr>
          <w:sz w:val="16"/>
        </w:rPr>
        <w:t xml:space="preserve">, while lower under AAA’s and JAMS’s mass-arbitration rules, can </w:t>
      </w:r>
      <w:r w:rsidRPr="004B41D3">
        <w:rPr>
          <w:rStyle w:val="StyleUnderline"/>
          <w:highlight w:val="yellow"/>
        </w:rPr>
        <w:t>still add up</w:t>
      </w:r>
      <w:r w:rsidRPr="004B41D3">
        <w:rPr>
          <w:sz w:val="16"/>
        </w:rPr>
        <w:t xml:space="preserve">, </w:t>
      </w:r>
      <w:r w:rsidRPr="004B41D3">
        <w:rPr>
          <w:rStyle w:val="StyleUnderline"/>
        </w:rPr>
        <w:t>forcing respondents to pay exorbitant fees at the outset, and administrative and arbitrator fees can total millions of dollars if arbitrations go through final merits hearings. And without all-purpose consolidation or a bellwether process, costs can continue to rise as respondents are burdened with duplicative proceedings</w:t>
      </w:r>
      <w:r w:rsidRPr="004B41D3">
        <w:rPr>
          <w:sz w:val="16"/>
        </w:rPr>
        <w:t xml:space="preserve">. Indeed, the new AAA and JAMS rules do not necessarily relieve respondents of the burden of having to put a corporate representative up for multiple depositions or from having the same discovery fights time and again. </w:t>
      </w:r>
      <w:r w:rsidRPr="004B41D3">
        <w:rPr>
          <w:rStyle w:val="StyleUnderline"/>
        </w:rPr>
        <w:t>Different arbitral bodies have different procedures and requirements relating to consolidation and similar mechanisms, and it is vital that companies carefully consider and tailor their arbitration agreements to the disputes most likely to arise under those agreements</w:t>
      </w:r>
      <w:r w:rsidRPr="004B41D3">
        <w:rPr>
          <w:sz w:val="16"/>
        </w:rPr>
        <w:t xml:space="preserve">. The AAA rules implicitly acknowledge this. The Introduction to the Mass Arbitration Supplementary Rules states, “Parties are encouraged to agree to additional processes that make the resolution of their Mass Arbitration more efficient.” For example, companies could include provisions for complete or partial consolidation so that claimants’ counsel do not get the opportunity to re-litigate discovery or merits issues. Such provisions might state that discovery in one arbitration will be used in related arbitrations, while prohibiting additional or duplicative discovery. An arbitration agreement could also provide for stays of related arbitrations pending bellwether merits hearings. At the same time, </w:t>
      </w:r>
      <w:r w:rsidRPr="004B41D3">
        <w:rPr>
          <w:rStyle w:val="StyleUnderline"/>
          <w:highlight w:val="yellow"/>
        </w:rPr>
        <w:t>companies</w:t>
      </w:r>
      <w:r w:rsidRPr="004B41D3">
        <w:rPr>
          <w:rStyle w:val="StyleUnderline"/>
        </w:rPr>
        <w:t xml:space="preserve"> </w:t>
      </w:r>
      <w:r w:rsidRPr="004B41D3">
        <w:rPr>
          <w:rStyle w:val="Emphasis"/>
          <w:highlight w:val="yellow"/>
        </w:rPr>
        <w:t>must</w:t>
      </w:r>
      <w:r w:rsidRPr="004B41D3">
        <w:rPr>
          <w:rStyle w:val="StyleUnderline"/>
        </w:rPr>
        <w:t xml:space="preserve"> also </w:t>
      </w:r>
      <w:r w:rsidRPr="004B41D3">
        <w:rPr>
          <w:rStyle w:val="StyleUnderline"/>
          <w:highlight w:val="yellow"/>
        </w:rPr>
        <w:t>ensure that arbitration agreements do not unduly delay consumers’ ability to bring or prosecute a claim</w:t>
      </w:r>
      <w:r w:rsidRPr="004B41D3">
        <w:rPr>
          <w:rStyle w:val="StyleUnderline"/>
        </w:rPr>
        <w:t xml:space="preserve"> and are otherwise not “overly harsh” and “one-sided.”[4]In the MacClelland case, for example, </w:t>
      </w:r>
      <w:r w:rsidRPr="004B41D3">
        <w:rPr>
          <w:rStyle w:val="StyleUnderline"/>
          <w:highlight w:val="yellow"/>
        </w:rPr>
        <w:t xml:space="preserve">the court </w:t>
      </w:r>
      <w:r w:rsidRPr="004B41D3">
        <w:rPr>
          <w:rStyle w:val="Emphasis"/>
          <w:highlight w:val="yellow"/>
        </w:rPr>
        <w:t>invalidated</w:t>
      </w:r>
      <w:r w:rsidRPr="004B41D3">
        <w:rPr>
          <w:rStyle w:val="StyleUnderline"/>
        </w:rPr>
        <w:t xml:space="preserve"> an </w:t>
      </w:r>
      <w:r w:rsidRPr="004B41D3">
        <w:rPr>
          <w:rStyle w:val="StyleUnderline"/>
          <w:highlight w:val="yellow"/>
        </w:rPr>
        <w:t>arbitration</w:t>
      </w:r>
      <w:r w:rsidRPr="004B41D3">
        <w:rPr>
          <w:rStyle w:val="StyleUnderline"/>
        </w:rPr>
        <w:t xml:space="preserve"> agreement </w:t>
      </w:r>
      <w:r w:rsidRPr="004B41D3">
        <w:rPr>
          <w:rStyle w:val="StyleUnderline"/>
          <w:highlight w:val="yellow"/>
        </w:rPr>
        <w:t>that required</w:t>
      </w:r>
      <w:r w:rsidRPr="004B41D3">
        <w:rPr>
          <w:rStyle w:val="StyleUnderline"/>
        </w:rPr>
        <w:t xml:space="preserve"> most of the </w:t>
      </w:r>
      <w:r w:rsidRPr="004B41D3">
        <w:rPr>
          <w:rStyle w:val="StyleUnderline"/>
          <w:highlight w:val="yellow"/>
        </w:rPr>
        <w:t xml:space="preserve">defendant’s customers to </w:t>
      </w:r>
      <w:r w:rsidRPr="004B41D3">
        <w:rPr>
          <w:rStyle w:val="Emphasis"/>
          <w:highlight w:val="yellow"/>
        </w:rPr>
        <w:t>wait</w:t>
      </w:r>
      <w:r w:rsidRPr="004B41D3">
        <w:rPr>
          <w:rStyle w:val="StyleUnderline"/>
        </w:rPr>
        <w:t xml:space="preserve"> to file arbitration </w:t>
      </w:r>
      <w:r w:rsidRPr="004B41D3">
        <w:rPr>
          <w:rStyle w:val="StyleUnderline"/>
          <w:highlight w:val="yellow"/>
        </w:rPr>
        <w:t xml:space="preserve">until bellwether arbitrations were completed. Whether an arbitration provision is overly harsh is a </w:t>
      </w:r>
      <w:r w:rsidRPr="004B41D3">
        <w:rPr>
          <w:rStyle w:val="Emphasis"/>
          <w:highlight w:val="yellow"/>
        </w:rPr>
        <w:t>nebulous</w:t>
      </w:r>
      <w:r w:rsidRPr="004B41D3">
        <w:rPr>
          <w:rStyle w:val="StyleUnderline"/>
        </w:rPr>
        <w:t xml:space="preserve">, fact-specific </w:t>
      </w:r>
      <w:r w:rsidRPr="004B41D3">
        <w:rPr>
          <w:rStyle w:val="StyleUnderline"/>
          <w:highlight w:val="yellow"/>
        </w:rPr>
        <w:t xml:space="preserve">standard that can </w:t>
      </w:r>
      <w:r w:rsidRPr="004B41D3">
        <w:rPr>
          <w:rStyle w:val="Emphasis"/>
          <w:highlight w:val="yellow"/>
        </w:rPr>
        <w:t>differ</w:t>
      </w:r>
      <w:r w:rsidRPr="004B41D3">
        <w:rPr>
          <w:sz w:val="16"/>
        </w:rPr>
        <w:t xml:space="preserve"> from state to state, requiring careful drafting with due attention to case law on permissible arbitration provisions. Companies should therefore consult counsel for help overhauling their standard clauses. Takeaways </w:t>
      </w:r>
      <w:r w:rsidRPr="004B41D3">
        <w:rPr>
          <w:rStyle w:val="StyleUnderline"/>
          <w:highlight w:val="yellow"/>
        </w:rPr>
        <w:t xml:space="preserve">Companies often </w:t>
      </w:r>
      <w:r w:rsidRPr="004B41D3">
        <w:rPr>
          <w:rStyle w:val="Emphasis"/>
          <w:highlight w:val="yellow"/>
        </w:rPr>
        <w:t>reflexively prohibit</w:t>
      </w:r>
      <w:r w:rsidRPr="004B41D3">
        <w:rPr>
          <w:rStyle w:val="StyleUnderline"/>
          <w:highlight w:val="yellow"/>
        </w:rPr>
        <w:t xml:space="preserve"> class actions</w:t>
      </w:r>
      <w:r w:rsidRPr="004B41D3">
        <w:rPr>
          <w:rStyle w:val="StyleUnderline"/>
        </w:rPr>
        <w:t xml:space="preserve"> and steer consumer, employment, and other claims to individual arbitration. </w:t>
      </w:r>
      <w:r w:rsidRPr="004B41D3">
        <w:rPr>
          <w:rStyle w:val="StyleUnderline"/>
          <w:highlight w:val="yellow"/>
        </w:rPr>
        <w:t>At the same time</w:t>
      </w:r>
      <w:r w:rsidRPr="004B41D3">
        <w:rPr>
          <w:rStyle w:val="StyleUnderline"/>
        </w:rPr>
        <w:t xml:space="preserve">, </w:t>
      </w:r>
      <w:r w:rsidRPr="004B41D3">
        <w:rPr>
          <w:rStyle w:val="StyleUnderline"/>
          <w:highlight w:val="yellow"/>
        </w:rPr>
        <w:t>arbitration agreements are often not given</w:t>
      </w:r>
      <w:r w:rsidRPr="004B41D3">
        <w:rPr>
          <w:rStyle w:val="StyleUnderline"/>
        </w:rPr>
        <w:t xml:space="preserve"> the careful </w:t>
      </w:r>
      <w:r w:rsidRPr="004B41D3">
        <w:rPr>
          <w:rStyle w:val="StyleUnderline"/>
          <w:highlight w:val="yellow"/>
        </w:rPr>
        <w:t>consideration they warrant</w:t>
      </w:r>
      <w:r w:rsidRPr="004B41D3">
        <w:rPr>
          <w:sz w:val="16"/>
        </w:rPr>
        <w:t>. Treating arbitration agreements like boilerplate is a recipe for problems down the road. Getting arbitration procedures right up front, before arbitration is initiated, can save millions of dollars and prevent substantial burdens on executives and other business personnel.</w:t>
      </w:r>
    </w:p>
    <w:p w14:paraId="5A9F9ADA" w14:textId="77777777" w:rsidR="00D93CF5" w:rsidRDefault="00D93CF5" w:rsidP="00D93CF5"/>
    <w:p w14:paraId="09218DAC" w14:textId="77777777" w:rsidR="00E44DB0" w:rsidRDefault="00E44DB0" w:rsidP="00E44DB0"/>
    <w:p w14:paraId="26F08327" w14:textId="61F0109B" w:rsidR="00142ACC" w:rsidRDefault="00142ACC" w:rsidP="00142ACC">
      <w:pPr>
        <w:pStyle w:val="Heading2"/>
      </w:pPr>
      <w:r>
        <w:t>K- Disability</w:t>
      </w:r>
    </w:p>
    <w:p w14:paraId="64978A49" w14:textId="77777777" w:rsidR="00142ACC" w:rsidRDefault="00142ACC" w:rsidP="00142ACC"/>
    <w:p w14:paraId="54031AC7" w14:textId="77777777" w:rsidR="00033179" w:rsidRDefault="00033179" w:rsidP="00033179">
      <w:pPr>
        <w:pStyle w:val="Heading4"/>
      </w:pPr>
      <w:bookmarkStart w:id="0" w:name="_Hlk202606877"/>
      <w:r>
        <w:t xml:space="preserve">Demands for collective bargaining reform are structured around an infrastructural violence. The unquestioned value of productivity and the disavowal of dependency is an ableist commitment which guarantees the </w:t>
      </w:r>
      <w:r w:rsidRPr="00AD3C59">
        <w:rPr>
          <w:u w:val="single"/>
        </w:rPr>
        <w:t>capacitation</w:t>
      </w:r>
      <w:r w:rsidRPr="00AD3C59">
        <w:t xml:space="preserve"> </w:t>
      </w:r>
      <w:r>
        <w:t xml:space="preserve">of the heroic citizen-worker who can pull themselves up by the bootstraps, and the </w:t>
      </w:r>
      <w:r w:rsidRPr="00AD3C59">
        <w:rPr>
          <w:u w:val="single"/>
        </w:rPr>
        <w:t>debilitation</w:t>
      </w:r>
      <w:r>
        <w:t xml:space="preserve"> of those who cannot.</w:t>
      </w:r>
    </w:p>
    <w:p w14:paraId="16273536" w14:textId="77777777" w:rsidR="00033179" w:rsidRPr="008733D4" w:rsidRDefault="00033179" w:rsidP="00033179">
      <w:pPr>
        <w:rPr>
          <w:sz w:val="14"/>
        </w:rPr>
      </w:pPr>
      <w:r w:rsidRPr="00C91B5B">
        <w:rPr>
          <w:rStyle w:val="Style13ptBold"/>
        </w:rPr>
        <w:t>Kim 25</w:t>
      </w:r>
      <w:r w:rsidRPr="008733D4">
        <w:rPr>
          <w:sz w:val="14"/>
        </w:rPr>
        <w:t xml:space="preserve"> [Care at the End of the World: Dreaming of Infrastructure in Crip-of-Color Writing. Duke University Press (2025). ISBN: 9781478060697 Jina B. Kim is Assistant Professor of English Language &amp; Literature and of the Study of Women &amp; Gender at Smith College//Spence]</w:t>
      </w:r>
    </w:p>
    <w:p w14:paraId="79312830" w14:textId="77777777" w:rsidR="00033179" w:rsidRPr="008A7EB7" w:rsidRDefault="00033179" w:rsidP="00033179">
      <w:pPr>
        <w:rPr>
          <w:rStyle w:val="StyleUnderline"/>
        </w:rPr>
      </w:pPr>
      <w:r w:rsidRPr="007B4208">
        <w:rPr>
          <w:rStyle w:val="Emphasis"/>
          <w:highlight w:val="green"/>
        </w:rPr>
        <w:t>Infrastructural Violence</w:t>
      </w:r>
      <w:r w:rsidRPr="0023076C">
        <w:rPr>
          <w:rStyle w:val="StyleUnderline"/>
        </w:rPr>
        <w:t xml:space="preserve"> </w:t>
      </w:r>
      <w:r w:rsidRPr="007B4208">
        <w:rPr>
          <w:rStyle w:val="StyleUnderline"/>
        </w:rPr>
        <w:t>and Political Economies of Care</w:t>
      </w:r>
      <w:r w:rsidRPr="005960EF">
        <w:rPr>
          <w:sz w:val="12"/>
        </w:rPr>
        <w:t xml:space="preserve"> While many of the conversations around state-sanctioned violence have focused rightfully on carceral systems and police brutality, the term </w:t>
      </w:r>
      <w:r w:rsidRPr="00513985">
        <w:rPr>
          <w:rStyle w:val="StyleUnderline"/>
        </w:rPr>
        <w:t>infrastructural violence aims</w:t>
      </w:r>
      <w:r w:rsidRPr="005960EF">
        <w:rPr>
          <w:sz w:val="12"/>
        </w:rPr>
        <w:t xml:space="preserve">, in the words of Cathy Cohen, </w:t>
      </w:r>
      <w:r w:rsidRPr="00513985">
        <w:rPr>
          <w:rStyle w:val="StyleUnderline"/>
        </w:rPr>
        <w:t>to “expand where we look for victims of and resisters to state violence”</w:t>
      </w:r>
      <w:r w:rsidRPr="005960EF">
        <w:rPr>
          <w:sz w:val="12"/>
        </w:rPr>
        <w:t xml:space="preserve">—beyond and in addition to confrontations with police.26 My usage of infrastructural violence offers a variation on Omar Jabary Salamanca’s deployment of the term, which he </w:t>
      </w:r>
      <w:r w:rsidRPr="007B4208">
        <w:rPr>
          <w:rStyle w:val="StyleUnderline"/>
          <w:highlight w:val="green"/>
        </w:rPr>
        <w:t>employs</w:t>
      </w:r>
      <w:r w:rsidRPr="005960EF">
        <w:rPr>
          <w:sz w:val="12"/>
        </w:rPr>
        <w:t xml:space="preserve"> to describe Israel’s absolute control over Gazan utilities and </w:t>
      </w:r>
      <w:r w:rsidRPr="00B26E3D">
        <w:rPr>
          <w:sz w:val="12"/>
        </w:rPr>
        <w:t xml:space="preserve">fuel, capturing </w:t>
      </w:r>
      <w:r w:rsidRPr="00B26E3D">
        <w:rPr>
          <w:rStyle w:val="StyleUnderline"/>
        </w:rPr>
        <w:t>the inscription of colonial violence in the “tiniest details of daily life.”</w:t>
      </w:r>
      <w:r w:rsidRPr="00B26E3D">
        <w:rPr>
          <w:sz w:val="12"/>
        </w:rPr>
        <w:t xml:space="preserve">27 </w:t>
      </w:r>
      <w:r w:rsidRPr="00B26E3D">
        <w:rPr>
          <w:rStyle w:val="StyleUnderline"/>
        </w:rPr>
        <w:t>Drawing from</w:t>
      </w:r>
      <w:r w:rsidRPr="005960EF">
        <w:rPr>
          <w:sz w:val="12"/>
        </w:rPr>
        <w:t xml:space="preserve"> concepts such as “</w:t>
      </w:r>
      <w:r w:rsidRPr="00964955">
        <w:rPr>
          <w:rStyle w:val="Emphasis"/>
          <w:sz w:val="28"/>
          <w:szCs w:val="28"/>
          <w:highlight w:val="green"/>
        </w:rPr>
        <w:t>organized abandonment</w:t>
      </w:r>
      <w:r w:rsidRPr="005960EF">
        <w:rPr>
          <w:sz w:val="12"/>
        </w:rPr>
        <w:t>” (Gilmore), “</w:t>
      </w:r>
      <w:r w:rsidRPr="00964955">
        <w:rPr>
          <w:rStyle w:val="Emphasis"/>
          <w:sz w:val="28"/>
          <w:szCs w:val="28"/>
          <w:highlight w:val="green"/>
        </w:rPr>
        <w:t>administrative violence</w:t>
      </w:r>
      <w:r w:rsidRPr="005960EF">
        <w:rPr>
          <w:sz w:val="12"/>
        </w:rPr>
        <w:t xml:space="preserve">” (Spade), </w:t>
      </w:r>
      <w:r w:rsidRPr="00964955">
        <w:rPr>
          <w:rStyle w:val="StyleUnderline"/>
          <w:highlight w:val="green"/>
        </w:rPr>
        <w:t>and</w:t>
      </w:r>
      <w:r w:rsidRPr="005960EF">
        <w:rPr>
          <w:sz w:val="12"/>
        </w:rPr>
        <w:t xml:space="preserve"> “</w:t>
      </w:r>
      <w:r w:rsidRPr="00964955">
        <w:rPr>
          <w:rStyle w:val="Emphasis"/>
          <w:sz w:val="28"/>
          <w:szCs w:val="28"/>
          <w:highlight w:val="green"/>
        </w:rPr>
        <w:t>debility</w:t>
      </w:r>
      <w:r w:rsidRPr="005960EF">
        <w:rPr>
          <w:sz w:val="12"/>
        </w:rPr>
        <w:t xml:space="preserve">” (Puar), this book </w:t>
      </w:r>
      <w:r w:rsidRPr="005110D6">
        <w:rPr>
          <w:rStyle w:val="StyleUnderline"/>
          <w:highlight w:val="green"/>
        </w:rPr>
        <w:t>mobilize</w:t>
      </w:r>
      <w:r w:rsidRPr="005960EF">
        <w:rPr>
          <w:sz w:val="12"/>
        </w:rPr>
        <w:t xml:space="preserve">s </w:t>
      </w:r>
      <w:r w:rsidRPr="00CB0AD1">
        <w:rPr>
          <w:rStyle w:val="StyleUnderline"/>
        </w:rPr>
        <w:t xml:space="preserve">infrastructural </w:t>
      </w:r>
      <w:r w:rsidRPr="00FC77FB">
        <w:rPr>
          <w:rStyle w:val="StyleUnderline"/>
        </w:rPr>
        <w:t xml:space="preserve">violence to </w:t>
      </w:r>
      <w:r w:rsidRPr="0023604C">
        <w:rPr>
          <w:rStyle w:val="StyleUnderline"/>
        </w:rPr>
        <w:t>name the dis-/enabling effects of</w:t>
      </w:r>
      <w:r w:rsidRPr="005960EF">
        <w:rPr>
          <w:sz w:val="12"/>
        </w:rPr>
        <w:t xml:space="preserve"> degraded state infrastructures, </w:t>
      </w:r>
      <w:r w:rsidRPr="00FC77FB">
        <w:rPr>
          <w:rStyle w:val="StyleUnderline"/>
          <w:highlight w:val="green"/>
        </w:rPr>
        <w:t>the</w:t>
      </w:r>
      <w:r w:rsidRPr="00F21865">
        <w:rPr>
          <w:rStyle w:val="StyleUnderline"/>
        </w:rPr>
        <w:t xml:space="preserve"> US </w:t>
      </w:r>
      <w:r w:rsidRPr="00FC77FB">
        <w:rPr>
          <w:rStyle w:val="StyleUnderline"/>
          <w:highlight w:val="green"/>
        </w:rPr>
        <w:t>welfare state</w:t>
      </w:r>
      <w:r w:rsidRPr="005960EF">
        <w:rPr>
          <w:sz w:val="12"/>
        </w:rPr>
        <w:t xml:space="preserve">, and pro-austerity policies.28 </w:t>
      </w:r>
      <w:r w:rsidRPr="00702774">
        <w:rPr>
          <w:rStyle w:val="StyleUnderline"/>
        </w:rPr>
        <w:t>These effects emerge from the punitive operations of welfare administration</w:t>
      </w:r>
      <w:r w:rsidRPr="00702774">
        <w:rPr>
          <w:sz w:val="12"/>
        </w:rPr>
        <w:t xml:space="preserve"> as</w:t>
      </w:r>
      <w:r w:rsidRPr="005960EF">
        <w:rPr>
          <w:sz w:val="12"/>
        </w:rPr>
        <w:t xml:space="preserve"> well as the </w:t>
      </w:r>
      <w:r w:rsidRPr="00366E35">
        <w:rPr>
          <w:rStyle w:val="StyleUnderline"/>
          <w:highlight w:val="green"/>
        </w:rPr>
        <w:t>manufactured neglect</w:t>
      </w:r>
      <w:r w:rsidRPr="005960EF">
        <w:rPr>
          <w:sz w:val="12"/>
        </w:rPr>
        <w:t xml:space="preserve"> of social programs and public institutions: the defunding of school lunches, the </w:t>
      </w:r>
      <w:r w:rsidRPr="00366E35">
        <w:rPr>
          <w:rStyle w:val="StyleUnderline"/>
          <w:highlight w:val="green"/>
        </w:rPr>
        <w:t>militarization</w:t>
      </w:r>
      <w:r w:rsidRPr="005960EF">
        <w:rPr>
          <w:sz w:val="12"/>
        </w:rPr>
        <w:t xml:space="preserve"> of public schools in underresourced neighborhoods, right-wing attacks on Medicaid, </w:t>
      </w:r>
      <w:r w:rsidRPr="00366E35">
        <w:rPr>
          <w:rStyle w:val="StyleUnderline"/>
          <w:highlight w:val="green"/>
        </w:rPr>
        <w:t>and a profit-driven</w:t>
      </w:r>
      <w:r w:rsidRPr="005960EF">
        <w:rPr>
          <w:sz w:val="12"/>
        </w:rPr>
        <w:t xml:space="preserve"> health/</w:t>
      </w:r>
      <w:r w:rsidRPr="008A7EB7">
        <w:rPr>
          <w:rStyle w:val="StyleUnderline"/>
        </w:rPr>
        <w:t xml:space="preserve">care </w:t>
      </w:r>
      <w:r w:rsidRPr="00366E35">
        <w:rPr>
          <w:rStyle w:val="StyleUnderline"/>
          <w:highlight w:val="green"/>
        </w:rPr>
        <w:t>system</w:t>
      </w:r>
      <w:r w:rsidRPr="008A7EB7">
        <w:rPr>
          <w:rStyle w:val="StyleUnderline"/>
        </w:rPr>
        <w:t xml:space="preserve">. </w:t>
      </w:r>
    </w:p>
    <w:p w14:paraId="6DDFB5E4" w14:textId="77777777" w:rsidR="00033179" w:rsidRPr="000F1EFD" w:rsidRDefault="00033179" w:rsidP="00033179">
      <w:pPr>
        <w:rPr>
          <w:rStyle w:val="StyleUnderline"/>
        </w:rPr>
      </w:pPr>
      <w:r w:rsidRPr="00B767ED">
        <w:rPr>
          <w:rStyle w:val="StyleUnderline"/>
        </w:rPr>
        <w:t>Yet</w:t>
      </w:r>
      <w:r w:rsidRPr="00C273FA">
        <w:rPr>
          <w:rStyle w:val="StyleUnderline"/>
        </w:rPr>
        <w:t>, far from d</w:t>
      </w:r>
      <w:r w:rsidRPr="00BF120F">
        <w:rPr>
          <w:rStyle w:val="StyleUnderline"/>
        </w:rPr>
        <w:t>escribing just the debilitating aspects</w:t>
      </w:r>
      <w:r w:rsidRPr="005960EF">
        <w:rPr>
          <w:sz w:val="12"/>
        </w:rPr>
        <w:t xml:space="preserve"> of state neglect, </w:t>
      </w:r>
      <w:r w:rsidRPr="00B767ED">
        <w:rPr>
          <w:rStyle w:val="StyleUnderline"/>
          <w:highlight w:val="green"/>
        </w:rPr>
        <w:t xml:space="preserve">infrastructural violence </w:t>
      </w:r>
      <w:r w:rsidRPr="0012734C">
        <w:rPr>
          <w:rStyle w:val="StyleUnderline"/>
        </w:rPr>
        <w:t xml:space="preserve">also </w:t>
      </w:r>
      <w:r w:rsidRPr="003777B2">
        <w:rPr>
          <w:rStyle w:val="StyleUnderline"/>
          <w:highlight w:val="green"/>
        </w:rPr>
        <w:t>describes t</w:t>
      </w:r>
      <w:r w:rsidRPr="00C273FA">
        <w:rPr>
          <w:rStyle w:val="StyleUnderline"/>
          <w:highlight w:val="green"/>
        </w:rPr>
        <w:t xml:space="preserve">he attendant </w:t>
      </w:r>
      <w:r w:rsidRPr="00C273FA">
        <w:rPr>
          <w:rStyle w:val="StyleUnderline"/>
        </w:rPr>
        <w:t>production</w:t>
      </w:r>
      <w:r w:rsidRPr="00BF120F">
        <w:rPr>
          <w:rStyle w:val="StyleUnderline"/>
        </w:rPr>
        <w:t xml:space="preserve"> of </w:t>
      </w:r>
      <w:r w:rsidRPr="0012734C">
        <w:rPr>
          <w:rStyle w:val="Emphasis"/>
          <w:sz w:val="28"/>
          <w:szCs w:val="28"/>
          <w:highlight w:val="green"/>
        </w:rPr>
        <w:t>enablement</w:t>
      </w:r>
      <w:r w:rsidRPr="006C62B2">
        <w:rPr>
          <w:rStyle w:val="StyleUnderline"/>
          <w:highlight w:val="green"/>
        </w:rPr>
        <w:t xml:space="preserve"> </w:t>
      </w:r>
      <w:r w:rsidRPr="00553E86">
        <w:rPr>
          <w:rStyle w:val="StyleUnderline"/>
        </w:rPr>
        <w:t xml:space="preserve">for highly resourced populations </w:t>
      </w:r>
      <w:r w:rsidRPr="0015023D">
        <w:rPr>
          <w:rStyle w:val="StyleUnderline"/>
          <w:highlight w:val="green"/>
        </w:rPr>
        <w:t>through</w:t>
      </w:r>
      <w:r w:rsidRPr="00553E86">
        <w:rPr>
          <w:rStyle w:val="StyleUnderline"/>
        </w:rPr>
        <w:t xml:space="preserve"> welfare </w:t>
      </w:r>
      <w:r w:rsidRPr="0015023D">
        <w:rPr>
          <w:rStyle w:val="StyleUnderline"/>
          <w:highlight w:val="green"/>
        </w:rPr>
        <w:t>reform</w:t>
      </w:r>
      <w:r w:rsidRPr="00553E86">
        <w:rPr>
          <w:rStyle w:val="StyleUnderline"/>
        </w:rPr>
        <w:t xml:space="preserve"> and other f</w:t>
      </w:r>
      <w:r w:rsidRPr="006C62B2">
        <w:rPr>
          <w:rStyle w:val="StyleUnderline"/>
        </w:rPr>
        <w:t xml:space="preserve">orms of safety net retraction, </w:t>
      </w:r>
      <w:r w:rsidRPr="006C62B2">
        <w:rPr>
          <w:rStyle w:val="StyleUnderline"/>
          <w:highlight w:val="green"/>
        </w:rPr>
        <w:t>which</w:t>
      </w:r>
      <w:r w:rsidRPr="006C62B2">
        <w:rPr>
          <w:rStyle w:val="StyleUnderline"/>
        </w:rPr>
        <w:t xml:space="preserve"> further</w:t>
      </w:r>
      <w:r w:rsidRPr="00BF120F">
        <w:rPr>
          <w:rStyle w:val="StyleUnderline"/>
        </w:rPr>
        <w:t xml:space="preserve"> </w:t>
      </w:r>
      <w:r w:rsidRPr="006C62B2">
        <w:rPr>
          <w:rStyle w:val="Emphasis"/>
          <w:highlight w:val="green"/>
        </w:rPr>
        <w:t>fortify</w:t>
      </w:r>
      <w:r w:rsidRPr="006C62B2">
        <w:rPr>
          <w:rStyle w:val="StyleUnderline"/>
          <w:highlight w:val="green"/>
        </w:rPr>
        <w:t xml:space="preserve"> </w:t>
      </w:r>
      <w:r w:rsidRPr="006C62B2">
        <w:rPr>
          <w:rStyle w:val="Emphasis"/>
          <w:highlight w:val="green"/>
        </w:rPr>
        <w:t>white supremacy</w:t>
      </w:r>
      <w:r w:rsidRPr="006C62B2">
        <w:rPr>
          <w:rStyle w:val="StyleUnderline"/>
          <w:highlight w:val="green"/>
        </w:rPr>
        <w:t xml:space="preserve">, the </w:t>
      </w:r>
      <w:r w:rsidRPr="006C62B2">
        <w:rPr>
          <w:rStyle w:val="Emphasis"/>
          <w:highlight w:val="green"/>
        </w:rPr>
        <w:t>heteropatriarchal</w:t>
      </w:r>
      <w:r w:rsidRPr="006C62B2">
        <w:rPr>
          <w:rStyle w:val="StyleUnderline"/>
          <w:highlight w:val="green"/>
        </w:rPr>
        <w:t xml:space="preserve"> </w:t>
      </w:r>
      <w:r w:rsidRPr="006C62B2">
        <w:rPr>
          <w:rStyle w:val="Emphasis"/>
          <w:highlight w:val="green"/>
        </w:rPr>
        <w:t>nuclear family</w:t>
      </w:r>
      <w:r w:rsidRPr="006C62B2">
        <w:rPr>
          <w:rStyle w:val="StyleUnderline"/>
          <w:highlight w:val="green"/>
        </w:rPr>
        <w:t xml:space="preserve">, and </w:t>
      </w:r>
      <w:r w:rsidRPr="006C62B2">
        <w:rPr>
          <w:rStyle w:val="Emphasis"/>
          <w:highlight w:val="green"/>
        </w:rPr>
        <w:t>class stratification</w:t>
      </w:r>
      <w:r w:rsidRPr="00BF120F">
        <w:rPr>
          <w:rStyle w:val="StyleUnderline"/>
        </w:rPr>
        <w:t>.</w:t>
      </w:r>
      <w:r w:rsidRPr="005960EF">
        <w:rPr>
          <w:sz w:val="12"/>
        </w:rPr>
        <w:t xml:space="preserve"> For instance, in chapter 1, I describe how Sapphire’s novel Push (1996) and Jesmyn Ward’s novel Salvage the Bones (2011) generate forms of infrastructural literacy that foreground </w:t>
      </w:r>
      <w:r w:rsidRPr="00D7460E">
        <w:rPr>
          <w:rStyle w:val="StyleUnderline"/>
        </w:rPr>
        <w:t>the structural production of racialized disablement via actively harmful systems of education, welfare, and heath/</w:t>
      </w:r>
      <w:r w:rsidRPr="00A6748E">
        <w:rPr>
          <w:rStyle w:val="StyleUnderline"/>
        </w:rPr>
        <w:t xml:space="preserve">care. </w:t>
      </w:r>
      <w:r w:rsidRPr="00A6748E">
        <w:rPr>
          <w:rStyle w:val="StyleUnderline"/>
          <w:highlight w:val="green"/>
        </w:rPr>
        <w:t>These</w:t>
      </w:r>
      <w:r w:rsidRPr="005960EF">
        <w:rPr>
          <w:sz w:val="12"/>
        </w:rPr>
        <w:t xml:space="preserve"> works further </w:t>
      </w:r>
      <w:r w:rsidRPr="00A6748E">
        <w:rPr>
          <w:rStyle w:val="StyleUnderline"/>
          <w:highlight w:val="green"/>
        </w:rPr>
        <w:t xml:space="preserve">link </w:t>
      </w:r>
      <w:r w:rsidRPr="00A6748E">
        <w:rPr>
          <w:rStyle w:val="Emphasis"/>
          <w:highlight w:val="green"/>
        </w:rPr>
        <w:t>racialized disablement</w:t>
      </w:r>
      <w:r w:rsidRPr="00A6748E">
        <w:rPr>
          <w:rStyle w:val="StyleUnderline"/>
          <w:highlight w:val="green"/>
        </w:rPr>
        <w:t xml:space="preserve"> to </w:t>
      </w:r>
      <w:r w:rsidRPr="00A6748E">
        <w:rPr>
          <w:rStyle w:val="StyleUnderline"/>
        </w:rPr>
        <w:t xml:space="preserve">the </w:t>
      </w:r>
      <w:r w:rsidRPr="00A6748E">
        <w:rPr>
          <w:rStyle w:val="StyleUnderline"/>
          <w:highlight w:val="green"/>
        </w:rPr>
        <w:t xml:space="preserve">simultaneous creation of </w:t>
      </w:r>
      <w:r w:rsidRPr="00A6748E">
        <w:rPr>
          <w:rStyle w:val="Emphasis"/>
          <w:highlight w:val="green"/>
        </w:rPr>
        <w:t xml:space="preserve">white </w:t>
      </w:r>
      <w:r w:rsidRPr="00BD102A">
        <w:rPr>
          <w:rStyle w:val="Emphasis"/>
          <w:highlight w:val="green"/>
        </w:rPr>
        <w:t>enablement</w:t>
      </w:r>
      <w:r w:rsidRPr="00BD102A">
        <w:rPr>
          <w:rStyle w:val="StyleUnderline"/>
          <w:highlight w:val="green"/>
        </w:rPr>
        <w:t xml:space="preserve"> through </w:t>
      </w:r>
      <w:r w:rsidRPr="00BD102A">
        <w:rPr>
          <w:rStyle w:val="Emphasis"/>
          <w:highlight w:val="green"/>
        </w:rPr>
        <w:t>exploitative workfare programs</w:t>
      </w:r>
      <w:r w:rsidRPr="005960EF">
        <w:rPr>
          <w:sz w:val="12"/>
        </w:rPr>
        <w:t xml:space="preserve"> (Push) </w:t>
      </w:r>
      <w:r w:rsidRPr="00F02203">
        <w:rPr>
          <w:rStyle w:val="StyleUnderline"/>
        </w:rPr>
        <w:t xml:space="preserve">and land theft </w:t>
      </w:r>
      <w:r w:rsidRPr="005960EF">
        <w:rPr>
          <w:sz w:val="12"/>
        </w:rPr>
        <w:t>(</w:t>
      </w:r>
      <w:r w:rsidRPr="002F44CE">
        <w:rPr>
          <w:sz w:val="12"/>
        </w:rPr>
        <w:t xml:space="preserve">Salvage). </w:t>
      </w:r>
      <w:r w:rsidRPr="002F44CE">
        <w:rPr>
          <w:rStyle w:val="StyleUnderline"/>
        </w:rPr>
        <w:t>Though</w:t>
      </w:r>
      <w:r w:rsidRPr="002F44CE">
        <w:rPr>
          <w:sz w:val="12"/>
        </w:rPr>
        <w:t xml:space="preserve"> literary </w:t>
      </w:r>
      <w:r w:rsidRPr="002F44CE">
        <w:rPr>
          <w:rStyle w:val="StyleUnderline"/>
        </w:rPr>
        <w:t>scholars</w:t>
      </w:r>
      <w:r w:rsidRPr="002F44CE">
        <w:rPr>
          <w:sz w:val="12"/>
        </w:rPr>
        <w:t xml:space="preserve"> have often </w:t>
      </w:r>
      <w:r w:rsidRPr="002F44CE">
        <w:rPr>
          <w:rStyle w:val="StyleUnderline"/>
        </w:rPr>
        <w:t>emphasized infrastructure’s downright “boring” nature, noting how it often occupies the background of collective attention</w:t>
      </w:r>
      <w:r w:rsidRPr="002F44CE">
        <w:rPr>
          <w:sz w:val="12"/>
        </w:rPr>
        <w:t xml:space="preserve">, I find that </w:t>
      </w:r>
      <w:r w:rsidRPr="002F44CE">
        <w:rPr>
          <w:rStyle w:val="StyleUnderline"/>
        </w:rPr>
        <w:t>it emerges, again and again, as a key site through which women and queer-of-color writers grapple with the intensifying resource depriva</w:t>
      </w:r>
      <w:r w:rsidRPr="000F1EFD">
        <w:rPr>
          <w:rStyle w:val="StyleUnderline"/>
        </w:rPr>
        <w:t>tion of a postwelfare United States.</w:t>
      </w:r>
    </w:p>
    <w:p w14:paraId="3A51E0CB" w14:textId="77777777" w:rsidR="00033179" w:rsidRPr="005960EF" w:rsidRDefault="00033179" w:rsidP="00033179">
      <w:pPr>
        <w:rPr>
          <w:sz w:val="12"/>
        </w:rPr>
      </w:pPr>
      <w:r w:rsidRPr="00F6321A">
        <w:rPr>
          <w:sz w:val="12"/>
        </w:rPr>
        <w:t xml:space="preserve">As I note throughout the book, </w:t>
      </w:r>
      <w:r w:rsidRPr="00F6321A">
        <w:rPr>
          <w:rStyle w:val="StyleUnderline"/>
        </w:rPr>
        <w:t xml:space="preserve">one primary function of infrastructural violence is the privatization of care—that is, the ongoing enclosure of resources such as healthcare, childcare, housing, education, transit, </w:t>
      </w:r>
      <w:r w:rsidRPr="00F6321A">
        <w:rPr>
          <w:rStyle w:val="StyleUnderline"/>
          <w:highlight w:val="green"/>
        </w:rPr>
        <w:t>and</w:t>
      </w:r>
      <w:r w:rsidRPr="0052029A">
        <w:rPr>
          <w:rStyle w:val="StyleUnderline"/>
        </w:rPr>
        <w:t xml:space="preserve"> food. Such</w:t>
      </w:r>
      <w:r w:rsidRPr="0060100E">
        <w:rPr>
          <w:rStyle w:val="StyleUnderline"/>
        </w:rPr>
        <w:t xml:space="preserve"> enclosures </w:t>
      </w:r>
      <w:r w:rsidRPr="00355433">
        <w:rPr>
          <w:rStyle w:val="Emphasis"/>
          <w:highlight w:val="green"/>
        </w:rPr>
        <w:t>wear away at</w:t>
      </w:r>
      <w:r w:rsidRPr="0060100E">
        <w:rPr>
          <w:rStyle w:val="StyleUnderline"/>
        </w:rPr>
        <w:t xml:space="preserve"> infrastructures of </w:t>
      </w:r>
      <w:r w:rsidRPr="00355433">
        <w:rPr>
          <w:rStyle w:val="Emphasis"/>
          <w:highlight w:val="green"/>
        </w:rPr>
        <w:t>disabled survival</w:t>
      </w:r>
      <w:r w:rsidRPr="00355433">
        <w:rPr>
          <w:rStyle w:val="StyleUnderline"/>
          <w:highlight w:val="green"/>
        </w:rPr>
        <w:t xml:space="preserve"> while </w:t>
      </w:r>
      <w:r w:rsidRPr="00355433">
        <w:rPr>
          <w:rStyle w:val="Emphasis"/>
          <w:highlight w:val="green"/>
        </w:rPr>
        <w:t>disabling low-income and racialized people en masse.</w:t>
      </w:r>
      <w:r w:rsidRPr="005960EF">
        <w:rPr>
          <w:sz w:val="12"/>
        </w:rPr>
        <w:t xml:space="preserve"> Indeed, </w:t>
      </w:r>
      <w:r w:rsidRPr="004C073C">
        <w:rPr>
          <w:rStyle w:val="StyleUnderline"/>
        </w:rPr>
        <w:t xml:space="preserve">to be disabled is often to be hyperaware of existing care systems and the many ways they fall short. It is also to be particularly brutalized by these shortcomings. </w:t>
      </w:r>
      <w:r w:rsidRPr="005960EF">
        <w:rPr>
          <w:sz w:val="12"/>
        </w:rPr>
        <w:t>The privatization of care, then, constitutes one of the most fundamental elements of disability oppression.</w:t>
      </w:r>
    </w:p>
    <w:p w14:paraId="7229940D" w14:textId="77777777" w:rsidR="00033179" w:rsidRPr="00F35492" w:rsidRDefault="00033179" w:rsidP="00033179">
      <w:pPr>
        <w:rPr>
          <w:rStyle w:val="StyleUnderline"/>
        </w:rPr>
      </w:pPr>
      <w:r w:rsidRPr="005960EF">
        <w:rPr>
          <w:sz w:val="12"/>
        </w:rPr>
        <w:t xml:space="preserve">Returning to social reproduction theory, Nancy Fraser places this privatizing drive at the heart of contemporary care crises, or what she describes as the increasing inability to perform the work of care in an unforgiving context of both reduced state support and eviscerated labor protections. Fraser locates the root of such crises in a socially reproductive contradiction inherent to capitalist accumulation: capitalism depends on </w:t>
      </w:r>
      <w:r w:rsidRPr="00296513">
        <w:rPr>
          <w:sz w:val="12"/>
        </w:rPr>
        <w:t xml:space="preserve">socially reproductive labor in order to sustain itself, and yet, </w:t>
      </w:r>
      <w:r w:rsidRPr="00296513">
        <w:rPr>
          <w:rStyle w:val="StyleUnderline"/>
        </w:rPr>
        <w:t>the increasing pressures generated by capitalist demands deplete all reserves available to do the work of social reproduction</w:t>
      </w:r>
      <w:r w:rsidRPr="00296513">
        <w:rPr>
          <w:sz w:val="12"/>
        </w:rPr>
        <w:t xml:space="preserve">. In our era of global financialized capitalism, </w:t>
      </w:r>
      <w:r w:rsidRPr="00296513">
        <w:rPr>
          <w:rStyle w:val="StyleUnderline"/>
        </w:rPr>
        <w:t>those who can afford to outsource care labor do so</w:t>
      </w:r>
      <w:r w:rsidRPr="00296513">
        <w:rPr>
          <w:sz w:val="12"/>
        </w:rPr>
        <w:t xml:space="preserve">, thus </w:t>
      </w:r>
      <w:r w:rsidRPr="00296513">
        <w:rPr>
          <w:rStyle w:val="StyleUnderline"/>
        </w:rPr>
        <w:t>creating a “dualized organization of social reproduction, commodified for those who can pay for it, privatized for those who</w:t>
      </w:r>
      <w:r w:rsidRPr="00847891">
        <w:rPr>
          <w:rStyle w:val="StyleUnderline"/>
        </w:rPr>
        <w:t xml:space="preserve"> cannot.”</w:t>
      </w:r>
      <w:r w:rsidRPr="005960EF">
        <w:rPr>
          <w:sz w:val="12"/>
        </w:rPr>
        <w:t xml:space="preserve">30 Transnational and feminist-of-color scholars including Chandra Mohanty and Evelyn Nakano Glenn have demonstrated how </w:t>
      </w:r>
      <w:r w:rsidRPr="0076538B">
        <w:rPr>
          <w:rStyle w:val="StyleUnderline"/>
          <w:highlight w:val="green"/>
        </w:rPr>
        <w:t>this</w:t>
      </w:r>
      <w:r w:rsidRPr="006759AF">
        <w:rPr>
          <w:rStyle w:val="StyleUnderline"/>
        </w:rPr>
        <w:t xml:space="preserve"> dualized organization </w:t>
      </w:r>
      <w:r w:rsidRPr="0076538B">
        <w:rPr>
          <w:rStyle w:val="StyleUnderline"/>
          <w:highlight w:val="green"/>
        </w:rPr>
        <w:t>fortifies racial and class hierarchies across domestic and global scales</w:t>
      </w:r>
      <w:r w:rsidRPr="005960EF">
        <w:rPr>
          <w:sz w:val="12"/>
        </w:rPr>
        <w:t xml:space="preserve">, and further, how these care crises are </w:t>
      </w:r>
      <w:r w:rsidRPr="00F304F9">
        <w:rPr>
          <w:rStyle w:val="Emphasis"/>
          <w:highlight w:val="green"/>
        </w:rPr>
        <w:t>unevenly distributed</w:t>
      </w:r>
      <w:r w:rsidRPr="006759AF">
        <w:rPr>
          <w:rStyle w:val="StyleUnderline"/>
        </w:rPr>
        <w:t xml:space="preserve"> across race and class</w:t>
      </w:r>
      <w:r w:rsidRPr="005960EF">
        <w:rPr>
          <w:sz w:val="12"/>
        </w:rPr>
        <w:t xml:space="preserve">.31 In dualized care arrangements, </w:t>
      </w:r>
      <w:r w:rsidRPr="00345765">
        <w:rPr>
          <w:rStyle w:val="StyleUnderline"/>
        </w:rPr>
        <w:t>elite families e</w:t>
      </w:r>
      <w:r w:rsidRPr="00F35492">
        <w:rPr>
          <w:rStyle w:val="StyleUnderline"/>
        </w:rPr>
        <w:t xml:space="preserve">xtract domestic and support labor from low-income racialized and/or immigrant women, depleting their workers’ personal and familial well-being. </w:t>
      </w:r>
    </w:p>
    <w:p w14:paraId="40219B6D" w14:textId="77777777" w:rsidR="00033179" w:rsidRPr="005960EF" w:rsidRDefault="00033179" w:rsidP="00033179">
      <w:pPr>
        <w:rPr>
          <w:sz w:val="12"/>
        </w:rPr>
      </w:pPr>
      <w:r w:rsidRPr="00F35492">
        <w:rPr>
          <w:sz w:val="12"/>
        </w:rPr>
        <w:t xml:space="preserve">Following this, my analyses of </w:t>
      </w:r>
      <w:r w:rsidRPr="00F35492">
        <w:rPr>
          <w:rStyle w:val="StyleUnderline"/>
        </w:rPr>
        <w:t xml:space="preserve">infrastructural violence—as both an </w:t>
      </w:r>
      <w:r w:rsidRPr="00F35492">
        <w:rPr>
          <w:rStyle w:val="Emphasis"/>
        </w:rPr>
        <w:t>uneven system</w:t>
      </w:r>
      <w:r w:rsidRPr="00F35492">
        <w:rPr>
          <w:rStyle w:val="StyleUnderline"/>
        </w:rPr>
        <w:t xml:space="preserve"> of resource </w:t>
      </w:r>
      <w:r w:rsidRPr="00F35492">
        <w:rPr>
          <w:rStyle w:val="Emphasis"/>
        </w:rPr>
        <w:t>distribution</w:t>
      </w:r>
      <w:r w:rsidRPr="00F35492">
        <w:rPr>
          <w:rStyle w:val="StyleUnderline"/>
        </w:rPr>
        <w:t xml:space="preserve"> and a </w:t>
      </w:r>
      <w:r w:rsidRPr="00F35492">
        <w:rPr>
          <w:rStyle w:val="Emphasis"/>
        </w:rPr>
        <w:t>figure of</w:t>
      </w:r>
      <w:r w:rsidRPr="00F35492">
        <w:rPr>
          <w:rStyle w:val="StyleUnderline"/>
        </w:rPr>
        <w:t xml:space="preserve"> literary </w:t>
      </w:r>
      <w:r w:rsidRPr="00F35492">
        <w:rPr>
          <w:rStyle w:val="Emphasis"/>
        </w:rPr>
        <w:t>representation</w:t>
      </w:r>
      <w:r w:rsidRPr="00F35492">
        <w:rPr>
          <w:sz w:val="12"/>
        </w:rPr>
        <w:t xml:space="preserve">— foreground </w:t>
      </w:r>
      <w:r w:rsidRPr="00F35492">
        <w:rPr>
          <w:rStyle w:val="StyleUnderline"/>
        </w:rPr>
        <w:t>the political economies of racial-gendered care work generated through policies and practices of safety net divestment</w:t>
      </w:r>
      <w:r w:rsidRPr="00F35492">
        <w:rPr>
          <w:sz w:val="12"/>
        </w:rPr>
        <w:t xml:space="preserve">. And so, while scholars like Ruth Wilson Gilmore highlight </w:t>
      </w:r>
      <w:r w:rsidRPr="00F35492">
        <w:rPr>
          <w:rStyle w:val="StyleUnderline"/>
        </w:rPr>
        <w:t xml:space="preserve">the “prison fix” </w:t>
      </w:r>
      <w:r w:rsidRPr="00F35492">
        <w:rPr>
          <w:sz w:val="12"/>
        </w:rPr>
        <w:t xml:space="preserve">as a key response </w:t>
      </w:r>
      <w:r w:rsidRPr="00F35492">
        <w:rPr>
          <w:rStyle w:val="StyleUnderline"/>
        </w:rPr>
        <w:t xml:space="preserve">to “organized abandonment,” </w:t>
      </w:r>
      <w:r w:rsidRPr="00F35492">
        <w:rPr>
          <w:sz w:val="12"/>
        </w:rPr>
        <w:t xml:space="preserve">or what she defines as the purposeful dismantling of the welfare state, this book focuses on care </w:t>
      </w:r>
      <w:r w:rsidRPr="00F35492">
        <w:rPr>
          <w:rStyle w:val="StyleUnderline"/>
        </w:rPr>
        <w:t>crises under racial capitalism</w:t>
      </w:r>
      <w:r w:rsidRPr="00F35492">
        <w:rPr>
          <w:sz w:val="12"/>
        </w:rPr>
        <w:t xml:space="preserve"> as its chief terrain of struggle.32 In this way, I offer a crip expansion of feminist- and queer-of-color perspectives on historical materialist critique, which have broadly sought to address the limitations of Marxist analysis in relation to white supremacy, heteropatriarchy, heterosexism, and sex work.33</w:t>
      </w:r>
    </w:p>
    <w:p w14:paraId="6454833B" w14:textId="77777777" w:rsidR="00033179" w:rsidRPr="005960EF" w:rsidRDefault="00033179" w:rsidP="00033179">
      <w:pPr>
        <w:rPr>
          <w:sz w:val="12"/>
        </w:rPr>
      </w:pPr>
      <w:r w:rsidRPr="005960EF">
        <w:rPr>
          <w:sz w:val="12"/>
        </w:rPr>
        <w:t xml:space="preserve">Roderick Ferguson in particular has identified how Marx’s own naturalization of heteropatriarchy—as </w:t>
      </w:r>
      <w:r w:rsidRPr="00B44CC2">
        <w:rPr>
          <w:rStyle w:val="StyleUnderline"/>
        </w:rPr>
        <w:t>the proper order of social life—effectively rendered the “heteronormative subject the goal” of both liberal and revolutionary projects</w:t>
      </w:r>
      <w:r w:rsidRPr="005960EF">
        <w:rPr>
          <w:sz w:val="12"/>
        </w:rPr>
        <w:t xml:space="preserve">.34 As a result, these </w:t>
      </w:r>
      <w:r w:rsidRPr="00BC5EFA">
        <w:rPr>
          <w:rStyle w:val="Emphasis"/>
          <w:sz w:val="28"/>
          <w:szCs w:val="28"/>
          <w:highlight w:val="green"/>
        </w:rPr>
        <w:t xml:space="preserve">ostensibly antiestablishment projects </w:t>
      </w:r>
      <w:r w:rsidRPr="007E3310">
        <w:rPr>
          <w:rStyle w:val="StyleUnderline"/>
        </w:rPr>
        <w:t xml:space="preserve">often </w:t>
      </w:r>
      <w:r w:rsidRPr="00BC5EFA">
        <w:rPr>
          <w:rStyle w:val="Emphasis"/>
          <w:sz w:val="28"/>
          <w:szCs w:val="28"/>
          <w:highlight w:val="green"/>
        </w:rPr>
        <w:t>conspire</w:t>
      </w:r>
      <w:r w:rsidRPr="007E3310">
        <w:rPr>
          <w:rStyle w:val="StyleUnderline"/>
        </w:rPr>
        <w:t xml:space="preserve">d </w:t>
      </w:r>
      <w:r w:rsidRPr="00BC5EFA">
        <w:rPr>
          <w:rStyle w:val="Emphasis"/>
          <w:sz w:val="28"/>
          <w:szCs w:val="28"/>
          <w:highlight w:val="green"/>
        </w:rPr>
        <w:t xml:space="preserve">with the “normative investments of </w:t>
      </w:r>
      <w:r w:rsidRPr="00752E4C">
        <w:rPr>
          <w:rStyle w:val="StyleUnderline"/>
        </w:rPr>
        <w:t>nation-</w:t>
      </w:r>
      <w:r w:rsidRPr="00BC5EFA">
        <w:rPr>
          <w:rStyle w:val="Emphasis"/>
          <w:sz w:val="28"/>
          <w:szCs w:val="28"/>
          <w:highlight w:val="green"/>
        </w:rPr>
        <w:t>states and capital,”</w:t>
      </w:r>
      <w:r w:rsidRPr="005960EF">
        <w:rPr>
          <w:sz w:val="12"/>
          <w:szCs w:val="28"/>
        </w:rPr>
        <w:t xml:space="preserve"> </w:t>
      </w:r>
      <w:r w:rsidRPr="005960EF">
        <w:rPr>
          <w:sz w:val="12"/>
        </w:rPr>
        <w:t xml:space="preserve">a reproduction of heteronormative ideals that Ferguson’s queer-of-color framework sought to disrupt.35 Akin to queer-of-color critique, the crip-of-color framework argues that </w:t>
      </w:r>
      <w:r w:rsidRPr="006A2BDB">
        <w:rPr>
          <w:rStyle w:val="StyleUnderline"/>
        </w:rPr>
        <w:t xml:space="preserve">these “normative investments” are also </w:t>
      </w:r>
      <w:r w:rsidRPr="00211023">
        <w:rPr>
          <w:rStyle w:val="Emphasis"/>
          <w:sz w:val="24"/>
          <w:szCs w:val="24"/>
          <w:highlight w:val="green"/>
        </w:rPr>
        <w:t>fundamentally shaped</w:t>
      </w:r>
      <w:r w:rsidRPr="00211023">
        <w:rPr>
          <w:rStyle w:val="StyleUnderline"/>
          <w:sz w:val="24"/>
          <w:szCs w:val="24"/>
          <w:highlight w:val="green"/>
        </w:rPr>
        <w:t xml:space="preserve"> </w:t>
      </w:r>
      <w:r w:rsidRPr="00211023">
        <w:rPr>
          <w:rStyle w:val="StyleUnderline"/>
          <w:highlight w:val="green"/>
        </w:rPr>
        <w:t xml:space="preserve">by </w:t>
      </w:r>
      <w:r w:rsidRPr="00211023">
        <w:rPr>
          <w:rStyle w:val="Emphasis"/>
          <w:sz w:val="24"/>
          <w:szCs w:val="24"/>
          <w:highlight w:val="green"/>
        </w:rPr>
        <w:t xml:space="preserve">ableist </w:t>
      </w:r>
      <w:r w:rsidRPr="00F10826">
        <w:rPr>
          <w:rStyle w:val="Emphasis"/>
          <w:sz w:val="24"/>
          <w:szCs w:val="24"/>
          <w:highlight w:val="green"/>
        </w:rPr>
        <w:t>ideas</w:t>
      </w:r>
      <w:r w:rsidRPr="00F10826">
        <w:rPr>
          <w:rStyle w:val="StyleUnderline"/>
          <w:sz w:val="24"/>
          <w:szCs w:val="24"/>
          <w:highlight w:val="green"/>
        </w:rPr>
        <w:t xml:space="preserve"> </w:t>
      </w:r>
      <w:r w:rsidRPr="00F10826">
        <w:rPr>
          <w:rStyle w:val="StyleUnderline"/>
          <w:highlight w:val="green"/>
        </w:rPr>
        <w:t>around</w:t>
      </w:r>
      <w:r w:rsidRPr="006A2BDB">
        <w:rPr>
          <w:rStyle w:val="StyleUnderline"/>
        </w:rPr>
        <w:t xml:space="preserve"> disability and </w:t>
      </w:r>
      <w:r w:rsidRPr="000425DD">
        <w:rPr>
          <w:rStyle w:val="Emphasis"/>
          <w:highlight w:val="green"/>
        </w:rPr>
        <w:t>dependency</w:t>
      </w:r>
      <w:r w:rsidRPr="006A2BDB">
        <w:rPr>
          <w:rStyle w:val="StyleUnderline"/>
        </w:rPr>
        <w:t>,</w:t>
      </w:r>
      <w:r w:rsidRPr="005960EF">
        <w:rPr>
          <w:sz w:val="12"/>
        </w:rPr>
        <w:t xml:space="preserve"> in which those deemed too needy of care are paradoxically deemed the least deserving of it. </w:t>
      </w:r>
    </w:p>
    <w:p w14:paraId="193B5816" w14:textId="77777777" w:rsidR="00033179" w:rsidRPr="005960EF" w:rsidRDefault="00033179" w:rsidP="00033179">
      <w:pPr>
        <w:rPr>
          <w:sz w:val="12"/>
        </w:rPr>
      </w:pPr>
      <w:r w:rsidRPr="005960EF">
        <w:rPr>
          <w:sz w:val="12"/>
        </w:rPr>
        <w:t xml:space="preserve">As Julie Avril Minich, James Kyung-Jin Lee, and the Harriet Tubman Collective have observed, </w:t>
      </w:r>
      <w:r w:rsidRPr="00AF5629">
        <w:rPr>
          <w:rStyle w:val="StyleUnderline"/>
        </w:rPr>
        <w:t>such</w:t>
      </w:r>
      <w:r w:rsidRPr="0033572E">
        <w:rPr>
          <w:rStyle w:val="StyleUnderline"/>
        </w:rPr>
        <w:t xml:space="preserve"> ideas have shaped leftist political imaginaries, </w:t>
      </w:r>
      <w:r w:rsidRPr="00995225">
        <w:rPr>
          <w:rStyle w:val="StyleUnderline"/>
          <w:highlight w:val="green"/>
        </w:rPr>
        <w:t>which</w:t>
      </w:r>
      <w:r w:rsidRPr="0033572E">
        <w:rPr>
          <w:rStyle w:val="StyleUnderline"/>
        </w:rPr>
        <w:t xml:space="preserve"> at times have </w:t>
      </w:r>
      <w:r w:rsidRPr="00995225">
        <w:rPr>
          <w:rStyle w:val="Emphasis"/>
          <w:highlight w:val="green"/>
        </w:rPr>
        <w:t xml:space="preserve">defined </w:t>
      </w:r>
      <w:r w:rsidRPr="00D122B6">
        <w:rPr>
          <w:rStyle w:val="StyleUnderline"/>
        </w:rPr>
        <w:t>political</w:t>
      </w:r>
      <w:r w:rsidRPr="00995225">
        <w:rPr>
          <w:rStyle w:val="Emphasis"/>
          <w:highlight w:val="green"/>
        </w:rPr>
        <w:t xml:space="preserve"> work</w:t>
      </w:r>
      <w:r w:rsidRPr="0033572E">
        <w:rPr>
          <w:rStyle w:val="StyleUnderline"/>
        </w:rPr>
        <w:t xml:space="preserve"> and social change </w:t>
      </w:r>
      <w:r w:rsidRPr="00995225">
        <w:rPr>
          <w:rStyle w:val="StyleUnderline"/>
          <w:highlight w:val="green"/>
        </w:rPr>
        <w:t>in ways that reproduce</w:t>
      </w:r>
      <w:r w:rsidRPr="0033572E">
        <w:rPr>
          <w:rStyle w:val="StyleUnderline"/>
        </w:rPr>
        <w:t xml:space="preserve"> </w:t>
      </w:r>
      <w:r w:rsidRPr="0025401F">
        <w:rPr>
          <w:rStyle w:val="StyleUnderline"/>
        </w:rPr>
        <w:t>the capitalist state’s</w:t>
      </w:r>
      <w:r w:rsidRPr="00995225">
        <w:rPr>
          <w:rStyle w:val="StyleUnderline"/>
          <w:highlight w:val="green"/>
        </w:rPr>
        <w:t xml:space="preserve"> devaluation of </w:t>
      </w:r>
      <w:r w:rsidRPr="009C00C1">
        <w:rPr>
          <w:rStyle w:val="StyleUnderline"/>
        </w:rPr>
        <w:t>care, dependency, and</w:t>
      </w:r>
      <w:r w:rsidRPr="00995225">
        <w:rPr>
          <w:rStyle w:val="StyleUnderline"/>
          <w:highlight w:val="green"/>
        </w:rPr>
        <w:t xml:space="preserve"> disability</w:t>
      </w:r>
      <w:r w:rsidRPr="0033572E">
        <w:rPr>
          <w:rStyle w:val="StyleUnderline"/>
        </w:rPr>
        <w:t>.</w:t>
      </w:r>
      <w:r w:rsidRPr="005960EF">
        <w:rPr>
          <w:sz w:val="12"/>
        </w:rPr>
        <w:t xml:space="preserve">36 </w:t>
      </w:r>
      <w:r w:rsidRPr="00835B9B">
        <w:rPr>
          <w:rStyle w:val="StyleUnderline"/>
        </w:rPr>
        <w:t>For instance</w:t>
      </w:r>
      <w:r w:rsidRPr="005960EF">
        <w:rPr>
          <w:sz w:val="12"/>
        </w:rPr>
        <w:t xml:space="preserve">, Leah Lakshmi Piepzna-Samarasinha’s 2018 book Care Work: Dreaming Disability Justice has detailed the </w:t>
      </w:r>
      <w:r w:rsidRPr="00835B9B">
        <w:rPr>
          <w:rStyle w:val="StyleUnderline"/>
        </w:rPr>
        <w:t>tendency to elevate certain forms of activist labor</w:t>
      </w:r>
      <w:r w:rsidRPr="005960EF">
        <w:rPr>
          <w:sz w:val="12"/>
        </w:rPr>
        <w:t xml:space="preserve"> (marches, speeches) </w:t>
      </w:r>
      <w:r w:rsidRPr="00835B9B">
        <w:rPr>
          <w:rStyle w:val="StyleUnderline"/>
        </w:rPr>
        <w:t>over others</w:t>
      </w:r>
      <w:r w:rsidRPr="005960EF">
        <w:rPr>
          <w:sz w:val="12"/>
        </w:rPr>
        <w:t xml:space="preserve"> (emotional support, food preparation, organizing and logistics). In response, the crip-of-color framework registers and refuses the ableist ideals undergirding the simultaneous retraction of (state) care and forcible extraction of care work from racialized and immigrant women. In so doing, it denaturalizes </w:t>
      </w:r>
      <w:r w:rsidRPr="004F6760">
        <w:rPr>
          <w:rStyle w:val="StyleUnderline"/>
        </w:rPr>
        <w:t xml:space="preserve">the particular calculus of need and support enforced by the nation-state and global capitalism </w:t>
      </w:r>
      <w:r w:rsidRPr="005960EF">
        <w:rPr>
          <w:sz w:val="12"/>
        </w:rPr>
        <w:t xml:space="preserve">and envisions more just distributions of caring labor. </w:t>
      </w:r>
    </w:p>
    <w:p w14:paraId="14AEFBD1" w14:textId="77777777" w:rsidR="00033179" w:rsidRPr="005960EF" w:rsidRDefault="00033179" w:rsidP="00033179">
      <w:pPr>
        <w:rPr>
          <w:sz w:val="12"/>
        </w:rPr>
      </w:pPr>
      <w:r w:rsidRPr="005960EF">
        <w:rPr>
          <w:sz w:val="12"/>
        </w:rPr>
        <w:t xml:space="preserve">Toward this end, Care at the End of the World highlights the support imaginaries generated within feminist-, queer-, and crip-of-color literature as vital sites through which struggles around care are waged, </w:t>
      </w:r>
      <w:r w:rsidRPr="000425DD">
        <w:rPr>
          <w:rStyle w:val="StyleUnderline"/>
          <w:highlight w:val="green"/>
        </w:rPr>
        <w:t>emphasizing</w:t>
      </w:r>
      <w:r w:rsidRPr="00974061">
        <w:rPr>
          <w:rStyle w:val="StyleUnderline"/>
        </w:rPr>
        <w:t xml:space="preserve"> </w:t>
      </w:r>
      <w:r w:rsidRPr="003543CB">
        <w:rPr>
          <w:rStyle w:val="StyleUnderline"/>
          <w:highlight w:val="green"/>
        </w:rPr>
        <w:t xml:space="preserve">the </w:t>
      </w:r>
      <w:r w:rsidRPr="000425DD">
        <w:rPr>
          <w:rStyle w:val="Emphasis"/>
          <w:sz w:val="28"/>
          <w:szCs w:val="28"/>
          <w:highlight w:val="green"/>
        </w:rPr>
        <w:t>ideological</w:t>
      </w:r>
      <w:r w:rsidRPr="003543CB">
        <w:rPr>
          <w:rStyle w:val="StyleUnderline"/>
          <w:highlight w:val="green"/>
        </w:rPr>
        <w:t xml:space="preserve"> and </w:t>
      </w:r>
      <w:r w:rsidRPr="000425DD">
        <w:rPr>
          <w:rStyle w:val="Emphasis"/>
          <w:sz w:val="32"/>
          <w:szCs w:val="32"/>
          <w:highlight w:val="green"/>
        </w:rPr>
        <w:t>narrative elements</w:t>
      </w:r>
      <w:r w:rsidRPr="000425DD">
        <w:rPr>
          <w:rStyle w:val="StyleUnderline"/>
        </w:rPr>
        <w:t xml:space="preserve"> </w:t>
      </w:r>
      <w:r w:rsidRPr="003543CB">
        <w:rPr>
          <w:rStyle w:val="Emphasis"/>
          <w:highlight w:val="green"/>
        </w:rPr>
        <w:t>of infrastructural</w:t>
      </w:r>
      <w:r w:rsidRPr="00974061">
        <w:rPr>
          <w:rStyle w:val="Emphasis"/>
        </w:rPr>
        <w:t xml:space="preserve"> </w:t>
      </w:r>
      <w:r w:rsidRPr="003543CB">
        <w:rPr>
          <w:rStyle w:val="Emphasis"/>
          <w:highlight w:val="green"/>
        </w:rPr>
        <w:t>violence</w:t>
      </w:r>
      <w:r w:rsidRPr="005960EF">
        <w:rPr>
          <w:sz w:val="12"/>
        </w:rPr>
        <w:t>. To put it simply, the writers I examine offer different stories around care: how we define it, how it works, and who works it. Even as</w:t>
      </w:r>
      <w:r w:rsidRPr="00093DD3">
        <w:rPr>
          <w:rStyle w:val="StyleUnderline"/>
        </w:rPr>
        <w:t xml:space="preserve"> disabled, racialized, and feminized people have borne the brunt of care crises</w:t>
      </w:r>
      <w:r w:rsidRPr="005960EF">
        <w:rPr>
          <w:sz w:val="12"/>
        </w:rPr>
        <w:t xml:space="preserve">, we have also, out of </w:t>
      </w:r>
      <w:r w:rsidRPr="005960EF">
        <w:rPr>
          <w:rStyle w:val="StyleUnderline"/>
          <w:sz w:val="12"/>
          <w:u w:val="none"/>
        </w:rPr>
        <w:t>necessity</w:t>
      </w:r>
      <w:r w:rsidRPr="005960EF">
        <w:rPr>
          <w:sz w:val="12"/>
        </w:rPr>
        <w:t xml:space="preserve">, spent ample time reimagining what care means. In addition to naming an identity and a movement, then, disability also names a practice of reinventing care. </w:t>
      </w:r>
    </w:p>
    <w:p w14:paraId="17FF40C4" w14:textId="77777777" w:rsidR="00033179" w:rsidRPr="000425DD" w:rsidRDefault="00033179" w:rsidP="00033179">
      <w:pPr>
        <w:rPr>
          <w:sz w:val="12"/>
        </w:rPr>
      </w:pPr>
      <w:r w:rsidRPr="005960EF">
        <w:rPr>
          <w:sz w:val="12"/>
        </w:rPr>
        <w:t xml:space="preserve">Consider, for example, Audre Lorde’s 1988 essay “A Burst of Light: Living with Cancer,” which contains the famous quote “Caring for myself is not self-indulgence, it is self-preservation, and that is an act of political warfare.”37 Written after Lorde’s breast cancer had spread to her liver, “A Burst of Light” offers a radical theory of self-care incubated in Black queer feminist disabled experience, one that refuses the hierarchies of life-value upheld by a racist, profit driven healthcare system. In addition to asserting the worth of her own Black queer disabled life, Lorde articulates this assertion against the backdrop of the Reagan administration, whose evisceration of state care provides key context for Lorde’s cancer journaling. In one of the first entries penned after her liver cancer diagnosis, dated February 9, 1984, Lorde reflects on the retraction of welfare and public housing, positioning these processes adjacent to her own health struggles: So. No doubt about where we are in the world’s story. It has just cost $32,000 to complete a government-commissioned study that purports to </w:t>
      </w:r>
      <w:r w:rsidRPr="000425DD">
        <w:rPr>
          <w:sz w:val="12"/>
        </w:rPr>
        <w:t>show there is no rampant hunger in the U.S.A. I wonder if they realize rampant means aggressive. So. The starving old women who used to sit in broken-down rooming houses waiting for a welfare check now lie under park benches and eat out of garbage bins. “I only eat fruit,” she mumbled, rummaging through the refuse bin behind Gristede’s supermarket, while her gnarled Black hands carefully cut away the rotted parts of a cantaloupe with a plastic Burger King knife.38</w:t>
      </w:r>
    </w:p>
    <w:p w14:paraId="36646FC0" w14:textId="77777777" w:rsidR="00033179" w:rsidRPr="00874CAC" w:rsidRDefault="00033179" w:rsidP="00033179">
      <w:pPr>
        <w:rPr>
          <w:sz w:val="12"/>
        </w:rPr>
      </w:pPr>
      <w:r w:rsidRPr="000425DD">
        <w:rPr>
          <w:rStyle w:val="StyleUnderline"/>
        </w:rPr>
        <w:t xml:space="preserve">Akin to </w:t>
      </w:r>
      <w:r w:rsidRPr="00181636">
        <w:rPr>
          <w:rStyle w:val="StyleUnderline"/>
          <w:highlight w:val="green"/>
        </w:rPr>
        <w:t>the figures of welfare queen</w:t>
      </w:r>
      <w:r w:rsidRPr="00BC71B4">
        <w:rPr>
          <w:rStyle w:val="StyleUnderline"/>
        </w:rPr>
        <w:t xml:space="preserve">, the </w:t>
      </w:r>
      <w:r w:rsidRPr="00181636">
        <w:rPr>
          <w:rStyle w:val="StyleUnderline"/>
          <w:highlight w:val="green"/>
        </w:rPr>
        <w:t>noncitizen</w:t>
      </w:r>
      <w:r w:rsidRPr="00BC71B4">
        <w:rPr>
          <w:rStyle w:val="StyleUnderline"/>
        </w:rPr>
        <w:t xml:space="preserve"> im</w:t>
      </w:r>
      <w:r w:rsidRPr="00181636">
        <w:rPr>
          <w:rStyle w:val="StyleUnderline"/>
          <w:highlight w:val="green"/>
        </w:rPr>
        <w:t xml:space="preserve">migrant, </w:t>
      </w:r>
      <w:r w:rsidRPr="000425DD">
        <w:rPr>
          <w:rStyle w:val="StyleUnderline"/>
        </w:rPr>
        <w:t xml:space="preserve">and </w:t>
      </w:r>
      <w:r w:rsidRPr="00AF5581">
        <w:rPr>
          <w:rStyle w:val="StyleUnderline"/>
        </w:rPr>
        <w:t>the</w:t>
      </w:r>
      <w:r w:rsidRPr="00181636">
        <w:rPr>
          <w:rStyle w:val="StyleUnderline"/>
          <w:highlight w:val="green"/>
        </w:rPr>
        <w:t xml:space="preserve"> disabled nonworker, </w:t>
      </w:r>
      <w:r w:rsidRPr="000425DD">
        <w:rPr>
          <w:rStyle w:val="StyleUnderline"/>
        </w:rPr>
        <w:t xml:space="preserve">the </w:t>
      </w:r>
      <w:r w:rsidRPr="00181636">
        <w:rPr>
          <w:rStyle w:val="StyleUnderline"/>
          <w:highlight w:val="green"/>
        </w:rPr>
        <w:t xml:space="preserve">ideological </w:t>
      </w:r>
      <w:r w:rsidRPr="000425DD">
        <w:rPr>
          <w:rStyle w:val="StyleUnderline"/>
        </w:rPr>
        <w:t>arm of infrastructural violence</w:t>
      </w:r>
      <w:r w:rsidRPr="000425DD">
        <w:rPr>
          <w:sz w:val="12"/>
        </w:rPr>
        <w:t xml:space="preserve"> is captured by the “government-commissioned study.” It </w:t>
      </w:r>
      <w:r w:rsidRPr="000425DD">
        <w:rPr>
          <w:rStyle w:val="StyleUnderline"/>
        </w:rPr>
        <w:t>indexes</w:t>
      </w:r>
      <w:r w:rsidRPr="000425DD">
        <w:rPr>
          <w:rStyle w:val="Emphasis"/>
        </w:rPr>
        <w:t xml:space="preserve"> state-authored </w:t>
      </w:r>
      <w:r w:rsidRPr="00181636">
        <w:rPr>
          <w:rStyle w:val="Emphasis"/>
          <w:highlight w:val="green"/>
        </w:rPr>
        <w:t xml:space="preserve">narratives </w:t>
      </w:r>
      <w:r w:rsidRPr="00874CAC">
        <w:rPr>
          <w:rStyle w:val="Emphasis"/>
        </w:rPr>
        <w:t>of care</w:t>
      </w:r>
      <w:r w:rsidRPr="00874CAC">
        <w:rPr>
          <w:rStyle w:val="StyleUnderline"/>
        </w:rPr>
        <w:t xml:space="preserve"> that justify routing resources away from Black, elderly, poor, and disabled communities</w:t>
      </w:r>
      <w:r w:rsidRPr="00874CAC">
        <w:rPr>
          <w:sz w:val="12"/>
        </w:rPr>
        <w:t xml:space="preserve">—that is, the “starving old women” who cut fruit with “gnarled Black hands.” Lorde’s journal entry grants form and urgency to </w:t>
      </w:r>
      <w:r w:rsidRPr="00874CAC">
        <w:rPr>
          <w:rStyle w:val="StyleUnderline"/>
        </w:rPr>
        <w:t>the state’s particular metric of care distribution</w:t>
      </w:r>
      <w:r w:rsidRPr="00874CAC">
        <w:rPr>
          <w:sz w:val="12"/>
        </w:rPr>
        <w:t xml:space="preserve">, highlighting a paradox key to my formulation of infrastructural violence: that </w:t>
      </w:r>
      <w:r w:rsidRPr="00874CAC">
        <w:rPr>
          <w:rStyle w:val="Emphasis"/>
        </w:rPr>
        <w:t>systems of state care are brutal, punishing</w:t>
      </w:r>
      <w:r w:rsidRPr="00874CAC">
        <w:rPr>
          <w:sz w:val="12"/>
          <w:szCs w:val="12"/>
        </w:rPr>
        <w:t>, and not enough</w:t>
      </w:r>
      <w:r w:rsidRPr="00874CAC">
        <w:rPr>
          <w:sz w:val="12"/>
        </w:rPr>
        <w:t xml:space="preserve">, and still, their evisceration by the capitalist state is similarly brutal, punishing, and not enough. </w:t>
      </w:r>
    </w:p>
    <w:p w14:paraId="461FFCB4" w14:textId="77777777" w:rsidR="00033179" w:rsidRPr="00874CAC" w:rsidRDefault="00033179" w:rsidP="00033179">
      <w:pPr>
        <w:rPr>
          <w:sz w:val="12"/>
        </w:rPr>
      </w:pPr>
      <w:r w:rsidRPr="00874CAC">
        <w:rPr>
          <w:sz w:val="12"/>
        </w:rPr>
        <w:t>In response to the narrative weapons of the state, Lorde’s essay engages in a crip-of-color practice of redefining and rerouting care work toward alternate political ends—that is, toward the (Black, queer, disabled) self and toward the communities in which Lorde was embedded. For instance, she begins “A Burst of Light” with a sumptuous dinner shared by the Black and brown lesbian group Sapphire Sapphos, describing all the dishes one by one: “There was sweet potato pie, rice and red beans, black beans and rice . . . spinach noodles with clam sauce, five-bean salad, fish salad, and other salads of diferent combinations.”39 Her recollection of this feast, which lingers on each pleasurable detail, models a more lateral and collective arrangement of care work, one in which queer Black and brown women are the recipients of nourishment rather than the ones always coerced to give. Against the meager options offered by the United States, “A Burst of Light” dreams of alternate infrastructural arrangements that can honor the sacredness of Black, queer, and disabled lives. In the following pages, I further outline what these rival arrangements might look like.</w:t>
      </w:r>
    </w:p>
    <w:p w14:paraId="542E6B11" w14:textId="77777777" w:rsidR="00033179" w:rsidRPr="00874CAC" w:rsidRDefault="00033179" w:rsidP="00033179">
      <w:pPr>
        <w:rPr>
          <w:sz w:val="12"/>
        </w:rPr>
      </w:pPr>
      <w:r w:rsidRPr="00874CAC">
        <w:rPr>
          <w:sz w:val="12"/>
        </w:rPr>
        <w:t xml:space="preserve">“I Have Dreamed of a Bridge . . .”: Envisioning Rival Infrastructures of Care </w:t>
      </w:r>
    </w:p>
    <w:p w14:paraId="13CE57AD" w14:textId="77777777" w:rsidR="00033179" w:rsidRPr="005960EF" w:rsidRDefault="00033179" w:rsidP="00033179">
      <w:pPr>
        <w:rPr>
          <w:sz w:val="12"/>
        </w:rPr>
      </w:pPr>
      <w:r w:rsidRPr="00874CAC">
        <w:rPr>
          <w:sz w:val="12"/>
        </w:rPr>
        <w:t>As</w:t>
      </w:r>
      <w:r w:rsidRPr="00874CAC">
        <w:rPr>
          <w:rStyle w:val="StyleUnderline"/>
        </w:rPr>
        <w:t xml:space="preserve"> decrying “dependency” </w:t>
      </w:r>
      <w:r w:rsidRPr="00874CAC">
        <w:rPr>
          <w:sz w:val="12"/>
        </w:rPr>
        <w:t>in the 1970s and 1980s</w:t>
      </w:r>
      <w:r w:rsidRPr="00B069A7">
        <w:rPr>
          <w:rStyle w:val="StyleUnderline"/>
        </w:rPr>
        <w:t xml:space="preserve"> </w:t>
      </w:r>
      <w:r w:rsidRPr="000425DD">
        <w:rPr>
          <w:rStyle w:val="StyleUnderline"/>
          <w:highlight w:val="green"/>
        </w:rPr>
        <w:t>became a</w:t>
      </w:r>
      <w:r w:rsidRPr="00B069A7">
        <w:rPr>
          <w:rStyle w:val="StyleUnderline"/>
        </w:rPr>
        <w:t xml:space="preserve"> viable </w:t>
      </w:r>
      <w:r w:rsidRPr="00F643F2">
        <w:rPr>
          <w:rStyle w:val="StyleUnderline"/>
          <w:highlight w:val="green"/>
        </w:rPr>
        <w:t xml:space="preserve">discursive strategy </w:t>
      </w:r>
      <w:r w:rsidRPr="00874CAC">
        <w:rPr>
          <w:rStyle w:val="StyleUnderline"/>
        </w:rPr>
        <w:t xml:space="preserve">for liberals and conservatives </w:t>
      </w:r>
      <w:r w:rsidRPr="00F643F2">
        <w:rPr>
          <w:rStyle w:val="StyleUnderline"/>
          <w:highlight w:val="green"/>
        </w:rPr>
        <w:t xml:space="preserve">to </w:t>
      </w:r>
      <w:r w:rsidRPr="00C62B82">
        <w:rPr>
          <w:rStyle w:val="StyleUnderline"/>
        </w:rPr>
        <w:t xml:space="preserve">further </w:t>
      </w:r>
      <w:r w:rsidRPr="00F643F2">
        <w:rPr>
          <w:rStyle w:val="StyleUnderline"/>
          <w:highlight w:val="green"/>
        </w:rPr>
        <w:t xml:space="preserve">privatize </w:t>
      </w:r>
      <w:r w:rsidRPr="00447B07">
        <w:rPr>
          <w:rStyle w:val="StyleUnderline"/>
          <w:highlight w:val="green"/>
        </w:rPr>
        <w:t>care</w:t>
      </w:r>
      <w:r w:rsidRPr="005960EF">
        <w:rPr>
          <w:sz w:val="12"/>
        </w:rPr>
        <w:t xml:space="preserve">, there emerged another set of fictions in which dependency enabled other ways of knowing, living in, and surviving an increasingly hostile world. The 1981 anthology This Bridge Called My Back: Writings by Radical Women of Color, coedited by Chicana lesbian feminists Cherríe Moraga and Gloria Anzaldúa, put forth a revolutionary vision of interdependency furthered by the infrastructural motif of the bridge. This vision refused the instrumentalization of women and queers of color as bridges “[to be] walked over.”40 In the face of infrastructural violence, it articulated instead a vision of reciprocal support for those most targeted by state divestment and racialized dispossession. </w:t>
      </w:r>
    </w:p>
    <w:p w14:paraId="6E063BEC" w14:textId="77777777" w:rsidR="00033179" w:rsidRPr="000425DD" w:rsidRDefault="00033179" w:rsidP="00033179">
      <w:pPr>
        <w:rPr>
          <w:sz w:val="12"/>
        </w:rPr>
      </w:pPr>
      <w:r w:rsidRPr="005960EF">
        <w:rPr>
          <w:sz w:val="12"/>
        </w:rPr>
        <w:t xml:space="preserve">I begin this analysis with Bridge because it both models and presages the rival infrastructures of care envisioned by the literary texts in this study. While Bridge was published long before the Bay Area activist performance group Sins Invalid coined the term disability justice, the anthology’s radical feminist-of-color platform addressed the interrelations between multiple axes of difference, of which disability was unquestionably a part.41 Take, for instance, Moraga and Anzaldúa’s articulation of “El Mundo Zurdo,” or “the left-handed world,” inhabited by “the colored, the </w:t>
      </w:r>
      <w:r w:rsidRPr="000425DD">
        <w:rPr>
          <w:sz w:val="12"/>
        </w:rPr>
        <w:t>queer, the poor, the female, the physically challenged.”42 This vision expressed the necessity of coalitional politics in order to address the “many-headed demon of oppression.”43 In the vein of “El Mundo Zurdo,” Care at the End of the World continues Bridge’s project of solidarity building across categories of difference. One of my central interventions, then, is bridging the adjacent intellectual fields of disability studies and feminist-/queer-of-color critique through the axis of dependency, demonstrating how they can be—and already have been—in generative dialogue. It is through “blood and spirit connections with these groups,” Moraga and Anzaldua write, that we might “brew and forge a revolution.”44</w:t>
      </w:r>
    </w:p>
    <w:p w14:paraId="0035AFCB" w14:textId="77777777" w:rsidR="00033179" w:rsidRPr="00F40343" w:rsidRDefault="00033179" w:rsidP="00033179">
      <w:pPr>
        <w:rPr>
          <w:rStyle w:val="StyleUnderline"/>
        </w:rPr>
      </w:pPr>
      <w:r w:rsidRPr="000425DD">
        <w:rPr>
          <w:sz w:val="12"/>
        </w:rPr>
        <w:t xml:space="preserve">Throughout the anthology, contributors draw on the bridge metaphor to describe the exploitation of women and queers of color in </w:t>
      </w:r>
      <w:r w:rsidRPr="000425DD">
        <w:rPr>
          <w:rStyle w:val="StyleUnderline"/>
        </w:rPr>
        <w:t>single-issue</w:t>
      </w:r>
      <w:r w:rsidRPr="000425DD">
        <w:rPr>
          <w:sz w:val="12"/>
        </w:rPr>
        <w:t xml:space="preserve"> ethnic </w:t>
      </w:r>
      <w:r w:rsidRPr="000425DD">
        <w:rPr>
          <w:rStyle w:val="StyleUnderline"/>
        </w:rPr>
        <w:t>nationalist</w:t>
      </w:r>
      <w:r w:rsidRPr="000425DD">
        <w:rPr>
          <w:sz w:val="12"/>
        </w:rPr>
        <w:t xml:space="preserve"> and feminist </w:t>
      </w:r>
      <w:r w:rsidRPr="000425DD">
        <w:rPr>
          <w:rStyle w:val="StyleUnderline"/>
        </w:rPr>
        <w:t>movements</w:t>
      </w:r>
      <w:r w:rsidRPr="000425DD">
        <w:rPr>
          <w:sz w:val="12"/>
        </w:rPr>
        <w:t xml:space="preserve">, which often </w:t>
      </w:r>
      <w:r w:rsidRPr="000425DD">
        <w:rPr>
          <w:rStyle w:val="StyleUnderline"/>
        </w:rPr>
        <w:t>depended on the unremunerated labor extracted from multiply marginalized members</w:t>
      </w:r>
      <w:r w:rsidRPr="000425DD">
        <w:rPr>
          <w:sz w:val="12"/>
        </w:rPr>
        <w:t xml:space="preserve">. In the prefatory text “The Bridge Poem,” the Black lesbian poet Kate Rushin renounces this role, stating, “I’ve had enough / I’m sick of seeing and touching / Both sides of things / Sick of being the damn bridge for everybody.”45 Similarly, Audre Lorde’s canonical “The Master’s Tools Will Never Dismantle the Master’s House,” anthologized in Bridge, foregrounds </w:t>
      </w:r>
      <w:r w:rsidRPr="000425DD">
        <w:rPr>
          <w:rStyle w:val="StyleUnderline"/>
        </w:rPr>
        <w:t>this support labor</w:t>
      </w:r>
      <w:r w:rsidRPr="000425DD">
        <w:rPr>
          <w:sz w:val="12"/>
        </w:rPr>
        <w:t xml:space="preserve"> and </w:t>
      </w:r>
      <w:r w:rsidRPr="000425DD">
        <w:rPr>
          <w:rStyle w:val="StyleUnderline"/>
        </w:rPr>
        <w:t>names</w:t>
      </w:r>
      <w:r w:rsidRPr="000425DD">
        <w:rPr>
          <w:sz w:val="12"/>
        </w:rPr>
        <w:t xml:space="preserve"> what it makes possible. In this paper, she asks white academic feminists, “What do you do with the fact that the women who clean your houses and tend your children while you attend conferences on feminist theory are, for the most part, poor and third world women?”46 This characterization of </w:t>
      </w:r>
      <w:r w:rsidRPr="000425DD">
        <w:rPr>
          <w:rStyle w:val="StyleUnderline"/>
        </w:rPr>
        <w:t>Black and brown women as bridges and support structures offers a powerful</w:t>
      </w:r>
      <w:r w:rsidRPr="00A44EE0">
        <w:rPr>
          <w:rStyle w:val="StyleUnderline"/>
        </w:rPr>
        <w:t xml:space="preserve"> counterpoint to myths like the welfare queen and the noncitizen migrant mother, which framed women of color as primary symbols of state dependency.</w:t>
      </w:r>
      <w:r w:rsidRPr="005960EF">
        <w:rPr>
          <w:sz w:val="12"/>
        </w:rPr>
        <w:t xml:space="preserve"> Rushin and Lorde suggest that, in fact, </w:t>
      </w:r>
      <w:r w:rsidRPr="00C42E8A">
        <w:rPr>
          <w:rStyle w:val="StyleUnderline"/>
          <w:highlight w:val="green"/>
        </w:rPr>
        <w:t>so much</w:t>
      </w:r>
      <w:r w:rsidRPr="00F40343">
        <w:rPr>
          <w:rStyle w:val="StyleUnderline"/>
        </w:rPr>
        <w:t xml:space="preserve"> more </w:t>
      </w:r>
      <w:r w:rsidRPr="00C42E8A">
        <w:rPr>
          <w:rStyle w:val="StyleUnderline"/>
          <w:highlight w:val="green"/>
        </w:rPr>
        <w:t xml:space="preserve">depends on the disregarded care work of women of color, including </w:t>
      </w:r>
      <w:r w:rsidRPr="00C42E8A">
        <w:rPr>
          <w:rStyle w:val="StyleUnderline"/>
        </w:rPr>
        <w:t xml:space="preserve">but not limited to </w:t>
      </w:r>
      <w:r w:rsidRPr="00C42E8A">
        <w:rPr>
          <w:rStyle w:val="StyleUnderline"/>
          <w:highlight w:val="green"/>
        </w:rPr>
        <w:t xml:space="preserve">the </w:t>
      </w:r>
      <w:r w:rsidRPr="00C42E8A">
        <w:rPr>
          <w:rStyle w:val="Emphasis"/>
          <w:highlight w:val="green"/>
        </w:rPr>
        <w:t>functioning of political movements</w:t>
      </w:r>
      <w:r w:rsidRPr="00C42E8A">
        <w:rPr>
          <w:rStyle w:val="StyleUnderline"/>
          <w:highlight w:val="green"/>
        </w:rPr>
        <w:t xml:space="preserve"> and </w:t>
      </w:r>
      <w:r w:rsidRPr="00C42E8A">
        <w:rPr>
          <w:rStyle w:val="Emphasis"/>
          <w:highlight w:val="green"/>
        </w:rPr>
        <w:t>academic institutions</w:t>
      </w:r>
      <w:r w:rsidRPr="00C42E8A">
        <w:rPr>
          <w:rStyle w:val="StyleUnderline"/>
          <w:highlight w:val="green"/>
        </w:rPr>
        <w:t>.</w:t>
      </w:r>
      <w:r w:rsidRPr="00F40343">
        <w:rPr>
          <w:rStyle w:val="StyleUnderline"/>
        </w:rPr>
        <w:t xml:space="preserve"> </w:t>
      </w:r>
    </w:p>
    <w:p w14:paraId="26A5B752" w14:textId="77777777" w:rsidR="00033179" w:rsidRPr="005960EF" w:rsidRDefault="00033179" w:rsidP="00033179">
      <w:pPr>
        <w:rPr>
          <w:sz w:val="12"/>
        </w:rPr>
      </w:pPr>
      <w:r w:rsidRPr="005960EF">
        <w:rPr>
          <w:sz w:val="12"/>
        </w:rPr>
        <w:t>Rather than serving as bridges toward other ends, the contributors of Bridge express the queer desire to redirect the labor of support toward each other. In her preface to the 1981 edition, Moraga details this infrastructural vision, writing, “Literally, for two years now, I have dreamed of a bridge.”47 In her dream, women who “contradict each other” come together to form an intimate textual coalition. Here, they can “make faith a reality and . . . bring all of our selves to bear down hard on that reality.”48 Through the metaphor of the bridge, Moraga dreams of care, intimacy, and freedom for women and queers of color during a time of accelerated resource deprivation. At times, her dream is made manifest: she recalls receiving “encouragement and identification” from “five Latina sisters” while speaking on a panel about racism in San Francisco.49 Later, Moraga and her companions “buy burritos y cerveza from ‘La Cumbre’ and talk [their] heads off into the night, crying from the impact of such a reunion.”50 Her dream of the bridge thus furthers an understanding of liberation for women and queers of color that can emerge only through the mutual, loving practice of support. “For the women in this book,” she writes, “I will lay my body down for that vision.”51</w:t>
      </w:r>
    </w:p>
    <w:p w14:paraId="3E767D96" w14:textId="77777777" w:rsidR="00033179" w:rsidRPr="005960EF" w:rsidRDefault="00033179" w:rsidP="00033179">
      <w:pPr>
        <w:rPr>
          <w:sz w:val="12"/>
        </w:rPr>
      </w:pPr>
      <w:r w:rsidRPr="005960EF">
        <w:rPr>
          <w:sz w:val="12"/>
        </w:rPr>
        <w:t xml:space="preserve">Moraga’s infrastructural freedom dreaming, which emphasizes dependency between feminist and queer-of-color comrades, further resonates with a feminist disability ethos that emphasizes the value of care work as well as the transformative potential of interdependency. “Interdependency,” writes disability and transformative justice activist Mia Mingus, “is both ‘you and I’ and ‘we.’ It is solidarity, in the best sense of the word. . . . Because the truth is: we need each other.”52 As Rosemarie Garland-Thomson and other feminist disability scholars have argued, disability presents the self-sufficient, autonomous individual as a mere fiction, forcing us to contend with the very real needs of our bodyminds.53 Rather than denying our embodied and enminded limitations, a feminist disability perspective insists we learn to accommodate them, foregrounding the support systems that make life more possible. “Our bodies need care,” writes GarlandThomson. “We all need assistance to live.”54 Dependency, in this context, is not evidence of failure; instead, it names a social bond vital to individual and collective well-being. Interdependency describes the webs and networks that emerge through these bonds, as well as a set of practices that honors bodily limitations and vulnerabilities. </w:t>
      </w:r>
    </w:p>
    <w:p w14:paraId="62BCBF94" w14:textId="77777777" w:rsidR="00033179" w:rsidRPr="00AD59AD" w:rsidRDefault="00033179" w:rsidP="00033179">
      <w:pPr>
        <w:rPr>
          <w:rStyle w:val="StyleUnderline"/>
        </w:rPr>
      </w:pPr>
      <w:r w:rsidRPr="005960EF">
        <w:rPr>
          <w:sz w:val="12"/>
        </w:rPr>
        <w:t xml:space="preserve">Care at the End of the World identifies interdependency as a primary node of alignment between disability and feminist-/queer-of-color politics. This work continues, too, with esays such as Cathy Cohen’s “Punks, Bulldaggers, and Welfare Queens: The Radical Potential of Queer </w:t>
      </w:r>
      <w:r w:rsidRPr="00E2430A">
        <w:rPr>
          <w:sz w:val="12"/>
        </w:rPr>
        <w:t xml:space="preserve">Politics?,” in which Cohen envisions a politics where “one’s relation to power, and not some homogenized identity, is privileged in determining one’s political comrades.”55 This book takes seriously Grace Kyungwon Hong and Roderick Ferguson’s call, issued </w:t>
      </w:r>
      <w:r w:rsidRPr="00E2430A">
        <w:rPr>
          <w:rStyle w:val="StyleUnderline"/>
        </w:rPr>
        <w:t>in the</w:t>
      </w:r>
      <w:r w:rsidRPr="00E2430A">
        <w:rPr>
          <w:sz w:val="12"/>
        </w:rPr>
        <w:t xml:space="preserve"> 2011 anthology </w:t>
      </w:r>
      <w:r w:rsidRPr="00E2430A">
        <w:rPr>
          <w:rStyle w:val="StyleUnderline"/>
        </w:rPr>
        <w:t>Strange Affinities</w:t>
      </w:r>
      <w:r w:rsidRPr="00E2430A">
        <w:rPr>
          <w:sz w:val="12"/>
        </w:rPr>
        <w:t>, to develop relational, coalitional, and cross-categorical analytics that can assess how “</w:t>
      </w:r>
      <w:r w:rsidRPr="00E2430A">
        <w:rPr>
          <w:rStyle w:val="StyleUnderline"/>
        </w:rPr>
        <w:t>particular populations are rendered vulnerable to processes of death and devaluation over and against other populations” in the afterlives of the civil rights movement</w:t>
      </w:r>
      <w:r w:rsidRPr="002D351D">
        <w:rPr>
          <w:rStyle w:val="StyleUnderline"/>
        </w:rPr>
        <w:t xml:space="preserve"> and decolonization.</w:t>
      </w:r>
      <w:r w:rsidRPr="002D351D">
        <w:rPr>
          <w:sz w:val="12"/>
        </w:rPr>
        <w:t xml:space="preserve">56 Following this, </w:t>
      </w:r>
      <w:r w:rsidRPr="002D351D">
        <w:rPr>
          <w:rStyle w:val="StyleUnderline"/>
        </w:rPr>
        <w:t xml:space="preserve">I foreground </w:t>
      </w:r>
      <w:r w:rsidRPr="00584318">
        <w:rPr>
          <w:rStyle w:val="StyleUnderline"/>
          <w:highlight w:val="green"/>
        </w:rPr>
        <w:t xml:space="preserve">the </w:t>
      </w:r>
      <w:r w:rsidRPr="00584318">
        <w:rPr>
          <w:rStyle w:val="Emphasis"/>
          <w:sz w:val="28"/>
          <w:szCs w:val="28"/>
          <w:highlight w:val="green"/>
        </w:rPr>
        <w:t>dominant discourse of dependency</w:t>
      </w:r>
      <w:r w:rsidRPr="00584318">
        <w:rPr>
          <w:rStyle w:val="StyleUnderline"/>
          <w:sz w:val="28"/>
          <w:szCs w:val="28"/>
          <w:highlight w:val="green"/>
        </w:rPr>
        <w:t xml:space="preserve"> </w:t>
      </w:r>
      <w:r w:rsidRPr="00584318">
        <w:rPr>
          <w:rStyle w:val="StyleUnderline"/>
          <w:highlight w:val="green"/>
        </w:rPr>
        <w:t>as a</w:t>
      </w:r>
      <w:r w:rsidRPr="005960EF">
        <w:rPr>
          <w:sz w:val="12"/>
        </w:rPr>
        <w:t xml:space="preserve"> chief </w:t>
      </w:r>
      <w:r w:rsidRPr="00584318">
        <w:rPr>
          <w:rStyle w:val="Emphasis"/>
          <w:sz w:val="28"/>
          <w:szCs w:val="28"/>
          <w:highlight w:val="green"/>
        </w:rPr>
        <w:t>rhetorical instrument</w:t>
      </w:r>
      <w:r w:rsidRPr="00584318">
        <w:rPr>
          <w:rStyle w:val="StyleUnderline"/>
          <w:sz w:val="28"/>
          <w:szCs w:val="28"/>
          <w:highlight w:val="green"/>
        </w:rPr>
        <w:t xml:space="preserve"> </w:t>
      </w:r>
      <w:r w:rsidRPr="00584318">
        <w:rPr>
          <w:rStyle w:val="Emphasis"/>
          <w:sz w:val="28"/>
          <w:szCs w:val="28"/>
          <w:highlight w:val="green"/>
        </w:rPr>
        <w:t>justifying racialized</w:t>
      </w:r>
      <w:r w:rsidRPr="00584318">
        <w:rPr>
          <w:rStyle w:val="StyleUnderline"/>
          <w:sz w:val="28"/>
          <w:szCs w:val="28"/>
          <w:highlight w:val="green"/>
        </w:rPr>
        <w:t xml:space="preserve"> </w:t>
      </w:r>
      <w:r w:rsidRPr="00584318">
        <w:rPr>
          <w:rStyle w:val="Emphasis"/>
          <w:highlight w:val="green"/>
        </w:rPr>
        <w:t>death and disablement</w:t>
      </w:r>
      <w:r w:rsidRPr="00584318">
        <w:rPr>
          <w:rStyle w:val="StyleUnderline"/>
          <w:highlight w:val="green"/>
        </w:rPr>
        <w:t xml:space="preserve"> </w:t>
      </w:r>
      <w:r w:rsidRPr="00584318">
        <w:rPr>
          <w:rStyle w:val="Emphasis"/>
          <w:sz w:val="28"/>
          <w:szCs w:val="28"/>
          <w:highlight w:val="green"/>
        </w:rPr>
        <w:t>following</w:t>
      </w:r>
      <w:r w:rsidRPr="00584318">
        <w:rPr>
          <w:rStyle w:val="StyleUnderline"/>
          <w:sz w:val="28"/>
          <w:szCs w:val="28"/>
          <w:highlight w:val="green"/>
        </w:rPr>
        <w:t xml:space="preserve"> </w:t>
      </w:r>
      <w:r w:rsidRPr="00584318">
        <w:rPr>
          <w:rStyle w:val="StyleUnderline"/>
          <w:highlight w:val="green"/>
        </w:rPr>
        <w:t xml:space="preserve">the </w:t>
      </w:r>
      <w:r w:rsidRPr="00584318">
        <w:rPr>
          <w:rStyle w:val="Emphasis"/>
          <w:sz w:val="28"/>
          <w:szCs w:val="28"/>
          <w:highlight w:val="green"/>
        </w:rPr>
        <w:t>abolition of legal</w:t>
      </w:r>
      <w:r w:rsidRPr="00584318">
        <w:rPr>
          <w:rStyle w:val="StyleUnderline"/>
          <w:sz w:val="28"/>
          <w:szCs w:val="28"/>
          <w:highlight w:val="green"/>
        </w:rPr>
        <w:t xml:space="preserve"> </w:t>
      </w:r>
      <w:r w:rsidRPr="00584318">
        <w:rPr>
          <w:rStyle w:val="Emphasis"/>
          <w:sz w:val="28"/>
          <w:szCs w:val="28"/>
          <w:highlight w:val="green"/>
        </w:rPr>
        <w:t>racial</w:t>
      </w:r>
      <w:r w:rsidRPr="00584318">
        <w:rPr>
          <w:rStyle w:val="StyleUnderline"/>
          <w:sz w:val="28"/>
          <w:szCs w:val="28"/>
          <w:highlight w:val="green"/>
        </w:rPr>
        <w:t xml:space="preserve"> </w:t>
      </w:r>
      <w:r w:rsidRPr="00584318">
        <w:rPr>
          <w:rStyle w:val="Emphasis"/>
          <w:sz w:val="28"/>
          <w:szCs w:val="28"/>
          <w:highlight w:val="green"/>
        </w:rPr>
        <w:t>discrimination</w:t>
      </w:r>
      <w:r w:rsidRPr="00584318">
        <w:rPr>
          <w:rStyle w:val="StyleUnderline"/>
          <w:highlight w:val="green"/>
        </w:rPr>
        <w:t>.</w:t>
      </w:r>
      <w:r w:rsidRPr="00AD59AD">
        <w:rPr>
          <w:rStyle w:val="StyleUnderline"/>
        </w:rPr>
        <w:t xml:space="preserve"> </w:t>
      </w:r>
    </w:p>
    <w:p w14:paraId="7E0E73AB" w14:textId="77777777" w:rsidR="00033179" w:rsidRPr="005960EF" w:rsidRDefault="00033179" w:rsidP="00033179">
      <w:pPr>
        <w:rPr>
          <w:sz w:val="12"/>
        </w:rPr>
      </w:pPr>
      <w:r w:rsidRPr="005960EF">
        <w:rPr>
          <w:sz w:val="12"/>
        </w:rPr>
        <w:t>By highlighting interdependency as a link between adjacent intellectual fields, I draw on a feminist-of-color tradition that privileges not sameness in identity as a basis for political solidarity, but rather a “common context of political struggle,” to use Chandra Talpade Mohanty’s oft-cited phrase.57 To further elaborate on this potential affinity, I return once again to the work of Audre Lorde, who has in the past two decades been reclaimed as a queer disabled ancestor by a new generation of scholars and activists.58 In the “Master’s Tools” paper, delivered at the Second Sex conference soon after her breast cancer treatment, Lorde prefaces her condemnation of third world labor exploitation with a radical theory of interdependence. Critiquing feminist discussions of “nurturance” that fail to consider “lesbian consciousness” and “the consciousness of third world women,” Lorde speaks to the “mutuality between women,” “systems of shared support,” and “interdependence” that offer alternate models for nurturance beyond the reproduction of the white heterosexual nuclear family.59</w:t>
      </w:r>
    </w:p>
    <w:p w14:paraId="0B785E56" w14:textId="77777777" w:rsidR="00033179" w:rsidRPr="005960EF" w:rsidRDefault="00033179" w:rsidP="00033179">
      <w:pPr>
        <w:rPr>
          <w:sz w:val="12"/>
        </w:rPr>
      </w:pPr>
      <w:r w:rsidRPr="005960EF">
        <w:rPr>
          <w:sz w:val="12"/>
        </w:rPr>
        <w:t xml:space="preserve">For Lorde, interdependency constitutes an alternate infrastructure of care for those women “forged in the crucibles of difference,” the occupants of El Mundo Zurdo.60 She writes, “Interdependency between women is the only way to the freedom which allows the ‘I’ to ‘be,’ not in order to be used, but in order to be creative.”61 In this passage, interdependence becomes legible as a liberatory ideal and practice, one that nourishes lives that were, as Lorde once famously wrote, “never meant to survive.”62 As she makes clear, this practice of interdependency must not only account for difference (along the lines of race, sexuality, ability, and class) but also honor such differences as vital sources of political creativity and change making. What Lorde terms “the interdependence of mutual (non-dominant) differences” is the condition of possibility for “true visions of our future,” a vision of unqualified support that “[defines] and [seeks] a world in which we can all flourish.”63 Learning how to support and “make common cause” with those living “outside the structures” is the primary way to not only survive an otherwise unlivable world but also imagine viable ways out of it.64 </w:t>
      </w:r>
    </w:p>
    <w:p w14:paraId="23C7BC6C" w14:textId="77777777" w:rsidR="00033179" w:rsidRPr="005960EF" w:rsidRDefault="00033179" w:rsidP="00033179">
      <w:pPr>
        <w:rPr>
          <w:sz w:val="12"/>
        </w:rPr>
      </w:pPr>
      <w:r w:rsidRPr="005960EF">
        <w:rPr>
          <w:sz w:val="12"/>
        </w:rPr>
        <w:t xml:space="preserve">Paired with her critique of white academic feminists delivered later in the paper, in which she underscores </w:t>
      </w:r>
      <w:r w:rsidRPr="006D4891">
        <w:rPr>
          <w:rStyle w:val="StyleUnderline"/>
        </w:rPr>
        <w:t>the childcare labor performed by “poor and third world women” that makes</w:t>
      </w:r>
      <w:r w:rsidRPr="005960EF">
        <w:rPr>
          <w:sz w:val="12"/>
        </w:rPr>
        <w:t xml:space="preserve"> co</w:t>
      </w:r>
      <w:r w:rsidRPr="00C417AF">
        <w:rPr>
          <w:sz w:val="12"/>
        </w:rPr>
        <w:t xml:space="preserve">nference </w:t>
      </w:r>
      <w:r w:rsidRPr="00C417AF">
        <w:rPr>
          <w:rStyle w:val="StyleUnderline"/>
        </w:rPr>
        <w:t>participation possible</w:t>
      </w:r>
      <w:r w:rsidRPr="00C417AF">
        <w:rPr>
          <w:sz w:val="12"/>
        </w:rPr>
        <w:t xml:space="preserve">, Lorde furthers a theory of interdependency that also takes </w:t>
      </w:r>
      <w:r w:rsidRPr="00C417AF">
        <w:rPr>
          <w:rStyle w:val="StyleUnderline"/>
        </w:rPr>
        <w:t>in</w:t>
      </w:r>
      <w:r w:rsidRPr="00C417AF">
        <w:rPr>
          <w:sz w:val="12"/>
        </w:rPr>
        <w:t xml:space="preserve">to account </w:t>
      </w:r>
      <w:r w:rsidRPr="00C417AF">
        <w:rPr>
          <w:rStyle w:val="StyleUnderline"/>
        </w:rPr>
        <w:t>the political economy of racial-gendered care work</w:t>
      </w:r>
      <w:r w:rsidRPr="00C417AF">
        <w:rPr>
          <w:sz w:val="12"/>
        </w:rPr>
        <w:t xml:space="preserve">.65 This element feels crucial, as it demands a more in-depth analysis of the interdependency concept. At times, in disability writing, interdependency can function as </w:t>
      </w:r>
      <w:r w:rsidRPr="00C417AF">
        <w:rPr>
          <w:rStyle w:val="Emphasis"/>
        </w:rPr>
        <w:t>a</w:t>
      </w:r>
      <w:r w:rsidRPr="00C417AF">
        <w:rPr>
          <w:rStyle w:val="StyleUnderline"/>
        </w:rPr>
        <w:t xml:space="preserve"> kind of </w:t>
      </w:r>
      <w:r w:rsidRPr="00C417AF">
        <w:rPr>
          <w:rStyle w:val="Emphasis"/>
        </w:rPr>
        <w:t>vague utopian cure-all</w:t>
      </w:r>
      <w:r w:rsidRPr="00C417AF">
        <w:rPr>
          <w:sz w:val="12"/>
        </w:rPr>
        <w:t xml:space="preserve"> for an ableist world, a move </w:t>
      </w:r>
      <w:r w:rsidRPr="00C417AF">
        <w:rPr>
          <w:rStyle w:val="StyleUnderline"/>
        </w:rPr>
        <w:t>that</w:t>
      </w:r>
      <w:r w:rsidRPr="00C417AF">
        <w:rPr>
          <w:sz w:val="12"/>
        </w:rPr>
        <w:t xml:space="preserve"> </w:t>
      </w:r>
      <w:r w:rsidRPr="00C417AF">
        <w:rPr>
          <w:rStyle w:val="Emphasis"/>
        </w:rPr>
        <w:t>all too often evacuates the power dynamics and fraught histories shaping social relations of care</w:t>
      </w:r>
      <w:r w:rsidRPr="00C417AF">
        <w:rPr>
          <w:sz w:val="12"/>
        </w:rPr>
        <w:t>. Or, as Leah Lakshmi PiepznaSamarasinha so aptly puts it, “Interdependence Is Not Some Giant Living in the Hillside Coming Down to Visit the Townspeople.”66 For Lorde, then, interdependency carries multiple meanings—it can describe a web of reciprocal support between those who exist at the intersection of multiple oppressions, or a system of exploitation fueled by the disregarded, devalued care labor of Black and brow</w:t>
      </w:r>
      <w:r w:rsidRPr="005960EF">
        <w:rPr>
          <w:sz w:val="12"/>
        </w:rPr>
        <w:t>n women, among other possibilities.</w:t>
      </w:r>
    </w:p>
    <w:p w14:paraId="40943108" w14:textId="77777777" w:rsidR="00033179" w:rsidRPr="00E2430A" w:rsidRDefault="00033179" w:rsidP="00033179">
      <w:pPr>
        <w:rPr>
          <w:sz w:val="12"/>
        </w:rPr>
      </w:pPr>
      <w:r w:rsidRPr="005960EF">
        <w:rPr>
          <w:sz w:val="12"/>
        </w:rPr>
        <w:t xml:space="preserve">Following Lorde, Care at the End of the World considers the question of interdependence vis-à-vis political economies of care throughout the chapters, mapping the different ways that women- and queer-of-color writers have explored the relationships between care work, state divestment, and freedom dreaming. For instance, in chapter 3, I take </w:t>
      </w:r>
      <w:r w:rsidRPr="00217BD3">
        <w:rPr>
          <w:sz w:val="12"/>
        </w:rPr>
        <w:t xml:space="preserve">up Octavia Butler’s novel Parable of the Sower (1993) alongside Karen Tei Yamashita’s novel Tropic of Orange (1997) in order to delve further </w:t>
      </w:r>
      <w:r w:rsidRPr="00217BD3">
        <w:rPr>
          <w:rStyle w:val="StyleUnderline"/>
        </w:rPr>
        <w:t>in</w:t>
      </w:r>
      <w:r w:rsidRPr="00217BD3">
        <w:rPr>
          <w:sz w:val="12"/>
        </w:rPr>
        <w:t xml:space="preserve">to </w:t>
      </w:r>
      <w:r w:rsidRPr="00217BD3">
        <w:rPr>
          <w:rStyle w:val="StyleUnderline"/>
        </w:rPr>
        <w:t xml:space="preserve">the exploitative version of interdependence, </w:t>
      </w:r>
      <w:r w:rsidRPr="00E2430A">
        <w:rPr>
          <w:rStyle w:val="StyleUnderline"/>
        </w:rPr>
        <w:t>linking it to the dependency myth of the undocumented migrant worker</w:t>
      </w:r>
      <w:r w:rsidRPr="00E2430A">
        <w:rPr>
          <w:sz w:val="12"/>
        </w:rPr>
        <w:t xml:space="preserve">. Chapter 2 turns to Samuel Delany’s novel Through the Valley of the Nest of Spiders (2012) to examine a vision of mutual reciprocity, exploring the possibilities of queer eroticism that the novel derives from care work. Lorde’s distinction between ecologies of interdependence, as well as her recognition of the </w:t>
      </w:r>
      <w:r w:rsidRPr="00E2430A">
        <w:rPr>
          <w:rStyle w:val="StyleUnderline"/>
        </w:rPr>
        <w:t>maintenance labor often performed by racialized women</w:t>
      </w:r>
      <w:r w:rsidRPr="00E2430A">
        <w:rPr>
          <w:sz w:val="12"/>
        </w:rPr>
        <w:t xml:space="preserve">, therefore </w:t>
      </w:r>
      <w:r w:rsidRPr="00E2430A">
        <w:rPr>
          <w:rStyle w:val="StyleUnderline"/>
        </w:rPr>
        <w:t>provides a key touchstone</w:t>
      </w:r>
      <w:r w:rsidRPr="00E2430A">
        <w:rPr>
          <w:sz w:val="12"/>
        </w:rPr>
        <w:t xml:space="preserve"> for this project’s analysis of dependency and support.</w:t>
      </w:r>
    </w:p>
    <w:p w14:paraId="1029E9C8" w14:textId="77777777" w:rsidR="00033179" w:rsidRPr="004C7956" w:rsidRDefault="00033179" w:rsidP="00033179">
      <w:pPr>
        <w:rPr>
          <w:rStyle w:val="StyleUnderline"/>
        </w:rPr>
      </w:pPr>
      <w:r w:rsidRPr="00E2430A">
        <w:rPr>
          <w:sz w:val="12"/>
        </w:rPr>
        <w:t>While “The Master’s Tools” does not make explicit mention of disability</w:t>
      </w:r>
      <w:r w:rsidRPr="005960EF">
        <w:rPr>
          <w:sz w:val="12"/>
        </w:rPr>
        <w:t xml:space="preserve">, the essay’s politicized focus on care and dependency is nonetheless aligned with a feminist disability ethos, demonstrating how </w:t>
      </w:r>
      <w:r w:rsidRPr="00D92FD2">
        <w:rPr>
          <w:rStyle w:val="Emphasis"/>
          <w:sz w:val="28"/>
          <w:szCs w:val="28"/>
          <w:highlight w:val="green"/>
        </w:rPr>
        <w:t>disability</w:t>
      </w:r>
      <w:r w:rsidRPr="005960EF">
        <w:rPr>
          <w:sz w:val="12"/>
        </w:rPr>
        <w:t xml:space="preserve"> </w:t>
      </w:r>
      <w:r w:rsidRPr="00217BD3">
        <w:rPr>
          <w:sz w:val="12"/>
          <w:szCs w:val="12"/>
        </w:rPr>
        <w:t xml:space="preserve">politics </w:t>
      </w:r>
      <w:r w:rsidRPr="00217BD3">
        <w:rPr>
          <w:rStyle w:val="StyleUnderline"/>
        </w:rPr>
        <w:t>can be</w:t>
      </w:r>
      <w:r w:rsidRPr="00217BD3">
        <w:rPr>
          <w:rStyle w:val="Style13ptBold"/>
        </w:rPr>
        <w:t xml:space="preserve"> </w:t>
      </w:r>
      <w:r w:rsidRPr="000216B1">
        <w:rPr>
          <w:rStyle w:val="Emphasis"/>
          <w:sz w:val="28"/>
          <w:szCs w:val="28"/>
          <w:highlight w:val="green"/>
        </w:rPr>
        <w:t xml:space="preserve">present </w:t>
      </w:r>
      <w:r w:rsidRPr="00D92FD2">
        <w:rPr>
          <w:rStyle w:val="Emphasis"/>
          <w:sz w:val="28"/>
          <w:szCs w:val="28"/>
          <w:highlight w:val="green"/>
        </w:rPr>
        <w:t>even in the absence of straightforward representation</w:t>
      </w:r>
      <w:r w:rsidRPr="005960EF">
        <w:rPr>
          <w:sz w:val="12"/>
        </w:rPr>
        <w:t xml:space="preserve">. Lorde’s emphasis on the racialized divisions and dimensions of care labor further calls to mind recent disability justice interventions, such as Leah Lakshmi Piepzna-Samarasinha’s Care Work: Dreaming Disability Justice and Akemi Nishida’s Just Care: Messy Entanglements of Disability, Dependency, and Desire, both of which contextualize disability justice theories of care </w:t>
      </w:r>
      <w:r w:rsidRPr="000A7EA8">
        <w:rPr>
          <w:rStyle w:val="Emphasis"/>
          <w:highlight w:val="green"/>
        </w:rPr>
        <w:t>within</w:t>
      </w:r>
      <w:r w:rsidRPr="003F3D67">
        <w:rPr>
          <w:rStyle w:val="StyleUnderline"/>
        </w:rPr>
        <w:t xml:space="preserve"> </w:t>
      </w:r>
      <w:r w:rsidRPr="005960EF">
        <w:rPr>
          <w:sz w:val="12"/>
        </w:rPr>
        <w:t>longer</w:t>
      </w:r>
      <w:r w:rsidRPr="003F3D67">
        <w:rPr>
          <w:rStyle w:val="StyleUnderline"/>
        </w:rPr>
        <w:t xml:space="preserve"> </w:t>
      </w:r>
      <w:r w:rsidRPr="000A7EA8">
        <w:rPr>
          <w:rStyle w:val="Emphasis"/>
          <w:highlight w:val="green"/>
        </w:rPr>
        <w:t>histories of labor</w:t>
      </w:r>
      <w:r w:rsidRPr="000A7EA8">
        <w:t xml:space="preserve"> </w:t>
      </w:r>
      <w:r w:rsidRPr="005960EF">
        <w:rPr>
          <w:sz w:val="12"/>
        </w:rPr>
        <w:t xml:space="preserve">extraction from Black, brown, and Indigenous femmes.67 In the following pages, I will explain more fully my methodological approach of </w:t>
      </w:r>
      <w:r w:rsidRPr="004C7956">
        <w:rPr>
          <w:rStyle w:val="StyleUnderline"/>
        </w:rPr>
        <w:t xml:space="preserve">disability as an analytic lens, in which disability functions </w:t>
      </w:r>
      <w:r w:rsidRPr="001104D6">
        <w:rPr>
          <w:rStyle w:val="Emphasis"/>
          <w:sz w:val="28"/>
          <w:szCs w:val="28"/>
          <w:highlight w:val="green"/>
        </w:rPr>
        <w:t>less</w:t>
      </w:r>
      <w:r w:rsidRPr="001104D6">
        <w:rPr>
          <w:rStyle w:val="StyleUnderline"/>
          <w:sz w:val="28"/>
          <w:szCs w:val="28"/>
          <w:highlight w:val="green"/>
        </w:rPr>
        <w:t xml:space="preserve"> </w:t>
      </w:r>
      <w:r w:rsidRPr="003C0268">
        <w:rPr>
          <w:rStyle w:val="StyleUnderline"/>
        </w:rPr>
        <w:t xml:space="preserve">as a category of </w:t>
      </w:r>
      <w:r w:rsidRPr="001104D6">
        <w:rPr>
          <w:rStyle w:val="Emphasis"/>
          <w:sz w:val="28"/>
          <w:szCs w:val="28"/>
          <w:highlight w:val="green"/>
        </w:rPr>
        <w:t>identity</w:t>
      </w:r>
      <w:r w:rsidRPr="004C7956">
        <w:rPr>
          <w:rStyle w:val="StyleUnderline"/>
        </w:rPr>
        <w:t xml:space="preserve">—a descriptor of what someone is—and </w:t>
      </w:r>
      <w:r w:rsidRPr="001104D6">
        <w:rPr>
          <w:rStyle w:val="Emphasis"/>
          <w:sz w:val="28"/>
          <w:szCs w:val="28"/>
          <w:highlight w:val="green"/>
        </w:rPr>
        <w:t>more</w:t>
      </w:r>
      <w:r w:rsidRPr="001C6E17">
        <w:rPr>
          <w:rStyle w:val="StyleUnderline"/>
          <w:sz w:val="28"/>
          <w:szCs w:val="28"/>
        </w:rPr>
        <w:t xml:space="preserve"> </w:t>
      </w:r>
      <w:r w:rsidRPr="004C7956">
        <w:rPr>
          <w:rStyle w:val="StyleUnderline"/>
        </w:rPr>
        <w:t xml:space="preserve">as </w:t>
      </w:r>
      <w:r w:rsidRPr="001104D6">
        <w:rPr>
          <w:rStyle w:val="StyleUnderline"/>
          <w:highlight w:val="green"/>
        </w:rPr>
        <w:t>a</w:t>
      </w:r>
      <w:r w:rsidRPr="004C7956">
        <w:rPr>
          <w:rStyle w:val="StyleUnderline"/>
        </w:rPr>
        <w:t xml:space="preserve"> reading practice and </w:t>
      </w:r>
      <w:r w:rsidRPr="001104D6">
        <w:rPr>
          <w:rStyle w:val="Emphasis"/>
          <w:sz w:val="28"/>
          <w:szCs w:val="28"/>
          <w:highlight w:val="green"/>
        </w:rPr>
        <w:t>framework</w:t>
      </w:r>
      <w:r w:rsidRPr="001104D6">
        <w:rPr>
          <w:rStyle w:val="StyleUnderline"/>
          <w:sz w:val="28"/>
          <w:szCs w:val="28"/>
          <w:highlight w:val="green"/>
        </w:rPr>
        <w:t xml:space="preserve"> </w:t>
      </w:r>
      <w:r w:rsidRPr="001104D6">
        <w:rPr>
          <w:rStyle w:val="Emphasis"/>
          <w:highlight w:val="green"/>
        </w:rPr>
        <w:t>for</w:t>
      </w:r>
      <w:r w:rsidRPr="001104D6">
        <w:rPr>
          <w:rStyle w:val="StyleUnderline"/>
          <w:highlight w:val="green"/>
        </w:rPr>
        <w:t xml:space="preserve"> </w:t>
      </w:r>
      <w:r w:rsidRPr="001104D6">
        <w:rPr>
          <w:rStyle w:val="StyleUnderline"/>
        </w:rPr>
        <w:t>understanding</w:t>
      </w:r>
      <w:r w:rsidRPr="004C7956">
        <w:rPr>
          <w:rStyle w:val="StyleUnderline"/>
        </w:rPr>
        <w:t xml:space="preserve"> the US landscape of </w:t>
      </w:r>
      <w:r w:rsidRPr="001104D6">
        <w:rPr>
          <w:rStyle w:val="Emphasis"/>
          <w:highlight w:val="green"/>
        </w:rPr>
        <w:t>infrastructural violence</w:t>
      </w:r>
      <w:r w:rsidRPr="001104D6">
        <w:rPr>
          <w:rStyle w:val="StyleUnderline"/>
          <w:highlight w:val="green"/>
        </w:rPr>
        <w:t>.</w:t>
      </w:r>
    </w:p>
    <w:p w14:paraId="32FA6A62" w14:textId="77777777" w:rsidR="00033179" w:rsidRPr="005960EF" w:rsidRDefault="00033179" w:rsidP="00033179">
      <w:pPr>
        <w:rPr>
          <w:sz w:val="12"/>
        </w:rPr>
      </w:pPr>
      <w:r w:rsidRPr="005960EF">
        <w:rPr>
          <w:sz w:val="12"/>
        </w:rPr>
        <w:t>Crip-of-Color Critique as Methodology</w:t>
      </w:r>
    </w:p>
    <w:p w14:paraId="4BD00B71" w14:textId="77777777" w:rsidR="00033179" w:rsidRPr="00F4690B" w:rsidRDefault="00033179" w:rsidP="00033179">
      <w:pPr>
        <w:rPr>
          <w:sz w:val="12"/>
        </w:rPr>
      </w:pPr>
      <w:r w:rsidRPr="005960EF">
        <w:rPr>
          <w:sz w:val="12"/>
        </w:rPr>
        <w:t>This book models an analytic I term a crip-of-color critique, which considers how disability politics and aesthetics can offer useful interventions into antiwelfare narratives about who deserves care. It examines how the language of disability helps enable the ongoing evisceration of public resources, as well as the necessity of a radical disability ethos in overturning the operative logics of racialized resource deprivation. In this way, I address a seeming contradiction in the role of disability</w:t>
      </w:r>
      <w:r w:rsidRPr="00AC14E6">
        <w:rPr>
          <w:rStyle w:val="StyleUnderline"/>
        </w:rPr>
        <w:t xml:space="preserve"> within racial capitalism,</w:t>
      </w:r>
      <w:r w:rsidRPr="005960EF">
        <w:rPr>
          <w:sz w:val="12"/>
        </w:rPr>
        <w:t xml:space="preserve"> in which</w:t>
      </w:r>
      <w:r w:rsidRPr="00AC14E6">
        <w:rPr>
          <w:rStyle w:val="StyleUnderline"/>
        </w:rPr>
        <w:t xml:space="preserve"> disability operates as both archive and evidence of state-sanctioned violence </w:t>
      </w:r>
      <w:r w:rsidRPr="005960EF">
        <w:rPr>
          <w:sz w:val="12"/>
        </w:rPr>
        <w:t xml:space="preserve">and a key political practice through which we might refuse the continued proliferation of that violence. Rather than seeking to resolve this tension, I embrace </w:t>
      </w:r>
      <w:r w:rsidRPr="00316BBB">
        <w:rPr>
          <w:rStyle w:val="StyleUnderline"/>
          <w:highlight w:val="green"/>
        </w:rPr>
        <w:t>disability as</w:t>
      </w:r>
      <w:r w:rsidRPr="005960EF">
        <w:rPr>
          <w:sz w:val="12"/>
        </w:rPr>
        <w:t xml:space="preserve"> a multivalent site of meaning, one that serves multiple and sometimes opposing functions: </w:t>
      </w:r>
      <w:r w:rsidRPr="00EE4122">
        <w:rPr>
          <w:rStyle w:val="StyleUnderline"/>
        </w:rPr>
        <w:t>a testament to the “violence of social/economic conditions of capitalism,”</w:t>
      </w:r>
      <w:r w:rsidRPr="00EE4122">
        <w:rPr>
          <w:sz w:val="12"/>
        </w:rPr>
        <w:t xml:space="preserve"> a joyful source of freedom</w:t>
      </w:r>
      <w:r w:rsidRPr="005960EF">
        <w:rPr>
          <w:sz w:val="12"/>
        </w:rPr>
        <w:t xml:space="preserve"> dreaming, </w:t>
      </w:r>
      <w:r w:rsidRPr="00316BBB">
        <w:rPr>
          <w:rStyle w:val="StyleUnderline"/>
        </w:rPr>
        <w:t>and</w:t>
      </w:r>
      <w:r w:rsidRPr="005960EF">
        <w:rPr>
          <w:sz w:val="12"/>
        </w:rPr>
        <w:t xml:space="preserve"> finally, </w:t>
      </w:r>
      <w:r w:rsidRPr="00316BBB">
        <w:rPr>
          <w:rStyle w:val="StyleUnderline"/>
          <w:highlight w:val="green"/>
        </w:rPr>
        <w:t>a l</w:t>
      </w:r>
      <w:r w:rsidRPr="00525839">
        <w:rPr>
          <w:rStyle w:val="StyleUnderline"/>
          <w:highlight w:val="green"/>
        </w:rPr>
        <w:t xml:space="preserve">ens for making sense of </w:t>
      </w:r>
      <w:r w:rsidRPr="00F4690B">
        <w:rPr>
          <w:rStyle w:val="StyleUnderline"/>
        </w:rPr>
        <w:t>a postwelfare United States.</w:t>
      </w:r>
      <w:r w:rsidRPr="00F4690B">
        <w:rPr>
          <w:sz w:val="12"/>
        </w:rPr>
        <w:t>68</w:t>
      </w:r>
    </w:p>
    <w:p w14:paraId="0753BFBA" w14:textId="77777777" w:rsidR="00033179" w:rsidRPr="005960EF" w:rsidRDefault="00033179" w:rsidP="00033179">
      <w:pPr>
        <w:rPr>
          <w:sz w:val="12"/>
        </w:rPr>
      </w:pPr>
      <w:r w:rsidRPr="00F4690B">
        <w:rPr>
          <w:sz w:val="12"/>
        </w:rPr>
        <w:t xml:space="preserve">Disability scholars such as Carrie Sandahl and Robert McRuer have termed this form of analysis cripping, a reading practice analogous to queering that “[spins] mainstream representation or practices to reveal </w:t>
      </w:r>
      <w:r w:rsidRPr="00F4690B">
        <w:rPr>
          <w:sz w:val="12"/>
          <w:szCs w:val="12"/>
        </w:rPr>
        <w:t>able-bodied assumptions and exclusionary effects.”69 To be clear, cripping does not necessitate looking for diagnostic evidence of disability in a text, nor does it prioritize the positive representation of identif</w:t>
      </w:r>
      <w:r w:rsidRPr="005555E4">
        <w:rPr>
          <w:sz w:val="12"/>
          <w:szCs w:val="12"/>
        </w:rPr>
        <w:t>iably disabled characters. Instead, it uses disability as a lens to</w:t>
      </w:r>
      <w:r w:rsidRPr="005555E4">
        <w:rPr>
          <w:sz w:val="2"/>
          <w:szCs w:val="12"/>
        </w:rPr>
        <w:t xml:space="preserve"> </w:t>
      </w:r>
      <w:r w:rsidRPr="005960EF">
        <w:rPr>
          <w:sz w:val="12"/>
        </w:rPr>
        <w:t xml:space="preserve">read across literary and cultural works, through which the critic pays attention to how the text </w:t>
      </w:r>
      <w:r w:rsidRPr="00316BBB">
        <w:rPr>
          <w:rStyle w:val="StyleUnderline"/>
          <w:highlight w:val="green"/>
        </w:rPr>
        <w:t>engages the “a</w:t>
      </w:r>
      <w:r w:rsidRPr="00CA203E">
        <w:rPr>
          <w:rStyle w:val="StyleUnderline"/>
          <w:highlight w:val="green"/>
        </w:rPr>
        <w:t>ble-bodied assumptions” organizing the world</w:t>
      </w:r>
      <w:r w:rsidRPr="005960EF">
        <w:rPr>
          <w:sz w:val="12"/>
        </w:rPr>
        <w:t xml:space="preserve">. Indeed, cripping can explain how a text furthers a critical disability ethos even if no disabled characters are present at all. </w:t>
      </w:r>
    </w:p>
    <w:p w14:paraId="32EEF599" w14:textId="77777777" w:rsidR="00033179" w:rsidRPr="005960EF" w:rsidRDefault="00033179" w:rsidP="00033179">
      <w:pPr>
        <w:rPr>
          <w:sz w:val="12"/>
        </w:rPr>
      </w:pPr>
      <w:r w:rsidRPr="005960EF">
        <w:rPr>
          <w:sz w:val="12"/>
        </w:rPr>
        <w:t xml:space="preserve">Following this, while some of my analyses—the fourth chapter in particular— center the testimony and embodied experiences of disabled queer people of color, other chapters highlight the structuring presence of a disability ethics, aesthetics, and politics even as disabled representation and authorship seem to be absent. A crip-of-color critique, then, does not privilege a highly specialized subject position—the disabled queer person of color. Rather, </w:t>
      </w:r>
      <w:r w:rsidRPr="00A00C57">
        <w:rPr>
          <w:rStyle w:val="StyleUnderline"/>
        </w:rPr>
        <w:t xml:space="preserve">it names an analytic for understanding US infrastructural arrangements </w:t>
      </w:r>
      <w:r w:rsidRPr="00FC7B5D">
        <w:rPr>
          <w:rStyle w:val="StyleUnderline"/>
          <w:highlight w:val="green"/>
        </w:rPr>
        <w:t xml:space="preserve">that </w:t>
      </w:r>
      <w:r w:rsidRPr="00FC7B5D">
        <w:rPr>
          <w:rStyle w:val="Emphasis"/>
          <w:highlight w:val="green"/>
        </w:rPr>
        <w:t>disable</w:t>
      </w:r>
      <w:r w:rsidRPr="00FC7B5D">
        <w:rPr>
          <w:rStyle w:val="StyleUnderline"/>
          <w:highlight w:val="green"/>
        </w:rPr>
        <w:t xml:space="preserve"> </w:t>
      </w:r>
      <w:r w:rsidRPr="00A96E72">
        <w:rPr>
          <w:rStyle w:val="StyleUnderline"/>
          <w:highlight w:val="green"/>
        </w:rPr>
        <w:t xml:space="preserve">some while </w:t>
      </w:r>
      <w:r w:rsidRPr="005F2767">
        <w:rPr>
          <w:rStyle w:val="Emphasis"/>
          <w:highlight w:val="green"/>
        </w:rPr>
        <w:t>enabling others</w:t>
      </w:r>
      <w:r w:rsidRPr="005960EF">
        <w:rPr>
          <w:sz w:val="12"/>
        </w:rPr>
        <w:t xml:space="preserve">. In so doing, it follows the analytic strategies forged by Cohen in “Punks, Bulldaggers, and Welfare Queens,” in which queerness functions less as a category of identity—naming what someone is—and more as a framework for </w:t>
      </w:r>
      <w:r w:rsidRPr="00121034">
        <w:rPr>
          <w:rStyle w:val="StyleUnderline"/>
          <w:highlight w:val="green"/>
        </w:rPr>
        <w:t>assessing</w:t>
      </w:r>
      <w:r w:rsidRPr="005960EF">
        <w:rPr>
          <w:sz w:val="12"/>
        </w:rPr>
        <w:t xml:space="preserve"> (and condemning) </w:t>
      </w:r>
      <w:r w:rsidRPr="00AC4BA3">
        <w:rPr>
          <w:rStyle w:val="StyleUnderline"/>
        </w:rPr>
        <w:t xml:space="preserve">state </w:t>
      </w:r>
      <w:r w:rsidRPr="00121034">
        <w:rPr>
          <w:rStyle w:val="StyleUnderline"/>
          <w:highlight w:val="green"/>
        </w:rPr>
        <w:t>surveillance, punishment, and control</w:t>
      </w:r>
      <w:r w:rsidRPr="00704F42">
        <w:rPr>
          <w:rStyle w:val="StyleUnderline"/>
        </w:rPr>
        <w:t xml:space="preserve"> of Black women’s sexualities</w:t>
      </w:r>
      <w:r w:rsidRPr="005960EF">
        <w:rPr>
          <w:sz w:val="12"/>
        </w:rPr>
        <w:t xml:space="preserve">. Not limited in scope to the disabled subject, a crip-of-color critique similarly foregrounds </w:t>
      </w:r>
      <w:r w:rsidRPr="00AC4BA3">
        <w:rPr>
          <w:rStyle w:val="StyleUnderline"/>
        </w:rPr>
        <w:t xml:space="preserve">disability as an </w:t>
      </w:r>
      <w:r w:rsidRPr="00AC4BA3">
        <w:rPr>
          <w:rStyle w:val="StyleUnderline"/>
          <w:highlight w:val="green"/>
        </w:rPr>
        <w:t xml:space="preserve">organizing </w:t>
      </w:r>
      <w:r w:rsidRPr="00AC4BA3">
        <w:rPr>
          <w:rStyle w:val="StyleUnderline"/>
        </w:rPr>
        <w:t xml:space="preserve">principle of </w:t>
      </w:r>
      <w:r w:rsidRPr="00AC4BA3">
        <w:rPr>
          <w:rStyle w:val="StyleUnderline"/>
          <w:highlight w:val="green"/>
        </w:rPr>
        <w:t xml:space="preserve">state </w:t>
      </w:r>
      <w:r w:rsidRPr="007C03D8">
        <w:rPr>
          <w:rStyle w:val="StyleUnderline"/>
        </w:rPr>
        <w:t xml:space="preserve">investment and </w:t>
      </w:r>
      <w:r w:rsidRPr="00AC4BA3">
        <w:rPr>
          <w:rStyle w:val="StyleUnderline"/>
          <w:highlight w:val="green"/>
        </w:rPr>
        <w:t>abandonment</w:t>
      </w:r>
      <w:r w:rsidRPr="004344A8">
        <w:rPr>
          <w:rStyle w:val="StyleUnderline"/>
        </w:rPr>
        <w:t>.</w:t>
      </w:r>
      <w:r w:rsidRPr="005960EF">
        <w:rPr>
          <w:sz w:val="12"/>
        </w:rPr>
        <w:t xml:space="preserve"> To return to my earlier assertion, </w:t>
      </w:r>
      <w:r w:rsidRPr="00D07F77">
        <w:rPr>
          <w:rStyle w:val="Emphasis"/>
          <w:sz w:val="28"/>
          <w:szCs w:val="28"/>
          <w:highlight w:val="green"/>
        </w:rPr>
        <w:t>it is impossible to understand US infrastructure without understanding disability.</w:t>
      </w:r>
    </w:p>
    <w:p w14:paraId="1450BCCF" w14:textId="77777777" w:rsidR="00033179" w:rsidRPr="0034398B" w:rsidRDefault="00033179" w:rsidP="00033179">
      <w:pPr>
        <w:rPr>
          <w:rStyle w:val="Emphasis"/>
        </w:rPr>
      </w:pPr>
      <w:r w:rsidRPr="005960EF">
        <w:rPr>
          <w:sz w:val="12"/>
        </w:rPr>
        <w:t xml:space="preserve">A crip-of-color critique also shows how disability as methodology might further expand the scope of disability critique beyond its once single-issue focus, as demonstrated by Sami Schalk and Julie Avril Minich in their scholarship.70 In “Enabling Whom? Critical Disability Studies Now,” Minich explains how a disability studies defined by </w:t>
      </w:r>
      <w:r w:rsidRPr="002C3824">
        <w:rPr>
          <w:rStyle w:val="StyleUnderline"/>
        </w:rPr>
        <w:t>its framework of analysis</w:t>
      </w:r>
      <w:r w:rsidRPr="005960EF">
        <w:rPr>
          <w:sz w:val="12"/>
        </w:rPr>
        <w:t xml:space="preserve"> rather than its objects of inquiry </w:t>
      </w:r>
      <w:r w:rsidRPr="002C3824">
        <w:rPr>
          <w:rStyle w:val="StyleUnderline"/>
        </w:rPr>
        <w:t>would</w:t>
      </w:r>
      <w:r w:rsidRPr="005960EF">
        <w:rPr>
          <w:sz w:val="12"/>
        </w:rPr>
        <w:t xml:space="preserve"> further </w:t>
      </w:r>
      <w:r w:rsidRPr="002C3824">
        <w:rPr>
          <w:rStyle w:val="StyleUnderline"/>
        </w:rPr>
        <w:t>connect</w:t>
      </w:r>
      <w:r w:rsidRPr="005960EF">
        <w:rPr>
          <w:sz w:val="12"/>
        </w:rPr>
        <w:t xml:space="preserve"> the field </w:t>
      </w:r>
      <w:r w:rsidRPr="002C3824">
        <w:rPr>
          <w:rStyle w:val="StyleUnderline"/>
        </w:rPr>
        <w:t>to questions of race, power, and redistribution.</w:t>
      </w:r>
      <w:r w:rsidRPr="005960EF">
        <w:rPr>
          <w:sz w:val="12"/>
        </w:rPr>
        <w:t xml:space="preserve"> For Minich, disability as methodology “involves scrutinizing not bodily or mental impairments but </w:t>
      </w:r>
      <w:r w:rsidRPr="0034398B">
        <w:rPr>
          <w:rStyle w:val="StyleUnderline"/>
        </w:rPr>
        <w:t>the social norms that define particular attributes as</w:t>
      </w:r>
      <w:r w:rsidRPr="005960EF">
        <w:rPr>
          <w:sz w:val="12"/>
        </w:rPr>
        <w:t xml:space="preserve"> impairments” </w:t>
      </w:r>
      <w:r w:rsidRPr="0034398B">
        <w:rPr>
          <w:rStyle w:val="StyleUnderline"/>
        </w:rPr>
        <w:t>and that disproportionately concentrate disability in vulnerable populations</w:t>
      </w:r>
      <w:r w:rsidRPr="005960EF">
        <w:rPr>
          <w:sz w:val="12"/>
        </w:rPr>
        <w:t xml:space="preserve">.71 “Cripping” welfare reform, then, entails underscoring how </w:t>
      </w:r>
      <w:r w:rsidRPr="00565A6C">
        <w:rPr>
          <w:rStyle w:val="Emphasis"/>
          <w:highlight w:val="green"/>
        </w:rPr>
        <w:t>normative ideologies around dependency, labor</w:t>
      </w:r>
      <w:r w:rsidRPr="00CC3013">
        <w:rPr>
          <w:rStyle w:val="StyleUnderline"/>
        </w:rPr>
        <w:t>, care,</w:t>
      </w:r>
      <w:r w:rsidRPr="00CC3013">
        <w:rPr>
          <w:rStyle w:val="Emphasis"/>
        </w:rPr>
        <w:t xml:space="preserve"> </w:t>
      </w:r>
      <w:r w:rsidRPr="00565A6C">
        <w:rPr>
          <w:rStyle w:val="Emphasis"/>
          <w:highlight w:val="green"/>
        </w:rPr>
        <w:t>and</w:t>
      </w:r>
      <w:r w:rsidRPr="00CC3013">
        <w:rPr>
          <w:rStyle w:val="StyleUnderline"/>
        </w:rPr>
        <w:t xml:space="preserve"> (re-)</w:t>
      </w:r>
      <w:r w:rsidRPr="00565A6C">
        <w:rPr>
          <w:rStyle w:val="Emphasis"/>
          <w:highlight w:val="green"/>
        </w:rPr>
        <w:t xml:space="preserve">production undergird </w:t>
      </w:r>
      <w:r w:rsidRPr="00565A6C">
        <w:rPr>
          <w:rStyle w:val="StyleUnderline"/>
        </w:rPr>
        <w:t xml:space="preserve">US regimes of </w:t>
      </w:r>
      <w:r w:rsidRPr="00565A6C">
        <w:rPr>
          <w:rStyle w:val="Emphasis"/>
          <w:highlight w:val="green"/>
        </w:rPr>
        <w:t>resource austerity.</w:t>
      </w:r>
      <w:r w:rsidRPr="0034398B">
        <w:rPr>
          <w:rStyle w:val="Emphasis"/>
        </w:rPr>
        <w:t xml:space="preserve"> </w:t>
      </w:r>
    </w:p>
    <w:p w14:paraId="78681CF3" w14:textId="77777777" w:rsidR="00033179" w:rsidRDefault="00033179" w:rsidP="00033179">
      <w:pPr>
        <w:rPr>
          <w:rStyle w:val="StyleUnderline"/>
        </w:rPr>
      </w:pPr>
      <w:r w:rsidRPr="005960EF">
        <w:rPr>
          <w:sz w:val="12"/>
        </w:rPr>
        <w:t xml:space="preserve">As a coalitional </w:t>
      </w:r>
      <w:r w:rsidRPr="00F274E1">
        <w:rPr>
          <w:sz w:val="12"/>
        </w:rPr>
        <w:t xml:space="preserve">analytic linking feminist- and queer-of-color thought with disability perspectives, a crip-of-color critique attends to the coarticulation of systems of domination, recognizing ableism as one vector operating alongside and through other matrices of oppression. It thus draws from the theorizing of disability justice organizations such as Sins Invalid and activists such as Patricia Berne, Stacey Milbern Park, and Talila “T. L.” Lewis, while also recognizing the specificity of disability justice as a movement-organizing framework. Patricia Berne offers a useful summary in “Disability Justice—a Working Draft,” where she writes, “We cannot comprehend ableism without grasping its interrelations with heteropatriarchy, white supremacy, colonialism, and capitalism.”72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these refusals are </w:t>
      </w:r>
      <w:r w:rsidRPr="00F274E1">
        <w:rPr>
          <w:rStyle w:val="StyleUnderline"/>
        </w:rPr>
        <w:t>often articulated in terms of infrastructure—as a representational strategy, category of labor, and built environmental network.</w:t>
      </w:r>
      <w:bookmarkEnd w:id="0"/>
    </w:p>
    <w:p w14:paraId="33A6645E" w14:textId="77777777" w:rsidR="00033179" w:rsidRPr="000C3948" w:rsidRDefault="00033179" w:rsidP="00033179">
      <w:pPr>
        <w:rPr>
          <w:u w:val="single"/>
        </w:rPr>
      </w:pPr>
    </w:p>
    <w:p w14:paraId="37760B85" w14:textId="77777777" w:rsidR="00033179" w:rsidRPr="000E11EE" w:rsidRDefault="00033179" w:rsidP="00033179"/>
    <w:p w14:paraId="3956C844" w14:textId="77777777" w:rsidR="00033179" w:rsidRPr="00E472AE" w:rsidRDefault="00033179" w:rsidP="00033179">
      <w:pPr>
        <w:pStyle w:val="Heading4"/>
      </w:pPr>
      <w:r>
        <w:t>Social democracy writes policy and reform in a grammar of the “common good” that locates disability as a drain on the resources of the nation as a whole and justifies eugenics.</w:t>
      </w:r>
    </w:p>
    <w:p w14:paraId="514DAC53" w14:textId="77777777" w:rsidR="00033179" w:rsidRPr="007E73C3" w:rsidRDefault="00033179" w:rsidP="00033179">
      <w:pPr>
        <w:rPr>
          <w:sz w:val="12"/>
        </w:rPr>
      </w:pPr>
      <w:r w:rsidRPr="007E73C3">
        <w:rPr>
          <w:rStyle w:val="Style13ptBold"/>
        </w:rPr>
        <w:t>Gotby 25</w:t>
      </w:r>
      <w:r w:rsidRPr="007E73C3">
        <w:rPr>
          <w:sz w:val="12"/>
        </w:rPr>
        <w:t xml:space="preserve"> [The State and the Family: Privatizing Care and Welfare in Contemporary Sweden The South Atlantic Quarterly 124:1, January 2025. DOI: 10.1215/00382876-11557841. Alva Gotby is a writer and organiser with a PhD from the University of West London and author of They Call It Love (2023).//Spence]</w:t>
      </w:r>
    </w:p>
    <w:p w14:paraId="2BD8BAE7" w14:textId="77777777" w:rsidR="00033179" w:rsidRPr="002828A4" w:rsidRDefault="00033179" w:rsidP="00033179">
      <w:pPr>
        <w:rPr>
          <w:sz w:val="12"/>
        </w:rPr>
      </w:pPr>
      <w:r w:rsidRPr="002828A4">
        <w:rPr>
          <w:sz w:val="12"/>
        </w:rPr>
        <w:t>Sweden often appears in</w:t>
      </w:r>
      <w:r w:rsidRPr="00043E0A">
        <w:rPr>
          <w:rStyle w:val="StyleUnderline"/>
        </w:rPr>
        <w:t xml:space="preserve"> political writings</w:t>
      </w:r>
      <w:r w:rsidRPr="002828A4">
        <w:rPr>
          <w:sz w:val="12"/>
        </w:rPr>
        <w:t xml:space="preserve"> as the epitome of the welfare state, and it has been </w:t>
      </w:r>
      <w:r w:rsidRPr="00043E0A">
        <w:rPr>
          <w:rStyle w:val="StyleUnderline"/>
        </w:rPr>
        <w:t>praise</w:t>
      </w:r>
      <w:r w:rsidRPr="002828A4">
        <w:rPr>
          <w:sz w:val="12"/>
        </w:rPr>
        <w:t xml:space="preserve">d by many feminists internationally for its </w:t>
      </w:r>
      <w:r w:rsidRPr="00043E0A">
        <w:rPr>
          <w:rStyle w:val="StyleUnderline"/>
        </w:rPr>
        <w:t xml:space="preserve">progressive </w:t>
      </w:r>
      <w:r w:rsidRPr="00FC67B9">
        <w:rPr>
          <w:rStyle w:val="StyleUnderline"/>
          <w:highlight w:val="green"/>
        </w:rPr>
        <w:t>policies</w:t>
      </w:r>
      <w:r w:rsidRPr="002828A4">
        <w:rPr>
          <w:sz w:val="12"/>
        </w:rPr>
        <w:t xml:space="preserve"> on gender equality. According to this account, feminists from other countries can draw inspiration from Swedish welfare policies, </w:t>
      </w:r>
      <w:r w:rsidRPr="00FC67B9">
        <w:rPr>
          <w:rStyle w:val="StyleUnderline"/>
          <w:highlight w:val="green"/>
        </w:rPr>
        <w:t>which</w:t>
      </w:r>
      <w:r w:rsidRPr="00043E0A">
        <w:rPr>
          <w:rStyle w:val="StyleUnderline"/>
        </w:rPr>
        <w:t xml:space="preserve"> have </w:t>
      </w:r>
      <w:r w:rsidRPr="00FC67B9">
        <w:rPr>
          <w:rStyle w:val="StyleUnderline"/>
          <w:highlight w:val="green"/>
        </w:rPr>
        <w:t>enabled</w:t>
      </w:r>
      <w:r w:rsidRPr="00043E0A">
        <w:rPr>
          <w:rStyle w:val="StyleUnderline"/>
        </w:rPr>
        <w:t xml:space="preserve"> </w:t>
      </w:r>
      <w:r w:rsidRPr="002828A4">
        <w:rPr>
          <w:sz w:val="12"/>
        </w:rPr>
        <w:t xml:space="preserve">women’s </w:t>
      </w:r>
      <w:r w:rsidRPr="00FC67B9">
        <w:rPr>
          <w:rStyle w:val="StyleUnderline"/>
          <w:highlight w:val="green"/>
        </w:rPr>
        <w:t>labor</w:t>
      </w:r>
      <w:r w:rsidRPr="00043E0A">
        <w:rPr>
          <w:rStyle w:val="StyleUnderline"/>
        </w:rPr>
        <w:t xml:space="preserve">-force </w:t>
      </w:r>
      <w:r w:rsidRPr="00FC67B9">
        <w:rPr>
          <w:rStyle w:val="StyleUnderline"/>
          <w:highlight w:val="green"/>
        </w:rPr>
        <w:t>participation</w:t>
      </w:r>
      <w:r w:rsidRPr="002828A4">
        <w:rPr>
          <w:sz w:val="12"/>
        </w:rPr>
        <w:t xml:space="preserve"> as well as a more equal division of domestic labor and childcare. This </w:t>
      </w:r>
      <w:r w:rsidRPr="00043E0A">
        <w:rPr>
          <w:rStyle w:val="StyleUnderline"/>
        </w:rPr>
        <w:t>essay seeks to complicate this image</w:t>
      </w:r>
      <w:r w:rsidRPr="002828A4">
        <w:rPr>
          <w:sz w:val="12"/>
        </w:rPr>
        <w:t xml:space="preserve"> of Sweden by insisting </w:t>
      </w:r>
      <w:r w:rsidRPr="00CC32B4">
        <w:rPr>
          <w:rStyle w:val="StyleUnderline"/>
        </w:rPr>
        <w:t>that</w:t>
      </w:r>
      <w:r w:rsidRPr="002828A4">
        <w:rPr>
          <w:sz w:val="12"/>
        </w:rPr>
        <w:t xml:space="preserve"> Swedish society </w:t>
      </w:r>
      <w:r w:rsidRPr="00FC67B9">
        <w:rPr>
          <w:rStyle w:val="StyleUnderline"/>
          <w:highlight w:val="green"/>
        </w:rPr>
        <w:t xml:space="preserve">must be understood as </w:t>
      </w:r>
      <w:r w:rsidRPr="00FC67B9">
        <w:rPr>
          <w:rStyle w:val="Emphasis"/>
          <w:highlight w:val="green"/>
        </w:rPr>
        <w:t>fundamentally</w:t>
      </w:r>
      <w:r w:rsidRPr="00CC32B4">
        <w:rPr>
          <w:rStyle w:val="StyleUnderline"/>
        </w:rPr>
        <w:t xml:space="preserve"> a </w:t>
      </w:r>
      <w:r w:rsidRPr="00FC67B9">
        <w:rPr>
          <w:rStyle w:val="Emphasis"/>
          <w:highlight w:val="green"/>
        </w:rPr>
        <w:t>capitalist</w:t>
      </w:r>
      <w:r w:rsidRPr="00CC32B4">
        <w:rPr>
          <w:rStyle w:val="StyleUnderline"/>
        </w:rPr>
        <w:t xml:space="preserve"> society</w:t>
      </w:r>
      <w:r w:rsidRPr="002828A4">
        <w:rPr>
          <w:sz w:val="12"/>
        </w:rPr>
        <w:t xml:space="preserve"> that shares many characteristics of other capitalist economies. </w:t>
      </w:r>
      <w:r w:rsidRPr="005822C1">
        <w:rPr>
          <w:rStyle w:val="StyleUnderline"/>
          <w:highlight w:val="green"/>
        </w:rPr>
        <w:t>This</w:t>
      </w:r>
      <w:r w:rsidRPr="00CC32B4">
        <w:rPr>
          <w:rStyle w:val="StyleUnderline"/>
        </w:rPr>
        <w:t xml:space="preserve"> means</w:t>
      </w:r>
      <w:r w:rsidRPr="002828A4">
        <w:rPr>
          <w:sz w:val="12"/>
        </w:rPr>
        <w:t xml:space="preserve"> that Sweden also shares the main traits of </w:t>
      </w:r>
      <w:r w:rsidRPr="00CC32B4">
        <w:rPr>
          <w:rStyle w:val="StyleUnderline"/>
        </w:rPr>
        <w:t>capitalist social reproduction</w:t>
      </w:r>
      <w:r w:rsidRPr="002828A4">
        <w:rPr>
          <w:sz w:val="12"/>
        </w:rPr>
        <w:t xml:space="preserve">—the way workers meet their own needs and organize care within capitalism. </w:t>
      </w:r>
    </w:p>
    <w:p w14:paraId="34870616" w14:textId="77777777" w:rsidR="00033179" w:rsidRPr="00E5322E" w:rsidRDefault="00033179" w:rsidP="00033179">
      <w:pPr>
        <w:rPr>
          <w:rStyle w:val="Emphasis"/>
        </w:rPr>
      </w:pPr>
      <w:r w:rsidRPr="00111C22">
        <w:rPr>
          <w:rStyle w:val="StyleUnderline"/>
        </w:rPr>
        <w:t xml:space="preserve">Capitalist </w:t>
      </w:r>
      <w:r w:rsidRPr="005822C1">
        <w:rPr>
          <w:rStyle w:val="StyleUnderline"/>
          <w:highlight w:val="green"/>
        </w:rPr>
        <w:t>social reproduction</w:t>
      </w:r>
      <w:r w:rsidRPr="00111C22">
        <w:rPr>
          <w:rStyle w:val="StyleUnderline"/>
        </w:rPr>
        <w:t xml:space="preserve"> has largely </w:t>
      </w:r>
      <w:r w:rsidRPr="005822C1">
        <w:rPr>
          <w:rStyle w:val="StyleUnderline"/>
          <w:highlight w:val="green"/>
        </w:rPr>
        <w:t>relegated care to</w:t>
      </w:r>
      <w:r w:rsidRPr="00111C22">
        <w:rPr>
          <w:rStyle w:val="StyleUnderline"/>
        </w:rPr>
        <w:t xml:space="preserve"> the level of </w:t>
      </w:r>
      <w:r w:rsidRPr="005822C1">
        <w:rPr>
          <w:rStyle w:val="Emphasis"/>
          <w:highlight w:val="green"/>
        </w:rPr>
        <w:t>individual responsibility</w:t>
      </w:r>
      <w:r w:rsidRPr="00111C22">
        <w:rPr>
          <w:rStyle w:val="StyleUnderline"/>
        </w:rPr>
        <w:t>.</w:t>
      </w:r>
      <w:r w:rsidRPr="002828A4">
        <w:rPr>
          <w:sz w:val="12"/>
        </w:rPr>
        <w:t xml:space="preserve"> Although public reproductive services were made available through the welfare state, the social reproduction of Swedish society thus continues to be </w:t>
      </w:r>
      <w:r w:rsidRPr="0006078C">
        <w:rPr>
          <w:rStyle w:val="StyleUnderline"/>
          <w:highlight w:val="green"/>
        </w:rPr>
        <w:t>reliant on the private household</w:t>
      </w:r>
      <w:r w:rsidRPr="002828A4">
        <w:rPr>
          <w:sz w:val="12"/>
        </w:rPr>
        <w:t xml:space="preserve">. Care outside the private household and some state institutions is scarce, and </w:t>
      </w:r>
      <w:r w:rsidRPr="005822C1">
        <w:rPr>
          <w:rStyle w:val="StyleUnderline"/>
        </w:rPr>
        <w:t>those who are not members of traditional families often bear the brunt of this scarcity. The welfare state’s role in relation to the family is</w:t>
      </w:r>
      <w:r w:rsidRPr="002828A4">
        <w:rPr>
          <w:sz w:val="12"/>
        </w:rPr>
        <w:t xml:space="preserve"> a </w:t>
      </w:r>
      <w:r w:rsidRPr="005822C1">
        <w:rPr>
          <w:rStyle w:val="StyleUnderline"/>
        </w:rPr>
        <w:t>complex</w:t>
      </w:r>
      <w:r w:rsidRPr="002828A4">
        <w:rPr>
          <w:sz w:val="12"/>
        </w:rPr>
        <w:t xml:space="preserve"> one—while at times creating glimpses of a society beyond the constraints of capitalist domesticity and the nuclear family, many </w:t>
      </w:r>
      <w:r w:rsidRPr="00E5322E">
        <w:rPr>
          <w:rStyle w:val="StyleUnderline"/>
          <w:highlight w:val="green"/>
        </w:rPr>
        <w:t>policies</w:t>
      </w:r>
      <w:r w:rsidRPr="007E6BE8">
        <w:rPr>
          <w:rStyle w:val="StyleUnderline"/>
        </w:rPr>
        <w:t xml:space="preserve"> have in fact assumed and </w:t>
      </w:r>
      <w:r w:rsidRPr="00E5322E">
        <w:rPr>
          <w:rStyle w:val="Emphasis"/>
          <w:highlight w:val="green"/>
        </w:rPr>
        <w:t>reinforced this family form.</w:t>
      </w:r>
    </w:p>
    <w:p w14:paraId="3B014F7C" w14:textId="77777777" w:rsidR="00033179" w:rsidRPr="002828A4" w:rsidRDefault="00033179" w:rsidP="00033179">
      <w:pPr>
        <w:rPr>
          <w:sz w:val="12"/>
        </w:rPr>
      </w:pPr>
      <w:r w:rsidRPr="002828A4">
        <w:rPr>
          <w:sz w:val="12"/>
        </w:rPr>
        <w:t>To understand this, it is useful to turn to Marxist feminist theorizations of the role of the family in capitalist societies. The family has provided much of the care necessary to maintain people’s capacity to work, and it has a central role in raising new generations of workers. More than a site of emotional attachment, it functions as an economic unit of resource sharing and reproductive labor. It has thus become a core institution of social reproduction. Most people rest, prepare food, clean themselves, raise children, and recover from illness within their private household. But we should be careful to avoid functionalist understandings of the nuclear family, as care and reproductive labor under capitalism can be and often has been arranged differently.</w:t>
      </w:r>
    </w:p>
    <w:p w14:paraId="3C532B8D" w14:textId="77777777" w:rsidR="00033179" w:rsidRPr="002828A4" w:rsidRDefault="00033179" w:rsidP="00033179">
      <w:pPr>
        <w:rPr>
          <w:sz w:val="12"/>
        </w:rPr>
      </w:pPr>
      <w:r w:rsidRPr="002828A4">
        <w:rPr>
          <w:sz w:val="12"/>
        </w:rPr>
        <w:t>As M. E. O’Brien (2023: 113) points out, the nuclear family became the dominant site for social reproduction as a result of working-class struggle as much as its imposition from above by the bourgeois class. While the nuclear family became hegemonic across classes in the late nineteenth century, this process was not inevitable, nor has it ever meant that everyone lives in nuclear families. Importantly, the nuclear family form has never been self-sustaining—its hegemonic status has been reliant on state intervention of various kinds, including tax incentives, childcare arrangements, legal protections, low or nonexistent inheritance tax, and the construction and subsidization of one-family homes. While different nation-states have used different policies to encourage nuclear family formation, most capitalist countries have supported reproduction within families in some way.</w:t>
      </w:r>
    </w:p>
    <w:p w14:paraId="5DBAA274" w14:textId="77777777" w:rsidR="00033179" w:rsidRPr="002828A4" w:rsidRDefault="00033179" w:rsidP="00033179">
      <w:pPr>
        <w:rPr>
          <w:sz w:val="12"/>
        </w:rPr>
      </w:pPr>
      <w:r w:rsidRPr="002828A4">
        <w:rPr>
          <w:sz w:val="12"/>
        </w:rPr>
        <w:t xml:space="preserve">Especially in times of crisis, </w:t>
      </w:r>
      <w:r w:rsidRPr="002828A4">
        <w:rPr>
          <w:rStyle w:val="StyleUnderline"/>
        </w:rPr>
        <w:t xml:space="preserve">capitalist states have often </w:t>
      </w:r>
      <w:r w:rsidRPr="00387CFA">
        <w:rPr>
          <w:rStyle w:val="StyleUnderline"/>
          <w:highlight w:val="green"/>
        </w:rPr>
        <w:t>encouraged nuclear family formation</w:t>
      </w:r>
      <w:r w:rsidRPr="002828A4">
        <w:rPr>
          <w:sz w:val="12"/>
        </w:rPr>
        <w:t>. In the nineteenth century, the newly formed proletariat was increasingly struggling to reproduce itself, and many workers died very young. A more or less unregulated working day and the absence of childcare provisions meant that parents simply did not have the time to look after their children. Infant mortality was high, and slum conditions meant that infectious diseases were rampant (Engels 2009). Toward the end of the century, the trade union movement and bourgeois philanthropists united in the struggle for better sanitation, limits to the working day, improved housing conditions, and compulsory schooling. With these changes, there was also an increased political emphasis on the creation of working-class housewives, as trade unionists fought for the exclusion of women from many types of work and the family wage became the norm. Male workers thus demanded a wage high enough to support not only the worker himself but also a dependent wife and children attending school rather than working themselves (O’Brien 2023: 114).</w:t>
      </w:r>
    </w:p>
    <w:p w14:paraId="5BF71B00" w14:textId="77777777" w:rsidR="00033179" w:rsidRPr="00A36B4A" w:rsidRDefault="00033179" w:rsidP="00033179">
      <w:pPr>
        <w:rPr>
          <w:rStyle w:val="StyleUnderline"/>
        </w:rPr>
      </w:pPr>
      <w:r w:rsidRPr="00A36B4A">
        <w:rPr>
          <w:rStyle w:val="StyleUnderline"/>
        </w:rPr>
        <w:t>Social democratic states</w:t>
      </w:r>
      <w:r w:rsidRPr="002828A4">
        <w:rPr>
          <w:sz w:val="12"/>
        </w:rPr>
        <w:t xml:space="preserve"> such as Sweden have long had an ambivalent position on women and the family. They </w:t>
      </w:r>
      <w:r w:rsidRPr="00A36B4A">
        <w:rPr>
          <w:rStyle w:val="StyleUnderline"/>
        </w:rPr>
        <w:t xml:space="preserve">have tended to </w:t>
      </w:r>
      <w:r w:rsidRPr="0078407B">
        <w:rPr>
          <w:rStyle w:val="StyleUnderline"/>
          <w:highlight w:val="green"/>
        </w:rPr>
        <w:t>share the</w:t>
      </w:r>
      <w:r w:rsidRPr="00A36B4A">
        <w:rPr>
          <w:rStyle w:val="StyleUnderline"/>
        </w:rPr>
        <w:t xml:space="preserve"> dominant trade </w:t>
      </w:r>
      <w:r w:rsidRPr="003513B4">
        <w:rPr>
          <w:rStyle w:val="Emphasis"/>
          <w:highlight w:val="green"/>
        </w:rPr>
        <w:t>union position</w:t>
      </w:r>
      <w:r w:rsidRPr="0078407B">
        <w:rPr>
          <w:rStyle w:val="StyleUnderline"/>
          <w:highlight w:val="green"/>
        </w:rPr>
        <w:t xml:space="preserve"> that </w:t>
      </w:r>
      <w:r w:rsidRPr="000C19EC">
        <w:rPr>
          <w:rStyle w:val="Emphasis"/>
          <w:highlight w:val="green"/>
        </w:rPr>
        <w:t>workers</w:t>
      </w:r>
      <w:r w:rsidRPr="00A36B4A">
        <w:rPr>
          <w:rStyle w:val="StyleUnderline"/>
        </w:rPr>
        <w:t xml:space="preserve"> should </w:t>
      </w:r>
      <w:r w:rsidRPr="000C19EC">
        <w:rPr>
          <w:rStyle w:val="Emphasis"/>
          <w:highlight w:val="green"/>
        </w:rPr>
        <w:t>have a right to the nuclear family</w:t>
      </w:r>
      <w:r w:rsidRPr="002828A4">
        <w:rPr>
          <w:sz w:val="12"/>
        </w:rPr>
        <w:t xml:space="preserve">, while simultaneously introducing forms of publicly funded social reproduction that have made it more possible to survive outside the family form. This speaks to a broader ambivalence within the form of the welfare state itself. Gøsta Esping-Andersen, the most prominent sociologist of the welfare state, has distinguished a number of different welfare regimes—some of which are more progressive and some of </w:t>
      </w:r>
      <w:r w:rsidRPr="0078407B">
        <w:rPr>
          <w:rStyle w:val="StyleUnderline"/>
          <w:highlight w:val="green"/>
        </w:rPr>
        <w:t>which reinforce</w:t>
      </w:r>
      <w:r w:rsidRPr="00054C20">
        <w:rPr>
          <w:rStyle w:val="StyleUnderline"/>
        </w:rPr>
        <w:t xml:space="preserve"> the reproduction of capitalism and </w:t>
      </w:r>
      <w:r w:rsidRPr="0078407B">
        <w:rPr>
          <w:rStyle w:val="StyleUnderline"/>
          <w:highlight w:val="green"/>
        </w:rPr>
        <w:t xml:space="preserve">bourgeois social </w:t>
      </w:r>
      <w:r w:rsidRPr="001B037C">
        <w:rPr>
          <w:rStyle w:val="StyleUnderline"/>
          <w:highlight w:val="green"/>
        </w:rPr>
        <w:t xml:space="preserve">values. There is thus </w:t>
      </w:r>
      <w:r w:rsidRPr="001B037C">
        <w:rPr>
          <w:rStyle w:val="Emphasis"/>
          <w:highlight w:val="green"/>
        </w:rPr>
        <w:t>nothing</w:t>
      </w:r>
      <w:r w:rsidRPr="00732D8F">
        <w:rPr>
          <w:rStyle w:val="StyleUnderline"/>
        </w:rPr>
        <w:t xml:space="preserve"> </w:t>
      </w:r>
      <w:r w:rsidRPr="001B037C">
        <w:rPr>
          <w:rStyle w:val="StyleUnderline"/>
        </w:rPr>
        <w:t xml:space="preserve">inherently </w:t>
      </w:r>
      <w:r w:rsidRPr="001B037C">
        <w:rPr>
          <w:rStyle w:val="Emphasis"/>
          <w:highlight w:val="green"/>
        </w:rPr>
        <w:t>radical</w:t>
      </w:r>
      <w:r w:rsidRPr="001B037C">
        <w:rPr>
          <w:rStyle w:val="StyleUnderline"/>
          <w:highlight w:val="green"/>
        </w:rPr>
        <w:t xml:space="preserve"> about</w:t>
      </w:r>
      <w:r w:rsidRPr="00732D8F">
        <w:rPr>
          <w:rStyle w:val="StyleUnderline"/>
        </w:rPr>
        <w:t xml:space="preserve"> welfare-state provisions</w:t>
      </w:r>
      <w:r w:rsidRPr="002828A4">
        <w:rPr>
          <w:sz w:val="12"/>
        </w:rPr>
        <w:t xml:space="preserve">, and we need to carefully consider exactly how the state organizes support for its citizens and other people residing in its territory. Moreover, Esping-Andersen (2008: 22) argues that most countries tend to have traits of multiple regimes of welfare operating at the same time. While often considered the most pure example of </w:t>
      </w:r>
      <w:r w:rsidRPr="001B037C">
        <w:rPr>
          <w:rStyle w:val="StyleUnderline"/>
          <w:highlight w:val="green"/>
        </w:rPr>
        <w:t>a progressive welfare state</w:t>
      </w:r>
      <w:r w:rsidRPr="002828A4">
        <w:rPr>
          <w:rStyle w:val="StyleUnderline"/>
        </w:rPr>
        <w:t xml:space="preserve"> model</w:t>
      </w:r>
      <w:r w:rsidRPr="002828A4">
        <w:rPr>
          <w:sz w:val="12"/>
        </w:rPr>
        <w:t xml:space="preserve">, the Swedish welfare regime that developed in the twentieth century </w:t>
      </w:r>
      <w:r w:rsidRPr="002828A4">
        <w:rPr>
          <w:rStyle w:val="StyleUnderline"/>
        </w:rPr>
        <w:t xml:space="preserve">has </w:t>
      </w:r>
      <w:r w:rsidRPr="001B037C">
        <w:rPr>
          <w:rStyle w:val="Emphasis"/>
          <w:highlight w:val="green"/>
        </w:rPr>
        <w:t>always</w:t>
      </w:r>
      <w:r w:rsidRPr="002828A4">
        <w:rPr>
          <w:rStyle w:val="StyleUnderline"/>
        </w:rPr>
        <w:t xml:space="preserve"> been </w:t>
      </w:r>
      <w:r w:rsidRPr="001B037C">
        <w:rPr>
          <w:rStyle w:val="Emphasis"/>
          <w:highlight w:val="green"/>
        </w:rPr>
        <w:t>internally contradictory</w:t>
      </w:r>
      <w:r w:rsidRPr="001B037C">
        <w:rPr>
          <w:rStyle w:val="StyleUnderline"/>
          <w:highlight w:val="green"/>
        </w:rPr>
        <w:t xml:space="preserve"> and</w:t>
      </w:r>
      <w:r w:rsidRPr="002828A4">
        <w:rPr>
          <w:rStyle w:val="StyleUnderline"/>
        </w:rPr>
        <w:t xml:space="preserve"> </w:t>
      </w:r>
      <w:r w:rsidRPr="00FF4685">
        <w:rPr>
          <w:rStyle w:val="StyleUnderline"/>
        </w:rPr>
        <w:t xml:space="preserve">contained </w:t>
      </w:r>
      <w:r w:rsidRPr="001B037C">
        <w:rPr>
          <w:rStyle w:val="Emphasis"/>
          <w:highlight w:val="green"/>
        </w:rPr>
        <w:t>reactionary</w:t>
      </w:r>
      <w:r w:rsidRPr="00FF4685">
        <w:rPr>
          <w:rStyle w:val="StyleUnderline"/>
        </w:rPr>
        <w:t xml:space="preserve"> traits</w:t>
      </w:r>
      <w:r w:rsidRPr="00FF4685">
        <w:rPr>
          <w:rStyle w:val="Emphasis"/>
          <w:highlight w:val="green"/>
        </w:rPr>
        <w:t>.</w:t>
      </w:r>
      <w:r w:rsidRPr="0081194C">
        <w:rPr>
          <w:rStyle w:val="StyleUnderline"/>
        </w:rPr>
        <w:t xml:space="preserve"> This is e</w:t>
      </w:r>
      <w:r w:rsidRPr="00A36B4A">
        <w:rPr>
          <w:rStyle w:val="StyleUnderline"/>
        </w:rPr>
        <w:t xml:space="preserve">specially </w:t>
      </w:r>
      <w:r w:rsidRPr="00E9768E">
        <w:rPr>
          <w:rStyle w:val="StyleUnderline"/>
          <w:highlight w:val="green"/>
        </w:rPr>
        <w:t>apparent in</w:t>
      </w:r>
      <w:r w:rsidRPr="00A36B4A">
        <w:rPr>
          <w:rStyle w:val="StyleUnderline"/>
        </w:rPr>
        <w:t xml:space="preserve"> the </w:t>
      </w:r>
      <w:r w:rsidRPr="00E9768E">
        <w:rPr>
          <w:rStyle w:val="StyleUnderline"/>
        </w:rPr>
        <w:t>treatment of migrants and racialized groups within the country</w:t>
      </w:r>
      <w:r w:rsidRPr="00E9768E">
        <w:rPr>
          <w:sz w:val="12"/>
        </w:rPr>
        <w:t xml:space="preserve">. As Paulina de los Reyes (2000) has argued, </w:t>
      </w:r>
      <w:r w:rsidRPr="00E9768E">
        <w:rPr>
          <w:rStyle w:val="StyleUnderline"/>
        </w:rPr>
        <w:t>despite increased labor-force migration and women’s increased labor market participation</w:t>
      </w:r>
      <w:r w:rsidRPr="00E9768E">
        <w:rPr>
          <w:sz w:val="12"/>
        </w:rPr>
        <w:t xml:space="preserve"> from the 1960s onward, the Swedish state created </w:t>
      </w:r>
      <w:r w:rsidRPr="00E9768E">
        <w:rPr>
          <w:rStyle w:val="StyleUnderline"/>
        </w:rPr>
        <w:t>a segregated labor market in wh</w:t>
      </w:r>
      <w:r w:rsidRPr="00A36B4A">
        <w:rPr>
          <w:rStyle w:val="StyleUnderline"/>
        </w:rPr>
        <w:t xml:space="preserve">ich </w:t>
      </w:r>
      <w:r w:rsidRPr="00E9768E">
        <w:rPr>
          <w:rStyle w:val="StyleUnderline"/>
          <w:highlight w:val="green"/>
        </w:rPr>
        <w:t>migrants and women were subjected to persistent relegation to low-waged work.</w:t>
      </w:r>
    </w:p>
    <w:p w14:paraId="31D3A731" w14:textId="77777777" w:rsidR="00033179" w:rsidRPr="00275492" w:rsidRDefault="00033179" w:rsidP="00033179">
      <w:pPr>
        <w:rPr>
          <w:u w:val="single"/>
        </w:rPr>
      </w:pPr>
      <w:r w:rsidRPr="002828A4">
        <w:rPr>
          <w:sz w:val="12"/>
        </w:rPr>
        <w:t>This ambivalence has been present throughout the history of Swedish social democracy. In Sweden in the 1</w:t>
      </w:r>
      <w:r w:rsidRPr="00732669">
        <w:rPr>
          <w:sz w:val="12"/>
        </w:rPr>
        <w:t xml:space="preserve">930s, </w:t>
      </w:r>
      <w:r w:rsidRPr="00732669">
        <w:rPr>
          <w:rStyle w:val="StyleUnderline"/>
        </w:rPr>
        <w:t>the pioneering</w:t>
      </w:r>
      <w:r w:rsidRPr="0056593C">
        <w:rPr>
          <w:rStyle w:val="StyleUnderline"/>
        </w:rPr>
        <w:t xml:space="preserve"> </w:t>
      </w:r>
      <w:r w:rsidRPr="00732669">
        <w:rPr>
          <w:rStyle w:val="StyleUnderline"/>
          <w:highlight w:val="green"/>
        </w:rPr>
        <w:t xml:space="preserve">Social Democratic feminist </w:t>
      </w:r>
      <w:r w:rsidRPr="00732669">
        <w:rPr>
          <w:rStyle w:val="StyleUnderline"/>
        </w:rPr>
        <w:t>politician</w:t>
      </w:r>
      <w:r w:rsidRPr="002828A4">
        <w:rPr>
          <w:sz w:val="12"/>
        </w:rPr>
        <w:t xml:space="preserve"> Alva Myrdal </w:t>
      </w:r>
      <w:r w:rsidRPr="0056593C">
        <w:rPr>
          <w:rStyle w:val="StyleUnderline"/>
        </w:rPr>
        <w:t xml:space="preserve">developed </w:t>
      </w:r>
      <w:r w:rsidRPr="00732669">
        <w:rPr>
          <w:rStyle w:val="StyleUnderline"/>
          <w:highlight w:val="green"/>
        </w:rPr>
        <w:t>models for</w:t>
      </w:r>
      <w:r w:rsidRPr="0056593C">
        <w:rPr>
          <w:rStyle w:val="StyleUnderline"/>
        </w:rPr>
        <w:t xml:space="preserve"> more </w:t>
      </w:r>
      <w:r w:rsidRPr="00732669">
        <w:rPr>
          <w:rStyle w:val="StyleUnderline"/>
          <w:highlight w:val="green"/>
        </w:rPr>
        <w:t>collective</w:t>
      </w:r>
      <w:r w:rsidRPr="0056593C">
        <w:rPr>
          <w:rStyle w:val="StyleUnderline"/>
        </w:rPr>
        <w:t xml:space="preserve"> forms of </w:t>
      </w:r>
      <w:r w:rsidRPr="00732669">
        <w:rPr>
          <w:rStyle w:val="StyleUnderline"/>
          <w:highlight w:val="green"/>
        </w:rPr>
        <w:t xml:space="preserve">social reproduction, </w:t>
      </w:r>
      <w:r w:rsidRPr="00732669">
        <w:rPr>
          <w:rStyle w:val="StyleUnderline"/>
        </w:rPr>
        <w:t xml:space="preserve">while simultaneously </w:t>
      </w:r>
      <w:r w:rsidRPr="00732669">
        <w:rPr>
          <w:rStyle w:val="StyleUnderline"/>
          <w:highlight w:val="green"/>
        </w:rPr>
        <w:t>espous</w:t>
      </w:r>
      <w:r w:rsidRPr="00732669">
        <w:rPr>
          <w:sz w:val="12"/>
          <w:szCs w:val="12"/>
        </w:rPr>
        <w:t xml:space="preserve">ing </w:t>
      </w:r>
      <w:r w:rsidRPr="00732669">
        <w:rPr>
          <w:rStyle w:val="StyleUnderline"/>
          <w:highlight w:val="green"/>
        </w:rPr>
        <w:t>eugenic theories</w:t>
      </w:r>
      <w:r w:rsidRPr="0056593C">
        <w:rPr>
          <w:rStyle w:val="StyleUnderline"/>
        </w:rPr>
        <w:t xml:space="preserve"> about what “good” reproduction looked like—one </w:t>
      </w:r>
      <w:r w:rsidRPr="00732669">
        <w:rPr>
          <w:rStyle w:val="StyleUnderline"/>
          <w:highlight w:val="green"/>
        </w:rPr>
        <w:t>that sought to ensure</w:t>
      </w:r>
      <w:r w:rsidRPr="0056593C">
        <w:rPr>
          <w:rStyle w:val="StyleUnderline"/>
        </w:rPr>
        <w:t xml:space="preserve"> that </w:t>
      </w:r>
      <w:r w:rsidRPr="00732669">
        <w:rPr>
          <w:rStyle w:val="Emphasis"/>
          <w:highlight w:val="green"/>
        </w:rPr>
        <w:t>racialized</w:t>
      </w:r>
      <w:r w:rsidRPr="00732669">
        <w:rPr>
          <w:rStyle w:val="StyleUnderline"/>
          <w:highlight w:val="green"/>
        </w:rPr>
        <w:t xml:space="preserve"> or </w:t>
      </w:r>
      <w:r w:rsidRPr="00732669">
        <w:rPr>
          <w:rStyle w:val="Emphasis"/>
          <w:highlight w:val="green"/>
        </w:rPr>
        <w:t>disabled people</w:t>
      </w:r>
      <w:r w:rsidRPr="0056593C">
        <w:rPr>
          <w:rStyle w:val="StyleUnderline"/>
        </w:rPr>
        <w:t xml:space="preserve"> and people with mental illnesses </w:t>
      </w:r>
      <w:r w:rsidRPr="00732669">
        <w:rPr>
          <w:rStyle w:val="Emphasis"/>
          <w:highlight w:val="green"/>
        </w:rPr>
        <w:t>did not have children</w:t>
      </w:r>
      <w:r w:rsidRPr="00732669">
        <w:rPr>
          <w:rStyle w:val="StyleUnderline"/>
          <w:highlight w:val="green"/>
        </w:rPr>
        <w:t>.</w:t>
      </w:r>
      <w:r w:rsidRPr="0056593C">
        <w:rPr>
          <w:rStyle w:val="StyleUnderline"/>
        </w:rPr>
        <w:t xml:space="preserve"> Forced sterilizations of various groups of people took place</w:t>
      </w:r>
      <w:r w:rsidRPr="002828A4">
        <w:rPr>
          <w:sz w:val="12"/>
        </w:rPr>
        <w:t xml:space="preserve"> throughout several decades of the Swedish welfare state and were ended only in the 1970s (Ekerwald 2001). </w:t>
      </w:r>
      <w:r w:rsidRPr="00732669">
        <w:rPr>
          <w:rStyle w:val="StyleUnderline"/>
          <w:highlight w:val="green"/>
        </w:rPr>
        <w:t xml:space="preserve">The </w:t>
      </w:r>
      <w:r w:rsidRPr="00732669">
        <w:rPr>
          <w:rStyle w:val="Emphasis"/>
          <w:highlight w:val="green"/>
        </w:rPr>
        <w:t>interconnection</w:t>
      </w:r>
      <w:r w:rsidRPr="00732669">
        <w:rPr>
          <w:rStyle w:val="StyleUnderline"/>
          <w:highlight w:val="green"/>
        </w:rPr>
        <w:t xml:space="preserve"> of</w:t>
      </w:r>
      <w:r w:rsidRPr="0056593C">
        <w:rPr>
          <w:rStyle w:val="StyleUnderline"/>
        </w:rPr>
        <w:t xml:space="preserve"> ideas of </w:t>
      </w:r>
      <w:r w:rsidRPr="00732669">
        <w:rPr>
          <w:rStyle w:val="Emphasis"/>
          <w:sz w:val="28"/>
          <w:szCs w:val="28"/>
          <w:highlight w:val="green"/>
        </w:rPr>
        <w:t>social democracy</w:t>
      </w:r>
      <w:r w:rsidRPr="00732669">
        <w:rPr>
          <w:rStyle w:val="StyleUnderline"/>
          <w:sz w:val="28"/>
          <w:szCs w:val="28"/>
          <w:highlight w:val="green"/>
        </w:rPr>
        <w:t xml:space="preserve"> </w:t>
      </w:r>
      <w:r w:rsidRPr="00732669">
        <w:rPr>
          <w:rStyle w:val="StyleUnderline"/>
          <w:highlight w:val="green"/>
        </w:rPr>
        <w:t xml:space="preserve">and </w:t>
      </w:r>
      <w:r w:rsidRPr="00732669">
        <w:rPr>
          <w:rStyle w:val="Emphasis"/>
          <w:sz w:val="28"/>
          <w:szCs w:val="28"/>
          <w:highlight w:val="green"/>
        </w:rPr>
        <w:t>eugenics</w:t>
      </w:r>
      <w:r w:rsidRPr="00732669">
        <w:rPr>
          <w:rStyle w:val="StyleUnderline"/>
          <w:sz w:val="28"/>
          <w:szCs w:val="28"/>
          <w:highlight w:val="green"/>
        </w:rPr>
        <w:t xml:space="preserve"> </w:t>
      </w:r>
      <w:r w:rsidRPr="00732669">
        <w:rPr>
          <w:rStyle w:val="StyleUnderline"/>
          <w:highlight w:val="green"/>
        </w:rPr>
        <w:t xml:space="preserve">is </w:t>
      </w:r>
      <w:r w:rsidRPr="00732669">
        <w:rPr>
          <w:rStyle w:val="Emphasis"/>
          <w:sz w:val="28"/>
          <w:szCs w:val="28"/>
          <w:highlight w:val="green"/>
        </w:rPr>
        <w:t>not as</w:t>
      </w:r>
      <w:r w:rsidRPr="009E707B">
        <w:rPr>
          <w:rStyle w:val="Emphasis"/>
          <w:sz w:val="28"/>
          <w:szCs w:val="28"/>
        </w:rPr>
        <w:t xml:space="preserve"> </w:t>
      </w:r>
      <w:r w:rsidRPr="00732669">
        <w:rPr>
          <w:rStyle w:val="Emphasis"/>
          <w:sz w:val="28"/>
          <w:szCs w:val="28"/>
          <w:highlight w:val="green"/>
        </w:rPr>
        <w:t>contradictory as it sounds</w:t>
      </w:r>
      <w:r w:rsidRPr="00732669">
        <w:rPr>
          <w:rStyle w:val="StyleUnderline"/>
          <w:highlight w:val="green"/>
        </w:rPr>
        <w:t xml:space="preserve">, if we take seriously the eugenic belief in a better form of reproduction and </w:t>
      </w:r>
      <w:r w:rsidRPr="00732669">
        <w:rPr>
          <w:rStyle w:val="Emphasis"/>
          <w:highlight w:val="green"/>
        </w:rPr>
        <w:t>social democracy’s emphasis</w:t>
      </w:r>
      <w:r w:rsidRPr="00732669">
        <w:rPr>
          <w:rStyle w:val="StyleUnderline"/>
          <w:highlight w:val="green"/>
        </w:rPr>
        <w:t xml:space="preserve"> on the </w:t>
      </w:r>
      <w:r w:rsidRPr="00732669">
        <w:rPr>
          <w:rStyle w:val="Emphasis"/>
          <w:highlight w:val="green"/>
        </w:rPr>
        <w:t>health of the people</w:t>
      </w:r>
      <w:r w:rsidRPr="00732669">
        <w:rPr>
          <w:rStyle w:val="StyleUnderline"/>
          <w:highlight w:val="green"/>
        </w:rPr>
        <w:t>.</w:t>
      </w:r>
    </w:p>
    <w:p w14:paraId="1FC1D4A0" w14:textId="77777777" w:rsidR="00033179" w:rsidRPr="008E5343" w:rsidRDefault="00033179" w:rsidP="00033179">
      <w:pPr>
        <w:rPr>
          <w:sz w:val="12"/>
        </w:rPr>
      </w:pPr>
    </w:p>
    <w:p w14:paraId="1FDD9B57" w14:textId="77777777" w:rsidR="00033179" w:rsidRPr="00ED1A48" w:rsidRDefault="00033179" w:rsidP="00033179">
      <w:pPr>
        <w:pStyle w:val="Heading4"/>
      </w:pPr>
      <w:r>
        <w:t xml:space="preserve">Markets rely on </w:t>
      </w:r>
      <w:r w:rsidRPr="00B14432">
        <w:rPr>
          <w:u w:val="single"/>
        </w:rPr>
        <w:t>eugenics</w:t>
      </w:r>
      <w:r w:rsidRPr="00546788">
        <w:t xml:space="preserve"> to enforce the wage</w:t>
      </w:r>
      <w:r>
        <w:t xml:space="preserve"> – under the guise of ‘rehabilitation’, those who cannot meet the </w:t>
      </w:r>
      <w:r w:rsidRPr="00A667D8">
        <w:rPr>
          <w:u w:val="single"/>
        </w:rPr>
        <w:t>productivity standards</w:t>
      </w:r>
      <w:r>
        <w:t xml:space="preserve"> of the average worker are subject to mass incarceration in prisons or asylums and forced sterilization.</w:t>
      </w:r>
    </w:p>
    <w:p w14:paraId="139D251C" w14:textId="77777777" w:rsidR="00033179" w:rsidRPr="003521AE" w:rsidRDefault="00033179" w:rsidP="00033179">
      <w:pPr>
        <w:rPr>
          <w:sz w:val="12"/>
        </w:rPr>
      </w:pPr>
      <w:r w:rsidRPr="003521AE">
        <w:rPr>
          <w:rStyle w:val="Style13ptBold"/>
        </w:rPr>
        <w:t>Rosenthal 21</w:t>
      </w:r>
      <w:r w:rsidRPr="003521AE">
        <w:t xml:space="preserve"> </w:t>
      </w:r>
      <w:r w:rsidRPr="003521AE">
        <w:rPr>
          <w:sz w:val="12"/>
        </w:rPr>
        <w:t>[8-23-2021. Carceral Histories of Disability: An Abolitionist Analysis https://spectrejournal.com/carceral-histories-of-disability-an-abolitionist-analysis/ Keith Rosenthal is the editor of Capitalism &amp; Disability: Selected Writings by Marta Russell (Haymarket Books, 2019). He is currently a graduate student in the Disability Studies program at the City University of New York.//Spence + thanks liz!]</w:t>
      </w:r>
    </w:p>
    <w:p w14:paraId="0EA5681C" w14:textId="77777777" w:rsidR="00033179" w:rsidRPr="004368DF" w:rsidRDefault="00033179" w:rsidP="00033179">
      <w:pPr>
        <w:rPr>
          <w:sz w:val="12"/>
        </w:rPr>
      </w:pPr>
      <w:r w:rsidRPr="004368DF">
        <w:rPr>
          <w:sz w:val="12"/>
        </w:rPr>
        <w:t xml:space="preserve">Given </w:t>
      </w:r>
      <w:r w:rsidRPr="00FC09D2">
        <w:rPr>
          <w:rStyle w:val="StyleUnderline"/>
        </w:rPr>
        <w:t>the disproportionate rates at which people of color and disabled people are over-represented within the U.S. prison population</w:t>
      </w:r>
      <w:r w:rsidRPr="004368DF">
        <w:rPr>
          <w:sz w:val="12"/>
        </w:rPr>
        <w:t xml:space="preserve">, the above abuses </w:t>
      </w:r>
      <w:r w:rsidRPr="00FC09D2">
        <w:rPr>
          <w:rStyle w:val="StyleUnderline"/>
        </w:rPr>
        <w:t>were</w:t>
      </w:r>
      <w:r w:rsidRPr="004368DF">
        <w:rPr>
          <w:sz w:val="12"/>
        </w:rPr>
        <w:t xml:space="preserve"> essentially a case of modern </w:t>
      </w:r>
      <w:r w:rsidRPr="001C53DE">
        <w:rPr>
          <w:rStyle w:val="Emphasis"/>
          <w:highlight w:val="green"/>
        </w:rPr>
        <w:t>eugenics</w:t>
      </w:r>
      <w:r w:rsidRPr="004368DF">
        <w:rPr>
          <w:sz w:val="12"/>
        </w:rPr>
        <w:t xml:space="preserve"> being </w:t>
      </w:r>
      <w:r w:rsidRPr="001C53DE">
        <w:rPr>
          <w:rStyle w:val="StyleUnderline"/>
          <w:highlight w:val="green"/>
        </w:rPr>
        <w:t>carried out against</w:t>
      </w:r>
      <w:r w:rsidRPr="004368DF">
        <w:rPr>
          <w:sz w:val="12"/>
        </w:rPr>
        <w:t xml:space="preserve"> precisely those populations that have been historically targeted – </w:t>
      </w:r>
      <w:r w:rsidRPr="001C53DE">
        <w:rPr>
          <w:rStyle w:val="StyleUnderline"/>
          <w:highlight w:val="green"/>
        </w:rPr>
        <w:t>disabled people, people of color, and women</w:t>
      </w:r>
      <w:r w:rsidRPr="00FC09D2">
        <w:rPr>
          <w:rStyle w:val="StyleUnderline"/>
        </w:rPr>
        <w:t xml:space="preserve"> in poverty</w:t>
      </w:r>
      <w:r w:rsidRPr="004368DF">
        <w:rPr>
          <w:sz w:val="12"/>
        </w:rPr>
        <w:t xml:space="preserve">. What </w:t>
      </w:r>
      <w:r w:rsidRPr="00FC09D2">
        <w:rPr>
          <w:rStyle w:val="StyleUnderline"/>
        </w:rPr>
        <w:t xml:space="preserve">this </w:t>
      </w:r>
      <w:r w:rsidRPr="001C53DE">
        <w:rPr>
          <w:rStyle w:val="StyleUnderline"/>
          <w:highlight w:val="green"/>
        </w:rPr>
        <w:t>demonstrates</w:t>
      </w:r>
      <w:r w:rsidRPr="004368DF">
        <w:rPr>
          <w:sz w:val="12"/>
        </w:rPr>
        <w:t xml:space="preserve"> is </w:t>
      </w:r>
      <w:r w:rsidRPr="001C53DE">
        <w:rPr>
          <w:rStyle w:val="StyleUnderline"/>
          <w:highlight w:val="green"/>
        </w:rPr>
        <w:t>the insidious ways</w:t>
      </w:r>
      <w:r w:rsidRPr="00FC09D2">
        <w:rPr>
          <w:rStyle w:val="StyleUnderline"/>
        </w:rPr>
        <w:t xml:space="preserve"> in which the matrix of institutional confinement, disability oppression, and </w:t>
      </w:r>
      <w:r w:rsidRPr="001C53DE">
        <w:rPr>
          <w:rStyle w:val="Emphasis"/>
          <w:highlight w:val="green"/>
        </w:rPr>
        <w:t>eliminationist</w:t>
      </w:r>
      <w:r w:rsidRPr="00FC09D2">
        <w:rPr>
          <w:rStyle w:val="StyleUnderline"/>
        </w:rPr>
        <w:t xml:space="preserve"> social </w:t>
      </w:r>
      <w:r w:rsidRPr="001C53DE">
        <w:rPr>
          <w:rStyle w:val="Emphasis"/>
          <w:highlight w:val="green"/>
        </w:rPr>
        <w:t>policy</w:t>
      </w:r>
      <w:r w:rsidRPr="00A73470">
        <w:rPr>
          <w:rStyle w:val="StyleUnderline"/>
        </w:rPr>
        <w:t xml:space="preserve"> has </w:t>
      </w:r>
      <w:r w:rsidRPr="001C53DE">
        <w:rPr>
          <w:rStyle w:val="Emphasis"/>
          <w:highlight w:val="green"/>
        </w:rPr>
        <w:t>remained</w:t>
      </w:r>
      <w:r w:rsidRPr="00A73470">
        <w:rPr>
          <w:rStyle w:val="StyleUnderline"/>
        </w:rPr>
        <w:t xml:space="preserve"> a </w:t>
      </w:r>
      <w:r w:rsidRPr="001C53DE">
        <w:rPr>
          <w:rStyle w:val="Emphasis"/>
          <w:highlight w:val="green"/>
        </w:rPr>
        <w:t>persistent</w:t>
      </w:r>
      <w:r w:rsidRPr="00A73470">
        <w:rPr>
          <w:rStyle w:val="StyleUnderline"/>
        </w:rPr>
        <w:t xml:space="preserve"> feature of modern capitalist society, even as it has undergone</w:t>
      </w:r>
      <w:r w:rsidRPr="004368DF">
        <w:rPr>
          <w:sz w:val="12"/>
        </w:rPr>
        <w:t xml:space="preserve"> mutations, </w:t>
      </w:r>
      <w:r w:rsidRPr="00A73470">
        <w:rPr>
          <w:rStyle w:val="StyleUnderline"/>
        </w:rPr>
        <w:t>adaptations, and reconfigurations</w:t>
      </w:r>
      <w:r w:rsidRPr="004368DF">
        <w:rPr>
          <w:sz w:val="12"/>
        </w:rPr>
        <w:t xml:space="preserve"> over past decades and centuries.</w:t>
      </w:r>
    </w:p>
    <w:p w14:paraId="7A97B1D7" w14:textId="77777777" w:rsidR="00033179" w:rsidRPr="004368DF" w:rsidRDefault="00033179" w:rsidP="00033179">
      <w:pPr>
        <w:rPr>
          <w:sz w:val="12"/>
        </w:rPr>
      </w:pPr>
      <w:r w:rsidRPr="00056EF7">
        <w:rPr>
          <w:rStyle w:val="StyleUnderline"/>
        </w:rPr>
        <w:t xml:space="preserve">Insofar as the ruthlessly competitive accumulation of </w:t>
      </w:r>
      <w:r w:rsidRPr="00B34885">
        <w:rPr>
          <w:rStyle w:val="StyleUnderline"/>
        </w:rPr>
        <w:t>capital via exploited labor has been the</w:t>
      </w:r>
      <w:r w:rsidRPr="004368DF">
        <w:rPr>
          <w:sz w:val="12"/>
        </w:rPr>
        <w:t xml:space="preserve"> constant </w:t>
      </w:r>
      <w:r w:rsidRPr="00B34885">
        <w:rPr>
          <w:rStyle w:val="StyleUnderline"/>
        </w:rPr>
        <w:t>guiding imperative</w:t>
      </w:r>
      <w:r w:rsidRPr="004368DF">
        <w:rPr>
          <w:sz w:val="12"/>
        </w:rPr>
        <w:t xml:space="preserve"> of historical capitalism, </w:t>
      </w:r>
      <w:r w:rsidRPr="00B56118">
        <w:rPr>
          <w:rStyle w:val="Emphasis"/>
          <w:highlight w:val="green"/>
        </w:rPr>
        <w:t>disabled people</w:t>
      </w:r>
      <w:r w:rsidRPr="00056EF7">
        <w:rPr>
          <w:rStyle w:val="StyleUnderline"/>
        </w:rPr>
        <w:t xml:space="preserve"> have ever </w:t>
      </w:r>
      <w:r w:rsidRPr="00B56118">
        <w:rPr>
          <w:rStyle w:val="Emphasis"/>
          <w:highlight w:val="green"/>
        </w:rPr>
        <w:t>represent</w:t>
      </w:r>
      <w:r w:rsidRPr="00B56118">
        <w:rPr>
          <w:rStyle w:val="StyleUnderline"/>
        </w:rPr>
        <w:t xml:space="preserve">ed </w:t>
      </w:r>
      <w:r w:rsidRPr="00B56118">
        <w:rPr>
          <w:rStyle w:val="Emphasis"/>
          <w:highlight w:val="green"/>
        </w:rPr>
        <w:t>a troublesome source o</w:t>
      </w:r>
      <w:r w:rsidRPr="00056EF7">
        <w:rPr>
          <w:rStyle w:val="Emphasis"/>
        </w:rPr>
        <w:t>f</w:t>
      </w:r>
      <w:r w:rsidRPr="00056EF7">
        <w:rPr>
          <w:rStyle w:val="StyleUnderline"/>
        </w:rPr>
        <w:t xml:space="preserve"> </w:t>
      </w:r>
      <w:r w:rsidRPr="004368DF">
        <w:rPr>
          <w:sz w:val="12"/>
        </w:rPr>
        <w:t xml:space="preserve">non- (or even </w:t>
      </w:r>
      <w:r w:rsidRPr="00B56118">
        <w:rPr>
          <w:rStyle w:val="Emphasis"/>
          <w:highlight w:val="green"/>
        </w:rPr>
        <w:t>counter-</w:t>
      </w:r>
      <w:r w:rsidRPr="004368DF">
        <w:rPr>
          <w:sz w:val="12"/>
          <w:szCs w:val="2"/>
        </w:rPr>
        <w:t xml:space="preserve">) </w:t>
      </w:r>
      <w:r w:rsidRPr="00B56118">
        <w:rPr>
          <w:rStyle w:val="Emphasis"/>
          <w:highlight w:val="green"/>
        </w:rPr>
        <w:t>profitability</w:t>
      </w:r>
      <w:r w:rsidRPr="004368DF">
        <w:rPr>
          <w:sz w:val="12"/>
        </w:rPr>
        <w:t xml:space="preserve"> to the ruling class. </w:t>
      </w:r>
      <w:r w:rsidRPr="00592DF8">
        <w:rPr>
          <w:rStyle w:val="StyleUnderline"/>
        </w:rPr>
        <w:t>The labor power that disabled people possess</w:t>
      </w:r>
      <w:r w:rsidRPr="004368DF">
        <w:rPr>
          <w:sz w:val="12"/>
        </w:rPr>
        <w:t xml:space="preserve"> – the basic unit of commodity value under capitalism </w:t>
      </w:r>
      <w:r w:rsidRPr="00592DF8">
        <w:rPr>
          <w:rStyle w:val="StyleUnderline"/>
        </w:rPr>
        <w:t>– is deemed an invalid, defective, or otherwise undesirable resource vis-à-vis the productive economy.</w:t>
      </w:r>
      <w:r w:rsidRPr="00C47DDD">
        <w:rPr>
          <w:rStyle w:val="StyleUnderline"/>
        </w:rPr>
        <w:t>2</w:t>
      </w:r>
      <w:r w:rsidRPr="00C47DDD">
        <w:rPr>
          <w:rStyle w:val="StyleUnderline"/>
          <w:highlight w:val="green"/>
        </w:rPr>
        <w:t>As the</w:t>
      </w:r>
      <w:r w:rsidRPr="00592DF8">
        <w:rPr>
          <w:rStyle w:val="StyleUnderline"/>
        </w:rPr>
        <w:t xml:space="preserve"> U.S. </w:t>
      </w:r>
      <w:r w:rsidRPr="00C47DDD">
        <w:rPr>
          <w:rStyle w:val="StyleUnderline"/>
          <w:highlight w:val="green"/>
        </w:rPr>
        <w:t>fed</w:t>
      </w:r>
      <w:r w:rsidRPr="00592DF8">
        <w:rPr>
          <w:rStyle w:val="StyleUnderline"/>
        </w:rPr>
        <w:t xml:space="preserve">eral government </w:t>
      </w:r>
      <w:r w:rsidRPr="00C47DDD">
        <w:rPr>
          <w:rStyle w:val="StyleUnderline"/>
          <w:highlight w:val="green"/>
        </w:rPr>
        <w:t>defines it,</w:t>
      </w:r>
      <w:r w:rsidRPr="00592DF8">
        <w:rPr>
          <w:rStyle w:val="StyleUnderline"/>
        </w:rPr>
        <w:t xml:space="preserve"> </w:t>
      </w:r>
      <w:r w:rsidRPr="00C47DDD">
        <w:rPr>
          <w:rStyle w:val="StyleUnderline"/>
          <w:highlight w:val="green"/>
        </w:rPr>
        <w:t xml:space="preserve">to be disabled </w:t>
      </w:r>
      <w:r w:rsidRPr="005F307F">
        <w:rPr>
          <w:rStyle w:val="StyleUnderline"/>
          <w:highlight w:val="green"/>
        </w:rPr>
        <w:t xml:space="preserve">is to be “unable to </w:t>
      </w:r>
      <w:r w:rsidRPr="00C47DDD">
        <w:rPr>
          <w:rStyle w:val="StyleUnderline"/>
          <w:highlight w:val="green"/>
        </w:rPr>
        <w:t>engage in</w:t>
      </w:r>
      <w:r w:rsidRPr="00592DF8">
        <w:rPr>
          <w:rStyle w:val="StyleUnderline"/>
        </w:rPr>
        <w:t xml:space="preserve"> </w:t>
      </w:r>
      <w:r w:rsidRPr="0043654E">
        <w:rPr>
          <w:rStyle w:val="StyleUnderline"/>
        </w:rPr>
        <w:t>substantial gainful activity”</w:t>
      </w:r>
      <w:r w:rsidRPr="0043654E">
        <w:rPr>
          <w:sz w:val="12"/>
        </w:rPr>
        <w:t xml:space="preserve">;3 in other words, </w:t>
      </w:r>
      <w:r w:rsidRPr="0043654E">
        <w:rPr>
          <w:rStyle w:val="StyleUnderline"/>
        </w:rPr>
        <w:t xml:space="preserve">to be unable to competitively acquire </w:t>
      </w:r>
      <w:r w:rsidRPr="0043654E">
        <w:rPr>
          <w:rStyle w:val="StyleUnderline"/>
          <w:highlight w:val="green"/>
        </w:rPr>
        <w:t>a paying job</w:t>
      </w:r>
      <w:r w:rsidRPr="0043654E">
        <w:rPr>
          <w:rStyle w:val="StyleUnderline"/>
        </w:rPr>
        <w:t xml:space="preserve"> within the prevailing conditi</w:t>
      </w:r>
      <w:r w:rsidRPr="00D114FA">
        <w:rPr>
          <w:rStyle w:val="StyleUnderline"/>
        </w:rPr>
        <w:t>ons of</w:t>
      </w:r>
      <w:r w:rsidRPr="004368DF">
        <w:rPr>
          <w:sz w:val="12"/>
        </w:rPr>
        <w:t xml:space="preserve"> capitalist wage-</w:t>
      </w:r>
      <w:r w:rsidRPr="00D114FA">
        <w:rPr>
          <w:rStyle w:val="StyleUnderline"/>
        </w:rPr>
        <w:t>labor</w:t>
      </w:r>
      <w:r w:rsidRPr="004368DF">
        <w:rPr>
          <w:sz w:val="12"/>
        </w:rPr>
        <w:t>.3</w:t>
      </w:r>
    </w:p>
    <w:p w14:paraId="288E83BC" w14:textId="77777777" w:rsidR="00033179" w:rsidRPr="00607DEC" w:rsidRDefault="00033179" w:rsidP="00033179">
      <w:pPr>
        <w:rPr>
          <w:rStyle w:val="Emphasis"/>
        </w:rPr>
      </w:pPr>
      <w:r w:rsidRPr="004368DF">
        <w:rPr>
          <w:sz w:val="12"/>
        </w:rPr>
        <w:t xml:space="preserve">In this way, disabled people have historically been cast into that sub-class of people under capitalism who rely on state welfare payments, are marginal to the formal process of capital accumulation, and are considered ‘disposable’ from the standpoint of political economy. </w:t>
      </w:r>
      <w:r w:rsidRPr="00A44F1C">
        <w:rPr>
          <w:sz w:val="12"/>
          <w:szCs w:val="12"/>
        </w:rPr>
        <w:t>In truth, and conceptualized broadly, disabled people occupy a class position that spans the proletariat: the active working class, the reserve army of labor, and the so-called</w:t>
      </w:r>
      <w:r w:rsidRPr="00A44F1C">
        <w:rPr>
          <w:sz w:val="2"/>
          <w:szCs w:val="12"/>
        </w:rPr>
        <w:t xml:space="preserve"> </w:t>
      </w:r>
      <w:r w:rsidRPr="004368DF">
        <w:rPr>
          <w:sz w:val="12"/>
        </w:rPr>
        <w:t xml:space="preserve">lumpenproletariat.4 </w:t>
      </w:r>
      <w:r w:rsidRPr="006B1C42">
        <w:rPr>
          <w:rStyle w:val="StyleUnderline"/>
        </w:rPr>
        <w:t xml:space="preserve">Under any conception, however, disabled people under capitalism are, by definition, so many ‘damaged goods’; </w:t>
      </w:r>
      <w:r w:rsidRPr="004368DF">
        <w:rPr>
          <w:sz w:val="12"/>
        </w:rPr>
        <w:t xml:space="preserve">commodities </w:t>
      </w:r>
      <w:r w:rsidRPr="005E4355">
        <w:rPr>
          <w:rStyle w:val="StyleUnderline"/>
          <w:highlight w:val="green"/>
        </w:rPr>
        <w:t>systematically devalued</w:t>
      </w:r>
      <w:r w:rsidRPr="006B1C42">
        <w:rPr>
          <w:rStyle w:val="StyleUnderline"/>
        </w:rPr>
        <w:t xml:space="preserve"> as a result of inherited or acquired ‘deficits’ in their functioning as components of capital accumulation.</w:t>
      </w:r>
      <w:r w:rsidRPr="004368DF">
        <w:rPr>
          <w:sz w:val="12"/>
        </w:rPr>
        <w:t xml:space="preserve"> </w:t>
      </w:r>
      <w:r w:rsidRPr="00607DEC">
        <w:rPr>
          <w:rStyle w:val="Emphasis"/>
        </w:rPr>
        <w:t>Thus</w:t>
      </w:r>
      <w:r w:rsidRPr="004368DF">
        <w:rPr>
          <w:sz w:val="12"/>
        </w:rPr>
        <w:t>, to the capitalist ruling class</w:t>
      </w:r>
      <w:r w:rsidRPr="00EB70AD">
        <w:rPr>
          <w:rStyle w:val="Emphasis"/>
          <w:highlight w:val="green"/>
        </w:rPr>
        <w:t xml:space="preserve">, disabled </w:t>
      </w:r>
      <w:r w:rsidRPr="005E4355">
        <w:rPr>
          <w:rStyle w:val="Emphasis"/>
          <w:highlight w:val="green"/>
        </w:rPr>
        <w:t>people represent an economic ‘problem’ necessitating a political ‘solution.’</w:t>
      </w:r>
    </w:p>
    <w:p w14:paraId="7E609C3C" w14:textId="77777777" w:rsidR="00033179" w:rsidRPr="004368DF" w:rsidRDefault="00033179" w:rsidP="00033179">
      <w:pPr>
        <w:rPr>
          <w:sz w:val="12"/>
        </w:rPr>
      </w:pPr>
      <w:r w:rsidRPr="004368DF">
        <w:rPr>
          <w:sz w:val="12"/>
        </w:rPr>
        <w:t xml:space="preserve">Beginning in the late nineteenth century, and reaching its peak maturation in the early-to-mid twentieth century, </w:t>
      </w:r>
      <w:r w:rsidRPr="00BD43B2">
        <w:rPr>
          <w:rStyle w:val="StyleUnderline"/>
          <w:highlight w:val="green"/>
        </w:rPr>
        <w:t>the prevailing ‘solution’</w:t>
      </w:r>
      <w:r w:rsidRPr="00D80D6E">
        <w:rPr>
          <w:rStyle w:val="StyleUnderline"/>
        </w:rPr>
        <w:t xml:space="preserve"> to the ‘problem’ of disability </w:t>
      </w:r>
      <w:r w:rsidRPr="00BD43B2">
        <w:rPr>
          <w:rStyle w:val="StyleUnderline"/>
          <w:highlight w:val="green"/>
        </w:rPr>
        <w:t>was</w:t>
      </w:r>
      <w:r w:rsidRPr="004368DF">
        <w:rPr>
          <w:sz w:val="12"/>
        </w:rPr>
        <w:t xml:space="preserve"> the erection of a system of </w:t>
      </w:r>
      <w:r w:rsidRPr="00BD43B2">
        <w:rPr>
          <w:rStyle w:val="StyleUnderline"/>
          <w:highlight w:val="green"/>
        </w:rPr>
        <w:t>mass institutionalization, sterilization, and social elimination</w:t>
      </w:r>
      <w:r w:rsidRPr="004368DF">
        <w:rPr>
          <w:sz w:val="12"/>
        </w:rPr>
        <w:t xml:space="preserve">, which claimed the lives of hundreds of thousands of disabled and other marginalized and oppressed peoples in the U.S. </w:t>
      </w:r>
      <w:r w:rsidRPr="00D80D6E">
        <w:rPr>
          <w:rStyle w:val="StyleUnderline"/>
        </w:rPr>
        <w:t xml:space="preserve">This system was </w:t>
      </w:r>
      <w:r w:rsidRPr="00BD43B2">
        <w:rPr>
          <w:rStyle w:val="StyleUnderline"/>
          <w:highlight w:val="green"/>
        </w:rPr>
        <w:t>codified</w:t>
      </w:r>
      <w:r w:rsidRPr="00D80D6E">
        <w:rPr>
          <w:rStyle w:val="StyleUnderline"/>
        </w:rPr>
        <w:t xml:space="preserve"> </w:t>
      </w:r>
      <w:r w:rsidRPr="004368DF">
        <w:rPr>
          <w:sz w:val="12"/>
        </w:rPr>
        <w:t>and</w:t>
      </w:r>
      <w:r w:rsidRPr="00D80D6E">
        <w:rPr>
          <w:rStyle w:val="StyleUnderline"/>
        </w:rPr>
        <w:t xml:space="preserve"> </w:t>
      </w:r>
      <w:r w:rsidRPr="00BD43B2">
        <w:rPr>
          <w:rStyle w:val="StyleUnderline"/>
          <w:highlight w:val="green"/>
        </w:rPr>
        <w:t>executed</w:t>
      </w:r>
      <w:r w:rsidRPr="00D80D6E">
        <w:rPr>
          <w:rStyle w:val="StyleUnderline"/>
        </w:rPr>
        <w:t xml:space="preserve"> </w:t>
      </w:r>
      <w:r w:rsidRPr="004368DF">
        <w:rPr>
          <w:sz w:val="12"/>
        </w:rPr>
        <w:t>at the state level,</w:t>
      </w:r>
      <w:r w:rsidRPr="00D80D6E">
        <w:rPr>
          <w:rStyle w:val="StyleUnderline"/>
        </w:rPr>
        <w:t xml:space="preserve"> </w:t>
      </w:r>
      <w:r w:rsidRPr="00BD43B2">
        <w:rPr>
          <w:rStyle w:val="StyleUnderline"/>
          <w:highlight w:val="green"/>
        </w:rPr>
        <w:t>and rendered licit</w:t>
      </w:r>
      <w:r w:rsidRPr="00D80D6E">
        <w:rPr>
          <w:rStyle w:val="StyleUnderline"/>
        </w:rPr>
        <w:t xml:space="preserve"> at the federal level</w:t>
      </w:r>
      <w:r w:rsidRPr="004368DF">
        <w:rPr>
          <w:sz w:val="12"/>
        </w:rPr>
        <w:t>.5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5B569AF0" w14:textId="77777777" w:rsidR="00033179" w:rsidRPr="004368DF" w:rsidRDefault="00033179" w:rsidP="00033179">
      <w:pPr>
        <w:rPr>
          <w:sz w:val="12"/>
        </w:rPr>
      </w:pPr>
      <w:r w:rsidRPr="004368DF">
        <w:rPr>
          <w:sz w:val="12"/>
        </w:rPr>
        <w:t xml:space="preserve">The red thread connecting the erstwhile system of </w:t>
      </w:r>
      <w:r w:rsidRPr="0026267D">
        <w:rPr>
          <w:rStyle w:val="StyleUnderline"/>
          <w:highlight w:val="green"/>
        </w:rPr>
        <w:t xml:space="preserve">incarceration in </w:t>
      </w:r>
      <w:r w:rsidRPr="0026267D">
        <w:rPr>
          <w:rStyle w:val="StyleUnderline"/>
        </w:rPr>
        <w:t xml:space="preserve">institutional </w:t>
      </w:r>
      <w:r w:rsidRPr="0026267D">
        <w:rPr>
          <w:rStyle w:val="StyleUnderline"/>
          <w:highlight w:val="green"/>
        </w:rPr>
        <w:t>asylums and</w:t>
      </w:r>
      <w:r w:rsidRPr="004368DF">
        <w:rPr>
          <w:sz w:val="12"/>
        </w:rPr>
        <w:t xml:space="preserve"> that of </w:t>
      </w:r>
      <w:r w:rsidRPr="00414223">
        <w:rPr>
          <w:sz w:val="2"/>
          <w:szCs w:val="2"/>
        </w:rPr>
        <w:t>the</w:t>
      </w:r>
      <w:r w:rsidRPr="00414223">
        <w:rPr>
          <w:rStyle w:val="StyleUnderline"/>
          <w:sz w:val="2"/>
          <w:szCs w:val="2"/>
        </w:rPr>
        <w:t xml:space="preserve"> </w:t>
      </w:r>
      <w:r w:rsidRPr="0026267D">
        <w:rPr>
          <w:rStyle w:val="StyleUnderline"/>
          <w:highlight w:val="green"/>
        </w:rPr>
        <w:t>prison</w:t>
      </w:r>
      <w:r w:rsidRPr="0026267D">
        <w:rPr>
          <w:sz w:val="2"/>
          <w:szCs w:val="2"/>
        </w:rPr>
        <w:t xml:space="preserve"> </w:t>
      </w:r>
      <w:r w:rsidRPr="0026267D">
        <w:rPr>
          <w:rStyle w:val="StyleUnderline"/>
          <w:highlight w:val="green"/>
        </w:rPr>
        <w:t>s</w:t>
      </w:r>
      <w:r w:rsidRPr="0026267D">
        <w:rPr>
          <w:sz w:val="2"/>
          <w:szCs w:val="2"/>
        </w:rPr>
        <w:t>ystem</w:t>
      </w:r>
      <w:r w:rsidRPr="0026267D">
        <w:rPr>
          <w:rStyle w:val="StyleUnderline"/>
        </w:rPr>
        <w:t xml:space="preserve"> today</w:t>
      </w:r>
      <w:r w:rsidRPr="004368DF">
        <w:rPr>
          <w:sz w:val="12"/>
        </w:rPr>
        <w:t xml:space="preserve">, is more than abstractly analogous. Both </w:t>
      </w:r>
      <w:r w:rsidRPr="0026267D">
        <w:rPr>
          <w:rStyle w:val="StyleUnderline"/>
        </w:rPr>
        <w:t>represent forms of segregation, subjugation, and constraint as coercive mechanisms</w:t>
      </w:r>
      <w:r w:rsidRPr="004368DF">
        <w:rPr>
          <w:sz w:val="12"/>
        </w:rPr>
        <w:t xml:space="preserve"> of social policy. </w:t>
      </w:r>
      <w:r w:rsidRPr="00BD43B2">
        <w:rPr>
          <w:rStyle w:val="StyleUnderline"/>
          <w:highlight w:val="green"/>
        </w:rPr>
        <w:t xml:space="preserve">Behind the </w:t>
      </w:r>
      <w:r w:rsidRPr="00BD43B2">
        <w:rPr>
          <w:rStyle w:val="StyleUnderline"/>
        </w:rPr>
        <w:t>paper</w:t>
      </w:r>
      <w:r w:rsidRPr="0041445E">
        <w:rPr>
          <w:rStyle w:val="StyleUnderline"/>
        </w:rPr>
        <w:t xml:space="preserve">-thin </w:t>
      </w:r>
      <w:r w:rsidRPr="00BD43B2">
        <w:rPr>
          <w:rStyle w:val="StyleUnderline"/>
          <w:highlight w:val="green"/>
        </w:rPr>
        <w:t>pretense of being ‘</w:t>
      </w:r>
      <w:r w:rsidRPr="00BD43B2">
        <w:rPr>
          <w:rStyle w:val="Emphasis"/>
          <w:highlight w:val="green"/>
        </w:rPr>
        <w:t>rehabilitative’</w:t>
      </w:r>
      <w:r w:rsidRPr="008B0FE1">
        <w:rPr>
          <w:rStyle w:val="StyleUnderline"/>
        </w:rPr>
        <w:t xml:space="preserve">, </w:t>
      </w:r>
      <w:r w:rsidRPr="004368DF">
        <w:rPr>
          <w:sz w:val="12"/>
        </w:rPr>
        <w:t xml:space="preserve">both </w:t>
      </w:r>
      <w:r w:rsidRPr="008B01D5">
        <w:rPr>
          <w:rStyle w:val="StyleUnderline"/>
          <w:highlight w:val="green"/>
        </w:rPr>
        <w:t>structures</w:t>
      </w:r>
      <w:r w:rsidRPr="004368DF">
        <w:rPr>
          <w:sz w:val="12"/>
        </w:rPr>
        <w:t xml:space="preserve"> eschew the latter in </w:t>
      </w:r>
      <w:r w:rsidRPr="008B01D5">
        <w:rPr>
          <w:rStyle w:val="StyleUnderline"/>
          <w:highlight w:val="green"/>
        </w:rPr>
        <w:t>favor</w:t>
      </w:r>
      <w:r w:rsidRPr="008B0FE1">
        <w:rPr>
          <w:rStyle w:val="StyleUnderline"/>
        </w:rPr>
        <w:t xml:space="preserve"> of the </w:t>
      </w:r>
      <w:r w:rsidRPr="008B01D5">
        <w:rPr>
          <w:rStyle w:val="StyleUnderline"/>
          <w:highlight w:val="green"/>
        </w:rPr>
        <w:t>social removal and warehousing</w:t>
      </w:r>
      <w:r w:rsidRPr="008B0FE1">
        <w:rPr>
          <w:rStyle w:val="StyleUnderline"/>
        </w:rPr>
        <w:t xml:space="preserve"> of putatively deviant, degenerate, or maladjusted populations.</w:t>
      </w:r>
      <w:r w:rsidRPr="004368DF">
        <w:rPr>
          <w:sz w:val="12"/>
        </w:rPr>
        <w:t xml:space="preserve"> 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judiciary.8</w:t>
      </w:r>
    </w:p>
    <w:p w14:paraId="2482CDD1" w14:textId="77777777" w:rsidR="00033179" w:rsidRPr="004368DF" w:rsidRDefault="00033179" w:rsidP="00033179">
      <w:pPr>
        <w:rPr>
          <w:sz w:val="12"/>
        </w:rPr>
      </w:pPr>
      <w:r w:rsidRPr="004368DF">
        <w:rPr>
          <w:sz w:val="12"/>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491EA297" w14:textId="77777777" w:rsidR="00033179" w:rsidRPr="004368DF" w:rsidRDefault="00033179" w:rsidP="00033179">
      <w:pPr>
        <w:rPr>
          <w:sz w:val="12"/>
        </w:rPr>
      </w:pPr>
      <w:r w:rsidRPr="004368DF">
        <w:rPr>
          <w:sz w:val="12"/>
        </w:rPr>
        <w:t>Capitalism, Disablement, and Social Policy</w:t>
      </w:r>
    </w:p>
    <w:p w14:paraId="375068A0" w14:textId="77777777" w:rsidR="00033179" w:rsidRPr="006753A5" w:rsidRDefault="00033179" w:rsidP="00033179">
      <w:pPr>
        <w:rPr>
          <w:sz w:val="12"/>
        </w:rPr>
      </w:pPr>
      <w:r w:rsidRPr="004368DF">
        <w:rPr>
          <w:sz w:val="12"/>
        </w:rPr>
        <w:t xml:space="preserve">The modern phenomena of </w:t>
      </w:r>
      <w:r w:rsidRPr="006753A5">
        <w:rPr>
          <w:sz w:val="12"/>
        </w:rPr>
        <w:t xml:space="preserve">both disability, qua categorical social classification, and edifices of mass incarceration, are rooted in the advent of modern industrialized capitalism. </w:t>
      </w:r>
      <w:r w:rsidRPr="006753A5">
        <w:rPr>
          <w:rStyle w:val="StyleUnderline"/>
        </w:rPr>
        <w:t>As seismic changes were being wrought in the nature of labor, community, and resource ownership, and as the mass of the populace was increasingly alienated</w:t>
      </w:r>
      <w:r w:rsidRPr="006753A5">
        <w:rPr>
          <w:sz w:val="12"/>
        </w:rPr>
        <w:t xml:space="preserve"> from the means of production, </w:t>
      </w:r>
      <w:r w:rsidRPr="006753A5">
        <w:rPr>
          <w:rStyle w:val="StyleUnderline"/>
        </w:rPr>
        <w:t>people newly recognized as “disabled” came to occupy increasingly precarious, marginalized, and stigmatized (both materially and ideologically) social positions.</w:t>
      </w:r>
      <w:r w:rsidRPr="006753A5">
        <w:rPr>
          <w:sz w:val="12"/>
        </w:rPr>
        <w:t xml:space="preserve">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ability.”10</w:t>
      </w:r>
    </w:p>
    <w:p w14:paraId="22CA9FF0" w14:textId="77777777" w:rsidR="00033179" w:rsidRPr="004368DF" w:rsidRDefault="00033179" w:rsidP="00033179">
      <w:pPr>
        <w:rPr>
          <w:sz w:val="12"/>
        </w:rPr>
      </w:pPr>
      <w:r w:rsidRPr="006753A5">
        <w:rPr>
          <w:sz w:val="12"/>
        </w:rPr>
        <w:t xml:space="preserve">However, </w:t>
      </w:r>
      <w:r w:rsidRPr="006753A5">
        <w:rPr>
          <w:rStyle w:val="StyleUnderline"/>
          <w:highlight w:val="green"/>
        </w:rPr>
        <w:t>with the growth of standardized</w:t>
      </w:r>
      <w:r w:rsidRPr="006753A5">
        <w:rPr>
          <w:rStyle w:val="StyleUnderline"/>
        </w:rPr>
        <w:t xml:space="preserve">, uniform, </w:t>
      </w:r>
      <w:r w:rsidRPr="006753A5">
        <w:rPr>
          <w:rStyle w:val="StyleUnderline"/>
          <w:highlight w:val="green"/>
        </w:rPr>
        <w:t>competitive, and time-regulated norms of</w:t>
      </w:r>
      <w:r w:rsidRPr="006753A5">
        <w:rPr>
          <w:sz w:val="12"/>
        </w:rPr>
        <w:t xml:space="preserve"> factory-based </w:t>
      </w:r>
      <w:r w:rsidRPr="006753A5">
        <w:rPr>
          <w:rStyle w:val="StyleUnderline"/>
        </w:rPr>
        <w:t xml:space="preserve">waged </w:t>
      </w:r>
      <w:r w:rsidRPr="006753A5">
        <w:rPr>
          <w:rStyle w:val="StyleUnderline"/>
          <w:highlight w:val="green"/>
        </w:rPr>
        <w:t>labor, bodies</w:t>
      </w:r>
      <w:r w:rsidRPr="006753A5">
        <w:rPr>
          <w:rStyle w:val="StyleUnderline"/>
        </w:rPr>
        <w:t xml:space="preserve"> </w:t>
      </w:r>
      <w:r w:rsidRPr="006753A5">
        <w:rPr>
          <w:rStyle w:val="StyleUnderline"/>
          <w:highlight w:val="green"/>
        </w:rPr>
        <w:t>and minds that less (profitably) conformed</w:t>
      </w:r>
      <w:r w:rsidRPr="004368DF">
        <w:rPr>
          <w:sz w:val="12"/>
        </w:rPr>
        <w:t xml:space="preserve"> to the newly organized standard </w:t>
      </w:r>
      <w:r w:rsidRPr="006753A5">
        <w:rPr>
          <w:rStyle w:val="StyleUnderline"/>
          <w:highlight w:val="green"/>
        </w:rPr>
        <w:t>were</w:t>
      </w:r>
      <w:r w:rsidRPr="00FC05B1">
        <w:rPr>
          <w:rStyle w:val="StyleUnderline"/>
        </w:rPr>
        <w:t xml:space="preserve"> increasingly excluded</w:t>
      </w:r>
      <w:r w:rsidRPr="004368DF">
        <w:rPr>
          <w:sz w:val="12"/>
        </w:rPr>
        <w:t xml:space="preserve"> from the economy. Such disabled individuals were </w:t>
      </w:r>
      <w:r w:rsidRPr="00B45E9C">
        <w:rPr>
          <w:rStyle w:val="StyleUnderline"/>
        </w:rPr>
        <w:t>seen as less-</w:t>
      </w:r>
      <w:r w:rsidRPr="00FC05B1">
        <w:rPr>
          <w:rStyle w:val="StyleUnderline"/>
        </w:rPr>
        <w:t xml:space="preserve">productive </w:t>
      </w:r>
      <w:r w:rsidRPr="006753A5">
        <w:rPr>
          <w:rStyle w:val="Emphasis"/>
          <w:highlight w:val="green"/>
        </w:rPr>
        <w:t>liabilities</w:t>
      </w:r>
      <w:r w:rsidRPr="004368DF">
        <w:rPr>
          <w:sz w:val="12"/>
        </w:rPr>
        <w:t>,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history.”11</w:t>
      </w:r>
    </w:p>
    <w:p w14:paraId="52667D8C" w14:textId="77777777" w:rsidR="00033179" w:rsidRPr="00C724DC" w:rsidRDefault="00033179" w:rsidP="00033179">
      <w:pPr>
        <w:rPr>
          <w:rStyle w:val="StyleUnderline"/>
        </w:rPr>
      </w:pPr>
      <w:r w:rsidRPr="004368DF">
        <w:rPr>
          <w:sz w:val="12"/>
        </w:rPr>
        <w:t xml:space="preserve">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w:t>
      </w:r>
      <w:r w:rsidRPr="00C724DC">
        <w:rPr>
          <w:rStyle w:val="StyleUnderline"/>
        </w:rPr>
        <w:t>As a carceral space, its function is to remove “all those who either cannot or will not conform to the norms and discipline of capitalist society.”</w:t>
      </w:r>
      <w:r w:rsidRPr="004C7D14">
        <w:rPr>
          <w:sz w:val="10"/>
          <w:szCs w:val="10"/>
        </w:rPr>
        <w:t>13</w:t>
      </w:r>
      <w:r w:rsidRPr="004C7D14">
        <w:rPr>
          <w:rStyle w:val="Emphasis"/>
          <w:highlight w:val="green"/>
        </w:rPr>
        <w:t>As</w:t>
      </w:r>
      <w:r w:rsidRPr="004368DF">
        <w:rPr>
          <w:sz w:val="12"/>
        </w:rPr>
        <w:t xml:space="preserve"> </w:t>
      </w:r>
      <w:r w:rsidRPr="00C724DC">
        <w:rPr>
          <w:rStyle w:val="StyleUnderline"/>
        </w:rPr>
        <w:t xml:space="preserve">a mechanism of </w:t>
      </w:r>
      <w:r w:rsidRPr="000731B6">
        <w:rPr>
          <w:rStyle w:val="Emphasis"/>
          <w:highlight w:val="green"/>
        </w:rPr>
        <w:t>ideological coercion</w:t>
      </w:r>
      <w:r w:rsidRPr="000731B6">
        <w:rPr>
          <w:rStyle w:val="StyleUnderline"/>
          <w:highlight w:val="green"/>
        </w:rPr>
        <w:t xml:space="preserve">, </w:t>
      </w:r>
      <w:r w:rsidRPr="000731B6">
        <w:rPr>
          <w:rStyle w:val="Emphasis"/>
          <w:highlight w:val="green"/>
        </w:rPr>
        <w:t>it sends the message</w:t>
      </w:r>
      <w:r w:rsidRPr="000731B6">
        <w:rPr>
          <w:rStyle w:val="StyleUnderline"/>
          <w:highlight w:val="green"/>
        </w:rPr>
        <w:t xml:space="preserve"> </w:t>
      </w:r>
      <w:r w:rsidRPr="000731B6">
        <w:rPr>
          <w:rStyle w:val="Emphasis"/>
          <w:highlight w:val="green"/>
        </w:rPr>
        <w:t>to</w:t>
      </w:r>
      <w:r w:rsidRPr="000731B6">
        <w:rPr>
          <w:rStyle w:val="StyleUnderline"/>
          <w:highlight w:val="green"/>
        </w:rPr>
        <w:t xml:space="preserve"> all </w:t>
      </w:r>
      <w:r w:rsidRPr="000731B6">
        <w:rPr>
          <w:rStyle w:val="Emphasis"/>
          <w:highlight w:val="green"/>
        </w:rPr>
        <w:t>those who</w:t>
      </w:r>
      <w:r w:rsidRPr="000731B6">
        <w:rPr>
          <w:rStyle w:val="StyleUnderline"/>
          <w:highlight w:val="green"/>
        </w:rPr>
        <w:t xml:space="preserve"> do </w:t>
      </w:r>
      <w:r w:rsidRPr="000731B6">
        <w:rPr>
          <w:rStyle w:val="Emphasis"/>
          <w:highlight w:val="green"/>
        </w:rPr>
        <w:t>conform</w:t>
      </w:r>
      <w:r w:rsidRPr="000731B6">
        <w:rPr>
          <w:rStyle w:val="StyleUnderline"/>
          <w:highlight w:val="green"/>
        </w:rPr>
        <w:t xml:space="preserve"> that </w:t>
      </w:r>
      <w:r w:rsidRPr="000731B6">
        <w:rPr>
          <w:rStyle w:val="Emphasis"/>
          <w:highlight w:val="green"/>
        </w:rPr>
        <w:t>the institution awaits those who fail</w:t>
      </w:r>
      <w:r w:rsidRPr="00C724DC">
        <w:rPr>
          <w:rStyle w:val="StyleUnderline"/>
        </w:rPr>
        <w:t xml:space="preserve"> to do so in perpetuity.</w:t>
      </w:r>
    </w:p>
    <w:p w14:paraId="40EB4903" w14:textId="77777777" w:rsidR="00033179" w:rsidRPr="004368DF" w:rsidRDefault="00033179" w:rsidP="00033179">
      <w:pPr>
        <w:rPr>
          <w:sz w:val="12"/>
        </w:rPr>
      </w:pPr>
      <w:r w:rsidRPr="004368DF">
        <w:rPr>
          <w:sz w:val="12"/>
        </w:rPr>
        <w:t>Part of the imperative guiding the social exclusion and institutionalization of disabled people (both then and now) is the principle of political economy referred to as “less eligibility”.14</w:t>
      </w:r>
      <w:r w:rsidRPr="00045C75">
        <w:rPr>
          <w:rStyle w:val="StyleUnderline"/>
        </w:rPr>
        <w:t>The notion</w:t>
      </w:r>
      <w:r w:rsidRPr="004368DF">
        <w:rPr>
          <w:sz w:val="12"/>
        </w:rPr>
        <w:t xml:space="preserve"> behind it is simply </w:t>
      </w:r>
      <w:r w:rsidRPr="00045C75">
        <w:rPr>
          <w:rStyle w:val="StyleUnderline"/>
        </w:rPr>
        <w:t xml:space="preserve">that the prevailing level of </w:t>
      </w:r>
      <w:r w:rsidRPr="000E7574">
        <w:rPr>
          <w:rStyle w:val="StyleUnderline"/>
          <w:highlight w:val="green"/>
        </w:rPr>
        <w:t>welfare</w:t>
      </w:r>
      <w:r w:rsidRPr="00045C75">
        <w:rPr>
          <w:rStyle w:val="StyleUnderline"/>
        </w:rPr>
        <w:t xml:space="preserve"> assistance</w:t>
      </w:r>
      <w:r w:rsidRPr="004368DF">
        <w:rPr>
          <w:sz w:val="12"/>
        </w:rPr>
        <w:t xml:space="preserve"> doled out to those relying on public support </w:t>
      </w:r>
      <w:r w:rsidRPr="000E7574">
        <w:rPr>
          <w:rStyle w:val="StyleUnderline"/>
          <w:highlight w:val="green"/>
        </w:rPr>
        <w:t>must remain below</w:t>
      </w:r>
      <w:r w:rsidRPr="00045C75">
        <w:rPr>
          <w:rStyle w:val="StyleUnderline"/>
        </w:rPr>
        <w:t xml:space="preserve"> the level </w:t>
      </w:r>
      <w:r w:rsidRPr="000E7574">
        <w:rPr>
          <w:rStyle w:val="StyleUnderline"/>
          <w:highlight w:val="green"/>
        </w:rPr>
        <w:t>of the lowest wage rate</w:t>
      </w:r>
      <w:r w:rsidRPr="00045C75">
        <w:rPr>
          <w:rStyle w:val="StyleUnderline"/>
        </w:rPr>
        <w:t xml:space="preserve"> prevailing in the labor market. In this way, </w:t>
      </w:r>
      <w:r w:rsidRPr="000E7574">
        <w:rPr>
          <w:rStyle w:val="StyleUnderline"/>
          <w:highlight w:val="green"/>
        </w:rPr>
        <w:t>the ‘deserving’</w:t>
      </w:r>
      <w:r w:rsidRPr="00045C75">
        <w:rPr>
          <w:rStyle w:val="StyleUnderline"/>
        </w:rPr>
        <w:t xml:space="preserve"> can be </w:t>
      </w:r>
      <w:r w:rsidRPr="003B33D2">
        <w:rPr>
          <w:rStyle w:val="StyleUnderline"/>
          <w:highlight w:val="green"/>
        </w:rPr>
        <w:t>separated from the ‘undeserving’</w:t>
      </w:r>
      <w:r w:rsidRPr="003B33D2">
        <w:rPr>
          <w:rStyle w:val="StyleUnderline"/>
        </w:rPr>
        <w:t xml:space="preserve"> poor, </w:t>
      </w:r>
      <w:r w:rsidRPr="007F1143">
        <w:rPr>
          <w:rStyle w:val="StyleUnderline"/>
          <w:highlight w:val="green"/>
        </w:rPr>
        <w:t xml:space="preserve">and </w:t>
      </w:r>
      <w:r w:rsidRPr="007F1143">
        <w:rPr>
          <w:rStyle w:val="StyleUnderline"/>
        </w:rPr>
        <w:t xml:space="preserve">all </w:t>
      </w:r>
      <w:r w:rsidRPr="0040712A">
        <w:rPr>
          <w:rStyle w:val="StyleUnderline"/>
          <w:highlight w:val="green"/>
        </w:rPr>
        <w:t xml:space="preserve">those able to </w:t>
      </w:r>
      <w:r w:rsidRPr="00AE0BBB">
        <w:rPr>
          <w:rStyle w:val="StyleUnderline"/>
        </w:rPr>
        <w:t>engage in wage-</w:t>
      </w:r>
      <w:r w:rsidRPr="0040712A">
        <w:rPr>
          <w:rStyle w:val="StyleUnderline"/>
          <w:highlight w:val="green"/>
        </w:rPr>
        <w:t>labor can be coerced into it</w:t>
      </w:r>
      <w:r w:rsidRPr="00062C0E">
        <w:rPr>
          <w:sz w:val="12"/>
          <w:szCs w:val="12"/>
        </w:rPr>
        <w:t>s undertaking</w:t>
      </w:r>
      <w:r w:rsidRPr="004368DF">
        <w:rPr>
          <w:sz w:val="12"/>
        </w:rPr>
        <w:t xml:space="preserve"> on pain of being rendered a pauper. As Marco D’Eramo has pithily put it, whereas “the wage relation [may be] considered a hellscape … true damnation consists in being banished from it.”15</w:t>
      </w:r>
    </w:p>
    <w:p w14:paraId="1D5CDA2C" w14:textId="77777777" w:rsidR="00033179" w:rsidRDefault="00033179" w:rsidP="00033179">
      <w:pPr>
        <w:rPr>
          <w:sz w:val="12"/>
          <w:szCs w:val="12"/>
        </w:rPr>
      </w:pPr>
      <w:r w:rsidRPr="004368DF">
        <w:rPr>
          <w:sz w:val="12"/>
        </w:rPr>
        <w:t xml:space="preserve">Comprising a “surplus” or “superfluous” population of non-productive individuals, </w:t>
      </w:r>
      <w:r w:rsidRPr="00727A4E">
        <w:rPr>
          <w:rStyle w:val="StyleUnderline"/>
        </w:rPr>
        <w:t>essentially ‘</w:t>
      </w:r>
      <w:r w:rsidRPr="00A433CB">
        <w:rPr>
          <w:rStyle w:val="StyleUnderline"/>
        </w:rPr>
        <w:t xml:space="preserve">disposable’, or worse, </w:t>
      </w:r>
      <w:r w:rsidRPr="00103A7A">
        <w:rPr>
          <w:rStyle w:val="StyleUnderline"/>
          <w:highlight w:val="green"/>
        </w:rPr>
        <w:t>impedimentary,</w:t>
      </w:r>
      <w:r w:rsidRPr="00103A7A">
        <w:rPr>
          <w:sz w:val="12"/>
          <w:highlight w:val="green"/>
        </w:rPr>
        <w:t xml:space="preserve"> </w:t>
      </w:r>
      <w:r w:rsidRPr="00103A7A">
        <w:rPr>
          <w:rStyle w:val="StyleUnderline"/>
          <w:highlight w:val="green"/>
        </w:rPr>
        <w:t>from the standpoint of</w:t>
      </w:r>
      <w:r w:rsidRPr="00820713">
        <w:rPr>
          <w:rStyle w:val="StyleUnderline"/>
        </w:rPr>
        <w:t xml:space="preserve"> </w:t>
      </w:r>
      <w:r w:rsidRPr="00103A7A">
        <w:rPr>
          <w:rStyle w:val="StyleUnderline"/>
          <w:highlight w:val="green"/>
        </w:rPr>
        <w:t>capitalist political economy, disabled people became targets of</w:t>
      </w:r>
      <w:r w:rsidRPr="00820713">
        <w:rPr>
          <w:rStyle w:val="StyleUnderline"/>
        </w:rPr>
        <w:t xml:space="preserve"> social eliminationist practices, involving </w:t>
      </w:r>
      <w:r w:rsidRPr="00103A7A">
        <w:rPr>
          <w:rStyle w:val="StyleUnderline"/>
          <w:highlight w:val="green"/>
        </w:rPr>
        <w:t>incarceration</w:t>
      </w:r>
      <w:r w:rsidRPr="00820713">
        <w:rPr>
          <w:rStyle w:val="StyleUnderline"/>
        </w:rPr>
        <w:t xml:space="preserve">, neglect, torture, </w:t>
      </w:r>
      <w:r w:rsidRPr="00103A7A">
        <w:rPr>
          <w:rStyle w:val="StyleUnderline"/>
          <w:highlight w:val="green"/>
        </w:rPr>
        <w:t>and sterilization</w:t>
      </w:r>
      <w:r w:rsidRPr="00820713">
        <w:rPr>
          <w:rStyle w:val="StyleUnderline"/>
        </w:rPr>
        <w:t>.</w:t>
      </w:r>
      <w:r w:rsidRPr="004368DF">
        <w:rPr>
          <w:sz w:val="12"/>
        </w:rPr>
        <w:t xml:space="preserve">16 </w:t>
      </w:r>
      <w:r w:rsidRPr="00F62E5F">
        <w:rPr>
          <w:rStyle w:val="StyleUnderline"/>
        </w:rPr>
        <w:t xml:space="preserve">Owing to </w:t>
      </w:r>
      <w:r w:rsidRPr="00AB4743">
        <w:rPr>
          <w:rStyle w:val="StyleUnderline"/>
          <w:highlight w:val="green"/>
        </w:rPr>
        <w:t>the particular history of white supremacy, settler-colonialist</w:t>
      </w:r>
      <w:r w:rsidRPr="00F62E5F">
        <w:rPr>
          <w:rStyle w:val="StyleUnderline"/>
        </w:rPr>
        <w:t xml:space="preserve"> </w:t>
      </w:r>
      <w:r w:rsidRPr="00AB4743">
        <w:rPr>
          <w:rStyle w:val="StyleUnderline"/>
          <w:highlight w:val="green"/>
        </w:rPr>
        <w:t>expansionism, and racialized slavery</w:t>
      </w:r>
      <w:r w:rsidRPr="004368DF">
        <w:rPr>
          <w:sz w:val="12"/>
        </w:rPr>
        <w:t xml:space="preserve">-cum-capitalism </w:t>
      </w:r>
      <w:r w:rsidRPr="00F62E5F">
        <w:rPr>
          <w:rStyle w:val="StyleUnderline"/>
        </w:rPr>
        <w:t>in the U.S</w:t>
      </w:r>
      <w:r w:rsidRPr="00225771">
        <w:rPr>
          <w:rStyle w:val="StyleUnderline"/>
        </w:rPr>
        <w:t xml:space="preserve">., </w:t>
      </w:r>
      <w:r w:rsidRPr="00AB4743">
        <w:rPr>
          <w:rStyle w:val="StyleUnderline"/>
          <w:highlight w:val="green"/>
        </w:rPr>
        <w:t xml:space="preserve">this </w:t>
      </w:r>
      <w:r w:rsidRPr="00290083">
        <w:rPr>
          <w:rStyle w:val="StyleUnderline"/>
        </w:rPr>
        <w:t xml:space="preserve">class of people </w:t>
      </w:r>
      <w:r w:rsidRPr="000D56F7">
        <w:rPr>
          <w:rStyle w:val="StyleUnderline"/>
          <w:highlight w:val="green"/>
        </w:rPr>
        <w:t xml:space="preserve">disproportionately comprises </w:t>
      </w:r>
      <w:r w:rsidRPr="00AB4743">
        <w:rPr>
          <w:rStyle w:val="StyleUnderline"/>
          <w:highlight w:val="green"/>
        </w:rPr>
        <w:t>Black people</w:t>
      </w:r>
      <w:r w:rsidRPr="00225771">
        <w:rPr>
          <w:rStyle w:val="StyleUnderline"/>
        </w:rPr>
        <w:t>,</w:t>
      </w:r>
      <w:r w:rsidRPr="004368DF">
        <w:rPr>
          <w:sz w:val="12"/>
        </w:rPr>
        <w:t xml:space="preserve"> im</w:t>
      </w:r>
      <w:r w:rsidRPr="00AB4743">
        <w:rPr>
          <w:rStyle w:val="StyleUnderline"/>
          <w:highlight w:val="green"/>
        </w:rPr>
        <w:t>migrants, indigenous people</w:t>
      </w:r>
      <w:r w:rsidRPr="004368DF">
        <w:rPr>
          <w:sz w:val="12"/>
        </w:rPr>
        <w:t xml:space="preserve">, and the indigent </w:t>
      </w:r>
      <w:r w:rsidRPr="00435836">
        <w:rPr>
          <w:sz w:val="12"/>
          <w:szCs w:val="12"/>
        </w:rPr>
        <w:t>generally, in addition to the disabled.</w:t>
      </w:r>
    </w:p>
    <w:p w14:paraId="1170FA94" w14:textId="77777777" w:rsidR="002D00E3" w:rsidRDefault="002D00E3" w:rsidP="00033179">
      <w:pPr>
        <w:rPr>
          <w:sz w:val="12"/>
          <w:szCs w:val="12"/>
        </w:rPr>
      </w:pPr>
    </w:p>
    <w:p w14:paraId="5DF037B9" w14:textId="77777777" w:rsidR="00CE7444" w:rsidRDefault="00CE7444" w:rsidP="00CE7444">
      <w:pPr>
        <w:pStyle w:val="Heading4"/>
      </w:pPr>
      <w:r>
        <w:t>Invocation of extinction is used to justify the exchange of some lines to sustain others – within registers of productivity, disabled life is marked for elimination.</w:t>
      </w:r>
    </w:p>
    <w:p w14:paraId="63969550" w14:textId="77777777" w:rsidR="00CE7444" w:rsidRPr="002A6C2B" w:rsidRDefault="00CE7444" w:rsidP="00CE7444">
      <w:pPr>
        <w:rPr>
          <w:sz w:val="12"/>
        </w:rPr>
      </w:pPr>
      <w:r w:rsidRPr="002A6C2B">
        <w:rPr>
          <w:rStyle w:val="Style13ptBold"/>
        </w:rPr>
        <w:t>Davidson 22</w:t>
      </w:r>
      <w:r w:rsidRPr="002A6C2B">
        <w:rPr>
          <w:sz w:val="12"/>
        </w:rPr>
        <w:t xml:space="preserve"> [Davidson, J. (2022). New Formations, (107), 48-65. doi:https://doi.org/10.3898/NewF:107-8.03.2022 EXTINCTIOPOLITICS: EXISTENTIAL RISK STUDIES, THE EXTINCTIOPOLITICAL UNCONSCIOUS, AND THE BILLIONAIRES' EXODUS FROM EARTH. Joe P.L. Davidson recently completed his PhD in the Department of Sociology at the University of Cambridge and is now a Leverhulme Early Career Fellow in the Department of Sociology at the University of Warwick. His current project is focused on representations of the climate apocalypse in contemporary culture. His work has been published in the European Journal of Social Theory, Feminist Theory, The Sociological Review, Theory, Culture &amp; Society and Sociology//Spence]</w:t>
      </w:r>
    </w:p>
    <w:p w14:paraId="22EB077D" w14:textId="77777777" w:rsidR="00CE7444" w:rsidRDefault="00CE7444" w:rsidP="00CE7444">
      <w:pPr>
        <w:rPr>
          <w:sz w:val="12"/>
        </w:rPr>
      </w:pPr>
      <w:r w:rsidRPr="00833627">
        <w:rPr>
          <w:sz w:val="12"/>
        </w:rPr>
        <w:t xml:space="preserve">Before moving to an account of extinctiopolitics, two points should be made. First, in Raymond Williams’ terms, </w:t>
      </w:r>
      <w:r w:rsidRPr="00833627">
        <w:rPr>
          <w:rStyle w:val="StyleUnderline"/>
          <w:highlight w:val="green"/>
        </w:rPr>
        <w:t xml:space="preserve">extinctiopolitics is </w:t>
      </w:r>
      <w:r w:rsidRPr="00ED2482">
        <w:rPr>
          <w:rStyle w:val="StyleUnderline"/>
        </w:rPr>
        <w:t>an emergent mode of politics</w:t>
      </w:r>
      <w:r w:rsidRPr="00ED2482">
        <w:rPr>
          <w:sz w:val="12"/>
        </w:rPr>
        <w:t xml:space="preserve">, not a dominant mode.19 Examples of extinctiopolitics in action are few; it is gathering steam, but its success is not yet guaranteed. Extinctiopolitics is in a similar position to neoliberalism when Michel Foucault delivered his lecture series The Birth of Biopolitics in 1978/79.20 Given this, I follow a similar methodology to Foucault when examining this new political formation. Just as Foucault analysed the writings of the key intellectuals of German and American neoliberalism, I will examine the key texts of the central figures in the field of existential risk studies. Second, it would be wrong to say that existential risk studies is entirely monolithic. There are tensions in the field, some of which I discuss in the final section. However, as commentators on existential risk studies suggest, there are </w:t>
      </w:r>
      <w:r w:rsidRPr="00ED2482">
        <w:rPr>
          <w:rStyle w:val="StyleUnderline"/>
        </w:rPr>
        <w:t>certain arguments</w:t>
      </w:r>
      <w:r w:rsidRPr="00ED2482">
        <w:rPr>
          <w:sz w:val="12"/>
        </w:rPr>
        <w:t xml:space="preserve"> that, if not entirely dominant, </w:t>
      </w:r>
      <w:r w:rsidRPr="00ED2482">
        <w:rPr>
          <w:rStyle w:val="StyleUnderline"/>
        </w:rPr>
        <w:t>are hegemonic within the field</w:t>
      </w:r>
      <w:r w:rsidRPr="00ED2482">
        <w:rPr>
          <w:sz w:val="12"/>
        </w:rPr>
        <w:t xml:space="preserve"> (Calamity Theory; Ripples).21 In particular, the understanding of existential risk advanced by Bostrom and Ord, the one invoked by the billionaire funders of the field, has been especially influential. As such, I primarily focus on Bostrom’s and Ord’s writings here. The name </w:t>
      </w:r>
      <w:r w:rsidRPr="00ED2482">
        <w:rPr>
          <w:rStyle w:val="StyleUnderline"/>
        </w:rPr>
        <w:t>extinctiopolitics intentionally recalls</w:t>
      </w:r>
      <w:r w:rsidRPr="00ED2482">
        <w:rPr>
          <w:sz w:val="12"/>
        </w:rPr>
        <w:t xml:space="preserve"> Foucault’s notion of </w:t>
      </w:r>
      <w:r w:rsidRPr="00ED2482">
        <w:rPr>
          <w:rStyle w:val="StyleUnderline"/>
        </w:rPr>
        <w:t>biopolitics</w:t>
      </w:r>
      <w:r w:rsidRPr="00ED2482">
        <w:rPr>
          <w:sz w:val="12"/>
        </w:rPr>
        <w:t xml:space="preserve">, as well as other elaborations of the concept, like Giorgio Agamben’s thanatopolitics </w:t>
      </w:r>
      <w:r w:rsidRPr="00ED2482">
        <w:rPr>
          <w:rStyle w:val="StyleUnderline"/>
        </w:rPr>
        <w:t>and</w:t>
      </w:r>
      <w:r w:rsidRPr="00ED2482">
        <w:rPr>
          <w:sz w:val="12"/>
        </w:rPr>
        <w:t xml:space="preserve"> Achille Mbembe’s </w:t>
      </w:r>
      <w:r w:rsidRPr="00ED2482">
        <w:rPr>
          <w:rStyle w:val="StyleUnderline"/>
        </w:rPr>
        <w:t>necropolitics</w:t>
      </w:r>
      <w:r w:rsidRPr="00ED2482">
        <w:rPr>
          <w:sz w:val="12"/>
        </w:rPr>
        <w:t>.22 As I argue over the course of this section, there are affinities between extinctiopolitics and biopolitics. Yet, extinctiopolitics</w:t>
      </w:r>
      <w:r w:rsidRPr="00833627">
        <w:rPr>
          <w:sz w:val="12"/>
        </w:rPr>
        <w:t xml:space="preserve"> is distinctive. In particular, </w:t>
      </w:r>
      <w:r w:rsidRPr="008C4EF8">
        <w:rPr>
          <w:rStyle w:val="StyleUnderline"/>
        </w:rPr>
        <w:t>the temporality of extinctiopolitics alters the conventional features of biopolitics in important ways</w:t>
      </w:r>
      <w:r w:rsidRPr="00833627">
        <w:rPr>
          <w:sz w:val="12"/>
        </w:rPr>
        <w:t xml:space="preserve">. As is well known, for Foucault, the subject of biopolitics is the population as a whole; it focuses on ‘man-as-species’ (Society Must be Defended, p243). </w:t>
      </w:r>
      <w:r w:rsidRPr="008C4EF8">
        <w:rPr>
          <w:rStyle w:val="StyleUnderline"/>
        </w:rPr>
        <w:t xml:space="preserve">Biopolitics is </w:t>
      </w:r>
      <w:r w:rsidRPr="00833627">
        <w:rPr>
          <w:rStyle w:val="StyleUnderline"/>
          <w:highlight w:val="green"/>
        </w:rPr>
        <w:t>concerned with</w:t>
      </w:r>
      <w:r w:rsidRPr="008C4EF8">
        <w:rPr>
          <w:rStyle w:val="StyleUnderline"/>
        </w:rPr>
        <w:t xml:space="preserve"> </w:t>
      </w:r>
      <w:r w:rsidRPr="00833627">
        <w:rPr>
          <w:rStyle w:val="StyleUnderline"/>
          <w:highlight w:val="green"/>
        </w:rPr>
        <w:t>measuring and aggregating life at the level of the mass of people</w:t>
      </w:r>
      <w:r w:rsidRPr="008C4EF8">
        <w:rPr>
          <w:rStyle w:val="StyleUnderline"/>
        </w:rPr>
        <w:t xml:space="preserve">, hence its interest in controlling rates of births and deaths, regulating morbidity and disease, </w:t>
      </w:r>
      <w:r w:rsidRPr="00833627">
        <w:rPr>
          <w:rStyle w:val="StyleUnderline"/>
          <w:highlight w:val="green"/>
        </w:rPr>
        <w:t xml:space="preserve">and </w:t>
      </w:r>
      <w:r w:rsidRPr="00833627">
        <w:rPr>
          <w:rStyle w:val="Emphasis"/>
          <w:highlight w:val="green"/>
        </w:rPr>
        <w:t>optimising life expectancy</w:t>
      </w:r>
      <w:r w:rsidRPr="008C4EF8">
        <w:rPr>
          <w:rStyle w:val="Emphasis"/>
        </w:rPr>
        <w:t>.</w:t>
      </w:r>
      <w:r w:rsidRPr="00833627">
        <w:rPr>
          <w:sz w:val="12"/>
        </w:rPr>
        <w:t xml:space="preserve"> In a similar fashion, extinctiopolitics takes as its subject the human species; </w:t>
      </w:r>
      <w:r w:rsidRPr="00833627">
        <w:rPr>
          <w:rStyle w:val="Emphasis"/>
          <w:highlight w:val="green"/>
        </w:rPr>
        <w:t>the task is to defend the population from collective risks.</w:t>
      </w:r>
      <w:r w:rsidRPr="008C4EF8">
        <w:rPr>
          <w:rStyle w:val="Emphasis"/>
        </w:rPr>
        <w:t xml:space="preserve"> </w:t>
      </w:r>
      <w:r w:rsidRPr="00833627">
        <w:rPr>
          <w:sz w:val="12"/>
        </w:rPr>
        <w:t xml:space="preserve">However, </w:t>
      </w:r>
      <w:r w:rsidRPr="00833627">
        <w:rPr>
          <w:rStyle w:val="StyleUnderline"/>
          <w:highlight w:val="green"/>
        </w:rPr>
        <w:t>the subject</w:t>
      </w:r>
      <w:r w:rsidRPr="00833627">
        <w:rPr>
          <w:sz w:val="12"/>
        </w:rPr>
        <w:t xml:space="preserve"> of extinctiopolitics </w:t>
      </w:r>
      <w:r w:rsidRPr="00833627">
        <w:rPr>
          <w:rStyle w:val="StyleUnderline"/>
          <w:highlight w:val="green"/>
        </w:rPr>
        <w:t>is the species not only in the present but also in the future</w:t>
      </w:r>
      <w:r w:rsidRPr="008C4EF8">
        <w:rPr>
          <w:rStyle w:val="StyleUnderline"/>
        </w:rPr>
        <w:t>.</w:t>
      </w:r>
      <w:r w:rsidRPr="00833627">
        <w:rPr>
          <w:sz w:val="12"/>
        </w:rPr>
        <w:t xml:space="preserve"> For existential risk studies, the primary reason why extinction should be avoided is not because an event like a nuclear war would inflict suffering on actually existing people. Instead, </w:t>
      </w:r>
      <w:r w:rsidRPr="008C4EF8">
        <w:rPr>
          <w:rStyle w:val="StyleUnderline"/>
        </w:rPr>
        <w:t xml:space="preserve">the concern is about the loss of future potential; if humanity is annihilated, billions upon billions of possible lives will cease to </w:t>
      </w:r>
      <w:r w:rsidRPr="00833627">
        <w:rPr>
          <w:rStyle w:val="StyleUnderline"/>
        </w:rPr>
        <w:t>occur</w:t>
      </w:r>
      <w:r w:rsidRPr="00833627">
        <w:rPr>
          <w:sz w:val="12"/>
        </w:rPr>
        <w:t xml:space="preserve">. Both Bostrom and Ord draw on an example </w:t>
      </w:r>
      <w:r w:rsidRPr="00DB07F4">
        <w:rPr>
          <w:sz w:val="12"/>
        </w:rPr>
        <w:t xml:space="preserve">proposed by the philosopher Derek Parfit to illustrate this point (Existential Risk, p17; The Precipice, pp27-28). </w:t>
      </w:r>
      <w:r w:rsidRPr="00DB07F4">
        <w:rPr>
          <w:rStyle w:val="StyleUnderline"/>
        </w:rPr>
        <w:t>Parfit encourages us to think about two possible outcomes of a nuclear war: one that kills 99 per cent of the population and another that kills 100 percent of the population</w:t>
      </w:r>
      <w:r w:rsidRPr="00DB07F4">
        <w:rPr>
          <w:sz w:val="12"/>
        </w:rPr>
        <w:t xml:space="preserve">. On Parfit’s account, </w:t>
      </w:r>
      <w:r w:rsidRPr="00DB07F4">
        <w:rPr>
          <w:rStyle w:val="StyleUnderline"/>
        </w:rPr>
        <w:t>the second outcome is not merely a ‘tiny fraction’ worse than the first outcome.23 Rather, there is a qualitative difference between the two, with the first outcome offering humanity the possibility of recovery in the way that the sec</w:t>
      </w:r>
      <w:r w:rsidRPr="008C4EF8">
        <w:rPr>
          <w:rStyle w:val="StyleUnderline"/>
        </w:rPr>
        <w:t>ond does not.</w:t>
      </w:r>
      <w:r w:rsidRPr="00833627">
        <w:rPr>
          <w:sz w:val="12"/>
        </w:rPr>
        <w:t xml:space="preserve"> As </w:t>
      </w:r>
      <w:r w:rsidRPr="00833627">
        <w:rPr>
          <w:rStyle w:val="StyleUnderline"/>
          <w:highlight w:val="green"/>
        </w:rPr>
        <w:t>this</w:t>
      </w:r>
      <w:r w:rsidRPr="00833627">
        <w:rPr>
          <w:rStyle w:val="StyleUnderline"/>
        </w:rPr>
        <w:t xml:space="preserve"> example </w:t>
      </w:r>
      <w:r w:rsidRPr="00833627">
        <w:rPr>
          <w:rStyle w:val="StyleUnderline"/>
          <w:highlight w:val="green"/>
        </w:rPr>
        <w:t>suggests</w:t>
      </w:r>
      <w:r w:rsidRPr="00833627">
        <w:rPr>
          <w:rStyle w:val="StyleUnderline"/>
        </w:rPr>
        <w:t>,</w:t>
      </w:r>
      <w:r w:rsidRPr="00833627">
        <w:rPr>
          <w:sz w:val="12"/>
        </w:rPr>
        <w:t xml:space="preserve"> </w:t>
      </w:r>
      <w:r w:rsidRPr="008C4EF8">
        <w:rPr>
          <w:rStyle w:val="Emphasis"/>
        </w:rPr>
        <w:t xml:space="preserve">existential </w:t>
      </w:r>
      <w:r w:rsidRPr="00833627">
        <w:rPr>
          <w:rStyle w:val="Emphasis"/>
          <w:highlight w:val="green"/>
        </w:rPr>
        <w:t>risk focuses on</w:t>
      </w:r>
      <w:r w:rsidRPr="008C4EF8">
        <w:rPr>
          <w:rStyle w:val="Emphasis"/>
        </w:rPr>
        <w:t xml:space="preserve"> the </w:t>
      </w:r>
      <w:r w:rsidRPr="00833627">
        <w:rPr>
          <w:rStyle w:val="Emphasis"/>
          <w:highlight w:val="green"/>
        </w:rPr>
        <w:t>survival of the species</w:t>
      </w:r>
      <w:r w:rsidRPr="008C4EF8">
        <w:rPr>
          <w:rStyle w:val="Emphasis"/>
        </w:rPr>
        <w:t xml:space="preserve"> as such</w:t>
      </w:r>
      <w:r w:rsidRPr="00833627">
        <w:rPr>
          <w:sz w:val="12"/>
        </w:rPr>
        <w:t xml:space="preserve">. Extinctiopolitics is </w:t>
      </w:r>
      <w:r w:rsidRPr="008C4EF8">
        <w:rPr>
          <w:rStyle w:val="Emphasis"/>
        </w:rPr>
        <w:t xml:space="preserve">centrally concerned with </w:t>
      </w:r>
      <w:r w:rsidRPr="00BF5CE2">
        <w:rPr>
          <w:rStyle w:val="Emphasis"/>
          <w:highlight w:val="green"/>
        </w:rPr>
        <w:t xml:space="preserve">safeguarding </w:t>
      </w:r>
      <w:r w:rsidRPr="00BF5CE2">
        <w:rPr>
          <w:rStyle w:val="StyleUnderline"/>
          <w:highlight w:val="green"/>
        </w:rPr>
        <w:t>the</w:t>
      </w:r>
      <w:r w:rsidRPr="00BF5CE2">
        <w:rPr>
          <w:rStyle w:val="Emphasis"/>
          <w:highlight w:val="green"/>
        </w:rPr>
        <w:t xml:space="preserve"> potential </w:t>
      </w:r>
      <w:r w:rsidRPr="00833627">
        <w:rPr>
          <w:rStyle w:val="Emphasis"/>
          <w:highlight w:val="green"/>
        </w:rPr>
        <w:t xml:space="preserve">for </w:t>
      </w:r>
      <w:r w:rsidRPr="00833627">
        <w:rPr>
          <w:rStyle w:val="StyleUnderline"/>
          <w:highlight w:val="green"/>
        </w:rPr>
        <w:t>billions of</w:t>
      </w:r>
      <w:r w:rsidRPr="00833627">
        <w:rPr>
          <w:sz w:val="12"/>
          <w:highlight w:val="green"/>
        </w:rPr>
        <w:t xml:space="preserve"> </w:t>
      </w:r>
      <w:r w:rsidRPr="00833627">
        <w:rPr>
          <w:rStyle w:val="Emphasis"/>
          <w:highlight w:val="green"/>
        </w:rPr>
        <w:t>future</w:t>
      </w:r>
      <w:r w:rsidRPr="008C4EF8">
        <w:rPr>
          <w:rStyle w:val="Emphasis"/>
        </w:rPr>
        <w:t xml:space="preserve"> human </w:t>
      </w:r>
      <w:r w:rsidRPr="00833627">
        <w:rPr>
          <w:rStyle w:val="Emphasis"/>
          <w:highlight w:val="green"/>
        </w:rPr>
        <w:t>lives</w:t>
      </w:r>
      <w:r w:rsidRPr="00833627">
        <w:rPr>
          <w:sz w:val="12"/>
        </w:rPr>
        <w:t xml:space="preserve">. The futural perspective of extinctiopolitics has several important effects. Biopolitics is defined by a utilitarian logic; it is </w:t>
      </w:r>
      <w:r w:rsidRPr="0010280E">
        <w:rPr>
          <w:rStyle w:val="StyleUnderline"/>
        </w:rPr>
        <w:t xml:space="preserve">concerned with </w:t>
      </w:r>
      <w:r w:rsidRPr="00BF5CE2">
        <w:rPr>
          <w:rStyle w:val="Emphasis"/>
          <w:highlight w:val="green"/>
        </w:rPr>
        <w:t>maximising utility across the population</w:t>
      </w:r>
      <w:r w:rsidRPr="0010280E">
        <w:rPr>
          <w:rStyle w:val="StyleUnderline"/>
        </w:rPr>
        <w:t xml:space="preserve">. </w:t>
      </w:r>
      <w:r w:rsidRPr="00833627">
        <w:rPr>
          <w:sz w:val="12"/>
        </w:rPr>
        <w:t xml:space="preserve">Indeed, on the biopolitical perspective, </w:t>
      </w:r>
      <w:r w:rsidRPr="00833627">
        <w:rPr>
          <w:rStyle w:val="Emphasis"/>
          <w:highlight w:val="green"/>
        </w:rPr>
        <w:t>the vigour of one part of the population may be dependent on the demise of another part</w:t>
      </w:r>
      <w:r w:rsidRPr="0010280E">
        <w:rPr>
          <w:rStyle w:val="Emphasis"/>
        </w:rPr>
        <w:t xml:space="preserve"> of the population.</w:t>
      </w:r>
      <w:r w:rsidRPr="00833627">
        <w:rPr>
          <w:sz w:val="12"/>
        </w:rPr>
        <w:t xml:space="preserve"> As Mbembe emphasises, biopolitics involves </w:t>
      </w:r>
      <w:r w:rsidRPr="0010280E">
        <w:rPr>
          <w:rStyle w:val="Emphasis"/>
        </w:rPr>
        <w:t xml:space="preserve">the zero-sum game of deciding ‘who is able to live and who must die’; </w:t>
      </w:r>
      <w:r w:rsidRPr="0088379A">
        <w:rPr>
          <w:rStyle w:val="Emphasis"/>
          <w:highlight w:val="green"/>
        </w:rPr>
        <w:t xml:space="preserve">certain </w:t>
      </w:r>
      <w:r w:rsidRPr="00833627">
        <w:rPr>
          <w:rStyle w:val="Emphasis"/>
          <w:highlight w:val="green"/>
        </w:rPr>
        <w:t xml:space="preserve">people die </w:t>
      </w:r>
      <w:r w:rsidRPr="00347C26">
        <w:rPr>
          <w:rStyle w:val="StyleUnderline"/>
        </w:rPr>
        <w:t>(especially those in the ‘death-worlds’ of the colonial zone)</w:t>
      </w:r>
      <w:r w:rsidRPr="00833627">
        <w:rPr>
          <w:rStyle w:val="Emphasis"/>
          <w:highlight w:val="green"/>
        </w:rPr>
        <w:t xml:space="preserve"> so that others survive</w:t>
      </w:r>
      <w:r w:rsidRPr="00833627">
        <w:rPr>
          <w:sz w:val="12"/>
        </w:rPr>
        <w:t xml:space="preserve"> (Necropolitics, p66, p92, emphasis in original). </w:t>
      </w:r>
      <w:r w:rsidRPr="0010280E">
        <w:rPr>
          <w:rStyle w:val="StyleUnderline"/>
        </w:rPr>
        <w:t xml:space="preserve">This logic is </w:t>
      </w:r>
      <w:r w:rsidRPr="00833627">
        <w:rPr>
          <w:rStyle w:val="StyleUnderline"/>
          <w:highlight w:val="green"/>
        </w:rPr>
        <w:t>mirrored by extinctiopolitics, which</w:t>
      </w:r>
      <w:r w:rsidRPr="0010280E">
        <w:rPr>
          <w:rStyle w:val="StyleUnderline"/>
        </w:rPr>
        <w:t xml:space="preserve"> </w:t>
      </w:r>
      <w:r w:rsidRPr="00833627">
        <w:rPr>
          <w:rStyle w:val="StyleUnderline"/>
          <w:highlight w:val="green"/>
        </w:rPr>
        <w:t>is also concerned with maximising utility</w:t>
      </w:r>
      <w:r w:rsidRPr="00833627">
        <w:rPr>
          <w:rStyle w:val="Emphasis"/>
          <w:highlight w:val="green"/>
        </w:rPr>
        <w:t>.</w:t>
      </w:r>
      <w:r w:rsidRPr="0010280E">
        <w:rPr>
          <w:rStyle w:val="Emphasis"/>
        </w:rPr>
        <w:t xml:space="preserve"> However, on the ‘total utilitarianism’ advanced by the field, utility refers not only to people alive in the present but all the potential humans </w:t>
      </w:r>
      <w:r w:rsidRPr="00D93276">
        <w:rPr>
          <w:rStyle w:val="Emphasis"/>
        </w:rPr>
        <w:t>that could be alive at any point in time</w:t>
      </w:r>
      <w:r w:rsidRPr="00D93276">
        <w:rPr>
          <w:sz w:val="12"/>
        </w:rPr>
        <w:t xml:space="preserve">.24 As Ord puts it: ‘Our lives matter just as much as those lived thousands of years ago, or those a thousand years hence’ (The Precipice, p28). </w:t>
      </w:r>
      <w:r w:rsidRPr="00D93276">
        <w:rPr>
          <w:rStyle w:val="StyleUnderline"/>
        </w:rPr>
        <w:t>The biopolitical task</w:t>
      </w:r>
      <w:r w:rsidRPr="00D93276">
        <w:rPr>
          <w:sz w:val="12"/>
        </w:rPr>
        <w:t xml:space="preserve"> of ‘distributing the living in the domain of value and utility’ is thus understood in terms of the life of the species as a whole. 25 </w:t>
      </w:r>
      <w:r w:rsidRPr="00D93276">
        <w:rPr>
          <w:rStyle w:val="StyleUnderline"/>
        </w:rPr>
        <w:t xml:space="preserve">The expansive utilitarianism of existential risk studies means that </w:t>
      </w:r>
      <w:r w:rsidRPr="00D93276">
        <w:rPr>
          <w:rStyle w:val="Emphasis"/>
        </w:rPr>
        <w:t>the future has a strong hold on the present.</w:t>
      </w:r>
      <w:r w:rsidRPr="00D93276">
        <w:rPr>
          <w:sz w:val="12"/>
        </w:rPr>
        <w:t xml:space="preserve"> Given that a minuscule portion of the total number of humans that could exist are alive in the present moment, </w:t>
      </w:r>
      <w:r w:rsidRPr="00D93276">
        <w:rPr>
          <w:rStyle w:val="StyleUnderline"/>
        </w:rPr>
        <w:t>there is a strong compulsion to act in favour of the many billions of potential people that may exist in the future</w:t>
      </w:r>
      <w:r w:rsidRPr="00D93276">
        <w:rPr>
          <w:sz w:val="12"/>
        </w:rPr>
        <w:t xml:space="preserve">. Reducing existential risk is an especially pressing priority; if humanity is extinguished, these potential lives will be lost forever. </w:t>
      </w:r>
      <w:r w:rsidRPr="00D93276">
        <w:rPr>
          <w:rStyle w:val="StyleUnderline"/>
        </w:rPr>
        <w:t>The infinite mass of hypothetical people in the future is granted a privileged position over</w:t>
      </w:r>
      <w:r w:rsidRPr="00D93276">
        <w:rPr>
          <w:sz w:val="12"/>
        </w:rPr>
        <w:t xml:space="preserve"> the handful of </w:t>
      </w:r>
      <w:r w:rsidRPr="00D93276">
        <w:rPr>
          <w:rStyle w:val="StyleUnderline"/>
        </w:rPr>
        <w:t>people</w:t>
      </w:r>
      <w:r w:rsidRPr="00D93276">
        <w:rPr>
          <w:sz w:val="12"/>
        </w:rPr>
        <w:t xml:space="preserve"> alive </w:t>
      </w:r>
      <w:r w:rsidRPr="00D93276">
        <w:rPr>
          <w:rStyle w:val="StyleUnderline"/>
        </w:rPr>
        <w:t>in the present</w:t>
      </w:r>
      <w:r w:rsidRPr="00D93276">
        <w:rPr>
          <w:sz w:val="12"/>
        </w:rPr>
        <w:t xml:space="preserve">. </w:t>
      </w:r>
      <w:r w:rsidRPr="00D93276">
        <w:rPr>
          <w:rStyle w:val="StyleUnderline"/>
        </w:rPr>
        <w:t>Extinctiopolitics involves</w:t>
      </w:r>
      <w:r w:rsidRPr="00D93276">
        <w:rPr>
          <w:sz w:val="12"/>
        </w:rPr>
        <w:t xml:space="preserve"> </w:t>
      </w:r>
      <w:r w:rsidRPr="00D93276">
        <w:rPr>
          <w:rStyle w:val="Emphasis"/>
        </w:rPr>
        <w:t xml:space="preserve">the ‘power to foster life or disallow it to the point of death’; </w:t>
      </w:r>
      <w:r w:rsidRPr="008E40F2">
        <w:rPr>
          <w:rStyle w:val="Emphasis"/>
          <w:highlight w:val="green"/>
        </w:rPr>
        <w:t>people in the present may be sacrificed to increase utility in the future</w:t>
      </w:r>
      <w:r w:rsidRPr="00833627">
        <w:rPr>
          <w:sz w:val="12"/>
        </w:rPr>
        <w:t xml:space="preserve"> (History of Sexuality, p138). 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there is a quasi-eugenicist current to this image of the future, with Bostrom declaring in his transhumanist ‘Letter from Utopia’ (2008) that humanity will be substantially different at an ontological level in the future.27 For instance, Bostrom predicts that, in his utopia, life expectancy will be greater than 500 years and the majority of the population will have ‘cognitive capacities more than two standard deviations above the current human maximum’.28 The future of humanity, as imagined by Bostrom and Ord, is dependent on one very important factor: avoiding existential </w:t>
      </w:r>
      <w:r w:rsidRPr="00287FD4">
        <w:rPr>
          <w:rStyle w:val="StyleUnderline"/>
        </w:rPr>
        <w:t xml:space="preserve">risk. If the normative dimension of existential risk studies involves a utilitarian claim about future possibility, then </w:t>
      </w:r>
      <w:r w:rsidRPr="000F3911">
        <w:rPr>
          <w:rStyle w:val="Emphasis"/>
        </w:rPr>
        <w:t>the empirical dimension of the field focuses on identifying the most salient dangers to humanity</w:t>
      </w:r>
      <w:r w:rsidRPr="000F3911">
        <w:rPr>
          <w:sz w:val="12"/>
        </w:rPr>
        <w:t xml:space="preserve">. Like biopolitics more generally, </w:t>
      </w:r>
      <w:r w:rsidRPr="000F3911">
        <w:rPr>
          <w:rStyle w:val="Emphasis"/>
          <w:highlight w:val="green"/>
        </w:rPr>
        <w:t xml:space="preserve">there is a keen </w:t>
      </w:r>
      <w:r w:rsidRPr="008E40F2">
        <w:rPr>
          <w:rStyle w:val="Emphasis"/>
          <w:highlight w:val="green"/>
        </w:rPr>
        <w:t>concern with</w:t>
      </w:r>
      <w:r w:rsidRPr="00287FD4">
        <w:rPr>
          <w:rStyle w:val="Emphasis"/>
        </w:rPr>
        <w:t xml:space="preserve"> the </w:t>
      </w:r>
      <w:r w:rsidRPr="008E40F2">
        <w:rPr>
          <w:rStyle w:val="Emphasis"/>
          <w:highlight w:val="green"/>
        </w:rPr>
        <w:t>calculation of risk</w:t>
      </w:r>
      <w:r w:rsidRPr="00833627">
        <w:rPr>
          <w:sz w:val="12"/>
        </w:rPr>
        <w:t xml:space="preserve"> in </w:t>
      </w:r>
      <w:r w:rsidRPr="000F3911">
        <w:rPr>
          <w:sz w:val="12"/>
        </w:rPr>
        <w:t xml:space="preserve">extinctiopolitics; both are </w:t>
      </w:r>
      <w:r w:rsidRPr="000F3911">
        <w:rPr>
          <w:rStyle w:val="StyleUnderline"/>
        </w:rPr>
        <w:t>concerned with aggregating information to predict, prevent, and regulate threats</w:t>
      </w:r>
      <w:r w:rsidRPr="000F3911">
        <w:rPr>
          <w:sz w:val="12"/>
        </w:rPr>
        <w:t xml:space="preserve">.29 Indeed, </w:t>
      </w:r>
      <w:r w:rsidRPr="000F3911">
        <w:rPr>
          <w:rStyle w:val="StyleUnderline"/>
        </w:rPr>
        <w:t xml:space="preserve">there is </w:t>
      </w:r>
      <w:r w:rsidRPr="008E40F2">
        <w:rPr>
          <w:rStyle w:val="Emphasis"/>
          <w:highlight w:val="green"/>
        </w:rPr>
        <w:t>an actuarial logic</w:t>
      </w:r>
      <w:r w:rsidRPr="00287FD4">
        <w:rPr>
          <w:rStyle w:val="StyleUnderline"/>
        </w:rPr>
        <w:t xml:space="preserve"> to existential risk studies; thinkers associated with the movement </w:t>
      </w:r>
      <w:r w:rsidRPr="000F3911">
        <w:rPr>
          <w:rStyle w:val="StyleUnderline"/>
        </w:rPr>
        <w:t xml:space="preserve">are concerned with </w:t>
      </w:r>
      <w:r w:rsidRPr="000F3911">
        <w:rPr>
          <w:rStyle w:val="Emphasis"/>
          <w:highlight w:val="green"/>
        </w:rPr>
        <w:t>assigning probabilities</w:t>
      </w:r>
      <w:r w:rsidRPr="00454EBA">
        <w:rPr>
          <w:rStyle w:val="StyleUnderline"/>
        </w:rPr>
        <w:t xml:space="preserve"> </w:t>
      </w:r>
      <w:r w:rsidRPr="000F3911">
        <w:rPr>
          <w:rStyle w:val="StyleUnderline"/>
        </w:rPr>
        <w:t xml:space="preserve">to catastrophic dangers. </w:t>
      </w:r>
      <w:r w:rsidRPr="000F3911">
        <w:rPr>
          <w:sz w:val="12"/>
        </w:rPr>
        <w:t>Yet</w:t>
      </w:r>
      <w:r w:rsidRPr="00833627">
        <w:rPr>
          <w:sz w:val="12"/>
        </w:rPr>
        <w:t xml:space="preserve">, certain risks are much more significant than others for extinctiopolitics. </w:t>
      </w:r>
      <w:r w:rsidRPr="008E40F2">
        <w:rPr>
          <w:rStyle w:val="StyleUnderline"/>
          <w:highlight w:val="green"/>
        </w:rPr>
        <w:t xml:space="preserve">The risks that </w:t>
      </w:r>
      <w:r w:rsidRPr="000F3911">
        <w:rPr>
          <w:rStyle w:val="StyleUnderline"/>
        </w:rPr>
        <w:t xml:space="preserve">ultimately </w:t>
      </w:r>
      <w:r w:rsidRPr="008E40F2">
        <w:rPr>
          <w:rStyle w:val="StyleUnderline"/>
          <w:highlight w:val="green"/>
        </w:rPr>
        <w:t xml:space="preserve">matter are </w:t>
      </w:r>
      <w:r w:rsidRPr="000F3911">
        <w:rPr>
          <w:rStyle w:val="StyleUnderline"/>
        </w:rPr>
        <w:t>those that have the capacity to cause human</w:t>
      </w:r>
      <w:r w:rsidRPr="00577EE7">
        <w:rPr>
          <w:rStyle w:val="StyleUnderline"/>
        </w:rPr>
        <w:t xml:space="preserve"> </w:t>
      </w:r>
      <w:r w:rsidRPr="008E40F2">
        <w:rPr>
          <w:rStyle w:val="Emphasis"/>
          <w:highlight w:val="green"/>
        </w:rPr>
        <w:t>extinction</w:t>
      </w:r>
      <w:r w:rsidRPr="003220BE">
        <w:rPr>
          <w:rStyle w:val="StyleUnderline"/>
        </w:rPr>
        <w:t xml:space="preserve"> </w:t>
      </w:r>
      <w:r w:rsidRPr="00833627">
        <w:rPr>
          <w:sz w:val="12"/>
        </w:rPr>
        <w:t xml:space="preserve">or, at very least, ‘permanently and drastically curtail [humanity’s] potential’ in the long-term future (Existential Risk, p5). In Bostrom’s words, </w:t>
      </w:r>
      <w:r w:rsidRPr="008E40F2">
        <w:rPr>
          <w:rStyle w:val="StyleUnderline"/>
          <w:highlight w:val="green"/>
        </w:rPr>
        <w:t xml:space="preserve">other forms of risk, </w:t>
      </w:r>
      <w:r w:rsidRPr="008E40F2">
        <w:rPr>
          <w:rStyle w:val="Emphasis"/>
          <w:highlight w:val="green"/>
        </w:rPr>
        <w:t>even ones that cause widespread death such as genocides</w:t>
      </w:r>
      <w:r w:rsidRPr="003220BE">
        <w:rPr>
          <w:rStyle w:val="Emphasis"/>
        </w:rPr>
        <w:t xml:space="preserve"> </w:t>
      </w:r>
      <w:r w:rsidRPr="00833627">
        <w:rPr>
          <w:sz w:val="12"/>
        </w:rPr>
        <w:t>and world wars,</w:t>
      </w:r>
      <w:r w:rsidRPr="003220BE">
        <w:rPr>
          <w:rStyle w:val="StyleUnderline"/>
        </w:rPr>
        <w:t xml:space="preserve"> </w:t>
      </w:r>
      <w:r w:rsidRPr="008E40F2">
        <w:rPr>
          <w:rStyle w:val="StyleUnderline"/>
          <w:highlight w:val="green"/>
        </w:rPr>
        <w:t>are ‘mere ripples on the surface of the great sea of life</w:t>
      </w:r>
      <w:r w:rsidRPr="003220BE">
        <w:rPr>
          <w:rStyle w:val="StyleUnderline"/>
        </w:rPr>
        <w:t>’</w:t>
      </w:r>
      <w:r w:rsidRPr="00833627">
        <w:rPr>
          <w:sz w:val="12"/>
        </w:rPr>
        <w:t xml:space="preserve"> (Existential Risk, p5). </w:t>
      </w:r>
      <w:r w:rsidRPr="003220BE">
        <w:rPr>
          <w:rStyle w:val="StyleUnderline"/>
        </w:rPr>
        <w:t>The task of existential risk studies is to calculate a probability for an unprecedented event: human extinction.</w:t>
      </w:r>
      <w:r w:rsidRPr="00833627">
        <w:rPr>
          <w:sz w:val="12"/>
        </w:rPr>
        <w:t xml:space="preserve"> </w:t>
      </w:r>
      <w:r w:rsidRPr="00D33F1F">
        <w:rPr>
          <w:rStyle w:val="StyleUnderline"/>
        </w:rPr>
        <w:t>There is a general agreement in the field that it is unlikely that human extinction will occur from natural causes</w:t>
      </w:r>
      <w:r w:rsidRPr="00833627">
        <w:rPr>
          <w:sz w:val="12"/>
        </w:rPr>
        <w:t xml:space="preserve"> (see The Precipice, p92). </w:t>
      </w:r>
      <w:r w:rsidRPr="00D33F1F">
        <w:rPr>
          <w:rStyle w:val="StyleUnderline"/>
        </w:rPr>
        <w:t>Instead, the real threats stem from the actions of humanity itself.</w:t>
      </w:r>
      <w:r w:rsidRPr="00833627">
        <w:rPr>
          <w:sz w:val="12"/>
        </w:rPr>
        <w:t xml:space="preserve">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 </w:t>
      </w:r>
      <w:r w:rsidRPr="008E40F2">
        <w:rPr>
          <w:rStyle w:val="StyleUnderline"/>
        </w:rPr>
        <w:t xml:space="preserve">With this attempt </w:t>
      </w:r>
      <w:r w:rsidRPr="008E40F2">
        <w:rPr>
          <w:rStyle w:val="StyleUnderline"/>
          <w:highlight w:val="green"/>
        </w:rPr>
        <w:t xml:space="preserve">to calculate the probabilities of </w:t>
      </w:r>
      <w:r w:rsidRPr="008E40F2">
        <w:rPr>
          <w:rStyle w:val="StyleUnderline"/>
        </w:rPr>
        <w:t xml:space="preserve">different </w:t>
      </w:r>
      <w:r w:rsidRPr="008E40F2">
        <w:rPr>
          <w:rStyle w:val="StyleUnderline"/>
          <w:highlight w:val="green"/>
        </w:rPr>
        <w:t>risks and arrange them in a hierarchy of seriousness</w:t>
      </w:r>
      <w:r w:rsidRPr="00D33F1F">
        <w:rPr>
          <w:rStyle w:val="StyleUnderline"/>
        </w:rPr>
        <w:t xml:space="preserve">, existential risk studies </w:t>
      </w:r>
      <w:r w:rsidRPr="008E40F2">
        <w:rPr>
          <w:rStyle w:val="StyleUnderline"/>
          <w:highlight w:val="green"/>
        </w:rPr>
        <w:t>reinforces</w:t>
      </w:r>
      <w:r w:rsidRPr="00833627">
        <w:rPr>
          <w:sz w:val="12"/>
        </w:rPr>
        <w:t xml:space="preserve"> what Frédéric Neyrat calls </w:t>
      </w:r>
      <w:r w:rsidRPr="00D33F1F">
        <w:rPr>
          <w:rStyle w:val="StyleUnderline"/>
        </w:rPr>
        <w:t>the ‘</w:t>
      </w:r>
      <w:r w:rsidRPr="008E40F2">
        <w:rPr>
          <w:rStyle w:val="StyleUnderline"/>
          <w:highlight w:val="green"/>
        </w:rPr>
        <w:t>biopolitics of catastrophe’</w:t>
      </w:r>
      <w:r w:rsidRPr="00D33F1F">
        <w:rPr>
          <w:rStyle w:val="StyleUnderline"/>
        </w:rPr>
        <w:t>, the distinctive mark of which is a ‘continuous exacerbated sensitivity to risks’.</w:t>
      </w:r>
      <w:r w:rsidRPr="00833627">
        <w:rPr>
          <w:sz w:val="12"/>
        </w:rPr>
        <w:t xml:space="preserve">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w:t>
      </w:r>
      <w:r w:rsidRPr="00D33F1F">
        <w:rPr>
          <w:rStyle w:val="Emphasis"/>
        </w:rPr>
        <w:t>Either humanity will succeed in mastering the instruments of annihilation</w:t>
      </w:r>
      <w:r w:rsidRPr="00833627">
        <w:rPr>
          <w:sz w:val="12"/>
        </w:rPr>
        <w:t xml:space="preserve"> and build a transhuman future </w:t>
      </w:r>
      <w:r w:rsidRPr="00D33F1F">
        <w:rPr>
          <w:rStyle w:val="Emphasis"/>
        </w:rPr>
        <w:t>or it will succumb to them and lose this potential for paradise forever.</w:t>
      </w:r>
      <w:r w:rsidRPr="00833627">
        <w:rPr>
          <w:sz w:val="12"/>
        </w:rPr>
        <w:t xml:space="preserve"> Echoing Rosa Luxemburg’s famous declaration of socialism or barbarism, existential risk studies claims that the options are utopia or extinction. The </w:t>
      </w:r>
      <w:r w:rsidRPr="00D33F1F">
        <w:rPr>
          <w:rStyle w:val="StyleUnderline"/>
        </w:rPr>
        <w:t xml:space="preserve">starkness of </w:t>
      </w:r>
      <w:r w:rsidRPr="00E16EC4">
        <w:rPr>
          <w:rStyle w:val="StyleUnderline"/>
          <w:highlight w:val="green"/>
        </w:rPr>
        <w:t xml:space="preserve">this choice </w:t>
      </w:r>
      <w:r w:rsidRPr="00E16EC4">
        <w:rPr>
          <w:rStyle w:val="Emphasis"/>
          <w:highlight w:val="green"/>
        </w:rPr>
        <w:t>shapes</w:t>
      </w:r>
      <w:r w:rsidRPr="00D33F1F">
        <w:rPr>
          <w:rStyle w:val="StyleUnderline"/>
        </w:rPr>
        <w:t xml:space="preserve"> the </w:t>
      </w:r>
      <w:r w:rsidRPr="00E16EC4">
        <w:rPr>
          <w:rStyle w:val="Emphasis"/>
          <w:highlight w:val="green"/>
        </w:rPr>
        <w:t>concrete political changes advocated</w:t>
      </w:r>
      <w:r w:rsidRPr="00D33F1F">
        <w:rPr>
          <w:rStyle w:val="Emphasis"/>
        </w:rPr>
        <w:t xml:space="preserve"> </w:t>
      </w:r>
      <w:r w:rsidRPr="00D33F1F">
        <w:rPr>
          <w:rStyle w:val="StyleUnderline"/>
        </w:rPr>
        <w:t xml:space="preserve">by the field. </w:t>
      </w:r>
      <w:r w:rsidRPr="00833627">
        <w:rPr>
          <w:sz w:val="12"/>
        </w:rPr>
        <w:t xml:space="preserve">Many of the reforms advanced by scholars associated with existential risk are relatively constrained. In contrast to Luxemburg, preventing extinction and realising utopia will not require the fundamental transformation of social relations. Instead, they propose greater funding for bodies concerned with preventing global catastrophe. 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w:t>
      </w:r>
      <w:r w:rsidRPr="008637F9">
        <w:rPr>
          <w:rStyle w:val="StyleUnderline"/>
        </w:rPr>
        <w:t>These strategies are symptomatic of the emergent status of extinctiopolitics as a form of biopolitics.</w:t>
      </w:r>
      <w:r w:rsidRPr="00833627">
        <w:rPr>
          <w:sz w:val="12"/>
        </w:rPr>
        <w:t xml:space="preserve"> If biopolitics has resulted in the establishment of academic disciplines and government departments, the epistemological and institutional resources of extinctiopolitics are much more limited. 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 WHAT DOES EXTINCTIOPOLITICS DO? 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utilitarianism advanced by Bostrom and Ord appears to prioritise the survival of the human species over the wellbeing of actually existing people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3E4BE8">
        <w:rPr>
          <w:rStyle w:val="StyleUnderline"/>
          <w:highlight w:val="green"/>
        </w:rPr>
        <w:t>The</w:t>
      </w:r>
      <w:r w:rsidRPr="008637F9">
        <w:rPr>
          <w:rStyle w:val="StyleUnderline"/>
        </w:rPr>
        <w:t xml:space="preserve"> utilitarian </w:t>
      </w:r>
      <w:r w:rsidRPr="003E4BE8">
        <w:rPr>
          <w:rStyle w:val="StyleUnderline"/>
          <w:highlight w:val="green"/>
        </w:rPr>
        <w:t>logic</w:t>
      </w:r>
      <w:r w:rsidRPr="008637F9">
        <w:rPr>
          <w:rStyle w:val="StyleUnderline"/>
        </w:rPr>
        <w:t xml:space="preserve"> </w:t>
      </w:r>
      <w:r w:rsidRPr="003E4BE8">
        <w:rPr>
          <w:rStyle w:val="StyleUnderline"/>
        </w:rPr>
        <w:t>of</w:t>
      </w:r>
      <w:r w:rsidRPr="008637F9">
        <w:rPr>
          <w:rStyle w:val="StyleUnderline"/>
        </w:rPr>
        <w:t xml:space="preserve"> extinctiopolitics </w:t>
      </w:r>
      <w:r w:rsidRPr="003E4BE8">
        <w:rPr>
          <w:rStyle w:val="StyleUnderline"/>
        </w:rPr>
        <w:t>sidelines the suffering of actual people and, worse</w:t>
      </w:r>
      <w:r w:rsidRPr="00E16EC4">
        <w:rPr>
          <w:rStyle w:val="StyleUnderline"/>
        </w:rPr>
        <w:t xml:space="preserve">, </w:t>
      </w:r>
      <w:r w:rsidRPr="00E16EC4">
        <w:rPr>
          <w:rStyle w:val="Emphasis"/>
          <w:highlight w:val="green"/>
        </w:rPr>
        <w:t>could be used to justify inflicting suffering in the name of protecting the future of humanity</w:t>
      </w:r>
      <w:r w:rsidRPr="00833627">
        <w:rPr>
          <w:sz w:val="12"/>
        </w:rPr>
        <w:t xml:space="preserve"> (Calamity Theory, p24, p52).34 If it is the case that space colonisation is one of the best strategies for protecting the future of the species, any exploitation and oppression associated with initiatives like Musk’s SpaceX are legitimate; they are a small price to be paid for reducing existential risk. 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655B82">
        <w:rPr>
          <w:rStyle w:val="StyleUnderline"/>
        </w:rPr>
        <w:t>while there is a particular focus on the risks posed by technology, such as nuclear weapons</w:t>
      </w:r>
      <w:r w:rsidRPr="00655B82">
        <w:rPr>
          <w:sz w:val="12"/>
        </w:rPr>
        <w:t>, synthetic biology and artificial intelligence</w:t>
      </w:r>
      <w:r w:rsidRPr="00833627">
        <w:rPr>
          <w:sz w:val="12"/>
        </w:rPr>
        <w:t xml:space="preserve">, </w:t>
      </w:r>
      <w:r w:rsidRPr="00655B82">
        <w:rPr>
          <w:rStyle w:val="Emphasis"/>
        </w:rPr>
        <w:t>there is very little attention to the social and political structures that shape these technologies and how they are used.</w:t>
      </w:r>
      <w:r w:rsidRPr="00655B82">
        <w:rPr>
          <w:sz w:val="12"/>
        </w:rPr>
        <w:t>3</w:t>
      </w:r>
      <w:r w:rsidRPr="00833627">
        <w:rPr>
          <w:sz w:val="12"/>
        </w:rPr>
        <w:t xml:space="preserve">5 </w:t>
      </w:r>
      <w:r w:rsidRPr="00655B82">
        <w:rPr>
          <w:rStyle w:val="StyleUnderline"/>
          <w:highlight w:val="green"/>
        </w:rPr>
        <w:t>Systematic discussions</w:t>
      </w:r>
      <w:r w:rsidRPr="00833627">
        <w:rPr>
          <w:sz w:val="12"/>
        </w:rPr>
        <w:t xml:space="preserve"> of capitalism, colonialism, racism, patriarchy and so on </w:t>
      </w:r>
      <w:r w:rsidRPr="00655B82">
        <w:rPr>
          <w:rStyle w:val="StyleUnderline"/>
          <w:highlight w:val="green"/>
        </w:rPr>
        <w:t xml:space="preserve">are </w:t>
      </w:r>
      <w:r w:rsidRPr="00655B82">
        <w:rPr>
          <w:rStyle w:val="StyleUnderline"/>
        </w:rPr>
        <w:t xml:space="preserve">entirely </w:t>
      </w:r>
      <w:r w:rsidRPr="00655B82">
        <w:rPr>
          <w:rStyle w:val="StyleUnderline"/>
          <w:highlight w:val="green"/>
        </w:rPr>
        <w:t>absent</w:t>
      </w:r>
      <w:r w:rsidRPr="00833627">
        <w:rPr>
          <w:sz w:val="12"/>
        </w:rPr>
        <w:t xml:space="preserve"> in the writings of Bostrom and Ord. Moreover, </w:t>
      </w:r>
      <w:r w:rsidRPr="000F4057">
        <w:rPr>
          <w:rStyle w:val="StyleUnderline"/>
        </w:rPr>
        <w:t>the field obscures the differential effects of catastrophes; the</w:t>
      </w:r>
      <w:r w:rsidRPr="008637F9">
        <w:rPr>
          <w:rStyle w:val="StyleUnderline"/>
        </w:rPr>
        <w:t xml:space="preserve"> combined and </w:t>
      </w:r>
      <w:r w:rsidRPr="00B355DF">
        <w:rPr>
          <w:rStyle w:val="StyleUnderline"/>
          <w:highlight w:val="green"/>
        </w:rPr>
        <w:t>uneven consequences of extinction across space and time are flattened</w:t>
      </w:r>
      <w:r w:rsidRPr="00833627">
        <w:rPr>
          <w:sz w:val="12"/>
        </w:rPr>
        <w:t xml:space="preserve">. For instance, </w:t>
      </w:r>
      <w:r w:rsidRPr="00B355DF">
        <w:rPr>
          <w:rStyle w:val="Emphasis"/>
          <w:highlight w:val="green"/>
        </w:rPr>
        <w:t>there is no acknowledgement tha</w:t>
      </w:r>
      <w:r w:rsidRPr="008637F9">
        <w:rPr>
          <w:rStyle w:val="Emphasis"/>
        </w:rPr>
        <w:t xml:space="preserve">t, for many Indigenous peoples, </w:t>
      </w:r>
      <w:r w:rsidRPr="00B355DF">
        <w:rPr>
          <w:rStyle w:val="Emphasis"/>
          <w:highlight w:val="green"/>
        </w:rPr>
        <w:t xml:space="preserve">the end of the world </w:t>
      </w:r>
      <w:r w:rsidRPr="00B355DF">
        <w:rPr>
          <w:rStyle w:val="Emphasis"/>
        </w:rPr>
        <w:t>is not</w:t>
      </w:r>
      <w:r w:rsidRPr="008637F9">
        <w:rPr>
          <w:rStyle w:val="Emphasis"/>
        </w:rPr>
        <w:t xml:space="preserve"> something for the future but, instead, an event that </w:t>
      </w:r>
      <w:r w:rsidRPr="00B355DF">
        <w:rPr>
          <w:rStyle w:val="Emphasis"/>
          <w:highlight w:val="green"/>
        </w:rPr>
        <w:t>has already happened</w:t>
      </w:r>
      <w:r w:rsidRPr="00833627">
        <w:rPr>
          <w:sz w:val="12"/>
        </w:rPr>
        <w:t xml:space="preserve"> (I return to this point in the final section). 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w:t>
      </w:r>
      <w:r w:rsidRPr="008637F9">
        <w:rPr>
          <w:rStyle w:val="StyleUnderline"/>
        </w:rPr>
        <w:t>the utopian ambitions of the field may increase rather than reduce existential risk</w:t>
      </w:r>
      <w:r w:rsidRPr="00833627">
        <w:rPr>
          <w:sz w:val="12"/>
        </w:rPr>
        <w:t xml:space="preserve">.37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w:t>
      </w:r>
      <w:r w:rsidRPr="00B355DF">
        <w:rPr>
          <w:rStyle w:val="StyleUnderline"/>
          <w:highlight w:val="green"/>
        </w:rPr>
        <w:t xml:space="preserve">just as the social causes of catastrophe are obscured, </w:t>
      </w:r>
      <w:r w:rsidRPr="003F55F4">
        <w:rPr>
          <w:rStyle w:val="Emphasis"/>
          <w:highlight w:val="green"/>
        </w:rPr>
        <w:t>the social relations of the future</w:t>
      </w:r>
      <w:r w:rsidRPr="008637F9">
        <w:rPr>
          <w:rStyle w:val="StyleUnderline"/>
        </w:rPr>
        <w:t xml:space="preserve"> utopia are vaguely described; it appears that the future world of liberation will </w:t>
      </w:r>
      <w:r w:rsidRPr="003F55F4">
        <w:rPr>
          <w:rStyle w:val="Emphasis"/>
          <w:highlight w:val="green"/>
        </w:rPr>
        <w:t>leave the structures of the present untouched</w:t>
      </w:r>
      <w:r w:rsidRPr="008637F9">
        <w:rPr>
          <w:rStyle w:val="StyleUnderline"/>
        </w:rPr>
        <w:t>.</w:t>
      </w:r>
      <w:r w:rsidRPr="00833627">
        <w:rPr>
          <w:sz w:val="12"/>
        </w:rPr>
        <w:t xml:space="preserve"> Indeed, the positive content of the transhumanist utopia imagined by Bostrom reflects and reinforces social inequalities. As Claire Colebrook notes, the lionisation of cognitive activity as </w:t>
      </w:r>
      <w:r w:rsidRPr="008637F9">
        <w:rPr>
          <w:rStyle w:val="StyleUnderline"/>
        </w:rPr>
        <w:t>the sine qua non of the future world is ‘</w:t>
      </w:r>
      <w:r w:rsidRPr="00B355DF">
        <w:rPr>
          <w:rStyle w:val="StyleUnderline"/>
          <w:highlight w:val="green"/>
        </w:rPr>
        <w:t>bound up with the “man” of Western reason’,</w:t>
      </w:r>
      <w:r w:rsidRPr="008637F9">
        <w:rPr>
          <w:rStyle w:val="StyleUnderline"/>
        </w:rPr>
        <w:t xml:space="preserve"> a figure that is strongly </w:t>
      </w:r>
      <w:r w:rsidRPr="00B355DF">
        <w:rPr>
          <w:rStyle w:val="StyleUnderline"/>
          <w:highlight w:val="green"/>
        </w:rPr>
        <w:t>associated with</w:t>
      </w:r>
      <w:r w:rsidRPr="008637F9">
        <w:rPr>
          <w:rStyle w:val="StyleUnderline"/>
        </w:rPr>
        <w:t xml:space="preserve"> many forms of oppression and </w:t>
      </w:r>
      <w:r w:rsidRPr="00B355DF">
        <w:rPr>
          <w:rStyle w:val="StyleUnderline"/>
          <w:highlight w:val="green"/>
        </w:rPr>
        <w:t>violence</w:t>
      </w:r>
      <w:r w:rsidRPr="008637F9">
        <w:rPr>
          <w:rStyle w:val="StyleUnderline"/>
        </w:rPr>
        <w:t xml:space="preserve"> (especially </w:t>
      </w:r>
      <w:r w:rsidRPr="00450AF4">
        <w:rPr>
          <w:rStyle w:val="Emphasis"/>
          <w:highlight w:val="green"/>
        </w:rPr>
        <w:t>in relation to race, disability, gender and sexuality</w:t>
      </w:r>
      <w:r w:rsidRPr="008637F9">
        <w:rPr>
          <w:rStyle w:val="StyleUnderline"/>
        </w:rPr>
        <w:t xml:space="preserve">) </w:t>
      </w:r>
      <w:r w:rsidRPr="00833627">
        <w:rPr>
          <w:sz w:val="12"/>
        </w:rPr>
        <w:t xml:space="preserve">(Lives Worth Living, p167). </w:t>
      </w:r>
      <w:r w:rsidRPr="00E503DB">
        <w:rPr>
          <w:rStyle w:val="StyleUnderline"/>
        </w:rPr>
        <w:t>In the light of the dubious normative consequences, skewed empirical account of the threats to humanity and flawed vision of the liberated future, it is difficult to affirm extinctiopolitics</w:t>
      </w:r>
      <w:r w:rsidRPr="00A51E48">
        <w:rPr>
          <w:rStyle w:val="Emphasis"/>
        </w:rPr>
        <w:t>.</w:t>
      </w:r>
    </w:p>
    <w:p w14:paraId="7067C54C" w14:textId="77777777" w:rsidR="00CE7444" w:rsidRDefault="00CE7444" w:rsidP="00033179">
      <w:pPr>
        <w:rPr>
          <w:sz w:val="12"/>
          <w:szCs w:val="12"/>
        </w:rPr>
      </w:pPr>
    </w:p>
    <w:p w14:paraId="693D518C" w14:textId="77777777" w:rsidR="00CE7444" w:rsidRDefault="00CE7444" w:rsidP="00033179">
      <w:pPr>
        <w:rPr>
          <w:sz w:val="12"/>
          <w:szCs w:val="12"/>
        </w:rPr>
      </w:pPr>
    </w:p>
    <w:p w14:paraId="6CF1901B" w14:textId="77777777" w:rsidR="002D00E3" w:rsidRDefault="002D00E3" w:rsidP="002D00E3">
      <w:pPr>
        <w:pStyle w:val="Heading4"/>
      </w:pPr>
      <w:bookmarkStart w:id="1" w:name="_Hlk211692360"/>
      <w:r>
        <w:t>The universalizing subject of extinction is defined along ableist parameters. Imagining the recuperation of the world-as-is writes over all other ways of being.</w:t>
      </w:r>
    </w:p>
    <w:p w14:paraId="0A32526C" w14:textId="77777777" w:rsidR="002D00E3" w:rsidRPr="004601F4" w:rsidRDefault="002D00E3" w:rsidP="002D00E3">
      <w:pPr>
        <w:rPr>
          <w:sz w:val="12"/>
        </w:rPr>
      </w:pPr>
      <w:r w:rsidRPr="004601F4">
        <w:rPr>
          <w:rStyle w:val="Style13ptBold"/>
        </w:rPr>
        <w:t>Datta and Colebrook 25</w:t>
      </w:r>
      <w:r w:rsidRPr="004601F4">
        <w:rPr>
          <w:sz w:val="12"/>
        </w:rPr>
        <w:t xml:space="preserve"> [A Conversation on “Ecology, Extinction, and Posthumanism” with Claire Colebrook. Hypatia. Published online 2025:1-15. doi:10.1017/hyp.2024.82. Asijit Datta, Assistant Professor, Department of Media Studies, SRM University-AP, India.//Spence]</w:t>
      </w:r>
    </w:p>
    <w:p w14:paraId="4790C164" w14:textId="77777777" w:rsidR="002D00E3" w:rsidRPr="00164544" w:rsidRDefault="002D00E3" w:rsidP="002D00E3">
      <w:pPr>
        <w:rPr>
          <w:sz w:val="12"/>
        </w:rPr>
      </w:pPr>
      <w:r w:rsidRPr="00164544">
        <w:rPr>
          <w:sz w:val="12"/>
        </w:rPr>
        <w:t xml:space="preserve">This dialogue between Professor Claire Colebrook (Pennsylvania State University) and Dr Asijit Datta (SRM University-AP) is based on an online discussion, “Ecology, Extinction, and Posthumanism” which took place on August 1, 2020 during the raging days of the COVID-19 pandemic. The transcript echoes Colebrook’s sentiments that the ethical demands of the climate hazard or </w:t>
      </w:r>
      <w:r w:rsidRPr="0072635E">
        <w:rPr>
          <w:rStyle w:val="StyleUnderline"/>
        </w:rPr>
        <w:t>the imm</w:t>
      </w:r>
      <w:r w:rsidRPr="00FB437E">
        <w:rPr>
          <w:rStyle w:val="StyleUnderline"/>
        </w:rPr>
        <w:t xml:space="preserve">inent </w:t>
      </w:r>
      <w:r w:rsidRPr="000F1FD2">
        <w:rPr>
          <w:rStyle w:val="Emphasis"/>
        </w:rPr>
        <w:t>extinction</w:t>
      </w:r>
      <w:r w:rsidRPr="00FB437E">
        <w:rPr>
          <w:rStyle w:val="StyleUnderline"/>
        </w:rPr>
        <w:t xml:space="preserve"> </w:t>
      </w:r>
      <w:r w:rsidRPr="000F1FD2">
        <w:rPr>
          <w:rStyle w:val="Emphasis"/>
        </w:rPr>
        <w:t>cannot be addressed to a particular</w:t>
      </w:r>
      <w:r w:rsidRPr="00FB437E">
        <w:rPr>
          <w:rStyle w:val="StyleUnderline"/>
        </w:rPr>
        <w:t xml:space="preserve"> subject or “we.” The predominant tension is </w:t>
      </w:r>
      <w:r w:rsidRPr="000F1FD2">
        <w:rPr>
          <w:rStyle w:val="StyleUnderline"/>
          <w:highlight w:val="green"/>
        </w:rPr>
        <w:t xml:space="preserve">concealed in the idea of </w:t>
      </w:r>
      <w:r w:rsidRPr="000F1FD2">
        <w:rPr>
          <w:rStyle w:val="StyleUnderline"/>
        </w:rPr>
        <w:t xml:space="preserve">the </w:t>
      </w:r>
      <w:r w:rsidRPr="000F1FD2">
        <w:rPr>
          <w:rStyle w:val="StyleUnderline"/>
          <w:highlight w:val="green"/>
        </w:rPr>
        <w:t>human</w:t>
      </w:r>
      <w:r w:rsidRPr="00FB437E">
        <w:rPr>
          <w:rStyle w:val="StyleUnderline"/>
        </w:rPr>
        <w:t xml:space="preserve"> and its </w:t>
      </w:r>
      <w:r w:rsidRPr="000F1FD2">
        <w:rPr>
          <w:rStyle w:val="StyleUnderline"/>
          <w:highlight w:val="green"/>
        </w:rPr>
        <w:t>values</w:t>
      </w:r>
      <w:r w:rsidRPr="000F1FD2">
        <w:rPr>
          <w:rStyle w:val="StyleUnderline"/>
        </w:rPr>
        <w:t>. As humans, we refuse to ask whether there is a future where life continues with endless possibilities for us.</w:t>
      </w:r>
      <w:r w:rsidRPr="00164544">
        <w:rPr>
          <w:sz w:val="12"/>
        </w:rPr>
        <w:t xml:space="preserve"> For Colebrook, the inability to adopt such a stance emerges from the historical condition that </w:t>
      </w:r>
      <w:r w:rsidRPr="000F1FD2">
        <w:rPr>
          <w:rStyle w:val="StyleUnderline"/>
          <w:highlight w:val="green"/>
        </w:rPr>
        <w:t>we</w:t>
      </w:r>
      <w:r w:rsidRPr="0072635E">
        <w:rPr>
          <w:rStyle w:val="StyleUnderline"/>
        </w:rPr>
        <w:t xml:space="preserve"> as language-beings </w:t>
      </w:r>
      <w:r w:rsidRPr="000F1FD2">
        <w:rPr>
          <w:rStyle w:val="Emphasis"/>
          <w:highlight w:val="green"/>
        </w:rPr>
        <w:t>have always been the ones to define life, th</w:t>
      </w:r>
      <w:r w:rsidRPr="0023717B">
        <w:rPr>
          <w:rStyle w:val="Emphasis"/>
          <w:highlight w:val="green"/>
        </w:rPr>
        <w:t>e ones</w:t>
      </w:r>
      <w:r w:rsidRPr="00164544">
        <w:rPr>
          <w:sz w:val="12"/>
        </w:rPr>
        <w:t xml:space="preserve"> that are essentially </w:t>
      </w:r>
      <w:r w:rsidRPr="0023717B">
        <w:rPr>
          <w:rStyle w:val="StyleUnderline"/>
          <w:highlight w:val="green"/>
        </w:rPr>
        <w:t>racing towards extinction</w:t>
      </w:r>
      <w:r w:rsidRPr="005E395E">
        <w:rPr>
          <w:rStyle w:val="StyleUnderline"/>
        </w:rPr>
        <w:t>. The</w:t>
      </w:r>
      <w:r w:rsidRPr="0072635E">
        <w:rPr>
          <w:rStyle w:val="StyleUnderline"/>
        </w:rPr>
        <w:t xml:space="preserve"> supposed value of human </w:t>
      </w:r>
      <w:r w:rsidRPr="005E395E">
        <w:rPr>
          <w:rStyle w:val="StyleUnderline"/>
          <w:highlight w:val="green"/>
        </w:rPr>
        <w:t>life is now facing the death of its own value.</w:t>
      </w:r>
      <w:r w:rsidRPr="00164544">
        <w:rPr>
          <w:sz w:val="12"/>
        </w:rPr>
        <w:t xml:space="preserve"> This vanishing of this value is a direct byproduct of the inhuman humanity, the monstrosity that we have thrown over and into life (especially other organic and inorganic lives). </w:t>
      </w:r>
      <w:r w:rsidRPr="000D05BB">
        <w:rPr>
          <w:rStyle w:val="StyleUnderline"/>
          <w:highlight w:val="green"/>
        </w:rPr>
        <w:t>Following</w:t>
      </w:r>
      <w:r w:rsidRPr="00164544">
        <w:rPr>
          <w:sz w:val="12"/>
        </w:rPr>
        <w:t xml:space="preserve"> the </w:t>
      </w:r>
      <w:r w:rsidRPr="000D05BB">
        <w:rPr>
          <w:rStyle w:val="Emphasis"/>
          <w:highlight w:val="green"/>
        </w:rPr>
        <w:t>extinction experiments</w:t>
      </w:r>
      <w:r w:rsidRPr="00164544">
        <w:rPr>
          <w:sz w:val="12"/>
        </w:rPr>
        <w:t xml:space="preserve"> of Husserl and Bergson, Colebrook contends that </w:t>
      </w:r>
      <w:r w:rsidRPr="000D05BB">
        <w:rPr>
          <w:rStyle w:val="Emphasis"/>
          <w:highlight w:val="green"/>
        </w:rPr>
        <w:t>only the death of the ethical</w:t>
      </w:r>
      <w:r w:rsidRPr="000D05BB">
        <w:rPr>
          <w:rStyle w:val="StyleUnderline"/>
          <w:highlight w:val="green"/>
        </w:rPr>
        <w:t xml:space="preserve"> and </w:t>
      </w:r>
      <w:r w:rsidRPr="000D05BB">
        <w:rPr>
          <w:rStyle w:val="Emphasis"/>
          <w:highlight w:val="green"/>
        </w:rPr>
        <w:t>political</w:t>
      </w:r>
      <w:r w:rsidRPr="000D05BB">
        <w:rPr>
          <w:rStyle w:val="StyleUnderline"/>
          <w:highlight w:val="green"/>
        </w:rPr>
        <w:t xml:space="preserve"> </w:t>
      </w:r>
      <w:r w:rsidRPr="000D05BB">
        <w:rPr>
          <w:rStyle w:val="Emphasis"/>
          <w:highlight w:val="green"/>
        </w:rPr>
        <w:t>subject</w:t>
      </w:r>
      <w:r w:rsidRPr="000D05BB">
        <w:rPr>
          <w:rStyle w:val="StyleUnderline"/>
          <w:highlight w:val="green"/>
        </w:rPr>
        <w:t xml:space="preserve"> </w:t>
      </w:r>
      <w:r w:rsidRPr="000D05BB">
        <w:rPr>
          <w:rStyle w:val="Emphasis"/>
          <w:highlight w:val="green"/>
        </w:rPr>
        <w:t xml:space="preserve">can provide us with </w:t>
      </w:r>
      <w:r w:rsidRPr="000D05BB">
        <w:rPr>
          <w:rStyle w:val="StyleUnderline"/>
          <w:highlight w:val="green"/>
        </w:rPr>
        <w:t xml:space="preserve">alternate modes of </w:t>
      </w:r>
      <w:r w:rsidRPr="000D05BB">
        <w:rPr>
          <w:rStyle w:val="Emphasis"/>
          <w:highlight w:val="green"/>
        </w:rPr>
        <w:t>survival</w:t>
      </w:r>
      <w:r w:rsidRPr="00E41323">
        <w:rPr>
          <w:rStyle w:val="StyleUnderline"/>
        </w:rPr>
        <w:t xml:space="preserve"> in this </w:t>
      </w:r>
      <w:r w:rsidRPr="002F3F9A">
        <w:rPr>
          <w:rStyle w:val="StyleUnderline"/>
        </w:rPr>
        <w:t xml:space="preserve">world. </w:t>
      </w:r>
      <w:r w:rsidRPr="000D05BB">
        <w:rPr>
          <w:rStyle w:val="Emphasis"/>
          <w:highlight w:val="green"/>
        </w:rPr>
        <w:t>After the evaporation of “the subject of thought</w:t>
      </w:r>
      <w:r w:rsidRPr="002F3F9A">
        <w:rPr>
          <w:rStyle w:val="StyleUnderline"/>
        </w:rPr>
        <w:t>, a common humanity, a protopolitics” what remains is “a fragile life that is not especially human”</w:t>
      </w:r>
      <w:r w:rsidRPr="00164544">
        <w:rPr>
          <w:sz w:val="12"/>
        </w:rPr>
        <w:t xml:space="preserve"> (Colebrook 2014b, 148). Once we are past the anthropocentric assumptions of species superiority and intrinsic values of humanity, </w:t>
      </w:r>
      <w:r w:rsidRPr="00E32E10">
        <w:rPr>
          <w:rStyle w:val="StyleUnderline"/>
          <w:highlight w:val="green"/>
        </w:rPr>
        <w:t>we</w:t>
      </w:r>
      <w:r w:rsidRPr="002F3F9A">
        <w:rPr>
          <w:rStyle w:val="StyleUnderline"/>
        </w:rPr>
        <w:t xml:space="preserve"> </w:t>
      </w:r>
      <w:r w:rsidRPr="000D05BB">
        <w:rPr>
          <w:rStyle w:val="StyleUnderline"/>
          <w:highlight w:val="green"/>
        </w:rPr>
        <w:t>might be in a position to think of other kinds of living systems, and “whether the future should not be saved for another mode of life altogether”</w:t>
      </w:r>
      <w:r w:rsidRPr="00164544">
        <w:rPr>
          <w:sz w:val="12"/>
        </w:rPr>
        <w:t xml:space="preserve"> (Colebrook 2014b, 148). Colebrook wishes for </w:t>
      </w:r>
      <w:r w:rsidRPr="00F60E36">
        <w:rPr>
          <w:rStyle w:val="StyleUnderline"/>
        </w:rPr>
        <w:t>another kind of human imaging and imagination that is capable of perceiving a world without humans</w:t>
      </w:r>
      <w:r w:rsidRPr="00164544">
        <w:rPr>
          <w:sz w:val="12"/>
        </w:rPr>
        <w:t>. To read time, and the planet that existed before humans, and will continue to do so after humans, we need inhuman perception. Colebrook imagines “</w:t>
      </w:r>
      <w:r w:rsidRPr="006172D3">
        <w:rPr>
          <w:rStyle w:val="StyleUnderline"/>
          <w:highlight w:val="green"/>
        </w:rPr>
        <w:t>a mode of reading the world</w:t>
      </w:r>
      <w:r w:rsidRPr="00164544">
        <w:rPr>
          <w:sz w:val="12"/>
        </w:rPr>
        <w:t xml:space="preserve">, and its anthropogenic scars” (Colebrook 2014a, 23), an earth </w:t>
      </w:r>
      <w:r w:rsidRPr="00D11AE9">
        <w:rPr>
          <w:rStyle w:val="StyleUnderline"/>
        </w:rPr>
        <w:t>that will offer a reading of human history and its exploits</w:t>
      </w:r>
      <w:r w:rsidRPr="00164544">
        <w:rPr>
          <w:sz w:val="12"/>
        </w:rPr>
        <w:t>. These scars of the world without readers will be explored by a “future geologist” akin to a separate kind of stratigraphic imaging: “</w:t>
      </w:r>
      <w:r w:rsidRPr="006172D3">
        <w:rPr>
          <w:rStyle w:val="Emphasis"/>
          <w:highlight w:val="green"/>
        </w:rPr>
        <w:t>In imagining this world after humans we are reading what is not yet written or inscribed</w:t>
      </w:r>
      <w:r w:rsidRPr="00164544">
        <w:rPr>
          <w:sz w:val="12"/>
        </w:rPr>
        <w:t xml:space="preserve">” (Colebrook 2014a, 24). With the help of such an extinction or Anthropocene experiment or impersonal imaging, “we can begin to imagine imaging for other inhuman worlds. That is to say: </w:t>
      </w:r>
      <w:r w:rsidRPr="0077421C">
        <w:rPr>
          <w:rStyle w:val="StyleUnderline"/>
          <w:highlight w:val="green"/>
        </w:rPr>
        <w:t>rather than</w:t>
      </w:r>
      <w:r w:rsidRPr="00DF0BC9">
        <w:rPr>
          <w:rStyle w:val="StyleUnderline"/>
        </w:rPr>
        <w:t xml:space="preserve"> thinking of the posthuman, where we </w:t>
      </w:r>
      <w:r w:rsidRPr="0077421C">
        <w:rPr>
          <w:rStyle w:val="StyleUnderline"/>
          <w:highlight w:val="green"/>
        </w:rPr>
        <w:t>destroy</w:t>
      </w:r>
      <w:r w:rsidRPr="00DF0BC9">
        <w:rPr>
          <w:rStyle w:val="StyleUnderline"/>
        </w:rPr>
        <w:t xml:space="preserve"> all our own self-fixities and become pure process, </w:t>
      </w:r>
      <w:r w:rsidRPr="0077421C">
        <w:rPr>
          <w:rStyle w:val="StyleUnderline"/>
          <w:highlight w:val="green"/>
        </w:rPr>
        <w:t xml:space="preserve">we can look positively to the inhuman and other </w:t>
      </w:r>
      <w:r w:rsidRPr="00311E85">
        <w:rPr>
          <w:rStyle w:val="StyleUnderline"/>
        </w:rPr>
        <w:t xml:space="preserve">imaging or </w:t>
      </w:r>
      <w:r w:rsidRPr="0077421C">
        <w:rPr>
          <w:rStyle w:val="StyleUnderline"/>
          <w:highlight w:val="green"/>
        </w:rPr>
        <w:t>reading processes</w:t>
      </w:r>
      <w:r w:rsidRPr="00164544">
        <w:rPr>
          <w:sz w:val="12"/>
        </w:rPr>
        <w:t>” (Colebrook 2014a, 28). The eye is released from the body and assumes the role of a semi-organic device that reads the geological strata, our inhuman present (that will soon become our past), and a “world without bodies” (Colebrook 2014a, 28). In this posthumous, posthuman time, human existence will be read by the eye of the future, speculative geologist. This conversation engages with issues like the COVID-19 pandemic, American politics, and postapocalyptic cinema to arrive at an imagination that requires the annihilation of the human as we know it.</w:t>
      </w:r>
    </w:p>
    <w:p w14:paraId="1757F019" w14:textId="77777777" w:rsidR="002D00E3" w:rsidRPr="00B35C2D" w:rsidRDefault="002D00E3" w:rsidP="002D00E3">
      <w:pPr>
        <w:rPr>
          <w:sz w:val="12"/>
          <w:szCs w:val="12"/>
        </w:rPr>
      </w:pPr>
      <w:r w:rsidRPr="00164544">
        <w:rPr>
          <w:sz w:val="12"/>
        </w:rPr>
        <w:t xml:space="preserve">Datta: Thank you so much for joining us in this session, Dr Colebrook, and agreeing to be a part of this interview. Our topic today is “Ecology, Extinction and Posthumanism”, and I think that our current pandemic </w:t>
      </w:r>
      <w:r w:rsidRPr="00B35C2D">
        <w:rPr>
          <w:sz w:val="12"/>
          <w:szCs w:val="12"/>
        </w:rPr>
        <w:t xml:space="preserve">condition is the most appropriate time to discuss issues related to the environment and sustainability of humans as a species. </w:t>
      </w:r>
    </w:p>
    <w:p w14:paraId="23A2AF99" w14:textId="77777777" w:rsidR="002D00E3" w:rsidRPr="00B35C2D" w:rsidRDefault="002D00E3" w:rsidP="002D00E3">
      <w:pPr>
        <w:rPr>
          <w:sz w:val="12"/>
          <w:szCs w:val="12"/>
        </w:rPr>
      </w:pPr>
      <w:r w:rsidRPr="00B35C2D">
        <w:rPr>
          <w:sz w:val="12"/>
          <w:szCs w:val="12"/>
        </w:rPr>
        <w:t xml:space="preserve">Colebrook: Thank you so much for the invitation. </w:t>
      </w:r>
    </w:p>
    <w:p w14:paraId="3337431F" w14:textId="77777777" w:rsidR="002D00E3" w:rsidRPr="00B35C2D" w:rsidRDefault="002D00E3" w:rsidP="002D00E3">
      <w:pPr>
        <w:rPr>
          <w:sz w:val="12"/>
          <w:szCs w:val="12"/>
        </w:rPr>
      </w:pPr>
      <w:r w:rsidRPr="00B35C2D">
        <w:rPr>
          <w:sz w:val="12"/>
          <w:szCs w:val="12"/>
        </w:rPr>
        <w:t xml:space="preserve">AD: How do you differentiate between the notions, “personal as political” and “personal as geological”? </w:t>
      </w:r>
    </w:p>
    <w:p w14:paraId="6A16BB20" w14:textId="77777777" w:rsidR="002D00E3" w:rsidRPr="00B35C2D" w:rsidRDefault="002D00E3" w:rsidP="002D00E3">
      <w:pPr>
        <w:rPr>
          <w:sz w:val="12"/>
          <w:szCs w:val="12"/>
        </w:rPr>
      </w:pPr>
      <w:r w:rsidRPr="00B35C2D">
        <w:rPr>
          <w:sz w:val="12"/>
          <w:szCs w:val="12"/>
        </w:rPr>
        <w:t>CC: “Personal is political” is a phrase I was brought up with and educated on. It is a feminist phrase from Kate Millett. One can think of their family relationships, relationships between men and women, by saying the “personal is political.” Kate Millett and that generation of feminists wanted to say that the domestic sphere is, in reality, composed of broader political forces, akin to the history of patriarchy. One cannot conceive of a Western history without an original sexual contract between men and women. That gives one the domestic space; that gives one reproduction, the family, i.e., the motto of Western history. But I wanted to expand it. Maybe, I would change it from the “personal is political,” to the “personal is geo-political.” The reason is as follows: let us look at the private space or the domestic space that feminists were talking about. For instance, there is the bourgeois nuclear family. It owes its existence to a much longer history. This history includes slavery and colonization: the entire history of empires that colonized certain peoples, and enslaved certain peoples. This history is what in the eighteenth century enabled the private space of the nuclear family. One can only have a private relationship between men and women in the liberal public sphere since slavery existed from Greece onwards. The whole notion of the private subject was enabled by slavery. Then again, the European project of the Empire, in its entirety, was enabled by colonization, indentured labour, and slavery. That transformed the planet too. It was because of slavery and colonization that there was industrialization; it was because of industrialization that slavery could eventually be abolished and liberalism could be extended to more and more peoples. In the end, it can be said that one could not have had the private individual, the personal, unless they had a history that has transformed the planet and has transformed the relations between the West and its “others”—which includes the colonies and also the nations that contributed to slavery.</w:t>
      </w:r>
    </w:p>
    <w:p w14:paraId="0515A3AE" w14:textId="77777777" w:rsidR="002D00E3" w:rsidRPr="00B35C2D" w:rsidRDefault="002D00E3" w:rsidP="002D00E3">
      <w:pPr>
        <w:rPr>
          <w:sz w:val="12"/>
          <w:szCs w:val="12"/>
        </w:rPr>
      </w:pPr>
      <w:r w:rsidRPr="00B35C2D">
        <w:rPr>
          <w:sz w:val="12"/>
          <w:szCs w:val="12"/>
        </w:rPr>
        <w:t>AD: Human history or natural history has always been interdependent, communicating through various modes of inscriptions. Have human inscriptions benefitted nature in any form ever? How do you read the role of inscriptions in shaping the Anthropocene?</w:t>
      </w:r>
    </w:p>
    <w:p w14:paraId="2A34F0A7" w14:textId="77777777" w:rsidR="002D00E3" w:rsidRPr="00A62DA8" w:rsidRDefault="002D00E3" w:rsidP="002D00E3">
      <w:pPr>
        <w:rPr>
          <w:u w:val="single"/>
        </w:rPr>
      </w:pPr>
      <w:r w:rsidRPr="00B35C2D">
        <w:rPr>
          <w:sz w:val="12"/>
          <w:szCs w:val="12"/>
        </w:rPr>
        <w:t>CC: One of the objections I often get, whenever I talk or present my work, is that people get very upset because I speak as though humans have always been a bad thing, especially when I talk about humans and their destructive relationship with the planet. To this, there are two answers: one is that every living being that contributes to the planet also transforms the planet in some way. There is always some sort of cost-benefit analysis, but that is not very meaningful. When I talk about the human, I do not mean all human beings. The reason being that the history of humanism, and the history of talking about humanity, have always excluded some humans. In that respect, there are two answers to your question. The first is: has the human, in its narrow sense, in the sense defined by Western humanism and normative conceptions of humanity, tended to solely benefit itself? What one is now looking at, with this global pandemic, is the cost of having created a global interconnected network. This not only means that one cannot contain events like viral pandemics, but also that viruses leap from one species to another. That has occurred as a consequence of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humanity—the highconsuming, urban, predominantly white, predominantly privileged humans.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seeing to be in decline, have not been of a great deal of benefit.</w:t>
      </w:r>
      <w:r w:rsidRPr="00B35C2D">
        <w:rPr>
          <w:rStyle w:val="StyleUnderline"/>
          <w:sz w:val="12"/>
          <w:szCs w:val="12"/>
        </w:rPr>
        <w:t xml:space="preserve"> </w:t>
      </w:r>
      <w:r w:rsidRPr="00164544">
        <w:rPr>
          <w:sz w:val="12"/>
        </w:rPr>
        <w:t xml:space="preserve">For example, I have domestic dogs and cats. They are of the good outcomes of that form of humanity. But there are other forms of humanity that are not at war with the planet. </w:t>
      </w:r>
      <w:r w:rsidRPr="00955277">
        <w:rPr>
          <w:rStyle w:val="StyleUnderline"/>
          <w:highlight w:val="green"/>
        </w:rPr>
        <w:t xml:space="preserve">People are now talking about the end of </w:t>
      </w:r>
      <w:r w:rsidRPr="00955277">
        <w:rPr>
          <w:rStyle w:val="Emphasis"/>
          <w:highlight w:val="green"/>
        </w:rPr>
        <w:t>the</w:t>
      </w:r>
      <w:r w:rsidRPr="00955277">
        <w:rPr>
          <w:rStyle w:val="StyleUnderline"/>
          <w:highlight w:val="green"/>
        </w:rPr>
        <w:t xml:space="preserve"> world</w:t>
      </w:r>
      <w:r w:rsidRPr="00FC58A7">
        <w:rPr>
          <w:rStyle w:val="StyleUnderline"/>
        </w:rPr>
        <w:t xml:space="preserve"> or end times</w:t>
      </w:r>
      <w:r w:rsidRPr="00955277">
        <w:rPr>
          <w:rStyle w:val="StyleUnderline"/>
          <w:highlight w:val="green"/>
        </w:rPr>
        <w:t xml:space="preserve">—however, it is really the end of </w:t>
      </w:r>
      <w:r w:rsidRPr="00955277">
        <w:rPr>
          <w:rStyle w:val="Emphasis"/>
          <w:highlight w:val="green"/>
        </w:rPr>
        <w:t>our</w:t>
      </w:r>
      <w:r w:rsidRPr="00955277">
        <w:rPr>
          <w:rStyle w:val="StyleUnderline"/>
          <w:highlight w:val="green"/>
        </w:rPr>
        <w:t xml:space="preserve"> world, a particular mode of world</w:t>
      </w:r>
      <w:r w:rsidRPr="00FC58A7">
        <w:rPr>
          <w:rStyle w:val="StyleUnderline"/>
        </w:rPr>
        <w:t>.</w:t>
      </w:r>
      <w:r w:rsidRPr="00164544">
        <w:rPr>
          <w:sz w:val="12"/>
        </w:rPr>
        <w:t xml:space="preserve"> Even then, </w:t>
      </w:r>
      <w:r w:rsidRPr="00095BAE">
        <w:rPr>
          <w:rStyle w:val="StyleUnderline"/>
        </w:rPr>
        <w:t>there would be other forms of human existence that are possible, that are not necessarily at war with nature that they seem to at once valorize but also destroy in creating.</w:t>
      </w:r>
      <w:bookmarkEnd w:id="1"/>
    </w:p>
    <w:p w14:paraId="46C41F4C" w14:textId="77777777" w:rsidR="002D00E3" w:rsidRPr="00435836" w:rsidRDefault="002D00E3" w:rsidP="00033179">
      <w:pPr>
        <w:rPr>
          <w:sz w:val="12"/>
          <w:szCs w:val="12"/>
        </w:rPr>
      </w:pPr>
    </w:p>
    <w:p w14:paraId="138596B8" w14:textId="77777777" w:rsidR="00033179" w:rsidRDefault="00033179" w:rsidP="00033179">
      <w:pPr>
        <w:pStyle w:val="Heading4"/>
      </w:pPr>
      <w:r>
        <w:t>Vote negative to refuse to build a vision for labor politics on violent infrastructure of a productivism that disavows dependency.</w:t>
      </w:r>
    </w:p>
    <w:p w14:paraId="06F3BB8F" w14:textId="77777777" w:rsidR="00033179" w:rsidRPr="007A35C8" w:rsidRDefault="00033179" w:rsidP="00033179">
      <w:pPr>
        <w:rPr>
          <w:b/>
          <w:bCs/>
          <w:sz w:val="26"/>
          <w:u w:val="single"/>
        </w:rPr>
      </w:pPr>
      <w:r>
        <w:rPr>
          <w:rStyle w:val="Style13ptBold"/>
        </w:rPr>
        <w:t>Zavitsanos 19</w:t>
      </w:r>
      <w:r w:rsidRPr="007A35C8">
        <w:rPr>
          <w:sz w:val="12"/>
        </w:rPr>
        <w:t xml:space="preserve"> [Giving It Away: Constantina Zavitsanos on Disability, Debt, Dependency. Winter 2018/2019. https://www.artpapers.org/giving-it-away/ Constantina Zavitsanos, interviewed by Mara Mills and Rebecca Sanchez. Constantina Zavitsanos is an artist who works in sculpture, performance, text, and sound; Zavitsanos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4F6EFE97" w14:textId="77777777" w:rsidR="00033179" w:rsidRPr="001138D9" w:rsidRDefault="00033179" w:rsidP="00033179">
      <w:pPr>
        <w:rPr>
          <w:rStyle w:val="StyleUnderline"/>
        </w:rPr>
      </w:pPr>
      <w:r w:rsidRPr="002C7B69">
        <w:rPr>
          <w:sz w:val="12"/>
        </w:rPr>
        <w:t xml:space="preserve">MARA </w:t>
      </w:r>
      <w:r w:rsidRPr="001138D9">
        <w:rPr>
          <w:sz w:val="12"/>
        </w:rPr>
        <w:t xml:space="preserve">MILLS &amp; REBECCA SANCHEZ: So much of your art is concerned </w:t>
      </w:r>
      <w:r w:rsidRPr="001138D9">
        <w:rPr>
          <w:rStyle w:val="StyleUnderline"/>
        </w:rPr>
        <w:t>with the impossible work requirements of late capitalism</w:t>
      </w:r>
      <w:r w:rsidRPr="001138D9">
        <w:rPr>
          <w:sz w:val="12"/>
        </w:rPr>
        <w:t xml:space="preserve">. How does </w:t>
      </w:r>
      <w:r w:rsidRPr="001138D9">
        <w:rPr>
          <w:rStyle w:val="StyleUnderline"/>
        </w:rPr>
        <w:t>disability relate to labor and debt in the uninhabitable social spaces</w:t>
      </w:r>
      <w:r w:rsidRPr="001138D9">
        <w:rPr>
          <w:sz w:val="12"/>
        </w:rPr>
        <w:t xml:space="preserve"> where you have managed to find fugitive intimacy and the means for re/assembly?1 In your 2017 article “The Guild of the Brave Poor Things,” we love the way you and Park McArthur </w:t>
      </w:r>
      <w:r w:rsidRPr="001138D9">
        <w:rPr>
          <w:rStyle w:val="StyleUnderline"/>
        </w:rPr>
        <w:t>figure disabled people as “extra,” in all the senses of that word: excessive, abundant, common, extraordinary, left over, surplus.</w:t>
      </w:r>
    </w:p>
    <w:p w14:paraId="7029D60C" w14:textId="77777777" w:rsidR="00033179" w:rsidRPr="002C7B69" w:rsidRDefault="00033179" w:rsidP="00033179">
      <w:pPr>
        <w:rPr>
          <w:sz w:val="12"/>
        </w:rPr>
      </w:pPr>
      <w:r w:rsidRPr="001138D9">
        <w:rPr>
          <w:sz w:val="12"/>
        </w:rPr>
        <w:t xml:space="preserve">CONSTANTINA ZAVITSANOS: I think one of the things art does best is to deal with and in the impossible. And capitalism is always late to catch up to this work. Dependency and labor are often conceived in opposition to one another, but of course are more a slurry or shifting set. Okay, </w:t>
      </w:r>
      <w:r w:rsidRPr="001138D9">
        <w:rPr>
          <w:rStyle w:val="StyleUnderline"/>
        </w:rPr>
        <w:t xml:space="preserve">first, of course disabled people can and do work—both in the classically recognized sense and also because, you know, </w:t>
      </w:r>
      <w:r w:rsidRPr="0039472A">
        <w:rPr>
          <w:rStyle w:val="StyleUnderline"/>
          <w:highlight w:val="green"/>
        </w:rPr>
        <w:t>it’s hard work to be disabled, even if you’ve been barred from work, or are behind bars and working</w:t>
      </w:r>
      <w:r w:rsidRPr="001138D9">
        <w:rPr>
          <w:rStyle w:val="StyleUnderline"/>
        </w:rPr>
        <w:t xml:space="preserve">, or laid up in bed not working, which is to say </w:t>
      </w:r>
      <w:r w:rsidRPr="0039472A">
        <w:rPr>
          <w:rStyle w:val="StyleUnderline"/>
          <w:highlight w:val="green"/>
        </w:rPr>
        <w:t>resisting work,</w:t>
      </w:r>
      <w:r w:rsidRPr="001138D9">
        <w:rPr>
          <w:rStyle w:val="StyleUnderline"/>
        </w:rPr>
        <w:t xml:space="preserve"> </w:t>
      </w:r>
      <w:r w:rsidRPr="0039472A">
        <w:rPr>
          <w:rStyle w:val="StyleUnderline"/>
          <w:highlight w:val="green"/>
        </w:rPr>
        <w:t>working resistance</w:t>
      </w:r>
      <w:r w:rsidRPr="0039472A">
        <w:rPr>
          <w:sz w:val="12"/>
          <w:szCs w:val="12"/>
        </w:rPr>
        <w:t>, or maybe some would say exercising the right not to work.</w:t>
      </w:r>
      <w:r w:rsidRPr="0039472A">
        <w:rPr>
          <w:sz w:val="2"/>
          <w:szCs w:val="12"/>
        </w:rPr>
        <w:t xml:space="preserve"> </w:t>
      </w:r>
      <w:r w:rsidRPr="002C7B69">
        <w:rPr>
          <w:sz w:val="12"/>
        </w:rPr>
        <w:t>Like we could easily say need-and-care or desire-and-in/value in place of dependency-and-labor. Marta Russell and Ravi Malhotra might get at this through their writing on disability and capitalism.2</w:t>
      </w:r>
    </w:p>
    <w:p w14:paraId="1005797B" w14:textId="77777777" w:rsidR="00033179" w:rsidRPr="00C82775" w:rsidRDefault="00033179" w:rsidP="00033179">
      <w:pPr>
        <w:rPr>
          <w:rStyle w:val="Emphasis"/>
          <w:sz w:val="28"/>
          <w:szCs w:val="28"/>
        </w:rPr>
      </w:pPr>
      <w:r w:rsidRPr="002C7B69">
        <w:rPr>
          <w:sz w:val="12"/>
        </w:rPr>
        <w:t xml:space="preserve">… </w:t>
      </w:r>
      <w:r w:rsidRPr="00C82775">
        <w:rPr>
          <w:rStyle w:val="StyleUnderline"/>
          <w:highlight w:val="green"/>
        </w:rPr>
        <w:t xml:space="preserve">Disability and labor aren’t separate </w:t>
      </w:r>
      <w:r w:rsidRPr="00C82775">
        <w:rPr>
          <w:rStyle w:val="StyleUnderline"/>
        </w:rPr>
        <w:t>entities</w:t>
      </w:r>
      <w:r w:rsidRPr="002C7B69">
        <w:rPr>
          <w:sz w:val="12"/>
        </w:rPr>
        <w:t xml:space="preserve">, which makes me think, </w:t>
      </w:r>
      <w:r w:rsidRPr="00006E8D">
        <w:rPr>
          <w:rStyle w:val="Emphasis"/>
        </w:rPr>
        <w:t>okay</w:t>
      </w:r>
      <w:r w:rsidRPr="002C7B69">
        <w:rPr>
          <w:sz w:val="12"/>
        </w:rPr>
        <w:t xml:space="preserve">, </w:t>
      </w:r>
      <w:r w:rsidRPr="00C82775">
        <w:rPr>
          <w:rStyle w:val="Emphasis"/>
          <w:highlight w:val="green"/>
        </w:rPr>
        <w:t>why are we being told they are?</w:t>
      </w:r>
      <w:r w:rsidRPr="002C7B69">
        <w:rPr>
          <w:sz w:val="12"/>
        </w:rPr>
        <w:t xml:space="preserve"> Why are we </w:t>
      </w:r>
      <w:r w:rsidRPr="00006E8D">
        <w:rPr>
          <w:rStyle w:val="StyleUnderline"/>
        </w:rPr>
        <w:t>accepting these posits as positions?</w:t>
      </w:r>
      <w:r w:rsidRPr="002C7B69">
        <w:rPr>
          <w:sz w:val="12"/>
        </w:rPr>
        <w:t xml:space="preserve"> Like, </w:t>
      </w:r>
      <w:r w:rsidRPr="00AF3974">
        <w:rPr>
          <w:rStyle w:val="StyleUnderline"/>
          <w:highlight w:val="green"/>
        </w:rPr>
        <w:t>what is separating this</w:t>
      </w:r>
      <w:r w:rsidRPr="00006E8D">
        <w:rPr>
          <w:rStyle w:val="StyleUnderline"/>
        </w:rPr>
        <w:t xml:space="preserve"> obviously already-</w:t>
      </w:r>
      <w:r w:rsidRPr="00AF3974">
        <w:rPr>
          <w:rStyle w:val="StyleUnderline"/>
          <w:highlight w:val="green"/>
        </w:rPr>
        <w:t>enmeshed mess into</w:t>
      </w:r>
      <w:r w:rsidRPr="00006E8D">
        <w:rPr>
          <w:rStyle w:val="StyleUnderline"/>
        </w:rPr>
        <w:t xml:space="preserve"> these </w:t>
      </w:r>
      <w:r w:rsidRPr="00AF3974">
        <w:rPr>
          <w:rStyle w:val="StyleUnderline"/>
          <w:highlight w:val="green"/>
        </w:rPr>
        <w:t>neat categories</w:t>
      </w:r>
      <w:r w:rsidRPr="00006E8D">
        <w:rPr>
          <w:rStyle w:val="StyleUnderline"/>
        </w:rPr>
        <w:t xml:space="preserve"> as antagonistic subjects</w:t>
      </w:r>
      <w:r w:rsidRPr="00E4190F">
        <w:rPr>
          <w:rStyle w:val="StyleUnderline"/>
        </w:rPr>
        <w:t xml:space="preserve">? </w:t>
      </w:r>
      <w:r w:rsidRPr="00E4190F">
        <w:rPr>
          <w:rStyle w:val="Emphasis"/>
          <w:sz w:val="28"/>
          <w:szCs w:val="28"/>
        </w:rPr>
        <w:t xml:space="preserve">What is </w:t>
      </w:r>
      <w:r w:rsidRPr="00C82775">
        <w:rPr>
          <w:rStyle w:val="Emphasis"/>
          <w:sz w:val="28"/>
          <w:szCs w:val="28"/>
          <w:highlight w:val="green"/>
        </w:rPr>
        <w:t>the seam of work?</w:t>
      </w:r>
    </w:p>
    <w:p w14:paraId="3D12258C" w14:textId="77777777" w:rsidR="00033179" w:rsidRPr="00E4190F" w:rsidRDefault="00033179" w:rsidP="00033179">
      <w:pPr>
        <w:rPr>
          <w:rStyle w:val="StyleUnderline"/>
        </w:rPr>
      </w:pPr>
      <w:r w:rsidRPr="002C7B69">
        <w:rPr>
          <w:sz w:val="12"/>
        </w:rPr>
        <w:t xml:space="preserve">MM: Sarah Rose’s book No Right to Be Idle: The Invention of Disability, 1840s–1930s is all about how disabled people have always worked, and how at a certain moment in industrial capitalism in the US, around World War I, only </w:t>
      </w:r>
      <w:r w:rsidRPr="00E4190F">
        <w:rPr>
          <w:rStyle w:val="StyleUnderline"/>
        </w:rPr>
        <w:t>certain kinds of work got fairly compensated and other kinds of labor no longer counted as work.</w:t>
      </w:r>
    </w:p>
    <w:p w14:paraId="7C3738BC" w14:textId="77777777" w:rsidR="00033179" w:rsidRPr="00E4190F" w:rsidRDefault="00033179" w:rsidP="00033179">
      <w:pPr>
        <w:rPr>
          <w:rStyle w:val="StyleUnderline"/>
        </w:rPr>
      </w:pPr>
      <w:r w:rsidRPr="00E4190F">
        <w:rPr>
          <w:sz w:val="12"/>
        </w:rPr>
        <w:t xml:space="preserve">CZ: This is a question for Marxism as well. </w:t>
      </w:r>
      <w:r w:rsidRPr="00E4190F">
        <w:rPr>
          <w:rStyle w:val="StyleUnderline"/>
        </w:rPr>
        <w:t>We are told how capital depends on labor, how the dependency of the boss or landlord is parasitic on labor, a powerful host. But the obvious problem here is that dependency is not</w:t>
      </w:r>
      <w:r w:rsidRPr="00E4190F">
        <w:rPr>
          <w:rStyle w:val="Emphasis"/>
        </w:rPr>
        <w:t xml:space="preserve"> what’s wrong</w:t>
      </w:r>
      <w:r w:rsidRPr="00E4190F">
        <w:rPr>
          <w:sz w:val="12"/>
        </w:rPr>
        <w:t xml:space="preserve"> with the boss. </w:t>
      </w:r>
      <w:r w:rsidRPr="00E4190F">
        <w:rPr>
          <w:rStyle w:val="StyleUnderline"/>
        </w:rPr>
        <w:t xml:space="preserve">We’re all dependent. The reason that the boss is bad </w:t>
      </w:r>
      <w:r w:rsidRPr="00E4190F">
        <w:rPr>
          <w:rStyle w:val="StyleUnderline"/>
          <w:highlight w:val="green"/>
        </w:rPr>
        <w:t>is</w:t>
      </w:r>
      <w:r w:rsidRPr="00E4190F">
        <w:rPr>
          <w:rStyle w:val="StyleUnderline"/>
        </w:rPr>
        <w:t xml:space="preserve"> the opposite: </w:t>
      </w:r>
      <w:r w:rsidRPr="00E4190F">
        <w:rPr>
          <w:rStyle w:val="StyleUnderline"/>
          <w:highlight w:val="green"/>
        </w:rPr>
        <w:t xml:space="preserve">the </w:t>
      </w:r>
      <w:r w:rsidRPr="00E4190F">
        <w:rPr>
          <w:rStyle w:val="Emphasis"/>
          <w:highlight w:val="green"/>
        </w:rPr>
        <w:t xml:space="preserve">disavowal of </w:t>
      </w:r>
      <w:r w:rsidRPr="00811CE0">
        <w:rPr>
          <w:rStyle w:val="StyleUnderline"/>
        </w:rPr>
        <w:t>that common</w:t>
      </w:r>
      <w:r w:rsidRPr="00E4190F">
        <w:rPr>
          <w:rStyle w:val="Emphasis"/>
          <w:highlight w:val="green"/>
        </w:rPr>
        <w:t xml:space="preserve"> dependency</w:t>
      </w:r>
      <w:r w:rsidRPr="00E4190F">
        <w:rPr>
          <w:rStyle w:val="StyleUnderline"/>
          <w:highlight w:val="green"/>
        </w:rPr>
        <w:t>,</w:t>
      </w:r>
      <w:r w:rsidRPr="00E4190F">
        <w:rPr>
          <w:rStyle w:val="StyleUnderline"/>
        </w:rPr>
        <w:t xml:space="preserve"> and the cost at which that disavowal is extracted.</w:t>
      </w:r>
    </w:p>
    <w:p w14:paraId="6D886C12" w14:textId="77777777" w:rsidR="00033179" w:rsidRPr="005620BF" w:rsidRDefault="00033179" w:rsidP="00033179">
      <w:pPr>
        <w:rPr>
          <w:sz w:val="12"/>
        </w:rPr>
      </w:pPr>
      <w:r w:rsidRPr="00E4190F">
        <w:rPr>
          <w:rStyle w:val="StyleUnderline"/>
        </w:rPr>
        <w:t>One problem is the construction</w:t>
      </w:r>
      <w:r w:rsidRPr="009B5832">
        <w:rPr>
          <w:rStyle w:val="StyleUnderline"/>
        </w:rPr>
        <w:t xml:space="preserve"> of need as lack, when need is</w:t>
      </w:r>
      <w:r w:rsidRPr="00C3734D">
        <w:rPr>
          <w:rStyle w:val="StyleUnderline"/>
        </w:rPr>
        <w:t xml:space="preserve"> better understood as wealth, and simultaneously the construction of care as labor which has to find its recognition in exchange of some kind</w:t>
      </w:r>
      <w:r w:rsidRPr="00611DC4">
        <w:rPr>
          <w:rStyle w:val="StyleUnderline"/>
          <w:highlight w:val="green"/>
        </w:rPr>
        <w:t>. I’m interested less in</w:t>
      </w:r>
      <w:r w:rsidRPr="00324857">
        <w:rPr>
          <w:rStyle w:val="StyleUnderline"/>
        </w:rPr>
        <w:t xml:space="preserve"> </w:t>
      </w:r>
      <w:r w:rsidRPr="00485C6B">
        <w:rPr>
          <w:rStyle w:val="Emphasis"/>
          <w:sz w:val="28"/>
          <w:szCs w:val="28"/>
          <w:highlight w:val="green"/>
        </w:rPr>
        <w:t xml:space="preserve">reciprocal </w:t>
      </w:r>
      <w:r w:rsidRPr="007D7C8E">
        <w:rPr>
          <w:rStyle w:val="StyleUnderline"/>
          <w:highlight w:val="green"/>
        </w:rPr>
        <w:t>give and take, than</w:t>
      </w:r>
      <w:r w:rsidRPr="00324857">
        <w:rPr>
          <w:rStyle w:val="StyleUnderline"/>
        </w:rPr>
        <w:t xml:space="preserve"> in something like </w:t>
      </w:r>
      <w:r w:rsidRPr="00C3715A">
        <w:rPr>
          <w:rStyle w:val="StyleUnderline"/>
          <w:highlight w:val="green"/>
        </w:rPr>
        <w:t xml:space="preserve">a </w:t>
      </w:r>
      <w:r w:rsidRPr="00C3715A">
        <w:rPr>
          <w:rStyle w:val="Emphasis"/>
          <w:highlight w:val="green"/>
        </w:rPr>
        <w:t>give-and-give</w:t>
      </w:r>
      <w:r w:rsidRPr="00C3715A">
        <w:rPr>
          <w:rStyle w:val="StyleUnderline"/>
          <w:highlight w:val="green"/>
        </w:rPr>
        <w:t xml:space="preserve">, or </w:t>
      </w:r>
      <w:r w:rsidRPr="00C3715A">
        <w:rPr>
          <w:rStyle w:val="Emphasis"/>
          <w:highlight w:val="green"/>
        </w:rPr>
        <w:t>take-and-take</w:t>
      </w:r>
      <w:r w:rsidRPr="00324857">
        <w:rPr>
          <w:rStyle w:val="StyleUnderline"/>
        </w:rPr>
        <w:t>.</w:t>
      </w:r>
      <w:r w:rsidRPr="002C7B69">
        <w:rPr>
          <w:sz w:val="12"/>
        </w:rPr>
        <w:t xml:space="preserve"> What I mean is conveyed by the sexual senses of those terms, the way that to take it or to give it share meanings. </w:t>
      </w:r>
      <w:r w:rsidRPr="00BF2075">
        <w:rPr>
          <w:rStyle w:val="StyleUnderline"/>
          <w:highlight w:val="green"/>
        </w:rPr>
        <w:t xml:space="preserve">The moment you enter a process of </w:t>
      </w:r>
      <w:r w:rsidRPr="00BF2075">
        <w:rPr>
          <w:rStyle w:val="Emphasis"/>
          <w:highlight w:val="green"/>
        </w:rPr>
        <w:t>exchange</w:t>
      </w:r>
      <w:r w:rsidRPr="00BF2075">
        <w:rPr>
          <w:rStyle w:val="StyleUnderline"/>
          <w:highlight w:val="green"/>
        </w:rPr>
        <w:t xml:space="preserve">, you’re </w:t>
      </w:r>
      <w:r w:rsidRPr="00402AD9">
        <w:rPr>
          <w:rStyle w:val="StyleUnderline"/>
        </w:rPr>
        <w:t xml:space="preserve">inevitably </w:t>
      </w:r>
      <w:r w:rsidRPr="00AF3DFC">
        <w:rPr>
          <w:rStyle w:val="Emphasis"/>
          <w:highlight w:val="green"/>
        </w:rPr>
        <w:t>surrounded by its excess</w:t>
      </w:r>
      <w:r w:rsidRPr="00F249BA">
        <w:rPr>
          <w:rStyle w:val="StyleUnderline"/>
        </w:rPr>
        <w:t xml:space="preserve"> or remainder, which always clouds or enriches it.</w:t>
      </w:r>
      <w:r w:rsidRPr="002C7B69">
        <w:rPr>
          <w:sz w:val="12"/>
        </w:rPr>
        <w:t xml:space="preserve"> This is especially </w:t>
      </w:r>
      <w:r w:rsidRPr="00634F33">
        <w:rPr>
          <w:sz w:val="12"/>
        </w:rPr>
        <w:t xml:space="preserve">true of “care work.” </w:t>
      </w:r>
      <w:r w:rsidRPr="00634F33">
        <w:rPr>
          <w:rStyle w:val="StyleUnderline"/>
        </w:rPr>
        <w:t xml:space="preserve">Until we start to see life as labor we will never really see work. </w:t>
      </w:r>
      <w:r w:rsidRPr="00634F33">
        <w:rPr>
          <w:sz w:val="12"/>
        </w:rPr>
        <w:t xml:space="preserve">We’ll stay like Wages for Housework, insisting, “We work!”—I’d like to include them in a crip understanding of life and labor, but I don’t think they are necessarily </w:t>
      </w:r>
      <w:r w:rsidRPr="009B6625">
        <w:rPr>
          <w:rStyle w:val="StyleUnderline"/>
          <w:highlight w:val="green"/>
        </w:rPr>
        <w:t>thinking with disability</w:t>
      </w:r>
      <w:r w:rsidRPr="00634F33">
        <w:rPr>
          <w:sz w:val="12"/>
        </w:rPr>
        <w:t xml:space="preserve"> per se, so I’m just trying to help them out, because </w:t>
      </w:r>
      <w:r w:rsidRPr="005620BF">
        <w:rPr>
          <w:sz w:val="12"/>
        </w:rPr>
        <w:t>dependency and need are ground states for the question of reproduction in and beyond birthing and working.</w:t>
      </w:r>
    </w:p>
    <w:p w14:paraId="25A6DE69" w14:textId="77777777" w:rsidR="00033179" w:rsidRPr="003B3CA0" w:rsidRDefault="00033179" w:rsidP="00033179">
      <w:pPr>
        <w:rPr>
          <w:sz w:val="12"/>
        </w:rPr>
      </w:pPr>
      <w:r w:rsidRPr="005620BF">
        <w:rPr>
          <w:rStyle w:val="StyleUnderline"/>
        </w:rPr>
        <w:t xml:space="preserve">Work is for one thing only, and that’s to provide for the needs or conditions of life, to condition life. </w:t>
      </w:r>
      <w:r w:rsidRPr="005620BF">
        <w:rPr>
          <w:sz w:val="12"/>
        </w:rPr>
        <w:t>All work is care work.</w:t>
      </w:r>
      <w:r w:rsidRPr="002C7B69">
        <w:rPr>
          <w:sz w:val="12"/>
        </w:rPr>
        <w:t xml:space="preserve"> </w:t>
      </w:r>
      <w:r w:rsidRPr="006B5290">
        <w:rPr>
          <w:rStyle w:val="StyleUnderline"/>
        </w:rPr>
        <w:t>Until</w:t>
      </w:r>
      <w:r w:rsidRPr="00F12A93">
        <w:rPr>
          <w:rStyle w:val="StyleUnderline"/>
        </w:rPr>
        <w:t xml:space="preserve"> </w:t>
      </w:r>
      <w:r w:rsidRPr="008528F8">
        <w:rPr>
          <w:rStyle w:val="StyleUnderline"/>
          <w:highlight w:val="green"/>
        </w:rPr>
        <w:t>we see</w:t>
      </w:r>
      <w:r w:rsidRPr="00F12A93">
        <w:rPr>
          <w:rStyle w:val="StyleUnderline"/>
        </w:rPr>
        <w:t xml:space="preserve"> all life-and-death as invaluable</w:t>
      </w:r>
      <w:r w:rsidRPr="002C7B69">
        <w:rPr>
          <w:sz w:val="12"/>
        </w:rPr>
        <w:t xml:space="preserve">, which is to say until we </w:t>
      </w:r>
      <w:r w:rsidRPr="008528F8">
        <w:rPr>
          <w:rStyle w:val="StyleUnderline"/>
          <w:highlight w:val="green"/>
        </w:rPr>
        <w:t>work</w:t>
      </w:r>
      <w:r w:rsidRPr="002C7B69">
        <w:rPr>
          <w:sz w:val="12"/>
        </w:rPr>
        <w:t xml:space="preserve"> with and </w:t>
      </w:r>
      <w:r w:rsidRPr="008528F8">
        <w:rPr>
          <w:rStyle w:val="StyleUnderline"/>
          <w:highlight w:val="green"/>
        </w:rPr>
        <w:t xml:space="preserve">beyond </w:t>
      </w:r>
      <w:r w:rsidRPr="005620BF">
        <w:rPr>
          <w:rStyle w:val="StyleUnderline"/>
        </w:rPr>
        <w:t>the notion of t</w:t>
      </w:r>
      <w:r w:rsidRPr="00464EC1">
        <w:rPr>
          <w:rStyle w:val="StyleUnderline"/>
        </w:rPr>
        <w:t xml:space="preserve">he </w:t>
      </w:r>
      <w:r w:rsidRPr="008528F8">
        <w:rPr>
          <w:rStyle w:val="StyleUnderline"/>
          <w:highlight w:val="green"/>
        </w:rPr>
        <w:t>production of value by labor,</w:t>
      </w:r>
      <w:r w:rsidRPr="00464EC1">
        <w:rPr>
          <w:rStyle w:val="StyleUnderline"/>
        </w:rPr>
        <w:t xml:space="preserve"> and into the reproduction or transduction of invalue in the nonopposition of life and death, </w:t>
      </w:r>
      <w:r w:rsidRPr="00777D24">
        <w:rPr>
          <w:rStyle w:val="StyleUnderline"/>
        </w:rPr>
        <w:t xml:space="preserve">we won’t really recognize labor—precisely </w:t>
      </w:r>
      <w:r w:rsidRPr="003B3CA0">
        <w:rPr>
          <w:rStyle w:val="StyleUnderline"/>
        </w:rPr>
        <w:t>because we will have failed to recognize the dependency we share.</w:t>
      </w:r>
      <w:r w:rsidRPr="003B3CA0">
        <w:rPr>
          <w:sz w:val="12"/>
        </w:rPr>
        <w:t xml:space="preserve"> This is debt.</w:t>
      </w:r>
    </w:p>
    <w:p w14:paraId="0DAF1CF7" w14:textId="77777777" w:rsidR="00033179" w:rsidRPr="00FF5ED3" w:rsidRDefault="00033179" w:rsidP="00033179">
      <w:pPr>
        <w:rPr>
          <w:rStyle w:val="StyleUnderline"/>
        </w:rPr>
      </w:pPr>
      <w:r w:rsidRPr="003B3CA0">
        <w:rPr>
          <w:sz w:val="12"/>
        </w:rPr>
        <w:t xml:space="preserve">And </w:t>
      </w:r>
      <w:r w:rsidRPr="003B3CA0">
        <w:rPr>
          <w:rStyle w:val="StyleUnderline"/>
        </w:rPr>
        <w:t>yes, need is a form of wealth</w:t>
      </w:r>
      <w:r w:rsidRPr="003B3CA0">
        <w:rPr>
          <w:sz w:val="12"/>
        </w:rPr>
        <w:t xml:space="preserve">. We are </w:t>
      </w:r>
      <w:r w:rsidRPr="003B3CA0">
        <w:rPr>
          <w:rStyle w:val="StyleUnderline"/>
        </w:rPr>
        <w:t>surplus</w:t>
      </w:r>
      <w:r w:rsidRPr="003B3CA0">
        <w:rPr>
          <w:sz w:val="12"/>
        </w:rPr>
        <w:t>, we</w:t>
      </w:r>
      <w:r w:rsidRPr="0010525C">
        <w:rPr>
          <w:sz w:val="12"/>
        </w:rPr>
        <w:t xml:space="preserve"> are </w:t>
      </w:r>
      <w:r w:rsidRPr="0010525C">
        <w:rPr>
          <w:rStyle w:val="StyleUnderline"/>
        </w:rPr>
        <w:t>common</w:t>
      </w:r>
      <w:r w:rsidRPr="0010525C">
        <w:rPr>
          <w:sz w:val="12"/>
        </w:rPr>
        <w:t xml:space="preserve">, we are </w:t>
      </w:r>
      <w:r w:rsidRPr="0010525C">
        <w:rPr>
          <w:rStyle w:val="StyleUnderline"/>
        </w:rPr>
        <w:t>extra</w:t>
      </w:r>
      <w:r w:rsidRPr="0010525C">
        <w:rPr>
          <w:sz w:val="12"/>
        </w:rPr>
        <w:t xml:space="preserve">. We are </w:t>
      </w:r>
      <w:r w:rsidRPr="0010525C">
        <w:rPr>
          <w:rStyle w:val="StyleUnderline"/>
        </w:rPr>
        <w:t>a site of accumulation that is marked as disposable. But rather than</w:t>
      </w:r>
      <w:r w:rsidRPr="0010525C">
        <w:rPr>
          <w:sz w:val="12"/>
        </w:rPr>
        <w:t xml:space="preserve"> figuring us as </w:t>
      </w:r>
      <w:r w:rsidRPr="0010525C">
        <w:rPr>
          <w:rStyle w:val="StyleUnderline"/>
        </w:rPr>
        <w:t>extra, I’m more interested in</w:t>
      </w:r>
      <w:r w:rsidRPr="00DF0F67">
        <w:rPr>
          <w:rStyle w:val="StyleUnderline"/>
        </w:rPr>
        <w:t xml:space="preserve"> the </w:t>
      </w:r>
      <w:r w:rsidRPr="00FC0587">
        <w:rPr>
          <w:rStyle w:val="Emphasis"/>
          <w:highlight w:val="green"/>
        </w:rPr>
        <w:t>disfiguring</w:t>
      </w:r>
      <w:r w:rsidRPr="00287D87">
        <w:rPr>
          <w:rStyle w:val="StyleUnderline"/>
          <w:highlight w:val="green"/>
        </w:rPr>
        <w:t xml:space="preserve"> </w:t>
      </w:r>
      <w:r w:rsidRPr="00DF0F67">
        <w:rPr>
          <w:rStyle w:val="StyleUnderline"/>
        </w:rPr>
        <w:t xml:space="preserve">that disabled life offers to </w:t>
      </w:r>
      <w:r w:rsidRPr="00FC0587">
        <w:rPr>
          <w:rStyle w:val="Emphasis"/>
          <w:highlight w:val="green"/>
        </w:rPr>
        <w:t>consensus-based reality</w:t>
      </w:r>
      <w:r w:rsidRPr="00287D87">
        <w:rPr>
          <w:rStyle w:val="StyleUnderline"/>
          <w:highlight w:val="green"/>
        </w:rPr>
        <w:t>, what it gives as waste</w:t>
      </w:r>
      <w:r w:rsidRPr="00FF5ED3">
        <w:rPr>
          <w:rStyle w:val="StyleUnderline"/>
        </w:rPr>
        <w:t xml:space="preserve"> and/or as abundance</w:t>
      </w:r>
      <w:r w:rsidRPr="002C7B69">
        <w:rPr>
          <w:sz w:val="12"/>
        </w:rPr>
        <w:t xml:space="preserve">, which is to say </w:t>
      </w:r>
      <w:r w:rsidRPr="000406BA">
        <w:rPr>
          <w:rStyle w:val="StyleUnderline"/>
          <w:highlight w:val="green"/>
        </w:rPr>
        <w:t xml:space="preserve">what’s being given away </w:t>
      </w:r>
      <w:r w:rsidRPr="002C2AC6">
        <w:rPr>
          <w:rStyle w:val="StyleUnderline"/>
        </w:rPr>
        <w:t>or</w:t>
      </w:r>
      <w:r w:rsidRPr="00FF5ED3">
        <w:rPr>
          <w:rStyle w:val="StyleUnderline"/>
        </w:rPr>
        <w:t xml:space="preserve"> given a way or taking a way, making no way, again—</w:t>
      </w:r>
      <w:r w:rsidRPr="0092677C">
        <w:rPr>
          <w:rStyle w:val="StyleUnderline"/>
          <w:highlight w:val="green"/>
        </w:rPr>
        <w:t>that impossible life of dreams</w:t>
      </w:r>
      <w:r w:rsidRPr="00FF5ED3">
        <w:rPr>
          <w:rStyle w:val="StyleUnderline"/>
        </w:rPr>
        <w:t xml:space="preserve">, art, you know, </w:t>
      </w:r>
      <w:r w:rsidRPr="0092677C">
        <w:rPr>
          <w:rStyle w:val="StyleUnderline"/>
          <w:highlight w:val="green"/>
        </w:rPr>
        <w:t>living in all those space-times deemed “extra.”</w:t>
      </w:r>
    </w:p>
    <w:p w14:paraId="11F6F9C3" w14:textId="77777777" w:rsidR="00033179" w:rsidRPr="007F58F6" w:rsidRDefault="00033179" w:rsidP="00033179">
      <w:pPr>
        <w:rPr>
          <w:sz w:val="12"/>
        </w:rPr>
      </w:pPr>
      <w:r w:rsidRPr="002C7B69">
        <w:rPr>
          <w:sz w:val="12"/>
        </w:rPr>
        <w:t xml:space="preserve">MM: I like what you’re saying about “giving it away.” Is this a motto for you as someone who works on debt? What does “giving it away” mean to you </w:t>
      </w:r>
      <w:r w:rsidRPr="008B3F62">
        <w:rPr>
          <w:rStyle w:val="StyleUnderline"/>
        </w:rPr>
        <w:t>in terms of disability</w:t>
      </w:r>
      <w:r w:rsidRPr="002C7B69">
        <w:rPr>
          <w:sz w:val="12"/>
        </w:rPr>
        <w:t xml:space="preserve">? Because earlier in our conversation you were, like, </w:t>
      </w:r>
      <w:r w:rsidRPr="00B2195F">
        <w:rPr>
          <w:rStyle w:val="StyleUnderline"/>
        </w:rPr>
        <w:t>“</w:t>
      </w:r>
      <w:r w:rsidRPr="008B3F62">
        <w:rPr>
          <w:rStyle w:val="StyleUnderline"/>
        </w:rPr>
        <w:t xml:space="preserve">I don’t want to define it, I want to </w:t>
      </w:r>
      <w:r w:rsidRPr="007F58F6">
        <w:rPr>
          <w:rStyle w:val="StyleUnderline"/>
        </w:rPr>
        <w:t>give it away.”</w:t>
      </w:r>
      <w:r w:rsidRPr="007F58F6">
        <w:rPr>
          <w:sz w:val="12"/>
        </w:rPr>
        <w:t xml:space="preserve"> </w:t>
      </w:r>
    </w:p>
    <w:p w14:paraId="4AD87300" w14:textId="77777777" w:rsidR="00033179" w:rsidRPr="007F58F6" w:rsidRDefault="00033179" w:rsidP="00033179">
      <w:pPr>
        <w:rPr>
          <w:sz w:val="12"/>
        </w:rPr>
      </w:pPr>
      <w:r w:rsidRPr="007F58F6">
        <w:rPr>
          <w:sz w:val="12"/>
        </w:rPr>
        <w:t xml:space="preserve">CZ: I have a broad indefinition of disability—I haven’t defined it. I want to keep it indefinite and put it at the level of life. </w:t>
      </w:r>
      <w:r w:rsidRPr="007F58F6">
        <w:rPr>
          <w:rStyle w:val="StyleUnderline"/>
        </w:rPr>
        <w:t xml:space="preserve">Disability is seen as akin to death, even deemed “a fate worse than death.” </w:t>
      </w:r>
      <w:r w:rsidRPr="007F58F6">
        <w:rPr>
          <w:sz w:val="12"/>
        </w:rPr>
        <w:t xml:space="preserve">Whereas it’s quite obviously the ground state of life. Or, to put it more precisely, </w:t>
      </w:r>
      <w:r w:rsidRPr="007F58F6">
        <w:rPr>
          <w:rStyle w:val="StyleUnderline"/>
        </w:rPr>
        <w:t>disability is one site of the nonopposition of life and death.</w:t>
      </w:r>
      <w:r w:rsidRPr="007F58F6">
        <w:rPr>
          <w:sz w:val="12"/>
        </w:rPr>
        <w:t xml:space="preserve"> I’m grateful to J. Kameron Carter for using that phrase in a conversation with my partner, Amalle—we have been thinking about it since.</w:t>
      </w:r>
    </w:p>
    <w:p w14:paraId="6CC09393" w14:textId="77777777" w:rsidR="00033179" w:rsidRPr="002C7B69" w:rsidRDefault="00033179" w:rsidP="00033179">
      <w:pPr>
        <w:rPr>
          <w:sz w:val="12"/>
        </w:rPr>
      </w:pPr>
      <w:r w:rsidRPr="007F58F6">
        <w:rPr>
          <w:sz w:val="12"/>
        </w:rPr>
        <w:t>MM: Do audiences recognize the role that disability plays in your work? Or rather, when do they? Where do</w:t>
      </w:r>
      <w:r w:rsidRPr="002C7B69">
        <w:rPr>
          <w:sz w:val="12"/>
        </w:rPr>
        <w:t xml:space="preserve"> you think disability exists in your work?</w:t>
      </w:r>
    </w:p>
    <w:p w14:paraId="32EA60AB" w14:textId="77777777" w:rsidR="00033179" w:rsidRPr="005D7144" w:rsidRDefault="00033179" w:rsidP="00033179">
      <w:pPr>
        <w:rPr>
          <w:sz w:val="12"/>
        </w:rPr>
      </w:pPr>
      <w:r w:rsidRPr="002C7B69">
        <w:rPr>
          <w:sz w:val="12"/>
        </w:rPr>
        <w:t xml:space="preserve">CZ: </w:t>
      </w:r>
      <w:r w:rsidRPr="005D7144">
        <w:rPr>
          <w:rStyle w:val="Emphasis"/>
        </w:rPr>
        <w:t>Disability runs through all</w:t>
      </w:r>
      <w:r w:rsidRPr="005D7144">
        <w:rPr>
          <w:sz w:val="12"/>
        </w:rPr>
        <w:t xml:space="preserve"> my </w:t>
      </w:r>
      <w:r w:rsidRPr="005D7144">
        <w:rPr>
          <w:rStyle w:val="Emphasis"/>
        </w:rPr>
        <w:t>work</w:t>
      </w:r>
      <w:r w:rsidRPr="005D7144">
        <w:rPr>
          <w:sz w:val="12"/>
        </w:rPr>
        <w:t xml:space="preserve">. I usually say dependency </w:t>
      </w:r>
      <w:r w:rsidRPr="005D7144">
        <w:rPr>
          <w:rStyle w:val="StyleUnderline"/>
        </w:rPr>
        <w:t>because it gathers notions of debt and disability</w:t>
      </w:r>
      <w:r w:rsidRPr="005D7144">
        <w:rPr>
          <w:sz w:val="12"/>
        </w:rPr>
        <w:t xml:space="preserve">, which are </w:t>
      </w:r>
      <w:r w:rsidRPr="005D7144">
        <w:rPr>
          <w:rStyle w:val="StyleUnderline"/>
        </w:rPr>
        <w:t>also questions of labor and distribution</w:t>
      </w:r>
      <w:r w:rsidRPr="005D7144">
        <w:rPr>
          <w:sz w:val="12"/>
        </w:rPr>
        <w:t xml:space="preserve">. I think my works are often read through labor or through disability, rarely both. But my work isn’t organized by representations of </w:t>
      </w:r>
      <w:r w:rsidRPr="005D7144">
        <w:rPr>
          <w:rStyle w:val="StyleUnderline"/>
        </w:rPr>
        <w:t>labor</w:t>
      </w:r>
      <w:r w:rsidRPr="005D7144">
        <w:rPr>
          <w:sz w:val="12"/>
        </w:rPr>
        <w:t xml:space="preserve"> or disability. A stack of debt </w:t>
      </w:r>
      <w:r w:rsidRPr="005D7144">
        <w:rPr>
          <w:rStyle w:val="StyleUnderline"/>
        </w:rPr>
        <w:t>has everything to do with disability because it’s about dependency.</w:t>
      </w:r>
      <w:r w:rsidRPr="005D7144">
        <w:rPr>
          <w:sz w:val="12"/>
        </w:rPr>
        <w:t xml:space="preserve">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w:t>
      </w:r>
    </w:p>
    <w:p w14:paraId="648B5A1C" w14:textId="77777777" w:rsidR="00033179" w:rsidRDefault="00033179" w:rsidP="00033179">
      <w:pPr>
        <w:rPr>
          <w:rStyle w:val="StyleUnderline"/>
        </w:rPr>
      </w:pPr>
      <w:r w:rsidRPr="005D7144">
        <w:rPr>
          <w:sz w:val="12"/>
        </w:rPr>
        <w:t xml:space="preserve">RS: </w:t>
      </w:r>
      <w:r w:rsidRPr="005D7144">
        <w:rPr>
          <w:rStyle w:val="StyleUnderline"/>
        </w:rPr>
        <w:t xml:space="preserve">The pressure to define </w:t>
      </w:r>
      <w:r w:rsidRPr="00C85456">
        <w:rPr>
          <w:rStyle w:val="StyleUnderline"/>
          <w:highlight w:val="green"/>
        </w:rPr>
        <w:t xml:space="preserve">disability </w:t>
      </w:r>
      <w:r w:rsidRPr="00D1750B">
        <w:rPr>
          <w:rStyle w:val="StyleUnderline"/>
        </w:rPr>
        <w:t xml:space="preserve">in particular ways </w:t>
      </w:r>
      <w:r w:rsidRPr="00FE47E5">
        <w:rPr>
          <w:rStyle w:val="StyleUnderline"/>
          <w:highlight w:val="green"/>
        </w:rPr>
        <w:t xml:space="preserve">can’t be untethered from </w:t>
      </w:r>
      <w:r w:rsidRPr="00D1750B">
        <w:rPr>
          <w:rStyle w:val="StyleUnderline"/>
        </w:rPr>
        <w:t xml:space="preserve">the </w:t>
      </w:r>
      <w:r w:rsidRPr="00FE47E5">
        <w:rPr>
          <w:rStyle w:val="StyleUnderline"/>
          <w:highlight w:val="green"/>
        </w:rPr>
        <w:t>violence of capital</w:t>
      </w:r>
      <w:r w:rsidRPr="00D1750B">
        <w:rPr>
          <w:rStyle w:val="StyleUnderline"/>
        </w:rPr>
        <w:t>ism</w:t>
      </w:r>
      <w:r w:rsidRPr="002327B1">
        <w:rPr>
          <w:rStyle w:val="StyleUnderline"/>
        </w:rPr>
        <w:t>—there’s often a sense that</w:t>
      </w:r>
      <w:r w:rsidRPr="007F60C5">
        <w:rPr>
          <w:rStyle w:val="StyleUnderline"/>
        </w:rPr>
        <w:t xml:space="preserve"> </w:t>
      </w:r>
      <w:r w:rsidRPr="002327B1">
        <w:rPr>
          <w:rStyle w:val="StyleUnderline"/>
          <w:highlight w:val="green"/>
        </w:rPr>
        <w:t xml:space="preserve">we need to </w:t>
      </w:r>
      <w:r w:rsidRPr="00FE47E5">
        <w:rPr>
          <w:rStyle w:val="StyleUnderline"/>
          <w:highlight w:val="green"/>
        </w:rPr>
        <w:t xml:space="preserve">draw a circle around who counts </w:t>
      </w:r>
      <w:r w:rsidRPr="000E1684">
        <w:rPr>
          <w:rStyle w:val="StyleUnderline"/>
        </w:rPr>
        <w:t>and who doesn’t</w:t>
      </w:r>
      <w:r w:rsidRPr="007F60C5">
        <w:rPr>
          <w:rStyle w:val="StyleUnderline"/>
        </w:rPr>
        <w:t xml:space="preserve"> in order </w:t>
      </w:r>
      <w:r w:rsidRPr="00FE47E5">
        <w:rPr>
          <w:rStyle w:val="StyleUnderline"/>
          <w:highlight w:val="green"/>
        </w:rPr>
        <w:t>to make rights-based claims</w:t>
      </w:r>
      <w:r w:rsidRPr="007F60C5">
        <w:rPr>
          <w:rStyle w:val="StyleUnderline"/>
        </w:rPr>
        <w:t xml:space="preserve"> in ways that are </w:t>
      </w:r>
      <w:r w:rsidRPr="00547E38">
        <w:rPr>
          <w:rStyle w:val="StyleUnderline"/>
          <w:highlight w:val="green"/>
        </w:rPr>
        <w:t>legible</w:t>
      </w:r>
      <w:r w:rsidRPr="007F60C5">
        <w:rPr>
          <w:rStyle w:val="StyleUnderline"/>
        </w:rPr>
        <w:t xml:space="preserve"> within that system. </w:t>
      </w:r>
    </w:p>
    <w:p w14:paraId="510CC3C8" w14:textId="77777777" w:rsidR="00033179" w:rsidRPr="002C7B69" w:rsidRDefault="00033179" w:rsidP="00033179">
      <w:pPr>
        <w:rPr>
          <w:sz w:val="12"/>
        </w:rPr>
      </w:pPr>
      <w:r w:rsidRPr="002C7B69">
        <w:rPr>
          <w:sz w:val="12"/>
        </w:rPr>
        <w:t xml:space="preserve">CZ: I mean, yeah, </w:t>
      </w:r>
      <w:r w:rsidRPr="005A79F0">
        <w:rPr>
          <w:rStyle w:val="StyleUnderline"/>
          <w:highlight w:val="green"/>
        </w:rPr>
        <w:t>disability has a privileged relationship to form</w:t>
      </w:r>
      <w:r w:rsidRPr="000B216D">
        <w:rPr>
          <w:rStyle w:val="StyleUnderline"/>
        </w:rPr>
        <w:t xml:space="preserve">, deformity, and deforming. It has </w:t>
      </w:r>
      <w:r w:rsidRPr="005A79F0">
        <w:rPr>
          <w:rStyle w:val="StyleUnderline"/>
          <w:highlight w:val="green"/>
        </w:rPr>
        <w:t>this</w:t>
      </w:r>
      <w:r w:rsidRPr="000B216D">
        <w:rPr>
          <w:rStyle w:val="StyleUnderline"/>
        </w:rPr>
        <w:t xml:space="preserve"> co</w:t>
      </w:r>
      <w:r w:rsidRPr="007F58F6">
        <w:rPr>
          <w:rStyle w:val="StyleUnderline"/>
        </w:rPr>
        <w:t>ol in</w:t>
      </w:r>
      <w:r w:rsidRPr="007F58F6">
        <w:rPr>
          <w:rStyle w:val="StyleUnderline"/>
          <w:highlight w:val="green"/>
        </w:rPr>
        <w:t xml:space="preserve">capacity to deform </w:t>
      </w:r>
      <w:r w:rsidRPr="007F58F6">
        <w:rPr>
          <w:rStyle w:val="StyleUnderline"/>
        </w:rPr>
        <w:t>the</w:t>
      </w:r>
      <w:r w:rsidRPr="000B216D">
        <w:rPr>
          <w:rStyle w:val="StyleUnderline"/>
        </w:rPr>
        <w:t xml:space="preserve"> very </w:t>
      </w:r>
      <w:r w:rsidRPr="007F58F6">
        <w:rPr>
          <w:rStyle w:val="StyleUnderline"/>
          <w:highlight w:val="green"/>
        </w:rPr>
        <w:t>categories</w:t>
      </w:r>
      <w:r w:rsidRPr="000B216D">
        <w:rPr>
          <w:rStyle w:val="StyleUnderline"/>
        </w:rPr>
        <w:t xml:space="preserve"> of disabled and </w:t>
      </w:r>
      <w:r w:rsidRPr="0099708B">
        <w:rPr>
          <w:rStyle w:val="StyleUnderline"/>
        </w:rPr>
        <w:t>nondisabled, as well as</w:t>
      </w:r>
      <w:r w:rsidRPr="002C7B69">
        <w:rPr>
          <w:sz w:val="12"/>
        </w:rPr>
        <w:t xml:space="preserve"> all the </w:t>
      </w:r>
      <w:r w:rsidRPr="0099708B">
        <w:rPr>
          <w:rStyle w:val="StyleUnderline"/>
        </w:rPr>
        <w:t>subcategories</w:t>
      </w:r>
      <w:r w:rsidRPr="002C7B69">
        <w:rPr>
          <w:sz w:val="12"/>
        </w:rPr>
        <w:t xml:space="preserve"> imposed on disability itself—</w:t>
      </w:r>
      <w:r w:rsidRPr="0099708B">
        <w:rPr>
          <w:rStyle w:val="StyleUnderline"/>
        </w:rPr>
        <w:t>physical, cognitive, sensory, et cetera—which can’t be disentangled</w:t>
      </w:r>
      <w:r w:rsidRPr="002C7B69">
        <w:rPr>
          <w:sz w:val="12"/>
        </w:rPr>
        <w:t xml:space="preserve"> in our bodymind.</w:t>
      </w:r>
    </w:p>
    <w:p w14:paraId="71BFA0CD" w14:textId="77777777" w:rsidR="00033179" w:rsidRPr="002C7B69" w:rsidRDefault="00033179" w:rsidP="00033179">
      <w:pPr>
        <w:rPr>
          <w:sz w:val="12"/>
        </w:rPr>
      </w:pPr>
      <w:r w:rsidRPr="002C7B69">
        <w:rPr>
          <w:sz w:val="12"/>
        </w:rPr>
        <w:t>RS: We were also struck by this passage from “The Guild of the Brave Poor Things”:</w:t>
      </w:r>
    </w:p>
    <w:p w14:paraId="5F88CDCF" w14:textId="77777777" w:rsidR="00033179" w:rsidRPr="002C7B69" w:rsidRDefault="00033179" w:rsidP="00033179">
      <w:pPr>
        <w:rPr>
          <w:sz w:val="12"/>
        </w:rPr>
      </w:pPr>
      <w:r w:rsidRPr="00DB749A">
        <w:rPr>
          <w:rStyle w:val="StyleUnderline"/>
        </w:rPr>
        <w:t xml:space="preserve">The </w:t>
      </w:r>
      <w:r w:rsidRPr="00595710">
        <w:rPr>
          <w:rStyle w:val="StyleUnderline"/>
        </w:rPr>
        <w:t>question of visibility for the nonconforming body is at stakes a double blind. We all know what’s at stake in the question of ‘visibility’—how representation</w:t>
      </w:r>
      <w:r w:rsidRPr="003A766A">
        <w:rPr>
          <w:rStyle w:val="StyleUnderline"/>
        </w:rPr>
        <w:t xml:space="preserve"> can make us targets in offering, or imposing, recognition. For many of us this is a life and death situation—a bond entered as a double bind, and all bound up with one </w:t>
      </w:r>
      <w:r w:rsidRPr="00E46274">
        <w:rPr>
          <w:rStyle w:val="StyleUnderline"/>
        </w:rPr>
        <w:t xml:space="preserve">another. For many of us, it is a life or death situation—a gamble we ante with a blind. </w:t>
      </w:r>
      <w:r w:rsidRPr="000E4A4A">
        <w:rPr>
          <w:rStyle w:val="StyleUnderline"/>
          <w:highlight w:val="green"/>
        </w:rPr>
        <w:t>And so we ask, how can we live?</w:t>
      </w:r>
      <w:r w:rsidRPr="00E46274">
        <w:rPr>
          <w:rStyle w:val="StyleUnderline"/>
        </w:rPr>
        <w:t xml:space="preserve"> And we think one response to this call (among so many) is the love below—the stakes of which are double blind.</w:t>
      </w:r>
      <w:r w:rsidRPr="002C7B69">
        <w:rPr>
          <w:sz w:val="12"/>
        </w:rPr>
        <w:t>3</w:t>
      </w:r>
    </w:p>
    <w:p w14:paraId="1E4C696D" w14:textId="77777777" w:rsidR="00033179" w:rsidRPr="002C7B69" w:rsidRDefault="00033179" w:rsidP="00033179">
      <w:pPr>
        <w:rPr>
          <w:sz w:val="12"/>
        </w:rPr>
      </w:pPr>
      <w:r w:rsidRPr="002C7B69">
        <w:rPr>
          <w:sz w:val="12"/>
        </w:rPr>
        <w:t xml:space="preserve">Given this issue’s theme (“Disability and the Politics of Visibility”), we were wondering if you could elaborate on </w:t>
      </w:r>
      <w:r w:rsidRPr="005826A9">
        <w:rPr>
          <w:rStyle w:val="StyleUnderline"/>
        </w:rPr>
        <w:t xml:space="preserve">this “double blind” of visibility and the ways your work makes present subject positions, experiences, knowledges that are often absent from mainstream public discourse and how these praxes differ from the forms of </w:t>
      </w:r>
      <w:r w:rsidRPr="00F7258D">
        <w:rPr>
          <w:rStyle w:val="StyleUnderline"/>
        </w:rPr>
        <w:t>representation whose dangers you register above.</w:t>
      </w:r>
      <w:r w:rsidRPr="002C7B69">
        <w:rPr>
          <w:sz w:val="12"/>
        </w:rPr>
        <w:t xml:space="preserve"> Are there words other than visibility that you use to describe these practices?</w:t>
      </w:r>
    </w:p>
    <w:p w14:paraId="74752B4C" w14:textId="77777777" w:rsidR="00033179" w:rsidRPr="000E4A4A" w:rsidRDefault="00033179" w:rsidP="00033179">
      <w:pPr>
        <w:rPr>
          <w:sz w:val="12"/>
        </w:rPr>
      </w:pPr>
      <w:r w:rsidRPr="002C7B69">
        <w:rPr>
          <w:sz w:val="12"/>
        </w:rPr>
        <w:t xml:space="preserve">CZ: The notion of visibility is tethered to knowledge. I’m into seeing in the sense more of feeling than of representation. In that essay, we were </w:t>
      </w:r>
      <w:r w:rsidRPr="00974D49">
        <w:rPr>
          <w:rStyle w:val="StyleUnderline"/>
          <w:highlight w:val="green"/>
        </w:rPr>
        <w:t xml:space="preserve">thinking about </w:t>
      </w:r>
      <w:r w:rsidRPr="00985F1C">
        <w:rPr>
          <w:rStyle w:val="StyleUnderline"/>
          <w:highlight w:val="green"/>
        </w:rPr>
        <w:t>gambling and probability</w:t>
      </w:r>
      <w:r w:rsidRPr="00B3165E">
        <w:rPr>
          <w:rStyle w:val="StyleUnderline"/>
        </w:rPr>
        <w:t xml:space="preserve">, </w:t>
      </w:r>
      <w:r w:rsidRPr="00985F1C">
        <w:rPr>
          <w:rStyle w:val="StyleUnderline"/>
          <w:highlight w:val="green"/>
        </w:rPr>
        <w:t>thresholds and doors—</w:t>
      </w:r>
      <w:r w:rsidRPr="00B3165E">
        <w:rPr>
          <w:rStyle w:val="StyleUnderline"/>
        </w:rPr>
        <w:t xml:space="preserve">that is, access in the sense of traversing a threshold, but also access in the sense of knowledge of what is on the other side. </w:t>
      </w:r>
      <w:r w:rsidRPr="002C7B69">
        <w:rPr>
          <w:sz w:val="12"/>
        </w:rPr>
        <w:t xml:space="preserve">For example, the three doors on the game show Let’s Make a Deal, where </w:t>
      </w:r>
      <w:r w:rsidRPr="00D46699">
        <w:rPr>
          <w:rStyle w:val="StyleUnderline"/>
        </w:rPr>
        <w:t xml:space="preserve">the threshold represents a question of probability and a question of knowledge that is </w:t>
      </w:r>
      <w:r w:rsidRPr="000E4A4A">
        <w:rPr>
          <w:rStyle w:val="StyleUnderline"/>
        </w:rPr>
        <w:t>suspended.</w:t>
      </w:r>
      <w:r w:rsidRPr="000E4A4A">
        <w:rPr>
          <w:sz w:val="12"/>
        </w:rPr>
        <w:t xml:space="preserve"> When people talk about </w:t>
      </w:r>
      <w:r w:rsidRPr="000E4A4A">
        <w:rPr>
          <w:rStyle w:val="StyleUnderline"/>
        </w:rPr>
        <w:t>going in blind</w:t>
      </w:r>
      <w:r w:rsidRPr="000E4A4A">
        <w:rPr>
          <w:sz w:val="12"/>
        </w:rPr>
        <w:t>, or other variants on that, it’s a slur conflating blindness with the position of a compromised observer. We’re into the slur—it slides toward something that interests us—but we reject the ableist insult.</w:t>
      </w:r>
    </w:p>
    <w:p w14:paraId="4E0B055C" w14:textId="77777777" w:rsidR="00033179" w:rsidRPr="007C390D" w:rsidRDefault="00033179" w:rsidP="00033179">
      <w:pPr>
        <w:rPr>
          <w:rStyle w:val="StyleUnderline"/>
        </w:rPr>
      </w:pPr>
      <w:r w:rsidRPr="000E4A4A">
        <w:rPr>
          <w:sz w:val="12"/>
        </w:rPr>
        <w:t xml:space="preserve">In poker, </w:t>
      </w:r>
      <w:r w:rsidRPr="00920F29">
        <w:rPr>
          <w:rStyle w:val="StyleUnderline"/>
          <w:highlight w:val="green"/>
        </w:rPr>
        <w:t>the blind is a forced bet</w:t>
      </w:r>
      <w:r w:rsidRPr="000E4A4A">
        <w:rPr>
          <w:rStyle w:val="StyleUnderline"/>
        </w:rPr>
        <w:t xml:space="preserve"> that rotates from one player to the next.</w:t>
      </w:r>
      <w:r w:rsidRPr="000E4A4A">
        <w:rPr>
          <w:sz w:val="12"/>
        </w:rPr>
        <w:t xml:space="preserve"> The blind goes first and others must choose to call (match), raise, or fold. The blind puts in the minimum bet for everyone, the entry price of that hand. </w:t>
      </w:r>
      <w:r w:rsidRPr="000E4A4A">
        <w:rPr>
          <w:rStyle w:val="StyleUnderline"/>
        </w:rPr>
        <w:t xml:space="preserve">They’re </w:t>
      </w:r>
      <w:r w:rsidRPr="00C600E3">
        <w:rPr>
          <w:rStyle w:val="StyleUnderline"/>
          <w:highlight w:val="green"/>
        </w:rPr>
        <w:t>the</w:t>
      </w:r>
      <w:r w:rsidRPr="000E4A4A">
        <w:rPr>
          <w:rStyle w:val="StyleUnderline"/>
        </w:rPr>
        <w:t xml:space="preserve"> only </w:t>
      </w:r>
      <w:r w:rsidRPr="00C600E3">
        <w:rPr>
          <w:rStyle w:val="StyleUnderline"/>
          <w:highlight w:val="green"/>
        </w:rPr>
        <w:t>player</w:t>
      </w:r>
      <w:r w:rsidRPr="000E4A4A">
        <w:rPr>
          <w:rStyle w:val="StyleUnderline"/>
        </w:rPr>
        <w:t xml:space="preserve"> who </w:t>
      </w:r>
      <w:r w:rsidRPr="00C600E3">
        <w:rPr>
          <w:rStyle w:val="Emphasis"/>
          <w:highlight w:val="green"/>
        </w:rPr>
        <w:t>can’t decline to play</w:t>
      </w:r>
      <w:r w:rsidRPr="000E4A4A">
        <w:rPr>
          <w:rStyle w:val="StyleUnderline"/>
        </w:rPr>
        <w:t>, because they initiate the game. They can win or lose that hand, but they have to play</w:t>
      </w:r>
      <w:r w:rsidRPr="00A666B7">
        <w:rPr>
          <w:sz w:val="12"/>
        </w:rPr>
        <w:t xml:space="preserve"> at least one round, because their money goes in the pot, </w:t>
      </w:r>
      <w:r w:rsidRPr="002A17A4">
        <w:rPr>
          <w:rStyle w:val="StyleUnderline"/>
          <w:highlight w:val="green"/>
        </w:rPr>
        <w:t>no matter what.</w:t>
      </w:r>
    </w:p>
    <w:p w14:paraId="17D972EA" w14:textId="77777777" w:rsidR="00033179" w:rsidRPr="00920F29" w:rsidRDefault="00033179" w:rsidP="00033179">
      <w:pPr>
        <w:rPr>
          <w:rStyle w:val="Emphasis"/>
        </w:rPr>
      </w:pPr>
      <w:r w:rsidRPr="00951F9A">
        <w:rPr>
          <w:rStyle w:val="StyleUnderline"/>
          <w:highlight w:val="green"/>
        </w:rPr>
        <w:t>A double bind is an apparent but false choice</w:t>
      </w:r>
      <w:r w:rsidRPr="00920F29">
        <w:rPr>
          <w:rStyle w:val="StyleUnderline"/>
        </w:rPr>
        <w:t xml:space="preserve">, a lose-lose. Two determinants, two ways of losing, are held in a state of indeterminacy. It’s double because it looks like “or,” but it’s actually “and.” It’s not life or death, it’s life and death. </w:t>
      </w:r>
      <w:r w:rsidRPr="00920F29">
        <w:rPr>
          <w:rStyle w:val="Emphasis"/>
        </w:rPr>
        <w:t>Ride and die.</w:t>
      </w:r>
    </w:p>
    <w:p w14:paraId="0C1A4258" w14:textId="77777777" w:rsidR="00033179" w:rsidRPr="009940F7" w:rsidRDefault="00033179" w:rsidP="00033179">
      <w:pPr>
        <w:rPr>
          <w:rStyle w:val="StyleUnderline"/>
        </w:rPr>
      </w:pPr>
      <w:r w:rsidRPr="00920F29">
        <w:rPr>
          <w:rStyle w:val="StyleUnderline"/>
        </w:rPr>
        <w:t>We were thinking about what it is</w:t>
      </w:r>
      <w:r w:rsidRPr="00C9287D">
        <w:rPr>
          <w:rStyle w:val="StyleUnderline"/>
        </w:rPr>
        <w:t xml:space="preserve"> </w:t>
      </w:r>
      <w:r w:rsidRPr="00853751">
        <w:rPr>
          <w:rStyle w:val="StyleUnderline"/>
          <w:highlight w:val="green"/>
        </w:rPr>
        <w:t>to superimpose</w:t>
      </w:r>
      <w:r w:rsidRPr="00C9287D">
        <w:rPr>
          <w:rStyle w:val="StyleUnderline"/>
        </w:rPr>
        <w:t xml:space="preserve"> these two states, </w:t>
      </w:r>
      <w:r w:rsidRPr="00853751">
        <w:rPr>
          <w:rStyle w:val="StyleUnderline"/>
          <w:highlight w:val="green"/>
        </w:rPr>
        <w:t>the “and” of the double bind and the “or” of the blind</w:t>
      </w:r>
      <w:r w:rsidRPr="00C9287D">
        <w:rPr>
          <w:rStyle w:val="StyleUnderline"/>
        </w:rPr>
        <w:t xml:space="preserve">. </w:t>
      </w:r>
      <w:r w:rsidRPr="00356CCF">
        <w:rPr>
          <w:rStyle w:val="StyleUnderline"/>
        </w:rPr>
        <w:t>Imagine it as an eclipse</w:t>
      </w:r>
      <w:r w:rsidRPr="002C7B69">
        <w:rPr>
          <w:sz w:val="12"/>
        </w:rPr>
        <w:t>—one body moving in front of and occluding another—</w:t>
      </w:r>
      <w:r w:rsidRPr="009940F7">
        <w:rPr>
          <w:rStyle w:val="StyleUnderline"/>
        </w:rPr>
        <w:t>such that playing (the blind) is superimposed over being bound (the double bind). That’s what we meant by “double blind.”</w:t>
      </w:r>
    </w:p>
    <w:p w14:paraId="666FDA72" w14:textId="77777777" w:rsidR="00033179" w:rsidRPr="002C7B69" w:rsidRDefault="00033179" w:rsidP="00033179">
      <w:pPr>
        <w:rPr>
          <w:sz w:val="12"/>
        </w:rPr>
      </w:pPr>
      <w:r w:rsidRPr="00BC25DC">
        <w:rPr>
          <w:rStyle w:val="StyleUnderline"/>
          <w:highlight w:val="green"/>
        </w:rPr>
        <w:t xml:space="preserve">The double blind </w:t>
      </w:r>
      <w:r w:rsidRPr="00BC25DC">
        <w:rPr>
          <w:rStyle w:val="Emphasis"/>
          <w:highlight w:val="green"/>
        </w:rPr>
        <w:t>describes the stakes of dependency</w:t>
      </w:r>
      <w:r w:rsidRPr="00162A97">
        <w:rPr>
          <w:rStyle w:val="StyleUnderline"/>
        </w:rPr>
        <w:t xml:space="preserve">, or love. </w:t>
      </w:r>
      <w:r w:rsidRPr="00A528D3">
        <w:rPr>
          <w:rStyle w:val="StyleUnderline"/>
          <w:highlight w:val="green"/>
        </w:rPr>
        <w:t xml:space="preserve">Something you are </w:t>
      </w:r>
      <w:r w:rsidRPr="000E5CF8">
        <w:rPr>
          <w:rStyle w:val="Emphasis"/>
          <w:highlight w:val="green"/>
        </w:rPr>
        <w:t>bound to do</w:t>
      </w:r>
      <w:r w:rsidRPr="00A528D3">
        <w:rPr>
          <w:rStyle w:val="StyleUnderline"/>
          <w:highlight w:val="green"/>
        </w:rPr>
        <w:t xml:space="preserve"> that you </w:t>
      </w:r>
      <w:r w:rsidRPr="000E5CF8">
        <w:rPr>
          <w:rStyle w:val="Emphasis"/>
          <w:highlight w:val="green"/>
        </w:rPr>
        <w:t>still play at anyway.</w:t>
      </w:r>
      <w:r w:rsidRPr="002C7B69">
        <w:rPr>
          <w:sz w:val="12"/>
        </w:rPr>
        <w:t xml:space="preserve"> The stakes are so low—like, the lowest; they’re common, basal, banal, deep. It’s the hardest easy thing, the falling in and through of love.</w:t>
      </w:r>
    </w:p>
    <w:p w14:paraId="6C1C3542" w14:textId="77777777" w:rsidR="00033179" w:rsidRPr="002C7B69" w:rsidRDefault="00033179" w:rsidP="00033179">
      <w:pPr>
        <w:rPr>
          <w:sz w:val="12"/>
        </w:rPr>
      </w:pPr>
      <w:r w:rsidRPr="00855A7E">
        <w:rPr>
          <w:rStyle w:val="StyleUnderline"/>
        </w:rPr>
        <w:t>For disability, some things will need to be held in superposition precisely because there are two or more co-extant states here; it’s a both/and, not an either/or—a no-state dissolution. This is</w:t>
      </w:r>
      <w:r w:rsidRPr="00855A7E">
        <w:rPr>
          <w:sz w:val="12"/>
        </w:rPr>
        <w:t xml:space="preserve"> what I mean by </w:t>
      </w:r>
      <w:r w:rsidRPr="002F01D9">
        <w:rPr>
          <w:rStyle w:val="Emphasis"/>
          <w:highlight w:val="green"/>
        </w:rPr>
        <w:t>deforming: dissolving boundaries and still being bound</w:t>
      </w:r>
      <w:r w:rsidRPr="00855A7E">
        <w:rPr>
          <w:rStyle w:val="StyleUnderline"/>
        </w:rPr>
        <w:t>,</w:t>
      </w:r>
      <w:r w:rsidRPr="00855A7E">
        <w:rPr>
          <w:sz w:val="12"/>
        </w:rPr>
        <w:t xml:space="preserve"> bonding in this way that nonlocality conditions, the informality of animateriality and anamaterial presence. My bodymindsoul is already touching yours despite the juridical notion of consent and in the actual haptics of “feeling with” that the word consent is meant to attend to, which is to say care for.</w:t>
      </w:r>
    </w:p>
    <w:p w14:paraId="146716CB" w14:textId="77777777" w:rsidR="00033179" w:rsidRPr="00CE2A03" w:rsidRDefault="00033179" w:rsidP="00033179">
      <w:pPr>
        <w:pStyle w:val="Heading4"/>
      </w:pPr>
      <w:r w:rsidRPr="00CE2A03">
        <w:t>We’re impact turning the occurrence of this debate</w:t>
      </w:r>
      <w:r>
        <w:t xml:space="preserve">. The call for respectable deliberation requires </w:t>
      </w:r>
      <w:r w:rsidRPr="00CE2A03">
        <w:t xml:space="preserve">structural epistemic gaslighting </w:t>
      </w:r>
      <w:r>
        <w:t xml:space="preserve">that denies </w:t>
      </w:r>
      <w:r w:rsidRPr="00CE2A03">
        <w:t>disabled people</w:t>
      </w:r>
      <w:r>
        <w:t xml:space="preserve">s’ </w:t>
      </w:r>
      <w:r w:rsidRPr="00CE2A03">
        <w:t xml:space="preserve">embodied knowledge of </w:t>
      </w:r>
      <w:r>
        <w:t>how markets and labor movements actually feel.</w:t>
      </w:r>
    </w:p>
    <w:p w14:paraId="51E22FE1" w14:textId="77777777" w:rsidR="00033179" w:rsidRPr="00735238" w:rsidRDefault="00033179" w:rsidP="00033179">
      <w:pPr>
        <w:rPr>
          <w:sz w:val="12"/>
        </w:rPr>
      </w:pPr>
      <w:r w:rsidRPr="00F670F3">
        <w:rPr>
          <w:rStyle w:val="Style13ptBold"/>
        </w:rPr>
        <w:t xml:space="preserve">Polhaus Jr. 20 </w:t>
      </w:r>
      <w:r w:rsidRPr="00735238">
        <w:rPr>
          <w:sz w:val="12"/>
        </w:rPr>
        <w:t>[Hypatia (2020), 35, 674–686 doi:10.1017/hyp.2020.29 “Gaslighting and Echoing, or Why Collective Epistemic Resistance is not a ‘Witch Hunt’”</w:t>
      </w:r>
      <w:r>
        <w:rPr>
          <w:sz w:val="12"/>
        </w:rPr>
        <w:t>.</w:t>
      </w:r>
      <w:r w:rsidRPr="00735238">
        <w:rPr>
          <w:sz w:val="12"/>
        </w:rPr>
        <w:t xml:space="preserve"> Gaile Polhaus Jr., Professor &amp; Graduate Director in the Department of Philosophy at Miami University. Recut//Spence – thanks liz!]</w:t>
      </w:r>
    </w:p>
    <w:p w14:paraId="6D53A52D" w14:textId="77777777" w:rsidR="00033179" w:rsidRPr="005439D9" w:rsidRDefault="00033179" w:rsidP="00033179">
      <w:pPr>
        <w:rPr>
          <w:sz w:val="12"/>
        </w:rPr>
      </w:pPr>
      <w:r w:rsidRPr="005439D9">
        <w:rPr>
          <w:sz w:val="12"/>
        </w:rPr>
        <w:t>“</w:t>
      </w:r>
      <w:r w:rsidRPr="00145905">
        <w:rPr>
          <w:rStyle w:val="StyleUnderline"/>
        </w:rPr>
        <w:t>[W]hen a critique is heard as censorship a critique is not heard</w:t>
      </w:r>
      <w:r w:rsidRPr="005439D9">
        <w:rPr>
          <w:sz w:val="12"/>
        </w:rPr>
        <w:t xml:space="preserve">. In fact the allegation of censorship is often what is censoring; what stops a critique from staying in circulation.” —Sara Ahmed (2015) Individual and </w:t>
      </w:r>
      <w:r w:rsidRPr="00086AA4">
        <w:rPr>
          <w:rStyle w:val="StyleUnderline"/>
          <w:highlight w:val="green"/>
        </w:rPr>
        <w:t>collective epistemic resistance</w:t>
      </w:r>
      <w:r w:rsidRPr="005439D9">
        <w:rPr>
          <w:sz w:val="12"/>
        </w:rPr>
        <w:t xml:space="preserve"> to oppression </w:t>
      </w:r>
      <w:r w:rsidRPr="00BF6F27">
        <w:rPr>
          <w:rStyle w:val="StyleUnderline"/>
        </w:rPr>
        <w:t>is</w:t>
      </w:r>
      <w:r w:rsidRPr="005439D9">
        <w:rPr>
          <w:sz w:val="12"/>
        </w:rPr>
        <w:t xml:space="preserve"> sometimes </w:t>
      </w:r>
      <w:r w:rsidRPr="00086AA4">
        <w:rPr>
          <w:rStyle w:val="StyleUnderline"/>
          <w:highlight w:val="green"/>
        </w:rPr>
        <w:t>characterized as antithetical to</w:t>
      </w:r>
      <w:r w:rsidRPr="00BF6F27">
        <w:rPr>
          <w:rStyle w:val="StyleUnderline"/>
        </w:rPr>
        <w:t xml:space="preserve"> reasonable </w:t>
      </w:r>
      <w:r w:rsidRPr="00086AA4">
        <w:rPr>
          <w:rStyle w:val="StyleUnderline"/>
          <w:highlight w:val="green"/>
        </w:rPr>
        <w:t>discussion</w:t>
      </w:r>
      <w:r w:rsidRPr="00BF6F27">
        <w:rPr>
          <w:rStyle w:val="StyleUnderline"/>
        </w:rPr>
        <w:t xml:space="preserve"> in a manner that works to displace such resistance and to discredit the epistemic credibility of those enacting it.</w:t>
      </w:r>
      <w:r w:rsidRPr="005439D9">
        <w:rPr>
          <w:sz w:val="12"/>
        </w:rPr>
        <w:t xml:space="preserve"> I am interested in focusing attention on the political-epistemic context within which epistemic resistance to oppression occurs in order to highlight how charges of “unreasonability” operate in such settings. </w:t>
      </w:r>
      <w:r w:rsidRPr="008C2279">
        <w:rPr>
          <w:rStyle w:val="StyleUnderline"/>
        </w:rPr>
        <w:t>As</w:t>
      </w:r>
      <w:r w:rsidRPr="005439D9">
        <w:rPr>
          <w:sz w:val="12"/>
        </w:rPr>
        <w:t xml:space="preserve"> I shall elaborate over the course of this essay, </w:t>
      </w:r>
      <w:r w:rsidRPr="006C4CB1">
        <w:rPr>
          <w:rStyle w:val="StyleUnderline"/>
        </w:rPr>
        <w:t xml:space="preserve">resistance in the form of epistemic </w:t>
      </w:r>
      <w:r w:rsidRPr="00775564">
        <w:rPr>
          <w:rStyle w:val="StyleUnderline"/>
          <w:highlight w:val="green"/>
        </w:rPr>
        <w:t>disengagement may be</w:t>
      </w:r>
      <w:r w:rsidRPr="005439D9">
        <w:rPr>
          <w:sz w:val="12"/>
        </w:rPr>
        <w:t xml:space="preserve"> a </w:t>
      </w:r>
      <w:r w:rsidRPr="00775564">
        <w:rPr>
          <w:rStyle w:val="Emphasis"/>
          <w:highlight w:val="green"/>
        </w:rPr>
        <w:t>necessary</w:t>
      </w:r>
      <w:r w:rsidRPr="00775564">
        <w:rPr>
          <w:sz w:val="12"/>
          <w:highlight w:val="green"/>
        </w:rPr>
        <w:t xml:space="preserve"> </w:t>
      </w:r>
      <w:r w:rsidRPr="00775564">
        <w:rPr>
          <w:rStyle w:val="StyleUnderline"/>
          <w:highlight w:val="green"/>
        </w:rPr>
        <w:t xml:space="preserve">and </w:t>
      </w:r>
      <w:r w:rsidRPr="00775564">
        <w:rPr>
          <w:rStyle w:val="Emphasis"/>
          <w:highlight w:val="green"/>
        </w:rPr>
        <w:t>reasonable</w:t>
      </w:r>
      <w:r w:rsidRPr="005439D9">
        <w:rPr>
          <w:sz w:val="12"/>
        </w:rPr>
        <w:t xml:space="preserve"> response </w:t>
      </w:r>
      <w:r w:rsidRPr="00775564">
        <w:rPr>
          <w:rStyle w:val="StyleUnderline"/>
          <w:highlight w:val="green"/>
        </w:rPr>
        <w:t>to</w:t>
      </w:r>
      <w:r w:rsidRPr="006F53E8">
        <w:rPr>
          <w:rStyle w:val="StyleUnderline"/>
        </w:rPr>
        <w:t xml:space="preserve"> </w:t>
      </w:r>
      <w:r w:rsidRPr="00775564">
        <w:rPr>
          <w:rStyle w:val="StyleUnderline"/>
          <w:highlight w:val="green"/>
        </w:rPr>
        <w:t>mitigate</w:t>
      </w:r>
      <w:r w:rsidRPr="005439D9">
        <w:rPr>
          <w:sz w:val="12"/>
        </w:rPr>
        <w:t xml:space="preserve"> the ill effects of what I will call </w:t>
      </w:r>
      <w:r w:rsidRPr="00775564">
        <w:rPr>
          <w:rStyle w:val="StyleUnderline"/>
          <w:highlight w:val="green"/>
        </w:rPr>
        <w:t>structural epistemic gaslighting</w:t>
      </w:r>
      <w:r w:rsidRPr="005439D9">
        <w:rPr>
          <w:sz w:val="12"/>
        </w:rPr>
        <w:t xml:space="preserve">. For this reason, </w:t>
      </w:r>
      <w:r w:rsidRPr="00CA578C">
        <w:rPr>
          <w:rStyle w:val="Emphasis"/>
          <w:highlight w:val="green"/>
        </w:rPr>
        <w:t>calls to re-engage</w:t>
      </w:r>
      <w:r w:rsidRPr="00032A97">
        <w:rPr>
          <w:rStyle w:val="StyleUnderline"/>
        </w:rPr>
        <w:t xml:space="preserve"> on the premise that disengagement is de facto unreasonable may </w:t>
      </w:r>
      <w:r w:rsidRPr="00FB0275">
        <w:rPr>
          <w:rStyle w:val="StyleUnderline"/>
        </w:rPr>
        <w:t xml:space="preserve">further </w:t>
      </w:r>
      <w:r w:rsidRPr="00FB0275">
        <w:rPr>
          <w:rStyle w:val="Emphasis"/>
        </w:rPr>
        <w:t>exacerbate</w:t>
      </w:r>
      <w:r w:rsidRPr="00FB0275">
        <w:rPr>
          <w:rStyle w:val="StyleUnderline"/>
        </w:rPr>
        <w:t xml:space="preserve"> the effects of structural epistemic gaslighting</w:t>
      </w:r>
      <w:r w:rsidRPr="00A73531">
        <w:rPr>
          <w:rStyle w:val="Emphasis"/>
          <w:highlight w:val="green"/>
        </w:rPr>
        <w:t>.</w:t>
      </w:r>
      <w:r w:rsidRPr="005246D3">
        <w:rPr>
          <w:rStyle w:val="StyleUnderline"/>
        </w:rPr>
        <w:t xml:space="preserve"> </w:t>
      </w:r>
      <w:r w:rsidRPr="00FB0275">
        <w:rPr>
          <w:rStyle w:val="StyleUnderline"/>
        </w:rPr>
        <w:t>By</w:t>
      </w:r>
      <w:r w:rsidRPr="00FB0275">
        <w:rPr>
          <w:sz w:val="12"/>
        </w:rPr>
        <w:t xml:space="preserve"> resistant</w:t>
      </w:r>
      <w:r w:rsidRPr="005439D9">
        <w:rPr>
          <w:sz w:val="12"/>
        </w:rPr>
        <w:t xml:space="preserve"> epistemic disengagement, I mean disengaging and calling upon others to disengage from frameworks that maintain epistemic oppression, especially when those frameworks cast nondominantly situated knowers as less reliable and/or render unintelligible what is of interest to nondominantly situated knowers. For example</w:t>
      </w:r>
      <w:r w:rsidRPr="00F65762">
        <w:rPr>
          <w:rStyle w:val="StyleUnderline"/>
        </w:rPr>
        <w:t xml:space="preserve">, I </w:t>
      </w:r>
      <w:r w:rsidRPr="00A73531">
        <w:rPr>
          <w:rStyle w:val="StyleUnderline"/>
        </w:rPr>
        <w:t>take certain</w:t>
      </w:r>
      <w:r w:rsidRPr="00FB0275">
        <w:rPr>
          <w:rStyle w:val="StyleUnderline"/>
        </w:rPr>
        <w:t xml:space="preserve"> instances of </w:t>
      </w:r>
      <w:r w:rsidRPr="00CA578C">
        <w:rPr>
          <w:rStyle w:val="StyleUnderline"/>
          <w:highlight w:val="green"/>
        </w:rPr>
        <w:t>“deplatform</w:t>
      </w:r>
      <w:r w:rsidRPr="00A73531">
        <w:rPr>
          <w:sz w:val="10"/>
          <w:szCs w:val="10"/>
        </w:rPr>
        <w:t>ing</w:t>
      </w:r>
      <w:r w:rsidRPr="00A73531">
        <w:rPr>
          <w:rStyle w:val="StyleUnderline"/>
        </w:rPr>
        <w:t>”</w:t>
      </w:r>
      <w:r w:rsidRPr="00F65762">
        <w:rPr>
          <w:rStyle w:val="StyleUnderline"/>
        </w:rPr>
        <w:t xml:space="preserve"> (or refusals </w:t>
      </w:r>
      <w:r w:rsidRPr="00A73531">
        <w:rPr>
          <w:rStyle w:val="StyleUnderline"/>
        </w:rPr>
        <w:t>to give airtime to particular</w:t>
      </w:r>
      <w:r w:rsidRPr="00F65762">
        <w:rPr>
          <w:rStyle w:val="StyleUnderline"/>
        </w:rPr>
        <w:t xml:space="preserve"> viewpoints) to be resistant epistemic disengagements. </w:t>
      </w:r>
      <w:r w:rsidRPr="005439D9">
        <w:rPr>
          <w:sz w:val="12"/>
        </w:rPr>
        <w:t xml:space="preserve">As I have argued elsewhere, refusing to consider lines of thought that unfairly foreshorten epistemic agency for some is not only warranted but also in some instances epistemically generative (Pohlhaus, Jr. 2011). In this essay I am concerned with identifying the harm in soliciting re-engagement from those who resistantly disengage and elucidating what is obscured when refusal to (re)engage is characterized as contrary to reason, operating under a “mob mentality,” or “pursuing a witch hunt.” 1 While I recognize that refusing to engage with viewpoints that are harmful can itself result in harm, particularly insofar as it would be beneficial to dissuade people from holding them, those who are oppressed are often faced with double binds, making it nearly impossible to escape negative judgments. Marilyn Frye notes that one feature of oppression is that it produces situations in which </w:t>
      </w:r>
      <w:r w:rsidRPr="00C21699">
        <w:rPr>
          <w:rStyle w:val="StyleUnderline"/>
        </w:rPr>
        <w:t xml:space="preserve">the oppressed are castigated no matter what they do </w:t>
      </w:r>
      <w:r w:rsidRPr="005439D9">
        <w:rPr>
          <w:sz w:val="12"/>
        </w:rPr>
        <w:t xml:space="preserve">(Frye 1983a). It should come as no surprise, then, that </w:t>
      </w:r>
      <w:r w:rsidRPr="00C21699">
        <w:rPr>
          <w:rStyle w:val="StyleUnderline"/>
        </w:rPr>
        <w:t>the situations in which one finds oneself when resisting structures of oppression might themselves contain double binds.</w:t>
      </w:r>
      <w:r w:rsidRPr="005439D9">
        <w:rPr>
          <w:sz w:val="12"/>
        </w:rPr>
        <w:t xml:space="preserve"> There are dangers to working resistantly within as well as resisting by refusing to work within oppressive frameworks. Oppressed people have contended with this dilemma for centuries. Insofar as this is the case, part of the purpose of this article is to explore the harm that is done when those working from within epistemically oppressive frameworks (whether resistantly or not) call upon those who are disengaging from those frameworks to re-engage within the confines of that from which they are trying to disengage. More specifically, </w:t>
      </w:r>
      <w:r w:rsidRPr="00A95816">
        <w:rPr>
          <w:rStyle w:val="StyleUnderline"/>
        </w:rPr>
        <w:t xml:space="preserve">I want to caution feminists in particular from aligning with those who would charge such forms of disengagement with “unreasonability,” “shutting down the conversation,” “unthinking,” </w:t>
      </w:r>
      <w:r w:rsidRPr="005439D9">
        <w:rPr>
          <w:sz w:val="12"/>
        </w:rPr>
        <w:t xml:space="preserve">or, when that disengagement is collective, a “mob mentality” or a “witch hunt.” Importantly, </w:t>
      </w:r>
      <w:r w:rsidRPr="00A445AF">
        <w:rPr>
          <w:rStyle w:val="StyleUnderline"/>
        </w:rPr>
        <w:t>not all disengagements are the same</w:t>
      </w:r>
      <w:r w:rsidRPr="005439D9">
        <w:rPr>
          <w:sz w:val="12"/>
        </w:rPr>
        <w:t xml:space="preserve">. Who is disengaging from whom, the context within which disengaging occurs, and how the disengaging is enacted all matter here. For example, am I disengaging from a source that is calling into question the way unjust systems privilege me or from one that is reasserting dominance over me through unjust systems? If I am disengaging from a particular speaker, in what capacity are they speaking? Are they speaking as one who holds political office? As my student in a classroom setting? As someone with whom I have history or as someone I have just met? As a researcher contributing within an arena (for example, in a journal or at a conference) that has been consistently historically sexist and racist? Or as a scholar contributing research within an arena that has specifically identified itself as feminist and antiracist? Given the different nuances that disengagements can take, I think </w:t>
      </w:r>
      <w:r w:rsidRPr="00A73531">
        <w:rPr>
          <w:rStyle w:val="StyleUnderline"/>
          <w:highlight w:val="green"/>
        </w:rPr>
        <w:t xml:space="preserve">it is </w:t>
      </w:r>
      <w:r w:rsidRPr="00A73531">
        <w:rPr>
          <w:rStyle w:val="Emphasis"/>
          <w:highlight w:val="green"/>
        </w:rPr>
        <w:t>unwise</w:t>
      </w:r>
      <w:r w:rsidRPr="00A73531">
        <w:rPr>
          <w:rStyle w:val="StyleUnderline"/>
          <w:highlight w:val="green"/>
        </w:rPr>
        <w:t xml:space="preserve"> simply to assert that feminists </w:t>
      </w:r>
      <w:r w:rsidRPr="00A73531">
        <w:rPr>
          <w:rStyle w:val="Emphasis"/>
          <w:sz w:val="24"/>
          <w:szCs w:val="24"/>
          <w:highlight w:val="green"/>
        </w:rPr>
        <w:t>ought always to engage</w:t>
      </w:r>
      <w:r w:rsidRPr="00A73531">
        <w:rPr>
          <w:rStyle w:val="StyleUnderline"/>
          <w:sz w:val="24"/>
          <w:szCs w:val="24"/>
          <w:highlight w:val="green"/>
        </w:rPr>
        <w:t xml:space="preserve"> </w:t>
      </w:r>
      <w:r w:rsidRPr="00AC3503">
        <w:rPr>
          <w:rStyle w:val="StyleUnderline"/>
        </w:rPr>
        <w:t>with others</w:t>
      </w:r>
      <w:r w:rsidRPr="00AC3503">
        <w:rPr>
          <w:sz w:val="12"/>
        </w:rPr>
        <w:t>.</w:t>
      </w:r>
      <w:r w:rsidRPr="005439D9">
        <w:rPr>
          <w:sz w:val="12"/>
        </w:rPr>
        <w:t xml:space="preserve"> Given differences in social positioning among feminists, I think </w:t>
      </w:r>
      <w:r w:rsidRPr="00AC3503">
        <w:rPr>
          <w:rStyle w:val="StyleUnderline"/>
          <w:highlight w:val="green"/>
        </w:rPr>
        <w:t>it is</w:t>
      </w:r>
      <w:r w:rsidRPr="00392DC7">
        <w:rPr>
          <w:rStyle w:val="StyleUnderline"/>
        </w:rPr>
        <w:t xml:space="preserve"> </w:t>
      </w:r>
      <w:r w:rsidRPr="00AC3503">
        <w:rPr>
          <w:rStyle w:val="StyleUnderline"/>
        </w:rPr>
        <w:t xml:space="preserve">particularly </w:t>
      </w:r>
      <w:r w:rsidRPr="00AC3503">
        <w:rPr>
          <w:rStyle w:val="StyleUnderline"/>
          <w:highlight w:val="green"/>
        </w:rPr>
        <w:t>unwise to understand all disengagements</w:t>
      </w:r>
      <w:r w:rsidRPr="00392DC7">
        <w:rPr>
          <w:rStyle w:val="StyleUnderline"/>
        </w:rPr>
        <w:t xml:space="preserve"> </w:t>
      </w:r>
      <w:r w:rsidRPr="005439D9">
        <w:rPr>
          <w:sz w:val="12"/>
        </w:rPr>
        <w:t xml:space="preserve">that happen between and among feminists </w:t>
      </w:r>
      <w:r w:rsidRPr="00AC3503">
        <w:rPr>
          <w:rStyle w:val="StyleUnderline"/>
          <w:highlight w:val="green"/>
        </w:rPr>
        <w:t>as the</w:t>
      </w:r>
      <w:r w:rsidRPr="00392DC7">
        <w:rPr>
          <w:rStyle w:val="StyleUnderline"/>
        </w:rPr>
        <w:t xml:space="preserve"> </w:t>
      </w:r>
      <w:r w:rsidRPr="00AC3503">
        <w:rPr>
          <w:rStyle w:val="StyleUnderline"/>
          <w:highlight w:val="green"/>
        </w:rPr>
        <w:t>same</w:t>
      </w:r>
      <w:r w:rsidRPr="005439D9">
        <w:rPr>
          <w:sz w:val="12"/>
        </w:rPr>
        <w:t xml:space="preserve">. Given that not all disengagements are the same, I am concerned in particular about characterizing resistant epistemic disengagements as “shutting down conversation” or “disengaging from thinking” for at least two reasons. First, it suggests that epistemic disengagements are simply refusals to engage in a nonpolitical, “purely epistemic” endeavor (hence “irrational”). This obscures not only the way epistemic activities are politically structured, but also the amount of epistemic labor that may very well be operative in enacting resistant epistemic disengagements. Second, characterizing resistant epistemic disengagements as “shutting down conversation” or “disengaging from thinking” can itself be a form of shutting down conversations and disengaging from difficult thinking. In other words, </w:t>
      </w:r>
      <w:r w:rsidRPr="00AC3503">
        <w:rPr>
          <w:rStyle w:val="StyleUnderline"/>
          <w:highlight w:val="green"/>
        </w:rPr>
        <w:t>refusing to engage</w:t>
      </w:r>
      <w:r w:rsidRPr="00FE3078">
        <w:rPr>
          <w:rStyle w:val="StyleUnderline"/>
        </w:rPr>
        <w:t>, and calling upon others not to engage</w:t>
      </w:r>
      <w:r w:rsidRPr="005439D9">
        <w:rPr>
          <w:sz w:val="12"/>
        </w:rPr>
        <w:t xml:space="preserve">, in particular ways of thinking </w:t>
      </w:r>
      <w:r w:rsidRPr="00FE3078">
        <w:rPr>
          <w:rStyle w:val="StyleUnderline"/>
        </w:rPr>
        <w:t xml:space="preserve">need not shut conversation down; instead, it </w:t>
      </w:r>
      <w:r w:rsidRPr="00AC3503">
        <w:rPr>
          <w:rStyle w:val="Emphasis"/>
          <w:highlight w:val="green"/>
        </w:rPr>
        <w:t>can</w:t>
      </w:r>
      <w:r w:rsidRPr="00AC3503">
        <w:rPr>
          <w:rStyle w:val="StyleUnderline"/>
          <w:highlight w:val="green"/>
        </w:rPr>
        <w:t xml:space="preserve"> be a </w:t>
      </w:r>
      <w:r w:rsidRPr="00AC3503">
        <w:rPr>
          <w:rStyle w:val="Emphasis"/>
          <w:highlight w:val="green"/>
        </w:rPr>
        <w:t>call toward a different conversation</w:t>
      </w:r>
      <w:r w:rsidRPr="00FE3078">
        <w:rPr>
          <w:rStyle w:val="StyleUnderline"/>
        </w:rPr>
        <w:t>.</w:t>
      </w:r>
      <w:r w:rsidRPr="005439D9">
        <w:rPr>
          <w:sz w:val="12"/>
        </w:rPr>
        <w:t xml:space="preserve"> It need not be a disengagement from thinking altogether, but </w:t>
      </w:r>
      <w:r w:rsidRPr="00036AD8">
        <w:rPr>
          <w:rStyle w:val="StyleUnderline"/>
        </w:rPr>
        <w:t xml:space="preserve">a disengagement from one particular line of thinking and </w:t>
      </w:r>
      <w:r w:rsidRPr="00036AD8">
        <w:rPr>
          <w:rStyle w:val="Emphasis"/>
        </w:rPr>
        <w:t>an invitation</w:t>
      </w:r>
      <w:r w:rsidRPr="00036AD8">
        <w:rPr>
          <w:rStyle w:val="StyleUnderline"/>
        </w:rPr>
        <w:t xml:space="preserve"> to </w:t>
      </w:r>
      <w:r w:rsidRPr="00036AD8">
        <w:rPr>
          <w:rStyle w:val="Emphasis"/>
        </w:rPr>
        <w:t>engage epistemically in another</w:t>
      </w:r>
      <w:r w:rsidRPr="005439D9">
        <w:rPr>
          <w:sz w:val="12"/>
        </w:rPr>
        <w:t xml:space="preserve">. For this reason, </w:t>
      </w:r>
      <w:r w:rsidRPr="00AC3503">
        <w:rPr>
          <w:rStyle w:val="StyleUnderline"/>
          <w:highlight w:val="green"/>
        </w:rPr>
        <w:t xml:space="preserve">what appears to be disengagement </w:t>
      </w:r>
      <w:r w:rsidRPr="00AC3503">
        <w:rPr>
          <w:rStyle w:val="Emphasis"/>
          <w:highlight w:val="green"/>
        </w:rPr>
        <w:t>from one perspective might</w:t>
      </w:r>
      <w:r w:rsidRPr="008362C0">
        <w:rPr>
          <w:rStyle w:val="StyleUnderline"/>
        </w:rPr>
        <w:t xml:space="preserve"> also </w:t>
      </w:r>
      <w:r w:rsidRPr="00AC3503">
        <w:rPr>
          <w:rStyle w:val="StyleUnderline"/>
          <w:highlight w:val="green"/>
        </w:rPr>
        <w:t>be</w:t>
      </w:r>
      <w:r w:rsidRPr="008362C0">
        <w:rPr>
          <w:rStyle w:val="StyleUnderline"/>
        </w:rPr>
        <w:t xml:space="preserve"> characterized as </w:t>
      </w:r>
      <w:r w:rsidRPr="00AC3503">
        <w:rPr>
          <w:rStyle w:val="Emphasis"/>
          <w:sz w:val="28"/>
          <w:szCs w:val="28"/>
          <w:highlight w:val="green"/>
        </w:rPr>
        <w:t>animating new</w:t>
      </w:r>
      <w:r w:rsidRPr="008362C0">
        <w:rPr>
          <w:rStyle w:val="StyleUnderline"/>
          <w:sz w:val="28"/>
          <w:szCs w:val="28"/>
        </w:rPr>
        <w:t xml:space="preserve"> </w:t>
      </w:r>
      <w:r w:rsidRPr="008362C0">
        <w:rPr>
          <w:rStyle w:val="StyleUnderline"/>
        </w:rPr>
        <w:t xml:space="preserve">or </w:t>
      </w:r>
      <w:r w:rsidRPr="00AC3503">
        <w:rPr>
          <w:rStyle w:val="StyleUnderline"/>
          <w:highlight w:val="green"/>
        </w:rPr>
        <w:t xml:space="preserve">different forms of </w:t>
      </w:r>
      <w:r w:rsidRPr="00AC3503">
        <w:rPr>
          <w:rStyle w:val="Emphasis"/>
          <w:sz w:val="28"/>
          <w:szCs w:val="28"/>
          <w:highlight w:val="green"/>
        </w:rPr>
        <w:t>engagement</w:t>
      </w:r>
      <w:r w:rsidRPr="00AC3503">
        <w:rPr>
          <w:rStyle w:val="StyleUnderline"/>
          <w:highlight w:val="green"/>
        </w:rPr>
        <w:t xml:space="preserve"> </w:t>
      </w:r>
      <w:r w:rsidRPr="00AC3503">
        <w:rPr>
          <w:rStyle w:val="Emphasis"/>
          <w:sz w:val="28"/>
          <w:szCs w:val="28"/>
          <w:highlight w:val="green"/>
        </w:rPr>
        <w:t>from another</w:t>
      </w:r>
      <w:r w:rsidRPr="008362C0">
        <w:rPr>
          <w:rStyle w:val="StyleUnderline"/>
          <w:sz w:val="28"/>
          <w:szCs w:val="28"/>
        </w:rPr>
        <w:t xml:space="preserve"> </w:t>
      </w:r>
      <w:r w:rsidRPr="008362C0">
        <w:rPr>
          <w:rStyle w:val="StyleUnderline"/>
        </w:rPr>
        <w:t>perspective</w:t>
      </w:r>
      <w:r w:rsidRPr="005439D9">
        <w:rPr>
          <w:sz w:val="12"/>
        </w:rPr>
        <w:t>. Insofar as this is the case, resistant disengagements can call upon others to participate in more justly structured engagements. It can be difficult for some knowers to recognize this call when epistemic systems press upon knowers in distinctly different ways. However, when nondominantly situated knowers are cast as “unreasonable,” “unthinking,” or “difficult,” this should give feminists pause (Frye 1983b). Given that all oppressed groups are themselves coalitions among oppressed groups (Crenshaw 1995), collective epistemic resistance is hard. Structural conditions that gaslight nondominantly situated knowers can actively disappear the epistemic labor entailed in resisting oppression and can enlist knowers in perpetuating those conditions by casting resistant disengagement as unreasonable. In the first half of this article, I develop a structural notion of epistemic gaslighting in order to highlight conditions under which epistemic agents might reasonably enact resistant epistemic disengagement. In the second half, I develop two senses of the term epistemic echoing. The first sense highlights the</w:t>
      </w:r>
      <w:r w:rsidRPr="00472122">
        <w:rPr>
          <w:rStyle w:val="StyleUnderline"/>
        </w:rPr>
        <w:t xml:space="preserve"> epistemic labor entailed in withdrawing from conditions of structural epistemic gaslighting</w:t>
      </w:r>
      <w:r w:rsidRPr="005439D9">
        <w:rPr>
          <w:sz w:val="12"/>
        </w:rPr>
        <w:t xml:space="preserve"> that </w:t>
      </w:r>
      <w:r w:rsidRPr="00472122">
        <w:rPr>
          <w:rStyle w:val="StyleUnderline"/>
        </w:rPr>
        <w:t>is sometimes mischaracterized as a pernicious self-sequestering</w:t>
      </w:r>
      <w:r w:rsidRPr="005439D9">
        <w:rPr>
          <w:sz w:val="12"/>
        </w:rPr>
        <w:t xml:space="preserve"> that is </w:t>
      </w:r>
      <w:r w:rsidRPr="00472122">
        <w:rPr>
          <w:rStyle w:val="StyleUnderline"/>
        </w:rPr>
        <w:t>antithetical to reason</w:t>
      </w:r>
      <w:r w:rsidRPr="005439D9">
        <w:rPr>
          <w:sz w:val="12"/>
        </w:rPr>
        <w:t xml:space="preserve">. The second sense highlights the epistemic labor entailed in actively confronting epistemic structures that gaslight, sometimes mischaracterized as “irrational group think.” In both cases, I highlight how </w:t>
      </w:r>
      <w:r w:rsidRPr="00AD3DB5">
        <w:rPr>
          <w:rStyle w:val="StyleUnderline"/>
        </w:rPr>
        <w:t>epistemic acts that may appear as unreasonable</w:t>
      </w:r>
      <w:r w:rsidRPr="005439D9">
        <w:rPr>
          <w:sz w:val="12"/>
        </w:rPr>
        <w:t xml:space="preserve"> “within the gaslight” </w:t>
      </w:r>
      <w:r w:rsidRPr="00AD3DB5">
        <w:rPr>
          <w:rStyle w:val="StyleUnderline"/>
        </w:rPr>
        <w:t>are, on the contrary, engaged in serious and important epistemic labor.</w:t>
      </w:r>
      <w:r w:rsidRPr="005439D9">
        <w:rPr>
          <w:sz w:val="12"/>
        </w:rPr>
        <w:t xml:space="preserve"> In order to highlight what is obscured when collective epistemic resistance is labeled “unthinking,” I begin by considering some features of the landscape within which epistemic resistance to oppression occurs. As Alison Bailey has noted, our endeavors to know the world take place within “unlevel knowing fields” (Bailey 2014). In other words, under conditions of oppression, </w:t>
      </w:r>
      <w:r w:rsidRPr="007057C1">
        <w:rPr>
          <w:rStyle w:val="StyleUnderline"/>
          <w:highlight w:val="green"/>
        </w:rPr>
        <w:t>epistemic institutions and practices structure knowers differently</w:t>
      </w:r>
      <w:r w:rsidRPr="00A8337F">
        <w:rPr>
          <w:rStyle w:val="StyleUnderline"/>
        </w:rPr>
        <w:t xml:space="preserve"> such that </w:t>
      </w:r>
      <w:r w:rsidRPr="007057C1">
        <w:rPr>
          <w:rStyle w:val="StyleUnderline"/>
          <w:highlight w:val="green"/>
        </w:rPr>
        <w:t>some</w:t>
      </w:r>
      <w:r w:rsidRPr="00A8337F">
        <w:rPr>
          <w:rStyle w:val="StyleUnderline"/>
        </w:rPr>
        <w:t xml:space="preserve"> will be </w:t>
      </w:r>
      <w:r w:rsidRPr="007057C1">
        <w:rPr>
          <w:rStyle w:val="StyleUnderline"/>
          <w:highlight w:val="green"/>
        </w:rPr>
        <w:t>enabled</w:t>
      </w:r>
      <w:r w:rsidRPr="00A8337F">
        <w:rPr>
          <w:rStyle w:val="StyleUnderline"/>
        </w:rPr>
        <w:t xml:space="preserve"> in their epistemic projects whereas </w:t>
      </w:r>
      <w:r w:rsidRPr="007057C1">
        <w:rPr>
          <w:rStyle w:val="StyleUnderline"/>
          <w:highlight w:val="green"/>
        </w:rPr>
        <w:t>others</w:t>
      </w:r>
      <w:r w:rsidRPr="00A8337F">
        <w:rPr>
          <w:rStyle w:val="StyleUnderline"/>
        </w:rPr>
        <w:t xml:space="preserve"> will be </w:t>
      </w:r>
      <w:r w:rsidRPr="007057C1">
        <w:rPr>
          <w:rStyle w:val="StyleUnderline"/>
          <w:highlight w:val="green"/>
        </w:rPr>
        <w:t>hindered</w:t>
      </w:r>
      <w:r w:rsidRPr="005439D9">
        <w:rPr>
          <w:sz w:val="12"/>
        </w:rPr>
        <w:t xml:space="preserve">. This is </w:t>
      </w:r>
      <w:r w:rsidRPr="007057C1">
        <w:rPr>
          <w:rStyle w:val="StyleUnderline"/>
          <w:highlight w:val="green"/>
        </w:rPr>
        <w:t xml:space="preserve">due </w:t>
      </w:r>
      <w:r w:rsidRPr="007057C1">
        <w:rPr>
          <w:rStyle w:val="StyleUnderline"/>
        </w:rPr>
        <w:t>not</w:t>
      </w:r>
      <w:r w:rsidRPr="00A72974">
        <w:rPr>
          <w:rStyle w:val="StyleUnderline"/>
        </w:rPr>
        <w:t xml:space="preserve"> only </w:t>
      </w:r>
      <w:r w:rsidRPr="007057C1">
        <w:rPr>
          <w:rStyle w:val="StyleUnderline"/>
          <w:highlight w:val="green"/>
        </w:rPr>
        <w:t>to</w:t>
      </w:r>
      <w:r w:rsidRPr="00A72974">
        <w:rPr>
          <w:rStyle w:val="StyleUnderline"/>
        </w:rPr>
        <w:t xml:space="preserve"> material inequities that hinder epistemic agency but also to </w:t>
      </w:r>
      <w:r w:rsidRPr="00A72974">
        <w:rPr>
          <w:rStyle w:val="Emphasis"/>
        </w:rPr>
        <w:t>collective epistemic practices</w:t>
      </w:r>
      <w:r w:rsidRPr="00A72974">
        <w:rPr>
          <w:rStyle w:val="StyleUnderline"/>
        </w:rPr>
        <w:t xml:space="preserve">, </w:t>
      </w:r>
      <w:r w:rsidRPr="007057C1">
        <w:rPr>
          <w:rStyle w:val="Emphasis"/>
          <w:highlight w:val="green"/>
        </w:rPr>
        <w:t>assumptions</w:t>
      </w:r>
      <w:r w:rsidRPr="007057C1">
        <w:rPr>
          <w:rStyle w:val="StyleUnderline"/>
          <w:highlight w:val="green"/>
        </w:rPr>
        <w:t>, and</w:t>
      </w:r>
      <w:r w:rsidRPr="007057C1">
        <w:rPr>
          <w:sz w:val="12"/>
          <w:highlight w:val="green"/>
        </w:rPr>
        <w:t xml:space="preserve"> </w:t>
      </w:r>
      <w:r w:rsidRPr="007057C1">
        <w:rPr>
          <w:rStyle w:val="Emphasis"/>
          <w:highlight w:val="green"/>
        </w:rPr>
        <w:t>institutions</w:t>
      </w:r>
      <w:r w:rsidRPr="00A72974">
        <w:rPr>
          <w:rStyle w:val="StyleUnderline"/>
        </w:rPr>
        <w:t xml:space="preserve"> </w:t>
      </w:r>
      <w:r w:rsidRPr="007057C1">
        <w:rPr>
          <w:rStyle w:val="StyleUnderline"/>
          <w:highlight w:val="green"/>
        </w:rPr>
        <w:t>that work against the</w:t>
      </w:r>
      <w:r w:rsidRPr="00A72974">
        <w:rPr>
          <w:rStyle w:val="StyleUnderline"/>
        </w:rPr>
        <w:t xml:space="preserve"> epistemic </w:t>
      </w:r>
      <w:r w:rsidRPr="007057C1">
        <w:rPr>
          <w:rStyle w:val="StyleUnderline"/>
          <w:highlight w:val="green"/>
        </w:rPr>
        <w:t>interests of particular knowers</w:t>
      </w:r>
      <w:r w:rsidRPr="00A72974">
        <w:rPr>
          <w:rStyle w:val="StyleUnderline"/>
        </w:rPr>
        <w:t>.</w:t>
      </w:r>
      <w:r w:rsidRPr="005439D9">
        <w:rPr>
          <w:sz w:val="12"/>
        </w:rPr>
        <w:t xml:space="preserve"> One way to understand this unequal distribution of epistemic support and disablement, particularly in relation to attempts to resist them, is through the concept of epistemic gaslighting. Although it is not the only way to illuminate the context within which epistemic resistance to oppression occurs,2 recent work on gaslighting touches on a number of features that help to highlight the epistemic labor involved in resistant epistemic disengagement and why the response of soliciting re-engagement is harmful. First, as Kate Abramson notes, gaslighting frequently occurs in response to women’s protestations against sexism and relies upon </w:t>
      </w:r>
      <w:r w:rsidRPr="007D3CE0">
        <w:rPr>
          <w:rStyle w:val="StyleUnderline"/>
        </w:rPr>
        <w:t>norms</w:t>
      </w:r>
      <w:r w:rsidRPr="005439D9">
        <w:rPr>
          <w:sz w:val="12"/>
        </w:rPr>
        <w:t xml:space="preserve"> that </w:t>
      </w:r>
      <w:r w:rsidRPr="007D3CE0">
        <w:rPr>
          <w:rStyle w:val="StyleUnderline"/>
        </w:rPr>
        <w:t>disqualify marginalized knowers</w:t>
      </w:r>
      <w:r w:rsidRPr="005439D9">
        <w:rPr>
          <w:sz w:val="12"/>
        </w:rPr>
        <w:t xml:space="preserve"> (Abramson 2014, 4). If resistant epistemic disengagement is, at least in part, a type of protestation against that which harms, forms of gaslighting are likely to occur in response to them. Second, as Abramson and Rachel McKinnon both note, gaslighting may be </w:t>
      </w:r>
      <w:r w:rsidRPr="0012053C">
        <w:rPr>
          <w:rStyle w:val="StyleUnderline"/>
        </w:rPr>
        <w:t>enacted unintentionally</w:t>
      </w:r>
      <w:r w:rsidRPr="005439D9">
        <w:rPr>
          <w:sz w:val="12"/>
        </w:rPr>
        <w:t xml:space="preserve">, so it is particularly helpful for understanding how </w:t>
      </w:r>
      <w:r w:rsidRPr="0012053C">
        <w:rPr>
          <w:rStyle w:val="Emphasis"/>
        </w:rPr>
        <w:t xml:space="preserve">well-intentioned calls </w:t>
      </w:r>
      <w:r w:rsidRPr="0012053C">
        <w:rPr>
          <w:rStyle w:val="StyleUnderline"/>
        </w:rPr>
        <w:t>for re-</w:t>
      </w:r>
      <w:r w:rsidRPr="0012053C">
        <w:rPr>
          <w:rStyle w:val="Emphasis"/>
        </w:rPr>
        <w:t>engagement</w:t>
      </w:r>
      <w:r w:rsidRPr="0012053C">
        <w:rPr>
          <w:rStyle w:val="StyleUnderline"/>
        </w:rPr>
        <w:t xml:space="preserve"> </w:t>
      </w:r>
      <w:r w:rsidRPr="0012053C">
        <w:rPr>
          <w:rStyle w:val="Emphasis"/>
        </w:rPr>
        <w:t>might nonetheless be harmful</w:t>
      </w:r>
      <w:r w:rsidRPr="005439D9">
        <w:rPr>
          <w:sz w:val="12"/>
        </w:rPr>
        <w:t xml:space="preserve"> (Abramson 2014; McKinnon 2017). Finally, McKinnon has specifically developed a notion of epistemic gaslighting with respect to cases where claims of allyship are used to gaslight (McKinnon 2017). This feature makes the concept of epistemic gaslighting particularly helpful for considering cases that involve those working against oppressive structures from different positions within them. In her essay “Allies Behaving Badly,” McKinnon makes a distinction between a psychological form and what she classifies as an epistemic form of gaslighting. The psychological form is represented in the 1944 film Gaslight and involves acts of purposeful deception in order to cause another to question their perception, memories, and judgment, leading ultimately to psychological breakdown. The epistemic form can have a similar effect, but there are important differences between epistemic and psychological gaslighting. As characterized by McKinnon, </w:t>
      </w:r>
      <w:r w:rsidRPr="00CF560D">
        <w:rPr>
          <w:rStyle w:val="StyleUnderline"/>
        </w:rPr>
        <w:t>epistemic gaslighting is “often unintentional, where a listener doesn’t believe, or expresses doubt about, a speaker’s testimony. . . [and in so doing] raises doubts about the speaker’s reliability at perceiving events accurately</w:t>
      </w:r>
      <w:r w:rsidRPr="005439D9">
        <w:rPr>
          <w:sz w:val="12"/>
        </w:rPr>
        <w:t xml:space="preserve">” (McKinnon 2017, 168). In the case of epistemic gaslighting, the agent who gaslights may act intentionally or unintentionally, so </w:t>
      </w:r>
      <w:r w:rsidRPr="00201B8C">
        <w:rPr>
          <w:rStyle w:val="Emphasis"/>
          <w:highlight w:val="green"/>
        </w:rPr>
        <w:t>intention is not a deciding factor</w:t>
      </w:r>
      <w:r w:rsidRPr="00201B8C">
        <w:rPr>
          <w:rStyle w:val="StyleUnderline"/>
          <w:highlight w:val="green"/>
        </w:rPr>
        <w:t xml:space="preserve"> in</w:t>
      </w:r>
      <w:r w:rsidRPr="005439D9">
        <w:rPr>
          <w:sz w:val="12"/>
        </w:rPr>
        <w:t xml:space="preserve"> whether </w:t>
      </w:r>
      <w:r w:rsidRPr="00201B8C">
        <w:rPr>
          <w:rStyle w:val="StyleUnderline"/>
          <w:highlight w:val="green"/>
        </w:rPr>
        <w:t>epistemic gaslighting</w:t>
      </w:r>
      <w:r w:rsidRPr="005439D9">
        <w:rPr>
          <w:sz w:val="12"/>
        </w:rPr>
        <w:t xml:space="preserve"> is present. In addition, the actions of expressing doubt with respect to another’s testimony are epistemically and not psychologically oriented. In other words, </w:t>
      </w:r>
      <w:r w:rsidRPr="004F605E">
        <w:rPr>
          <w:rStyle w:val="StyleUnderline"/>
        </w:rPr>
        <w:t xml:space="preserve">epistemic gaslighting is </w:t>
      </w:r>
      <w:r w:rsidRPr="00201B8C">
        <w:rPr>
          <w:rStyle w:val="StyleUnderline"/>
          <w:highlight w:val="green"/>
        </w:rPr>
        <w:t>oriented</w:t>
      </w:r>
      <w:r w:rsidRPr="004F605E">
        <w:rPr>
          <w:rStyle w:val="StyleUnderline"/>
        </w:rPr>
        <w:t xml:space="preserve"> not toward psychological breakdown, but rather toward a sort of epistemic breakdown: </w:t>
      </w:r>
      <w:r w:rsidRPr="00201B8C">
        <w:rPr>
          <w:rStyle w:val="Emphasis"/>
          <w:highlight w:val="green"/>
        </w:rPr>
        <w:t>to put out of circulation a particular way of understanding the world</w:t>
      </w:r>
      <w:r w:rsidRPr="005439D9">
        <w:rPr>
          <w:sz w:val="12"/>
        </w:rPr>
        <w:t xml:space="preserve">, one that centers the experience of the one who is gaslit. Specifically, in raising doubts about speakers’ reliability, epistemic gaslighting is </w:t>
      </w:r>
      <w:r w:rsidRPr="004E3959">
        <w:rPr>
          <w:rStyle w:val="StyleUnderline"/>
        </w:rPr>
        <w:t xml:space="preserve">oriented at </w:t>
      </w:r>
      <w:r w:rsidRPr="00201B8C">
        <w:rPr>
          <w:rStyle w:val="StyleUnderline"/>
          <w:highlight w:val="green"/>
        </w:rPr>
        <w:t>getting knowers</w:t>
      </w:r>
      <w:r w:rsidRPr="004E3959">
        <w:rPr>
          <w:rStyle w:val="StyleUnderline"/>
        </w:rPr>
        <w:t xml:space="preserve"> to change their beliefs, </w:t>
      </w:r>
      <w:r w:rsidRPr="00201B8C">
        <w:rPr>
          <w:rStyle w:val="StyleUnderline"/>
          <w:highlight w:val="green"/>
        </w:rPr>
        <w:t xml:space="preserve">to </w:t>
      </w:r>
      <w:r w:rsidRPr="00201B8C">
        <w:rPr>
          <w:rStyle w:val="Emphasis"/>
          <w:highlight w:val="green"/>
        </w:rPr>
        <w:t>stop noticing</w:t>
      </w:r>
      <w:r w:rsidRPr="00201B8C">
        <w:rPr>
          <w:rStyle w:val="StyleUnderline"/>
          <w:highlight w:val="green"/>
        </w:rPr>
        <w:t xml:space="preserve"> or testifying to </w:t>
      </w:r>
      <w:r w:rsidRPr="00201B8C">
        <w:rPr>
          <w:rStyle w:val="Emphasis"/>
          <w:highlight w:val="green"/>
        </w:rPr>
        <w:t>something</w:t>
      </w:r>
      <w:r w:rsidRPr="005439D9">
        <w:rPr>
          <w:sz w:val="12"/>
        </w:rPr>
        <w:t xml:space="preserve">, with the risk of being deemed incompetent should they refuse to do so. While it is important to identify acts of gaslighting by particular individuals, in contrast to the accounts given by McKinnon and Abramson, I am interested in highlighting how epistemic institutions and practices themselves can place epistemic pressure on certain knowers that can put them harmfully at odds with their experiences. To be clear, the accounts given by both Abramson and McKinnon have structural aspects. But in order to understand how epistemic resistance might appear as “unreasonable” disengagement, it is helpful to emphasize more fully both the structural aspects that enable epistemic gaslighting by individuals, and how those structural aspects can function to gaslight on their own, independent of any particular perpetrator. In the 1944 film Gaslight, the villain has quite a bit of control over the environment of the woman he gaslights, and it is owing to systematic manipulation of her environment that she starts to doubt her own perceptions. In other words, the perpetrator in psychological gaslighting is able to cause psychological breakdown by drawing upon a situation in which he can enlist features of their shared environment (that he has isolated her, that he has moved the furniture while she was asleep, that he has convinced the house staff that she is unwell, and so on) to pressure his victim into breaking. The ability to place epistemic pressure on other knowers to “break from” and doubt their own experiences must therefore also come, in part, from something in their shared epistemic environment. Although the cases McKinnon examines feature unwarranted disbelief by a perpetrator, they are not only about disbelief, but about how disbelief by a perpetrator puts unwarranted pressure on victims to doubt their own experiences and to perceive the world differently. To gaslight is </w:t>
      </w:r>
      <w:r w:rsidRPr="00201B8C">
        <w:rPr>
          <w:rStyle w:val="StyleUnderline"/>
          <w:highlight w:val="green"/>
        </w:rPr>
        <w:t>to cast doubt</w:t>
      </w:r>
      <w:r w:rsidRPr="005439D9">
        <w:rPr>
          <w:sz w:val="12"/>
        </w:rPr>
        <w:t xml:space="preserve">. Specifically, McKinnon calls attention to cases where people who have been harmed report their experience to someone they trust and that person denies the harm on account of the perpetrator being an “ally” to people who are subjected to this sort of harm. In these cases, the image of “the ally” is doing some of the work to coerce victims to regard the world in a way that is at odds with their experience. In other words, the idea of a person’s being an “ally” is used to put pressure on others to doubt their own experience of the so-called ally. What I want to point out here is that the image of the ally itself can potentially put pressure on people to distrust their own experience without anyone actually doing anything clearly identifiable as “taking another to be less credible.” This is, in part, why I want to expand the term epistemic gaslighting to include features of the epistemic environment that can function on their own. Imagine, for example, that I am a lesbian student and my professor has placed a “safe-zone” sticker on their office door. Such a sticker usually indicates that a person has undergone some training with regard to LGBT advocacy and identifies either as LGBT or as an “ally” to LGBT persons. Imagine further that I am at a meeting in this office with my professor and a few other students from our class. Over the course of the conversation some of the other students say things that I perceive as homophobic, but nobody else seems to notice, including my professor. If this professor hadn’t put the safe-zone sticker on the door, I might have just noticed and thought I was among people I cannot trust. However, because the professor has declared the office a so-called “safe zone,” I start to question my own perception. Moreover, this self-questioning may be compounded by a double bind: if I say nothing, I may feel complicit in having not called attention to a perceived harm, but if I call attention to the remarks, my interlocutors may insist on their good intentions as allies in spite of my perception of harm. Moreover, the “safe-zone” sticker may heighten the latter worry insofar as it indicates that my professor has an investment in being seen as well-meaning and so may be averse to (and defensive of ) being identified as participating in a context that perpetuates harm. Notice that I do not even have to offer testimony, and no one else has to doubt my credibility, for the figure of “being an ally” to cast self-doubt. Here the figure of being an “ally” who is attentive to injustice and by so doing excises themselves from the effects of their social positioning acts as what we might call a “controlling image of dominance.” Patricia Hill Collins uses the term controlling image to describe pervasive and pernicious stereotypes of Black women that palpably thwart them as they navigate the world, aware of how they may be perceived through these live stereotypes (Collins 2001). What I am suggesting is that “the good ally” may be an image of dominantly situated persons that has a similar effect, not to thwart dominantly situated people, but as with Collins’s “controlling image,” to thwart nondominantly situated persons who must navigate the world in light of how this self-image may direct the imagination of those who hold it. Similar to the image of the “ally,” the image of the “well-intentioned white person” may act as a controlling image of dominance that serves to cast doubt upon the world as experienced by Black Americans and other people of color in the US. As Saba Fatima points out, “One of the common responses to hearing someone tell of an incidence of microaggressions is an attempt to offer . . . </w:t>
      </w:r>
      <w:r w:rsidRPr="000D2BA4">
        <w:rPr>
          <w:rStyle w:val="StyleUnderline"/>
        </w:rPr>
        <w:t>an alternate account of the well-meaning motivations</w:t>
      </w:r>
      <w:r w:rsidRPr="005439D9">
        <w:rPr>
          <w:sz w:val="12"/>
        </w:rPr>
        <w:t xml:space="preserve"> of the perpetrators. They may offer explanations such as ‘I don’t think he meant it like that,’ or ‘It is very possible that she was actually trying to help you’” (Fatima 2017, 152). Notice here that the image of the “well-intentioned white person” </w:t>
      </w:r>
      <w:r w:rsidRPr="000E7DA5">
        <w:rPr>
          <w:rStyle w:val="StyleUnderline"/>
        </w:rPr>
        <w:t xml:space="preserve">shifts focus from behavior to </w:t>
      </w:r>
      <w:r w:rsidRPr="00DD0E12">
        <w:rPr>
          <w:rStyle w:val="StyleUnderline"/>
        </w:rPr>
        <w:t>intentions in a manner that centers the world as experienced by dominantly situated people while casting doubt on</w:t>
      </w:r>
      <w:r w:rsidRPr="005439D9">
        <w:rPr>
          <w:sz w:val="12"/>
        </w:rPr>
        <w:t xml:space="preserve"> the </w:t>
      </w:r>
      <w:r w:rsidRPr="00DD0E12">
        <w:rPr>
          <w:rStyle w:val="StyleUnderline"/>
        </w:rPr>
        <w:t>perceptions</w:t>
      </w:r>
      <w:r w:rsidRPr="005439D9">
        <w:rPr>
          <w:sz w:val="12"/>
        </w:rPr>
        <w:t xml:space="preserve"> and experiences of nondominantly situated people. In sum, the dominating controlling images of the “ally” and “well-intentioned” white people give unwarranted weight to the world as experienced from positions of dominance and put unwarranted epistemic pressure on those who are nondominantly situated to prioritize other people’s experiences over their own. Returning to the unsafe-safe-zone example, I withhold judgment on the actors in the scenario because I want to keep focused on how images that circulate in a culture can bear a kind of epistemic weight on nondominantly situated persons, directing them to perceive the world in ways that favor those dominantly situated even when doing so is in conflict with their own experience. We have enough now for a definition of epistemic gaslighting that includes both agential and structural forms. Epistemic gaslighting, we might say, occurs when a person, practice, image, or institution exerts unwarranted pressure on epistemic agents to doubt their own perceptions. Of course, there are cases where people, practices, and institutions warrantedly put pressure on epistemic agents to doubt their own perceptions. For example, the empirical science on implicit bias should put epistemic pressure on all of us to doubt when our perceptions of the world align too neatly with pervasive stereotypes. So, to be clear, I don’t think it is the case that everything should always align seamlessly with our perceptions of the world. We do regularly rely on others to “check in” about our own experiences, and this checking in can helpfully adjust our perception. But, of course, this is what makes epistemic gaslighting so pernicious and why instances of “allies” behaving badly are apt cases of epistemic gaslighting at the agential level—because, as McKinnon points out, when persons have identified themselves as allies, they have signaled to nondominantly situated persons that they can be trusted, and we need epistemic relations with trusted others in order to know well. Our attention to the world is in many ways coordinated and sometimes even helpfully redirected by the attention of others. This can be as simple as the kind of shared attention that happens when everyone around you notices something, and then you notice too, to the kind of shaping of attention that happens in the academic disciplines, where one learns to pay a particular kind of attention to the world. That our attention to the world is shaped in interaction with other knowers through the use of socially shared epistemic resources and with respect to epistemic institutions suggests a myriad of ways in which epistemic gaslighting, or exerting unwarranted pressure on particular knowers to doubt their perception, might occur. Just as nonepistemic institutions and practices can be structured in ways that unfairly advantage some over others, so can epistemic institutions and practices. Charles Mills famously called this to philosophical attention in The Racial Contract, noting that structural injustice is facilitated by what he called an “epistemology of ignorance” or institutions and practices that systematically encourage the ignoring of injustice (Mills 1997). Said differently, the epistemic pressures placed upon nondominantly situated persons within epistemologies of ignorance to ignore instances of injustice that they face constitute a form of epistemic gaslighting. Mills and most of the epistemology of ignorance literature highlights the effects of structural injustice on producing ignorance and vicious knowers. In contrast, the term epistemic gaslighting highlights those whose experienced world is ignored and how very epistemically difficult it can be to traverse a world within which your experiencing of that world is systematically ignored by the knowers around you. Recent work in feminist epistemology suggests a plethora of ways in which nondominantly situated persons are pressured to ignore their own experiences of the world. For example, Saba Fatima identifies the habitual practice of white people regarding reports of microaggressions as a list of isolated acts and explaining away individual acts one by one (Fatima 2017). This method belies the function of microaggressions whose full force is precisely in their cumulative effects, which ought to be understood in relation to one another. Jeanine Weekes Schroer argues that the scientizing of discrimination in empirical studies on stereotype threat, with its focus on performance independent of testimony, can be understood not only as a symptom of, but also contributing to, a culture in which the testimony of those who experience discrimination is not regarded as credible on its own (Schroer 2015). Christine Wieseler analyzes the manner in which definitions of quality of life often favor what able-bodied persons imagine their lives would be like were they to have a disability over what actual people with disabilities say about the quality of their lives (Wieseler 2012). In these cases, practices, approaches, and definitions shift attention away from the experiences of nondominantly situated persons and center (or continually recenter) the world as experienced from positions of dominance. This is the aspect of gaslighting that is crucial to hold in one’s attention when nondominantly situated knowers disengage from and ask others to disengage from particular epistemic frameworks: that nondominantly situated persons are continually called upon to center the experience of those who are dominantly situated even when (and perhaps especially when) their own experiences come into conflict with it. It makes sense that dominant frameworks would highlight the experiences of dominantly situated people, for those are the people who are in a position to alter them. But the ubiquity of epistemic frameworks that highlight the experiences of dominantly situated knowers gives the illusion that these frameworks simply highlight reality itself and not reality as it is experienced from particular positions within the world. </w:t>
      </w:r>
      <w:r w:rsidRPr="00201B8C">
        <w:rPr>
          <w:rStyle w:val="StyleUnderline"/>
          <w:highlight w:val="green"/>
        </w:rPr>
        <w:t>To disengage</w:t>
      </w:r>
      <w:r w:rsidRPr="0028375E">
        <w:rPr>
          <w:rStyle w:val="StyleUnderline"/>
        </w:rPr>
        <w:t xml:space="preserve"> from such frameworks </w:t>
      </w:r>
      <w:r w:rsidRPr="00201B8C">
        <w:rPr>
          <w:rStyle w:val="StyleUnderline"/>
          <w:highlight w:val="green"/>
        </w:rPr>
        <w:t>and</w:t>
      </w:r>
      <w:r w:rsidRPr="0028375E">
        <w:rPr>
          <w:rStyle w:val="StyleUnderline"/>
        </w:rPr>
        <w:t xml:space="preserve"> to </w:t>
      </w:r>
      <w:r w:rsidRPr="00201B8C">
        <w:rPr>
          <w:rStyle w:val="StyleUnderline"/>
          <w:highlight w:val="green"/>
        </w:rPr>
        <w:t>call</w:t>
      </w:r>
      <w:r w:rsidRPr="0028375E">
        <w:rPr>
          <w:rStyle w:val="StyleUnderline"/>
        </w:rPr>
        <w:t xml:space="preserve"> upon </w:t>
      </w:r>
      <w:r w:rsidRPr="00201B8C">
        <w:rPr>
          <w:rStyle w:val="StyleUnderline"/>
          <w:highlight w:val="green"/>
        </w:rPr>
        <w:t>others to</w:t>
      </w:r>
      <w:r w:rsidRPr="0028375E">
        <w:rPr>
          <w:rStyle w:val="StyleUnderline"/>
        </w:rPr>
        <w:t xml:space="preserve"> likewise </w:t>
      </w:r>
      <w:r w:rsidRPr="00201B8C">
        <w:rPr>
          <w:rStyle w:val="StyleUnderline"/>
          <w:highlight w:val="green"/>
        </w:rPr>
        <w:t>disengage</w:t>
      </w:r>
      <w:r w:rsidRPr="0028375E">
        <w:rPr>
          <w:rStyle w:val="StyleUnderline"/>
        </w:rPr>
        <w:t xml:space="preserve"> from them need not be a disengagement from reality, but rather a decentering of dominantly situated knowers and attending to the experiences of nondominantly situated knowers.</w:t>
      </w:r>
      <w:r w:rsidRPr="005439D9">
        <w:rPr>
          <w:sz w:val="12"/>
        </w:rPr>
        <w:t xml:space="preserve"> For this reason, </w:t>
      </w:r>
      <w:r w:rsidRPr="00660225">
        <w:rPr>
          <w:rStyle w:val="StyleUnderline"/>
        </w:rPr>
        <w:t>such disengagement</w:t>
      </w:r>
      <w:r w:rsidRPr="005439D9">
        <w:rPr>
          <w:sz w:val="12"/>
        </w:rPr>
        <w:t xml:space="preserve"> does at least two things. First, it </w:t>
      </w:r>
      <w:r w:rsidRPr="00660225">
        <w:rPr>
          <w:rStyle w:val="StyleUnderline"/>
        </w:rPr>
        <w:t>engages in some strenuous epistemic labor</w:t>
      </w:r>
      <w:r w:rsidRPr="005439D9">
        <w:rPr>
          <w:sz w:val="12"/>
        </w:rPr>
        <w:t xml:space="preserve">. Because knowers are interdependent with one another (Grasswick 2004; Pohlhaus, Jr. 2011), it is not easy to disengage from epistemic frameworks that are held firmly in place, in part, through the epistemic activity of those with whom one may be interdependent. Second, </w:t>
      </w:r>
      <w:r w:rsidRPr="00B462A5">
        <w:rPr>
          <w:rStyle w:val="StyleUnderline"/>
        </w:rPr>
        <w:t xml:space="preserve">it </w:t>
      </w:r>
      <w:r w:rsidRPr="005B3A27">
        <w:rPr>
          <w:rStyle w:val="StyleUnderline"/>
          <w:highlight w:val="green"/>
        </w:rPr>
        <w:t>contests the epistemic weight collectively given to the</w:t>
      </w:r>
      <w:r w:rsidRPr="00B462A5">
        <w:rPr>
          <w:rStyle w:val="StyleUnderline"/>
        </w:rPr>
        <w:t xml:space="preserve"> experienced world of </w:t>
      </w:r>
      <w:r w:rsidRPr="005B3A27">
        <w:rPr>
          <w:rStyle w:val="StyleUnderline"/>
          <w:highlight w:val="green"/>
        </w:rPr>
        <w:t>dominantly situated</w:t>
      </w:r>
      <w:r w:rsidRPr="00B462A5">
        <w:rPr>
          <w:rStyle w:val="StyleUnderline"/>
        </w:rPr>
        <w:t xml:space="preserve"> persons </w:t>
      </w:r>
      <w:r w:rsidRPr="005439D9">
        <w:rPr>
          <w:sz w:val="12"/>
        </w:rPr>
        <w:t xml:space="preserve">in a manner that can be unsettling to those who have no other experienced world pressing upon them. In this sense it can be experienced as “flying in the face of reality” to those who need not face the reality of those subordinated to them. However, it does so with the aim of recalibrating the inordinate amount of collective weight given to one set of experiences and denied to another set of experiences. Insofar as </w:t>
      </w:r>
      <w:r w:rsidRPr="00392BBB">
        <w:rPr>
          <w:rStyle w:val="StyleUnderline"/>
        </w:rPr>
        <w:t>such disengagements</w:t>
      </w:r>
      <w:r w:rsidRPr="005439D9">
        <w:rPr>
          <w:sz w:val="12"/>
        </w:rPr>
        <w:t xml:space="preserve"> are epistemically </w:t>
      </w:r>
      <w:r w:rsidRPr="00392BBB">
        <w:rPr>
          <w:rStyle w:val="StyleUnderline"/>
        </w:rPr>
        <w:t>laborious</w:t>
      </w:r>
      <w:r w:rsidRPr="005439D9">
        <w:rPr>
          <w:sz w:val="12"/>
        </w:rPr>
        <w:t xml:space="preserve">, it is inaccurate to characterize them as unthinking. Insofar as they </w:t>
      </w:r>
      <w:r w:rsidRPr="00392BBB">
        <w:rPr>
          <w:rStyle w:val="StyleUnderline"/>
        </w:rPr>
        <w:t>may be necessary in order to aptly attend to one’s experienced world,</w:t>
      </w:r>
      <w:r w:rsidRPr="005439D9">
        <w:rPr>
          <w:sz w:val="12"/>
        </w:rPr>
        <w:t xml:space="preserve"> it is wrong to call them irrational. In discussing the sort of unwarranted epistemic pressure placed on women of color to ignore and disregard their own experiences, Fatima notes, “Being unintelligible to one [’s] own self is not epistemologically sustainable [ for] the long term, and we as [women of color] need to be able to retain our knowledges in the face of gaslighting” (Fatima 2017, 149, italics in original). Under conditions of epistemic gaslighting, a person is pushed in opposite directions. On the one hand, there are situational pressures insofar as the world presses upon the person in particular ways with respect to how they are situated within the world and they need to make sense of those pressures. On the other hand, interdependent epistemic pressures (in the form of other knowers, collective epistemic practices, and socially recognized epistemic institutions) push the person to doubt or disregard the sense of those situational pressures that fit with their experience. It is within the context of these dueling pressures, present under conditions of epistemic gaslighting, that I want to think about the concept of epistemic echoing.</w:t>
      </w:r>
    </w:p>
    <w:p w14:paraId="3CF49267" w14:textId="77777777" w:rsidR="00033179" w:rsidRPr="00C769ED" w:rsidRDefault="00033179" w:rsidP="00033179">
      <w:pPr>
        <w:rPr>
          <w:u w:val="single"/>
        </w:rPr>
      </w:pPr>
    </w:p>
    <w:p w14:paraId="0DA1585B" w14:textId="77777777" w:rsidR="00033179" w:rsidRDefault="00033179" w:rsidP="00033179"/>
    <w:p w14:paraId="4CC65506" w14:textId="77777777" w:rsidR="00142ACC" w:rsidRDefault="00142ACC" w:rsidP="00142ACC"/>
    <w:p w14:paraId="1A92BCA5" w14:textId="77777777" w:rsidR="00142ACC" w:rsidRDefault="00142ACC" w:rsidP="00142ACC"/>
    <w:p w14:paraId="66C995C7" w14:textId="77777777" w:rsidR="00142ACC" w:rsidRDefault="00142ACC" w:rsidP="00142ACC"/>
    <w:p w14:paraId="1E3EB450" w14:textId="77777777" w:rsidR="00042151" w:rsidRDefault="00042151" w:rsidP="00042151"/>
    <w:p w14:paraId="5D44E884" w14:textId="77777777" w:rsidR="007A2A16" w:rsidRDefault="007A2A16" w:rsidP="00042151"/>
    <w:p w14:paraId="05024C3C" w14:textId="39465716" w:rsidR="007A2A16" w:rsidRDefault="007A2A16" w:rsidP="00F24890">
      <w:pPr>
        <w:pStyle w:val="Heading2"/>
      </w:pPr>
      <w:r>
        <w:t>New affs</w:t>
      </w:r>
    </w:p>
    <w:p w14:paraId="233D113A" w14:textId="77777777" w:rsidR="007A2A16" w:rsidRDefault="007A2A16" w:rsidP="007A2A16"/>
    <w:p w14:paraId="1ADB3208" w14:textId="77777777" w:rsidR="007A2A16" w:rsidRDefault="007A2A16" w:rsidP="007A2A16"/>
    <w:p w14:paraId="77E4E62E" w14:textId="7AFFD61C" w:rsidR="007A2A16" w:rsidRDefault="007A2A16" w:rsidP="007A2A16">
      <w:pPr>
        <w:pStyle w:val="Heading4"/>
      </w:pPr>
      <w:r>
        <w:t>New affs are bad - our interp is that debaters should disclose</w:t>
      </w:r>
      <w:r w:rsidR="001E07C6">
        <w:t xml:space="preserve"> the full text of the 1AC as soon as possible after pairings</w:t>
      </w:r>
      <w:r>
        <w:t xml:space="preserve"> </w:t>
      </w:r>
      <w:r>
        <w:t>–</w:t>
      </w:r>
      <w:r>
        <w:t xml:space="preserve"> </w:t>
      </w:r>
      <w:r>
        <w:t xml:space="preserve">solves all 2AC offense because it’s the best balance of </w:t>
      </w:r>
      <w:r w:rsidR="004F46E4">
        <w:t>innovation</w:t>
      </w:r>
      <w:r>
        <w:t xml:space="preserve"> and iteration.</w:t>
      </w:r>
    </w:p>
    <w:p w14:paraId="0272C1EB" w14:textId="77777777" w:rsidR="001D5168" w:rsidRDefault="001D5168" w:rsidP="007A2A16">
      <w:pPr>
        <w:pStyle w:val="Heading4"/>
      </w:pPr>
      <w:r>
        <w:t>The impact is critical clash, which outweighs because the drive to win at all costs encourages clash-avoidant behavior like nondisclosure.</w:t>
      </w:r>
    </w:p>
    <w:p w14:paraId="26CDEAF7" w14:textId="27BC2A39" w:rsidR="00A7339A" w:rsidRDefault="001D5168" w:rsidP="007A2A16">
      <w:pPr>
        <w:pStyle w:val="Heading4"/>
      </w:pPr>
      <w:r>
        <w:t xml:space="preserve">It externally link turns 1AC </w:t>
      </w:r>
      <w:r w:rsidR="004C0DF6">
        <w:t xml:space="preserve">preempts </w:t>
      </w:r>
      <w:r>
        <w:t>– to access the benefits of the aff requires we iterate over all of its scholarship which nondisclosure makes MUCH LESS LIKELY.</w:t>
      </w:r>
    </w:p>
    <w:p w14:paraId="5A3FF2D9" w14:textId="77777777" w:rsidR="00A7339A" w:rsidRDefault="00A7339A" w:rsidP="007A2A16">
      <w:pPr>
        <w:pStyle w:val="Heading4"/>
      </w:pPr>
    </w:p>
    <w:p w14:paraId="661B20CA" w14:textId="357FA6E0" w:rsidR="007A2A16" w:rsidRDefault="00A7339A" w:rsidP="007A2A16">
      <w:pPr>
        <w:pStyle w:val="Heading4"/>
      </w:pPr>
      <w:r>
        <w:t xml:space="preserve">It also link </w:t>
      </w:r>
      <w:r w:rsidR="007A2A16">
        <w:t>turn</w:t>
      </w:r>
      <w:r>
        <w:t>s</w:t>
      </w:r>
      <w:r w:rsidR="007A2A16">
        <w:t xml:space="preserve"> their framework </w:t>
      </w:r>
      <w:r w:rsidR="00C56A03">
        <w:t>standards</w:t>
      </w:r>
      <w:r w:rsidR="007A2A16">
        <w:t xml:space="preserve"> in th</w:t>
      </w:r>
      <w:r w:rsidR="00C56A03">
        <w:t>e</w:t>
      </w:r>
      <w:r w:rsidR="007A2A16">
        <w:t xml:space="preserve"> 2ac because EVEN IF they win Ks are unfair, they’re necessary to respond to new arguments.</w:t>
      </w:r>
    </w:p>
    <w:p w14:paraId="648FB9EB" w14:textId="77777777" w:rsidR="007A2A16" w:rsidRDefault="007A2A16" w:rsidP="007A2A16"/>
    <w:p w14:paraId="67364F98" w14:textId="77777777" w:rsidR="00A7339A" w:rsidRDefault="00A7339A" w:rsidP="007A2A16">
      <w:pPr>
        <w:pStyle w:val="Heading4"/>
      </w:pPr>
      <w:r>
        <w:t xml:space="preserve">Reject the team. </w:t>
      </w:r>
    </w:p>
    <w:p w14:paraId="55B4FFE9" w14:textId="77777777" w:rsidR="00A7339A" w:rsidRDefault="00A7339A" w:rsidP="007A2A16">
      <w:pPr>
        <w:pStyle w:val="Heading4"/>
      </w:pPr>
    </w:p>
    <w:p w14:paraId="78DC5A96" w14:textId="0B58F3CE" w:rsidR="007A2A16" w:rsidRDefault="00A7339A" w:rsidP="007A2A16">
      <w:pPr>
        <w:pStyle w:val="Heading4"/>
      </w:pPr>
      <w:r>
        <w:t>If you reject the argument, lower the threshold for winning a link – all we need’s our theory of power</w:t>
      </w:r>
      <w:r w:rsidR="007A2A16">
        <w:t>.</w:t>
      </w:r>
    </w:p>
    <w:p w14:paraId="6CDC8625" w14:textId="77777777" w:rsidR="007428A7" w:rsidRDefault="007428A7" w:rsidP="007428A7"/>
    <w:p w14:paraId="154FF663" w14:textId="77777777" w:rsidR="007428A7" w:rsidRDefault="007428A7" w:rsidP="007428A7">
      <w:pPr>
        <w:pStyle w:val="Heading2"/>
      </w:pPr>
      <w:r>
        <w:t>Case</w:t>
      </w:r>
    </w:p>
    <w:p w14:paraId="6EA399CB" w14:textId="77777777" w:rsidR="007428A7" w:rsidRPr="007428A7" w:rsidRDefault="007428A7" w:rsidP="007428A7"/>
    <w:p w14:paraId="12888822" w14:textId="77777777" w:rsidR="007A2A16" w:rsidRPr="007A2A16" w:rsidRDefault="007A2A16" w:rsidP="007A2A16"/>
    <w:p w14:paraId="0354E9E6" w14:textId="77777777" w:rsidR="00042151" w:rsidRDefault="00042151" w:rsidP="00042151">
      <w:pPr>
        <w:pStyle w:val="Heading3"/>
        <w:rPr>
          <w:rFonts w:asciiTheme="minorHAnsi" w:hAnsiTheme="minorHAnsi" w:cstheme="minorHAnsi"/>
        </w:rPr>
      </w:pPr>
      <w:r>
        <w:rPr>
          <w:rFonts w:asciiTheme="minorHAnsi" w:hAnsiTheme="minorHAnsi" w:cstheme="minorHAnsi"/>
        </w:rPr>
        <w:t>Normal Means</w:t>
      </w:r>
    </w:p>
    <w:p w14:paraId="6B9DDF04" w14:textId="77777777" w:rsidR="00042151" w:rsidRDefault="00042151" w:rsidP="00042151">
      <w:pPr>
        <w:pStyle w:val="Heading4"/>
      </w:pPr>
      <w:r>
        <w:t xml:space="preserve">The affirmative must clarify in the plan the changes to labor law they fiat.  </w:t>
      </w:r>
    </w:p>
    <w:p w14:paraId="22817AB8" w14:textId="77777777" w:rsidR="00042151" w:rsidRDefault="00042151" w:rsidP="00042151">
      <w:pPr>
        <w:pStyle w:val="Heading4"/>
        <w:numPr>
          <w:ilvl w:val="0"/>
          <w:numId w:val="73"/>
        </w:numPr>
        <w:tabs>
          <w:tab w:val="num" w:pos="360"/>
        </w:tabs>
        <w:ind w:left="0" w:firstLine="0"/>
        <w:rPr>
          <w:u w:val="single"/>
        </w:rPr>
      </w:pPr>
      <w:r>
        <w:t xml:space="preserve">Skew – vague plan texts have a strategic benefit in avoiding competition debates, the cost should be that we get to say normal means. Writing a counterplan text is </w:t>
      </w:r>
      <w:r>
        <w:rPr>
          <w:u w:val="single"/>
        </w:rPr>
        <w:t>impossible</w:t>
      </w:r>
      <w:r w:rsidRPr="000F3D2A">
        <w:t xml:space="preserve"> </w:t>
      </w:r>
      <w:r>
        <w:t xml:space="preserve">if the plan doesn’t have mandates. </w:t>
      </w:r>
    </w:p>
    <w:p w14:paraId="5C4D9C5D" w14:textId="77777777" w:rsidR="00042151" w:rsidRPr="001D001A" w:rsidRDefault="00042151" w:rsidP="00042151">
      <w:pPr>
        <w:pStyle w:val="Heading4"/>
        <w:numPr>
          <w:ilvl w:val="0"/>
          <w:numId w:val="74"/>
        </w:numPr>
      </w:pPr>
      <w:r>
        <w:t xml:space="preserve">CX can’t check because pre-tournament prep and 1nc construction happen before and during the 1ac. It also reduces useful time to “does plan do {x}” which is a </w:t>
      </w:r>
      <w:r>
        <w:rPr>
          <w:u w:val="single"/>
        </w:rPr>
        <w:t>benefit</w:t>
      </w:r>
      <w:r w:rsidRPr="008C569D">
        <w:t xml:space="preserve"> </w:t>
      </w:r>
      <w:r>
        <w:t xml:space="preserve">without a cost for the aff. </w:t>
      </w:r>
    </w:p>
    <w:p w14:paraId="28748C7B" w14:textId="77777777" w:rsidR="00042151" w:rsidRDefault="00042151" w:rsidP="00042151">
      <w:pPr>
        <w:pStyle w:val="Heading4"/>
        <w:numPr>
          <w:ilvl w:val="0"/>
          <w:numId w:val="73"/>
        </w:numPr>
        <w:tabs>
          <w:tab w:val="num" w:pos="360"/>
        </w:tabs>
        <w:ind w:left="0" w:firstLine="0"/>
      </w:pPr>
      <w:r>
        <w:t xml:space="preserve">Clash – legislation is up to agency interpretation which makes good plan-writing useful. That’s key because the </w:t>
      </w:r>
      <w:r>
        <w:rPr>
          <w:u w:val="single"/>
        </w:rPr>
        <w:t xml:space="preserve">details </w:t>
      </w:r>
      <w:r>
        <w:t xml:space="preserve">of proposals are what matter for workers, so debates about what the plan would look like are </w:t>
      </w:r>
      <w:r>
        <w:rPr>
          <w:u w:val="single"/>
        </w:rPr>
        <w:t xml:space="preserve">uniquely </w:t>
      </w:r>
      <w:r>
        <w:t>good.</w:t>
      </w:r>
    </w:p>
    <w:p w14:paraId="1A3E055B" w14:textId="1CE4CEBF" w:rsidR="00042151" w:rsidRDefault="00042151" w:rsidP="00042151">
      <w:pPr>
        <w:pStyle w:val="Heading4"/>
      </w:pPr>
      <w:r>
        <w:t xml:space="preserve">Anything not in the plan is subject to normal means – so assume </w:t>
      </w:r>
      <w:r>
        <w:rPr>
          <w:u w:val="single"/>
        </w:rPr>
        <w:t xml:space="preserve">the smallest possible </w:t>
      </w:r>
      <w:r>
        <w:t xml:space="preserve">version of </w:t>
      </w:r>
      <w:r w:rsidR="00F24890">
        <w:t>prohibition</w:t>
      </w:r>
    </w:p>
    <w:p w14:paraId="58603026" w14:textId="77777777" w:rsidR="00042151" w:rsidRPr="00E646C2" w:rsidRDefault="00042151" w:rsidP="00042151"/>
    <w:p w14:paraId="779752EB" w14:textId="77777777" w:rsidR="00042151" w:rsidRDefault="00042151" w:rsidP="00042151"/>
    <w:p w14:paraId="7D6506E8" w14:textId="77777777" w:rsidR="007A2A16" w:rsidRPr="00042151" w:rsidRDefault="007A2A16" w:rsidP="00042151"/>
    <w:sectPr w:rsidR="007A2A16" w:rsidRPr="000421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A958" w14:textId="77777777" w:rsidR="004D5EF0" w:rsidRDefault="004D5EF0" w:rsidP="00066D2C">
      <w:r>
        <w:separator/>
      </w:r>
    </w:p>
  </w:endnote>
  <w:endnote w:type="continuationSeparator" w:id="0">
    <w:p w14:paraId="08A45C0C" w14:textId="77777777" w:rsidR="004D5EF0" w:rsidRDefault="004D5E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DAD25" w14:textId="77777777" w:rsidR="004D5EF0" w:rsidRDefault="004D5EF0" w:rsidP="00066D2C">
      <w:r>
        <w:separator/>
      </w:r>
    </w:p>
  </w:footnote>
  <w:footnote w:type="continuationSeparator" w:id="0">
    <w:p w14:paraId="6EA02809" w14:textId="77777777" w:rsidR="004D5EF0" w:rsidRDefault="004D5E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2312A"/>
    <w:multiLevelType w:val="hybridMultilevel"/>
    <w:tmpl w:val="2834A682"/>
    <w:lvl w:ilvl="0" w:tplc="E4EE189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941088"/>
    <w:multiLevelType w:val="hybridMultilevel"/>
    <w:tmpl w:val="CE12F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997EA1"/>
    <w:multiLevelType w:val="hybridMultilevel"/>
    <w:tmpl w:val="29C4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4172F6"/>
    <w:multiLevelType w:val="hybridMultilevel"/>
    <w:tmpl w:val="93C8D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7E6E5E"/>
    <w:multiLevelType w:val="hybridMultilevel"/>
    <w:tmpl w:val="7804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685B7F"/>
    <w:multiLevelType w:val="hybridMultilevel"/>
    <w:tmpl w:val="F44E0942"/>
    <w:lvl w:ilvl="0" w:tplc="D2FC9B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A222CB"/>
    <w:multiLevelType w:val="hybridMultilevel"/>
    <w:tmpl w:val="9932A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376D9A"/>
    <w:multiLevelType w:val="hybridMultilevel"/>
    <w:tmpl w:val="3F226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3303FE"/>
    <w:multiLevelType w:val="hybridMultilevel"/>
    <w:tmpl w:val="089EF888"/>
    <w:lvl w:ilvl="0" w:tplc="E26AA9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EC0BFA"/>
    <w:multiLevelType w:val="hybridMultilevel"/>
    <w:tmpl w:val="7A0C95E6"/>
    <w:lvl w:ilvl="0" w:tplc="8A765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2F63A8"/>
    <w:multiLevelType w:val="hybridMultilevel"/>
    <w:tmpl w:val="4F22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1E3B50"/>
    <w:multiLevelType w:val="hybridMultilevel"/>
    <w:tmpl w:val="9ED01C18"/>
    <w:lvl w:ilvl="0" w:tplc="2A4A9E4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23635D"/>
    <w:multiLevelType w:val="hybridMultilevel"/>
    <w:tmpl w:val="FE744F26"/>
    <w:lvl w:ilvl="0" w:tplc="8B7472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3A05B7"/>
    <w:multiLevelType w:val="hybridMultilevel"/>
    <w:tmpl w:val="2DDCDD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D91B7D"/>
    <w:multiLevelType w:val="hybridMultilevel"/>
    <w:tmpl w:val="FD36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EE7401"/>
    <w:multiLevelType w:val="hybridMultilevel"/>
    <w:tmpl w:val="18BC3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932B00"/>
    <w:multiLevelType w:val="hybridMultilevel"/>
    <w:tmpl w:val="5B0EBFF8"/>
    <w:lvl w:ilvl="0" w:tplc="039E07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0F3AF7"/>
    <w:multiLevelType w:val="hybridMultilevel"/>
    <w:tmpl w:val="C86E9AE0"/>
    <w:lvl w:ilvl="0" w:tplc="CD5A850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0537C9"/>
    <w:multiLevelType w:val="hybridMultilevel"/>
    <w:tmpl w:val="F140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EC68C4"/>
    <w:multiLevelType w:val="hybridMultilevel"/>
    <w:tmpl w:val="346C8632"/>
    <w:lvl w:ilvl="0" w:tplc="A600B7C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E5716D3"/>
    <w:multiLevelType w:val="hybridMultilevel"/>
    <w:tmpl w:val="1764C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662EFE"/>
    <w:multiLevelType w:val="hybridMultilevel"/>
    <w:tmpl w:val="A24601BA"/>
    <w:lvl w:ilvl="0" w:tplc="5FC44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321690"/>
    <w:multiLevelType w:val="hybridMultilevel"/>
    <w:tmpl w:val="BB6CAE58"/>
    <w:lvl w:ilvl="0" w:tplc="B324190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043B9C"/>
    <w:multiLevelType w:val="hybridMultilevel"/>
    <w:tmpl w:val="A142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D001A"/>
    <w:multiLevelType w:val="hybridMultilevel"/>
    <w:tmpl w:val="C8E2F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96748D"/>
    <w:multiLevelType w:val="hybridMultilevel"/>
    <w:tmpl w:val="0406C524"/>
    <w:lvl w:ilvl="0" w:tplc="A75856B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FD6AAF"/>
    <w:multiLevelType w:val="hybridMultilevel"/>
    <w:tmpl w:val="F50EE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071951"/>
    <w:multiLevelType w:val="hybridMultilevel"/>
    <w:tmpl w:val="59B6092A"/>
    <w:lvl w:ilvl="0" w:tplc="F446E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2B494C"/>
    <w:multiLevelType w:val="hybridMultilevel"/>
    <w:tmpl w:val="69881C26"/>
    <w:lvl w:ilvl="0" w:tplc="CFD6EE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26190"/>
    <w:multiLevelType w:val="hybridMultilevel"/>
    <w:tmpl w:val="9026748E"/>
    <w:lvl w:ilvl="0" w:tplc="BC0221FE">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20"/>
  </w:num>
  <w:num w:numId="45" w16cid:durableId="1589345715">
    <w:abstractNumId w:val="29"/>
  </w:num>
  <w:num w:numId="46" w16cid:durableId="30036715">
    <w:abstractNumId w:val="19"/>
  </w:num>
  <w:num w:numId="47" w16cid:durableId="1192376696">
    <w:abstractNumId w:val="42"/>
  </w:num>
  <w:num w:numId="48" w16cid:durableId="1728798635">
    <w:abstractNumId w:val="41"/>
  </w:num>
  <w:num w:numId="49" w16cid:durableId="907347650">
    <w:abstractNumId w:val="15"/>
  </w:num>
  <w:num w:numId="50" w16cid:durableId="343553795">
    <w:abstractNumId w:val="21"/>
  </w:num>
  <w:num w:numId="51" w16cid:durableId="310867160">
    <w:abstractNumId w:val="36"/>
  </w:num>
  <w:num w:numId="52" w16cid:durableId="545339858">
    <w:abstractNumId w:val="18"/>
  </w:num>
  <w:num w:numId="53" w16cid:durableId="190269555">
    <w:abstractNumId w:val="35"/>
  </w:num>
  <w:num w:numId="54" w16cid:durableId="1982035867">
    <w:abstractNumId w:val="32"/>
  </w:num>
  <w:num w:numId="55" w16cid:durableId="2137092637">
    <w:abstractNumId w:val="12"/>
  </w:num>
  <w:num w:numId="56" w16cid:durableId="384841718">
    <w:abstractNumId w:val="22"/>
  </w:num>
  <w:num w:numId="57" w16cid:durableId="1530486955">
    <w:abstractNumId w:val="39"/>
  </w:num>
  <w:num w:numId="58" w16cid:durableId="1186213752">
    <w:abstractNumId w:val="43"/>
  </w:num>
  <w:num w:numId="59" w16cid:durableId="1892957522">
    <w:abstractNumId w:val="23"/>
  </w:num>
  <w:num w:numId="60" w16cid:durableId="695279377">
    <w:abstractNumId w:val="34"/>
  </w:num>
  <w:num w:numId="61" w16cid:durableId="855388703">
    <w:abstractNumId w:val="17"/>
  </w:num>
  <w:num w:numId="62" w16cid:durableId="178856233">
    <w:abstractNumId w:val="11"/>
  </w:num>
  <w:num w:numId="63" w16cid:durableId="669868560">
    <w:abstractNumId w:val="37"/>
  </w:num>
  <w:num w:numId="64" w16cid:durableId="235432235">
    <w:abstractNumId w:val="38"/>
  </w:num>
  <w:num w:numId="65" w16cid:durableId="197936478">
    <w:abstractNumId w:val="31"/>
  </w:num>
  <w:num w:numId="66" w16cid:durableId="1255867645">
    <w:abstractNumId w:val="27"/>
  </w:num>
  <w:num w:numId="67" w16cid:durableId="907807296">
    <w:abstractNumId w:val="40"/>
  </w:num>
  <w:num w:numId="68" w16cid:durableId="2042703242">
    <w:abstractNumId w:val="14"/>
  </w:num>
  <w:num w:numId="69" w16cid:durableId="1272712577">
    <w:abstractNumId w:val="16"/>
  </w:num>
  <w:num w:numId="70" w16cid:durableId="571548724">
    <w:abstractNumId w:val="28"/>
  </w:num>
  <w:num w:numId="71" w16cid:durableId="1073509793">
    <w:abstractNumId w:val="10"/>
  </w:num>
  <w:num w:numId="72" w16cid:durableId="1232696135">
    <w:abstractNumId w:val="13"/>
  </w:num>
  <w:num w:numId="73" w16cid:durableId="1499425726">
    <w:abstractNumId w:val="26"/>
  </w:num>
  <w:num w:numId="74" w16cid:durableId="1381553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Iowa"/>
    <w:docVar w:name="VerbatimVersion" w:val="6.0.0"/>
    <w:docVar w:name="WordVersion" w:val="16.0"/>
  </w:docVars>
  <w:rsids>
    <w:rsidRoot w:val="00C52BC7"/>
    <w:rsid w:val="00001C7E"/>
    <w:rsid w:val="0000487C"/>
    <w:rsid w:val="00011FEF"/>
    <w:rsid w:val="00013C8B"/>
    <w:rsid w:val="00023AEF"/>
    <w:rsid w:val="000250CA"/>
    <w:rsid w:val="00032119"/>
    <w:rsid w:val="00033179"/>
    <w:rsid w:val="0004215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77C"/>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AC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168"/>
    <w:rsid w:val="001D6D5C"/>
    <w:rsid w:val="001D7A6D"/>
    <w:rsid w:val="001E07C6"/>
    <w:rsid w:val="001E4A64"/>
    <w:rsid w:val="001E61F5"/>
    <w:rsid w:val="001F0C01"/>
    <w:rsid w:val="001F1F4D"/>
    <w:rsid w:val="001F671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4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0E3"/>
    <w:rsid w:val="002D2594"/>
    <w:rsid w:val="002D3647"/>
    <w:rsid w:val="002D418C"/>
    <w:rsid w:val="002E010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06E"/>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17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DF6"/>
    <w:rsid w:val="004C2990"/>
    <w:rsid w:val="004C5E96"/>
    <w:rsid w:val="004C7B42"/>
    <w:rsid w:val="004D05AA"/>
    <w:rsid w:val="004D14C3"/>
    <w:rsid w:val="004D2C8F"/>
    <w:rsid w:val="004D43AE"/>
    <w:rsid w:val="004D5EAC"/>
    <w:rsid w:val="004D5EF0"/>
    <w:rsid w:val="004D6EEE"/>
    <w:rsid w:val="004D73E6"/>
    <w:rsid w:val="004D7907"/>
    <w:rsid w:val="004E6CD8"/>
    <w:rsid w:val="004E6F12"/>
    <w:rsid w:val="004E746C"/>
    <w:rsid w:val="004E7533"/>
    <w:rsid w:val="004F16CA"/>
    <w:rsid w:val="004F4139"/>
    <w:rsid w:val="004F46E4"/>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809"/>
    <w:rsid w:val="00687555"/>
    <w:rsid w:val="00690E39"/>
    <w:rsid w:val="00691FF9"/>
    <w:rsid w:val="0069285F"/>
    <w:rsid w:val="0069404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28A7"/>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A16"/>
    <w:rsid w:val="007A312F"/>
    <w:rsid w:val="007A7EAB"/>
    <w:rsid w:val="007B5238"/>
    <w:rsid w:val="007C0AED"/>
    <w:rsid w:val="007C0BEE"/>
    <w:rsid w:val="007C1C3D"/>
    <w:rsid w:val="007C42F3"/>
    <w:rsid w:val="007C4FA7"/>
    <w:rsid w:val="007C5531"/>
    <w:rsid w:val="007C63A0"/>
    <w:rsid w:val="007C6D52"/>
    <w:rsid w:val="007C6F91"/>
    <w:rsid w:val="007C72C0"/>
    <w:rsid w:val="007D034D"/>
    <w:rsid w:val="007D12ED"/>
    <w:rsid w:val="007D2F9C"/>
    <w:rsid w:val="007E0936"/>
    <w:rsid w:val="007E1757"/>
    <w:rsid w:val="007E18CC"/>
    <w:rsid w:val="007E1E34"/>
    <w:rsid w:val="007F1998"/>
    <w:rsid w:val="007F2034"/>
    <w:rsid w:val="007F4683"/>
    <w:rsid w:val="007F55A4"/>
    <w:rsid w:val="007F7C5E"/>
    <w:rsid w:val="00800BF1"/>
    <w:rsid w:val="00801B2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5BDA"/>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3D6"/>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5B4"/>
    <w:rsid w:val="00A2231D"/>
    <w:rsid w:val="00A2334F"/>
    <w:rsid w:val="00A250AA"/>
    <w:rsid w:val="00A25118"/>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39A"/>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387"/>
    <w:rsid w:val="00B2410E"/>
    <w:rsid w:val="00B2727D"/>
    <w:rsid w:val="00B301A2"/>
    <w:rsid w:val="00B31350"/>
    <w:rsid w:val="00B315A8"/>
    <w:rsid w:val="00B32C3E"/>
    <w:rsid w:val="00B34CF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BC7"/>
    <w:rsid w:val="00C56008"/>
    <w:rsid w:val="00C56A03"/>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DED"/>
    <w:rsid w:val="00CE54E0"/>
    <w:rsid w:val="00CE5835"/>
    <w:rsid w:val="00CE6FA1"/>
    <w:rsid w:val="00CE7444"/>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7C7"/>
    <w:rsid w:val="00D55A7A"/>
    <w:rsid w:val="00D568D5"/>
    <w:rsid w:val="00D56B6F"/>
    <w:rsid w:val="00D57878"/>
    <w:rsid w:val="00D60AB7"/>
    <w:rsid w:val="00D6226F"/>
    <w:rsid w:val="00D70E15"/>
    <w:rsid w:val="00D714E5"/>
    <w:rsid w:val="00D7546D"/>
    <w:rsid w:val="00D75C54"/>
    <w:rsid w:val="00D839C5"/>
    <w:rsid w:val="00D84043"/>
    <w:rsid w:val="00D91348"/>
    <w:rsid w:val="00D93CF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DB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890"/>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A5F2"/>
  <w15:chartTrackingRefBased/>
  <w15:docId w15:val="{4DFB8CFF-C61A-4F1E-8027-46AFF93A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2BC7"/>
    <w:rPr>
      <w:rFonts w:ascii="Calibri" w:hAnsi="Calibri" w:cs="Calibri"/>
    </w:rPr>
  </w:style>
  <w:style w:type="paragraph" w:styleId="Heading1">
    <w:name w:val="heading 1"/>
    <w:aliases w:val="Pocket"/>
    <w:basedOn w:val="Normal"/>
    <w:next w:val="Normal"/>
    <w:link w:val="Heading1Char"/>
    <w:qFormat/>
    <w:rsid w:val="00C52B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2B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C52B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C52B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2B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52B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BC7"/>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C52B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52BC7"/>
    <w:rPr>
      <w:color w:val="auto"/>
      <w:u w:val="none"/>
    </w:rPr>
  </w:style>
  <w:style w:type="character" w:customStyle="1" w:styleId="Heading1Char">
    <w:name w:val="Heading 1 Char"/>
    <w:aliases w:val="Pocket Char"/>
    <w:basedOn w:val="DefaultParagraphFont"/>
    <w:link w:val="Heading1"/>
    <w:rsid w:val="00C52B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2BC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C52BC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C52BC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52BC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C52BC7"/>
    <w:rPr>
      <w:b w:val="0"/>
      <w:sz w:val="22"/>
      <w:u w:val="single"/>
    </w:rPr>
  </w:style>
  <w:style w:type="character" w:styleId="Strong">
    <w:name w:val="Strong"/>
    <w:basedOn w:val="DefaultParagraphFont"/>
    <w:uiPriority w:val="22"/>
    <w:qFormat/>
    <w:rsid w:val="00C52BC7"/>
    <w:rPr>
      <w:b/>
      <w:bCs/>
    </w:rPr>
  </w:style>
  <w:style w:type="character" w:styleId="BookTitle">
    <w:name w:val="Book Title"/>
    <w:basedOn w:val="DefaultParagraphFont"/>
    <w:uiPriority w:val="33"/>
    <w:qFormat/>
    <w:rsid w:val="00C52BC7"/>
    <w:rPr>
      <w:b/>
      <w:bCs/>
      <w:i/>
      <w:iCs/>
      <w:spacing w:val="5"/>
    </w:rPr>
  </w:style>
  <w:style w:type="character" w:customStyle="1" w:styleId="Heading5Char">
    <w:name w:val="Heading 5 Char"/>
    <w:basedOn w:val="DefaultParagraphFont"/>
    <w:link w:val="Heading5"/>
    <w:uiPriority w:val="9"/>
    <w:semiHidden/>
    <w:rsid w:val="00C52B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2BC7"/>
  </w:style>
  <w:style w:type="paragraph" w:styleId="Header">
    <w:name w:val="header"/>
    <w:basedOn w:val="Normal"/>
    <w:link w:val="HeaderChar"/>
    <w:uiPriority w:val="99"/>
    <w:semiHidden/>
    <w:rsid w:val="00C52BC7"/>
    <w:pPr>
      <w:tabs>
        <w:tab w:val="center" w:pos="4680"/>
        <w:tab w:val="right" w:pos="9360"/>
      </w:tabs>
    </w:pPr>
  </w:style>
  <w:style w:type="character" w:customStyle="1" w:styleId="HeaderChar">
    <w:name w:val="Header Char"/>
    <w:basedOn w:val="DefaultParagraphFont"/>
    <w:link w:val="Header"/>
    <w:uiPriority w:val="99"/>
    <w:semiHidden/>
    <w:rsid w:val="00C52BC7"/>
    <w:rPr>
      <w:rFonts w:ascii="Calibri" w:hAnsi="Calibri" w:cs="Calibri"/>
    </w:rPr>
  </w:style>
  <w:style w:type="paragraph" w:styleId="Footer">
    <w:name w:val="footer"/>
    <w:basedOn w:val="Normal"/>
    <w:link w:val="FooterChar"/>
    <w:uiPriority w:val="99"/>
    <w:semiHidden/>
    <w:rsid w:val="00C52BC7"/>
    <w:pPr>
      <w:tabs>
        <w:tab w:val="center" w:pos="4680"/>
        <w:tab w:val="right" w:pos="9360"/>
      </w:tabs>
    </w:pPr>
  </w:style>
  <w:style w:type="character" w:customStyle="1" w:styleId="FooterChar">
    <w:name w:val="Footer Char"/>
    <w:basedOn w:val="DefaultParagraphFont"/>
    <w:link w:val="Footer"/>
    <w:uiPriority w:val="99"/>
    <w:semiHidden/>
    <w:rsid w:val="00C52BC7"/>
    <w:rPr>
      <w:rFonts w:ascii="Calibri" w:hAnsi="Calibri" w:cs="Calibri"/>
    </w:rPr>
  </w:style>
  <w:style w:type="paragraph" w:styleId="BodyText">
    <w:name w:val="Body Text"/>
    <w:basedOn w:val="Normal"/>
    <w:link w:val="BodyTextChar"/>
    <w:uiPriority w:val="99"/>
    <w:semiHidden/>
    <w:unhideWhenUsed/>
    <w:rsid w:val="00C52BC7"/>
    <w:pPr>
      <w:spacing w:after="120"/>
    </w:pPr>
  </w:style>
  <w:style w:type="character" w:customStyle="1" w:styleId="BodyTextChar">
    <w:name w:val="Body Text Char"/>
    <w:basedOn w:val="DefaultParagraphFont"/>
    <w:link w:val="BodyText"/>
    <w:uiPriority w:val="99"/>
    <w:semiHidden/>
    <w:rsid w:val="00C52BC7"/>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ca,Note Level 21,ClearFormatting,Clear,No Spacing51,No Spacing11211"/>
    <w:link w:val="NoSpacingChar"/>
    <w:uiPriority w:val="99"/>
    <w:unhideWhenUsed/>
    <w:qFormat/>
    <w:rsid w:val="00C52BC7"/>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1,card Char1,ca Char"/>
    <w:basedOn w:val="DefaultParagraphFont"/>
    <w:link w:val="NoSpacing"/>
    <w:uiPriority w:val="99"/>
    <w:rsid w:val="00C52BC7"/>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
    <w:basedOn w:val="DefaultParagraphFont"/>
    <w:uiPriority w:val="99"/>
    <w:unhideWhenUsed/>
    <w:rsid w:val="00C52BC7"/>
    <w:rPr>
      <w:color w:val="0563C1" w:themeColor="hyperlink"/>
      <w:u w:val="single"/>
    </w:rPr>
  </w:style>
  <w:style w:type="character" w:styleId="UnresolvedMention">
    <w:name w:val="Unresolved Mention"/>
    <w:basedOn w:val="DefaultParagraphFont"/>
    <w:uiPriority w:val="99"/>
    <w:semiHidden/>
    <w:unhideWhenUsed/>
    <w:rsid w:val="00C52BC7"/>
    <w:rPr>
      <w:color w:val="605E5C"/>
      <w:shd w:val="clear" w:color="auto" w:fill="E1DFDD"/>
    </w:rPr>
  </w:style>
  <w:style w:type="paragraph" w:customStyle="1" w:styleId="Undertag">
    <w:name w:val="Undertag"/>
    <w:link w:val="UndertagChar"/>
    <w:autoRedefine/>
    <w:uiPriority w:val="5"/>
    <w:qFormat/>
    <w:rsid w:val="00C52B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2B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52BC7"/>
    <w:rPr>
      <w:color w:val="1F3864" w:themeColor="accent1" w:themeShade="80"/>
    </w:rPr>
  </w:style>
  <w:style w:type="character" w:customStyle="1" w:styleId="AnalyticChar">
    <w:name w:val="Analytic Char"/>
    <w:basedOn w:val="DefaultParagraphFont"/>
    <w:link w:val="Analytic"/>
    <w:uiPriority w:val="5"/>
    <w:rsid w:val="00C52BC7"/>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E44DB0"/>
    <w:pPr>
      <w:ind w:left="720"/>
      <w:contextualSpacing/>
    </w:pPr>
  </w:style>
  <w:style w:type="character" w:styleId="CommentReference">
    <w:name w:val="annotation reference"/>
    <w:basedOn w:val="DefaultParagraphFont"/>
    <w:uiPriority w:val="99"/>
    <w:semiHidden/>
    <w:unhideWhenUsed/>
    <w:rsid w:val="00E44DB0"/>
    <w:rPr>
      <w:sz w:val="16"/>
      <w:szCs w:val="16"/>
    </w:rPr>
  </w:style>
  <w:style w:type="paragraph" w:styleId="CommentText">
    <w:name w:val="annotation text"/>
    <w:basedOn w:val="Normal"/>
    <w:link w:val="CommentTextChar"/>
    <w:uiPriority w:val="99"/>
    <w:unhideWhenUsed/>
    <w:rsid w:val="00E44DB0"/>
    <w:pPr>
      <w:spacing w:line="240" w:lineRule="auto"/>
    </w:pPr>
    <w:rPr>
      <w:sz w:val="20"/>
      <w:szCs w:val="20"/>
    </w:rPr>
  </w:style>
  <w:style w:type="character" w:customStyle="1" w:styleId="CommentTextChar">
    <w:name w:val="Comment Text Char"/>
    <w:basedOn w:val="DefaultParagraphFont"/>
    <w:link w:val="CommentText"/>
    <w:uiPriority w:val="99"/>
    <w:rsid w:val="00E44DB0"/>
    <w:rPr>
      <w:rFonts w:ascii="Calibri" w:hAnsi="Calibri" w:cs="Calibri"/>
      <w:sz w:val="20"/>
      <w:szCs w:val="20"/>
    </w:rPr>
  </w:style>
  <w:style w:type="paragraph" w:styleId="FootnoteText">
    <w:name w:val="footnote text"/>
    <w:basedOn w:val="Normal"/>
    <w:link w:val="FootnoteTextChar"/>
    <w:uiPriority w:val="99"/>
    <w:semiHidden/>
    <w:unhideWhenUsed/>
    <w:rsid w:val="00E44D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4DB0"/>
    <w:rPr>
      <w:rFonts w:ascii="Calibri" w:hAnsi="Calibri" w:cs="Calibri"/>
      <w:sz w:val="20"/>
      <w:szCs w:val="20"/>
    </w:rPr>
  </w:style>
  <w:style w:type="character" w:styleId="FootnoteReference">
    <w:name w:val="footnote reference"/>
    <w:basedOn w:val="DefaultParagraphFont"/>
    <w:uiPriority w:val="99"/>
    <w:semiHidden/>
    <w:unhideWhenUsed/>
    <w:rsid w:val="00E44DB0"/>
    <w:rPr>
      <w:vertAlign w:val="superscript"/>
    </w:rPr>
  </w:style>
  <w:style w:type="paragraph" w:customStyle="1" w:styleId="textbold">
    <w:name w:val="text bold"/>
    <w:basedOn w:val="Normal"/>
    <w:link w:val="Emphasis"/>
    <w:uiPriority w:val="8"/>
    <w:qFormat/>
    <w:rsid w:val="00E44DB0"/>
    <w:pPr>
      <w:ind w:left="720"/>
      <w:jc w:val="both"/>
    </w:pPr>
    <w:rPr>
      <w:b/>
      <w:iCs/>
      <w:u w:val="single"/>
    </w:rPr>
  </w:style>
  <w:style w:type="paragraph" w:customStyle="1" w:styleId="Emphasis1">
    <w:name w:val="Emphasis1"/>
    <w:basedOn w:val="Normal"/>
    <w:autoRedefine/>
    <w:uiPriority w:val="8"/>
    <w:qFormat/>
    <w:rsid w:val="000331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19451</Words>
  <Characters>103674</Characters>
  <Application>Microsoft Office Word</Application>
  <DocSecurity>0</DocSecurity>
  <Lines>822</Lines>
  <Paragraphs>352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Peggy Parfenoff</cp:lastModifiedBy>
  <cp:revision>21</cp:revision>
  <dcterms:created xsi:type="dcterms:W3CDTF">2026-03-29T18:13:00Z</dcterms:created>
  <dcterms:modified xsi:type="dcterms:W3CDTF">2026-03-29T19:03:00Z</dcterms:modified>
</cp:coreProperties>
</file>