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2D9CC" w14:textId="464B48E9" w:rsidR="007D229E" w:rsidRDefault="007D229E" w:rsidP="007D229E">
      <w:pPr>
        <w:pStyle w:val="Heading2"/>
      </w:pPr>
      <w:r>
        <w:t>K</w:t>
      </w:r>
    </w:p>
    <w:p w14:paraId="0F681612" w14:textId="247576FF" w:rsidR="007D229E" w:rsidRPr="004E4BFA" w:rsidRDefault="007D229E" w:rsidP="007D229E">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272368D0" w14:textId="77777777" w:rsidR="007D229E" w:rsidRPr="004E4BFA" w:rsidRDefault="007D229E" w:rsidP="007D229E">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1478B6DA" w14:textId="658665C2" w:rsidR="007D229E" w:rsidRDefault="007D229E" w:rsidP="007D229E">
      <w:pPr>
        <w:rPr>
          <w:sz w:val="20"/>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576261">
        <w:rPr>
          <w:sz w:val="32"/>
          <w:szCs w:val="32"/>
          <w:u w:val="single"/>
        </w:rPr>
        <w:t xml:space="preserve"> </w:t>
      </w:r>
      <w:r w:rsidRPr="001D3019">
        <w:rPr>
          <w:sz w:val="32"/>
          <w:szCs w:val="32"/>
          <w:u w:val="single"/>
        </w:rPr>
        <w:t xml:space="preserve">the </w:t>
      </w:r>
      <w:r w:rsidRPr="004E4BFA">
        <w:rPr>
          <w:sz w:val="32"/>
          <w:szCs w:val="32"/>
          <w:u w:val="single"/>
        </w:rPr>
        <w:t xml:space="preserve">structural </w:t>
      </w:r>
      <w:r w:rsidRPr="001D3019">
        <w:rPr>
          <w:sz w:val="32"/>
          <w:szCs w:val="32"/>
          <w:u w:val="single"/>
        </w:rPr>
        <w:t>violence of social death.*</w:t>
      </w:r>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In other words</w:t>
      </w:r>
      <w:r w:rsidRPr="001D3019">
        <w:rPr>
          <w:sz w:val="32"/>
          <w:szCs w:val="32"/>
          <w:u w:val="single"/>
        </w:rPr>
        <w:t xml:space="preserve">, it takes an ocean of violence to transpose serfs into workers. </w:t>
      </w:r>
      <w:r w:rsidRPr="004E4BFA">
        <w:rPr>
          <w:sz w:val="32"/>
          <w:szCs w:val="32"/>
          <w:u w:val="single"/>
        </w:rPr>
        <w:t xml:space="preserve">It takes an ocean of violence over a couple of hundred years </w:t>
      </w:r>
      <w:r w:rsidRPr="001D3019">
        <w:rPr>
          <w:sz w:val="32"/>
          <w:szCs w:val="32"/>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goes into remission</w:t>
      </w:r>
      <w:r w:rsidRPr="004E4BFA">
        <w:rPr>
          <w:sz w:val="20"/>
          <w:szCs w:val="32"/>
        </w:rPr>
        <w:t xml:space="preserve">. Again, the prehistory of violence that establishes slavery is also the concurrent history of slavery. This is a difficult cognitive map for most activists to adjust to because it actually takes the </w:t>
      </w:r>
      <w:r w:rsidRPr="004E4BFA">
        <w:rPr>
          <w:sz w:val="20"/>
          <w:szCs w:val="32"/>
        </w:rPr>
        <w:lastRenderedPageBreak/>
        <w:t xml:space="preserve">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actually subtended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value;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genocided like Native Americans. We are being genocided, but genocided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 xml:space="preserve">I experience the kind of violence </w:t>
      </w:r>
      <w:r w:rsidRPr="004E4BFA">
        <w:rPr>
          <w:b/>
          <w:bCs/>
          <w:sz w:val="32"/>
          <w:szCs w:val="32"/>
          <w:highlight w:val="yellow"/>
          <w:u w:val="single"/>
        </w:rPr>
        <w:lastRenderedPageBreak/>
        <w:t>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disimbricated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the violence that both elaborates and saturates Black “life” is totalizing, so much so as to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 xml:space="preserve">Without the presence of a </w:t>
      </w:r>
      <w:r w:rsidRPr="004E4BFA">
        <w:rPr>
          <w:b/>
          <w:bCs/>
          <w:sz w:val="32"/>
          <w:szCs w:val="32"/>
          <w:highlight w:val="yellow"/>
          <w:u w:val="single"/>
        </w:rPr>
        <w:lastRenderedPageBreak/>
        <w:t>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natally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emplotment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mise-en-scène, or for a larger conceptualization, we might follow H. Porter Abbott and say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8014DB">
        <w:rPr>
          <w:sz w:val="32"/>
          <w:szCs w:val="32"/>
          <w:u w:val="single"/>
        </w:rPr>
        <w:t>violence of slavery is not precipitated as a result of</w:t>
      </w:r>
      <w:r w:rsidRPr="004E4BFA">
        <w:rPr>
          <w:sz w:val="32"/>
          <w:szCs w:val="32"/>
          <w:u w:val="single"/>
        </w:rPr>
        <w:t xml:space="preserve"> any </w:t>
      </w:r>
      <w:r w:rsidRPr="008014DB">
        <w:rPr>
          <w:sz w:val="32"/>
          <w:szCs w:val="32"/>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r w:rsidRPr="004E4BFA">
        <w:rPr>
          <w:sz w:val="32"/>
          <w:szCs w:val="32"/>
          <w:u w:val="single"/>
        </w:rPr>
        <w:t xml:space="preserve">natally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4E4BFA">
        <w:rPr>
          <w:sz w:val="32"/>
          <w:szCs w:val="32"/>
          <w:u w:val="single"/>
        </w:rPr>
        <w:t xml:space="preserve">). The antagonism between the postcolonial subject and the settler cannot— and should not— be analogized with </w:t>
      </w:r>
      <w:r w:rsidRPr="004E4BFA">
        <w:rPr>
          <w:sz w:val="32"/>
          <w:szCs w:val="32"/>
          <w:u w:val="single"/>
        </w:rPr>
        <w:lastRenderedPageBreak/>
        <w:t>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7595F39A" w14:textId="29D1FAF5" w:rsidR="007D229E" w:rsidRDefault="007D229E" w:rsidP="007D229E">
      <w:pPr>
        <w:pStyle w:val="Heading4"/>
      </w:pPr>
      <w:r>
        <w:lastRenderedPageBreak/>
        <w:t xml:space="preserve">Ontological death reveals the beauty of unacceptable Black lives the plan scapegoats in favor of AI. </w:t>
      </w:r>
    </w:p>
    <w:p w14:paraId="479D7B50" w14:textId="77777777" w:rsidR="007D229E" w:rsidRDefault="007D229E" w:rsidP="007D229E">
      <w:pPr>
        <w:shd w:val="clear" w:color="auto" w:fill="FFFFFF"/>
        <w:spacing w:line="257" w:lineRule="atLeast"/>
        <w:rPr>
          <w:color w:val="000000"/>
          <w:sz w:val="27"/>
          <w:szCs w:val="27"/>
        </w:rPr>
      </w:pPr>
      <w:r>
        <w:rPr>
          <w:color w:val="000000"/>
          <w:sz w:val="27"/>
          <w:szCs w:val="27"/>
        </w:rPr>
        <w:t>Tash </w:t>
      </w:r>
      <w:r>
        <w:rPr>
          <w:b/>
          <w:bCs/>
          <w:color w:val="000000"/>
          <w:sz w:val="26"/>
          <w:szCs w:val="26"/>
        </w:rPr>
        <w:t>Moore 23</w:t>
      </w:r>
      <w:r>
        <w:rPr>
          <w:color w:val="000000"/>
          <w:sz w:val="27"/>
          <w:szCs w:val="27"/>
        </w:rPr>
        <w:t>, Detroit activist, 5/17/23, "Navigating Pain and Possibility," </w:t>
      </w:r>
      <w:hyperlink r:id="rId8" w:tgtFrame="_blank" w:history="1">
        <w:r>
          <w:rPr>
            <w:rStyle w:val="Hyperlink"/>
            <w:color w:val="1155CC"/>
            <w:sz w:val="27"/>
            <w:szCs w:val="27"/>
          </w:rPr>
          <w:t>https://contemporaryand.com/magazines/navigating-pain-and-possibility/</w:t>
        </w:r>
      </w:hyperlink>
    </w:p>
    <w:p w14:paraId="7F90884C" w14:textId="77777777" w:rsidR="007D229E" w:rsidRDefault="007D229E" w:rsidP="007D229E">
      <w:pPr>
        <w:shd w:val="clear" w:color="auto" w:fill="FFFFFF"/>
        <w:spacing w:line="257" w:lineRule="atLeast"/>
        <w:rPr>
          <w:color w:val="000000"/>
          <w:sz w:val="27"/>
          <w:szCs w:val="27"/>
        </w:rPr>
      </w:pPr>
      <w:r>
        <w:rPr>
          <w:color w:val="000000"/>
          <w:u w:val="single"/>
        </w:rPr>
        <w:t>Black creatives</w:t>
      </w:r>
      <w:r>
        <w:rPr>
          <w:color w:val="000000"/>
          <w:sz w:val="16"/>
          <w:szCs w:val="16"/>
        </w:rPr>
        <w:t> </w:t>
      </w:r>
      <w:r>
        <w:rPr>
          <w:b/>
          <w:bCs/>
          <w:color w:val="000000"/>
          <w:sz w:val="27"/>
          <w:szCs w:val="27"/>
          <w:u w:val="single"/>
        </w:rPr>
        <w:t>often feel </w:t>
      </w:r>
      <w:r>
        <w:rPr>
          <w:b/>
          <w:bCs/>
          <w:color w:val="000000"/>
          <w:sz w:val="27"/>
          <w:szCs w:val="27"/>
          <w:u w:val="single"/>
          <w:shd w:val="clear" w:color="auto" w:fill="00FF00"/>
        </w:rPr>
        <w:t>the</w:t>
      </w:r>
      <w:r>
        <w:rPr>
          <w:b/>
          <w:bCs/>
          <w:color w:val="000000"/>
          <w:sz w:val="27"/>
          <w:szCs w:val="27"/>
          <w:u w:val="single"/>
        </w:rPr>
        <w:t> acute </w:t>
      </w:r>
      <w:r>
        <w:rPr>
          <w:b/>
          <w:bCs/>
          <w:color w:val="000000"/>
          <w:sz w:val="27"/>
          <w:szCs w:val="27"/>
          <w:u w:val="single"/>
          <w:shd w:val="clear" w:color="auto" w:fill="00FF00"/>
        </w:rPr>
        <w:t>pain of</w:t>
      </w:r>
      <w:r>
        <w:rPr>
          <w:b/>
          <w:bCs/>
          <w:color w:val="000000"/>
          <w:sz w:val="27"/>
          <w:szCs w:val="27"/>
          <w:u w:val="single"/>
        </w:rPr>
        <w:t> systemic </w:t>
      </w:r>
      <w:r>
        <w:rPr>
          <w:b/>
          <w:bCs/>
          <w:color w:val="000000"/>
          <w:sz w:val="27"/>
          <w:szCs w:val="27"/>
          <w:u w:val="single"/>
          <w:shd w:val="clear" w:color="auto" w:fill="00FF00"/>
        </w:rPr>
        <w:t>oppression</w:t>
      </w:r>
      <w:r>
        <w:rPr>
          <w:b/>
          <w:bCs/>
          <w:color w:val="000000"/>
          <w:sz w:val="27"/>
          <w:szCs w:val="27"/>
          <w:u w:val="single"/>
        </w:rPr>
        <w:t> and discrimination</w:t>
      </w:r>
      <w:r>
        <w:rPr>
          <w:color w:val="000000"/>
          <w:sz w:val="16"/>
          <w:szCs w:val="16"/>
        </w:rPr>
        <w:t> that </w:t>
      </w:r>
      <w:r>
        <w:rPr>
          <w:color w:val="000000"/>
          <w:u w:val="single"/>
          <w:shd w:val="clear" w:color="auto" w:fill="00FF00"/>
        </w:rPr>
        <w:t>limits</w:t>
      </w:r>
      <w:r>
        <w:rPr>
          <w:color w:val="000000"/>
          <w:sz w:val="16"/>
          <w:szCs w:val="16"/>
        </w:rPr>
        <w:t> their </w:t>
      </w:r>
      <w:r>
        <w:rPr>
          <w:b/>
          <w:bCs/>
          <w:color w:val="000000"/>
          <w:sz w:val="27"/>
          <w:szCs w:val="27"/>
          <w:u w:val="single"/>
        </w:rPr>
        <w:t>access to </w:t>
      </w:r>
      <w:r>
        <w:rPr>
          <w:b/>
          <w:bCs/>
          <w:color w:val="000000"/>
          <w:sz w:val="27"/>
          <w:szCs w:val="27"/>
          <w:u w:val="single"/>
          <w:shd w:val="clear" w:color="auto" w:fill="00FF00"/>
        </w:rPr>
        <w:t>opportunities</w:t>
      </w:r>
      <w:r>
        <w:rPr>
          <w:color w:val="000000"/>
          <w:sz w:val="16"/>
          <w:szCs w:val="16"/>
        </w:rPr>
        <w:t>. In recent years, two movements have been </w:t>
      </w:r>
      <w:r>
        <w:rPr>
          <w:color w:val="000000"/>
          <w:u w:val="single"/>
          <w:shd w:val="clear" w:color="auto" w:fill="00FF00"/>
        </w:rPr>
        <w:t>offering</w:t>
      </w:r>
      <w:r>
        <w:rPr>
          <w:color w:val="000000"/>
          <w:sz w:val="16"/>
          <w:szCs w:val="16"/>
        </w:rPr>
        <w:t> </w:t>
      </w:r>
      <w:r>
        <w:rPr>
          <w:b/>
          <w:bCs/>
          <w:color w:val="000000"/>
          <w:sz w:val="27"/>
          <w:szCs w:val="27"/>
          <w:u w:val="single"/>
        </w:rPr>
        <w:t>important </w:t>
      </w:r>
      <w:r>
        <w:rPr>
          <w:b/>
          <w:bCs/>
          <w:color w:val="000000"/>
          <w:sz w:val="27"/>
          <w:szCs w:val="27"/>
          <w:u w:val="single"/>
          <w:shd w:val="clear" w:color="auto" w:fill="00FF00"/>
        </w:rPr>
        <w:t>tools for understanding</w:t>
      </w:r>
      <w:r>
        <w:rPr>
          <w:color w:val="000000"/>
          <w:sz w:val="16"/>
          <w:szCs w:val="16"/>
          <w:shd w:val="clear" w:color="auto" w:fill="00FF00"/>
        </w:rPr>
        <w:t> </w:t>
      </w:r>
      <w:r>
        <w:rPr>
          <w:color w:val="000000"/>
          <w:u w:val="single"/>
          <w:shd w:val="clear" w:color="auto" w:fill="00FF00"/>
        </w:rPr>
        <w:t>and </w:t>
      </w:r>
      <w:r>
        <w:rPr>
          <w:b/>
          <w:bCs/>
          <w:color w:val="000000"/>
          <w:sz w:val="27"/>
          <w:szCs w:val="27"/>
          <w:u w:val="single"/>
          <w:shd w:val="clear" w:color="auto" w:fill="00FF00"/>
        </w:rPr>
        <w:t>navigating</w:t>
      </w:r>
      <w:r>
        <w:rPr>
          <w:color w:val="000000"/>
          <w:u w:val="single"/>
        </w:rPr>
        <w:t> these complex issues</w:t>
      </w:r>
      <w:r>
        <w:rPr>
          <w:color w:val="000000"/>
          <w:sz w:val="16"/>
          <w:szCs w:val="16"/>
        </w:rPr>
        <w:t>: </w:t>
      </w:r>
      <w:r>
        <w:rPr>
          <w:b/>
          <w:bCs/>
          <w:color w:val="000000"/>
          <w:sz w:val="27"/>
          <w:szCs w:val="27"/>
          <w:u w:val="single"/>
          <w:shd w:val="clear" w:color="auto" w:fill="00FF00"/>
        </w:rPr>
        <w:t>Afropessimism</w:t>
      </w:r>
      <w:r>
        <w:rPr>
          <w:color w:val="000000"/>
          <w:sz w:val="16"/>
          <w:szCs w:val="16"/>
        </w:rPr>
        <w:t> and Afrofuturism. Through Afropessimism, we can </w:t>
      </w:r>
      <w:r>
        <w:rPr>
          <w:color w:val="000000"/>
          <w:u w:val="single"/>
          <w:shd w:val="clear" w:color="auto" w:fill="00FF00"/>
        </w:rPr>
        <w:t>gain </w:t>
      </w:r>
      <w:r>
        <w:rPr>
          <w:b/>
          <w:bCs/>
          <w:color w:val="000000"/>
          <w:sz w:val="27"/>
          <w:szCs w:val="27"/>
          <w:u w:val="single"/>
          <w:shd w:val="clear" w:color="auto" w:fill="00FF00"/>
        </w:rPr>
        <w:t>insight</w:t>
      </w:r>
      <w:r>
        <w:rPr>
          <w:color w:val="000000"/>
          <w:u w:val="single"/>
          <w:shd w:val="clear" w:color="auto" w:fill="00FF00"/>
        </w:rPr>
        <w:t> and </w:t>
      </w:r>
      <w:r>
        <w:rPr>
          <w:b/>
          <w:bCs/>
          <w:color w:val="000000"/>
          <w:sz w:val="27"/>
          <w:szCs w:val="27"/>
          <w:u w:val="single"/>
          <w:shd w:val="clear" w:color="auto" w:fill="00FF00"/>
        </w:rPr>
        <w:t>permission</w:t>
      </w:r>
      <w:r>
        <w:rPr>
          <w:color w:val="000000"/>
          <w:u w:val="single"/>
          <w:shd w:val="clear" w:color="auto" w:fill="00FF00"/>
        </w:rPr>
        <w:t> to express </w:t>
      </w:r>
      <w:r>
        <w:rPr>
          <w:b/>
          <w:bCs/>
          <w:color w:val="000000"/>
          <w:sz w:val="27"/>
          <w:szCs w:val="27"/>
          <w:u w:val="single"/>
          <w:shd w:val="clear" w:color="auto" w:fill="00FF00"/>
        </w:rPr>
        <w:t>multiple emotions simultaneously</w:t>
      </w:r>
      <w:r>
        <w:rPr>
          <w:color w:val="000000"/>
          <w:sz w:val="16"/>
          <w:szCs w:val="16"/>
        </w:rPr>
        <w:t>. Afrofuturism, meanwhile, encourages us to explore our imaginations even as our physical and intellectual boundaries are being challenged. Here, I look at how those movements help us embrace both pain and possibility.</w:t>
      </w:r>
    </w:p>
    <w:p w14:paraId="66C9BC73" w14:textId="77777777" w:rsidR="007D229E" w:rsidRDefault="007D229E" w:rsidP="007D229E">
      <w:pPr>
        <w:shd w:val="clear" w:color="auto" w:fill="FFFFFF"/>
        <w:spacing w:line="257" w:lineRule="atLeast"/>
        <w:rPr>
          <w:color w:val="000000"/>
          <w:sz w:val="27"/>
          <w:szCs w:val="27"/>
        </w:rPr>
      </w:pPr>
      <w:r>
        <w:rPr>
          <w:color w:val="000000"/>
          <w:u w:val="single"/>
          <w:shd w:val="clear" w:color="auto" w:fill="00FF00"/>
        </w:rPr>
        <w:t>Afropessimism</w:t>
      </w:r>
      <w:r>
        <w:rPr>
          <w:color w:val="000000"/>
          <w:sz w:val="16"/>
          <w:szCs w:val="16"/>
        </w:rPr>
        <w:t> is a philosophy that </w:t>
      </w:r>
      <w:r>
        <w:rPr>
          <w:color w:val="000000"/>
          <w:u w:val="single"/>
        </w:rPr>
        <w:t>focuses on the harsh reality of Black existence in the world, particularly in the context of the aftereffects of colonialism, enslavement, and ongoing white supremacy</w:t>
      </w:r>
      <w:r>
        <w:rPr>
          <w:color w:val="000000"/>
          <w:sz w:val="16"/>
          <w:szCs w:val="16"/>
        </w:rPr>
        <w:t>. It </w:t>
      </w:r>
      <w:r>
        <w:rPr>
          <w:color w:val="000000"/>
          <w:u w:val="single"/>
          <w:shd w:val="clear" w:color="auto" w:fill="00FF00"/>
        </w:rPr>
        <w:t>provides a </w:t>
      </w:r>
      <w:r>
        <w:rPr>
          <w:b/>
          <w:bCs/>
          <w:color w:val="000000"/>
          <w:sz w:val="27"/>
          <w:szCs w:val="27"/>
          <w:u w:val="single"/>
          <w:shd w:val="clear" w:color="auto" w:fill="00FF00"/>
        </w:rPr>
        <w:t>necessary perspective</w:t>
      </w:r>
      <w:r>
        <w:rPr>
          <w:color w:val="000000"/>
          <w:u w:val="single"/>
          <w:shd w:val="clear" w:color="auto" w:fill="00FF00"/>
        </w:rPr>
        <w:t> that </w:t>
      </w:r>
      <w:r>
        <w:rPr>
          <w:b/>
          <w:bCs/>
          <w:color w:val="000000"/>
          <w:sz w:val="27"/>
          <w:szCs w:val="27"/>
          <w:u w:val="single"/>
          <w:shd w:val="clear" w:color="auto" w:fill="00FF00"/>
        </w:rPr>
        <w:t>acknowledges</w:t>
      </w:r>
      <w:r>
        <w:rPr>
          <w:color w:val="000000"/>
          <w:u w:val="single"/>
        </w:rPr>
        <w:t>the </w:t>
      </w:r>
      <w:r>
        <w:rPr>
          <w:b/>
          <w:bCs/>
          <w:color w:val="000000"/>
          <w:sz w:val="27"/>
          <w:szCs w:val="27"/>
          <w:u w:val="single"/>
          <w:shd w:val="clear" w:color="auto" w:fill="00FF00"/>
        </w:rPr>
        <w:t>constant </w:t>
      </w:r>
      <w:r>
        <w:rPr>
          <w:b/>
          <w:bCs/>
          <w:color w:val="000000"/>
          <w:sz w:val="27"/>
          <w:szCs w:val="27"/>
          <w:u w:val="single"/>
        </w:rPr>
        <w:t>struggles and </w:t>
      </w:r>
      <w:r>
        <w:rPr>
          <w:b/>
          <w:bCs/>
          <w:color w:val="000000"/>
          <w:sz w:val="27"/>
          <w:szCs w:val="27"/>
          <w:u w:val="single"/>
          <w:shd w:val="clear" w:color="auto" w:fill="00FF00"/>
        </w:rPr>
        <w:t>suffering</w:t>
      </w:r>
      <w:r>
        <w:rPr>
          <w:color w:val="000000"/>
          <w:u w:val="single"/>
        </w:rPr>
        <w:t> that Black individuals face, </w:t>
      </w:r>
      <w:r>
        <w:rPr>
          <w:color w:val="000000"/>
          <w:u w:val="single"/>
          <w:shd w:val="clear" w:color="auto" w:fill="00FF00"/>
        </w:rPr>
        <w:t>rather than </w:t>
      </w:r>
      <w:r>
        <w:rPr>
          <w:b/>
          <w:bCs/>
          <w:color w:val="000000"/>
          <w:sz w:val="27"/>
          <w:szCs w:val="27"/>
          <w:u w:val="single"/>
          <w:shd w:val="clear" w:color="auto" w:fill="00FF00"/>
        </w:rPr>
        <w:t>perpetuating false</w:t>
      </w:r>
      <w:r>
        <w:rPr>
          <w:b/>
          <w:bCs/>
          <w:color w:val="000000"/>
          <w:sz w:val="27"/>
          <w:szCs w:val="27"/>
          <w:u w:val="single"/>
        </w:rPr>
        <w:t> notions of progress or </w:t>
      </w:r>
      <w:r>
        <w:rPr>
          <w:b/>
          <w:bCs/>
          <w:color w:val="000000"/>
          <w:sz w:val="27"/>
          <w:szCs w:val="27"/>
          <w:u w:val="single"/>
          <w:shd w:val="clear" w:color="auto" w:fill="00FF00"/>
        </w:rPr>
        <w:t>hope</w:t>
      </w:r>
      <w:r>
        <w:rPr>
          <w:color w:val="000000"/>
          <w:sz w:val="16"/>
          <w:szCs w:val="16"/>
          <w:shd w:val="clear" w:color="auto" w:fill="00FF00"/>
        </w:rPr>
        <w:t>.</w:t>
      </w:r>
      <w:r>
        <w:rPr>
          <w:color w:val="000000"/>
          <w:u w:val="single"/>
          <w:shd w:val="clear" w:color="auto" w:fill="00FF00"/>
        </w:rPr>
        <w:t> By recognizing the</w:t>
      </w:r>
      <w:r>
        <w:rPr>
          <w:color w:val="000000"/>
          <w:u w:val="single"/>
        </w:rPr>
        <w:t> pain and </w:t>
      </w:r>
      <w:r>
        <w:rPr>
          <w:color w:val="000000"/>
          <w:u w:val="single"/>
          <w:shd w:val="clear" w:color="auto" w:fill="00FF00"/>
        </w:rPr>
        <w:t>trauma of being Black, Afropessimism</w:t>
      </w:r>
      <w:r>
        <w:rPr>
          <w:color w:val="000000"/>
          <w:u w:val="single"/>
        </w:rPr>
        <w:t> can </w:t>
      </w:r>
      <w:r>
        <w:rPr>
          <w:color w:val="000000"/>
          <w:u w:val="single"/>
          <w:shd w:val="clear" w:color="auto" w:fill="00FF00"/>
        </w:rPr>
        <w:t>lead to</w:t>
      </w:r>
      <w:r>
        <w:rPr>
          <w:color w:val="000000"/>
          <w:u w:val="single"/>
        </w:rPr>
        <w:t> a </w:t>
      </w:r>
      <w:r>
        <w:rPr>
          <w:b/>
          <w:bCs/>
          <w:color w:val="000000"/>
          <w:sz w:val="27"/>
          <w:szCs w:val="27"/>
          <w:u w:val="single"/>
          <w:shd w:val="clear" w:color="auto" w:fill="00FF00"/>
        </w:rPr>
        <w:t>deeper understanding</w:t>
      </w:r>
      <w:r>
        <w:rPr>
          <w:color w:val="000000"/>
          <w:u w:val="single"/>
          <w:shd w:val="clear" w:color="auto" w:fill="00FF00"/>
        </w:rPr>
        <w:t> and </w:t>
      </w:r>
      <w:r>
        <w:rPr>
          <w:b/>
          <w:bCs/>
          <w:color w:val="000000"/>
          <w:sz w:val="27"/>
          <w:szCs w:val="27"/>
          <w:u w:val="single"/>
          <w:shd w:val="clear" w:color="auto" w:fill="00FF00"/>
        </w:rPr>
        <w:t>empathy</w:t>
      </w:r>
      <w:r>
        <w:rPr>
          <w:color w:val="000000"/>
          <w:u w:val="single"/>
          <w:shd w:val="clear" w:color="auto" w:fill="00FF00"/>
        </w:rPr>
        <w:t> for</w:t>
      </w:r>
      <w:r>
        <w:rPr>
          <w:color w:val="000000"/>
          <w:u w:val="single"/>
        </w:rPr>
        <w:t>the </w:t>
      </w:r>
      <w:r>
        <w:rPr>
          <w:color w:val="000000"/>
          <w:u w:val="single"/>
          <w:shd w:val="clear" w:color="auto" w:fill="00FF00"/>
        </w:rPr>
        <w:t>lived experiences</w:t>
      </w:r>
      <w:r>
        <w:rPr>
          <w:color w:val="000000"/>
          <w:u w:val="single"/>
        </w:rPr>
        <w:t> of Black individuals.</w:t>
      </w:r>
      <w:r>
        <w:rPr>
          <w:color w:val="000000"/>
          <w:sz w:val="16"/>
          <w:szCs w:val="16"/>
        </w:rPr>
        <w:t> Afropessimistic expression within civil society suggests that we don’t just focus on solving structural problems, but on ensuring the Black body is protected from gratuitous violence.</w:t>
      </w:r>
    </w:p>
    <w:p w14:paraId="644F76BF" w14:textId="77777777" w:rsidR="007D229E" w:rsidRDefault="007D229E" w:rsidP="007D229E">
      <w:pPr>
        <w:shd w:val="clear" w:color="auto" w:fill="FFFFFF"/>
        <w:spacing w:line="257" w:lineRule="atLeast"/>
        <w:rPr>
          <w:color w:val="000000"/>
          <w:sz w:val="27"/>
          <w:szCs w:val="27"/>
        </w:rPr>
      </w:pPr>
      <w:r>
        <w:rPr>
          <w:color w:val="000000"/>
          <w:u w:val="single"/>
        </w:rPr>
        <w:t>In contemporary art, </w:t>
      </w:r>
      <w:r>
        <w:rPr>
          <w:color w:val="000000"/>
          <w:u w:val="single"/>
          <w:shd w:val="clear" w:color="auto" w:fill="00FF00"/>
        </w:rPr>
        <w:t>Afropessimism is</w:t>
      </w:r>
      <w:r>
        <w:rPr>
          <w:color w:val="000000"/>
          <w:u w:val="single"/>
        </w:rPr>
        <w:t> often </w:t>
      </w:r>
      <w:r>
        <w:rPr>
          <w:color w:val="000000"/>
          <w:u w:val="single"/>
          <w:shd w:val="clear" w:color="auto" w:fill="00FF00"/>
        </w:rPr>
        <w:t>expressed through</w:t>
      </w:r>
      <w:r>
        <w:rPr>
          <w:color w:val="000000"/>
          <w:u w:val="single"/>
        </w:rPr>
        <w:t> works that center on the pain but also on </w:t>
      </w:r>
      <w:r>
        <w:rPr>
          <w:color w:val="000000"/>
          <w:u w:val="single"/>
          <w:shd w:val="clear" w:color="auto" w:fill="00FF00"/>
        </w:rPr>
        <w:t>the</w:t>
      </w:r>
      <w:r>
        <w:rPr>
          <w:color w:val="000000"/>
          <w:u w:val="single"/>
        </w:rPr>
        <w:t> simple </w:t>
      </w:r>
      <w:r>
        <w:rPr>
          <w:b/>
          <w:bCs/>
          <w:color w:val="000000"/>
          <w:sz w:val="27"/>
          <w:szCs w:val="27"/>
          <w:u w:val="single"/>
          <w:shd w:val="clear" w:color="auto" w:fill="00FF00"/>
        </w:rPr>
        <w:t>beauty of “unacceptable” Black lives</w:t>
      </w:r>
      <w:r>
        <w:rPr>
          <w:color w:val="000000"/>
          <w:sz w:val="16"/>
          <w:szCs w:val="16"/>
        </w:rPr>
        <w:t>. Examples of Black masculine queer affection can be found in the photography of artists like Clifford Prince King and Kadar Small. Their works focus on the exiled sexuality of Blaq (Black and queer) folx within the larger Diaspora. The homo- and queerphobia within the colonial evolution of our cultures of origin can be difficult to confront, so </w:t>
      </w:r>
      <w:r>
        <w:rPr>
          <w:color w:val="000000"/>
          <w:u w:val="single"/>
          <w:shd w:val="clear" w:color="auto" w:fill="00FF00"/>
        </w:rPr>
        <w:t>it is </w:t>
      </w:r>
      <w:r>
        <w:rPr>
          <w:b/>
          <w:bCs/>
          <w:color w:val="000000"/>
          <w:sz w:val="27"/>
          <w:szCs w:val="27"/>
          <w:u w:val="single"/>
          <w:shd w:val="clear" w:color="auto" w:fill="00FF00"/>
        </w:rPr>
        <w:t>vital</w:t>
      </w:r>
      <w:r>
        <w:rPr>
          <w:color w:val="000000"/>
          <w:sz w:val="16"/>
          <w:szCs w:val="16"/>
          <w:shd w:val="clear" w:color="auto" w:fill="00FF00"/>
        </w:rPr>
        <w:t> </w:t>
      </w:r>
      <w:r>
        <w:rPr>
          <w:color w:val="000000"/>
          <w:u w:val="single"/>
          <w:shd w:val="clear" w:color="auto" w:fill="00FF00"/>
        </w:rPr>
        <w:t>to</w:t>
      </w:r>
      <w:r>
        <w:rPr>
          <w:color w:val="000000"/>
          <w:sz w:val="16"/>
          <w:szCs w:val="16"/>
          <w:shd w:val="clear" w:color="auto" w:fill="00FF00"/>
        </w:rPr>
        <w:t> </w:t>
      </w:r>
      <w:r>
        <w:rPr>
          <w:b/>
          <w:bCs/>
          <w:color w:val="000000"/>
          <w:sz w:val="27"/>
          <w:szCs w:val="27"/>
          <w:u w:val="single"/>
          <w:shd w:val="clear" w:color="auto" w:fill="00FF00"/>
        </w:rPr>
        <w:t>give voice</w:t>
      </w:r>
      <w:r>
        <w:rPr>
          <w:color w:val="000000"/>
          <w:u w:val="single"/>
        </w:rPr>
        <w:t> </w:t>
      </w:r>
      <w:r>
        <w:rPr>
          <w:color w:val="000000"/>
          <w:u w:val="single"/>
          <w:shd w:val="clear" w:color="auto" w:fill="00FF00"/>
        </w:rPr>
        <w:t>to experiences that have been </w:t>
      </w:r>
      <w:r>
        <w:rPr>
          <w:b/>
          <w:bCs/>
          <w:color w:val="000000"/>
          <w:sz w:val="27"/>
          <w:szCs w:val="27"/>
          <w:u w:val="single"/>
          <w:shd w:val="clear" w:color="auto" w:fill="00FF00"/>
        </w:rPr>
        <w:t>historically</w:t>
      </w:r>
      <w:r>
        <w:rPr>
          <w:b/>
          <w:bCs/>
          <w:color w:val="000000"/>
          <w:sz w:val="27"/>
          <w:szCs w:val="27"/>
          <w:u w:val="single"/>
        </w:rPr>
        <w:t> ignored or </w:t>
      </w:r>
      <w:r>
        <w:rPr>
          <w:b/>
          <w:bCs/>
          <w:color w:val="000000"/>
          <w:sz w:val="27"/>
          <w:szCs w:val="27"/>
          <w:u w:val="single"/>
          <w:shd w:val="clear" w:color="auto" w:fill="00FF00"/>
        </w:rPr>
        <w:t>silenced</w:t>
      </w:r>
      <w:r>
        <w:rPr>
          <w:color w:val="000000"/>
          <w:sz w:val="16"/>
          <w:szCs w:val="16"/>
          <w:shd w:val="clear" w:color="auto" w:fill="00FF00"/>
        </w:rPr>
        <w:t>, </w:t>
      </w:r>
      <w:r>
        <w:rPr>
          <w:color w:val="000000"/>
          <w:u w:val="single"/>
          <w:shd w:val="clear" w:color="auto" w:fill="00FF00"/>
        </w:rPr>
        <w:t>and</w:t>
      </w:r>
      <w:r>
        <w:rPr>
          <w:color w:val="000000"/>
          <w:sz w:val="16"/>
          <w:szCs w:val="16"/>
        </w:rPr>
        <w:t>, more importantly, are </w:t>
      </w:r>
      <w:r>
        <w:rPr>
          <w:b/>
          <w:bCs/>
          <w:color w:val="000000"/>
          <w:sz w:val="27"/>
          <w:szCs w:val="27"/>
          <w:u w:val="single"/>
          <w:shd w:val="clear" w:color="auto" w:fill="00FF00"/>
        </w:rPr>
        <w:t>not waiting for conflict resolution</w:t>
      </w:r>
      <w:r>
        <w:rPr>
          <w:color w:val="000000"/>
          <w:u w:val="single"/>
          <w:shd w:val="clear" w:color="auto" w:fill="00FF00"/>
        </w:rPr>
        <w:t> to be </w:t>
      </w:r>
      <w:r>
        <w:rPr>
          <w:b/>
          <w:bCs/>
          <w:color w:val="000000"/>
          <w:sz w:val="27"/>
          <w:szCs w:val="27"/>
          <w:u w:val="single"/>
          <w:shd w:val="clear" w:color="auto" w:fill="00FF00"/>
        </w:rPr>
        <w:t>present</w:t>
      </w:r>
      <w:r>
        <w:rPr>
          <w:color w:val="000000"/>
          <w:u w:val="single"/>
          <w:shd w:val="clear" w:color="auto" w:fill="00FF00"/>
        </w:rPr>
        <w:t>, </w:t>
      </w:r>
      <w:r>
        <w:rPr>
          <w:b/>
          <w:bCs/>
          <w:color w:val="000000"/>
          <w:sz w:val="27"/>
          <w:szCs w:val="27"/>
          <w:u w:val="single"/>
          <w:shd w:val="clear" w:color="auto" w:fill="00FF00"/>
        </w:rPr>
        <w:t>sensuous</w:t>
      </w:r>
      <w:r>
        <w:rPr>
          <w:color w:val="000000"/>
          <w:u w:val="single"/>
          <w:shd w:val="clear" w:color="auto" w:fill="00FF00"/>
        </w:rPr>
        <w:t>, or </w:t>
      </w:r>
      <w:r>
        <w:rPr>
          <w:b/>
          <w:bCs/>
          <w:color w:val="000000"/>
          <w:sz w:val="27"/>
          <w:szCs w:val="27"/>
          <w:u w:val="single"/>
          <w:shd w:val="clear" w:color="auto" w:fill="00FF00"/>
        </w:rPr>
        <w:t>joyful</w:t>
      </w:r>
      <w:r>
        <w:rPr>
          <w:color w:val="000000"/>
          <w:sz w:val="16"/>
          <w:szCs w:val="16"/>
        </w:rPr>
        <w:t>. By acknowledging historical pain, contemporary art that engages with </w:t>
      </w:r>
      <w:r>
        <w:rPr>
          <w:color w:val="000000"/>
          <w:u w:val="single"/>
          <w:shd w:val="clear" w:color="auto" w:fill="00FF00"/>
        </w:rPr>
        <w:t>Afropessimism opens</w:t>
      </w:r>
      <w:r>
        <w:rPr>
          <w:color w:val="000000"/>
          <w:sz w:val="16"/>
          <w:szCs w:val="16"/>
        </w:rPr>
        <w:t> up </w:t>
      </w:r>
      <w:r>
        <w:rPr>
          <w:color w:val="000000"/>
          <w:u w:val="single"/>
          <w:shd w:val="clear" w:color="auto" w:fill="00FF00"/>
        </w:rPr>
        <w:t>space</w:t>
      </w:r>
      <w:r>
        <w:rPr>
          <w:color w:val="000000"/>
          <w:sz w:val="16"/>
          <w:szCs w:val="16"/>
        </w:rPr>
        <w:t>s </w:t>
      </w:r>
      <w:r>
        <w:rPr>
          <w:color w:val="000000"/>
          <w:u w:val="single"/>
          <w:shd w:val="clear" w:color="auto" w:fill="00FF00"/>
        </w:rPr>
        <w:t>for </w:t>
      </w:r>
      <w:r>
        <w:rPr>
          <w:b/>
          <w:bCs/>
          <w:color w:val="000000"/>
          <w:sz w:val="27"/>
          <w:szCs w:val="27"/>
          <w:u w:val="single"/>
          <w:shd w:val="clear" w:color="auto" w:fill="00FF00"/>
        </w:rPr>
        <w:t>healing</w:t>
      </w:r>
      <w:r>
        <w:rPr>
          <w:color w:val="000000"/>
          <w:u w:val="single"/>
          <w:shd w:val="clear" w:color="auto" w:fill="00FF00"/>
        </w:rPr>
        <w:t> and </w:t>
      </w:r>
      <w:r>
        <w:rPr>
          <w:b/>
          <w:bCs/>
          <w:color w:val="000000"/>
          <w:sz w:val="27"/>
          <w:szCs w:val="27"/>
          <w:u w:val="single"/>
          <w:shd w:val="clear" w:color="auto" w:fill="00FF00"/>
        </w:rPr>
        <w:t>empowerment</w:t>
      </w:r>
      <w:r>
        <w:rPr>
          <w:color w:val="000000"/>
          <w:sz w:val="16"/>
          <w:szCs w:val="16"/>
        </w:rPr>
        <w:t>. However, Afropessimism is not simply a philosophy of despair or hopelessness. Instead, it is a call to action to confront and resist systems of oppression. </w:t>
      </w:r>
      <w:r>
        <w:rPr>
          <w:color w:val="000000"/>
          <w:u w:val="single"/>
        </w:rPr>
        <w:t>By recognizing</w:t>
      </w:r>
      <w:r>
        <w:rPr>
          <w:color w:val="000000"/>
          <w:sz w:val="16"/>
          <w:szCs w:val="16"/>
        </w:rPr>
        <w:t> their </w:t>
      </w:r>
      <w:r>
        <w:rPr>
          <w:b/>
          <w:bCs/>
          <w:color w:val="000000"/>
          <w:sz w:val="27"/>
          <w:szCs w:val="27"/>
          <w:u w:val="single"/>
        </w:rPr>
        <w:t>pervasive</w:t>
      </w:r>
      <w:r>
        <w:rPr>
          <w:color w:val="000000"/>
          <w:sz w:val="16"/>
          <w:szCs w:val="16"/>
        </w:rPr>
        <w:t> and </w:t>
      </w:r>
      <w:r>
        <w:rPr>
          <w:b/>
          <w:bCs/>
          <w:color w:val="000000"/>
          <w:sz w:val="27"/>
          <w:szCs w:val="27"/>
          <w:u w:val="single"/>
        </w:rPr>
        <w:t>ongoing nature</w:t>
      </w:r>
      <w:r>
        <w:rPr>
          <w:color w:val="000000"/>
          <w:u w:val="single"/>
        </w:rPr>
        <w:t>, Afropessimism demands</w:t>
      </w:r>
      <w:r>
        <w:rPr>
          <w:color w:val="000000"/>
          <w:sz w:val="16"/>
          <w:szCs w:val="16"/>
        </w:rPr>
        <w:t> visibility and passions both positive and negative. By centering the pain and struggle of Black life, Afropessimism creates space for justice and liberation, which can in turn fuel a </w:t>
      </w:r>
      <w:r>
        <w:rPr>
          <w:b/>
          <w:bCs/>
          <w:color w:val="000000"/>
          <w:sz w:val="27"/>
          <w:szCs w:val="27"/>
          <w:u w:val="single"/>
        </w:rPr>
        <w:t>commitment</w:t>
      </w:r>
      <w:r>
        <w:rPr>
          <w:color w:val="000000"/>
          <w:sz w:val="16"/>
          <w:szCs w:val="16"/>
        </w:rPr>
        <w:t> to change.</w:t>
      </w:r>
    </w:p>
    <w:p w14:paraId="578B5799" w14:textId="77777777" w:rsidR="007D229E" w:rsidRDefault="007D229E" w:rsidP="007D229E">
      <w:pPr>
        <w:rPr>
          <w:rFonts w:ascii="Times New Roman" w:hAnsi="Times New Roman" w:cs="Times New Roman"/>
          <w:sz w:val="24"/>
          <w:szCs w:val="24"/>
        </w:rPr>
      </w:pPr>
    </w:p>
    <w:p w14:paraId="0F56A86A" w14:textId="77777777" w:rsidR="007D229E" w:rsidRPr="004E4BFA" w:rsidRDefault="007D229E" w:rsidP="007D229E">
      <w:pPr>
        <w:rPr>
          <w:sz w:val="32"/>
          <w:szCs w:val="32"/>
        </w:rPr>
      </w:pPr>
    </w:p>
    <w:p w14:paraId="4AA90758" w14:textId="0DE0992C" w:rsidR="007D229E" w:rsidRDefault="007D229E" w:rsidP="007D229E">
      <w:pPr>
        <w:pStyle w:val="Heading4"/>
      </w:pPr>
      <w:r>
        <w:lastRenderedPageBreak/>
        <w:t xml:space="preserve">The affirmative relies on an arc of redemption where </w:t>
      </w:r>
      <w:r w:rsidR="001D3019">
        <w:t>the NLRB</w:t>
      </w:r>
      <w:r>
        <w:t xml:space="preserve"> self-correct</w:t>
      </w:r>
      <w:r w:rsidR="001D3019">
        <w:t>s</w:t>
      </w:r>
      <w:r>
        <w:t xml:space="preserve"> away the antiblackness that is </w:t>
      </w:r>
      <w:r w:rsidR="001D3019">
        <w:t>its</w:t>
      </w:r>
      <w:r>
        <w:t xml:space="preserve"> condition of possibility. </w:t>
      </w:r>
      <w:r w:rsidR="001D3019">
        <w:t>Berkeley</w:t>
      </w:r>
      <w:r>
        <w:t xml:space="preserve"> has placed their </w:t>
      </w:r>
      <w:r w:rsidRPr="00F54084">
        <w:rPr>
          <w:u w:val="single"/>
        </w:rPr>
        <w:t>faith</w:t>
      </w:r>
      <w:r>
        <w:t xml:space="preserve"> in a constitutional system which is predicated on the nonbeing of blackness</w:t>
      </w:r>
    </w:p>
    <w:p w14:paraId="518B8E97" w14:textId="77777777" w:rsidR="007D229E" w:rsidRPr="00B20066" w:rsidRDefault="007D229E" w:rsidP="007D229E">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r w:rsidRPr="00392C65">
        <w:rPr>
          <w:i/>
          <w:iCs/>
          <w:sz w:val="20"/>
          <w:szCs w:val="20"/>
        </w:rPr>
        <w:t>Onticide: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w:t>
      </w:r>
      <w:r>
        <w:rPr>
          <w:sz w:val="16"/>
          <w:szCs w:val="20"/>
        </w:rPr>
        <w:t xml:space="preserve"> [NW]</w:t>
      </w:r>
      <w:r w:rsidRPr="00B20066">
        <w:rPr>
          <w:sz w:val="16"/>
          <w:szCs w:val="20"/>
        </w:rPr>
        <w:t xml:space="preserve"> // Bracketed for subject position of speaker. </w:t>
      </w:r>
    </w:p>
    <w:p w14:paraId="71EA059A" w14:textId="77777777" w:rsidR="007D229E" w:rsidRDefault="007D229E" w:rsidP="007D229E">
      <w:pPr>
        <w:rPr>
          <w:szCs w:val="24"/>
          <w:u w:val="single"/>
        </w:rPr>
      </w:pPr>
      <w:r w:rsidRPr="00B20066">
        <w:rPr>
          <w:sz w:val="16"/>
          <w:szCs w:val="24"/>
        </w:rPr>
        <w:t xml:space="preserve">To push this analysis further, I will suggest that </w:t>
      </w:r>
      <w:r w:rsidRPr="00937985">
        <w:rPr>
          <w:szCs w:val="24"/>
          <w:u w:val="single"/>
        </w:rPr>
        <w:t>the Law of Being (the Law of Abandonment) is antiblackness.</w:t>
      </w:r>
      <w:r w:rsidRPr="00B20066">
        <w:rPr>
          <w:sz w:val="16"/>
          <w:szCs w:val="24"/>
        </w:rPr>
        <w:t xml:space="preserve"> Being can only provide a thereness from which to withdraw from an antiblack order or injunction. Antiblackness is the place of Being’s historical unfolding, its perverse call to the human being. Why is this the case? </w:t>
      </w:r>
      <w:r w:rsidRPr="00486191">
        <w:rPr>
          <w:b/>
          <w:bCs/>
          <w:szCs w:val="24"/>
          <w:highlight w:val="yellow"/>
          <w:u w:val="single"/>
        </w:rPr>
        <w:t xml:space="preserve">The human requires equipment to re- member </w:t>
      </w:r>
      <w:r w:rsidRPr="002B5ED4">
        <w:rPr>
          <w:b/>
          <w:bCs/>
          <w:szCs w:val="24"/>
          <w:highlight w:val="yellow"/>
          <w:u w:val="single"/>
        </w:rPr>
        <w:t xml:space="preserve">its </w:t>
      </w:r>
      <w:r w:rsidRPr="002B5ED4">
        <w:rPr>
          <w:b/>
          <w:bCs/>
          <w:szCs w:val="24"/>
          <w:u w:val="single"/>
        </w:rPr>
        <w:t>(non)</w:t>
      </w:r>
      <w:r w:rsidRPr="002B5ED4">
        <w:rPr>
          <w:b/>
          <w:bCs/>
          <w:szCs w:val="24"/>
          <w:highlight w:val="yellow"/>
          <w:u w:val="single"/>
        </w:rPr>
        <w:t xml:space="preserve">relation </w:t>
      </w:r>
      <w:r w:rsidRPr="00486191">
        <w:rPr>
          <w:b/>
          <w:bCs/>
          <w:szCs w:val="24"/>
          <w:highlight w:val="yellow"/>
          <w:u w:val="single"/>
        </w:rPr>
        <w:t>to Being</w:t>
      </w:r>
      <w:r w:rsidRPr="00937985">
        <w:rPr>
          <w:b/>
          <w:bCs/>
          <w:szCs w:val="24"/>
          <w:u w:val="single"/>
        </w:rPr>
        <w:t xml:space="preserve">, and for modernity, </w:t>
      </w:r>
      <w:r w:rsidRPr="00486191">
        <w:rPr>
          <w:b/>
          <w:bCs/>
          <w:szCs w:val="24"/>
          <w:highlight w:val="yellow"/>
          <w:u w:val="single"/>
        </w:rPr>
        <w:t xml:space="preserve">black being is the premier equipment </w:t>
      </w:r>
      <w:r w:rsidRPr="00744CB9">
        <w:rPr>
          <w:b/>
          <w:bCs/>
          <w:szCs w:val="24"/>
          <w:u w:val="single"/>
        </w:rPr>
        <w:t>of the human’s existential journey</w:t>
      </w:r>
      <w:r w:rsidRPr="00937985">
        <w:rPr>
          <w:b/>
          <w:bCs/>
          <w:szCs w:val="24"/>
          <w:u w:val="single"/>
        </w:rPr>
        <w:t xml:space="preserve"> through the world in his thrown- ness.</w:t>
      </w:r>
      <w:r w:rsidRPr="00937985">
        <w:rPr>
          <w:szCs w:val="24"/>
          <w:u w:val="single"/>
        </w:rPr>
        <w:t xml:space="preserve"> Without equipment to help the human through his existential journey, re- membering Being is an impossible feat.</w:t>
      </w:r>
      <w:r w:rsidRPr="00B20066">
        <w:rPr>
          <w:sz w:val="16"/>
          <w:szCs w:val="24"/>
        </w:rPr>
        <w:t xml:space="preserve"> In Race, Law, and Resistance, Patricia Tuitt presents an important analysis of modern law. Drawing on the groundbreaking work of critical race theorists such as Patricia Williams, Cheryl Harris, and Kimberly Crenshaw, Tuitt suggests that </w:t>
      </w:r>
      <w:r w:rsidRPr="008B437A">
        <w:rPr>
          <w:szCs w:val="24"/>
          <w:u w:val="single"/>
        </w:rPr>
        <w:t>the slave was a cause of modern law</w:t>
      </w:r>
      <w:r w:rsidRPr="00B20066">
        <w:rPr>
          <w:sz w:val="16"/>
          <w:szCs w:val="24"/>
        </w:rPr>
        <w:t xml:space="preserve">. It is commonplace to assume that the law existed prior to slavery and that the slave was merely governed by various codes and regulations. But for Tuitt, </w:t>
      </w:r>
      <w:r w:rsidRPr="002B5ED4">
        <w:rPr>
          <w:szCs w:val="24"/>
          <w:u w:val="single"/>
        </w:rPr>
        <w:t>the slave engenders law.</w:t>
      </w:r>
      <w:r w:rsidRPr="003D2F17">
        <w:rPr>
          <w:szCs w:val="24"/>
          <w:u w:val="single"/>
        </w:rPr>
        <w:t xml:space="preserve"> We can understand this engendering as the attempt to reconcile the obliteration of the ethical relation (the production of equipment in human form) with the ontological function of law — to protect and enforce the (non)relation between being and Being.</w:t>
      </w:r>
      <w:r w:rsidRPr="00B20066">
        <w:rPr>
          <w:sz w:val="16"/>
          <w:szCs w:val="24"/>
        </w:rPr>
        <w:t xml:space="preserve"> Tuitt avers, “If we examine modern law in light of the emergence of its doctrine, it can be seen, that the slave existed at its earliest point. To be more precise, we can say that the slave was one of the chief causes of modern law, alongside animals and inanimate objects such as weapons and jewels. The slave was the only human agent among the ‘things’ that the law sought to integrate in its dominant conception of contractual relations, and was thus, I would suggest, one of the earliest subjects/objects of modern law.”11 Although Tuitt’s analysis presents a humanist desire to reclaim the slave as a human agent, despite the fact the law considers the slave property alongside inanimate and animate objects, rendering it a subject/object (which I believe is a strategy that only yields contradiction and aporias), her claim that the presence of the slave engenders law provides insight into the relation between law and ontology. </w:t>
      </w:r>
      <w:r w:rsidRPr="0025304B">
        <w:rPr>
          <w:szCs w:val="24"/>
          <w:u w:val="single"/>
        </w:rPr>
        <w:t>Contract law (law of chattel) is perhaps the hallmark of modern legal development, given the need to regulate commerce and specify the rights and entitlement of property holders.</w:t>
      </w:r>
      <w:r w:rsidRPr="00B20066">
        <w:rPr>
          <w:sz w:val="16"/>
          <w:szCs w:val="24"/>
        </w:rPr>
        <w:t xml:space="preserve"> But this corpus of law emerges because one needs to integrate the slave into the world. </w:t>
      </w:r>
      <w:r w:rsidRPr="0025304B">
        <w:rPr>
          <w:szCs w:val="24"/>
          <w:u w:val="single"/>
        </w:rPr>
        <w:t xml:space="preserve">In other words, contract </w:t>
      </w:r>
      <w:r w:rsidRPr="00486191">
        <w:rPr>
          <w:szCs w:val="24"/>
          <w:highlight w:val="yellow"/>
          <w:u w:val="single"/>
        </w:rPr>
        <w:t xml:space="preserve">law </w:t>
      </w:r>
      <w:r w:rsidRPr="00406C0C">
        <w:rPr>
          <w:szCs w:val="24"/>
          <w:u w:val="single"/>
        </w:rPr>
        <w:t xml:space="preserve">conceals an ontological project: it </w:t>
      </w:r>
      <w:r w:rsidRPr="00486191">
        <w:rPr>
          <w:szCs w:val="24"/>
          <w:highlight w:val="yellow"/>
          <w:u w:val="single"/>
        </w:rPr>
        <w:t>uses the discourse of property,</w:t>
      </w:r>
      <w:r w:rsidRPr="0025304B">
        <w:rPr>
          <w:szCs w:val="24"/>
          <w:u w:val="single"/>
        </w:rPr>
        <w:t xml:space="preserve"> chattel, </w:t>
      </w:r>
      <w:r w:rsidRPr="00486191">
        <w:rPr>
          <w:szCs w:val="24"/>
          <w:highlight w:val="yellow"/>
          <w:u w:val="single"/>
        </w:rPr>
        <w:t>rights, and trade to divide the world into human subjects</w:t>
      </w:r>
      <w:r w:rsidRPr="0025304B">
        <w:rPr>
          <w:szCs w:val="24"/>
          <w:u w:val="single"/>
        </w:rPr>
        <w:t xml:space="preserve"> [Dasein], </w:t>
      </w:r>
      <w:r w:rsidRPr="00406C0C">
        <w:rPr>
          <w:szCs w:val="24"/>
          <w:u w:val="single"/>
        </w:rPr>
        <w:t xml:space="preserve">those </w:t>
      </w:r>
      <w:r w:rsidRPr="00486191">
        <w:rPr>
          <w:szCs w:val="24"/>
          <w:highlight w:val="yellow"/>
          <w:u w:val="single"/>
        </w:rPr>
        <w:t xml:space="preserve">who are entitled to </w:t>
      </w:r>
      <w:r w:rsidRPr="00486191">
        <w:rPr>
          <w:szCs w:val="24"/>
          <w:u w:val="single"/>
        </w:rPr>
        <w:t>the</w:t>
      </w:r>
      <w:r w:rsidRPr="00486191">
        <w:rPr>
          <w:szCs w:val="24"/>
          <w:highlight w:val="yellow"/>
          <w:u w:val="single"/>
        </w:rPr>
        <w:t xml:space="preserve"> protection</w:t>
      </w:r>
      <w:r w:rsidRPr="0025304B">
        <w:rPr>
          <w:szCs w:val="24"/>
          <w:u w:val="single"/>
        </w:rPr>
        <w:t xml:space="preserve"> and enforcement of their ontological (non)relation, </w:t>
      </w:r>
      <w:r w:rsidRPr="00486191">
        <w:rPr>
          <w:szCs w:val="24"/>
          <w:highlight w:val="yellow"/>
          <w:u w:val="single"/>
        </w:rPr>
        <w:t xml:space="preserve">and </w:t>
      </w:r>
      <w:r w:rsidRPr="00486191">
        <w:rPr>
          <w:szCs w:val="24"/>
          <w:u w:val="single"/>
        </w:rPr>
        <w:t>the world of things, those</w:t>
      </w:r>
      <w:r w:rsidRPr="00486191">
        <w:rPr>
          <w:szCs w:val="24"/>
          <w:highlight w:val="yellow"/>
          <w:u w:val="single"/>
        </w:rPr>
        <w:t xml:space="preserve"> entities lacking such protection</w:t>
      </w:r>
      <w:r w:rsidRPr="0025304B">
        <w:rPr>
          <w:szCs w:val="24"/>
          <w:u w:val="single"/>
        </w:rPr>
        <w:t xml:space="preserve"> of any relation, </w:t>
      </w:r>
      <w:r w:rsidRPr="00486191">
        <w:rPr>
          <w:szCs w:val="24"/>
          <w:highlight w:val="yellow"/>
          <w:u w:val="single"/>
        </w:rPr>
        <w:t xml:space="preserve">but whose existence is necessary for the human to operate </w:t>
      </w:r>
      <w:r w:rsidRPr="00744CB9">
        <w:rPr>
          <w:szCs w:val="24"/>
          <w:u w:val="single"/>
        </w:rPr>
        <w:t>within the world.</w:t>
      </w:r>
      <w:r w:rsidRPr="00B20066">
        <w:rPr>
          <w:sz w:val="16"/>
          <w:szCs w:val="24"/>
        </w:rPr>
        <w:t xml:space="preserve"> The law of chattel performs the work of dividing legal seeing from not seeing. Thus, </w:t>
      </w:r>
      <w:r w:rsidRPr="00F72034">
        <w:rPr>
          <w:szCs w:val="24"/>
          <w:u w:val="single"/>
        </w:rPr>
        <w:t>the law of chattel, through the contract form, is predicated upon an ontological difference that it disavows (or more precisely forgets): the difference between Being (the self that is the locus of rights and entitlement, as a stand- in for the ontological [non]relation) and being (the world of objects that support this self).</w:t>
      </w:r>
      <w:r w:rsidRPr="00B20066">
        <w:rPr>
          <w:sz w:val="16"/>
          <w:szCs w:val="24"/>
        </w:rPr>
        <w:t xml:space="preserve"> To read Oren Ben- Dor’s postmetaphysical meditation on law through (and against) Patricia Tuitt’s theoretical analysis of contract law, we can suggest that the primary function of chattel law is to protect and enforce the ground of the (non)relation — this </w:t>
      </w:r>
      <w:r w:rsidRPr="00F72034">
        <w:rPr>
          <w:szCs w:val="24"/>
          <w:u w:val="single"/>
        </w:rPr>
        <w:t>law is ethical to the extent that the rights bestowed to the property holder enable him to project himself into the world of things and to re- member Being</w:t>
      </w:r>
      <w:r w:rsidRPr="00486191">
        <w:rPr>
          <w:szCs w:val="24"/>
          <w:highlight w:val="yellow"/>
          <w:u w:val="single"/>
        </w:rPr>
        <w:t xml:space="preserve">. The destruction of the flesh, the onticide that renders the slave available equipment, is a legal necessity, </w:t>
      </w:r>
      <w:r w:rsidRPr="00AC49F4">
        <w:rPr>
          <w:szCs w:val="24"/>
          <w:u w:val="single"/>
        </w:rPr>
        <w:t xml:space="preserve">since contract law depends </w:t>
      </w:r>
      <w:r w:rsidRPr="00AC49F4">
        <w:rPr>
          <w:szCs w:val="24"/>
          <w:u w:val="single"/>
        </w:rPr>
        <w:lastRenderedPageBreak/>
        <w:t>on it — the slave is produced through this very violence.</w:t>
      </w:r>
      <w:r w:rsidRPr="00AC49F4">
        <w:rPr>
          <w:sz w:val="16"/>
          <w:szCs w:val="24"/>
        </w:rPr>
        <w:t xml:space="preserve"> Ben- Dor’s suggestion that “the essence</w:t>
      </w:r>
      <w:r w:rsidRPr="00B20066">
        <w:rPr>
          <w:sz w:val="16"/>
          <w:szCs w:val="24"/>
        </w:rPr>
        <w:t xml:space="preserve"> of law is not legal” provides a hermeneutic for reading and interpreting law, as always already an ontological enterprise. Taking chattel law, for example, the essence of this law is not the regulation of commerce and property rights, but </w:t>
      </w:r>
      <w:r w:rsidRPr="001B7CAD">
        <w:rPr>
          <w:szCs w:val="24"/>
          <w:u w:val="single"/>
        </w:rPr>
        <w:t>the ontological division the law engenders between the world of things (equipment) and the world of the subject (the being for which Being is an issue for it — and thus requires rights to discover this issue). Moreover, this legal division is predicated upon both Nancy’s “seeing the invisible” and outlawing black being</w:t>
      </w:r>
      <w:r w:rsidRPr="00EC1890">
        <w:rPr>
          <w:szCs w:val="24"/>
          <w:u w:val="single"/>
        </w:rPr>
        <w:t>. Ethics and freedom are the ontological discourses of law. They perform the crucial work of dividing the world between the free (the human) and unfree (the equipment of the human) and between humans and available equipment.</w:t>
      </w:r>
      <w:r w:rsidRPr="00EC1890">
        <w:rPr>
          <w:sz w:val="16"/>
          <w:szCs w:val="24"/>
        </w:rPr>
        <w:t xml:space="preserve"> Again, we lose any hint or suggestion of ethics between the human and his equipment (the not there), as Spillers suggests. The law of chattel relies on this loss of the</w:t>
      </w:r>
      <w:r w:rsidRPr="00B20066">
        <w:rPr>
          <w:sz w:val="16"/>
          <w:szCs w:val="24"/>
        </w:rPr>
        <w:t xml:space="preserve"> ethical relation as a condition of its possibility — </w:t>
      </w:r>
      <w:r w:rsidRPr="00486191">
        <w:rPr>
          <w:szCs w:val="24"/>
          <w:highlight w:val="yellow"/>
          <w:u w:val="single"/>
        </w:rPr>
        <w:t>if the slave</w:t>
      </w:r>
      <w:r w:rsidRPr="00813DD0">
        <w:rPr>
          <w:szCs w:val="24"/>
          <w:u w:val="single"/>
        </w:rPr>
        <w:t xml:space="preserve"> (as chattel) </w:t>
      </w:r>
      <w:r w:rsidRPr="00486191">
        <w:rPr>
          <w:szCs w:val="24"/>
          <w:highlight w:val="yellow"/>
          <w:u w:val="single"/>
        </w:rPr>
        <w:t xml:space="preserve">were to arrive in the </w:t>
      </w:r>
      <w:r w:rsidRPr="00744CB9">
        <w:rPr>
          <w:szCs w:val="24"/>
          <w:u w:val="single"/>
        </w:rPr>
        <w:t xml:space="preserve">withdrawn </w:t>
      </w:r>
      <w:r w:rsidRPr="00486191">
        <w:rPr>
          <w:szCs w:val="24"/>
          <w:highlight w:val="yellow"/>
          <w:u w:val="single"/>
        </w:rPr>
        <w:t>place of Being</w:t>
      </w:r>
      <w:r w:rsidRPr="00813DD0">
        <w:rPr>
          <w:szCs w:val="24"/>
          <w:u w:val="single"/>
        </w:rPr>
        <w:t xml:space="preserve"> and have that inhabitation protected and enforced, </w:t>
      </w:r>
      <w:r w:rsidRPr="00486191">
        <w:rPr>
          <w:szCs w:val="24"/>
          <w:highlight w:val="yellow"/>
          <w:u w:val="single"/>
        </w:rPr>
        <w:t>the entire edifice of</w:t>
      </w:r>
      <w:r w:rsidRPr="00813DD0">
        <w:rPr>
          <w:szCs w:val="24"/>
          <w:u w:val="single"/>
        </w:rPr>
        <w:t xml:space="preserve"> chattel </w:t>
      </w:r>
      <w:r w:rsidRPr="00486191">
        <w:rPr>
          <w:szCs w:val="24"/>
          <w:highlight w:val="yellow"/>
          <w:u w:val="single"/>
        </w:rPr>
        <w:t>law</w:t>
      </w:r>
      <w:r w:rsidRPr="00813DD0">
        <w:rPr>
          <w:szCs w:val="24"/>
          <w:u w:val="single"/>
        </w:rPr>
        <w:t xml:space="preserve"> (a particular feature of modern contract law) </w:t>
      </w:r>
      <w:r w:rsidRPr="00486191">
        <w:rPr>
          <w:szCs w:val="24"/>
          <w:highlight w:val="yellow"/>
          <w:u w:val="single"/>
        </w:rPr>
        <w:t>would crumble</w:t>
      </w:r>
      <w:r w:rsidRPr="00813DD0">
        <w:rPr>
          <w:szCs w:val="24"/>
          <w:u w:val="single"/>
        </w:rPr>
        <w:t>.</w:t>
      </w:r>
      <w:r w:rsidRPr="00B20066">
        <w:rPr>
          <w:sz w:val="16"/>
          <w:szCs w:val="24"/>
        </w:rPr>
        <w:t xml:space="preserve"> Critical legal theorist Patricia Williams argues that contract law “reduces life to fairy tale.”12 This is the case, since the contract forges a fantasy (a scenario of relations conceived in the actors’ minds) — it transforms imagination into legal obligation. </w:t>
      </w:r>
      <w:r w:rsidRPr="00813DD0">
        <w:rPr>
          <w:szCs w:val="24"/>
          <w:u w:val="single"/>
        </w:rPr>
        <w:t>But the contract creates not only the structure of relation between actors, but also the object through which the relation is sustained. In this case, the black object is constructed, or invented, within the vacuum (or hole) this structure produces.</w:t>
      </w:r>
      <w:r w:rsidRPr="00B20066">
        <w:rPr>
          <w:sz w:val="16"/>
          <w:szCs w:val="24"/>
        </w:rPr>
        <w:t xml:space="preserve"> Bryan Wagner might describe </w:t>
      </w:r>
      <w:r w:rsidRPr="00813DD0">
        <w:rPr>
          <w:szCs w:val="24"/>
          <w:u w:val="single"/>
        </w:rPr>
        <w:t>this vacuum in the contract as blackness existing “in exchange without being party to exchange.”13 The object is exchanged between subjects, but the object itself is not a subject, not a party, within the contract. It exists merely within the black hole of the contract, as that which allows the structure to exist without a subjective existence itself.</w:t>
      </w:r>
      <w:r w:rsidRPr="00B20066">
        <w:rPr>
          <w:sz w:val="16"/>
          <w:szCs w:val="24"/>
        </w:rPr>
        <w:t xml:space="preserve"> To exist in exchange is to lack existence outside transaction; existence for black being is ephemeral and tethered to the flimsy temporality of the contract structure. We might suggest, after Charles Mills, that an antiblack contract (a racial contract) is an instrument for dividing the world between acting subjects and inactive objects existing only in exchange.14 Thus, the contract performs important ontological work, and, for this reason, it has become central to legal metaphysics. Frank Wilderson suggests, “African slavery did not present an ethical dilemma for global civil society. The ethical dilemmas were unthought.”15 The dilemmas are unthought because applying the ethical relation to a being that never arrives and is not seen presents a stupefying conundrum that ethics is unable to resolve. We lack an ontological procedure or grammar to situate the outlawed in relation to ethics. Our ethics are entangled in our ontological commitments. For this reason, black being is unable to appeal even to Levinasian ethics — although he desires to escape the violence of ontology (one might argue this escape is predicated on a misreading of Heidegger, which would mean Levinas leads us right back to Heideggerian ontology). For as Fanon rightly critiques Sartre — which I would argue also applies to Levinas — “The white man is not only The Other but also the master, whether real or imaginary.”16 In other words, the Other is always already constituted by outlawing — the Law of AntiBlackness. There isn’t a place in the work of either Heidegger (and neo- Heideggerians) or Levinas that is free from antiblackness. Such a place is a ruse. In his critique of ontology, Fanon argues that “</w:t>
      </w:r>
      <w:r w:rsidRPr="001817DD">
        <w:rPr>
          <w:szCs w:val="24"/>
          <w:u w:val="single"/>
        </w:rPr>
        <w:t>not only must the black man be black; he must be black in relation to the white man.</w:t>
      </w:r>
      <w:r w:rsidRPr="00B20066">
        <w:rPr>
          <w:sz w:val="16"/>
          <w:szCs w:val="24"/>
        </w:rPr>
        <w:t xml:space="preserve"> Some critics will take it upon themselves to remind us that the proposition has a converse. I say this is false. The black man lacks ontological resistance in the eyes of the white man.”17 The phrase in relation opens us onto the impossibility of ethics, since ethics would require the very converse of the proposition that Fanon refuses. The black must be for the white man, as equipment in human form — the ontic illusion of humanity. But this being is not the being that grounds ethics or ontology; it is an existence untranslatable into the language of being and ethics (which is why “ontology does not permit an understanding of the black man”).18 This is why black being is an “impurity, a flaw that outlaws any ontological explanation,” as Fanon would argue.19The procedure of outlawing rests on the severing of both the ethical relation and the ontological relation. This also returns us to the function of law. If, as Oren Ben- Dor avers, outLawing 75 “To let Dasein gain ground, to let Dasein ground as one with the simple unity of the fourfold, is to be ethical. To let Dasein be open towards its unfolding world as the grounding of its nearest is ethical. To protect and enforce such ground is the essence of law.”20 Then outlawing is a departure from this function. Rather than protecting and enforcing an ontological ground (the ethical demand of Being), </w:t>
      </w:r>
      <w:r w:rsidRPr="007D71F2">
        <w:rPr>
          <w:szCs w:val="24"/>
          <w:u w:val="single"/>
        </w:rPr>
        <w:t>outlawing functions to render black being continuously vulnerable, accessible, and uncovered. It employs judicial procedures, discourses, and technologies to sustain this vulnerability — as it is the precondition for the Law of Being.</w:t>
      </w:r>
      <w:r w:rsidRPr="00B20066">
        <w:rPr>
          <w:sz w:val="16"/>
          <w:szCs w:val="24"/>
        </w:rPr>
        <w:t xml:space="preserve"> What I want to discuss now is certain legal technologies, tactics, strategies, and inventions that perform the work of outlawing, now that we have outlined its necessity. It is also imperative to understand that </w:t>
      </w:r>
      <w:r w:rsidRPr="007D71F2">
        <w:rPr>
          <w:szCs w:val="24"/>
          <w:u w:val="single"/>
        </w:rPr>
        <w:t>the (non) place of black being, produced through outlawing, is the emergence of ontological terror.</w:t>
      </w:r>
      <w:r w:rsidRPr="00B20066">
        <w:rPr>
          <w:sz w:val="16"/>
          <w:szCs w:val="24"/>
        </w:rPr>
        <w:t xml:space="preserve"> Oren Ben- Dor provides a fruitful understanding of terror: “That which causes terror cannot protect from it. Terror occurs when the inexpressible is not allowed to be violently comported towards the order of Being. Terror occurs when no protection is offered to Dasein . . . when Dasein is not allowed to get its essential ‘dues,’ terror occurs.”21 </w:t>
      </w:r>
      <w:r w:rsidRPr="00834A51">
        <w:rPr>
          <w:szCs w:val="24"/>
          <w:u w:val="single"/>
        </w:rPr>
        <w:t xml:space="preserve">Terror, for Ben- Dor, is the lack of ontological protection, as one must rely on a legalism that just reinforces and produces forms of violation. </w:t>
      </w:r>
      <w:r w:rsidRPr="00B20066">
        <w:rPr>
          <w:sz w:val="16"/>
          <w:szCs w:val="24"/>
        </w:rPr>
        <w:t xml:space="preserve">When Dasein does not get its due — its ontological posture — it is </w:t>
      </w:r>
      <w:r w:rsidRPr="00B20066">
        <w:rPr>
          <w:sz w:val="16"/>
          <w:szCs w:val="24"/>
        </w:rPr>
        <w:lastRenderedPageBreak/>
        <w:t xml:space="preserve">exposed to violence. This terror, however, can be rectified if this due is provided by re- membering the essence of law (as the law of Being). The </w:t>
      </w:r>
      <w:r w:rsidRPr="00744CB9">
        <w:rPr>
          <w:szCs w:val="24"/>
          <w:u w:val="single"/>
        </w:rPr>
        <w:t>ontological terror that I am proposing, however, is a permanent condition of black being and the world itself</w:t>
      </w:r>
      <w:r w:rsidRPr="00F93F96">
        <w:rPr>
          <w:szCs w:val="24"/>
          <w:u w:val="single"/>
        </w:rPr>
        <w:t xml:space="preserve"> — it is beyond resolution and abandonment. </w:t>
      </w:r>
      <w:r w:rsidRPr="00B20066">
        <w:rPr>
          <w:sz w:val="16"/>
          <w:szCs w:val="24"/>
        </w:rPr>
        <w:t xml:space="preserve">Ben- Dor’s terror is situational, but his situational terror feeds off the permanent terror of outlawing. That which causes ontological terror, then, neither can (nor desires to) protect black being from it, nor offers a due that will bring it into relation to the Law of Being. </w:t>
      </w:r>
      <w:r w:rsidRPr="006C484F">
        <w:rPr>
          <w:szCs w:val="24"/>
          <w:u w:val="single"/>
        </w:rPr>
        <w:t xml:space="preserve">The world depends on this terror — it is violence without end. </w:t>
      </w:r>
      <w:r w:rsidRPr="00B20066">
        <w:rPr>
          <w:sz w:val="16"/>
          <w:szCs w:val="24"/>
        </w:rPr>
        <w:t xml:space="preserve">As long as the world exists, so will it, by necessity. This terror is unlike other formations, since it is “hidden” by the “cultural seeing,” if we follow Hortense Spillers. Ontological terror is the blindness of being, what it cannot (and refuses) to see, since it conditions sight. My argument here is that outlawing — </w:t>
      </w:r>
      <w:r w:rsidRPr="000E3913">
        <w:rPr>
          <w:szCs w:val="24"/>
          <w:u w:val="single"/>
        </w:rPr>
        <w:t xml:space="preserve">destructive apparatuses, strategies, rationales, and </w:t>
      </w:r>
      <w:r w:rsidRPr="002B5ED4">
        <w:rPr>
          <w:szCs w:val="24"/>
          <w:u w:val="single"/>
        </w:rPr>
        <w:t>technologies of law — produces and sustains this terror.</w:t>
      </w:r>
      <w:r w:rsidRPr="00B20066">
        <w:rPr>
          <w:sz w:val="16"/>
          <w:szCs w:val="24"/>
        </w:rPr>
        <w:t xml:space="preserve"> We cannot think modern law without this terror; in fact, </w:t>
      </w:r>
      <w:r w:rsidRPr="002B5ED4">
        <w:rPr>
          <w:b/>
          <w:bCs/>
          <w:szCs w:val="24"/>
          <w:highlight w:val="yellow"/>
          <w:u w:val="single"/>
        </w:rPr>
        <w:t>ontological terror provides the</w:t>
      </w:r>
      <w:r w:rsidRPr="000E3913">
        <w:rPr>
          <w:b/>
          <w:bCs/>
          <w:szCs w:val="24"/>
          <w:u w:val="single"/>
        </w:rPr>
        <w:t xml:space="preserve"> very </w:t>
      </w:r>
      <w:r w:rsidRPr="002B5ED4">
        <w:rPr>
          <w:b/>
          <w:bCs/>
          <w:szCs w:val="24"/>
          <w:highlight w:val="yellow"/>
          <w:u w:val="single"/>
        </w:rPr>
        <w:t>condition of legal thinking</w:t>
      </w:r>
      <w:r w:rsidRPr="000E3913">
        <w:rPr>
          <w:b/>
          <w:bCs/>
          <w:szCs w:val="24"/>
          <w:u w:val="single"/>
        </w:rPr>
        <w:t xml:space="preserve"> (i.e., </w:t>
      </w:r>
      <w:r w:rsidRPr="00486191">
        <w:rPr>
          <w:b/>
          <w:bCs/>
          <w:szCs w:val="24"/>
          <w:highlight w:val="yellow"/>
          <w:u w:val="single"/>
        </w:rPr>
        <w:t xml:space="preserve">we are able to understand the distinction between the injured/uninjurable, </w:t>
      </w:r>
      <w:r w:rsidRPr="00744CB9">
        <w:rPr>
          <w:b/>
          <w:bCs/>
          <w:szCs w:val="24"/>
          <w:u w:val="single"/>
        </w:rPr>
        <w:t>the free/unfree</w:t>
      </w:r>
      <w:r w:rsidRPr="00AC49F4">
        <w:rPr>
          <w:b/>
          <w:bCs/>
          <w:szCs w:val="24"/>
          <w:u w:val="single"/>
        </w:rPr>
        <w:t xml:space="preserve">, and </w:t>
      </w:r>
      <w:r w:rsidRPr="00486191">
        <w:rPr>
          <w:b/>
          <w:bCs/>
          <w:szCs w:val="24"/>
          <w:highlight w:val="yellow"/>
          <w:u w:val="single"/>
        </w:rPr>
        <w:t xml:space="preserve">the entitled/rightless because of this </w:t>
      </w:r>
      <w:r w:rsidRPr="00486191">
        <w:rPr>
          <w:b/>
          <w:bCs/>
          <w:szCs w:val="24"/>
          <w:u w:val="single"/>
        </w:rPr>
        <w:t xml:space="preserve">prior </w:t>
      </w:r>
      <w:r w:rsidRPr="00486191">
        <w:rPr>
          <w:b/>
          <w:bCs/>
          <w:szCs w:val="24"/>
          <w:highlight w:val="yellow"/>
          <w:u w:val="single"/>
        </w:rPr>
        <w:t>violence</w:t>
      </w:r>
      <w:r w:rsidRPr="000E3913">
        <w:rPr>
          <w:b/>
          <w:bCs/>
          <w:szCs w:val="24"/>
          <w:u w:val="single"/>
        </w:rPr>
        <w:t>).</w:t>
      </w:r>
      <w:r w:rsidRPr="00B20066">
        <w:rPr>
          <w:sz w:val="16"/>
          <w:szCs w:val="24"/>
        </w:rPr>
        <w:t xml:space="preserve"> Ontological terror opens us up onto the abyss of Being — the exception that engenders order. It is through the free black, however, that this terror is exposed in all its absurdity and viciousness. For the free black brings to the fore the function of the law and the conflict presented when this function is applied to black being. The ethical and ontological ground of law desiccates. </w:t>
      </w:r>
      <w:r w:rsidRPr="00CF6CE8">
        <w:rPr>
          <w:szCs w:val="24"/>
          <w:u w:val="single"/>
        </w:rPr>
        <w:t>Since law’s ontological function is to shore up the ground of the human by not seeing blackness, the slave, through law, has been the site of this not seeing. As unfree and rightless, the slave’s place within the order of the material world is understood, although fragile (i.e., the slave is integrated into the world of things). The free black, however, forces an ontological conversation that otherwise would be left unsaid and unthought. And this is precisely why the free black serves as an excellent paradigm: because it exposes the ontological presumptions of ethics and freedom, which masquerade as universal (and it also exposes the universal as a fraudulent particularity). In other words, the free black presents a problem for legal reasoning because such a being is, indeed, a thought experiment — since it lacks ontological explanation.</w:t>
      </w:r>
      <w:r w:rsidRPr="00B20066">
        <w:rPr>
          <w:sz w:val="16"/>
          <w:szCs w:val="24"/>
        </w:rPr>
        <w:t xml:space="preserve"> The law understands black being as an object of the material world, as available equipment. But a free black is inassimilable within law and engenders forms of paradox, contradiction, and absurdity when the law is forced to think blackness, freedom, and ethics together. The free black, then, exposes a double terror: the loss of the ontological ground that secures law’s freedom and ethics for the human and the lack of protection for black being against the machinations of antiblack outlawing practices — this is the twin axes of this devastating terror. CHIEF JUSTICE ROGER TANEY: ONTOMETAPHYSICIAN Hortense Spillers remarks, “[Antebellum] law is compelled to a point of saturation, or a reverse zero degree, beyond which it cannot move on behalf of the enslaved or the free.”22 This point of saturation, the place outLawing 77 where we expect to find the movement of Being, its unfolding through law as event [Ereignis] is absent when black being is in question.23 The law, rather than serving as an aperture for this movement, becomes a terrifying stasis — or a reverse zero degree. This dreaded geometrical figuration, this point, constitutes the irresolvable within the system of legal thinking and reasoning. This point of saturation cannot be reduced to mere ontic distortion, since this point is the absence of ontological difference — but an absence that enables the subject before the law to have movement, to bring forth grievance, to seek redress, and to maintain dignity. We might also consider this point of saturation the distortion of distortion. In other words, the ontic/legal distortion that perpetuates the forgetting of Being is predicated on another distortion, or a disavowed concealing. Law must conceptualize and outlaw this distortion of distortion (the concealment that makes legal concealment possible). Ronald Judy might also call this distortion an “interdiction,” in which “a censorship to be inarticulate, to not compel, to have no capacity to move, to be without effect, without agency, without thought.”24 The distortion, then, serves as an interdiction (or a censorship, a ban) on movement — the movement of thought, communication, and legal agency. Legal reasoning must conceal this distortion, since the distortion throws law into crisis and produces contractions, paradoxes, and absurdities (like the Lacanian real rupturing the legal symbolic). For antebellum law, the free black incarnates this distortion because this figure foregrounds the problem with Being and law — the severing between blackness, ethics, and ontology — which the law would want to forget or to resolve through property rights. Can black being hold property in itself? Can black being constitute a being for itself and not for another? Should black being become an end in and of itself? The free black complicates these questions differently than it does for the slave, I would argue. The law uses property rights to resolve or answer these questions. Property is property, even if this property takes on a human form. The slave is indeed property, and the laws of property and propriety are in full effect. Despite the debates concerning the immorality of slavery, the rights of the property holder trump any appeal to the dignity or natural right one would assert on behalf of the slave. Put differently, the law’s function is to protect the dignity and ontological relation of the human to Being, and property/equipment is necessary to fulfill this function — even in distorted form.</w:t>
      </w:r>
      <w:r w:rsidRPr="00D164BA">
        <w:rPr>
          <w:szCs w:val="24"/>
          <w:u w:val="single"/>
        </w:rPr>
        <w:t xml:space="preserve"> This is why the law can appeal to rights to resolve the dilemma of the slave. It is only the rights of the human, of the property holder, that really matter before the law. The slave becomes a means to that end.</w:t>
      </w:r>
      <w:r w:rsidRPr="00B20066">
        <w:rPr>
          <w:sz w:val="16"/>
          <w:szCs w:val="24"/>
        </w:rPr>
        <w:t xml:space="preserve"> The free black, however, presents a quandary of problematics: is this free black still property? Does this freedom bring black being into an ontological relation to Being? Can the law accommodate black being, which is not property? What impact does this have on the human being? One must ask these questions of black being because the right in property becomes difficult to sustain as a rationale (although the state will claim property in the free black; I will discuss this as the chapter progresses). In other words, the free black enables the presentation of a proper metaphysical question, which the law is compelled to answer. And since the law assumes freedom as a sacred conceptual instrument for its human, it is </w:t>
      </w:r>
      <w:r w:rsidRPr="00B20066">
        <w:rPr>
          <w:sz w:val="16"/>
          <w:szCs w:val="24"/>
        </w:rPr>
        <w:lastRenderedPageBreak/>
        <w:t xml:space="preserve">within the law that the question of black being emerges. The law, then, engages in important ontological work — citizen, slave, human, and property are not mere issues of legal status, since each term carries ontological presumptions with it. Thus, the fundamental question before us, at the heart of our questioning: do the ontological presumptions encoded in legal terminology change as the status between property and free black changes? (Or does a change ever occur?) </w:t>
      </w:r>
      <w:r w:rsidRPr="0084630D">
        <w:rPr>
          <w:szCs w:val="24"/>
          <w:u w:val="single"/>
        </w:rPr>
        <w:t xml:space="preserve">We might go as far to say that this is the reformulation of our question “How is it going with black being?” Chief Justice Roger Taney provides an answer to these metaphysical questions. His opinion is much more than legalistic rationale; it is also philosophical discourse </w:t>
      </w:r>
      <w:r w:rsidRPr="00B20066">
        <w:rPr>
          <w:sz w:val="16"/>
          <w:szCs w:val="24"/>
        </w:rPr>
        <w:t xml:space="preserve">— ontometaphysical labor. For Taney did not just set for himself the task of addressing federalism (states’ rights vs. congressional power concerning naturalization/citizenship), but also the function of black being, the meaning of this freedom, and the ethical (non) relation between the human and black being. Through Taney, perhaps, we find the strongest answer to these metaphysical questions within law. Taney uses Dred Scott as a philosophical allegory, or paradigm, to work through the ontological presumptions about blackness in an antiblack order. The opinion, then, reproduces the master and slave (non)relation as Dred Scott becomes a discursive tool (putative equipment, as it were) for the ontometaphysical/putative labor of dividing the world into articles of merchandise and the human being who uses those commodities. Dred Scott is presented as a plaintiff in error. In legal terminology, the plaintiff in error submits a writ of error to the court challenging the outLawing 79 decision of a lower court. In this case, Scott submits a writ of error to the Supreme Court challenging the decision of the Circuit Court. The writ of error provides the occasion of presentation for the subject to present a grief and seek redress. Etymologically, the term plaintiff originates from the Latin plangere (the infinitive verb form), to strike or beat in grief; the French plainte (noun), lamentation; and the Middle English plaintiff, a complaining person. The term plaintiff carries certain ontological presumptions with it — the legal subject predicates as a feature of its right (i.e., strikes out in grief) and presents this grief, or lamentation, to the court. The plaintiff, then, has the right to present, as an aspect of its relation to Being — its attempt to redress any injury hampering its Heideggerian projectionality, its unique project (i.e., life, happiness, and the pursuit of property). The transit of grief is foundational to any legal presentation — grief moves from the complaining person to the adjudicating body (the writ) and from the adjudicating body to the complaining person (through its decision). This movement creates a circuit of legal reasoning, and the law is invested in sustaining the integrity of this circuit. But it is also important that Dred Scott is a plaintiff in error. And in the case of Scott, this “in error” makes all the difference. The “error” indicates much more than the presentation of a writ, but that the presentation itself is in error — the presenter is disqualified, and thus the presentation is censored or not seen, a presentation disappeared by not seeing. “Plaintiff in error,” in this case, conceals a double error, or the error of error, which black being foregrounds. From a Heideggerian perspective, this error is nothing other than ontic distortion. According to Ben- Dor, “Errancy is a necessary part of the process of what it is to be human Dasein, namely a creature whose Being is an issue for it, and because it provides some openness. Some capacity for oppression by the essence of truth. . . . Error is counter- essence because in Richtigkeit Man does not yet grasp the essence of truth and the truth of essence — namely unification of essence and non- essence of truth.”25 </w:t>
      </w:r>
      <w:r w:rsidRPr="00C15617">
        <w:rPr>
          <w:szCs w:val="24"/>
          <w:u w:val="single"/>
        </w:rPr>
        <w:t>Humans depend on error for an opening into Being (since for the human the ontic is the way through the ontological</w:t>
      </w:r>
      <w:r w:rsidRPr="00C15617">
        <w:rPr>
          <w:b/>
          <w:bCs/>
          <w:szCs w:val="24"/>
          <w:u w:val="single"/>
        </w:rPr>
        <w:t>). Law distorts the essence of truth by making humans believe that ultimate protection relies on legal reasoning and rights, when these instruments cause more pain by forgetting Being.</w:t>
      </w:r>
      <w:r w:rsidRPr="00B20066">
        <w:rPr>
          <w:sz w:val="16"/>
          <w:szCs w:val="24"/>
        </w:rPr>
        <w:t xml:space="preserve"> Put differently, the human will always be in error in relation to law because the law distorts the ontic (non)relation. The plaintiff, then, is in error — since presenting grief will, in essence, cause more grief if Being is not re- membered (the essence of truth). But error only works for the plaintiff to the extent that this error is predicated on an ontological (non)relation. Error is productive if the (non)relation is brought forward in legal thinking. But, as I have argued, the ontological difference is not an issue for black being; it cannot rely on Being as essence of truth or the law as an instrument of re- membering. The Heideggerian error, then, conceals another error. </w:t>
      </w:r>
      <w:r w:rsidRPr="00DA508F">
        <w:rPr>
          <w:rStyle w:val="Emphasis"/>
          <w:sz w:val="28"/>
          <w:szCs w:val="28"/>
          <w:highlight w:val="yellow"/>
        </w:rPr>
        <w:t>When Dred Scott is in error, as a plaintiff, it is because he attempts to be seen against an interdiction of not seeing</w:t>
      </w:r>
      <w:r w:rsidRPr="00953631">
        <w:rPr>
          <w:szCs w:val="24"/>
          <w:u w:val="single"/>
        </w:rPr>
        <w:t xml:space="preserve">, and he attempts to move (grief) against an interdiction on movement (ungrievability). </w:t>
      </w:r>
      <w:r w:rsidRPr="00DA508F">
        <w:rPr>
          <w:rStyle w:val="Emphasis"/>
          <w:sz w:val="30"/>
          <w:szCs w:val="30"/>
          <w:highlight w:val="yellow"/>
        </w:rPr>
        <w:t>His error is not an aperture into</w:t>
      </w:r>
      <w:r w:rsidRPr="00953631">
        <w:rPr>
          <w:szCs w:val="24"/>
          <w:u w:val="single"/>
        </w:rPr>
        <w:t xml:space="preserve"> Being and </w:t>
      </w:r>
      <w:r w:rsidRPr="00DA508F">
        <w:rPr>
          <w:rStyle w:val="Emphasis"/>
          <w:sz w:val="30"/>
          <w:szCs w:val="30"/>
          <w:highlight w:val="yellow"/>
        </w:rPr>
        <w:t>truth, but the terroristic mark of an outlawed being</w:t>
      </w:r>
      <w:r w:rsidRPr="00953631">
        <w:rPr>
          <w:szCs w:val="24"/>
          <w:u w:val="single"/>
        </w:rPr>
        <w:t xml:space="preserve"> — one execrated. </w:t>
      </w:r>
      <w:r w:rsidRPr="00DA508F">
        <w:rPr>
          <w:rStyle w:val="Emphasis"/>
          <w:sz w:val="30"/>
          <w:szCs w:val="30"/>
          <w:highlight w:val="yellow"/>
        </w:rPr>
        <w:t>Scott’s error is</w:t>
      </w:r>
      <w:r w:rsidRPr="00486191">
        <w:rPr>
          <w:szCs w:val="24"/>
          <w:highlight w:val="yellow"/>
          <w:u w:val="single"/>
        </w:rPr>
        <w:t xml:space="preserve"> </w:t>
      </w:r>
      <w:r w:rsidRPr="002B5ED4">
        <w:rPr>
          <w:szCs w:val="24"/>
          <w:u w:val="single"/>
        </w:rPr>
        <w:t>an error against a fundamental Law</w:t>
      </w:r>
      <w:r w:rsidRPr="00953631">
        <w:rPr>
          <w:szCs w:val="24"/>
          <w:u w:val="single"/>
        </w:rPr>
        <w:t xml:space="preserve"> (not merely the laws of Missouri);</w:t>
      </w:r>
      <w:r w:rsidRPr="00DA508F">
        <w:rPr>
          <w:rStyle w:val="Emphasis"/>
        </w:rPr>
        <w:t xml:space="preserve"> </w:t>
      </w:r>
      <w:r w:rsidRPr="00DA508F">
        <w:rPr>
          <w:rStyle w:val="Emphasis"/>
          <w:sz w:val="30"/>
          <w:szCs w:val="30"/>
          <w:highlight w:val="yellow"/>
        </w:rPr>
        <w:t>he attempts entry into an order that excludes him</w:t>
      </w:r>
      <w:r w:rsidRPr="00DA508F">
        <w:rPr>
          <w:rStyle w:val="Emphasis"/>
          <w:sz w:val="30"/>
          <w:szCs w:val="30"/>
        </w:rPr>
        <w:t>.</w:t>
      </w:r>
      <w:r w:rsidRPr="00B20066">
        <w:rPr>
          <w:sz w:val="16"/>
          <w:szCs w:val="24"/>
        </w:rPr>
        <w:t xml:space="preserve"> This error against antiblackness, as fundamental Law, is precisely what Taney attempts to articulate in his opinion. Scott errs against the human’s error — and it is the human’s exclusive right to error that Taney is protecting. These ontological issues condense on the term jurisdiction. For at the heart of Taney’s concern is whether the Circuit Court had jurisdiction to render a decision in the case at all. Plaintiffs must first evince that the case presented falls within the jurisdiction of the court — that the court could rightfully adjudicate the matter. The Circuit Court allows for citizens of different states to sue, and the plaintiff must aver in the plea that the two parties are in fact citizens. This is the way Taney sets up his argument concerning jurisdiction. It is precisely this oversight that concerns Taney, and he argues that the Circuit Court overlooked the problem with jurisdiction because Dred Scott was not a citizen (only citizens can present grievance in this court). Ultimately, jurisdiction brings the law to a zero- degree point, since the presentation of grief, its movement, is foreclosed from the very beginning — following Taney’s logic. This foreclosure engenders additional foreclosures within the law; for even the concept of injury, in this case, is emptied of efficacy because this injury never appears before the court. Kalpana Seshadri-Crooks might consider this the nexus between law and animality, which produces black muteness, or silence, as a feature of this zero- degree point in law.26 </w:t>
      </w:r>
      <w:r w:rsidRPr="00486191">
        <w:rPr>
          <w:szCs w:val="24"/>
          <w:u w:val="single"/>
        </w:rPr>
        <w:t>Black injury, then, is censored — a</w:t>
      </w:r>
      <w:r w:rsidRPr="007732E3">
        <w:rPr>
          <w:szCs w:val="24"/>
          <w:u w:val="single"/>
        </w:rPr>
        <w:t xml:space="preserve"> mandated not </w:t>
      </w:r>
      <w:r w:rsidRPr="007732E3">
        <w:rPr>
          <w:szCs w:val="24"/>
          <w:u w:val="single"/>
        </w:rPr>
        <w:lastRenderedPageBreak/>
        <w:t xml:space="preserve">seeing — since this injury is outside the jurisdiction of the court. And this mandated not seeing preconditions the outLawing 81 rights of the legal subject who can be seen (in the place that renders the subject invisible). </w:t>
      </w:r>
      <w:r w:rsidRPr="00486191">
        <w:rPr>
          <w:b/>
          <w:bCs/>
          <w:sz w:val="28"/>
          <w:szCs w:val="28"/>
          <w:highlight w:val="yellow"/>
          <w:u w:val="single"/>
        </w:rPr>
        <w:t xml:space="preserve">Each refusal to see black injury </w:t>
      </w:r>
      <w:r w:rsidRPr="00EC1890">
        <w:rPr>
          <w:b/>
          <w:bCs/>
          <w:sz w:val="28"/>
          <w:szCs w:val="28"/>
          <w:u w:val="single"/>
        </w:rPr>
        <w:t>or to present black grief</w:t>
      </w:r>
      <w:r w:rsidRPr="00486191">
        <w:rPr>
          <w:b/>
          <w:bCs/>
          <w:sz w:val="28"/>
          <w:szCs w:val="28"/>
          <w:highlight w:val="yellow"/>
          <w:u w:val="single"/>
        </w:rPr>
        <w:t xml:space="preserve"> expands the prerogative and rights of the legal subject</w:t>
      </w:r>
      <w:r w:rsidRPr="007732E3">
        <w:rPr>
          <w:b/>
          <w:bCs/>
          <w:sz w:val="28"/>
          <w:szCs w:val="28"/>
          <w:u w:val="single"/>
        </w:rPr>
        <w:t>.</w:t>
      </w:r>
      <w:r w:rsidRPr="007732E3">
        <w:rPr>
          <w:szCs w:val="24"/>
          <w:u w:val="single"/>
        </w:rPr>
        <w:t xml:space="preserve"> We might even say the legal prerogative of the human in relation to black being is limitless</w:t>
      </w:r>
      <w:r w:rsidRPr="00B20066">
        <w:rPr>
          <w:sz w:val="16"/>
          <w:szCs w:val="24"/>
        </w:rPr>
        <w:t xml:space="preserve">, owing to jurisdiction. Taney uses jurisdiction not just to correct this oversight, but also to perform important ontological work — work that needed to be done. His commentary on blackness and history are not extraneous or tangential; they are vitally important to the ontometaphysical labor he performs. He is both philosopher and judge. For what undergirds citizenship is ontological presumptions, which the Circuit Court does not address (perhaps, ironically, because such philosophizing is outside its jurisdiction). “Citizen” not only presumes nationality but also humanity. We might say that the courts take this ontological presumption for granted; it enables the law to function. Thus, “citizen” is a point of saturation. It condenses a host of presumptions, and Taney’s opinion is a painstaking unraveling of these presumptions in relation to black being. For Taney, the real error in this case was assuming that the ontological presumptions of the citizen (humanity and the ethical relation) applied to black being. The question of jurisdiction, then, conceals a more egregious distortion: can black being present itself to the Law of Being? Is it within the Law of Being’s jurisdiction (the order regulating the human’s relation to Being) to see blackness? </w:t>
      </w:r>
      <w:r w:rsidRPr="00B41253">
        <w:rPr>
          <w:szCs w:val="24"/>
          <w:u w:val="single"/>
        </w:rPr>
        <w:t>For Taney, the answer is a resounding no.27 He begins his ontometaphysical work by dividing the world, making a clear distinction between the human and his available equipment (Taney calls this division an “impassable barrier”):</w:t>
      </w:r>
      <w:r w:rsidRPr="00B20066">
        <w:rPr>
          <w:sz w:val="16"/>
          <w:szCs w:val="24"/>
        </w:rPr>
        <w:t xml:space="preserve"> “A perpetual and impassable barrier was intended to be erected between the white race and the one which had been reduced to slavery and governed by subjects with absolute despotic power . . . and no distinction was made between the free Negro and the slave, but this stigma of the deepest degradation, was fixed upon the whole race.” </w:t>
      </w:r>
      <w:r w:rsidRPr="009D4EE3">
        <w:rPr>
          <w:szCs w:val="24"/>
          <w:u w:val="single"/>
        </w:rPr>
        <w:t>“Citizen” becomes a synonym for the human in this legal rationale, and, concomitantly, “Negro” becomes the stand- in for the world of material objects, equipment, and merchandise.</w:t>
      </w:r>
      <w:r w:rsidRPr="00B20066">
        <w:rPr>
          <w:sz w:val="16"/>
          <w:szCs w:val="24"/>
        </w:rPr>
        <w:t xml:space="preserve"> He situates this division by first posing his proper metaphysical question: “Can a negro, whose ancestors were imported into this county,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 gain access to the political community? This is the crux of his question</w:t>
      </w:r>
      <w:r w:rsidRPr="009D4EE3">
        <w:rPr>
          <w:szCs w:val="24"/>
          <w:u w:val="single"/>
        </w:rPr>
        <w:t>. Political community serves a vital function because it provides a conceptual apparatus of presenting the world of the human, the being with [Mitwelt]. It is within the political community that Being unfolds as freedom, rights, and ethics.</w:t>
      </w:r>
      <w:r w:rsidRPr="00B20066">
        <w:rPr>
          <w:sz w:val="16"/>
          <w:szCs w:val="24"/>
        </w:rPr>
        <w:t xml:space="preserve"> Unlike Jean- Luc Nancy, who would argue that the ontological function of community is to remain incomplete and open, constantly expanding and refashioning, </w:t>
      </w:r>
      <w:r w:rsidRPr="009D4EE3">
        <w:rPr>
          <w:szCs w:val="24"/>
          <w:u w:val="single"/>
        </w:rPr>
        <w:t xml:space="preserve">Taney presents closure and exclusivity as absolutely essential to the human. </w:t>
      </w:r>
      <w:r w:rsidRPr="00B20066">
        <w:rPr>
          <w:sz w:val="16"/>
          <w:szCs w:val="24"/>
        </w:rPr>
        <w:t xml:space="preserve">For it is only through this closure that the law can protect the vulnerability of the citizen. </w:t>
      </w:r>
      <w:r w:rsidRPr="00B20066">
        <w:rPr>
          <w:szCs w:val="24"/>
          <w:u w:val="single"/>
        </w:rPr>
        <w:t xml:space="preserve">An open political community threatens its very survival, and this is not a finitude that opens the citizen onto the horizon of possibility. </w:t>
      </w:r>
      <w:r w:rsidRPr="009F3117">
        <w:rPr>
          <w:szCs w:val="24"/>
          <w:highlight w:val="yellow"/>
          <w:u w:val="single"/>
        </w:rPr>
        <w:t>It is only when the boundaries of the political community are strictly delimited and policed that law works</w:t>
      </w:r>
      <w:r w:rsidRPr="00B20066">
        <w:rPr>
          <w:szCs w:val="24"/>
          <w:u w:val="single"/>
        </w:rPr>
        <w:t xml:space="preserve"> in all its distortion.</w:t>
      </w:r>
    </w:p>
    <w:p w14:paraId="0C4CC219" w14:textId="77777777" w:rsidR="007D229E" w:rsidRDefault="007D229E" w:rsidP="007D229E">
      <w:pPr>
        <w:pStyle w:val="Heading4"/>
      </w:pPr>
      <w:r>
        <w:t xml:space="preserve">Berkeley has misread the reproduction of antiblackness via AI as a contingent failure in particular programming when it is a reflection of the ontological nonbeing of blackness. </w:t>
      </w:r>
    </w:p>
    <w:p w14:paraId="77BEE7AF" w14:textId="77777777" w:rsidR="007D229E" w:rsidRPr="00EB59A9" w:rsidRDefault="007D229E" w:rsidP="007D229E">
      <w:pPr>
        <w:rPr>
          <w:sz w:val="20"/>
          <w:szCs w:val="20"/>
        </w:rPr>
      </w:pPr>
      <w:r w:rsidRPr="00EB59A9">
        <w:rPr>
          <w:b/>
          <w:bCs/>
          <w:sz w:val="26"/>
          <w:szCs w:val="26"/>
        </w:rPr>
        <w:t>Dancy</w:t>
      </w:r>
      <w:r w:rsidRPr="00EB59A9">
        <w:rPr>
          <w:sz w:val="20"/>
          <w:szCs w:val="20"/>
        </w:rPr>
        <w:t xml:space="preserve">, Christopher L., </w:t>
      </w:r>
      <w:r w:rsidRPr="00EB59A9">
        <w:rPr>
          <w:b/>
          <w:bCs/>
          <w:sz w:val="26"/>
          <w:szCs w:val="26"/>
        </w:rPr>
        <w:t>and</w:t>
      </w:r>
      <w:r w:rsidRPr="00EB59A9">
        <w:rPr>
          <w:sz w:val="20"/>
          <w:szCs w:val="20"/>
        </w:rPr>
        <w:t xml:space="preserve"> P. Khalil </w:t>
      </w:r>
      <w:r w:rsidRPr="00EB59A9">
        <w:rPr>
          <w:b/>
          <w:bCs/>
          <w:sz w:val="26"/>
          <w:szCs w:val="26"/>
        </w:rPr>
        <w:t>Saucier</w:t>
      </w:r>
      <w:r w:rsidRPr="00EB59A9">
        <w:rPr>
          <w:sz w:val="20"/>
          <w:szCs w:val="20"/>
        </w:rPr>
        <w:t>. "AI and blackness: toward moving beyond bias and representation." </w:t>
      </w:r>
      <w:r w:rsidRPr="00EB59A9">
        <w:rPr>
          <w:i/>
          <w:iCs/>
          <w:sz w:val="20"/>
          <w:szCs w:val="20"/>
        </w:rPr>
        <w:t>IEEE Transactions on Technology and Society</w:t>
      </w:r>
      <w:r w:rsidRPr="00EB59A9">
        <w:rPr>
          <w:sz w:val="20"/>
          <w:szCs w:val="20"/>
        </w:rPr>
        <w:t> 3.1 (20</w:t>
      </w:r>
      <w:r w:rsidRPr="00EB59A9">
        <w:rPr>
          <w:b/>
          <w:bCs/>
          <w:sz w:val="26"/>
          <w:szCs w:val="26"/>
        </w:rPr>
        <w:t>21</w:t>
      </w:r>
      <w:r w:rsidRPr="00EB59A9">
        <w:rPr>
          <w:sz w:val="20"/>
          <w:szCs w:val="20"/>
        </w:rPr>
        <w:t>): 31-40. Dr. Chris Dancy's interest and expertise lies at the intersections of human behavior, computational systems, and sociocultural structures. He uses theoretical perspectives from computational cognitive science and Black studies to ground his research at these intersections. To study the processes that define these interactions, Dr. Dancy uses computational cognitive modeling, human behavioral studies, and design &amp; implementation considerations of computational (particularly "Al") systems. Khalil Saucier is Professor of Critical Black Studies at Bucknell University. Dr. Saucier is the editor and co-editor of various books, most recently </w:t>
      </w:r>
      <w:r w:rsidRPr="00EB59A9">
        <w:rPr>
          <w:i/>
          <w:iCs/>
          <w:sz w:val="20"/>
          <w:szCs w:val="20"/>
        </w:rPr>
        <w:t>The Black Mediterranean: Bodies, Borders, and Citizenship</w:t>
      </w:r>
      <w:r w:rsidRPr="00EB59A9">
        <w:rPr>
          <w:sz w:val="20"/>
          <w:szCs w:val="20"/>
        </w:rPr>
        <w:t>, (Palgrave-MacMillan, 2021). He is author of </w:t>
      </w:r>
      <w:r w:rsidRPr="00EB59A9">
        <w:rPr>
          <w:i/>
          <w:iCs/>
          <w:sz w:val="20"/>
          <w:szCs w:val="20"/>
        </w:rPr>
        <w:t>Necessarily Black: Cape Verdean Youth, Hip Hop Culture, and a Critique of Identity</w:t>
      </w:r>
      <w:r w:rsidRPr="00EB59A9">
        <w:rPr>
          <w:sz w:val="20"/>
          <w:szCs w:val="20"/>
        </w:rPr>
        <w:t> (Michigan State Press, 2015) and co-author of the forthcoming book </w:t>
      </w:r>
      <w:r w:rsidRPr="00EB59A9">
        <w:rPr>
          <w:i/>
          <w:iCs/>
          <w:sz w:val="20"/>
          <w:szCs w:val="20"/>
        </w:rPr>
        <w:t>African Migrants, European Borders, and the Problem with Humanitarianism</w:t>
      </w:r>
      <w:r w:rsidRPr="00EB59A9">
        <w:rPr>
          <w:sz w:val="20"/>
          <w:szCs w:val="20"/>
        </w:rPr>
        <w:t> (Manchester University Press).  Dr. Saucier publishes peer-reviewed articles in both the humanities and social sciences. He is also an aspiring abstract painter.] // [NW]</w:t>
      </w:r>
    </w:p>
    <w:p w14:paraId="71CB2406" w14:textId="77777777" w:rsidR="007D229E" w:rsidRPr="008014DB" w:rsidRDefault="007D229E" w:rsidP="007D229E">
      <w:pPr>
        <w:rPr>
          <w:sz w:val="20"/>
          <w:szCs w:val="28"/>
        </w:rPr>
      </w:pPr>
      <w:r w:rsidRPr="008014DB">
        <w:rPr>
          <w:sz w:val="20"/>
          <w:szCs w:val="28"/>
        </w:rPr>
        <w:lastRenderedPageBreak/>
        <w:t xml:space="preserve">II. BLACKNESS AND THE HUMAN To ethically engage in a conversation between AI and race (and thus Blackness) requires moving beyond racial representation, bias, and discrimination. That is, it requires an understanding of antiblackness as a structuring principle for thought and action, which is enacted using concepts of race. In other words, </w:t>
      </w:r>
      <w:r w:rsidRPr="008014DB">
        <w:rPr>
          <w:sz w:val="28"/>
          <w:szCs w:val="28"/>
          <w:u w:val="single"/>
        </w:rPr>
        <w:t>antiblackness structures not just outcomes (e.g., racial inequality, medical apartheid, and more), but structures practices of knowing, thinking, and modeling</w:t>
      </w:r>
      <w:r w:rsidRPr="008014DB">
        <w:rPr>
          <w:sz w:val="20"/>
          <w:szCs w:val="28"/>
        </w:rPr>
        <w:t xml:space="preserve">. Just as inequality is a symptom of antiblackness, so too, it can be argued, is much of the AI design (e.g., </w:t>
      </w:r>
      <w:r w:rsidRPr="008014DB">
        <w:rPr>
          <w:sz w:val="28"/>
          <w:szCs w:val="28"/>
          <w:u w:val="single"/>
        </w:rPr>
        <w:t>many of the systems that have been developed and deployed have enabled particularly inequitable and anti-Black practices, [2]). The distinction between human intelligence and artificial intelligence is enabled by a belief in an onto-epistemological structure that positions Blackness as the negation of the Human</w:t>
      </w:r>
      <w:r w:rsidRPr="008014DB">
        <w:rPr>
          <w:sz w:val="20"/>
          <w:szCs w:val="28"/>
        </w:rPr>
        <w:t xml:space="preserve"> or at the very least the infrahuman, as the index against which the Human is measured and constructed/designed. </w:t>
      </w:r>
      <w:r w:rsidRPr="008014DB">
        <w:rPr>
          <w:sz w:val="28"/>
          <w:szCs w:val="28"/>
          <w:u w:val="single"/>
        </w:rPr>
        <w:t>Blackness,</w:t>
      </w:r>
      <w:r w:rsidRPr="008014DB">
        <w:rPr>
          <w:sz w:val="20"/>
          <w:szCs w:val="28"/>
        </w:rPr>
        <w:t xml:space="preserve"> in this sense</w:t>
      </w:r>
      <w:r w:rsidRPr="008014DB">
        <w:rPr>
          <w:sz w:val="28"/>
          <w:szCs w:val="28"/>
          <w:u w:val="single"/>
        </w:rPr>
        <w:t>, is the name given to the antagonism of the Human world, that which helps its material configuration and articulation. This configuration and articulation is key to how we define human intelligence and, thus, how we define artificial intelligence that is synthesized [5] by the Human.</w:t>
      </w:r>
      <w:r w:rsidRPr="008014DB">
        <w:rPr>
          <w:sz w:val="20"/>
          <w:szCs w:val="28"/>
        </w:rPr>
        <w:t xml:space="preserve"> Thus, to explore the entanglement of Blackness within AI is to understand the Blackness beyond identity and category and understand it as follows. 1) A sign, symbol, or metaphor that represents something, namely, lack and dereliction [8]. 2) As a paradigmatic expression of the world. Put differently, </w:t>
      </w:r>
      <w:r w:rsidRPr="008014DB">
        <w:rPr>
          <w:sz w:val="28"/>
          <w:szCs w:val="28"/>
          <w:highlight w:val="yellow"/>
          <w:u w:val="single"/>
        </w:rPr>
        <w:t>the Human is predicated on a regime</w:t>
      </w:r>
      <w:r w:rsidRPr="008014DB">
        <w:rPr>
          <w:sz w:val="28"/>
          <w:szCs w:val="28"/>
          <w:u w:val="single"/>
        </w:rPr>
        <w:t xml:space="preserve"> of the social organization </w:t>
      </w:r>
      <w:r w:rsidRPr="008014DB">
        <w:rPr>
          <w:sz w:val="28"/>
          <w:szCs w:val="28"/>
          <w:highlight w:val="yellow"/>
          <w:u w:val="single"/>
        </w:rPr>
        <w:t xml:space="preserve">that excludes </w:t>
      </w:r>
      <w:r w:rsidRPr="008014DB">
        <w:rPr>
          <w:b/>
          <w:bCs/>
          <w:sz w:val="28"/>
          <w:szCs w:val="28"/>
          <w:highlight w:val="yellow"/>
          <w:u w:val="single"/>
        </w:rPr>
        <w:t>Blackness. AI is configured along the political ontology of race</w:t>
      </w:r>
      <w:r w:rsidRPr="008014DB">
        <w:rPr>
          <w:b/>
          <w:bCs/>
          <w:sz w:val="28"/>
          <w:szCs w:val="28"/>
          <w:u w:val="single"/>
        </w:rPr>
        <w:t xml:space="preserve"> in that it relies on the entwined nature of the Human and nonhuman (or Other). </w:t>
      </w:r>
      <w:r w:rsidRPr="008014DB">
        <w:rPr>
          <w:sz w:val="20"/>
          <w:szCs w:val="28"/>
        </w:rPr>
        <w:t xml:space="preserve">Blackness reinscribes the Human as synonymous with western Man [4]. </w:t>
      </w:r>
      <w:r w:rsidRPr="008014DB">
        <w:rPr>
          <w:sz w:val="28"/>
          <w:szCs w:val="28"/>
          <w:highlight w:val="yellow"/>
          <w:u w:val="single"/>
        </w:rPr>
        <w:t>The Human marks the agentic properties for all AI designs, not Blackness</w:t>
      </w:r>
      <w:r w:rsidRPr="008014DB">
        <w:rPr>
          <w:sz w:val="28"/>
          <w:szCs w:val="28"/>
          <w:u w:val="single"/>
        </w:rPr>
        <w:t>. Human intelligence is reliant on the dominant, standard genre of the Human [9] that positions the “Western bourgeoise liberal monohumanist” as the Human. This requires the “wholly Other” status of those of African descent, that is Blackness</w:t>
      </w:r>
      <w:r w:rsidRPr="008014DB">
        <w:rPr>
          <w:sz w:val="20"/>
          <w:szCs w:val="28"/>
        </w:rPr>
        <w:t xml:space="preserve">, as well as the descriptive codes or memes that specify the “symbolic life/death” of homo oeconomicus [9, p. 29]. </w:t>
      </w:r>
      <w:r w:rsidRPr="008014DB">
        <w:rPr>
          <w:sz w:val="28"/>
          <w:szCs w:val="28"/>
          <w:highlight w:val="yellow"/>
          <w:u w:val="single"/>
        </w:rPr>
        <w:t>To draw the line between human</w:t>
      </w:r>
      <w:r w:rsidRPr="008014DB">
        <w:rPr>
          <w:sz w:val="28"/>
          <w:szCs w:val="28"/>
          <w:u w:val="single"/>
        </w:rPr>
        <w:t xml:space="preserve"> intelligence </w:t>
      </w:r>
      <w:r w:rsidRPr="008014DB">
        <w:rPr>
          <w:sz w:val="28"/>
          <w:szCs w:val="28"/>
          <w:highlight w:val="yellow"/>
          <w:u w:val="single"/>
        </w:rPr>
        <w:t>and artificial intelligence, there must be an account for naturally human</w:t>
      </w:r>
      <w:r w:rsidRPr="008014DB">
        <w:rPr>
          <w:sz w:val="28"/>
          <w:szCs w:val="28"/>
          <w:u w:val="single"/>
        </w:rPr>
        <w:t xml:space="preserve"> and artificial. That natural definition of the Human is reliant on our present sociogenic “Darwinian descriptive statement” [9, p. 29] that informs and undergirds what it means to be a natural human and by consequence what it means to be artificial</w:t>
      </w:r>
      <w:r w:rsidRPr="008014DB">
        <w:rPr>
          <w:sz w:val="20"/>
          <w:szCs w:val="28"/>
        </w:rPr>
        <w:t xml:space="preserve">, or, according to Simon [5, p. 5], “synthesized...by human beings” and “imitate appearances in natural things while lacking the reality of the latter” (emphasis ours). Indeed, even the use of intelligence as a conceptual marker brings with it a certain “value-laden” history [10]. </w:t>
      </w:r>
      <w:r w:rsidRPr="008014DB">
        <w:rPr>
          <w:sz w:val="28"/>
          <w:szCs w:val="28"/>
          <w:u w:val="single"/>
        </w:rPr>
        <w:t>The typical account for intelligence is reliant on historically eugenic science that used the racial hierarchy as a structuring principle</w:t>
      </w:r>
      <w:r w:rsidRPr="008014DB">
        <w:rPr>
          <w:sz w:val="20"/>
          <w:szCs w:val="28"/>
        </w:rPr>
        <w:t xml:space="preserve">. Thus, to think and act ethically about Blackness (and by extension, race) and AI, </w:t>
      </w:r>
      <w:r w:rsidRPr="008014DB">
        <w:rPr>
          <w:sz w:val="28"/>
          <w:szCs w:val="28"/>
          <w:u w:val="single"/>
        </w:rPr>
        <w:t xml:space="preserve">we must recognize the degree to which </w:t>
      </w:r>
      <w:r w:rsidRPr="008014DB">
        <w:rPr>
          <w:sz w:val="28"/>
          <w:szCs w:val="28"/>
          <w:highlight w:val="yellow"/>
          <w:u w:val="single"/>
        </w:rPr>
        <w:t>the political ontology of Blackness</w:t>
      </w:r>
      <w:r w:rsidRPr="008014DB">
        <w:rPr>
          <w:sz w:val="28"/>
          <w:szCs w:val="28"/>
          <w:u w:val="single"/>
        </w:rPr>
        <w:t xml:space="preserve"> affects and </w:t>
      </w:r>
      <w:r w:rsidRPr="008014DB">
        <w:rPr>
          <w:sz w:val="28"/>
          <w:szCs w:val="28"/>
          <w:highlight w:val="yellow"/>
          <w:u w:val="single"/>
        </w:rPr>
        <w:t>structures the world</w:t>
      </w:r>
      <w:r w:rsidRPr="008014DB">
        <w:rPr>
          <w:sz w:val="28"/>
          <w:szCs w:val="28"/>
          <w:u w:val="single"/>
        </w:rPr>
        <w:t xml:space="preserve">; that is, we must take into </w:t>
      </w:r>
      <w:r w:rsidRPr="008014DB">
        <w:rPr>
          <w:sz w:val="28"/>
          <w:szCs w:val="28"/>
          <w:u w:val="single"/>
        </w:rPr>
        <w:lastRenderedPageBreak/>
        <w:t>consideration the innocuousness ascribed to the Human.</w:t>
      </w:r>
      <w:r w:rsidRPr="008014DB">
        <w:rPr>
          <w:sz w:val="20"/>
          <w:szCs w:val="28"/>
        </w:rPr>
        <w:t xml:space="preserve"> III. STRUCTURAL SYSTEMS,ANTIBLACKNESS, AND AI </w:t>
      </w:r>
      <w:r w:rsidRPr="008014DB">
        <w:rPr>
          <w:sz w:val="28"/>
          <w:szCs w:val="28"/>
          <w:u w:val="single"/>
        </w:rPr>
        <w:t>While many continue to focus on individuals and specific acts or bias toward anti-Black, racist outcomes</w:t>
      </w:r>
      <w:r w:rsidRPr="008014DB">
        <w:rPr>
          <w:sz w:val="20"/>
          <w:szCs w:val="28"/>
        </w:rPr>
        <w:t xml:space="preserve"> (e.g., concepts related to implicit bias, [11]–[13], and individual acts of dehumanization [14]), </w:t>
      </w:r>
      <w:r w:rsidRPr="008014DB">
        <w:rPr>
          <w:sz w:val="28"/>
          <w:szCs w:val="28"/>
          <w:u w:val="single"/>
        </w:rPr>
        <w:t>this individual focus obscures a structural cause that historically has had a longer lasting and more pervasive impact [15], [16]. Structural racism, enacted through</w:t>
      </w:r>
      <w:r w:rsidRPr="008014DB">
        <w:rPr>
          <w:sz w:val="20"/>
          <w:szCs w:val="28"/>
        </w:rPr>
        <w:t xml:space="preserve"> </w:t>
      </w:r>
      <w:r w:rsidRPr="008014DB">
        <w:rPr>
          <w:sz w:val="28"/>
          <w:szCs w:val="28"/>
          <w:u w:val="single"/>
        </w:rPr>
        <w:t xml:space="preserve">policies at social institutions above the level of the individual, </w:t>
      </w:r>
      <w:r w:rsidRPr="008014DB">
        <w:rPr>
          <w:sz w:val="28"/>
          <w:szCs w:val="28"/>
          <w:highlight w:val="yellow"/>
          <w:u w:val="single"/>
        </w:rPr>
        <w:t>acts as the environment in which AI systems are designed, developed, and deployed</w:t>
      </w:r>
      <w:r w:rsidRPr="008014DB">
        <w:rPr>
          <w:sz w:val="28"/>
          <w:szCs w:val="28"/>
          <w:u w:val="single"/>
        </w:rPr>
        <w:t xml:space="preserve">. </w:t>
      </w:r>
      <w:r w:rsidRPr="008014DB">
        <w:rPr>
          <w:sz w:val="20"/>
          <w:szCs w:val="28"/>
        </w:rPr>
        <w:t xml:space="preserve">Structural racism is also enacted through the sociocultural knowledge and systems created as a result of institutional policies (some of which might be considered more formal dogma, while other knowledge may take the less formal or more relaxed form of doxa [17]). These </w:t>
      </w:r>
      <w:r w:rsidRPr="008014DB">
        <w:rPr>
          <w:sz w:val="28"/>
          <w:szCs w:val="28"/>
          <w:u w:val="single"/>
        </w:rPr>
        <w:t xml:space="preserve">structural forms of racism result in anti-Black outcomes: they </w:t>
      </w:r>
      <w:r w:rsidRPr="008014DB">
        <w:rPr>
          <w:sz w:val="28"/>
          <w:szCs w:val="28"/>
          <w:highlight w:val="yellow"/>
          <w:u w:val="single"/>
        </w:rPr>
        <w:t>result in disparities in healthcare treatment</w:t>
      </w:r>
      <w:r w:rsidRPr="008014DB">
        <w:rPr>
          <w:sz w:val="28"/>
          <w:szCs w:val="28"/>
          <w:u w:val="single"/>
        </w:rPr>
        <w:t xml:space="preserve"> [18], the </w:t>
      </w:r>
      <w:r w:rsidRPr="008014DB">
        <w:rPr>
          <w:sz w:val="28"/>
          <w:szCs w:val="28"/>
          <w:highlight w:val="yellow"/>
          <w:u w:val="single"/>
        </w:rPr>
        <w:t>assignment of criminality</w:t>
      </w:r>
      <w:r w:rsidRPr="008014DB">
        <w:rPr>
          <w:sz w:val="28"/>
          <w:szCs w:val="28"/>
          <w:u w:val="single"/>
        </w:rPr>
        <w:t xml:space="preserve"> [19], [20], the </w:t>
      </w:r>
      <w:r w:rsidRPr="008014DB">
        <w:rPr>
          <w:sz w:val="28"/>
          <w:szCs w:val="28"/>
          <w:highlight w:val="yellow"/>
          <w:u w:val="single"/>
        </w:rPr>
        <w:t>continued segregation of resources</w:t>
      </w:r>
      <w:r w:rsidRPr="008014DB">
        <w:rPr>
          <w:sz w:val="28"/>
          <w:szCs w:val="28"/>
          <w:u w:val="single"/>
        </w:rPr>
        <w:t xml:space="preserve"> [21], [22], </w:t>
      </w:r>
      <w:r w:rsidRPr="008014DB">
        <w:rPr>
          <w:sz w:val="28"/>
          <w:szCs w:val="28"/>
          <w:highlight w:val="yellow"/>
          <w:u w:val="single"/>
        </w:rPr>
        <w:t>and a plethora of other anti-Black outcomes</w:t>
      </w:r>
      <w:r w:rsidRPr="008014DB">
        <w:rPr>
          <w:sz w:val="28"/>
          <w:szCs w:val="28"/>
          <w:u w:val="single"/>
        </w:rPr>
        <w:t xml:space="preserve"> </w:t>
      </w:r>
      <w:r w:rsidRPr="008014DB">
        <w:rPr>
          <w:sz w:val="20"/>
          <w:szCs w:val="28"/>
        </w:rPr>
        <w:t xml:space="preserve">(e.g., [23]–[25]). </w:t>
      </w:r>
      <w:r w:rsidRPr="008014DB">
        <w:rPr>
          <w:sz w:val="28"/>
          <w:szCs w:val="28"/>
          <w:u w:val="single"/>
        </w:rPr>
        <w:t>These outcomes further result in modification of knowledge systems that also inform structural policies, creating a pernicious cycle of implicit and explicit antiblackness.</w:t>
      </w:r>
      <w:r w:rsidRPr="008014DB">
        <w:rPr>
          <w:sz w:val="20"/>
          <w:szCs w:val="28"/>
        </w:rPr>
        <w:t xml:space="preserve"> Noble [24] audits and observes the ways in which the Google search engine treats Blackness and women, particularly focusing on the intersection thereof. She notes that </w:t>
      </w:r>
      <w:r w:rsidRPr="008014DB">
        <w:rPr>
          <w:sz w:val="28"/>
          <w:szCs w:val="28"/>
          <w:u w:val="single"/>
        </w:rPr>
        <w:t>“search engine results perpetuate particular narratives that reflect historically uneven distributions of power in society”</w:t>
      </w:r>
      <w:r w:rsidRPr="008014DB">
        <w:rPr>
          <w:sz w:val="20"/>
          <w:szCs w:val="28"/>
        </w:rPr>
        <w:t xml:space="preserve"> ([24, p. 71]). Noble uses Google because it is a “broker of cultural imperialism” ([24, p. 86]). She uses the “pornification” of Black women and girls within the Google search engine to shed light on the commodified nature of the seemingly neutral results returned. </w:t>
      </w:r>
      <w:r w:rsidRPr="008014DB">
        <w:rPr>
          <w:sz w:val="28"/>
          <w:szCs w:val="28"/>
          <w:u w:val="single"/>
        </w:rPr>
        <w:t>Search engine results here are not neutral, but instead a reproduction of sociocultural knowledge for the purposes of advertising as well as the collection of more “behavioral surplus” data</w:t>
      </w:r>
      <w:r w:rsidRPr="008014DB">
        <w:rPr>
          <w:sz w:val="20"/>
          <w:szCs w:val="28"/>
        </w:rPr>
        <w:t xml:space="preserve"> [26], like personalized click through data (e.g., [27]), all factors used to learn which results to return over-time. The example of audited Google search results is a particularly useful example when thinking about the modification of knowledge systems as one considers the growth of Google (and similar search engines) as an ever-growing important arbiter of knowledge. Sparrow et al. [28] discussed the effects of having information available via systems like Internet search engines on transactive memory (which can be thought of as a “combination of memory stores held directly by individuals and the memory stores they can access because they know someone who knows that information” [28]). They found that knowing that such information is available via a computational system like a search engine reduced the likelihood of (an individual) storing specific information about that item to memory and instead resulted in storing information on where to find that item in memory. Sparrow et al. [28] contend that we have become dependent on these systems in the same way that “we are dependent on all the knowledge we gain from our friends and coworkers—and lose if they are out of touch.” Thus, those </w:t>
      </w:r>
      <w:r w:rsidRPr="008014DB">
        <w:rPr>
          <w:sz w:val="28"/>
          <w:szCs w:val="28"/>
          <w:highlight w:val="yellow"/>
          <w:u w:val="single"/>
        </w:rPr>
        <w:t>AI systems</w:t>
      </w:r>
      <w:r w:rsidRPr="008014DB">
        <w:rPr>
          <w:sz w:val="28"/>
          <w:szCs w:val="28"/>
          <w:u w:val="single"/>
        </w:rPr>
        <w:t xml:space="preserve"> sort and decide knowledge to give us is important given that these systems </w:t>
      </w:r>
      <w:r w:rsidRPr="008014DB">
        <w:rPr>
          <w:sz w:val="28"/>
          <w:szCs w:val="28"/>
          <w:highlight w:val="yellow"/>
          <w:u w:val="single"/>
        </w:rPr>
        <w:t>pull information from structurally anti-Black environments</w:t>
      </w:r>
      <w:r w:rsidRPr="008014DB">
        <w:rPr>
          <w:sz w:val="28"/>
          <w:szCs w:val="28"/>
          <w:u w:val="single"/>
        </w:rPr>
        <w:t xml:space="preserve"> and because we treat the information retrieved in a manner similar to the ways we have treated knowledge from some friends and family in the past—they create a bootstrapping process </w:t>
      </w:r>
      <w:r w:rsidRPr="008014DB">
        <w:rPr>
          <w:sz w:val="28"/>
          <w:szCs w:val="28"/>
          <w:u w:val="single"/>
        </w:rPr>
        <w:lastRenderedPageBreak/>
        <w:t>that reflects existing anti-Black structures and enacts cycles of those structures through the decisions made.</w:t>
      </w:r>
      <w:r w:rsidRPr="008014DB">
        <w:rPr>
          <w:sz w:val="20"/>
          <w:szCs w:val="28"/>
        </w:rPr>
        <w:t xml:space="preserve"> The pervasive use of large amounts of data to inform AI systems has resulted in a more recent push toward examining the ways one might change those AI systems or those data for less biased (which often includes some form of racial bias) outcomes in the use of those systems or data or both [1], [7], [29]–[31]. </w:t>
      </w:r>
      <w:r w:rsidRPr="008014DB">
        <w:rPr>
          <w:b/>
          <w:bCs/>
          <w:sz w:val="28"/>
          <w:szCs w:val="28"/>
          <w:highlight w:val="yellow"/>
          <w:u w:val="single"/>
        </w:rPr>
        <w:t>Despite</w:t>
      </w:r>
      <w:r w:rsidRPr="008014DB">
        <w:rPr>
          <w:b/>
          <w:bCs/>
          <w:sz w:val="28"/>
          <w:szCs w:val="28"/>
          <w:u w:val="single"/>
        </w:rPr>
        <w:t xml:space="preserve"> general </w:t>
      </w:r>
      <w:r w:rsidRPr="008014DB">
        <w:rPr>
          <w:b/>
          <w:bCs/>
          <w:sz w:val="28"/>
          <w:szCs w:val="28"/>
          <w:highlight w:val="yellow"/>
          <w:u w:val="single"/>
        </w:rPr>
        <w:t>forms of bias reduction</w:t>
      </w:r>
      <w:r w:rsidRPr="008014DB">
        <w:rPr>
          <w:b/>
          <w:bCs/>
          <w:sz w:val="28"/>
          <w:szCs w:val="28"/>
          <w:u w:val="single"/>
        </w:rPr>
        <w:t xml:space="preserve"> in systems, </w:t>
      </w:r>
      <w:r w:rsidRPr="008014DB">
        <w:rPr>
          <w:b/>
          <w:bCs/>
          <w:sz w:val="28"/>
          <w:szCs w:val="28"/>
          <w:highlight w:val="yellow"/>
          <w:u w:val="single"/>
        </w:rPr>
        <w:t>dehumanization of Blackness persists</w:t>
      </w:r>
      <w:r w:rsidRPr="008014DB">
        <w:rPr>
          <w:sz w:val="20"/>
          <w:szCs w:val="28"/>
        </w:rPr>
        <w:t xml:space="preserve">. To show an example of this persistence despite measures of bias reduction, we examine the ConceptNet semantic knowledge network. A. ConceptNet ConceptNet [32] is an opensource knowledge graph that includes knowledge from several sources to connect terms with “labeled, weighted edges (assertions).” Based on the several knowledge sources, the ConceptNet API uses a system called “ConceptNet Numberbatch” to compute a relatedness between terms. ConceptNet Numberbatch is a set of word embeddings that can be used for tasks such as representing the meanings of words. The system combines data from several sources, including ConceptNet 5, word2vec, GloVe, and OpenSubtitles 2016. ConceptNet Numberbatch uses a particular algorithm to calculate the relatedness for out-of-vocabulary terms (this is useful to know given that one of the terms mentioned in an ensuing section uses this algorithm): 1) if the word is not English, attempt to find an equivalently spelled word within the English portion of the embeddings; 2) if the word is in English, remove a letter from the end, and see if that is a prefix of known words. If this is the case, compute the average the embeddings of those known words; 3) if the prefix is still unknown after removing one letter, continue to remove letters from the end until either a known prefix is found or you reach a single character. A more recent version of this system has also attempted to reduce bias (i.e., in the sense of gender or racial bias) in the system and, thus, produce more fair relations between terms through “algorithmic de-biasing” (see [31], [33], for a background on approaches used to reduce bias). The various knowledge sources used and the already completed “de-biasing” makes ConceptNet an interesting site for exploration into the pervasiveness of antiblackness within existing online knowledge sources, which can be thought of as providing a picture into the social knowledge structures that are used by humans and AI systems alike; including considering what those knowledge systems look like after bias has been considered. As an initial exploration into how ConceptNet might be used to define relations between Blackness (and some related concepts) and Humanity, we used the API to explore the relatedness between certain concepts; this exploration was performed using ConceptNet 5.7. We chose not to use the typical derogatory (U.S.-centric) terms used to represent black (or indeed white) people as these would be less material for this particular focus, because the power dynamics, structural inequalities, and racist representations that are used to justify those hierarchies and inequalities are embedded within the terms used. Not only are these the terms used more commonly in everyday language, these are the terms more likely to be used and referenced for decision making and action selection by AI systems. We used existing historical accounts of antiblackness and related racialization [4], [16], [19] as a guide for terms to use in this audit. Fig. 3 shows a heatmap of the relatedness between race terms (particularly some used for black or white racial categories) and terms associated with human (and some associated with terms meant to represent sub or other-than human); a table of these values can be found in Appendix B. As one may expect, the results are mixed when comparing terms that were particularly unbalanced in the number of edges connected to those terms. The terms associated with the _man and _woman columns illustrate this point. The term black_man has a documentation of six edges while white_man has 41 edges, and the term black_woman has 0 edges (meaning that the system had to calculate those relatedness values using a method for determining relatedness for out-of-vocabulary terms), while white_woman has nine edges; in contrast, black, white, man, and woman had edge totals greater than 1000. Despite black_man and white_woman being close to one another in the number of edges, white_woman has a much closer match in relatedness to the more general woman. Whereas both man and woman (and white_woman) show a relatedness to several of the terms, black_man shows a higher relatedness to the less-than-human concepts. The term black_woman generally shows a lower relatedness to all of the Human and less-than-human terms. Conceptnet provides but one example of a potential issue with AI systems that rely on increasingly large datasets to form knowledge to be used in decision-making. As discussed by Bender et al. [46], these data </w:t>
      </w:r>
      <w:r w:rsidRPr="008014DB">
        <w:rPr>
          <w:sz w:val="20"/>
          <w:szCs w:val="28"/>
        </w:rPr>
        <w:lastRenderedPageBreak/>
        <w:t xml:space="preserve">pulled from several sources often represent the “voices of people most likely to hew to a hegemonic viewpoint.” By using datasets that automatically pull primarily from these Internet sources, AI systems learn from (and contribute to) data that implicitly further the dominant mode of the Human; this occurs both through the filtering of Internet sources and through the use of the Internet itself as the main source [46]. Though antiblackness certainly is not limited to English speakers (indeed see, for example, discussions by [53] and [56] for Italian, French, and other non-English contexts) the primary use of U.S. English and U.K. English also means that the “Western bourgeois liberal monohumanist” [9] is overrepresented as the Human and, thus, “white supremacist, misogynistic,..., etc., views” [46] related to that formulation are dominant within those data. This tie to language is important– as Fanon [8, p. 2] notes, “A [person] who possesses a language possesses as an indirect consequence the world expressed and implied by this language.” </w:t>
      </w:r>
      <w:r w:rsidRPr="008014DB">
        <w:rPr>
          <w:sz w:val="28"/>
          <w:szCs w:val="28"/>
          <w:u w:val="single"/>
        </w:rPr>
        <w:t>AI systems that engage in these learning processes (and by action also may contribute to those same Internet mediated data sources) further extend ways in which the preclusion of Blackness is used to bear “the weight of civilization.”</w:t>
      </w:r>
      <w:r w:rsidRPr="008014DB">
        <w:rPr>
          <w:sz w:val="20"/>
          <w:szCs w:val="28"/>
        </w:rPr>
        <w:t xml:space="preserve"> [8, p. 2]. Beyond just the raw values, these knowledge networks also provide an opportunity to contextualize not only AI systems that may potentially use this semantic network but also a way to contextualize human behavior. One might use the distinctions found in the network to think through human decision-making during potential design, development, and deployment stages. Particularly, it is useful to probe more into what the Human, other-than-human distinctions found in the results means for those decisions. Auditing ConceptNet and similar systems provides an opportunity to probe (digital) relations between Blackness and the Human. ConceptNet as a common-sense knowledge system can give both other AI systems and people a computational model (albeit an imperfect one, as models are) of ontology, that is, of relations in the (digital) world. Understanding these relations as they exist and as they evolve is important for understanding Blackness and AI. IV. BLACKNESS IN AI ETHICS Any attempt to ethically explore the entanglement between AI and antiblackness requires that we attend to the paradigmatic and structural, while acknowledging the agentic power of individuals in developing artifacts that perpetuate and fortify this structure. Acknowledging </w:t>
      </w:r>
      <w:r w:rsidRPr="008014DB">
        <w:rPr>
          <w:sz w:val="28"/>
          <w:szCs w:val="28"/>
          <w:u w:val="single"/>
        </w:rPr>
        <w:t>the anti-Black structure of the Human as the ethical problem is important to any and all discussions about bias, race, and antiblackness in AI systems</w:t>
      </w:r>
      <w:r w:rsidRPr="008014DB">
        <w:rPr>
          <w:sz w:val="20"/>
          <w:szCs w:val="28"/>
        </w:rPr>
        <w:t xml:space="preserve">. This is to say that ethics and the </w:t>
      </w:r>
      <w:r w:rsidRPr="008014DB">
        <w:rPr>
          <w:b/>
          <w:bCs/>
          <w:sz w:val="28"/>
          <w:szCs w:val="28"/>
          <w:highlight w:val="yellow"/>
          <w:u w:val="single"/>
        </w:rPr>
        <w:t>applications</w:t>
      </w:r>
      <w:r w:rsidRPr="008014DB">
        <w:rPr>
          <w:b/>
          <w:bCs/>
          <w:sz w:val="28"/>
          <w:szCs w:val="28"/>
          <w:u w:val="single"/>
        </w:rPr>
        <w:t xml:space="preserve"> thereof </w:t>
      </w:r>
      <w:r w:rsidRPr="008014DB">
        <w:rPr>
          <w:b/>
          <w:bCs/>
          <w:sz w:val="28"/>
          <w:szCs w:val="28"/>
          <w:highlight w:val="yellow"/>
          <w:u w:val="single"/>
        </w:rPr>
        <w:t>for AI systems presupposes “relations of recognition” of humanity</w:t>
      </w:r>
      <w:r w:rsidRPr="008014DB">
        <w:rPr>
          <w:b/>
          <w:bCs/>
          <w:sz w:val="28"/>
          <w:szCs w:val="28"/>
          <w:u w:val="single"/>
        </w:rPr>
        <w:t xml:space="preserve"> and subjectivity—something </w:t>
      </w:r>
      <w:r w:rsidRPr="008014DB">
        <w:rPr>
          <w:b/>
          <w:bCs/>
          <w:sz w:val="28"/>
          <w:szCs w:val="28"/>
          <w:highlight w:val="yellow"/>
          <w:u w:val="single"/>
        </w:rPr>
        <w:t>that the “spectre of slavery destroys”</w:t>
      </w:r>
      <w:r w:rsidRPr="008014DB">
        <w:rPr>
          <w:sz w:val="20"/>
          <w:szCs w:val="28"/>
        </w:rPr>
        <w:t xml:space="preserve"> [42, p. 54]; and as we discuss in a following paragraph, current codes of ethics, ethical guidelines, etc., are lacking in their attempts to explicitly address the issue of antiblackness in AI systems. To move beyond projects in AI ethics that force a certain assimilation and colonization (Benjamin [23, p. 176] provided a related discussion on design as a colonizing project), antiblackness and the foundations of this continuously maintained boundary [25] must be directly addressed. Despite this importance, </w:t>
      </w:r>
      <w:r w:rsidRPr="008014DB">
        <w:rPr>
          <w:sz w:val="28"/>
          <w:szCs w:val="28"/>
          <w:u w:val="single"/>
        </w:rPr>
        <w:t>AI ethics principles and frameworks continue to leave out antiblackness as paradigmatic, regardless of increasing awareness of bias and racism writ large.</w:t>
      </w:r>
      <w:r w:rsidRPr="008014DB">
        <w:rPr>
          <w:sz w:val="20"/>
          <w:szCs w:val="28"/>
        </w:rPr>
        <w:t xml:space="preserve"> The previously mentioned de-biasing for the Conceptnet Numberbatch is a useful example of the issues one can encounter when not more directly considering antiblackness. Our audit of that system for semantic relatedness between the racialized terms of black_man, white_man, black_woman, white_man (as well as standardized representations of man and woman) showed a pattern reflective of known historical relations between human-related representations, animal-related representations, and existing racial structures (portraying a social order or hierarchy). Those data showed that </w:t>
      </w:r>
      <w:r w:rsidRPr="008014DB">
        <w:rPr>
          <w:sz w:val="28"/>
          <w:szCs w:val="28"/>
          <w:u w:val="single"/>
        </w:rPr>
        <w:t xml:space="preserve">despite the aforementioned de-biasing of the ConceptNet Numberbatch system, black_man retained a closer semantic relatedness to animalistic terms, while white_man retained a closer </w:t>
      </w:r>
      <w:r w:rsidRPr="008014DB">
        <w:rPr>
          <w:sz w:val="28"/>
          <w:szCs w:val="28"/>
          <w:u w:val="single"/>
        </w:rPr>
        <w:lastRenderedPageBreak/>
        <w:t>semantic relatedness to terms that portray humanity</w:t>
      </w:r>
      <w:r w:rsidRPr="008014DB">
        <w:rPr>
          <w:sz w:val="20"/>
          <w:szCs w:val="28"/>
        </w:rPr>
        <w:t xml:space="preserve">. What is more, the lack of semantic representation for black_woman (while white_woman remained a stand-in for woman) shows the continued issue of intersectionality [34], that is the issue of racialized, gendered intersections. The erasure of black_woman in a system that has been “de-biased” is notable. In the same way that Saucier [42, p. 56] argues that those in ethnography believe (incorrectly) that “they can attend to social life in the midst of urban decay, the militarization of schools, police brutality,... and the like without coming to terms with the political ontology of blackness,” so to do AI ethics discussions, principles, and frameworks skip over addressing Blackness and antiblackness directly. Indeed, this issue of not tackling antiblackness head-on when considering AI bias and ethics can be seen in the general literature. For example, Jobin et al. [35] gave a picture of the “global landscape” of AI ethics guidelines and principles. While they reference 64 references in the “justice, fairness, and equity” section of that review, none of those references reference antiblackness (0) and only 14% of those references (9) even provide some discussion on racism or racist policy (and this is with a fairly low bar of providing some discussion or example of race/racism beyond listing the term race alongside other categories that are the result of forms of structural oppression, like gender or ethnicity.) General frameworks that call for the development of systems to mitigate bias (e.g., [36]), or general mapping of ethics debates (e.g., [37]) will continue to fail to adequately address systems of oppression without more directly and explicitly focusing on these systems. A. AI and the Boundary of Blackness </w:t>
      </w:r>
      <w:r w:rsidRPr="008014DB">
        <w:rPr>
          <w:sz w:val="28"/>
          <w:szCs w:val="28"/>
          <w:u w:val="single"/>
        </w:rPr>
        <w:t xml:space="preserve">We cannot address ethical considerations of race within AI systems until we explicitly address antiblackness as the paradigm that shapes the lived experience of Blackness. </w:t>
      </w:r>
      <w:r w:rsidRPr="008014DB">
        <w:rPr>
          <w:sz w:val="20"/>
          <w:szCs w:val="28"/>
        </w:rPr>
        <w:t xml:space="preserve">For example, </w:t>
      </w:r>
      <w:r w:rsidRPr="008014DB">
        <w:rPr>
          <w:sz w:val="28"/>
          <w:szCs w:val="28"/>
          <w:u w:val="single"/>
        </w:rPr>
        <w:t>the lived experience of Blackness has long been one of routinized surveillance.</w:t>
      </w:r>
      <w:r w:rsidRPr="008014DB">
        <w:rPr>
          <w:sz w:val="20"/>
          <w:szCs w:val="28"/>
        </w:rPr>
        <w:t xml:space="preserve"> In tracing the surveillance of Blackness from the transatlantic slave trade to today, Browne [25, p. 7] noted that Sociogeny [8] can be understood as “the organizational framework of our present human condition... that fixes and frames blackness as an object of surveillance.” They use British military ledger the Book of Negros, and lantern laws of colonial New York City to focus on the surveil lance of racialized Black bodies (using the technologies of the day), as well as to question the use of archive to reproduce violence (see [47] for a discussion related to this latter ques tion). Browne argues that this reproduction of violence can be a form of boundary maintenance for Blackness, what they call “Black Luminosity” [25, p. 67]. They contend that these </w:t>
      </w:r>
      <w:r w:rsidRPr="008014DB">
        <w:rPr>
          <w:sz w:val="28"/>
          <w:szCs w:val="28"/>
          <w:u w:val="single"/>
        </w:rPr>
        <w:t>technologies of seeing “sought to render the subject outside of the category of the Human, un-visible”</w:t>
      </w:r>
      <w:r w:rsidRPr="008014DB">
        <w:rPr>
          <w:sz w:val="20"/>
          <w:szCs w:val="28"/>
        </w:rPr>
        <w:t xml:space="preserve"> [25, p. 68]. This conception of seeing not to recognize as a part of the Human, but instead to render Blackness and, thus, some people as un visible is important for considering how and why we “de-bias” AI systems. </w:t>
      </w:r>
      <w:r w:rsidRPr="008014DB">
        <w:rPr>
          <w:sz w:val="28"/>
          <w:szCs w:val="28"/>
          <w:u w:val="single"/>
        </w:rPr>
        <w:t>This point is all the more apparent as we consider how AI systems have been used to widen automated surveillance and policing more</w:t>
      </w:r>
      <w:r w:rsidRPr="008014DB">
        <w:rPr>
          <w:sz w:val="20"/>
          <w:szCs w:val="28"/>
        </w:rPr>
        <w:t xml:space="preserve"> recently [38]. </w:t>
      </w:r>
      <w:r w:rsidRPr="008014DB">
        <w:rPr>
          <w:sz w:val="28"/>
          <w:szCs w:val="28"/>
          <w:u w:val="single"/>
        </w:rPr>
        <w:t xml:space="preserve">Despite the continued scrutiny of Black people, </w:t>
      </w:r>
      <w:r w:rsidRPr="008014DB">
        <w:rPr>
          <w:sz w:val="28"/>
          <w:szCs w:val="28"/>
          <w:highlight w:val="yellow"/>
          <w:u w:val="single"/>
        </w:rPr>
        <w:t>AI systems</w:t>
      </w:r>
      <w:r w:rsidRPr="008014DB">
        <w:rPr>
          <w:sz w:val="28"/>
          <w:szCs w:val="28"/>
          <w:u w:val="single"/>
        </w:rPr>
        <w:t xml:space="preserve"> centered on facial detection and classification </w:t>
      </w:r>
      <w:r w:rsidRPr="008014DB">
        <w:rPr>
          <w:sz w:val="28"/>
          <w:szCs w:val="28"/>
          <w:highlight w:val="yellow"/>
          <w:u w:val="single"/>
        </w:rPr>
        <w:t>have struggled to</w:t>
      </w:r>
      <w:r w:rsidRPr="008014DB">
        <w:rPr>
          <w:sz w:val="28"/>
          <w:szCs w:val="28"/>
          <w:u w:val="single"/>
        </w:rPr>
        <w:t xml:space="preserve"> correctly </w:t>
      </w:r>
      <w:r w:rsidRPr="008014DB">
        <w:rPr>
          <w:sz w:val="28"/>
          <w:szCs w:val="28"/>
          <w:highlight w:val="yellow"/>
          <w:u w:val="single"/>
        </w:rPr>
        <w:t>identify</w:t>
      </w:r>
      <w:r w:rsidRPr="008014DB">
        <w:rPr>
          <w:sz w:val="28"/>
          <w:szCs w:val="28"/>
          <w:u w:val="single"/>
        </w:rPr>
        <w:t xml:space="preserve"> and classify </w:t>
      </w:r>
      <w:r w:rsidRPr="008014DB">
        <w:rPr>
          <w:sz w:val="28"/>
          <w:szCs w:val="28"/>
          <w:highlight w:val="yellow"/>
          <w:u w:val="single"/>
        </w:rPr>
        <w:t>Black faces.</w:t>
      </w:r>
      <w:r w:rsidRPr="008014DB">
        <w:rPr>
          <w:sz w:val="28"/>
          <w:szCs w:val="28"/>
          <w:u w:val="single"/>
        </w:rPr>
        <w:t xml:space="preserve"> This inability to identify can be connected to the previously mentioned concept of being un-visible.</w:t>
      </w:r>
      <w:r w:rsidRPr="008014DB">
        <w:rPr>
          <w:sz w:val="20"/>
          <w:szCs w:val="28"/>
        </w:rPr>
        <w:t xml:space="preserve"> Buolamwini and Gebru [1] studied these “failures” in several commercial facial recognition systems and showed the need for more inclusive datasets to increase fairness. However, </w:t>
      </w:r>
      <w:r w:rsidRPr="008014DB">
        <w:rPr>
          <w:sz w:val="28"/>
          <w:szCs w:val="28"/>
          <w:highlight w:val="yellow"/>
          <w:u w:val="single"/>
        </w:rPr>
        <w:t xml:space="preserve">increasing fairness in these systems </w:t>
      </w:r>
      <w:r w:rsidRPr="008014DB">
        <w:rPr>
          <w:sz w:val="28"/>
          <w:szCs w:val="28"/>
          <w:u w:val="single"/>
        </w:rPr>
        <w:t xml:space="preserve">may </w:t>
      </w:r>
      <w:r w:rsidRPr="008014DB">
        <w:rPr>
          <w:sz w:val="28"/>
          <w:szCs w:val="28"/>
          <w:highlight w:val="yellow"/>
          <w:u w:val="single"/>
        </w:rPr>
        <w:t>only exacerbate</w:t>
      </w:r>
      <w:r w:rsidRPr="008014DB">
        <w:rPr>
          <w:sz w:val="28"/>
          <w:szCs w:val="28"/>
          <w:u w:val="single"/>
        </w:rPr>
        <w:t xml:space="preserve"> the </w:t>
      </w:r>
      <w:r w:rsidRPr="008014DB">
        <w:rPr>
          <w:sz w:val="28"/>
          <w:szCs w:val="28"/>
          <w:highlight w:val="yellow"/>
          <w:u w:val="single"/>
        </w:rPr>
        <w:t xml:space="preserve">routinized surveillance </w:t>
      </w:r>
      <w:r w:rsidRPr="008014DB">
        <w:rPr>
          <w:sz w:val="28"/>
          <w:szCs w:val="28"/>
          <w:u w:val="single"/>
        </w:rPr>
        <w:t>to which Black people are subjected</w:t>
      </w:r>
      <w:r w:rsidRPr="008014DB">
        <w:rPr>
          <w:sz w:val="20"/>
          <w:szCs w:val="28"/>
        </w:rPr>
        <w:t xml:space="preserve"> (see also, [54] for a discussion on how the connections between faces and certain categories, like criminal, can be thought of an illusion in of itself). This forces us to question how </w:t>
      </w:r>
      <w:r w:rsidRPr="008014DB">
        <w:rPr>
          <w:sz w:val="28"/>
          <w:szCs w:val="28"/>
          <w:u w:val="single"/>
        </w:rPr>
        <w:t xml:space="preserve">the concept of </w:t>
      </w:r>
      <w:r w:rsidRPr="008014DB">
        <w:rPr>
          <w:b/>
          <w:bCs/>
          <w:sz w:val="32"/>
          <w:szCs w:val="32"/>
          <w:highlight w:val="yellow"/>
          <w:u w:val="single"/>
        </w:rPr>
        <w:t>fairness in AI may be used to intensify antiblackness</w:t>
      </w:r>
      <w:r w:rsidRPr="008014DB">
        <w:rPr>
          <w:sz w:val="28"/>
          <w:szCs w:val="28"/>
          <w:u w:val="single"/>
        </w:rPr>
        <w:t xml:space="preserve">. The increased </w:t>
      </w:r>
      <w:r w:rsidRPr="008014DB">
        <w:rPr>
          <w:sz w:val="28"/>
          <w:szCs w:val="28"/>
          <w:highlight w:val="yellow"/>
          <w:u w:val="single"/>
        </w:rPr>
        <w:t xml:space="preserve">opportunity for recognition by facial recognition </w:t>
      </w:r>
      <w:r w:rsidRPr="008014DB">
        <w:rPr>
          <w:sz w:val="28"/>
          <w:szCs w:val="28"/>
          <w:highlight w:val="yellow"/>
          <w:u w:val="single"/>
        </w:rPr>
        <w:lastRenderedPageBreak/>
        <w:t>systems does not solve</w:t>
      </w:r>
      <w:r w:rsidRPr="008014DB">
        <w:rPr>
          <w:sz w:val="28"/>
          <w:szCs w:val="28"/>
          <w:u w:val="single"/>
        </w:rPr>
        <w:t xml:space="preserve"> the issue of </w:t>
      </w:r>
      <w:r w:rsidRPr="008014DB">
        <w:rPr>
          <w:sz w:val="28"/>
          <w:szCs w:val="28"/>
          <w:highlight w:val="yellow"/>
          <w:u w:val="single"/>
        </w:rPr>
        <w:t>un-visibility, but</w:t>
      </w:r>
      <w:r w:rsidRPr="008014DB">
        <w:rPr>
          <w:sz w:val="28"/>
          <w:szCs w:val="28"/>
          <w:u w:val="single"/>
        </w:rPr>
        <w:t xml:space="preserve"> instead </w:t>
      </w:r>
      <w:r w:rsidRPr="008014DB">
        <w:rPr>
          <w:sz w:val="28"/>
          <w:szCs w:val="28"/>
          <w:highlight w:val="yellow"/>
          <w:u w:val="single"/>
        </w:rPr>
        <w:t xml:space="preserve">morphs the ways in which unvisibility </w:t>
      </w:r>
      <w:r w:rsidRPr="008014DB">
        <w:rPr>
          <w:sz w:val="28"/>
          <w:szCs w:val="28"/>
          <w:u w:val="single"/>
        </w:rPr>
        <w:t xml:space="preserve">may be </w:t>
      </w:r>
      <w:r w:rsidRPr="008014DB">
        <w:rPr>
          <w:sz w:val="28"/>
          <w:szCs w:val="28"/>
          <w:highlight w:val="yellow"/>
          <w:u w:val="single"/>
        </w:rPr>
        <w:t>manifested</w:t>
      </w:r>
      <w:r w:rsidRPr="008014DB">
        <w:rPr>
          <w:sz w:val="28"/>
          <w:szCs w:val="28"/>
          <w:u w:val="single"/>
        </w:rPr>
        <w:t xml:space="preserve"> in the AI systems that use facial recognition. The recognizing of a face does not preclude the “boundary maintenance” [25] needed to define our current genre of the </w:t>
      </w:r>
      <w:r w:rsidRPr="008014DB">
        <w:rPr>
          <w:b/>
          <w:bCs/>
          <w:sz w:val="28"/>
          <w:szCs w:val="28"/>
          <w:u w:val="single"/>
        </w:rPr>
        <w:t>Human [9]. This surveillance example points to an issue with many of the current approaches to intersections between race, ethics, and AI systems: they attack the symptoms</w:t>
      </w:r>
      <w:r w:rsidRPr="008014DB">
        <w:rPr>
          <w:sz w:val="20"/>
          <w:szCs w:val="28"/>
        </w:rPr>
        <w:t xml:space="preserve"> (or, perhaps, the features). It is </w:t>
      </w:r>
      <w:r w:rsidRPr="008014DB">
        <w:rPr>
          <w:b/>
          <w:bCs/>
          <w:sz w:val="28"/>
          <w:szCs w:val="28"/>
          <w:u w:val="single"/>
        </w:rPr>
        <w:t>not necessarily that Black faces may not be correctly classified or recognized by some AI systems, that AI systems may have a disparate impact on Black people in their quest for a home loan, or really whether we are correctly judging fairness in AI systems [39], it is that these systems are being implemented within and replacing existing machinery used in societal structures that perpetuate violence and power dynamics that enforce epidermalization [8] and, thus, feed antiblackness</w:t>
      </w:r>
      <w:r w:rsidRPr="008014DB">
        <w:rPr>
          <w:sz w:val="20"/>
          <w:szCs w:val="28"/>
        </w:rPr>
        <w:t xml:space="preserve">. When it is not in the self-interest of non Black people as a group to make systems fairer for Black people, we have seen historically that self-interest will drive anti-Black decisions (e.g., see many examples in [16]). This fact is why there have been several calls for a more representative population of developers and designers [2]. Nonetheless, an increase of Black individuals within existing structures that are built-upon, and ultimately have a self-interest goal to perpetuate, antiblackness will not guarantee the development and design of non anti-Black AI systems (e.g., [40], for a historical example of how an increase in individuals as police did not and has not cured the anti-Black actions of police). What is more, </w:t>
      </w:r>
      <w:r w:rsidRPr="008014DB">
        <w:rPr>
          <w:sz w:val="28"/>
          <w:szCs w:val="28"/>
          <w:u w:val="single"/>
        </w:rPr>
        <w:t>we must attend to the ways in which humanity not only evades Blackness but also the ways in which humanity and agency may be used to continue antiblackness</w:t>
      </w:r>
      <w:r w:rsidRPr="008014DB">
        <w:rPr>
          <w:sz w:val="20"/>
          <w:szCs w:val="28"/>
        </w:rPr>
        <w:t xml:space="preserve">. For example, Hartman [48] discussed the transition from slavery to a post-slavery period in which the narrative of the abolition of slavery, and the supposed agency and freedom now given to Black individuals, served to reify many of the same structural conditions seen before such an abolition. They discuss the entanglement of slavery and freedom, noting that “emergent forms of involuntary servitude, the coercive control of black labor, and the social intercourse of everyday life” during the post-slavery reconstruction era “revealed the entanglements of slavery and freedom” [48, p. 151]. Carrying these entanglements forward to thinking through AI ethics, we must explicitly think through how those </w:t>
      </w:r>
      <w:r w:rsidRPr="008014DB">
        <w:rPr>
          <w:b/>
          <w:bCs/>
          <w:sz w:val="28"/>
          <w:szCs w:val="28"/>
          <w:highlight w:val="yellow"/>
          <w:u w:val="single"/>
        </w:rPr>
        <w:t>scenes of subjection persist in the design and interaction with AI systems</w:t>
      </w:r>
      <w:r w:rsidRPr="008014DB">
        <w:rPr>
          <w:b/>
          <w:bCs/>
          <w:sz w:val="28"/>
          <w:szCs w:val="28"/>
          <w:u w:val="single"/>
        </w:rPr>
        <w:t>.</w:t>
      </w:r>
      <w:r w:rsidRPr="008014DB">
        <w:rPr>
          <w:sz w:val="20"/>
          <w:szCs w:val="28"/>
        </w:rPr>
        <w:t xml:space="preserve"> We might, for example, consider how </w:t>
      </w:r>
      <w:r w:rsidRPr="008014DB">
        <w:rPr>
          <w:sz w:val="28"/>
          <w:szCs w:val="28"/>
          <w:u w:val="single"/>
        </w:rPr>
        <w:t>the supposed agency and freedom in healthcare decisions by Black people is limited by current AI systems used in the automation of assessment [49] that exist within current healthcare systems and that rely on boundaries of the Human, and consider relations to the lack of agency by Black slaves when it came to their health</w:t>
      </w:r>
      <w:r w:rsidRPr="008014DB">
        <w:rPr>
          <w:sz w:val="20"/>
          <w:szCs w:val="28"/>
        </w:rPr>
        <w:t xml:space="preserve"> [50]. We might also consider how </w:t>
      </w:r>
      <w:r w:rsidRPr="008014DB">
        <w:rPr>
          <w:sz w:val="28"/>
          <w:szCs w:val="28"/>
          <w:u w:val="single"/>
        </w:rPr>
        <w:t xml:space="preserve">the agency or freedom given through the implementations of these systems often serve to reinscribe coercion of Black labor through an automation of those processes that serve to police and maintain boundaries of Blackness (for example some of those automations noted by Eubanks [38]). That is, in many instances, these AI systems have served to automate and maintain the modes of knowing, </w:t>
      </w:r>
      <w:r w:rsidRPr="008014DB">
        <w:rPr>
          <w:sz w:val="28"/>
          <w:szCs w:val="28"/>
          <w:u w:val="single"/>
        </w:rPr>
        <w:lastRenderedPageBreak/>
        <w:t xml:space="preserve">quantifications, and processes that bear the spectre of slavery. </w:t>
      </w:r>
      <w:r w:rsidRPr="008014DB">
        <w:rPr>
          <w:sz w:val="20"/>
          <w:szCs w:val="28"/>
        </w:rPr>
        <w:t xml:space="preserve">To act ethically in AI design, development, and deployment is to acknowledge the structural position from which the Human, and by extension AI, emerges. AI designers, developers, and deployers must move beyond the frame of implicit bias, and actively work to identify and combat antiblack ness; without this, forms of inclusion may result in “unwanted exposure” within existing anti-Black systems ([23], and see also [25], as well as [22], for a related concept of predatory inclusion). Furthermore, our ethics must ensure that we not only account for the adaptation of our AI systems but the adaptations that continue to occur that enable certain social systems, which are built on the racial hierarchy and racial supremacy of antiblackness, to continue to thrive. We must also consider how </w:t>
      </w:r>
      <w:r w:rsidRPr="008014DB">
        <w:rPr>
          <w:sz w:val="28"/>
          <w:szCs w:val="28"/>
          <w:u w:val="single"/>
        </w:rPr>
        <w:t xml:space="preserve">narratives and logics tied to progress in the AI system design and use are related to the previously discussed notion of the Human, the rational homo oeconomicus </w:t>
      </w:r>
      <w:r w:rsidRPr="008014DB">
        <w:rPr>
          <w:sz w:val="20"/>
          <w:szCs w:val="28"/>
        </w:rPr>
        <w:t xml:space="preserve">[9]. For example, Brock [51] begins to disentangle the Human from technoculture (particularly by specifying what he calls Black Technoculture). Though much work in AI ethics appear to attend to increasing capacity to model aspects of “reality” without bias, he asserts that “neither algorithms nor big data sufficiently model or account for the cultural qualities that are inherent to their design, leading to ethical and moral problems” [51, p. 224]. Brock discusses the need for a technocultural matrix (referencing Dinerstein’s formulation [52]) to explicitly incorporate antiblackness. They suggest Blackness to be a key category to an updated matrix, to allow the recognition of “what makes Black folk different.” [51, p. 229] in a manner that also pushes back against deficit narratives or aims of respectability related to Black technology use. B. Questions to Consider Thus, if researchers are to attempt to address antiblackness in their AI systems in a way that moves beyond racial bias and identity in their design, development, and deployment of AI systems, there are several foundational questions at which they might begin for their decision-making processes. 1) Who will the intended system interact with (users and those affected by the use of), on what time scales,1 and how have these users traditionally interacted with anti Black policies or behaviors? 2) Why are we building this system, why are these data being used organized in a certain way? How might these goals and intentions interact with existing anti-Black systems? 3) Where in time (including historical) and space might the AI system connect to anti-Black issues representative of structural or institutional issues? 4) What are the building blocks of the AI system and how might these blocks be implicitly anti-Black? 5) Does my AI system require antiblackness to be “equitable”? Does it require it to function? This list could go on, but using this current list would, in our estimation, be a start to more critical assessment of the AI 1For example, the concept of time-scale-based bands of behavior described in [41]. systems designed, developed, and deployed so that they may cause less enaction and performance of a particular representation of the Human that is contextualized on racialized others. This critical assessment must be seen as an ongoing process that must continue iteratively as one designs, develops, and deploys any AI system. We must explicitly and actively engage the current dominant social organization (that conceives of the Human in a way that excludes Blackness) to ethically address how we create and use AI systems within sociocultural systems as any ethical code will presume a recognition of humanity [42]. In addition to assessing how one’s AI system may intersect with Blackness through its enaction of antiblackness, it is also useful to potentially consider how such systems may be used to unearth forms of antiblackness (though while still acknowledging the potential costs of reproducing violence [47]). It is worth considering how we may “retool” and “reimagine” these AI systems in ways that push against dominant representations of the Human and that takes “narrative seriously as a liberating tool” [23, p. 195]. Nonetheless, we must do this with the idea in mind that these ends can be used as a tool “to keep the oppressed occupied with the master’s concerns” [57]. Using these systems to assess existing antiblackness also face another challenge—changes to those systems due to concerns of “bias” can effectively whitewash potentially historically useful commonsense knowledge without critically examining the effects of those systems before the change. While these changes may be helpful in future iterations of an AI system and any derivations thereof, without very explicitly noting the specific changes and critically understanding how this change might have downstream effects on other systems, we lose out on critical opportunities to understand how these systems have changed overtime and a potentially very useful historical record of digital knowledge. That is to say, developers of these systems must begin to think much more </w:t>
      </w:r>
      <w:r w:rsidRPr="008014DB">
        <w:rPr>
          <w:sz w:val="20"/>
          <w:szCs w:val="28"/>
        </w:rPr>
        <w:lastRenderedPageBreak/>
        <w:t xml:space="preserve">thoughtfully about ways to document these changes so that this historical record remains intact and the effects of those changes are well documented. Without this critical assessment, we risk not truly understanding how AI systems have changed over time, particularly how and why AI systems may interact with structures of antiblackness in different ways overtime. V. CONCLUSION </w:t>
      </w:r>
      <w:r w:rsidRPr="008014DB">
        <w:rPr>
          <w:sz w:val="28"/>
          <w:szCs w:val="28"/>
          <w:u w:val="single"/>
        </w:rPr>
        <w:t>It may be tempting to assume that we have started to move past normative concepts of race and racism and need not worry about much beyond the small implicit biases that modulate behavior. This idea ignores the antiblackness upon which many scientific, technical, and social systems are built. These systems continue to adapt within a steady state of antiblackness</w:t>
      </w:r>
      <w:r w:rsidRPr="008014DB">
        <w:rPr>
          <w:sz w:val="20"/>
          <w:szCs w:val="28"/>
        </w:rPr>
        <w:t xml:space="preserve">. While there have been recent discussions of a resurgence of race-based science [43], this is just pointing out an inevitable outcome given our past approaches to race more generally [44] and Blackness more specifically. If we are going to address race-based ethical issues in the development and design of AI systems, we must move beyond using largely color-blind ideologies and expand beyond concepts, such as implicit bias (e.g., see [45] for a discussion of issues with the concept of implicit bias from the perspective of law). We must recognize that </w:t>
      </w:r>
      <w:r w:rsidRPr="008014DB">
        <w:rPr>
          <w:b/>
          <w:bCs/>
          <w:sz w:val="28"/>
          <w:szCs w:val="28"/>
          <w:highlight w:val="yellow"/>
          <w:u w:val="single"/>
        </w:rPr>
        <w:t>AI conceals an ontological project of devastating destruction, the</w:t>
      </w:r>
      <w:r w:rsidRPr="008014DB">
        <w:rPr>
          <w:b/>
          <w:bCs/>
          <w:sz w:val="28"/>
          <w:szCs w:val="28"/>
          <w:u w:val="single"/>
        </w:rPr>
        <w:t xml:space="preserve"> extreme </w:t>
      </w:r>
      <w:r w:rsidRPr="008014DB">
        <w:rPr>
          <w:b/>
          <w:bCs/>
          <w:sz w:val="28"/>
          <w:szCs w:val="28"/>
          <w:highlight w:val="yellow"/>
          <w:u w:val="single"/>
        </w:rPr>
        <w:t>divide between the Human and Blackness.</w:t>
      </w:r>
      <w:r w:rsidRPr="008014DB">
        <w:rPr>
          <w:sz w:val="20"/>
          <w:szCs w:val="28"/>
        </w:rPr>
        <w:t xml:space="preserve"> Only then can we ethically confront the antiblackness that haunts AI systems and create spheres of intelligence beyond the Human.</w:t>
      </w:r>
    </w:p>
    <w:p w14:paraId="4CFFCC48" w14:textId="77777777" w:rsidR="007D229E" w:rsidRPr="00B20066" w:rsidRDefault="007D229E" w:rsidP="007D229E">
      <w:pPr>
        <w:rPr>
          <w:sz w:val="16"/>
          <w:szCs w:val="24"/>
        </w:rPr>
      </w:pPr>
    </w:p>
    <w:p w14:paraId="520D228A" w14:textId="77777777" w:rsidR="007D229E" w:rsidRPr="004E4BFA" w:rsidRDefault="007D229E" w:rsidP="007D229E">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5CF2DFF3" w14:textId="77777777" w:rsidR="007D229E" w:rsidRPr="004E4BFA" w:rsidRDefault="007D229E" w:rsidP="007D229E">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r w:rsidRPr="004E4BFA">
        <w:rPr>
          <w:i/>
          <w:iCs/>
        </w:rPr>
        <w:t>Onticide: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6C86429E" w14:textId="77777777" w:rsidR="007D229E" w:rsidRPr="004E4BFA" w:rsidRDefault="007D229E" w:rsidP="007D229E">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lastRenderedPageBreak/>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we have invested unbelievable value in the human — it constitutes the highest value in the world. And for this reason, 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What it means to be Human is continually defined against [blacks]. The very basic terms of social Human engagement are shaped by antiblack logics so deeply embedded in various normativities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 xml:space="preserve">that will destroy the world and its </w:t>
      </w:r>
      <w:r w:rsidRPr="004E4BFA">
        <w:rPr>
          <w:sz w:val="32"/>
          <w:szCs w:val="32"/>
          <w:highlight w:val="yellow"/>
          <w:u w:val="single"/>
        </w:rPr>
        <w:lastRenderedPageBreak/>
        <w:t>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the metaphysical holocaust will continue as long as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biofuturity or humanist mandates. Endurance is a spiritual practice with entirely different aims. </w:t>
      </w:r>
      <w:r w:rsidRPr="004E4BFA">
        <w:rPr>
          <w:sz w:val="32"/>
          <w:szCs w:val="32"/>
          <w:u w:val="single"/>
        </w:rPr>
        <w:t xml:space="preserve">Ontological Terror seeks to challenge metaphysical and </w:t>
      </w:r>
      <w:r w:rsidRPr="004E4BFA">
        <w:rPr>
          <w:sz w:val="32"/>
          <w:szCs w:val="32"/>
          <w:u w:val="single"/>
        </w:rPr>
        <w:lastRenderedPageBreak/>
        <w:t xml:space="preserve">postmetaphysical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5513A5C3" w14:textId="77777777" w:rsidR="005D388F" w:rsidRDefault="005D388F" w:rsidP="005D388F"/>
    <w:p w14:paraId="431A04E3" w14:textId="6BCBCBC4" w:rsidR="007D229E" w:rsidRDefault="007D229E" w:rsidP="007D229E">
      <w:pPr>
        <w:pStyle w:val="Heading2"/>
      </w:pPr>
      <w:r>
        <w:lastRenderedPageBreak/>
        <w:t>Case</w:t>
      </w:r>
    </w:p>
    <w:p w14:paraId="09BEA429" w14:textId="77777777" w:rsidR="001D3019" w:rsidRPr="00657E22" w:rsidRDefault="001D3019" w:rsidP="001D3019">
      <w:pPr>
        <w:pStyle w:val="Heading4"/>
        <w:rPr>
          <w:rFonts w:cs="Calibri"/>
        </w:rPr>
      </w:pPr>
      <w:r w:rsidRPr="00657E22">
        <w:rPr>
          <w:rFonts w:cs="Calibri"/>
        </w:rPr>
        <w:t>AI apocalypse</w:t>
      </w:r>
      <w:r>
        <w:rPr>
          <w:rFonts w:cs="Calibri"/>
        </w:rPr>
        <w:t xml:space="preserve"> rhetoric</w:t>
      </w:r>
      <w:r w:rsidRPr="00657E22">
        <w:rPr>
          <w:rFonts w:cs="Calibri"/>
        </w:rPr>
        <w:t xml:space="preserve"> is </w:t>
      </w:r>
      <w:r>
        <w:rPr>
          <w:rFonts w:cs="Calibri"/>
        </w:rPr>
        <w:t xml:space="preserve">intrinsically a </w:t>
      </w:r>
      <w:r w:rsidRPr="00657E22">
        <w:rPr>
          <w:rFonts w:cs="Calibri"/>
        </w:rPr>
        <w:t xml:space="preserve">racialized discourse entrenched in the White Crisis to preserve. </w:t>
      </w:r>
    </w:p>
    <w:p w14:paraId="71AC5CB5" w14:textId="77777777" w:rsidR="001D3019" w:rsidRPr="00657E22" w:rsidRDefault="001D3019" w:rsidP="001D3019">
      <w:r w:rsidRPr="00657E22">
        <w:rPr>
          <w:rStyle w:val="Style13ptBold"/>
        </w:rPr>
        <w:t>Ali 19</w:t>
      </w:r>
      <w:r w:rsidRPr="00657E22">
        <w:rPr>
          <w:rStyle w:val="Emphasis"/>
        </w:rPr>
        <w:t xml:space="preserve"> </w:t>
      </w:r>
      <w:r w:rsidRPr="00657E22">
        <w:t xml:space="preserve">[Ali, Syed Mustafa. “‘White Crisis’ and/as ‘Existential Risk,’ or the Entangled Apocalypticism of Artificial Intelligence.” Zygon®, vol. 54, no. 1, 2019, pp. 207–224., doi:10.1111/zygo.12498. Syed Mustafa Ali is an academic at the School of Computing and Communications at The Open University in the UK] </w:t>
      </w:r>
      <w:r>
        <w:t>//2chips</w:t>
      </w:r>
    </w:p>
    <w:p w14:paraId="7C6D8536" w14:textId="77777777" w:rsidR="001D3019" w:rsidRPr="001D3019" w:rsidRDefault="001D3019" w:rsidP="001D3019">
      <w:pPr>
        <w:contextualSpacing/>
        <w:rPr>
          <w:b/>
          <w:bCs/>
          <w:u w:val="single"/>
        </w:rPr>
      </w:pPr>
      <w:r w:rsidRPr="00657E22">
        <w:rPr>
          <w:sz w:val="16"/>
        </w:rPr>
        <w:t>Granted the above entanglements of race, religion, war, and the apocalyp- tic/millennial, how can—should—sense be made of such entanglements with the phenomenon of Apocalyptic AI? In this connection</w:t>
      </w:r>
      <w:r w:rsidRPr="00657E22">
        <w:rPr>
          <w:b/>
          <w:bCs/>
          <w:u w:val="single"/>
        </w:rPr>
        <w:t xml:space="preserve">, I suggest recourse to the idea of </w:t>
      </w:r>
      <w:r w:rsidRPr="00657E22">
        <w:rPr>
          <w:b/>
          <w:bCs/>
          <w:highlight w:val="cyan"/>
          <w:u w:val="single"/>
        </w:rPr>
        <w:t>algorithmic</w:t>
      </w:r>
      <w:r w:rsidRPr="00657E22">
        <w:rPr>
          <w:b/>
          <w:bCs/>
          <w:u w:val="single"/>
        </w:rPr>
        <w:t xml:space="preserve"> </w:t>
      </w:r>
      <w:r w:rsidRPr="00657E22">
        <w:rPr>
          <w:b/>
          <w:bCs/>
          <w:highlight w:val="cyan"/>
          <w:u w:val="single"/>
        </w:rPr>
        <w:t>racism, a methodological framework for conceptualizing the relationship between processes of</w:t>
      </w:r>
      <w:r w:rsidRPr="00657E22">
        <w:rPr>
          <w:b/>
          <w:bCs/>
          <w:u w:val="single"/>
        </w:rPr>
        <w:t xml:space="preserve"> racial forma- tion (or </w:t>
      </w:r>
      <w:r w:rsidRPr="00657E22">
        <w:rPr>
          <w:b/>
          <w:bCs/>
          <w:highlight w:val="cyan"/>
          <w:u w:val="single"/>
        </w:rPr>
        <w:t>racialization) within Western historical experience</w:t>
      </w:r>
      <w:r w:rsidRPr="00657E22">
        <w:rPr>
          <w:b/>
          <w:bCs/>
          <w:u w:val="single"/>
        </w:rPr>
        <w:t xml:space="preserve"> in relation to its (various) “other(s)”</w:t>
      </w:r>
      <w:r w:rsidRPr="00657E22">
        <w:rPr>
          <w:sz w:val="16"/>
        </w:rPr>
        <w:t xml:space="preserve"> (Ali 2016, 2017a, 2017b, forthcoming)</w:t>
      </w:r>
      <w:r w:rsidRPr="00657E22">
        <w:rPr>
          <w:b/>
          <w:bCs/>
          <w:u w:val="single"/>
        </w:rPr>
        <w:t xml:space="preserve">. Although </w:t>
      </w:r>
      <w:r w:rsidRPr="00657E22">
        <w:rPr>
          <w:b/>
          <w:bCs/>
          <w:highlight w:val="cyan"/>
          <w:u w:val="single"/>
        </w:rPr>
        <w:t>algorithmic racism can be</w:t>
      </w:r>
      <w:r w:rsidRPr="00657E22">
        <w:rPr>
          <w:b/>
          <w:bCs/>
          <w:u w:val="single"/>
        </w:rPr>
        <w:t>—and has been—</w:t>
      </w:r>
      <w:r w:rsidRPr="00657E22">
        <w:rPr>
          <w:b/>
          <w:bCs/>
          <w:highlight w:val="cyan"/>
          <w:u w:val="single"/>
        </w:rPr>
        <w:t>understood as</w:t>
      </w:r>
      <w:r w:rsidRPr="00657E22">
        <w:rPr>
          <w:b/>
          <w:bCs/>
          <w:u w:val="single"/>
        </w:rPr>
        <w:t xml:space="preserve"> referring to al- gorithms as </w:t>
      </w:r>
      <w:r w:rsidRPr="00657E22">
        <w:rPr>
          <w:b/>
          <w:bCs/>
          <w:highlight w:val="cyan"/>
          <w:u w:val="single"/>
        </w:rPr>
        <w:t>sites for embedding</w:t>
      </w:r>
      <w:r w:rsidRPr="00657E22">
        <w:rPr>
          <w:b/>
          <w:bCs/>
          <w:u w:val="single"/>
        </w:rPr>
        <w:t xml:space="preserve">, and means for expressing, </w:t>
      </w:r>
      <w:r w:rsidRPr="00657E22">
        <w:rPr>
          <w:b/>
          <w:bCs/>
          <w:highlight w:val="cyan"/>
          <w:u w:val="single"/>
        </w:rPr>
        <w:t>racial bias</w:t>
      </w:r>
      <w:r w:rsidRPr="00657E22">
        <w:rPr>
          <w:b/>
          <w:bCs/>
          <w:u w:val="single"/>
        </w:rPr>
        <w:t xml:space="preserve">, it should be understood here as </w:t>
      </w:r>
      <w:r w:rsidRPr="00657E22">
        <w:rPr>
          <w:b/>
          <w:bCs/>
          <w:highlight w:val="cyan"/>
          <w:u w:val="single"/>
        </w:rPr>
        <w:t>invoking the figure of the algorithm as a metaphor for thinking</w:t>
      </w:r>
      <w:r w:rsidRPr="00657E22">
        <w:rPr>
          <w:b/>
          <w:bCs/>
          <w:u w:val="single"/>
        </w:rPr>
        <w:t xml:space="preserve"> coherently </w:t>
      </w:r>
      <w:r w:rsidRPr="00657E22">
        <w:rPr>
          <w:b/>
          <w:bCs/>
          <w:highlight w:val="cyan"/>
          <w:u w:val="single"/>
        </w:rPr>
        <w:t>about</w:t>
      </w:r>
      <w:r w:rsidRPr="00657E22">
        <w:rPr>
          <w:b/>
          <w:bCs/>
          <w:u w:val="single"/>
        </w:rPr>
        <w:t xml:space="preserve"> the relationship between </w:t>
      </w:r>
      <w:r w:rsidRPr="00657E22">
        <w:rPr>
          <w:b/>
          <w:bCs/>
          <w:highlight w:val="cyan"/>
          <w:u w:val="single"/>
        </w:rPr>
        <w:t>different discursive formations</w:t>
      </w:r>
      <w:r w:rsidRPr="00657E22">
        <w:rPr>
          <w:b/>
          <w:bCs/>
          <w:u w:val="single"/>
        </w:rPr>
        <w:t xml:space="preserve">—religious, philosophical, scientific, cultural, and so on—as </w:t>
      </w:r>
      <w:r w:rsidRPr="00657E22">
        <w:rPr>
          <w:b/>
          <w:bCs/>
          <w:highlight w:val="cyan"/>
          <w:u w:val="single"/>
        </w:rPr>
        <w:t>race is</w:t>
      </w:r>
      <w:r w:rsidRPr="00657E22">
        <w:rPr>
          <w:b/>
          <w:bCs/>
          <w:u w:val="single"/>
        </w:rPr>
        <w:t xml:space="preserve"> paradigmatically </w:t>
      </w:r>
      <w:r w:rsidRPr="00657E22">
        <w:rPr>
          <w:b/>
          <w:bCs/>
          <w:highlight w:val="cyan"/>
          <w:u w:val="single"/>
        </w:rPr>
        <w:t>articulated at different periods within the history of colonial modernity</w:t>
      </w:r>
      <w:r w:rsidRPr="00657E22">
        <w:rPr>
          <w:b/>
          <w:bCs/>
          <w:u w:val="single"/>
        </w:rPr>
        <w:t xml:space="preserve">; in fact, </w:t>
      </w:r>
      <w:r w:rsidRPr="00657E22">
        <w:rPr>
          <w:b/>
          <w:bCs/>
          <w:highlight w:val="cyan"/>
          <w:u w:val="single"/>
        </w:rPr>
        <w:t>such transformations</w:t>
      </w:r>
      <w:r w:rsidRPr="00657E22">
        <w:rPr>
          <w:b/>
          <w:bCs/>
          <w:u w:val="single"/>
        </w:rPr>
        <w:t xml:space="preserve"> should be </w:t>
      </w:r>
      <w:r w:rsidRPr="00657E22">
        <w:rPr>
          <w:b/>
          <w:bCs/>
          <w:highlight w:val="cyan"/>
          <w:u w:val="single"/>
        </w:rPr>
        <w:t>seen as constituting</w:t>
      </w:r>
      <w:r w:rsidRPr="00657E22">
        <w:rPr>
          <w:b/>
          <w:bCs/>
          <w:u w:val="single"/>
        </w:rPr>
        <w:t xml:space="preserve"> re-articulations or </w:t>
      </w:r>
      <w:r w:rsidRPr="00657E22">
        <w:rPr>
          <w:b/>
          <w:bCs/>
          <w:highlight w:val="cyan"/>
          <w:u w:val="single"/>
        </w:rPr>
        <w:t>“re-iterations” of the</w:t>
      </w:r>
      <w:r w:rsidRPr="00657E22">
        <w:rPr>
          <w:b/>
          <w:bCs/>
          <w:u w:val="single"/>
        </w:rPr>
        <w:t xml:space="preserve"> difference between the European (</w:t>
      </w:r>
      <w:r w:rsidRPr="00657E22">
        <w:rPr>
          <w:b/>
          <w:bCs/>
          <w:highlight w:val="cyan"/>
          <w:u w:val="single"/>
        </w:rPr>
        <w:t>white</w:t>
      </w:r>
      <w:r w:rsidRPr="00657E22">
        <w:rPr>
          <w:b/>
          <w:bCs/>
          <w:u w:val="single"/>
        </w:rPr>
        <w:t xml:space="preserve">, Western) </w:t>
      </w:r>
      <w:r w:rsidRPr="00657E22">
        <w:rPr>
          <w:b/>
          <w:bCs/>
          <w:highlight w:val="cyan"/>
          <w:u w:val="single"/>
        </w:rPr>
        <w:t>and the</w:t>
      </w:r>
      <w:r w:rsidRPr="00657E22">
        <w:rPr>
          <w:b/>
          <w:bCs/>
          <w:u w:val="single"/>
        </w:rPr>
        <w:t xml:space="preserve"> non-European (</w:t>
      </w:r>
      <w:r w:rsidRPr="00657E22">
        <w:rPr>
          <w:b/>
          <w:bCs/>
          <w:highlight w:val="cyan"/>
          <w:u w:val="single"/>
        </w:rPr>
        <w:t>nonwhite</w:t>
      </w:r>
      <w:r w:rsidRPr="00657E22">
        <w:rPr>
          <w:b/>
          <w:bCs/>
          <w:u w:val="single"/>
        </w:rPr>
        <w:t xml:space="preserve">, non- Western) along what decolonial scholars have </w:t>
      </w:r>
      <w:r w:rsidRPr="00657E22">
        <w:rPr>
          <w:b/>
          <w:bCs/>
          <w:highlight w:val="cyan"/>
          <w:u w:val="single"/>
        </w:rPr>
        <w:t>referred to as the “line of the human.”</w:t>
      </w:r>
      <w:r w:rsidRPr="00657E22">
        <w:rPr>
          <w:sz w:val="16"/>
        </w:rPr>
        <w:t xml:space="preserve">19 </w:t>
      </w:r>
      <w:r w:rsidRPr="00657E22">
        <w:rPr>
          <w:b/>
          <w:bCs/>
          <w:u w:val="single"/>
        </w:rPr>
        <w:t xml:space="preserve">While it is common among proponents of </w:t>
      </w:r>
      <w:r w:rsidRPr="00657E22">
        <w:rPr>
          <w:b/>
          <w:bCs/>
          <w:highlight w:val="cyan"/>
          <w:u w:val="single"/>
        </w:rPr>
        <w:t>Apocalyptic AI</w:t>
      </w:r>
      <w:r w:rsidRPr="00657E22">
        <w:rPr>
          <w:b/>
          <w:bCs/>
          <w:u w:val="single"/>
        </w:rPr>
        <w:t xml:space="preserve">—more specifically, transhumanists and technological posthumanists— to </w:t>
      </w:r>
      <w:r w:rsidRPr="00657E22">
        <w:rPr>
          <w:b/>
          <w:bCs/>
          <w:highlight w:val="cyan"/>
          <w:u w:val="single"/>
        </w:rPr>
        <w:t>historically</w:t>
      </w:r>
      <w:r w:rsidRPr="00657E22">
        <w:rPr>
          <w:b/>
          <w:bCs/>
          <w:u w:val="single"/>
        </w:rPr>
        <w:t xml:space="preserve"> (and geographically) </w:t>
      </w:r>
      <w:r w:rsidRPr="00657E22">
        <w:rPr>
          <w:b/>
          <w:bCs/>
          <w:highlight w:val="cyan"/>
          <w:u w:val="single"/>
        </w:rPr>
        <w:t>frame the category of the human</w:t>
      </w:r>
      <w:r w:rsidRPr="00657E22">
        <w:rPr>
          <w:b/>
          <w:bCs/>
          <w:u w:val="single"/>
        </w:rPr>
        <w:t xml:space="preserve"> with reference </w:t>
      </w:r>
      <w:r w:rsidRPr="00657E22">
        <w:rPr>
          <w:b/>
          <w:bCs/>
          <w:highlight w:val="cyan"/>
          <w:u w:val="single"/>
        </w:rPr>
        <w:t>to European</w:t>
      </w:r>
      <w:r w:rsidRPr="00657E22">
        <w:rPr>
          <w:b/>
          <w:bCs/>
          <w:u w:val="single"/>
        </w:rPr>
        <w:t xml:space="preserve"> Renaissance and Enlightenment </w:t>
      </w:r>
      <w:r w:rsidRPr="00657E22">
        <w:rPr>
          <w:b/>
          <w:bCs/>
          <w:highlight w:val="cyan"/>
          <w:u w:val="single"/>
        </w:rPr>
        <w:t>humanist</w:t>
      </w:r>
      <w:r w:rsidRPr="00657E22">
        <w:rPr>
          <w:b/>
          <w:bCs/>
          <w:u w:val="single"/>
        </w:rPr>
        <w:t xml:space="preserve"> </w:t>
      </w:r>
      <w:r w:rsidRPr="00657E22">
        <w:rPr>
          <w:b/>
          <w:bCs/>
          <w:highlight w:val="cyan"/>
          <w:u w:val="single"/>
        </w:rPr>
        <w:t>thought</w:t>
      </w:r>
      <w:r w:rsidRPr="00657E22">
        <w:rPr>
          <w:sz w:val="16"/>
        </w:rPr>
        <w:t xml:space="preserve"> (Hughes 2012, 757; Ferrando 2013, 27; Bostrom 2014, 1), </w:t>
      </w:r>
      <w:r w:rsidRPr="00657E22">
        <w:rPr>
          <w:rStyle w:val="Emphasis"/>
        </w:rPr>
        <w:t xml:space="preserve">I suggest </w:t>
      </w:r>
      <w:r w:rsidRPr="001D3019">
        <w:rPr>
          <w:bCs/>
          <w:iCs/>
        </w:rPr>
        <w:t xml:space="preserve">that </w:t>
      </w:r>
      <w:r w:rsidRPr="001D3019">
        <w:rPr>
          <w:b/>
          <w:bCs/>
          <w:u w:val="single"/>
        </w:rPr>
        <w:t>this move tends to obscure the origins of the human as a Eurocentric religious-racial category forged through a process of hierarchical negative dialectics on the basis of an antagonistic relation with the non-European “other” as the subhuman during</w:t>
      </w:r>
      <w:r w:rsidRPr="001D3019">
        <w:rPr>
          <w:bCs/>
          <w:iCs/>
        </w:rPr>
        <w:t xml:space="preserve"> the</w:t>
      </w:r>
      <w:r w:rsidRPr="00657E22">
        <w:rPr>
          <w:rStyle w:val="Emphasis"/>
        </w:rPr>
        <w:t xml:space="preserve"> long dur ́ee of the sixteenth century, if </w:t>
      </w:r>
      <w:r w:rsidRPr="001D3019">
        <w:rPr>
          <w:b/>
          <w:bCs/>
          <w:u w:val="single"/>
        </w:rPr>
        <w:t>not earlier (Wynter 2003; Mills 2005)</w:t>
      </w:r>
      <w:r w:rsidRPr="00657E22">
        <w:rPr>
          <w:b/>
          <w:bCs/>
          <w:u w:val="single"/>
        </w:rPr>
        <w:t>.</w:t>
      </w:r>
      <w:r w:rsidRPr="001D3019">
        <w:rPr>
          <w:b/>
          <w:bCs/>
          <w:u w:val="single"/>
        </w:rPr>
        <w:t xml:space="preserve"> </w:t>
      </w:r>
    </w:p>
    <w:p w14:paraId="109C5365" w14:textId="77777777" w:rsidR="001D3019" w:rsidRDefault="001D3019" w:rsidP="001D3019">
      <w:pPr>
        <w:contextualSpacing/>
        <w:rPr>
          <w:sz w:val="14"/>
        </w:rPr>
      </w:pPr>
      <w:r w:rsidRPr="00657E22">
        <w:rPr>
          <w:b/>
          <w:bCs/>
          <w:u w:val="single"/>
        </w:rPr>
        <w:t xml:space="preserve">Against this backdrop, </w:t>
      </w:r>
      <w:r w:rsidRPr="00657E22">
        <w:rPr>
          <w:b/>
          <w:bCs/>
          <w:highlight w:val="cyan"/>
          <w:u w:val="single"/>
        </w:rPr>
        <w:t>concerns about the</w:t>
      </w:r>
      <w:r w:rsidRPr="00657E22">
        <w:rPr>
          <w:b/>
          <w:bCs/>
          <w:u w:val="single"/>
        </w:rPr>
        <w:t xml:space="preserve"> existential </w:t>
      </w:r>
      <w:r w:rsidRPr="00657E22">
        <w:rPr>
          <w:b/>
          <w:bCs/>
          <w:highlight w:val="cyan"/>
          <w:u w:val="single"/>
        </w:rPr>
        <w:t xml:space="preserve">risk posed by Apocalyptic AI should be understood as entangled with a shift from the distinction between </w:t>
      </w:r>
      <w:r w:rsidRPr="00657E22">
        <w:rPr>
          <w:b/>
          <w:bCs/>
          <w:u w:val="single"/>
        </w:rPr>
        <w:t xml:space="preserve">subhuman (non-European, </w:t>
      </w:r>
      <w:r w:rsidRPr="00657E22">
        <w:rPr>
          <w:b/>
          <w:bCs/>
          <w:highlight w:val="cyan"/>
          <w:u w:val="single"/>
        </w:rPr>
        <w:t>nonwhite</w:t>
      </w:r>
      <w:r w:rsidRPr="001D3019">
        <w:rPr>
          <w:b/>
          <w:bCs/>
          <w:u w:val="single"/>
        </w:rPr>
        <w:t>) and human (European,</w:t>
      </w:r>
      <w:r w:rsidRPr="00657E22">
        <w:rPr>
          <w:b/>
          <w:bCs/>
          <w:highlight w:val="cyan"/>
          <w:u w:val="single"/>
        </w:rPr>
        <w:t xml:space="preserve"> white</w:t>
      </w:r>
      <w:r w:rsidRPr="00657E22">
        <w:rPr>
          <w:b/>
          <w:bCs/>
          <w:u w:val="single"/>
        </w:rPr>
        <w:t xml:space="preserve">) to that between human (non-European, nonwhite) and transhuman (European, white), </w:t>
      </w:r>
      <w:r w:rsidRPr="001D3019">
        <w:rPr>
          <w:b/>
          <w:bCs/>
          <w:u w:val="single"/>
        </w:rPr>
        <w:t>such shift</w:t>
      </w:r>
      <w:r w:rsidRPr="00657E22">
        <w:rPr>
          <w:b/>
          <w:bCs/>
          <w:u w:val="single"/>
        </w:rPr>
        <w:t xml:space="preserve"> being </w:t>
      </w:r>
      <w:r w:rsidRPr="001D3019">
        <w:rPr>
          <w:b/>
          <w:bCs/>
          <w:u w:val="single"/>
        </w:rPr>
        <w:t>intended to maintain</w:t>
      </w:r>
      <w:r w:rsidRPr="00657E22">
        <w:rPr>
          <w:b/>
          <w:bCs/>
          <w:u w:val="single"/>
        </w:rPr>
        <w:t xml:space="preserve"> the relational and </w:t>
      </w:r>
      <w:r w:rsidRPr="001D3019">
        <w:rPr>
          <w:b/>
          <w:bCs/>
          <w:u w:val="single"/>
        </w:rPr>
        <w:t>hierarchical</w:t>
      </w:r>
      <w:r w:rsidRPr="00657E22">
        <w:rPr>
          <w:b/>
          <w:bCs/>
          <w:u w:val="single"/>
        </w:rPr>
        <w:t xml:space="preserve"> </w:t>
      </w:r>
      <w:r w:rsidRPr="001D3019">
        <w:rPr>
          <w:b/>
          <w:bCs/>
          <w:u w:val="single"/>
        </w:rPr>
        <w:t>binary between</w:t>
      </w:r>
      <w:r w:rsidRPr="00657E22">
        <w:rPr>
          <w:b/>
          <w:bCs/>
          <w:u w:val="single"/>
        </w:rPr>
        <w:t xml:space="preserve"> the </w:t>
      </w:r>
      <w:r w:rsidRPr="001D3019">
        <w:rPr>
          <w:b/>
          <w:bCs/>
          <w:u w:val="single"/>
        </w:rPr>
        <w:t>European and non- European, and prompted</w:t>
      </w:r>
      <w:r w:rsidRPr="00657E22">
        <w:rPr>
          <w:b/>
          <w:bCs/>
          <w:u w:val="single"/>
        </w:rPr>
        <w:t xml:space="preserve">, at least partly, </w:t>
      </w:r>
      <w:r w:rsidRPr="001D3019">
        <w:rPr>
          <w:b/>
          <w:bCs/>
          <w:u w:val="single"/>
        </w:rPr>
        <w:t>by</w:t>
      </w:r>
      <w:r w:rsidRPr="00657E22">
        <w:rPr>
          <w:b/>
          <w:bCs/>
          <w:u w:val="single"/>
        </w:rPr>
        <w:t xml:space="preserve"> certain kinds of </w:t>
      </w:r>
      <w:r w:rsidRPr="001D3019">
        <w:rPr>
          <w:b/>
          <w:bCs/>
          <w:u w:val="single"/>
        </w:rPr>
        <w:t>critical</w:t>
      </w:r>
      <w:r w:rsidRPr="00657E22">
        <w:rPr>
          <w:b/>
          <w:bCs/>
          <w:u w:val="single"/>
        </w:rPr>
        <w:t xml:space="preserve"> and </w:t>
      </w:r>
      <w:r w:rsidRPr="001D3019">
        <w:rPr>
          <w:b/>
          <w:bCs/>
          <w:u w:val="single"/>
        </w:rPr>
        <w:t>decolonial posthumanist contestation of Eurocentric</w:t>
      </w:r>
      <w:r w:rsidRPr="00657E22">
        <w:rPr>
          <w:b/>
          <w:bCs/>
          <w:u w:val="single"/>
        </w:rPr>
        <w:t xml:space="preserve"> conceptions of the </w:t>
      </w:r>
      <w:r w:rsidRPr="001D3019">
        <w:rPr>
          <w:b/>
          <w:bCs/>
          <w:u w:val="single"/>
        </w:rPr>
        <w:t xml:space="preserve">human20; </w:t>
      </w:r>
      <w:r w:rsidRPr="00657E22">
        <w:rPr>
          <w:b/>
          <w:bCs/>
          <w:u w:val="single"/>
        </w:rPr>
        <w:t xml:space="preserve">furthermore, that </w:t>
      </w:r>
      <w:r w:rsidRPr="001D3019">
        <w:rPr>
          <w:b/>
          <w:bCs/>
          <w:u w:val="single"/>
        </w:rPr>
        <w:t>such</w:t>
      </w:r>
      <w:r w:rsidRPr="00657E22">
        <w:rPr>
          <w:b/>
          <w:bCs/>
          <w:u w:val="single"/>
        </w:rPr>
        <w:t xml:space="preserve"> a </w:t>
      </w:r>
      <w:r w:rsidRPr="001D3019">
        <w:rPr>
          <w:b/>
          <w:bCs/>
          <w:u w:val="single"/>
        </w:rPr>
        <w:t>shift</w:t>
      </w:r>
      <w:r w:rsidRPr="00657E22">
        <w:rPr>
          <w:b/>
          <w:bCs/>
          <w:u w:val="single"/>
        </w:rPr>
        <w:t xml:space="preserve"> is </w:t>
      </w:r>
      <w:r w:rsidRPr="001D3019">
        <w:rPr>
          <w:b/>
          <w:bCs/>
          <w:u w:val="single"/>
        </w:rPr>
        <w:t>occurring</w:t>
      </w:r>
      <w:r w:rsidRPr="00657E22">
        <w:rPr>
          <w:b/>
          <w:bCs/>
          <w:u w:val="single"/>
        </w:rPr>
        <w:t xml:space="preserve"> against the broader background or horizon of a resurfacing of the phenomenon of White Crisis.</w:t>
      </w:r>
      <w:r w:rsidRPr="001D3019">
        <w:rPr>
          <w:b/>
          <w:bCs/>
          <w:u w:val="single"/>
        </w:rPr>
        <w:t xml:space="preserve"> I want to suggest </w:t>
      </w:r>
      <w:r w:rsidRPr="00657E22">
        <w:rPr>
          <w:sz w:val="14"/>
        </w:rPr>
        <w:t xml:space="preserve">that </w:t>
      </w:r>
      <w:r w:rsidRPr="00657E22">
        <w:rPr>
          <w:b/>
          <w:bCs/>
          <w:sz w:val="26"/>
          <w:szCs w:val="26"/>
          <w:highlight w:val="cyan"/>
          <w:u w:val="single"/>
        </w:rPr>
        <w:t>it is the</w:t>
      </w:r>
      <w:r w:rsidRPr="00657E22">
        <w:rPr>
          <w:b/>
          <w:bCs/>
          <w:sz w:val="26"/>
          <w:szCs w:val="26"/>
          <w:u w:val="single"/>
        </w:rPr>
        <w:t xml:space="preserve"> very </w:t>
      </w:r>
      <w:r w:rsidRPr="00657E22">
        <w:rPr>
          <w:b/>
          <w:bCs/>
          <w:sz w:val="26"/>
          <w:szCs w:val="26"/>
          <w:highlight w:val="cyan"/>
          <w:u w:val="single"/>
        </w:rPr>
        <w:t>apocalyptic nature of the</w:t>
      </w:r>
      <w:r w:rsidRPr="00657E22">
        <w:rPr>
          <w:b/>
          <w:bCs/>
          <w:sz w:val="26"/>
          <w:szCs w:val="26"/>
          <w:u w:val="single"/>
        </w:rPr>
        <w:t xml:space="preserve"> phenomenon of </w:t>
      </w:r>
      <w:r w:rsidRPr="00657E22">
        <w:rPr>
          <w:b/>
          <w:bCs/>
          <w:sz w:val="26"/>
          <w:szCs w:val="26"/>
          <w:highlight w:val="cyan"/>
          <w:u w:val="single"/>
        </w:rPr>
        <w:t>White Crisis</w:t>
      </w:r>
      <w:r w:rsidRPr="00657E22">
        <w:rPr>
          <w:b/>
          <w:bCs/>
          <w:sz w:val="26"/>
          <w:szCs w:val="26"/>
          <w:u w:val="single"/>
        </w:rPr>
        <w:t xml:space="preserve">—that is, </w:t>
      </w:r>
      <w:r w:rsidRPr="00657E22">
        <w:rPr>
          <w:b/>
          <w:bCs/>
          <w:sz w:val="26"/>
          <w:szCs w:val="26"/>
          <w:highlight w:val="cyan"/>
          <w:u w:val="single"/>
        </w:rPr>
        <w:t>perceived threat to white supremacy under</w:t>
      </w:r>
      <w:r w:rsidRPr="00657E22">
        <w:rPr>
          <w:b/>
          <w:bCs/>
          <w:sz w:val="26"/>
          <w:szCs w:val="26"/>
          <w:u w:val="single"/>
        </w:rPr>
        <w:t xml:space="preserve"> </w:t>
      </w:r>
      <w:r w:rsidRPr="00657E22">
        <w:rPr>
          <w:b/>
          <w:bCs/>
          <w:sz w:val="26"/>
          <w:szCs w:val="26"/>
          <w:highlight w:val="cyan"/>
          <w:u w:val="single"/>
        </w:rPr>
        <w:t>mounting contestation from the nonwhite “other”</w:t>
      </w:r>
      <w:r w:rsidRPr="00657E22">
        <w:rPr>
          <w:b/>
          <w:bCs/>
          <w:sz w:val="26"/>
          <w:szCs w:val="26"/>
          <w:u w:val="single"/>
        </w:rPr>
        <w:t>—</w:t>
      </w:r>
      <w:r w:rsidRPr="00657E22">
        <w:rPr>
          <w:b/>
          <w:bCs/>
          <w:sz w:val="26"/>
          <w:szCs w:val="26"/>
          <w:highlight w:val="cyan"/>
          <w:u w:val="single"/>
        </w:rPr>
        <w:t>that contributes to engendering the “algorithmic” transformation of humanism into technological posthu- manism via transhumanism as an iterative shift within the historically sedimented onto-logic of Eurocentric racialization.</w:t>
      </w:r>
      <w:r w:rsidRPr="00657E22">
        <w:rPr>
          <w:sz w:val="14"/>
        </w:rPr>
        <w:t xml:space="preserve"> By framing the issue in terms of contribution rather than causation, I recognize that the transhu- manist/posthumanist project is overdetermined in terms of its historical motivations and causes (Zimmerman 2009, 68–69). I further suggest that such </w:t>
      </w:r>
      <w:r w:rsidRPr="00657E22">
        <w:rPr>
          <w:b/>
          <w:bCs/>
          <w:u w:val="single"/>
        </w:rPr>
        <w:t xml:space="preserve">techno-millenialist currents fed into the emerging technology of race at the onset of colonial modernity which </w:t>
      </w:r>
      <w:r w:rsidRPr="00657E22">
        <w:rPr>
          <w:b/>
          <w:bCs/>
          <w:u w:val="single"/>
        </w:rPr>
        <w:lastRenderedPageBreak/>
        <w:t>commenced with the Columbian voyages in 1492 CE.</w:t>
      </w:r>
      <w:r w:rsidRPr="00657E22">
        <w:rPr>
          <w:sz w:val="14"/>
        </w:rPr>
        <w:t xml:space="preserve"> In short, insofar as ideas of leveraging technology to achieve utopian and/or apocalyptic purposes have a long history, I am not suggesting that the transhumanist project is driven solely by a postracial crisis of whiteness; rather, I argue that, </w:t>
      </w:r>
      <w:r w:rsidRPr="00657E22">
        <w:rPr>
          <w:b/>
          <w:bCs/>
          <w:highlight w:val="cyan"/>
          <w:u w:val="single"/>
        </w:rPr>
        <w:t>under</w:t>
      </w:r>
      <w:r w:rsidRPr="00657E22">
        <w:rPr>
          <w:b/>
          <w:bCs/>
          <w:u w:val="single"/>
        </w:rPr>
        <w:t xml:space="preserve"> contemporary conditions of </w:t>
      </w:r>
      <w:r w:rsidRPr="00657E22">
        <w:rPr>
          <w:b/>
          <w:bCs/>
          <w:highlight w:val="cyan"/>
          <w:u w:val="single"/>
        </w:rPr>
        <w:t>White Crisis</w:t>
      </w:r>
      <w:r w:rsidRPr="00657E22">
        <w:rPr>
          <w:b/>
          <w:bCs/>
          <w:u w:val="single"/>
        </w:rPr>
        <w:t xml:space="preserve">, the </w:t>
      </w:r>
      <w:r w:rsidRPr="00657E22">
        <w:rPr>
          <w:b/>
          <w:bCs/>
          <w:highlight w:val="cyan"/>
          <w:u w:val="single"/>
        </w:rPr>
        <w:t>transhumanist project gains</w:t>
      </w:r>
      <w:r w:rsidRPr="00657E22">
        <w:rPr>
          <w:b/>
          <w:bCs/>
          <w:u w:val="single"/>
        </w:rPr>
        <w:t xml:space="preserve"> a sense of </w:t>
      </w:r>
      <w:r w:rsidRPr="00657E22">
        <w:rPr>
          <w:b/>
          <w:bCs/>
          <w:highlight w:val="cyan"/>
          <w:u w:val="single"/>
        </w:rPr>
        <w:t>urgency as a</w:t>
      </w:r>
      <w:r w:rsidRPr="00657E22">
        <w:rPr>
          <w:b/>
          <w:bCs/>
          <w:u w:val="single"/>
        </w:rPr>
        <w:t xml:space="preserve"> </w:t>
      </w:r>
      <w:r w:rsidRPr="00657E22">
        <w:rPr>
          <w:b/>
          <w:bCs/>
          <w:highlight w:val="cyan"/>
          <w:u w:val="single"/>
        </w:rPr>
        <w:t>techno- scientific</w:t>
      </w:r>
      <w:r w:rsidRPr="00657E22">
        <w:rPr>
          <w:b/>
          <w:bCs/>
          <w:u w:val="single"/>
        </w:rPr>
        <w:t xml:space="preserve"> resolution—or “</w:t>
      </w:r>
      <w:r w:rsidRPr="00657E22">
        <w:rPr>
          <w:b/>
          <w:bCs/>
          <w:highlight w:val="cyan"/>
          <w:u w:val="single"/>
        </w:rPr>
        <w:t>fix</w:t>
      </w:r>
      <w:r w:rsidRPr="00657E22">
        <w:rPr>
          <w:b/>
          <w:bCs/>
          <w:u w:val="single"/>
        </w:rPr>
        <w:t>”—</w:t>
      </w:r>
      <w:r w:rsidRPr="00657E22">
        <w:rPr>
          <w:b/>
          <w:bCs/>
          <w:highlight w:val="cyan"/>
          <w:u w:val="single"/>
        </w:rPr>
        <w:t>to</w:t>
      </w:r>
      <w:r w:rsidRPr="00657E22">
        <w:rPr>
          <w:b/>
          <w:bCs/>
          <w:u w:val="single"/>
        </w:rPr>
        <w:t xml:space="preserve"> such an anxiety-ridden </w:t>
      </w:r>
      <w:r w:rsidRPr="00657E22">
        <w:rPr>
          <w:b/>
          <w:bCs/>
          <w:highlight w:val="cyan"/>
          <w:u w:val="single"/>
        </w:rPr>
        <w:t>state of affairs</w:t>
      </w:r>
      <w:r w:rsidRPr="00657E22">
        <w:rPr>
          <w:sz w:val="14"/>
        </w:rPr>
        <w:t xml:space="preserve"> and that it is prudent from a critical race theoretical and decolonial perspec- tive to think about the discourse of existential risk in this way</w:t>
      </w:r>
      <w:r w:rsidRPr="00657E22">
        <w:rPr>
          <w:b/>
          <w:bCs/>
          <w:u w:val="single"/>
        </w:rPr>
        <w:t>.</w:t>
      </w:r>
      <w:r w:rsidRPr="00657E22">
        <w:rPr>
          <w:sz w:val="14"/>
        </w:rPr>
        <w:t xml:space="preserve"> To briefly recapitulate</w:t>
      </w:r>
      <w:r w:rsidRPr="00657E22">
        <w:rPr>
          <w:b/>
          <w:bCs/>
          <w:u w:val="single"/>
        </w:rPr>
        <w:t xml:space="preserve">: </w:t>
      </w:r>
      <w:r w:rsidRPr="00657E22">
        <w:rPr>
          <w:b/>
          <w:bCs/>
          <w:highlight w:val="cyan"/>
          <w:u w:val="single"/>
        </w:rPr>
        <w:t>humanism, transhumanism, and posthumanism should be understood as iterations within</w:t>
      </w:r>
      <w:r w:rsidRPr="00657E22">
        <w:rPr>
          <w:b/>
          <w:bCs/>
          <w:u w:val="single"/>
        </w:rPr>
        <w:t xml:space="preserve"> the structural—that is, relational— </w:t>
      </w:r>
      <w:r w:rsidRPr="00657E22">
        <w:rPr>
          <w:b/>
          <w:bCs/>
          <w:highlight w:val="cyan"/>
          <w:u w:val="single"/>
        </w:rPr>
        <w:t>logic of algorithmic racism, and of Apocalyptic AI</w:t>
      </w:r>
      <w:r w:rsidRPr="00657E22">
        <w:rPr>
          <w:b/>
          <w:bCs/>
          <w:u w:val="single"/>
        </w:rPr>
        <w:t xml:space="preserve">, in both its transitional form (transhumanism) and final form (posthumanism). It should be </w:t>
      </w:r>
      <w:r w:rsidRPr="00657E22">
        <w:rPr>
          <w:b/>
          <w:bCs/>
          <w:highlight w:val="cyan"/>
          <w:u w:val="single"/>
        </w:rPr>
        <w:t>understood in relation to the project of maintaining</w:t>
      </w:r>
      <w:r w:rsidRPr="00657E22">
        <w:rPr>
          <w:b/>
          <w:bCs/>
          <w:u w:val="single"/>
        </w:rPr>
        <w:t xml:space="preserve"> structurally asymmet- ric power </w:t>
      </w:r>
      <w:r w:rsidRPr="00657E22">
        <w:rPr>
          <w:b/>
          <w:bCs/>
          <w:highlight w:val="cyan"/>
          <w:u w:val="single"/>
        </w:rPr>
        <w:t>relations</w:t>
      </w:r>
      <w:r w:rsidRPr="00657E22">
        <w:rPr>
          <w:b/>
          <w:bCs/>
          <w:u w:val="single"/>
        </w:rPr>
        <w:t xml:space="preserve"> between the (formerly) human (white, Western, male, and so on) and its subaltern “other,” even as the latter contests the Euro- centric terrain of the human.</w:t>
      </w:r>
      <w:r w:rsidRPr="00657E22">
        <w:rPr>
          <w:sz w:val="14"/>
        </w:rPr>
        <w:t xml:space="preserve"> In this connection, it is interesting to note that Geraci (2010a) cites historian of religions David Chidester’s definition of religion as “the negotiation of what it means to be human with respect to the superhuman and the subhuman” (1011), yet fails to explore this in terms of iterative positional shifts around the racial figure of the human as (European) “Man.” I argue that this reading is supported by Zimmerman’s (2008) highly perceptive observation that “posthumanists often regard hu- mans as relay runners about to pass the baton to oncoming others, who in turn will race toward a summit that surpasses all ordinary human under- standing [emphasis added]” (363). Perhaps most provocatively, I suggest </w:t>
      </w:r>
      <w:r w:rsidRPr="00657E22">
        <w:rPr>
          <w:b/>
          <w:bCs/>
          <w:u w:val="single"/>
        </w:rPr>
        <w:t>such shifts along the line of the human and their entanglement with White Crisis and/as existential risk should be understood in terms of the idea of “race war”</w:t>
      </w:r>
      <w:r w:rsidRPr="00657E22">
        <w:rPr>
          <w:sz w:val="14"/>
        </w:rPr>
        <w:t xml:space="preserve"> (Zimmerman 2008, 366)</w:t>
      </w:r>
      <w:r w:rsidRPr="00657E22">
        <w:rPr>
          <w:b/>
          <w:bCs/>
          <w:u w:val="single"/>
        </w:rPr>
        <w:t>,</w:t>
      </w:r>
      <w:r w:rsidRPr="00657E22">
        <w:rPr>
          <w:sz w:val="14"/>
        </w:rPr>
        <w:t xml:space="preserve"> and that this </w:t>
      </w:r>
      <w:r w:rsidRPr="00657E22">
        <w:rPr>
          <w:b/>
          <w:bCs/>
          <w:u w:val="single"/>
        </w:rPr>
        <w:t>decolonial reading of the phenomenon holds true irrespective of whether Apocalyptic AI is framed in a liberal democratic techno-progressive register or in more elitist libertarian terms.</w:t>
      </w:r>
      <w:r w:rsidRPr="00657E22">
        <w:rPr>
          <w:sz w:val="14"/>
        </w:rPr>
        <w:t xml:space="preserve">21 </w:t>
      </w:r>
    </w:p>
    <w:p w14:paraId="4BD066B7" w14:textId="77777777" w:rsidR="00ED7E4B" w:rsidRDefault="00ED7E4B" w:rsidP="00ED7E4B">
      <w:pPr>
        <w:pStyle w:val="Heading4"/>
      </w:pPr>
      <w:r>
        <w:t xml:space="preserve">Normal means is </w:t>
      </w:r>
      <w:r w:rsidRPr="006C79DA">
        <w:rPr>
          <w:u w:val="single"/>
        </w:rPr>
        <w:t>imperialism</w:t>
      </w:r>
      <w:r>
        <w:t xml:space="preserve"> not </w:t>
      </w:r>
      <w:r w:rsidRPr="006C79DA">
        <w:rPr>
          <w:u w:val="single"/>
        </w:rPr>
        <w:t>internationalism</w:t>
      </w:r>
      <w:r>
        <w:t xml:space="preserve">. </w:t>
      </w:r>
    </w:p>
    <w:p w14:paraId="15014A35" w14:textId="77777777" w:rsidR="00ED7E4B" w:rsidRPr="007D5599" w:rsidRDefault="00ED7E4B" w:rsidP="00ED7E4B">
      <w:pPr>
        <w:rPr>
          <w:sz w:val="12"/>
        </w:rPr>
      </w:pPr>
      <w:r w:rsidRPr="005F2EB1">
        <w:rPr>
          <w:rStyle w:val="Style13ptBold"/>
        </w:rPr>
        <w:t>Nolan and Schuhrke 24</w:t>
      </w:r>
      <w:r w:rsidRPr="007D5599">
        <w:rPr>
          <w:sz w:val="12"/>
        </w:rPr>
        <w:t xml:space="preserve"> [Hamilton Nolan is a journalist who writes on labor and politics. Jeff Schuhrke is a labor historian and assistant professor at the Harry Van Arsdale Jr. School of Labor Studies, SUNY Empire State University.” The Sordid History of Organized Labor's Foreign Policy Sins”, https://www.hamiltonnolan.com/p/the-sordid-history-of-organized-labors, published 10-08-24, accessed 12-26-25 //kiv]</w:t>
      </w:r>
    </w:p>
    <w:p w14:paraId="6D8890EB" w14:textId="77777777" w:rsidR="00ED7E4B" w:rsidRPr="0099042B" w:rsidRDefault="00ED7E4B" w:rsidP="00ED7E4B">
      <w:pPr>
        <w:rPr>
          <w:sz w:val="12"/>
        </w:rPr>
      </w:pPr>
      <w:r w:rsidRPr="0099042B">
        <w:rPr>
          <w:sz w:val="12"/>
        </w:rPr>
        <w:t xml:space="preserve">But a couple years later, in 1966, investigative reporters with the New York Times, Washington Post, and other publications ended up exposing the by-now defunct AFSCME-CIA connection. In particular, these exposés showed how </w:t>
      </w:r>
      <w:r w:rsidRPr="005F2EB1">
        <w:rPr>
          <w:rStyle w:val="StyleUnderline"/>
        </w:rPr>
        <w:t>AFSCME helped funnel CIA money to the South American nation of Guyana in the early 1960s</w:t>
      </w:r>
      <w:r w:rsidRPr="0099042B">
        <w:rPr>
          <w:sz w:val="12"/>
        </w:rPr>
        <w:t>, before Wurf became the union’s president, to sabotage its progressive, democratically elected government by bankrolling a nearly three month-long general strike led by the political opposition, which I explain more in the book.</w:t>
      </w:r>
    </w:p>
    <w:p w14:paraId="2B2C7405" w14:textId="77777777" w:rsidR="00ED7E4B" w:rsidRPr="0099042B" w:rsidRDefault="00ED7E4B" w:rsidP="00ED7E4B">
      <w:pPr>
        <w:rPr>
          <w:sz w:val="12"/>
        </w:rPr>
      </w:pPr>
      <w:r w:rsidRPr="0099042B">
        <w:rPr>
          <w:sz w:val="12"/>
        </w:rPr>
        <w:t>To what extent did WW2 and the dawning of the Cold War shift the labor movement's vision of foreign policy? Was there a stronger "workers of the world unite" sentiment prior to WW2, or is that just a sentimental illusion? </w:t>
      </w:r>
    </w:p>
    <w:p w14:paraId="636BA5D4" w14:textId="77777777" w:rsidR="00ED7E4B" w:rsidRPr="0009160F" w:rsidRDefault="00ED7E4B" w:rsidP="00ED7E4B">
      <w:pPr>
        <w:rPr>
          <w:sz w:val="12"/>
        </w:rPr>
      </w:pPr>
      <w:r w:rsidRPr="0099042B">
        <w:rPr>
          <w:sz w:val="12"/>
        </w:rPr>
        <w:t>Schuhrke: </w:t>
      </w:r>
      <w:r w:rsidRPr="005F2EB1">
        <w:rPr>
          <w:rStyle w:val="StyleUnderline"/>
        </w:rPr>
        <w:t xml:space="preserve">Since the late nineteenth century, </w:t>
      </w:r>
      <w:r w:rsidRPr="00B96BD1">
        <w:rPr>
          <w:rStyle w:val="StyleUnderline"/>
          <w:highlight w:val="green"/>
        </w:rPr>
        <w:t xml:space="preserve">the </w:t>
      </w:r>
      <w:r w:rsidRPr="00563174">
        <w:rPr>
          <w:rStyle w:val="Emphasis"/>
          <w:highlight w:val="green"/>
        </w:rPr>
        <w:t>US</w:t>
      </w:r>
      <w:r w:rsidRPr="00B96BD1">
        <w:rPr>
          <w:rStyle w:val="StyleUnderline"/>
          <w:highlight w:val="green"/>
        </w:rPr>
        <w:t xml:space="preserve"> labor </w:t>
      </w:r>
      <w:r w:rsidRPr="00BB725A">
        <w:rPr>
          <w:rStyle w:val="StyleUnderline"/>
          <w:highlight w:val="green"/>
        </w:rPr>
        <w:t xml:space="preserve">movement </w:t>
      </w:r>
      <w:r w:rsidRPr="006B24E4">
        <w:rPr>
          <w:rStyle w:val="StyleUnderline"/>
        </w:rPr>
        <w:t>was</w:t>
      </w:r>
      <w:r w:rsidRPr="00BB725A">
        <w:rPr>
          <w:rStyle w:val="StyleUnderline"/>
        </w:rPr>
        <w:t xml:space="preserve"> divided between those who really did have a “workers of the world unite” sentiment and those who </w:t>
      </w:r>
      <w:r w:rsidRPr="006B24E4">
        <w:rPr>
          <w:rStyle w:val="StyleUnderline"/>
          <w:highlight w:val="green"/>
        </w:rPr>
        <w:t>had</w:t>
      </w:r>
      <w:r w:rsidRPr="00BB725A">
        <w:rPr>
          <w:rStyle w:val="StyleUnderline"/>
        </w:rPr>
        <w:t xml:space="preserve"> mor</w:t>
      </w:r>
      <w:r w:rsidRPr="005F2EB1">
        <w:rPr>
          <w:rStyle w:val="StyleUnderline"/>
        </w:rPr>
        <w:t xml:space="preserve">e of </w:t>
      </w:r>
      <w:r w:rsidRPr="002C4DF1">
        <w:rPr>
          <w:rStyle w:val="Emphasis"/>
          <w:highlight w:val="green"/>
        </w:rPr>
        <w:t>an “I’ve got mine</w:t>
      </w:r>
      <w:r w:rsidRPr="005F2EB1">
        <w:rPr>
          <w:rStyle w:val="StyleUnderline"/>
        </w:rPr>
        <w:t xml:space="preserve">, Jack” </w:t>
      </w:r>
      <w:r w:rsidRPr="00B96BD1">
        <w:rPr>
          <w:rStyle w:val="StyleUnderline"/>
          <w:highlight w:val="green"/>
        </w:rPr>
        <w:t>attitude</w:t>
      </w:r>
      <w:r w:rsidRPr="005F2EB1">
        <w:rPr>
          <w:rStyle w:val="StyleUnderline"/>
        </w:rPr>
        <w:t>.</w:t>
      </w:r>
      <w:r w:rsidRPr="0099042B">
        <w:rPr>
          <w:sz w:val="12"/>
        </w:rPr>
        <w:t xml:space="preserve"> The former was represented by the Knights of Labor, Industrial Workers of the World, and various radicals like anarchists, socialists, and communists, who saw unions as vehicles for waging class struggle and bringing about fundamental social and </w:t>
      </w:r>
      <w:r w:rsidRPr="0009160F">
        <w:rPr>
          <w:sz w:val="12"/>
        </w:rPr>
        <w:t>economic reforms, if not revolution.</w:t>
      </w:r>
    </w:p>
    <w:p w14:paraId="33C590D4" w14:textId="77777777" w:rsidR="00ED7E4B" w:rsidRPr="0009160F" w:rsidRDefault="00ED7E4B" w:rsidP="00ED7E4B">
      <w:pPr>
        <w:rPr>
          <w:sz w:val="12"/>
        </w:rPr>
      </w:pPr>
      <w:r w:rsidRPr="0009160F">
        <w:rPr>
          <w:sz w:val="12"/>
        </w:rPr>
        <w:t xml:space="preserve">The latter was represented by </w:t>
      </w:r>
      <w:r w:rsidRPr="0009160F">
        <w:rPr>
          <w:rStyle w:val="StyleUnderline"/>
        </w:rPr>
        <w:t>the American Federation of Labor (AFL), which was unions of hard-to-replace, skilled craftsmen who were almost exclusively of Northern European descent. The AFL saw unions as a way to benefit and protect their own members</w:t>
      </w:r>
      <w:r w:rsidRPr="0009160F">
        <w:rPr>
          <w:sz w:val="12"/>
        </w:rPr>
        <w:t>, and sometimes to advocate for workers within the proper channels of the established order, but not to push for any kind of radicalism or revolutionary change. In the interwar years, the AFL became very isolationist. European socialists founded the International Federation of Trade Unions in 1919 to try bringing the workers of the world together, but the AFL refused to join because its leaders didn’t want to associate with socialists. </w:t>
      </w:r>
    </w:p>
    <w:p w14:paraId="3D51F48D" w14:textId="77777777" w:rsidR="00ED7E4B" w:rsidRPr="0009160F" w:rsidRDefault="00ED7E4B" w:rsidP="00ED7E4B">
      <w:pPr>
        <w:rPr>
          <w:sz w:val="12"/>
        </w:rPr>
      </w:pPr>
      <w:r w:rsidRPr="0009160F">
        <w:rPr>
          <w:rStyle w:val="StyleUnderline"/>
        </w:rPr>
        <w:t>The Congress of Industrial Organizations</w:t>
      </w:r>
      <w:r w:rsidRPr="0009160F">
        <w:rPr>
          <w:sz w:val="12"/>
        </w:rPr>
        <w:t xml:space="preserve"> (CIO), which was </w:t>
      </w:r>
      <w:r w:rsidRPr="0009160F">
        <w:rPr>
          <w:rStyle w:val="StyleUnderline"/>
        </w:rPr>
        <w:t>formed as a breakaway from the AFL in 1935 and generally tolerated the presence of communists and other leftists in its ranks, definitely had an internationalist outlook</w:t>
      </w:r>
      <w:r w:rsidRPr="0009160F">
        <w:rPr>
          <w:sz w:val="12"/>
        </w:rPr>
        <w:t xml:space="preserve"> and early on developed fraternal ties with left-leaning unions in Latin America and Europe. During World War II, the CIO continued this “labor diplomacy” by building relationships with the union federations of the other Allied countries, including the Soviet Union. Shortly after the war ended in 1945, the CIO and the labor federations of the Allied countries formed a kind of United Nations for labor called the World Federation of Trade Unions (WFTU). It was similar to the UN in that it brought communists and non-communists together in the name of international cooperation and anti-fascism. But the AFL’s vehemently anticommunist leaders refused to join the WFTU because they wanted nothing to do with the Soviet Union. This would be like if the United States refused to join the UN to protest its inclusion of communist countries. </w:t>
      </w:r>
    </w:p>
    <w:p w14:paraId="0C1F8F68" w14:textId="77777777" w:rsidR="00ED7E4B" w:rsidRPr="009D59F6" w:rsidRDefault="00ED7E4B" w:rsidP="00ED7E4B">
      <w:pPr>
        <w:rPr>
          <w:rStyle w:val="StyleUnderline"/>
        </w:rPr>
      </w:pPr>
      <w:r w:rsidRPr="0009160F">
        <w:rPr>
          <w:rStyle w:val="StyleUnderline"/>
        </w:rPr>
        <w:t>It was this Popular Front-style labor</w:t>
      </w:r>
      <w:r w:rsidRPr="005F2EB1">
        <w:rPr>
          <w:rStyle w:val="StyleUnderline"/>
        </w:rPr>
        <w:t xml:space="preserve"> internationalism, and the fact that the CIO was starting to eclipse the AFL on the world stage, that finally brought the </w:t>
      </w:r>
      <w:r w:rsidRPr="00FF3F4D">
        <w:rPr>
          <w:rStyle w:val="StyleUnderline"/>
        </w:rPr>
        <w:t>AFL out of its isolationism.</w:t>
      </w:r>
      <w:r w:rsidRPr="00FF3F4D">
        <w:rPr>
          <w:sz w:val="12"/>
        </w:rPr>
        <w:t xml:space="preserve"> Just as they had driven leftists from their own </w:t>
      </w:r>
      <w:r w:rsidRPr="00FF3F4D">
        <w:rPr>
          <w:sz w:val="12"/>
        </w:rPr>
        <w:lastRenderedPageBreak/>
        <w:t xml:space="preserve">ranks, AFL officials were determined to push communists out of foreign labor movements and kill the WFTU in its infancy. </w:t>
      </w:r>
      <w:r w:rsidRPr="00FF3F4D">
        <w:rPr>
          <w:rStyle w:val="StyleUnderline"/>
        </w:rPr>
        <w:t>The AFL started pushing for a Cold War confrontation between the US and USSR even before World War II was over and the two countries were still allies.</w:t>
      </w:r>
      <w:r w:rsidRPr="00FF3F4D">
        <w:rPr>
          <w:sz w:val="12"/>
        </w:rPr>
        <w:t xml:space="preserve"> As soon as the war ended, they sent representatives abroad to begin splitting foreign labor federations between c</w:t>
      </w:r>
      <w:r w:rsidRPr="0099042B">
        <w:rPr>
          <w:sz w:val="12"/>
        </w:rPr>
        <w:t xml:space="preserve">ommunists and anticommunists, eventually helping provoke a schism in the WFTU. </w:t>
      </w:r>
      <w:r w:rsidRPr="009D59F6">
        <w:rPr>
          <w:rStyle w:val="StyleUnderline"/>
        </w:rPr>
        <w:t xml:space="preserve">With </w:t>
      </w:r>
      <w:r w:rsidRPr="00B96BD1">
        <w:rPr>
          <w:rStyle w:val="StyleUnderline"/>
          <w:highlight w:val="green"/>
        </w:rPr>
        <w:t>the Red Scare</w:t>
      </w:r>
      <w:r w:rsidRPr="005F2EB1">
        <w:rPr>
          <w:rStyle w:val="StyleUnderline"/>
        </w:rPr>
        <w:t xml:space="preserve"> that began in the late 1940s, which </w:t>
      </w:r>
      <w:r w:rsidRPr="009D59F6">
        <w:rPr>
          <w:rStyle w:val="StyleUnderline"/>
          <w:highlight w:val="green"/>
        </w:rPr>
        <w:t>was</w:t>
      </w:r>
      <w:r w:rsidRPr="005F2EB1">
        <w:rPr>
          <w:rStyle w:val="StyleUnderline"/>
        </w:rPr>
        <w:t xml:space="preserve"> in many ways </w:t>
      </w:r>
      <w:r w:rsidRPr="00B96BD1">
        <w:rPr>
          <w:rStyle w:val="StyleUnderline"/>
          <w:highlight w:val="green"/>
        </w:rPr>
        <w:t xml:space="preserve">encouraged by the </w:t>
      </w:r>
      <w:r w:rsidRPr="007F68EC">
        <w:rPr>
          <w:rStyle w:val="Emphasis"/>
          <w:highlight w:val="green"/>
        </w:rPr>
        <w:t>AFL</w:t>
      </w:r>
      <w:r w:rsidRPr="00B96BD1">
        <w:rPr>
          <w:rStyle w:val="StyleUnderline"/>
          <w:highlight w:val="green"/>
        </w:rPr>
        <w:t xml:space="preserve">, </w:t>
      </w:r>
      <w:r w:rsidRPr="007F68EC">
        <w:rPr>
          <w:rStyle w:val="StyleUnderline"/>
        </w:rPr>
        <w:t xml:space="preserve">the </w:t>
      </w:r>
      <w:r w:rsidRPr="007F68EC">
        <w:rPr>
          <w:rStyle w:val="Emphasis"/>
          <w:highlight w:val="green"/>
        </w:rPr>
        <w:t>CIO</w:t>
      </w:r>
      <w:r w:rsidRPr="005F2EB1">
        <w:rPr>
          <w:rStyle w:val="StyleUnderline"/>
        </w:rPr>
        <w:t xml:space="preserve"> </w:t>
      </w:r>
      <w:r w:rsidRPr="009D59F6">
        <w:rPr>
          <w:rStyle w:val="StyleUnderline"/>
        </w:rPr>
        <w:t>broke from the WFTU and expelled its own communist-led affiliates. This anticommunist crusade became the basis of the AFL and later AFL-CIO’s foreign policy agenda for the next several decades, as I describe in the book. </w:t>
      </w:r>
    </w:p>
    <w:p w14:paraId="31CD3584" w14:textId="77777777" w:rsidR="00ED7E4B" w:rsidRPr="0099042B" w:rsidRDefault="00ED7E4B" w:rsidP="00ED7E4B">
      <w:pPr>
        <w:rPr>
          <w:sz w:val="12"/>
        </w:rPr>
      </w:pPr>
      <w:r w:rsidRPr="009D59F6">
        <w:rPr>
          <w:rStyle w:val="StyleUnderline"/>
        </w:rPr>
        <w:t>George Meany and Lane Kirkland, the two men who led the AFL-CIO from 1955-1995, were staunch anticommunists. You quote a congressional aide in the 1980s saying that "The AFL-CIO in</w:t>
      </w:r>
      <w:r w:rsidRPr="005F2EB1">
        <w:rPr>
          <w:rStyle w:val="StyleUnderline"/>
        </w:rPr>
        <w:t xml:space="preserve"> general </w:t>
      </w:r>
      <w:r w:rsidRPr="00B96BD1">
        <w:rPr>
          <w:rStyle w:val="StyleUnderline"/>
          <w:highlight w:val="green"/>
        </w:rPr>
        <w:t xml:space="preserve">has </w:t>
      </w:r>
      <w:r w:rsidRPr="00B96BD1">
        <w:rPr>
          <w:rStyle w:val="Emphasis"/>
          <w:sz w:val="24"/>
          <w:szCs w:val="24"/>
          <w:highlight w:val="green"/>
        </w:rPr>
        <w:t>foreign policy positions to the right of</w:t>
      </w:r>
      <w:r w:rsidRPr="005F2EB1">
        <w:rPr>
          <w:rStyle w:val="Emphasis"/>
          <w:sz w:val="24"/>
          <w:szCs w:val="24"/>
        </w:rPr>
        <w:t xml:space="preserve"> Ronald </w:t>
      </w:r>
      <w:r w:rsidRPr="00B96BD1">
        <w:rPr>
          <w:rStyle w:val="Emphasis"/>
          <w:sz w:val="24"/>
          <w:szCs w:val="24"/>
          <w:highlight w:val="green"/>
        </w:rPr>
        <w:t>Reagan</w:t>
      </w:r>
      <w:r w:rsidRPr="005F2EB1">
        <w:rPr>
          <w:rStyle w:val="StyleUnderline"/>
        </w:rPr>
        <w:t>."</w:t>
      </w:r>
      <w:r w:rsidRPr="0099042B">
        <w:rPr>
          <w:sz w:val="12"/>
        </w:rPr>
        <w:t xml:space="preserve"> Setting aside the immorality of things that these men supported, was there any real strategic gain for union members as a result of all those decades of the AFL-CIO aligning itself with the Cold War's mission? Or was it all just a reflection of those men's genuine anticommunist views? </w:t>
      </w:r>
    </w:p>
    <w:p w14:paraId="288ACD4A" w14:textId="77777777" w:rsidR="00ED7E4B" w:rsidRPr="005F2EB1" w:rsidRDefault="00ED7E4B" w:rsidP="00ED7E4B">
      <w:pPr>
        <w:rPr>
          <w:rStyle w:val="StyleUnderline"/>
        </w:rPr>
      </w:pPr>
      <w:r w:rsidRPr="0099042B">
        <w:rPr>
          <w:sz w:val="12"/>
        </w:rPr>
        <w:t xml:space="preserve">Schuhrke: One of my main arguments of the book, which I hope lands with trade unionists and labor advocates today, is that the AFL-CIO’s participation in the Cold War overseas wasn’t just immoral (which it was), but was also enormously detrimental to the U.S. labor movement itself. As I show in the book, </w:t>
      </w:r>
      <w:r w:rsidRPr="00D41C88">
        <w:rPr>
          <w:rStyle w:val="StyleUnderline"/>
        </w:rPr>
        <w:t>the AFL-</w:t>
      </w:r>
      <w:r w:rsidRPr="00126A35">
        <w:rPr>
          <w:rStyle w:val="StyleUnderline"/>
        </w:rPr>
        <w:t>CIO and its affiliated unions poured huge amounts of resources and energy into this global anticommunist crusade</w:t>
      </w:r>
      <w:r w:rsidRPr="00126A35">
        <w:rPr>
          <w:sz w:val="12"/>
        </w:rPr>
        <w:t>—more than I think a lot of folks realize—</w:t>
      </w:r>
      <w:r w:rsidRPr="00126A35">
        <w:rPr>
          <w:rStyle w:val="StyleUnderline"/>
        </w:rPr>
        <w:t>and yet what was the ultimate result? Ever declining union density, employment precarity, and a world dominated by multinational corporations and ravaged by war and climate chaos.</w:t>
      </w:r>
    </w:p>
    <w:p w14:paraId="6FF25C88" w14:textId="77777777" w:rsidR="00ED7E4B" w:rsidRPr="0099042B" w:rsidRDefault="00ED7E4B" w:rsidP="00ED7E4B">
      <w:pPr>
        <w:rPr>
          <w:sz w:val="12"/>
        </w:rPr>
      </w:pPr>
      <w:r w:rsidRPr="0099042B">
        <w:rPr>
          <w:sz w:val="12"/>
        </w:rPr>
        <w:t xml:space="preserve">But I don’t say that people like Meany and Kirkland were just plain stupid. An argument can be made that between the 1940s and late 1960s, </w:t>
      </w:r>
      <w:r w:rsidRPr="00B96BD1">
        <w:rPr>
          <w:rStyle w:val="StyleUnderline"/>
          <w:highlight w:val="green"/>
        </w:rPr>
        <w:t xml:space="preserve">the Cold War was beneficial to </w:t>
      </w:r>
      <w:r w:rsidRPr="00B96BD1">
        <w:rPr>
          <w:rStyle w:val="Emphasis"/>
          <w:highlight w:val="green"/>
        </w:rPr>
        <w:t>white, male workers</w:t>
      </w:r>
      <w:r w:rsidRPr="005F2EB1">
        <w:rPr>
          <w:rStyle w:val="StyleUnderline"/>
        </w:rPr>
        <w:t xml:space="preserve"> in manufacturing, whose industrial unions were the backbone of the U.S. labor movement in that time.</w:t>
      </w:r>
      <w:r w:rsidRPr="0099042B">
        <w:rPr>
          <w:sz w:val="12"/>
        </w:rPr>
        <w:t xml:space="preserve"> This was the period when the United States was the main exporter to the non-communist world and really dominated the global economy. As long as foreign countries remained integrated (and subservient) in this U.S.-managed economic order and didn’t “go communist,” unionized industrial workers in the United States ostensibly stood to benefit with secure jobs and good wages. The same can be said for labor’s stake in the military-industrial complex that first took root in those early Cold War decades.</w:t>
      </w:r>
    </w:p>
    <w:p w14:paraId="3FD4C6A4" w14:textId="77777777" w:rsidR="00ED7E4B" w:rsidRPr="000111F6" w:rsidRDefault="00ED7E4B" w:rsidP="00ED7E4B">
      <w:pPr>
        <w:rPr>
          <w:sz w:val="12"/>
        </w:rPr>
      </w:pPr>
      <w:r w:rsidRPr="005F2EB1">
        <w:rPr>
          <w:rStyle w:val="StyleUnderline"/>
        </w:rPr>
        <w:t xml:space="preserve">Of course, </w:t>
      </w:r>
      <w:r w:rsidRPr="00B96BD1">
        <w:rPr>
          <w:rStyle w:val="StyleUnderline"/>
          <w:highlight w:val="green"/>
        </w:rPr>
        <w:t>millions</w:t>
      </w:r>
      <w:r w:rsidRPr="005F2EB1">
        <w:rPr>
          <w:rStyle w:val="StyleUnderline"/>
        </w:rPr>
        <w:t xml:space="preserve"> of U.S. workers </w:t>
      </w:r>
      <w:r w:rsidRPr="00B96BD1">
        <w:rPr>
          <w:rStyle w:val="StyleUnderline"/>
          <w:highlight w:val="green"/>
        </w:rPr>
        <w:t xml:space="preserve">didn’t fit into this calculation. Workers of color, women, </w:t>
      </w:r>
      <w:r w:rsidRPr="00485D6F">
        <w:rPr>
          <w:rStyle w:val="StyleUnderline"/>
        </w:rPr>
        <w:t>farmworkers</w:t>
      </w:r>
      <w:r w:rsidRPr="005F2EB1">
        <w:rPr>
          <w:rStyle w:val="StyleUnderline"/>
        </w:rPr>
        <w:t xml:space="preserve">, </w:t>
      </w:r>
      <w:r w:rsidRPr="000111F6">
        <w:rPr>
          <w:rStyle w:val="StyleUnderline"/>
        </w:rPr>
        <w:t xml:space="preserve">public sector workers, healthcare workers, other service sector workers weren’t particularly benefiting from the Cold War. </w:t>
      </w:r>
      <w:r w:rsidRPr="000111F6">
        <w:rPr>
          <w:sz w:val="12"/>
        </w:rPr>
        <w:t>And the fact that the left-led unions were being shunned and raided as a result of anticommunist hysteria only made things worse because they were the same unions that were the most dedicated to organizing these more marginalized groups of workers.</w:t>
      </w:r>
    </w:p>
    <w:p w14:paraId="60D5575F" w14:textId="77777777" w:rsidR="00ED7E4B" w:rsidRPr="00234CA3" w:rsidRDefault="00ED7E4B" w:rsidP="00ED7E4B">
      <w:pPr>
        <w:rPr>
          <w:sz w:val="12"/>
        </w:rPr>
      </w:pPr>
      <w:r w:rsidRPr="000111F6">
        <w:rPr>
          <w:rStyle w:val="StyleUnderline"/>
        </w:rPr>
        <w:t>By the 1970s, as the global political economy began falling out of favor for American industrial workers and U.S. corporations increasingly looked to automation and outsourcing, it becomes harder to see how the Cold War was doing much to benefit even the relatively more privileged strata of union members.</w:t>
      </w:r>
      <w:r w:rsidRPr="000111F6">
        <w:rPr>
          <w:sz w:val="12"/>
        </w:rPr>
        <w:t xml:space="preserve"> But most of labor officialdom was too complacent, too chummy with the establishment, and didn’t fully understand the urgency of the moment. Many of these guys thought they could carry on with business as usual, including continuing to blindly back the Cold War. That’s partly why in this period you start to see rank-and-file rebellions break out in unions like the UAW, United Steelworkers, and Teamsters. The younger generation of unionists saw the writing on the wall and were trying to get top officials to switch gears, to be more militant, and this included pointed </w:t>
      </w:r>
      <w:r w:rsidRPr="00234CA3">
        <w:rPr>
          <w:sz w:val="12"/>
        </w:rPr>
        <w:t>criticisms of labor’s anticommunist foreign intrigues.</w:t>
      </w:r>
    </w:p>
    <w:p w14:paraId="7385B086" w14:textId="77777777" w:rsidR="00ED7E4B" w:rsidRPr="0099042B" w:rsidRDefault="00ED7E4B" w:rsidP="00ED7E4B">
      <w:pPr>
        <w:rPr>
          <w:sz w:val="12"/>
        </w:rPr>
      </w:pPr>
      <w:r w:rsidRPr="00234CA3">
        <w:rPr>
          <w:sz w:val="12"/>
        </w:rPr>
        <w:t xml:space="preserve">And </w:t>
      </w:r>
      <w:r w:rsidRPr="00234CA3">
        <w:rPr>
          <w:rStyle w:val="StyleUnderline"/>
        </w:rPr>
        <w:t>yet</w:t>
      </w:r>
      <w:r w:rsidRPr="00234CA3">
        <w:rPr>
          <w:sz w:val="12"/>
        </w:rPr>
        <w:t xml:space="preserve"> in this period, </w:t>
      </w:r>
      <w:r w:rsidRPr="00234CA3">
        <w:rPr>
          <w:rStyle w:val="StyleUnderline"/>
        </w:rPr>
        <w:t>the AFL-CIO only doubled down on its anticommunism.</w:t>
      </w:r>
      <w:r w:rsidRPr="00234CA3">
        <w:rPr>
          <w:sz w:val="12"/>
        </w:rPr>
        <w:t xml:space="preserve"> This gets to another way that high-ranking officials like Meany and Kirkland believed supporting the Cold War was good for their members. A</w:t>
      </w:r>
      <w:r w:rsidRPr="00234CA3">
        <w:rPr>
          <w:rStyle w:val="StyleUnderline"/>
        </w:rPr>
        <w:t>fter decades of state repression against unions in the late nineteenth and early twentieth centuries, and after winning limited gains by pledging not to strike during the two world wars, many union officials came to believe that the best path forward for organized labor was to demonstrate patriotism, loyalty, and animosity toward foreign enemies.</w:t>
      </w:r>
      <w:r w:rsidRPr="00234CA3">
        <w:rPr>
          <w:sz w:val="12"/>
        </w:rPr>
        <w:t xml:space="preserve"> A lot of AFL-CIO leaders</w:t>
      </w:r>
      <w:r w:rsidRPr="0099042B">
        <w:rPr>
          <w:sz w:val="12"/>
        </w:rPr>
        <w:t xml:space="preserve"> were convinced that one of the most important things they could do was show off their jingoism. And I think many of them internalized this, which is why it continued amid global economic restructuring and deindustrialization from the 1970s onward.</w:t>
      </w:r>
    </w:p>
    <w:p w14:paraId="6AD1FCCA" w14:textId="77777777" w:rsidR="00ED7E4B" w:rsidRPr="005F2EB1" w:rsidRDefault="00ED7E4B" w:rsidP="00ED7E4B">
      <w:pPr>
        <w:rPr>
          <w:rStyle w:val="StyleUnderline"/>
        </w:rPr>
      </w:pPr>
      <w:r w:rsidRPr="0099042B">
        <w:rPr>
          <w:sz w:val="12"/>
        </w:rPr>
        <w:t xml:space="preserve">Interestingly enough, </w:t>
      </w:r>
      <w:r w:rsidRPr="00B96BD1">
        <w:rPr>
          <w:rStyle w:val="StyleUnderline"/>
          <w:highlight w:val="green"/>
        </w:rPr>
        <w:t xml:space="preserve">we </w:t>
      </w:r>
      <w:r w:rsidRPr="00234CA3">
        <w:rPr>
          <w:rStyle w:val="Emphasis"/>
          <w:highlight w:val="green"/>
        </w:rPr>
        <w:t>just saw</w:t>
      </w:r>
      <w:r w:rsidRPr="00B96BD1">
        <w:rPr>
          <w:rStyle w:val="StyleUnderline"/>
          <w:highlight w:val="green"/>
        </w:rPr>
        <w:t xml:space="preserve"> an example</w:t>
      </w:r>
      <w:r w:rsidRPr="005F2EB1">
        <w:rPr>
          <w:rStyle w:val="StyleUnderline"/>
        </w:rPr>
        <w:t xml:space="preserve"> of this last week </w:t>
      </w:r>
      <w:r w:rsidRPr="00D76425">
        <w:rPr>
          <w:rStyle w:val="StyleUnderline"/>
        </w:rPr>
        <w:t xml:space="preserve">with </w:t>
      </w:r>
      <w:r w:rsidRPr="00B96BD1">
        <w:rPr>
          <w:rStyle w:val="StyleUnderline"/>
          <w:highlight w:val="green"/>
        </w:rPr>
        <w:t>the</w:t>
      </w:r>
      <w:r w:rsidRPr="005F2EB1">
        <w:rPr>
          <w:rStyle w:val="StyleUnderline"/>
        </w:rPr>
        <w:t xml:space="preserve"> International Longshoremen’s Association (</w:t>
      </w:r>
      <w:r w:rsidRPr="00B96BD1">
        <w:rPr>
          <w:rStyle w:val="StyleUnderline"/>
          <w:highlight w:val="green"/>
        </w:rPr>
        <w:t>ILA</w:t>
      </w:r>
      <w:r w:rsidRPr="005F2EB1">
        <w:rPr>
          <w:rStyle w:val="StyleUnderline"/>
        </w:rPr>
        <w:t>) strike. On the first day of the work stoppage</w:t>
      </w:r>
      <w:r w:rsidRPr="006C61D6">
        <w:rPr>
          <w:rStyle w:val="StyleUnderline"/>
        </w:rPr>
        <w:t xml:space="preserve">, the union </w:t>
      </w:r>
      <w:r w:rsidRPr="00B96BD1">
        <w:rPr>
          <w:rStyle w:val="StyleUnderline"/>
          <w:highlight w:val="green"/>
        </w:rPr>
        <w:t>issued a</w:t>
      </w:r>
      <w:r w:rsidRPr="005F2EB1">
        <w:rPr>
          <w:rStyle w:val="StyleUnderline"/>
        </w:rPr>
        <w:t xml:space="preserve"> public </w:t>
      </w:r>
      <w:r w:rsidRPr="00B96BD1">
        <w:rPr>
          <w:rStyle w:val="StyleUnderline"/>
          <w:highlight w:val="green"/>
        </w:rPr>
        <w:t>statement promising</w:t>
      </w:r>
      <w:r w:rsidRPr="005F2EB1">
        <w:rPr>
          <w:rStyle w:val="StyleUnderline"/>
        </w:rPr>
        <w:t xml:space="preserve"> that </w:t>
      </w:r>
      <w:r w:rsidRPr="00B96BD1">
        <w:rPr>
          <w:rStyle w:val="StyleUnderline"/>
          <w:highlight w:val="green"/>
        </w:rPr>
        <w:t>military shipments would not be affected</w:t>
      </w:r>
      <w:r w:rsidRPr="005F2EB1">
        <w:rPr>
          <w:rStyle w:val="StyleUnderline"/>
        </w:rPr>
        <w:t xml:space="preserve">, which meant that despite the strike, </w:t>
      </w:r>
      <w:r w:rsidRPr="00B96BD1">
        <w:rPr>
          <w:rStyle w:val="Emphasis"/>
          <w:sz w:val="24"/>
          <w:szCs w:val="24"/>
          <w:highlight w:val="green"/>
        </w:rPr>
        <w:t>ILA members would continue loading weapons</w:t>
      </w:r>
      <w:r w:rsidRPr="005F2EB1">
        <w:rPr>
          <w:rStyle w:val="Emphasis"/>
          <w:sz w:val="24"/>
          <w:szCs w:val="24"/>
        </w:rPr>
        <w:t xml:space="preserve"> presumably </w:t>
      </w:r>
      <w:r w:rsidRPr="00B96BD1">
        <w:rPr>
          <w:rStyle w:val="Emphasis"/>
          <w:sz w:val="24"/>
          <w:szCs w:val="24"/>
          <w:highlight w:val="green"/>
        </w:rPr>
        <w:t>bound for Israel to be used for slaughtering civilians</w:t>
      </w:r>
      <w:r w:rsidRPr="00B96BD1">
        <w:rPr>
          <w:rStyle w:val="StyleUnderline"/>
          <w:highlight w:val="green"/>
        </w:rPr>
        <w:t>.</w:t>
      </w:r>
      <w:r w:rsidRPr="00B96BD1">
        <w:rPr>
          <w:sz w:val="12"/>
          <w:highlight w:val="green"/>
        </w:rPr>
        <w:t xml:space="preserve"> </w:t>
      </w:r>
      <w:r w:rsidRPr="00B96BD1">
        <w:rPr>
          <w:rStyle w:val="StyleUnderline"/>
          <w:highlight w:val="green"/>
        </w:rPr>
        <w:lastRenderedPageBreak/>
        <w:t xml:space="preserve">The statement bragged that </w:t>
      </w:r>
      <w:r w:rsidRPr="00FB0308">
        <w:rPr>
          <w:rStyle w:val="Emphasis"/>
          <w:sz w:val="36"/>
          <w:szCs w:val="36"/>
          <w:highlight w:val="green"/>
        </w:rPr>
        <w:t>ILA also stands for “I Love America.”</w:t>
      </w:r>
      <w:r w:rsidRPr="0099042B">
        <w:rPr>
          <w:sz w:val="12"/>
        </w:rPr>
        <w:t xml:space="preserve"> A lot of folks, myself included, were horrified and disappointed by this despite supporting the strike. But it demonstrates what I’m talking about. If the ILA had also struck military cargo, whether for moral reasons or just as part of their broader strike of commercial goods, it would have almost certainly invited the wrath of the federal government. President Biden resisted pressure to break the strike through a Taft-Hartley injunction, but I highly doubt he would’ve been so lenient if the union had decided to impede arms shipments. I’m not trying to defend the ILA’s decision here—</w:t>
      </w:r>
      <w:r w:rsidRPr="00EC7F7F">
        <w:rPr>
          <w:rStyle w:val="StyleUnderline"/>
        </w:rPr>
        <w:t>I des</w:t>
      </w:r>
      <w:r w:rsidRPr="008C2CB9">
        <w:rPr>
          <w:rStyle w:val="StyleUnderline"/>
        </w:rPr>
        <w:t xml:space="preserve">perately want </w:t>
      </w:r>
      <w:r w:rsidRPr="00B96BD1">
        <w:rPr>
          <w:rStyle w:val="StyleUnderline"/>
          <w:highlight w:val="green"/>
        </w:rPr>
        <w:t>a labor movement that is</w:t>
      </w:r>
      <w:r w:rsidRPr="005F2EB1">
        <w:rPr>
          <w:rStyle w:val="StyleUnderline"/>
        </w:rPr>
        <w:t xml:space="preserve"> both strong enough and </w:t>
      </w:r>
      <w:r w:rsidRPr="008C2CB9">
        <w:rPr>
          <w:rStyle w:val="Emphasis"/>
          <w:highlight w:val="green"/>
        </w:rPr>
        <w:t>principled</w:t>
      </w:r>
      <w:r w:rsidRPr="00B96BD1">
        <w:rPr>
          <w:rStyle w:val="StyleUnderline"/>
          <w:highlight w:val="green"/>
        </w:rPr>
        <w:t xml:space="preserve"> enough to</w:t>
      </w:r>
      <w:r w:rsidRPr="005F2EB1">
        <w:rPr>
          <w:rStyle w:val="StyleUnderline"/>
        </w:rPr>
        <w:t xml:space="preserve"> always </w:t>
      </w:r>
      <w:r w:rsidRPr="008C2CB9">
        <w:rPr>
          <w:rStyle w:val="Emphasis"/>
          <w:highlight w:val="green"/>
        </w:rPr>
        <w:t>do what’s right</w:t>
      </w:r>
      <w:r w:rsidRPr="00EC7F7F">
        <w:rPr>
          <w:rStyle w:val="StyleUnderline"/>
        </w:rPr>
        <w:t>—but</w:t>
      </w:r>
      <w:r w:rsidRPr="00B96BD1">
        <w:rPr>
          <w:rStyle w:val="StyleUnderline"/>
          <w:highlight w:val="green"/>
        </w:rPr>
        <w:t xml:space="preserve"> </w:t>
      </w:r>
      <w:r w:rsidRPr="00B96BD1">
        <w:rPr>
          <w:rStyle w:val="Emphasis"/>
          <w:sz w:val="24"/>
          <w:szCs w:val="24"/>
          <w:highlight w:val="green"/>
        </w:rPr>
        <w:t xml:space="preserve">that’s </w:t>
      </w:r>
      <w:r w:rsidRPr="005F2EB1">
        <w:rPr>
          <w:rStyle w:val="Emphasis"/>
          <w:sz w:val="24"/>
          <w:szCs w:val="24"/>
        </w:rPr>
        <w:t xml:space="preserve">sadly </w:t>
      </w:r>
      <w:r w:rsidRPr="00B50026">
        <w:rPr>
          <w:rStyle w:val="Emphasis"/>
          <w:sz w:val="36"/>
          <w:szCs w:val="36"/>
          <w:highlight w:val="green"/>
        </w:rPr>
        <w:t>not the kind of labor movement we have in the U.S</w:t>
      </w:r>
      <w:r w:rsidRPr="00B96BD1">
        <w:rPr>
          <w:rStyle w:val="StyleUnderline"/>
          <w:highlight w:val="green"/>
        </w:rPr>
        <w:t>.</w:t>
      </w:r>
    </w:p>
    <w:p w14:paraId="439D6F2B" w14:textId="77777777" w:rsidR="001D3019" w:rsidRPr="001D3019" w:rsidRDefault="001D3019" w:rsidP="001D3019"/>
    <w:p w14:paraId="16F56D10" w14:textId="77777777" w:rsidR="00ED7E4B" w:rsidRPr="00995AC7" w:rsidRDefault="00ED7E4B" w:rsidP="00ED7E4B">
      <w:pPr>
        <w:pStyle w:val="Heading4"/>
      </w:pPr>
      <w:r>
        <w:t>The plan will get circumvented—laundry list of methods:</w:t>
      </w:r>
    </w:p>
    <w:p w14:paraId="6065B9DB" w14:textId="77777777" w:rsidR="00ED7E4B" w:rsidRDefault="00ED7E4B" w:rsidP="00ED7E4B">
      <w:pPr>
        <w:pStyle w:val="Heading4"/>
      </w:pPr>
      <w:r>
        <w:t>1—Narrowing: Courts will just narrow the scope of decisions they don’t like which short circuits their restraint internal link.</w:t>
      </w:r>
    </w:p>
    <w:p w14:paraId="3997E57E" w14:textId="77777777" w:rsidR="00ED7E4B" w:rsidRDefault="00ED7E4B" w:rsidP="00ED7E4B">
      <w:pPr>
        <w:rPr>
          <w:rStyle w:val="Style13ptBold"/>
          <w:b w:val="0"/>
          <w:bCs w:val="0"/>
          <w:sz w:val="20"/>
          <w:szCs w:val="20"/>
        </w:rPr>
      </w:pPr>
      <w:r w:rsidRPr="0041766A">
        <w:rPr>
          <w:rStyle w:val="Style13ptBold"/>
          <w:sz w:val="20"/>
          <w:szCs w:val="20"/>
        </w:rPr>
        <w:t xml:space="preserve">Richard M. </w:t>
      </w:r>
      <w:r w:rsidRPr="000D54EA">
        <w:rPr>
          <w:rStyle w:val="Style13ptBold"/>
          <w:szCs w:val="26"/>
        </w:rPr>
        <w:t>Re</w:t>
      </w:r>
      <w:r w:rsidRPr="0041766A">
        <w:rPr>
          <w:rStyle w:val="Style13ptBold"/>
          <w:sz w:val="20"/>
          <w:szCs w:val="20"/>
        </w:rPr>
        <w:t>, Legal scholarship highlight: When lower courts don’t follow Supreme Court precedent, SCOTUSblog (Oct. 18, 20</w:t>
      </w:r>
      <w:r w:rsidRPr="000D54EA">
        <w:rPr>
          <w:rStyle w:val="Style13ptBold"/>
          <w:szCs w:val="26"/>
        </w:rPr>
        <w:t>16</w:t>
      </w:r>
      <w:r w:rsidRPr="0041766A">
        <w:rPr>
          <w:rStyle w:val="Style13ptBold"/>
          <w:sz w:val="20"/>
          <w:szCs w:val="20"/>
        </w:rPr>
        <w:t xml:space="preserve">, 12:00 AM), </w:t>
      </w:r>
      <w:hyperlink r:id="rId9" w:history="1">
        <w:r w:rsidRPr="0041766A">
          <w:rPr>
            <w:rStyle w:val="Style13ptBold"/>
            <w:sz w:val="20"/>
            <w:szCs w:val="20"/>
          </w:rPr>
          <w:t>https://www.scotusblog.com/2016/10/legal-scholarship-highlight-when-lower-courts-dont-follow-supreme-court-precedent/</w:t>
        </w:r>
      </w:hyperlink>
      <w:r w:rsidRPr="0041766A">
        <w:rPr>
          <w:rStyle w:val="Style13ptBold"/>
          <w:sz w:val="20"/>
          <w:szCs w:val="20"/>
        </w:rPr>
        <w:t xml:space="preserve"> [Richard M. Re is a Professor of Law at Harvard Law School. His primary research and teaching interests are in constitutional law, federal courts, and criminal procedure. He was professor of the year when teaching at UCLA in 2017, gave the charge to the class of 2024 while at UVA, and received the Charles Fried Award while visiting at Harvard Law School. Re’s work has appeared or been featured in the New York Times, Wall Street Journal, Washington Post, and elsewhere.]</w:t>
      </w:r>
      <w:r>
        <w:rPr>
          <w:rStyle w:val="Style13ptBold"/>
          <w:sz w:val="20"/>
          <w:szCs w:val="20"/>
        </w:rPr>
        <w:t xml:space="preserve"> //Nate</w:t>
      </w:r>
    </w:p>
    <w:p w14:paraId="134BF1EF" w14:textId="77777777" w:rsidR="00ED7E4B" w:rsidRPr="00101F9F" w:rsidRDefault="00ED7E4B" w:rsidP="00ED7E4B">
      <w:pPr>
        <w:rPr>
          <w:szCs w:val="24"/>
          <w:u w:val="single"/>
        </w:rPr>
      </w:pPr>
      <w:r w:rsidRPr="00101F9F">
        <w:rPr>
          <w:sz w:val="16"/>
          <w:szCs w:val="24"/>
        </w:rPr>
        <w:t xml:space="preserve">To account for the complex role of Supreme Court precedent, we need a concept that lies between overruling and following higher-court rulings. In </w:t>
      </w:r>
      <w:hyperlink r:id="rId10" w:history="1">
        <w:r w:rsidRPr="00000151">
          <w:rPr>
            <w:rStyle w:val="Hyperlink"/>
            <w:sz w:val="20"/>
            <w:szCs w:val="20"/>
          </w:rPr>
          <w:t>a recent paper</w:t>
        </w:r>
      </w:hyperlink>
      <w:r w:rsidRPr="00000151">
        <w:rPr>
          <w:sz w:val="20"/>
          <w:szCs w:val="20"/>
        </w:rPr>
        <w:t>,</w:t>
      </w:r>
      <w:r w:rsidRPr="00101F9F">
        <w:rPr>
          <w:sz w:val="16"/>
          <w:szCs w:val="24"/>
        </w:rPr>
        <w:t xml:space="preserve"> I tried to address that need by introducing the idea of </w:t>
      </w:r>
      <w:r w:rsidRPr="00BE0AEF">
        <w:rPr>
          <w:szCs w:val="24"/>
          <w:u w:val="single"/>
        </w:rPr>
        <w:t>“</w:t>
      </w:r>
      <w:r w:rsidRPr="00000151">
        <w:rPr>
          <w:szCs w:val="24"/>
          <w:highlight w:val="yellow"/>
          <w:u w:val="single"/>
        </w:rPr>
        <w:t>narrowing</w:t>
      </w:r>
      <w:r w:rsidRPr="00BE0AEF">
        <w:rPr>
          <w:szCs w:val="24"/>
          <w:u w:val="single"/>
        </w:rPr>
        <w:t xml:space="preserve"> from below,” or </w:t>
      </w:r>
      <w:r w:rsidRPr="00000151">
        <w:rPr>
          <w:szCs w:val="24"/>
          <w:highlight w:val="yellow"/>
          <w:u w:val="single"/>
        </w:rPr>
        <w:t>constru</w:t>
      </w:r>
      <w:r w:rsidRPr="00BE0AEF">
        <w:rPr>
          <w:szCs w:val="24"/>
          <w:u w:val="single"/>
        </w:rPr>
        <w:t xml:space="preserve">ing </w:t>
      </w:r>
      <w:r w:rsidRPr="00000151">
        <w:rPr>
          <w:szCs w:val="24"/>
          <w:highlight w:val="yellow"/>
          <w:u w:val="single"/>
        </w:rPr>
        <w:t>the scope of a higher-court precedent in a way that is more limited</w:t>
      </w:r>
      <w:r w:rsidRPr="00101F9F">
        <w:rPr>
          <w:sz w:val="16"/>
          <w:szCs w:val="24"/>
        </w:rPr>
        <w:t xml:space="preserve"> than the best available reading. Narrowing is an interpretive activity. Rather than recognizing that a precedent has a certain scope and then overriding it based on a deeper source of law, as occurs in </w:t>
      </w:r>
      <w:r w:rsidRPr="00B9593C">
        <w:rPr>
          <w:sz w:val="16"/>
          <w:szCs w:val="24"/>
        </w:rPr>
        <w:t xml:space="preserve">overruling, </w:t>
      </w:r>
      <w:r w:rsidRPr="00B9593C">
        <w:rPr>
          <w:szCs w:val="24"/>
          <w:u w:val="single"/>
        </w:rPr>
        <w:t>narrowing construes the higher-court precedent not to apply in the first</w:t>
      </w:r>
      <w:r w:rsidRPr="00BE0AEF">
        <w:rPr>
          <w:szCs w:val="24"/>
          <w:u w:val="single"/>
        </w:rPr>
        <w:t xml:space="preserve"> place.</w:t>
      </w:r>
      <w:r w:rsidRPr="00101F9F">
        <w:rPr>
          <w:sz w:val="16"/>
          <w:szCs w:val="24"/>
        </w:rPr>
        <w:t xml:space="preserve"> Of course</w:t>
      </w:r>
      <w:r w:rsidRPr="00101F9F">
        <w:rPr>
          <w:szCs w:val="24"/>
          <w:u w:val="single"/>
        </w:rPr>
        <w:t xml:space="preserve">, narrowing from below can still </w:t>
      </w:r>
      <w:r w:rsidRPr="00000151">
        <w:rPr>
          <w:szCs w:val="24"/>
          <w:highlight w:val="yellow"/>
          <w:u w:val="single"/>
        </w:rPr>
        <w:t xml:space="preserve">pose a substantial challenge to the </w:t>
      </w:r>
      <w:r w:rsidRPr="00B9593C">
        <w:rPr>
          <w:szCs w:val="24"/>
          <w:u w:val="single"/>
        </w:rPr>
        <w:t>Supreme</w:t>
      </w:r>
      <w:r w:rsidRPr="00000151">
        <w:rPr>
          <w:szCs w:val="24"/>
          <w:highlight w:val="yellow"/>
          <w:u w:val="single"/>
        </w:rPr>
        <w:t xml:space="preserve"> Court’s authority,</w:t>
      </w:r>
      <w:r w:rsidRPr="00101F9F">
        <w:rPr>
          <w:szCs w:val="24"/>
          <w:u w:val="single"/>
        </w:rPr>
        <w:t xml:space="preserve"> as well as a risk of disuniformity</w:t>
      </w:r>
      <w:r w:rsidRPr="00101F9F">
        <w:rPr>
          <w:sz w:val="16"/>
          <w:szCs w:val="24"/>
        </w:rPr>
        <w:t xml:space="preserve">. So when Supreme Court precedent is relevantly clear, narrowing from below is generally no more legitimate than overruling from below. But when Supreme Court precedent is relevantly ambiguous, then narrowing is often legitimate, even though it means not adhering to the best available reading of precedent. The high court, after all, isn’t the only source of law relevant to lower courts. When dealing with unclear case law, lower courts are often justified in erring on the side of their own first-principles views of the constitutional or other law at issue. Indeed, the </w:t>
      </w:r>
      <w:r w:rsidRPr="00B9593C">
        <w:rPr>
          <w:szCs w:val="24"/>
          <w:u w:val="single"/>
        </w:rPr>
        <w:t xml:space="preserve">Supreme Court’s </w:t>
      </w:r>
      <w:r w:rsidRPr="00000151">
        <w:rPr>
          <w:szCs w:val="24"/>
          <w:highlight w:val="yellow"/>
          <w:u w:val="single"/>
        </w:rPr>
        <w:t>decision to issue unclear precedent can be understood as a kind of delegation to lower courts</w:t>
      </w:r>
      <w:r w:rsidRPr="00BE0AEF">
        <w:rPr>
          <w:szCs w:val="24"/>
          <w:u w:val="single"/>
        </w:rPr>
        <w:t>, authorizing them to make adjustments in light of their own distinctive knowledge and opinions</w:t>
      </w:r>
      <w:r w:rsidRPr="00101F9F">
        <w:rPr>
          <w:sz w:val="16"/>
          <w:szCs w:val="24"/>
        </w:rPr>
        <w:t xml:space="preserve">. And when the court’s precedent is unclear, affected parties usually know not to rely too strongly on what seems like the best available reading. Once you know what to look for, </w:t>
      </w:r>
      <w:r w:rsidRPr="00000151">
        <w:rPr>
          <w:szCs w:val="24"/>
          <w:highlight w:val="yellow"/>
          <w:u w:val="single"/>
        </w:rPr>
        <w:t xml:space="preserve">narrowing </w:t>
      </w:r>
      <w:r w:rsidRPr="00B9593C">
        <w:rPr>
          <w:szCs w:val="24"/>
          <w:u w:val="single"/>
        </w:rPr>
        <w:t>from below</w:t>
      </w:r>
      <w:r w:rsidRPr="00000151">
        <w:rPr>
          <w:szCs w:val="24"/>
          <w:highlight w:val="yellow"/>
          <w:u w:val="single"/>
        </w:rPr>
        <w:t xml:space="preserve"> is </w:t>
      </w:r>
      <w:r w:rsidRPr="00B9593C">
        <w:rPr>
          <w:szCs w:val="24"/>
          <w:u w:val="single"/>
        </w:rPr>
        <w:t xml:space="preserve">fairly </w:t>
      </w:r>
      <w:r w:rsidRPr="00000151">
        <w:rPr>
          <w:szCs w:val="24"/>
          <w:highlight w:val="yellow"/>
          <w:u w:val="single"/>
        </w:rPr>
        <w:t>easy to find.</w:t>
      </w:r>
      <w:r w:rsidRPr="00BE0AEF">
        <w:rPr>
          <w:szCs w:val="24"/>
          <w:u w:val="single"/>
        </w:rPr>
        <w:t xml:space="preserve"> Take</w:t>
      </w:r>
      <w:r w:rsidRPr="00101F9F">
        <w:rPr>
          <w:sz w:val="16"/>
          <w:szCs w:val="24"/>
        </w:rPr>
        <w:t xml:space="preserve"> the court’s Second Amendment jurisprudence. </w:t>
      </w:r>
      <w:hyperlink r:id="rId11" w:history="1">
        <w:r w:rsidRPr="00000151">
          <w:rPr>
            <w:rStyle w:val="Hyperlink"/>
            <w:i/>
            <w:iCs/>
            <w:szCs w:val="24"/>
            <w:highlight w:val="yellow"/>
          </w:rPr>
          <w:t>D</w:t>
        </w:r>
        <w:r w:rsidRPr="00BE0AEF">
          <w:rPr>
            <w:rStyle w:val="Hyperlink"/>
            <w:i/>
            <w:iCs/>
            <w:szCs w:val="24"/>
          </w:rPr>
          <w:t xml:space="preserve">istrict of </w:t>
        </w:r>
        <w:r w:rsidRPr="00000151">
          <w:rPr>
            <w:rStyle w:val="Hyperlink"/>
            <w:i/>
            <w:iCs/>
            <w:szCs w:val="24"/>
            <w:highlight w:val="yellow"/>
          </w:rPr>
          <w:t>C</w:t>
        </w:r>
        <w:r w:rsidRPr="00BE0AEF">
          <w:rPr>
            <w:rStyle w:val="Hyperlink"/>
            <w:i/>
            <w:iCs/>
            <w:szCs w:val="24"/>
          </w:rPr>
          <w:t xml:space="preserve">olumbia </w:t>
        </w:r>
        <w:r w:rsidRPr="00000151">
          <w:rPr>
            <w:rStyle w:val="Hyperlink"/>
            <w:i/>
            <w:iCs/>
            <w:szCs w:val="24"/>
            <w:highlight w:val="yellow"/>
          </w:rPr>
          <w:t>v. Heller</w:t>
        </w:r>
      </w:hyperlink>
      <w:r w:rsidRPr="00101F9F">
        <w:rPr>
          <w:sz w:val="16"/>
          <w:szCs w:val="24"/>
        </w:rPr>
        <w:t xml:space="preserve">, in which the court </w:t>
      </w:r>
      <w:r w:rsidRPr="00000151">
        <w:rPr>
          <w:szCs w:val="24"/>
          <w:highlight w:val="yellow"/>
          <w:u w:val="single"/>
        </w:rPr>
        <w:t>struck down a law banning handguns,</w:t>
      </w:r>
      <w:r w:rsidRPr="00BE0AEF">
        <w:rPr>
          <w:szCs w:val="24"/>
          <w:u w:val="single"/>
        </w:rPr>
        <w:t xml:space="preserve"> seemed to establish a fairly rigid historical test for Second Amendment claims</w:t>
      </w:r>
      <w:r w:rsidRPr="00101F9F">
        <w:rPr>
          <w:sz w:val="16"/>
          <w:szCs w:val="24"/>
        </w:rPr>
        <w:t xml:space="preserve">, prompting Justice John Paul Stevens’s four-justice dissent to “fear that the District’s policy choice may well be just the first of an unknown number of dominoes to be knocked off the table.” But very few dominoes ever fell, with the thanks (or blame) going to the </w:t>
      </w:r>
      <w:r w:rsidRPr="00000151">
        <w:rPr>
          <w:szCs w:val="24"/>
          <w:highlight w:val="yellow"/>
          <w:u w:val="single"/>
        </w:rPr>
        <w:t>lower courts</w:t>
      </w:r>
      <w:r w:rsidRPr="00101F9F">
        <w:rPr>
          <w:sz w:val="16"/>
          <w:szCs w:val="24"/>
        </w:rPr>
        <w:t xml:space="preserve"> that </w:t>
      </w:r>
      <w:r w:rsidRPr="00000151">
        <w:rPr>
          <w:szCs w:val="24"/>
          <w:highlight w:val="yellow"/>
          <w:u w:val="single"/>
        </w:rPr>
        <w:t xml:space="preserve">quickly tamed </w:t>
      </w:r>
      <w:r w:rsidRPr="00000151">
        <w:rPr>
          <w:i/>
          <w:iCs/>
          <w:szCs w:val="24"/>
          <w:highlight w:val="yellow"/>
          <w:u w:val="single"/>
        </w:rPr>
        <w:t>Heller</w:t>
      </w:r>
      <w:r w:rsidRPr="00000151">
        <w:rPr>
          <w:szCs w:val="24"/>
          <w:highlight w:val="yellow"/>
          <w:u w:val="single"/>
        </w:rPr>
        <w:t xml:space="preserve"> and curtailed its implications</w:t>
      </w:r>
      <w:r w:rsidRPr="00101F9F">
        <w:rPr>
          <w:sz w:val="16"/>
          <w:szCs w:val="24"/>
        </w:rPr>
        <w:t xml:space="preserve">. Recognizing this pattern in a Second Amendment case, Judge Alice Batchelder recently cited my paper on the subject in positing that </w:t>
      </w:r>
      <w:r w:rsidRPr="00101F9F">
        <w:rPr>
          <w:szCs w:val="24"/>
          <w:u w:val="single"/>
        </w:rPr>
        <w:t>“[i]t is the lower courts, both we and our sister circuits, that have … engag[ed] in ‘narrowing from below.'”</w:t>
      </w:r>
    </w:p>
    <w:p w14:paraId="638D2B86" w14:textId="77777777" w:rsidR="00ED7E4B" w:rsidRDefault="00ED7E4B" w:rsidP="00ED7E4B">
      <w:pPr>
        <w:pStyle w:val="Heading4"/>
        <w:rPr>
          <w:rStyle w:val="Style13ptBold"/>
          <w:b/>
          <w:bCs w:val="0"/>
          <w:szCs w:val="26"/>
        </w:rPr>
      </w:pPr>
      <w:r w:rsidRPr="00782703">
        <w:rPr>
          <w:rStyle w:val="Style13ptBold"/>
          <w:szCs w:val="26"/>
        </w:rPr>
        <w:lastRenderedPageBreak/>
        <w:t xml:space="preserve">2—Declaring Dicta: </w:t>
      </w:r>
      <w:r>
        <w:rPr>
          <w:rStyle w:val="Style13ptBold"/>
          <w:szCs w:val="26"/>
        </w:rPr>
        <w:t xml:space="preserve">Courts can determine that aspects of the ruling the aff establishes were unnecessary for reaching the conclusion of the case to avoid following them as precedent. </w:t>
      </w:r>
    </w:p>
    <w:p w14:paraId="39CB9B62" w14:textId="77777777" w:rsidR="00ED7E4B" w:rsidRPr="006135F1" w:rsidRDefault="00ED7E4B" w:rsidP="00ED7E4B">
      <w:r w:rsidRPr="008C2FBF">
        <w:rPr>
          <w:b/>
          <w:bCs/>
          <w:sz w:val="26"/>
          <w:szCs w:val="26"/>
        </w:rPr>
        <w:t>Holbrook</w:t>
      </w:r>
      <w:r w:rsidRPr="00DA3D3B">
        <w:t>, J. (20</w:t>
      </w:r>
      <w:r w:rsidRPr="008C2FBF">
        <w:rPr>
          <w:b/>
          <w:bCs/>
          <w:sz w:val="26"/>
          <w:szCs w:val="26"/>
        </w:rPr>
        <w:t>20</w:t>
      </w:r>
      <w:r w:rsidRPr="00DA3D3B">
        <w:t xml:space="preserve">, August 11). </w:t>
      </w:r>
      <w:r w:rsidRPr="00DA3D3B">
        <w:rPr>
          <w:i/>
          <w:iCs/>
        </w:rPr>
        <w:t>Holding or Dicta?</w:t>
      </w:r>
      <w:r w:rsidRPr="00DA3D3B">
        <w:t xml:space="preserve">. North Carolina Criminal Law. https://nccriminallaw.sog.unc.edu/2020/08/11/holding-or-dicta/ </w:t>
      </w:r>
      <w:r>
        <w:t>[</w:t>
      </w:r>
      <w:r w:rsidRPr="008C2FBF">
        <w:t>Jonathan Holbrook joined the School of Government in 2017 as the School’s first-ever Prosecutor Educator. Jonathan previously worked as a prosecutor for nearly ten years, both in state court with the Wake County District Attorney’s Office and in federal court with the U.S. Attorney’s Office for the Eastern District of North Carolina. Jonathan earned his B.A. from Northwestern University, and his J.D. with Honors from UNC Chapel Hill School of Law. Jonathan writes and updates legal entries for NC PRO, the new online criminal procedure resource for prosecutors, as well as the NC Criminal Law Blog, and he provides assistance, consultation, and training to prosecutors on a wide variety of issues.</w:t>
      </w:r>
      <w:r>
        <w:t>]//Nate</w:t>
      </w:r>
    </w:p>
    <w:p w14:paraId="5314C110" w14:textId="77777777" w:rsidR="00ED7E4B" w:rsidRPr="00530DB6" w:rsidRDefault="00ED7E4B" w:rsidP="00ED7E4B">
      <w:pPr>
        <w:rPr>
          <w:sz w:val="14"/>
        </w:rPr>
      </w:pPr>
      <w:r w:rsidRPr="00530DB6">
        <w:rPr>
          <w:sz w:val="14"/>
        </w:rPr>
        <w:t xml:space="preserve">At the time, I was lukewarm on the idea. </w:t>
      </w:r>
      <w:r w:rsidRPr="00F5416B">
        <w:rPr>
          <w:u w:val="single"/>
        </w:rPr>
        <w:t>Dicta are just the extraneous statements in a court opinion that are not part of the precedential holding.</w:t>
      </w:r>
      <w:r w:rsidRPr="00530DB6">
        <w:rPr>
          <w:sz w:val="14"/>
        </w:rPr>
        <w:t xml:space="preserve"> What else was there to say? But the question came back to my mind after I read </w:t>
      </w:r>
      <w:hyperlink r:id="rId12" w:history="1">
        <w:r w:rsidRPr="00530DB6">
          <w:rPr>
            <w:rStyle w:val="Hyperlink"/>
            <w:i/>
            <w:iCs/>
            <w:sz w:val="14"/>
          </w:rPr>
          <w:t>Chavez v. McFadden</w:t>
        </w:r>
      </w:hyperlink>
      <w:hyperlink r:id="rId13" w:history="1">
        <w:r w:rsidRPr="00530DB6">
          <w:rPr>
            <w:rStyle w:val="Hyperlink"/>
            <w:sz w:val="14"/>
          </w:rPr>
          <w:t>, __ N.C. __, 843 S.E.2d 139 (June 5, 2020)</w:t>
        </w:r>
      </w:hyperlink>
      <w:r w:rsidRPr="00530DB6">
        <w:rPr>
          <w:sz w:val="14"/>
        </w:rPr>
        <w:t xml:space="preserve">, where the state Supreme Court made a point of disavowing dicta in a related Court of Appeals decision, discussed </w:t>
      </w:r>
      <w:hyperlink r:id="rId14" w:history="1">
        <w:r w:rsidRPr="00530DB6">
          <w:rPr>
            <w:rStyle w:val="Hyperlink"/>
            <w:sz w:val="14"/>
          </w:rPr>
          <w:t>here</w:t>
        </w:r>
      </w:hyperlink>
      <w:r w:rsidRPr="00530DB6">
        <w:rPr>
          <w:sz w:val="14"/>
        </w:rPr>
        <w:t xml:space="preserve">. I began digging a little deeper, and discovered that my casual attitude towards dicta was predicted by an article written nearly seventy years ago: Dictum is one of the commonest yet least discussed of legal concepts. Every lawyer thinks he knows what it means, yet few lawyers think much more about it. […] The traditional view is that a </w:t>
      </w:r>
      <w:r w:rsidRPr="00B35A02">
        <w:rPr>
          <w:u w:val="single"/>
        </w:rPr>
        <w:t xml:space="preserve">dictum is a statement in an opinion not necessary to the decision of the case. </w:t>
      </w:r>
      <w:r w:rsidRPr="00530DB6">
        <w:rPr>
          <w:sz w:val="14"/>
        </w:rPr>
        <w:t>This means nothing. The only statement in an appellate opinion strictly necessary to the decision of the case is the order of the court. A quibble like this shows how useless the definition is. “</w:t>
      </w:r>
      <w:r w:rsidRPr="00530DB6">
        <w:rPr>
          <w:i/>
          <w:iCs/>
          <w:sz w:val="14"/>
        </w:rPr>
        <w:t>Dictum Revisited</w:t>
      </w:r>
      <w:r w:rsidRPr="00530DB6">
        <w:rPr>
          <w:sz w:val="14"/>
        </w:rPr>
        <w:t xml:space="preserve">,” 4 Stan. L. Rev. 509 (1952). So I decided to take a closer look at how we distinguish and classify dicta, and whether dicta have any value as precedent. It turns out that our theory and practice may not always line up. The Traditional Definitions It almost goes without saying that the precedential value of any case lies in its holding. Guidance in future cases comes from our appellate courts’ legal conclusions that </w:t>
      </w:r>
      <w:r w:rsidRPr="00530DB6">
        <w:rPr>
          <w:i/>
          <w:iCs/>
          <w:sz w:val="14"/>
        </w:rPr>
        <w:t>these</w:t>
      </w:r>
      <w:r w:rsidRPr="00530DB6">
        <w:rPr>
          <w:sz w:val="14"/>
        </w:rPr>
        <w:t xml:space="preserve"> are the elements of the offense, </w:t>
      </w:r>
      <w:r w:rsidRPr="00530DB6">
        <w:rPr>
          <w:i/>
          <w:iCs/>
          <w:sz w:val="14"/>
        </w:rPr>
        <w:t>that</w:t>
      </w:r>
      <w:r w:rsidRPr="00530DB6">
        <w:rPr>
          <w:sz w:val="14"/>
        </w:rPr>
        <w:t xml:space="preserve"> was a prejudicial error, or </w:t>
      </w:r>
      <w:r w:rsidRPr="00530DB6">
        <w:rPr>
          <w:i/>
          <w:iCs/>
          <w:sz w:val="14"/>
        </w:rPr>
        <w:t>this</w:t>
      </w:r>
      <w:r w:rsidRPr="00530DB6">
        <w:rPr>
          <w:sz w:val="14"/>
        </w:rPr>
        <w:t xml:space="preserve"> was an insufficient showing. See </w:t>
      </w:r>
      <w:r w:rsidRPr="00530DB6">
        <w:rPr>
          <w:i/>
          <w:iCs/>
          <w:sz w:val="14"/>
        </w:rPr>
        <w:t>State v. Howell</w:t>
      </w:r>
      <w:r w:rsidRPr="00530DB6">
        <w:rPr>
          <w:sz w:val="14"/>
        </w:rPr>
        <w:t xml:space="preserve">, 211 N.C. App. 613 (2011) (“The actual holdings of the relevant appellate opinions must be consulted”). </w:t>
      </w:r>
      <w:r w:rsidRPr="00166393">
        <w:rPr>
          <w:b/>
          <w:bCs/>
          <w:highlight w:val="yellow"/>
          <w:u w:val="single"/>
        </w:rPr>
        <w:t>Statements in an opinion</w:t>
      </w:r>
      <w:r w:rsidRPr="00B35A02">
        <w:rPr>
          <w:b/>
          <w:bCs/>
          <w:u w:val="single"/>
        </w:rPr>
        <w:t xml:space="preserve"> that fall </w:t>
      </w:r>
      <w:r w:rsidRPr="00166393">
        <w:rPr>
          <w:b/>
          <w:bCs/>
          <w:highlight w:val="yellow"/>
          <w:u w:val="single"/>
        </w:rPr>
        <w:t>outside of what was necessary to decide</w:t>
      </w:r>
      <w:r w:rsidRPr="00B35A02">
        <w:rPr>
          <w:b/>
          <w:bCs/>
          <w:u w:val="single"/>
        </w:rPr>
        <w:t xml:space="preserve"> the issue at hand </w:t>
      </w:r>
      <w:r w:rsidRPr="00166393">
        <w:rPr>
          <w:b/>
          <w:bCs/>
          <w:highlight w:val="yellow"/>
          <w:u w:val="single"/>
        </w:rPr>
        <w:t>are deemed dicta, and</w:t>
      </w:r>
      <w:r w:rsidRPr="00B35A02">
        <w:rPr>
          <w:b/>
          <w:bCs/>
          <w:u w:val="single"/>
        </w:rPr>
        <w:t xml:space="preserve"> they are </w:t>
      </w:r>
      <w:r w:rsidRPr="00166393">
        <w:rPr>
          <w:b/>
          <w:bCs/>
          <w:highlight w:val="yellow"/>
          <w:u w:val="single"/>
        </w:rPr>
        <w:t>not considered binding precedent</w:t>
      </w:r>
      <w:r w:rsidRPr="00B35A02">
        <w:rPr>
          <w:b/>
          <w:bCs/>
          <w:u w:val="single"/>
        </w:rPr>
        <w:t xml:space="preserve"> in future cases.</w:t>
      </w:r>
      <w:r w:rsidRPr="00530DB6">
        <w:rPr>
          <w:sz w:val="14"/>
        </w:rPr>
        <w:t xml:space="preserve"> </w:t>
      </w:r>
      <w:r w:rsidRPr="00166806">
        <w:rPr>
          <w:u w:val="single"/>
        </w:rPr>
        <w:t>See</w:t>
      </w:r>
      <w:r w:rsidRPr="00166806">
        <w:rPr>
          <w:i/>
          <w:iCs/>
          <w:u w:val="single"/>
        </w:rPr>
        <w:t xml:space="preserve"> State v. Breathette</w:t>
      </w:r>
      <w:r w:rsidRPr="00530DB6">
        <w:rPr>
          <w:sz w:val="14"/>
        </w:rPr>
        <w:t xml:space="preserve">, 202 N.C. App. 697 (2010) (defining dicta), citing </w:t>
      </w:r>
      <w:r w:rsidRPr="00530DB6">
        <w:rPr>
          <w:i/>
          <w:iCs/>
          <w:sz w:val="14"/>
        </w:rPr>
        <w:t>State v. Jackson</w:t>
      </w:r>
      <w:r w:rsidRPr="00530DB6">
        <w:rPr>
          <w:sz w:val="14"/>
        </w:rPr>
        <w:t xml:space="preserve">, 353 N.C. 495 (2001) </w:t>
      </w:r>
      <w:r w:rsidRPr="00166806">
        <w:rPr>
          <w:u w:val="single"/>
        </w:rPr>
        <w:t>(“general expressions” that “go beyond the case […] may be respected, but ought not to control the judgment in a subsequent suit where the very point is presented for decision”</w:t>
      </w:r>
      <w:r w:rsidRPr="00530DB6">
        <w:rPr>
          <w:sz w:val="14"/>
        </w:rPr>
        <w:t xml:space="preserve">). More specifically, </w:t>
      </w:r>
      <w:r w:rsidRPr="00166393">
        <w:rPr>
          <w:highlight w:val="yellow"/>
          <w:u w:val="single"/>
        </w:rPr>
        <w:t>remarks</w:t>
      </w:r>
      <w:r w:rsidRPr="00166806">
        <w:rPr>
          <w:u w:val="single"/>
        </w:rPr>
        <w:t xml:space="preserve"> that are wholly “</w:t>
      </w:r>
      <w:r w:rsidRPr="00166393">
        <w:rPr>
          <w:highlight w:val="yellow"/>
          <w:u w:val="single"/>
        </w:rPr>
        <w:t>incidental to the disposition of the case”</w:t>
      </w:r>
      <w:r w:rsidRPr="00166806">
        <w:rPr>
          <w:u w:val="single"/>
        </w:rPr>
        <w:t xml:space="preserve"> or “directed at issues upon which no formal arguments have been heard” </w:t>
      </w:r>
      <w:r w:rsidRPr="00166393">
        <w:rPr>
          <w:highlight w:val="yellow"/>
          <w:u w:val="single"/>
        </w:rPr>
        <w:t>are</w:t>
      </w:r>
      <w:r w:rsidRPr="00166806">
        <w:rPr>
          <w:u w:val="single"/>
        </w:rPr>
        <w:t xml:space="preserve"> </w:t>
      </w:r>
      <w:r w:rsidRPr="00166393">
        <w:rPr>
          <w:highlight w:val="yellow"/>
          <w:u w:val="single"/>
        </w:rPr>
        <w:t>classified as</w:t>
      </w:r>
      <w:r w:rsidRPr="00166806">
        <w:rPr>
          <w:u w:val="single"/>
        </w:rPr>
        <w:t xml:space="preserve"> </w:t>
      </w:r>
      <w:r w:rsidRPr="00166806">
        <w:rPr>
          <w:i/>
          <w:iCs/>
          <w:u w:val="single"/>
        </w:rPr>
        <w:t xml:space="preserve">obiter </w:t>
      </w:r>
      <w:r w:rsidRPr="00166393">
        <w:rPr>
          <w:i/>
          <w:iCs/>
          <w:highlight w:val="yellow"/>
          <w:u w:val="single"/>
        </w:rPr>
        <w:t>dicta</w:t>
      </w:r>
      <w:r w:rsidRPr="00166806">
        <w:rPr>
          <w:u w:val="single"/>
        </w:rPr>
        <w:t xml:space="preserve"> </w:t>
      </w:r>
      <w:r w:rsidRPr="00530DB6">
        <w:rPr>
          <w:sz w:val="14"/>
        </w:rPr>
        <w:t xml:space="preserve">(Latin for “by the way” or “said in passing”) and </w:t>
      </w:r>
      <w:r w:rsidRPr="00166806">
        <w:rPr>
          <w:u w:val="single"/>
        </w:rPr>
        <w:t xml:space="preserve">such statements “are </w:t>
      </w:r>
      <w:r w:rsidRPr="00166393">
        <w:rPr>
          <w:highlight w:val="yellow"/>
          <w:u w:val="single"/>
        </w:rPr>
        <w:t>not considered to be precedent</w:t>
      </w:r>
      <w:r w:rsidRPr="00166806">
        <w:rPr>
          <w:u w:val="single"/>
        </w:rPr>
        <w:t xml:space="preserve"> and should be distinguished from the </w:t>
      </w:r>
      <w:r w:rsidRPr="00166806">
        <w:rPr>
          <w:i/>
          <w:iCs/>
          <w:u w:val="single"/>
        </w:rPr>
        <w:t>ratio decidendi</w:t>
      </w:r>
      <w:r w:rsidRPr="00166806">
        <w:rPr>
          <w:u w:val="single"/>
        </w:rPr>
        <w:t xml:space="preserve"> which provides the basis of the court’s ruling.”</w:t>
      </w:r>
      <w:r w:rsidRPr="00530DB6">
        <w:rPr>
          <w:sz w:val="14"/>
        </w:rPr>
        <w:t xml:space="preserve"> Chandler, Enslen, and Renstrom, “</w:t>
      </w:r>
      <w:r w:rsidRPr="00530DB6">
        <w:rPr>
          <w:i/>
          <w:iCs/>
          <w:sz w:val="14"/>
        </w:rPr>
        <w:t>Obiter Dictum</w:t>
      </w:r>
      <w:r w:rsidRPr="00530DB6">
        <w:rPr>
          <w:sz w:val="14"/>
        </w:rPr>
        <w:t xml:space="preserve">,” Con. Law Dsk., § 8:82 (2020). However, many authorities also recognize a third category, known as </w:t>
      </w:r>
      <w:r w:rsidRPr="00530DB6">
        <w:rPr>
          <w:i/>
          <w:iCs/>
          <w:sz w:val="14"/>
        </w:rPr>
        <w:t>judicial dicta</w:t>
      </w:r>
      <w:r w:rsidRPr="00530DB6">
        <w:rPr>
          <w:sz w:val="14"/>
        </w:rPr>
        <w:t>, to describe statements in an opinion that were not necessary to determine the matter at hand, but nevertheless express the court’s legal conclusions about an issue argued by the parties: “Judicial dictum” is a statement the court expressly uses to guide parties in their future conduct. As a general rule, such an expression of opinion on a point involved in a case, argued by counsel and deliberately mentioned by the court, although not essential to the disposition of the case, is distinguished from mere obiter dictum, and it becomes authoritative when it is expressly declared by the court as a guide for future conduct. Thus, a judicial dictum should receive dispositive weight in a lower court. Conversely, a court is not bound to follow dicta in a prior case that did not fully debate the point currently at issue. Buccieri, Buchwalter, Gore, and Griffith, “</w:t>
      </w:r>
      <w:r w:rsidRPr="00530DB6">
        <w:rPr>
          <w:i/>
          <w:iCs/>
          <w:sz w:val="14"/>
        </w:rPr>
        <w:t>Judicial Dicta</w:t>
      </w:r>
      <w:r w:rsidRPr="00530DB6">
        <w:rPr>
          <w:sz w:val="14"/>
        </w:rPr>
        <w:t xml:space="preserve">,” 21 C.J.S. Courts 226 (2020). The term </w:t>
      </w:r>
      <w:r w:rsidRPr="00530DB6">
        <w:rPr>
          <w:i/>
          <w:iCs/>
          <w:sz w:val="14"/>
        </w:rPr>
        <w:t>judicial dictum</w:t>
      </w:r>
      <w:r w:rsidRPr="00530DB6">
        <w:rPr>
          <w:sz w:val="14"/>
        </w:rPr>
        <w:t xml:space="preserve"> rarely appears in North Carolina appellate cases, but our courts seem to be echoing this principle in some decisions. See, e.g., </w:t>
      </w:r>
      <w:r w:rsidRPr="00530DB6">
        <w:rPr>
          <w:i/>
          <w:iCs/>
          <w:sz w:val="14"/>
        </w:rPr>
        <w:t>State v. Springle</w:t>
      </w:r>
      <w:r w:rsidRPr="00530DB6">
        <w:rPr>
          <w:sz w:val="14"/>
        </w:rPr>
        <w:t xml:space="preserve">, __ N.C. App. __ (July 21, 2020) (unpublished) (“While the Supreme Court, in </w:t>
      </w:r>
      <w:r w:rsidRPr="00530DB6">
        <w:rPr>
          <w:i/>
          <w:iCs/>
          <w:sz w:val="14"/>
        </w:rPr>
        <w:t>Grady</w:t>
      </w:r>
      <w:r w:rsidRPr="00530DB6">
        <w:rPr>
          <w:sz w:val="14"/>
        </w:rPr>
        <w:t xml:space="preserve">, did not find the entire statutory scheme unconstitutional, its strong </w:t>
      </w:r>
      <w:r w:rsidRPr="00530DB6">
        <w:rPr>
          <w:i/>
          <w:iCs/>
          <w:sz w:val="14"/>
        </w:rPr>
        <w:t>dicta</w:t>
      </w:r>
      <w:r w:rsidRPr="00530DB6">
        <w:rPr>
          <w:sz w:val="14"/>
        </w:rPr>
        <w:t xml:space="preserve"> addressing the constitutionality of the statutory scheme on its face in effect left no viable constitutional path for anyone, including recidivist sex offenders not under supervision, to be subject to SBM under our General Statutes, sections 14-208.40 to -208.45″)</w:t>
      </w:r>
      <w:r w:rsidRPr="00530DB6">
        <w:rPr>
          <w:i/>
          <w:iCs/>
          <w:sz w:val="14"/>
        </w:rPr>
        <w:t>.</w:t>
      </w:r>
      <w:r w:rsidRPr="00530DB6">
        <w:rPr>
          <w:sz w:val="14"/>
        </w:rPr>
        <w:t xml:space="preserve"> Problems (and Solutions?) The problem, of course, is that </w:t>
      </w:r>
      <w:r w:rsidRPr="00E90940">
        <w:rPr>
          <w:u w:val="single"/>
        </w:rPr>
        <w:t xml:space="preserve">the </w:t>
      </w:r>
      <w:r w:rsidRPr="00166393">
        <w:rPr>
          <w:highlight w:val="yellow"/>
          <w:u w:val="single"/>
        </w:rPr>
        <w:t>definitions above leave</w:t>
      </w:r>
      <w:r w:rsidRPr="00E90940">
        <w:rPr>
          <w:u w:val="single"/>
        </w:rPr>
        <w:t xml:space="preserve"> some </w:t>
      </w:r>
      <w:r w:rsidRPr="00166393">
        <w:rPr>
          <w:highlight w:val="yellow"/>
          <w:u w:val="single"/>
        </w:rPr>
        <w:t>room for interpretation</w:t>
      </w:r>
      <w:r w:rsidRPr="00E90940">
        <w:rPr>
          <w:u w:val="single"/>
        </w:rPr>
        <w:t xml:space="preserve">. If an appellate opinion says that X is not a violation, but Y or Z probably would be, how much precedential weight does that carry in future cases involving Y or Z? </w:t>
      </w:r>
      <w:r w:rsidRPr="00166393">
        <w:rPr>
          <w:b/>
          <w:bCs/>
          <w:highlight w:val="yellow"/>
          <w:u w:val="single"/>
        </w:rPr>
        <w:t>One lawyer’s holding may be another lawyer’s dictum</w:t>
      </w:r>
      <w:r w:rsidRPr="00E90940">
        <w:rPr>
          <w:b/>
          <w:bCs/>
          <w:u w:val="single"/>
        </w:rPr>
        <w:t xml:space="preserve">, and my </w:t>
      </w:r>
      <w:r w:rsidRPr="00E90940">
        <w:rPr>
          <w:b/>
          <w:bCs/>
          <w:i/>
          <w:iCs/>
          <w:u w:val="single"/>
        </w:rPr>
        <w:t>obiter dicta</w:t>
      </w:r>
      <w:r w:rsidRPr="00E90940">
        <w:rPr>
          <w:b/>
          <w:bCs/>
          <w:u w:val="single"/>
        </w:rPr>
        <w:t xml:space="preserve"> may be your </w:t>
      </w:r>
      <w:r w:rsidRPr="00E90940">
        <w:rPr>
          <w:b/>
          <w:bCs/>
          <w:i/>
          <w:iCs/>
          <w:u w:val="single"/>
        </w:rPr>
        <w:t>judicial dicta</w:t>
      </w:r>
      <w:r w:rsidRPr="00530DB6">
        <w:rPr>
          <w:sz w:val="14"/>
        </w:rPr>
        <w:t xml:space="preserve">. To quote from another </w:t>
      </w:r>
      <w:hyperlink r:id="rId15" w:anchor="comments" w:history="1">
        <w:r w:rsidRPr="00530DB6">
          <w:rPr>
            <w:rStyle w:val="Hyperlink"/>
            <w:sz w:val="14"/>
          </w:rPr>
          <w:t>past blog commenter</w:t>
        </w:r>
      </w:hyperlink>
      <w:r w:rsidRPr="00530DB6">
        <w:rPr>
          <w:sz w:val="14"/>
        </w:rPr>
        <w:t xml:space="preserve">, the danger here is that “it all depends on whose ox is gettin’ gored.” Our case law confirms that </w:t>
      </w:r>
      <w:r w:rsidRPr="00166393">
        <w:rPr>
          <w:highlight w:val="yellow"/>
          <w:u w:val="single"/>
        </w:rPr>
        <w:t>reasonable minds can disagree about what constitutes dictum vs. holding</w:t>
      </w:r>
      <w:r w:rsidRPr="00530DB6">
        <w:rPr>
          <w:u w:val="single"/>
        </w:rPr>
        <w:t xml:space="preserve"> in a prior case – </w:t>
      </w:r>
      <w:r w:rsidRPr="00166393">
        <w:rPr>
          <w:highlight w:val="yellow"/>
          <w:u w:val="single"/>
        </w:rPr>
        <w:t>even on the appellate bench</w:t>
      </w:r>
      <w:r w:rsidRPr="00530DB6">
        <w:rPr>
          <w:u w:val="single"/>
        </w:rPr>
        <w:t>.</w:t>
      </w:r>
      <w:r w:rsidRPr="00530DB6">
        <w:rPr>
          <w:sz w:val="14"/>
        </w:rPr>
        <w:t xml:space="preserve"> See, e.g., </w:t>
      </w:r>
      <w:r w:rsidRPr="00530DB6">
        <w:rPr>
          <w:i/>
          <w:iCs/>
          <w:sz w:val="14"/>
        </w:rPr>
        <w:t>State v. Rankin</w:t>
      </w:r>
      <w:r w:rsidRPr="00530DB6">
        <w:rPr>
          <w:sz w:val="14"/>
        </w:rPr>
        <w:t xml:space="preserve">, 257 N.C. App. 354 (2018) (disagreement between majority and dissent about whether a prior case was relevant precedent or nonbinding dicta), </w:t>
      </w:r>
      <w:r w:rsidRPr="00530DB6">
        <w:rPr>
          <w:i/>
          <w:iCs/>
          <w:sz w:val="14"/>
        </w:rPr>
        <w:t>aff’d</w:t>
      </w:r>
      <w:r w:rsidRPr="00530DB6">
        <w:rPr>
          <w:sz w:val="14"/>
        </w:rPr>
        <w:t>, 371 N.C. 885 (2018).</w:t>
      </w:r>
    </w:p>
    <w:p w14:paraId="5E3F6112" w14:textId="77777777" w:rsidR="00ED7E4B" w:rsidRPr="00101CE8" w:rsidRDefault="00ED7E4B" w:rsidP="00ED7E4B">
      <w:pPr>
        <w:pStyle w:val="Heading4"/>
      </w:pPr>
      <w:r>
        <w:lastRenderedPageBreak/>
        <w:t xml:space="preserve">3—Distinguishing: Courts can just avoid </w:t>
      </w:r>
      <w:r>
        <w:rPr>
          <w:i/>
          <w:iCs w:val="0"/>
        </w:rPr>
        <w:t>applying</w:t>
      </w:r>
      <w:r>
        <w:t xml:space="preserve"> the precedent set by the aff by distinguishing future cases from the one the aff applies to based on the facts of the case. </w:t>
      </w:r>
    </w:p>
    <w:p w14:paraId="407BDCB6" w14:textId="77777777" w:rsidR="00ED7E4B" w:rsidRDefault="00ED7E4B" w:rsidP="00ED7E4B">
      <w:r w:rsidRPr="00754322">
        <w:t xml:space="preserve">Christopher Mark </w:t>
      </w:r>
      <w:r w:rsidRPr="003173B2">
        <w:rPr>
          <w:b/>
          <w:bCs/>
          <w:sz w:val="26"/>
          <w:szCs w:val="26"/>
        </w:rPr>
        <w:t>Macneill</w:t>
      </w:r>
      <w:r w:rsidRPr="00754322">
        <w:t xml:space="preserve"> , </w:t>
      </w:r>
      <w:r w:rsidRPr="00754322">
        <w:rPr>
          <w:i/>
          <w:iCs/>
        </w:rPr>
        <w:t>Analogizing and Distinguishing Legal Cases</w:t>
      </w:r>
      <w:r w:rsidRPr="00754322">
        <w:t>, 4 (6) IJLMH Page 690 - 696 (20</w:t>
      </w:r>
      <w:r w:rsidRPr="003173B2">
        <w:rPr>
          <w:b/>
          <w:bCs/>
          <w:sz w:val="26"/>
          <w:szCs w:val="26"/>
        </w:rPr>
        <w:t>21</w:t>
      </w:r>
      <w:r w:rsidRPr="00754322">
        <w:t xml:space="preserve">), DOI: </w:t>
      </w:r>
      <w:hyperlink r:id="rId16" w:history="1">
        <w:r w:rsidRPr="00E3580A">
          <w:rPr>
            <w:rStyle w:val="Hyperlink"/>
          </w:rPr>
          <w:t>https://doij.org/10.10000/IJLMH.112306</w:t>
        </w:r>
      </w:hyperlink>
      <w:r>
        <w:t xml:space="preserve"> [</w:t>
      </w:r>
      <w:r w:rsidRPr="00E3580A">
        <w:t>Mr. Macneill has completed degrees in: B.A. Political Science, St. Francis Xavier University; B.B.A., Cape Breton University; M.B.A., St. Mary's University (Halifax, N.S.); M.A. Public Administration , Carleton University (Ottawa, ON.); LL.B., University of Edinburgh (Nov. 2007); and is a 2008 candidate to receive a LL.M. Environmental &amp; Natural Resources Law &amp; Policy, University of Denver; and an LL.M. Comparative Law, University of Miami (candidate 2008). Mr. Macneill has served as an adjunct faculty member of corporate strategy for universities in the United States and Canada.</w:t>
      </w:r>
      <w:r>
        <w:t>]</w:t>
      </w:r>
    </w:p>
    <w:p w14:paraId="6ACEFE8B" w14:textId="77777777" w:rsidR="00ED7E4B" w:rsidRDefault="00ED7E4B" w:rsidP="00ED7E4B">
      <w:pPr>
        <w:rPr>
          <w:sz w:val="16"/>
        </w:rPr>
      </w:pPr>
      <w:r w:rsidRPr="0081114A">
        <w:rPr>
          <w:sz w:val="16"/>
        </w:rPr>
        <w:t xml:space="preserve">The opposite of analogizing cases is making counter-analogies, commonly referred to as distinguishing cases. </w:t>
      </w:r>
      <w:r w:rsidRPr="002F47EE">
        <w:rPr>
          <w:b/>
          <w:bCs/>
          <w:highlight w:val="yellow"/>
          <w:u w:val="single"/>
        </w:rPr>
        <w:t>Distinguishing is</w:t>
      </w:r>
      <w:r w:rsidRPr="00E3580A">
        <w:rPr>
          <w:b/>
          <w:bCs/>
          <w:u w:val="single"/>
        </w:rPr>
        <w:t xml:space="preserve"> the process of </w:t>
      </w:r>
      <w:r w:rsidRPr="002F47EE">
        <w:rPr>
          <w:b/>
          <w:bCs/>
          <w:highlight w:val="yellow"/>
          <w:u w:val="single"/>
        </w:rPr>
        <w:t>pointing out</w:t>
      </w:r>
      <w:r w:rsidRPr="00E3580A">
        <w:rPr>
          <w:b/>
          <w:bCs/>
          <w:u w:val="single"/>
        </w:rPr>
        <w:t xml:space="preserve"> the </w:t>
      </w:r>
      <w:r w:rsidRPr="002F47EE">
        <w:rPr>
          <w:b/>
          <w:bCs/>
          <w:highlight w:val="yellow"/>
          <w:u w:val="single"/>
        </w:rPr>
        <w:t>factual differences between a precedent case and the current case</w:t>
      </w:r>
      <w:r w:rsidRPr="00E3580A">
        <w:rPr>
          <w:b/>
          <w:bCs/>
          <w:u w:val="single"/>
        </w:rPr>
        <w:t>.</w:t>
      </w:r>
      <w:r w:rsidRPr="0081114A">
        <w:rPr>
          <w:sz w:val="16"/>
        </w:rPr>
        <w:t xml:space="preserve"> Purpose of Distinguishing Cases The </w:t>
      </w:r>
      <w:r w:rsidRPr="002F47EE">
        <w:rPr>
          <w:highlight w:val="yellow"/>
          <w:u w:val="single"/>
        </w:rPr>
        <w:t>purpose</w:t>
      </w:r>
      <w:r w:rsidRPr="00E3580A">
        <w:rPr>
          <w:u w:val="single"/>
        </w:rPr>
        <w:t xml:space="preserve"> of </w:t>
      </w:r>
      <w:r w:rsidRPr="00B9593C">
        <w:rPr>
          <w:u w:val="single"/>
        </w:rPr>
        <w:t xml:space="preserve">distinguishing cases </w:t>
      </w:r>
      <w:r w:rsidRPr="002F47EE">
        <w:rPr>
          <w:highlight w:val="yellow"/>
          <w:u w:val="single"/>
        </w:rPr>
        <w:t>is to explain why</w:t>
      </w:r>
      <w:r w:rsidRPr="00E3580A">
        <w:rPr>
          <w:u w:val="single"/>
        </w:rPr>
        <w:t xml:space="preserve"> the rule applied in the </w:t>
      </w:r>
      <w:r w:rsidRPr="002F47EE">
        <w:rPr>
          <w:highlight w:val="yellow"/>
          <w:u w:val="single"/>
        </w:rPr>
        <w:t>precedent</w:t>
      </w:r>
      <w:r w:rsidRPr="00E3580A">
        <w:rPr>
          <w:u w:val="single"/>
        </w:rPr>
        <w:t xml:space="preserve"> case </w:t>
      </w:r>
      <w:r w:rsidRPr="002F47EE">
        <w:rPr>
          <w:highlight w:val="yellow"/>
          <w:u w:val="single"/>
        </w:rPr>
        <w:t>is inapplicable</w:t>
      </w:r>
      <w:r w:rsidRPr="00E3580A">
        <w:rPr>
          <w:u w:val="single"/>
        </w:rPr>
        <w:t xml:space="preserve"> to the current case or, if the rule in the precedent case does apply, to explain why the current case should not necessarily result in the same outcome</w:t>
      </w:r>
      <w:r w:rsidRPr="0081114A">
        <w:rPr>
          <w:sz w:val="16"/>
        </w:rPr>
        <w:t xml:space="preserve">. In other words, </w:t>
      </w:r>
      <w:r w:rsidRPr="002F47EE">
        <w:rPr>
          <w:b/>
          <w:bCs/>
          <w:highlight w:val="yellow"/>
          <w:u w:val="single"/>
        </w:rPr>
        <w:t>if a case does not support the outcome you want, you</w:t>
      </w:r>
      <w:r w:rsidRPr="00E3580A">
        <w:rPr>
          <w:b/>
          <w:bCs/>
          <w:u w:val="single"/>
        </w:rPr>
        <w:t xml:space="preserve"> need to </w:t>
      </w:r>
      <w:r w:rsidRPr="002F47EE">
        <w:rPr>
          <w:b/>
          <w:bCs/>
          <w:highlight w:val="yellow"/>
          <w:u w:val="single"/>
        </w:rPr>
        <w:t>distinguish precedent</w:t>
      </w:r>
      <w:r w:rsidRPr="00E3580A">
        <w:rPr>
          <w:b/>
          <w:bCs/>
          <w:u w:val="single"/>
        </w:rPr>
        <w:t>, so look carefully at the key facts and policy underlying each detrimental case to identify how the precedent can be distinguished</w:t>
      </w:r>
      <w:r w:rsidRPr="0081114A">
        <w:rPr>
          <w:sz w:val="16"/>
        </w:rPr>
        <w:t xml:space="preserve">. How do You Distinguish Cases? To properly distinguish cases, a researcher must (1) identify the factual differences between the cases, (2) explain why the factual differences should be legally significant so as to require a different outcome, (3) identify policy arguments that require a different outcome in the current case, and (4) attempt to make analogies to other legal rules in which a similar distinction was drawn. What Courts Might Do With Authority Presented To It. Although </w:t>
      </w:r>
      <w:r w:rsidRPr="0081114A">
        <w:rPr>
          <w:u w:val="single"/>
        </w:rPr>
        <w:t>courts may distinguish cases based on the facts or overrule previously decided cases</w:t>
      </w:r>
      <w:r w:rsidRPr="0081114A">
        <w:rPr>
          <w:sz w:val="16"/>
        </w:rPr>
        <w:t xml:space="preserve">, stare decisis is often useful for predicting how a court will rule on a given case either for the purposes of negotiating a settlement or designing a trial strategy. However, </w:t>
      </w:r>
      <w:r w:rsidRPr="002F47EE">
        <w:rPr>
          <w:highlight w:val="yellow"/>
          <w:u w:val="single"/>
        </w:rPr>
        <w:t>whether a past decision is applicable to a current case depends on several factors, such as</w:t>
      </w:r>
      <w:r w:rsidRPr="0081114A">
        <w:rPr>
          <w:u w:val="single"/>
        </w:rPr>
        <w:t xml:space="preserve"> the </w:t>
      </w:r>
      <w:r w:rsidRPr="002F47EE">
        <w:rPr>
          <w:highlight w:val="yellow"/>
          <w:u w:val="single"/>
        </w:rPr>
        <w:t>jurisdiction</w:t>
      </w:r>
      <w:r w:rsidRPr="0081114A">
        <w:rPr>
          <w:u w:val="single"/>
        </w:rPr>
        <w:t xml:space="preserve"> where the case was decided, the </w:t>
      </w:r>
      <w:r w:rsidRPr="002F47EE">
        <w:rPr>
          <w:highlight w:val="yellow"/>
          <w:u w:val="single"/>
        </w:rPr>
        <w:t>facts of the case, and whether the case remains good law</w:t>
      </w:r>
      <w:r w:rsidRPr="002F47EE">
        <w:rPr>
          <w:sz w:val="16"/>
          <w:highlight w:val="yellow"/>
        </w:rPr>
        <w:t>.</w:t>
      </w:r>
    </w:p>
    <w:p w14:paraId="2207FED4" w14:textId="77777777" w:rsidR="00ED7E4B" w:rsidRDefault="00ED7E4B" w:rsidP="00ED7E4B">
      <w:pPr>
        <w:pStyle w:val="Heading4"/>
      </w:pPr>
      <w:r>
        <w:t xml:space="preserve">4—Overturning or ignoring precedent—The Robert’s Court does not care about stare decisis. </w:t>
      </w:r>
    </w:p>
    <w:p w14:paraId="27C7C6E3" w14:textId="77777777" w:rsidR="00ED7E4B" w:rsidRPr="00576261" w:rsidRDefault="00ED7E4B" w:rsidP="00ED7E4B">
      <w:pPr>
        <w:rPr>
          <w:rStyle w:val="Style13ptBold"/>
          <w:b w:val="0"/>
          <w:bCs w:val="0"/>
        </w:rPr>
      </w:pPr>
      <w:r w:rsidRPr="00576261">
        <w:rPr>
          <w:rStyle w:val="Style13ptBold"/>
          <w:b w:val="0"/>
          <w:bCs w:val="0"/>
        </w:rPr>
        <w:t xml:space="preserve">David </w:t>
      </w:r>
      <w:r w:rsidRPr="00576261">
        <w:rPr>
          <w:rStyle w:val="Style13ptBold"/>
          <w:b w:val="0"/>
          <w:bCs w:val="0"/>
          <w:szCs w:val="26"/>
        </w:rPr>
        <w:t>Schultz and</w:t>
      </w:r>
      <w:r w:rsidRPr="00576261">
        <w:rPr>
          <w:rStyle w:val="Style13ptBold"/>
          <w:b w:val="0"/>
          <w:bCs w:val="0"/>
        </w:rPr>
        <w:t xml:space="preserve"> Jacob </w:t>
      </w:r>
      <w:r w:rsidRPr="00576261">
        <w:rPr>
          <w:rStyle w:val="Style13ptBold"/>
          <w:b w:val="0"/>
          <w:bCs w:val="0"/>
          <w:szCs w:val="26"/>
        </w:rPr>
        <w:t>Bourgault</w:t>
      </w:r>
      <w:r w:rsidRPr="00576261">
        <w:rPr>
          <w:rStyle w:val="Style13ptBold"/>
          <w:b w:val="0"/>
          <w:bCs w:val="0"/>
        </w:rPr>
        <w:t>, John Roberts’ Supreme Court: The Triumph of Partisanship and Ideology over Precedent, 109 MINN. L. REV. HEADNOTES 113 (20</w:t>
      </w:r>
      <w:r w:rsidRPr="00576261">
        <w:rPr>
          <w:rStyle w:val="Style13ptBold"/>
          <w:b w:val="0"/>
          <w:bCs w:val="0"/>
          <w:szCs w:val="26"/>
        </w:rPr>
        <w:t>25</w:t>
      </w:r>
      <w:r w:rsidRPr="00576261">
        <w:rPr>
          <w:rStyle w:val="Style13ptBold"/>
          <w:b w:val="0"/>
          <w:bCs w:val="0"/>
        </w:rPr>
        <w:t>). Available at: https://scholarship.law.umn.edu/mlr-headnotes/vol109/iss2/5</w:t>
      </w:r>
    </w:p>
    <w:p w14:paraId="3625AAF6" w14:textId="77777777" w:rsidR="00ED7E4B" w:rsidRPr="004F0121" w:rsidRDefault="00ED7E4B" w:rsidP="00ED7E4B">
      <w:pPr>
        <w:rPr>
          <w:sz w:val="16"/>
        </w:rPr>
      </w:pPr>
      <w:r w:rsidRPr="004F0121">
        <w:rPr>
          <w:sz w:val="16"/>
        </w:rPr>
        <w:t xml:space="preserve">What this study did was something quite simple. It looked at the percentage of time that a Justice voted to overturn constitutional precedent and correlated it with the Justice’s average Martin-Quinn score. Correlations are measured on a scale of negative one to positive one. A score of zero would indicate no relationship between ideology and voting to overturn constitutional precedent. For this study, a negative score would mean that the more liberal a Justice is, the more likely they would be to overturn precedent. A positive score would indicate that the more conservative a Justice is, the more likely they would be to overturn precedent. Rarely would one find a value of positive one or negative one, but instead some value in between. Here the Correlation Coefficient is 0.735. The Probability Value (P-Value) is .004206. The result is significant at p &lt; .01. By any standard measure, this is a significant positive correlation.65 Phrased another way, </w:t>
      </w:r>
      <w:r w:rsidRPr="004F0121">
        <w:rPr>
          <w:highlight w:val="yellow"/>
          <w:u w:val="single"/>
        </w:rPr>
        <w:t xml:space="preserve">there is an incredibly </w:t>
      </w:r>
      <w:r w:rsidRPr="004F0121">
        <w:rPr>
          <w:u w:val="single"/>
        </w:rPr>
        <w:t>strong</w:t>
      </w:r>
      <w:r w:rsidRPr="00370F92">
        <w:rPr>
          <w:u w:val="single"/>
        </w:rPr>
        <w:t xml:space="preserve"> or </w:t>
      </w:r>
      <w:r w:rsidRPr="00B82BCD">
        <w:rPr>
          <w:highlight w:val="yellow"/>
          <w:u w:val="single"/>
        </w:rPr>
        <w:t>high c</w:t>
      </w:r>
      <w:r w:rsidRPr="004F0121">
        <w:rPr>
          <w:highlight w:val="yellow"/>
          <w:u w:val="single"/>
        </w:rPr>
        <w:t>orrelation</w:t>
      </w:r>
      <w:r w:rsidRPr="00370F92">
        <w:rPr>
          <w:u w:val="single"/>
        </w:rPr>
        <w:t xml:space="preserve"> or relationship </w:t>
      </w:r>
      <w:r w:rsidRPr="004F0121">
        <w:rPr>
          <w:highlight w:val="yellow"/>
          <w:u w:val="single"/>
        </w:rPr>
        <w:t>between being</w:t>
      </w:r>
      <w:r w:rsidRPr="00370F92">
        <w:rPr>
          <w:u w:val="single"/>
        </w:rPr>
        <w:t xml:space="preserve"> politically </w:t>
      </w:r>
      <w:r w:rsidRPr="004F0121">
        <w:rPr>
          <w:highlight w:val="yellow"/>
          <w:u w:val="single"/>
        </w:rPr>
        <w:t>conservative and willingness to overturn</w:t>
      </w:r>
      <w:r w:rsidRPr="004F0121">
        <w:rPr>
          <w:u w:val="single"/>
        </w:rPr>
        <w:t xml:space="preserve"> constitutional </w:t>
      </w:r>
      <w:r w:rsidRPr="004F0121">
        <w:rPr>
          <w:highlight w:val="yellow"/>
          <w:u w:val="single"/>
        </w:rPr>
        <w:t>precedent. Republican-appointed Justices</w:t>
      </w:r>
      <w:r w:rsidRPr="00370F92">
        <w:rPr>
          <w:u w:val="single"/>
        </w:rPr>
        <w:t xml:space="preserve">, and those more likely to be ranked as conservative, </w:t>
      </w:r>
      <w:r w:rsidRPr="004F0121">
        <w:rPr>
          <w:highlight w:val="yellow"/>
          <w:u w:val="single"/>
        </w:rPr>
        <w:t>were significantly more likely to overturn constitutional precedent</w:t>
      </w:r>
      <w:r w:rsidRPr="00370F92">
        <w:rPr>
          <w:u w:val="single"/>
        </w:rPr>
        <w:t xml:space="preserve"> than were Democrat-appointed Justices and those more likely to be ranked as liberal</w:t>
      </w:r>
      <w:r w:rsidRPr="004F0121">
        <w:rPr>
          <w:sz w:val="16"/>
        </w:rPr>
        <w:t xml:space="preserve">. However, </w:t>
      </w:r>
      <w:r w:rsidRPr="00370F92">
        <w:rPr>
          <w:u w:val="single"/>
        </w:rPr>
        <w:t xml:space="preserve">defenders of the Roberts Court’s adherence to judicial precedence have noted that the current Court has overturned less precedent than </w:t>
      </w:r>
      <w:r w:rsidRPr="00370F92">
        <w:rPr>
          <w:u w:val="single"/>
        </w:rPr>
        <w:lastRenderedPageBreak/>
        <w:t>its predecessors.</w:t>
      </w:r>
      <w:r w:rsidRPr="004F0121">
        <w:rPr>
          <w:sz w:val="16"/>
        </w:rPr>
        <w:t xml:space="preserve"> This includes the Warren Court (1953-1969), the Burger Court (1969-1986), and the Rehnquist Court (1986-2005).66 Justice Amy Coney Barrett mentioned this point at a talk at the University of Minnesota, noting that the Roberts Court is at “a low when you look at historically how many precedents are overruled a term.”67 However</w:t>
      </w:r>
      <w:r w:rsidRPr="00370F92">
        <w:rPr>
          <w:u w:val="single"/>
        </w:rPr>
        <w:t>, as seen in the above analysis, that is not for a lack of trying when constitutional cases are granted certiorari, particularly among the most conservative Justices. It also must be seen in the context of the Supreme Court hearing far less cases each year than their predecessors</w:t>
      </w:r>
      <w:r w:rsidRPr="004F0121">
        <w:rPr>
          <w:sz w:val="16"/>
        </w:rPr>
        <w:t xml:space="preserve">.68 Most importantly, </w:t>
      </w:r>
      <w:r w:rsidRPr="004F0121">
        <w:rPr>
          <w:b/>
          <w:bCs/>
          <w:highlight w:val="yellow"/>
          <w:u w:val="single"/>
        </w:rPr>
        <w:t xml:space="preserve">decisions like Dobbs fundamentally alter the legal landscape </w:t>
      </w:r>
      <w:r w:rsidRPr="00B82BCD">
        <w:rPr>
          <w:b/>
          <w:bCs/>
          <w:u w:val="single"/>
        </w:rPr>
        <w:t>and eviscerate protections long</w:t>
      </w:r>
      <w:r w:rsidRPr="00370F92">
        <w:rPr>
          <w:b/>
          <w:bCs/>
          <w:u w:val="single"/>
        </w:rPr>
        <w:t xml:space="preserve"> afforded to American citizens</w:t>
      </w:r>
      <w:r w:rsidRPr="004F0121">
        <w:rPr>
          <w:sz w:val="16"/>
        </w:rPr>
        <w:t xml:space="preserve">. This places it in a unique category, as legal scholars have indicated that there have only “been 13 key cases addressing constitutional rights where the Supreme Court has thrown out major precedents that had stood for at least 10 years” as of 2019.69 </w:t>
      </w:r>
      <w:r w:rsidRPr="008213F8">
        <w:rPr>
          <w:u w:val="single"/>
        </w:rPr>
        <w:t>When looking at the precedents overturned by the Roberts Court, it is imperative to look beyond the number of precedents, and to the context of the decisions, the number of decisions accepted, and the constitutional ramifications of those decisions.</w:t>
      </w:r>
      <w:r w:rsidRPr="004F0121">
        <w:rPr>
          <w:sz w:val="16"/>
        </w:rPr>
        <w:t xml:space="preserve"> Although beyond the scope of this Article, there is also evidence that </w:t>
      </w:r>
      <w:r w:rsidRPr="004F0121">
        <w:rPr>
          <w:b/>
          <w:bCs/>
          <w:highlight w:val="yellow"/>
          <w:u w:val="single"/>
        </w:rPr>
        <w:t xml:space="preserve">the Roberts Court has continually engaged in “stealth” reversals, </w:t>
      </w:r>
      <w:r w:rsidRPr="004F0121">
        <w:rPr>
          <w:b/>
          <w:bCs/>
          <w:u w:val="single"/>
        </w:rPr>
        <w:t>which</w:t>
      </w:r>
      <w:r w:rsidRPr="008213F8">
        <w:rPr>
          <w:b/>
          <w:bCs/>
          <w:u w:val="single"/>
        </w:rPr>
        <w:t xml:space="preserve"> rely on </w:t>
      </w:r>
      <w:r w:rsidRPr="004F0121">
        <w:rPr>
          <w:b/>
          <w:bCs/>
          <w:highlight w:val="yellow"/>
          <w:u w:val="single"/>
        </w:rPr>
        <w:t>not explicitly overturning</w:t>
      </w:r>
      <w:r w:rsidRPr="008213F8">
        <w:rPr>
          <w:b/>
          <w:bCs/>
          <w:u w:val="single"/>
        </w:rPr>
        <w:t xml:space="preserve"> judicial </w:t>
      </w:r>
      <w:r w:rsidRPr="004F0121">
        <w:rPr>
          <w:b/>
          <w:bCs/>
          <w:highlight w:val="yellow"/>
          <w:u w:val="single"/>
        </w:rPr>
        <w:t>precedents but</w:t>
      </w:r>
      <w:r w:rsidRPr="008213F8">
        <w:rPr>
          <w:b/>
          <w:bCs/>
          <w:u w:val="single"/>
        </w:rPr>
        <w:t xml:space="preserve"> nonetheless </w:t>
      </w:r>
      <w:r w:rsidRPr="004F0121">
        <w:rPr>
          <w:b/>
          <w:bCs/>
          <w:highlight w:val="yellow"/>
          <w:u w:val="single"/>
        </w:rPr>
        <w:t>creating outcomes favorable to conservative</w:t>
      </w:r>
      <w:r w:rsidRPr="008213F8">
        <w:rPr>
          <w:b/>
          <w:bCs/>
          <w:u w:val="single"/>
        </w:rPr>
        <w:t xml:space="preserve">-leaning </w:t>
      </w:r>
      <w:r w:rsidRPr="004F0121">
        <w:rPr>
          <w:b/>
          <w:bCs/>
          <w:highlight w:val="yellow"/>
          <w:u w:val="single"/>
        </w:rPr>
        <w:t>ideas</w:t>
      </w:r>
      <w:r w:rsidRPr="004F0121">
        <w:rPr>
          <w:sz w:val="16"/>
          <w:highlight w:val="yellow"/>
        </w:rPr>
        <w:t>.</w:t>
      </w:r>
      <w:r w:rsidRPr="004F0121">
        <w:rPr>
          <w:sz w:val="16"/>
        </w:rPr>
        <w:t xml:space="preserve">70 </w:t>
      </w:r>
      <w:r w:rsidRPr="008213F8">
        <w:rPr>
          <w:u w:val="single"/>
        </w:rPr>
        <w:t xml:space="preserve">It is likely that this trend will continue, as the </w:t>
      </w:r>
      <w:r w:rsidRPr="00B82BCD">
        <w:rPr>
          <w:u w:val="single"/>
        </w:rPr>
        <w:t xml:space="preserve">Roberts Court has seen a </w:t>
      </w:r>
      <w:r w:rsidRPr="004F0121">
        <w:rPr>
          <w:highlight w:val="yellow"/>
          <w:u w:val="single"/>
        </w:rPr>
        <w:t xml:space="preserve">considerable uptick in overturning precedents since the appointment of </w:t>
      </w:r>
      <w:r w:rsidRPr="00B82BCD">
        <w:rPr>
          <w:u w:val="single"/>
        </w:rPr>
        <w:t>the</w:t>
      </w:r>
      <w:r w:rsidRPr="004F0121">
        <w:rPr>
          <w:highlight w:val="yellow"/>
          <w:u w:val="single"/>
        </w:rPr>
        <w:t xml:space="preserve"> three </w:t>
      </w:r>
      <w:r w:rsidRPr="00B82BCD">
        <w:rPr>
          <w:highlight w:val="yellow"/>
          <w:u w:val="single"/>
        </w:rPr>
        <w:t>Justices during</w:t>
      </w:r>
      <w:r w:rsidRPr="008213F8">
        <w:rPr>
          <w:u w:val="single"/>
        </w:rPr>
        <w:t xml:space="preserve"> the </w:t>
      </w:r>
      <w:r w:rsidRPr="00B82BCD">
        <w:rPr>
          <w:highlight w:val="yellow"/>
          <w:u w:val="single"/>
        </w:rPr>
        <w:t>first Trump admin</w:t>
      </w:r>
      <w:r w:rsidRPr="008213F8">
        <w:rPr>
          <w:u w:val="single"/>
        </w:rPr>
        <w:t>istration</w:t>
      </w:r>
      <w:r w:rsidRPr="004F0121">
        <w:rPr>
          <w:sz w:val="16"/>
        </w:rPr>
        <w:t>.71 But most importantly, regardless of the relative political makeup of the Court, the authors hope that the U.S. Supreme Court will stop straying from the path and begin to recognize the importance of judicial precedent in maintaining fairness, uniformity, equality, consistency, predictability, stability, reliance, and finality in the law, particularly for constitutional cases. CONCLUSION What does all this mean? It first suggests that there is hypocrisy among Republicans and ideological conservatives when it comes to the Court. They criticized the Supreme Court for rejecting constitutional precedents—perhaps when it was a decision they did not like—and then criticized the Court for making policy. It seems that</w:t>
      </w:r>
      <w:r w:rsidRPr="004F0121">
        <w:rPr>
          <w:u w:val="single"/>
        </w:rPr>
        <w:t>, now that conservative Justices make up the majority of the Court, constitutional precedent is not so sacred.</w:t>
      </w:r>
      <w:r w:rsidRPr="004F0121">
        <w:rPr>
          <w:sz w:val="16"/>
        </w:rPr>
        <w:t xml:space="preserve"> Second, if precedent is meant to limit discretion or arbitrariness, the failure of Republican-appointed or conservative Justices on the Court to adhere to these principles indicates a lack of self-constraint. At one time there were arguments for judicial restraint or for the Court to follow “passive virtues”72 and avoid constitutional decisions, but that approach seems to have been abandoned. Third, rejection of precedent raises fundamental questions regarding how some Justices seem to understand American constitutional law and their use of interpretive methods. </w:t>
      </w:r>
      <w:r w:rsidRPr="004F0121">
        <w:rPr>
          <w:u w:val="single"/>
        </w:rPr>
        <w:t xml:space="preserve">Among </w:t>
      </w:r>
      <w:r w:rsidRPr="004F0121">
        <w:rPr>
          <w:highlight w:val="yellow"/>
          <w:u w:val="single"/>
        </w:rPr>
        <w:t>Justices</w:t>
      </w:r>
      <w:r w:rsidRPr="004F0121">
        <w:rPr>
          <w:u w:val="single"/>
        </w:rPr>
        <w:t xml:space="preserve"> on the Court, </w:t>
      </w:r>
      <w:r w:rsidRPr="004F0121">
        <w:rPr>
          <w:highlight w:val="yellow"/>
          <w:u w:val="single"/>
        </w:rPr>
        <w:t>such as Thomas and Alito</w:t>
      </w:r>
      <w:r w:rsidRPr="004F0121">
        <w:rPr>
          <w:u w:val="single"/>
        </w:rPr>
        <w:t>,</w:t>
      </w:r>
      <w:r w:rsidRPr="004F0121">
        <w:rPr>
          <w:sz w:val="16"/>
        </w:rPr>
        <w:t xml:space="preserve"> for example, </w:t>
      </w:r>
      <w:r w:rsidRPr="004F0121">
        <w:rPr>
          <w:u w:val="single"/>
        </w:rPr>
        <w:t>their approach</w:t>
      </w:r>
      <w:r w:rsidRPr="004F0121">
        <w:rPr>
          <w:sz w:val="16"/>
        </w:rPr>
        <w:t xml:space="preserve"> to the Constitution is based upon originalism or textualism. This approach </w:t>
      </w:r>
      <w:r w:rsidRPr="004F0121">
        <w:rPr>
          <w:highlight w:val="yellow"/>
          <w:u w:val="single"/>
        </w:rPr>
        <w:t>fundamentally ignore</w:t>
      </w:r>
      <w:r w:rsidRPr="004F0121">
        <w:rPr>
          <w:u w:val="single"/>
        </w:rPr>
        <w:t xml:space="preserve">s the key role that </w:t>
      </w:r>
      <w:r w:rsidRPr="004F0121">
        <w:rPr>
          <w:highlight w:val="yellow"/>
          <w:u w:val="single"/>
        </w:rPr>
        <w:t>precedent</w:t>
      </w:r>
      <w:r w:rsidRPr="004F0121">
        <w:rPr>
          <w:sz w:val="16"/>
        </w:rPr>
        <w:t xml:space="preserve"> is supposed to play in the law. Their interpretive strategy runs roughshod over constitutional precedent, leading them back to their own interpretation of what the text says or what the originalist interpretation of the constitutional document means. Precedent is part of the law, and it is supposed to constrain discretion, guide the Court, and to ensure predictability. It appears that the conservatives and Republican-appointed Justices on the Roberts Court have abandoned precedent, leaving potentially no limits on what they may continue to do going forward.</w:t>
      </w:r>
    </w:p>
    <w:p w14:paraId="5E778F1F" w14:textId="77777777" w:rsidR="008C3C62" w:rsidRDefault="008C3C62" w:rsidP="008C3C62"/>
    <w:p w14:paraId="2BC28777" w14:textId="77777777" w:rsidR="00263BF7" w:rsidRPr="006876C5" w:rsidRDefault="00263BF7" w:rsidP="00263BF7">
      <w:pPr>
        <w:pStyle w:val="Heading4"/>
        <w:rPr>
          <w:rFonts w:eastAsia="Times New Roman"/>
        </w:rPr>
      </w:pPr>
      <w:r>
        <w:rPr>
          <w:rFonts w:eastAsia="Times New Roman"/>
        </w:rPr>
        <w:t>S</w:t>
      </w:r>
      <w:r>
        <w:rPr>
          <w:rFonts w:eastAsia="Times New Roman"/>
        </w:rPr>
        <w:lastRenderedPageBreak/>
        <w:t>kills DA – their model requires questions of violence into liberal standards for rights and redress which downscales the destruction of Black flesh.  Ontology is an auto gg.</w:t>
      </w:r>
    </w:p>
    <w:p w14:paraId="60D39D5F" w14:textId="77777777" w:rsidR="00263BF7" w:rsidRPr="00B20066" w:rsidRDefault="00263BF7" w:rsidP="00263BF7">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r w:rsidRPr="00392C65">
        <w:rPr>
          <w:i/>
          <w:iCs/>
          <w:sz w:val="20"/>
          <w:szCs w:val="20"/>
        </w:rPr>
        <w:t>Onticide: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314927BE" w14:textId="77777777" w:rsidR="00263BF7" w:rsidRPr="00ED0E75" w:rsidRDefault="00263BF7" w:rsidP="00263BF7">
      <w:pPr>
        <w:rPr>
          <w:sz w:val="16"/>
          <w:szCs w:val="24"/>
        </w:rPr>
      </w:pPr>
      <w:r w:rsidRPr="00ED0E75">
        <w:rPr>
          <w:sz w:val="8"/>
          <w:szCs w:val="8"/>
        </w:rPr>
        <w:t>To understand this function and objective of law, we must return to the ontological difference that is an issue for the human. In Thinking about Law: In Silence with Heidegger, Oren Ben- Dor understands law as a feature of Heidegger’s ontological difference, and from this difference we can envision an ethics that emerges from the Order of Being. Although Heidegger does not write explicitly about law (at least not with the metaphysical expectations of legal theorists and lawyers), his insight into the Greek word dikē provides an opening onto a postmetaphysical analysis of law. Ben- Dor revisits Heidegger’s critique of metaphysical thinking through his engagement with Plato’s Republic in the essays “The Scope and Context of Plato’s Meditation on the Relationship of Art and Truth,” “The Anaximander Fragment,” and “The Limitation of Being” (published in Introduction to Metaphysics). According to Ben- Dor, Dikē “has three senses, all interconnected: of order [fug in the German], of protection and of justice. [These are] the threefold senses of the essence of law distorted in the ontic for- the- most- part being and thinking with and through law.”2 Furthermore, Ben- Dor suggests that “Dikē connotes the protection offered to the guardian of Being [Dasein] against the harm done to it by the entrenched legal,” and this is the “Law of the Being of being.”3 Ben- Dor’s philosophical rereading of Heidegger’s work is sophisticated and complex, but what I find particularly illuminating, and what I will focus on here, is the function of law that he presents. He seems to suggest that</w:t>
      </w:r>
      <w:r w:rsidRPr="00ED0E75">
        <w:rPr>
          <w:sz w:val="16"/>
          <w:szCs w:val="24"/>
        </w:rPr>
        <w:t xml:space="preserve"> </w:t>
      </w:r>
      <w:r w:rsidRPr="00486191">
        <w:rPr>
          <w:szCs w:val="24"/>
          <w:highlight w:val="yellow"/>
          <w:u w:val="single"/>
        </w:rPr>
        <w:t>the function of law</w:t>
      </w:r>
      <w:r w:rsidRPr="003C6431">
        <w:rPr>
          <w:szCs w:val="24"/>
          <w:u w:val="single"/>
        </w:rPr>
        <w:t xml:space="preserve"> — the metaphysical incarnation of it — </w:t>
      </w:r>
      <w:r w:rsidRPr="00486191">
        <w:rPr>
          <w:szCs w:val="24"/>
          <w:highlight w:val="yellow"/>
          <w:u w:val="single"/>
        </w:rPr>
        <w:t xml:space="preserve">is to protect and enforce </w:t>
      </w:r>
      <w:r w:rsidRPr="00486191">
        <w:rPr>
          <w:szCs w:val="24"/>
          <w:u w:val="single"/>
        </w:rPr>
        <w:t>the unfolding of Being</w:t>
      </w:r>
      <w:r w:rsidRPr="003C6431">
        <w:rPr>
          <w:szCs w:val="24"/>
          <w:u w:val="single"/>
        </w:rPr>
        <w:t xml:space="preserve"> or </w:t>
      </w:r>
      <w:r w:rsidRPr="00486191">
        <w:rPr>
          <w:szCs w:val="24"/>
          <w:highlight w:val="yellow"/>
          <w:u w:val="single"/>
        </w:rPr>
        <w:t>the</w:t>
      </w:r>
      <w:r w:rsidRPr="003C6431">
        <w:rPr>
          <w:szCs w:val="24"/>
          <w:u w:val="single"/>
        </w:rPr>
        <w:t xml:space="preserve"> primordial </w:t>
      </w:r>
      <w:r w:rsidRPr="00486191">
        <w:rPr>
          <w:szCs w:val="24"/>
          <w:highlight w:val="yellow"/>
          <w:u w:val="single"/>
        </w:rPr>
        <w:t xml:space="preserve">relation between the human and Being. This function is distorted, </w:t>
      </w:r>
      <w:r w:rsidRPr="00486191">
        <w:rPr>
          <w:szCs w:val="24"/>
          <w:u w:val="single"/>
        </w:rPr>
        <w:t xml:space="preserve">however, </w:t>
      </w:r>
      <w:r w:rsidRPr="00486191">
        <w:rPr>
          <w:szCs w:val="24"/>
          <w:highlight w:val="yellow"/>
          <w:u w:val="single"/>
        </w:rPr>
        <w:t>by an ontic legalism</w:t>
      </w:r>
      <w:r w:rsidRPr="003C6431">
        <w:rPr>
          <w:szCs w:val="24"/>
          <w:u w:val="single"/>
        </w:rPr>
        <w:t xml:space="preserve"> (or science of law), </w:t>
      </w:r>
      <w:r w:rsidRPr="00486191">
        <w:rPr>
          <w:szCs w:val="24"/>
          <w:highlight w:val="yellow"/>
          <w:u w:val="single"/>
        </w:rPr>
        <w:t xml:space="preserve">which focuses on calculating injury, </w:t>
      </w:r>
      <w:r w:rsidRPr="00486191">
        <w:rPr>
          <w:szCs w:val="24"/>
          <w:u w:val="single"/>
        </w:rPr>
        <w:t xml:space="preserve">objectifying redress, </w:t>
      </w:r>
      <w:r w:rsidRPr="00486191">
        <w:rPr>
          <w:szCs w:val="24"/>
          <w:highlight w:val="yellow"/>
          <w:u w:val="single"/>
        </w:rPr>
        <w:t>schematizing rights</w:t>
      </w:r>
      <w:r w:rsidRPr="00486191">
        <w:rPr>
          <w:szCs w:val="24"/>
          <w:u w:val="single"/>
        </w:rPr>
        <w:t xml:space="preserve">/privileges, </w:t>
      </w:r>
      <w:r w:rsidRPr="00486191">
        <w:rPr>
          <w:szCs w:val="24"/>
          <w:highlight w:val="yellow"/>
          <w:u w:val="single"/>
        </w:rPr>
        <w:t>and predicting consequences</w:t>
      </w:r>
      <w:r w:rsidRPr="003C6431">
        <w:rPr>
          <w:b/>
          <w:bCs/>
          <w:szCs w:val="24"/>
          <w:u w:val="single"/>
        </w:rPr>
        <w:t xml:space="preserve">. What redress, rights, and </w:t>
      </w:r>
      <w:r w:rsidRPr="00223954">
        <w:rPr>
          <w:b/>
          <w:bCs/>
          <w:szCs w:val="24"/>
          <w:highlight w:val="yellow"/>
          <w:u w:val="single"/>
        </w:rPr>
        <w:t>consequences</w:t>
      </w:r>
      <w:r w:rsidRPr="003C6431">
        <w:rPr>
          <w:b/>
          <w:bCs/>
          <w:szCs w:val="24"/>
          <w:u w:val="single"/>
        </w:rPr>
        <w:t xml:space="preserve"> all </w:t>
      </w:r>
      <w:r w:rsidRPr="00223954">
        <w:rPr>
          <w:b/>
          <w:bCs/>
          <w:szCs w:val="24"/>
          <w:highlight w:val="yellow"/>
          <w:u w:val="single"/>
        </w:rPr>
        <w:t>conceal</w:t>
      </w:r>
      <w:r w:rsidRPr="003C6431">
        <w:rPr>
          <w:b/>
          <w:bCs/>
          <w:szCs w:val="24"/>
          <w:u w:val="single"/>
        </w:rPr>
        <w:t xml:space="preserve"> is </w:t>
      </w:r>
      <w:r w:rsidRPr="00223954">
        <w:rPr>
          <w:b/>
          <w:bCs/>
          <w:szCs w:val="24"/>
          <w:highlight w:val="yellow"/>
          <w:u w:val="single"/>
        </w:rPr>
        <w:t>the</w:t>
      </w:r>
      <w:r w:rsidRPr="003C6431">
        <w:rPr>
          <w:b/>
          <w:bCs/>
          <w:szCs w:val="24"/>
          <w:u w:val="single"/>
        </w:rPr>
        <w:t>ir fundament</w:t>
      </w:r>
      <w:r w:rsidRPr="003C6431">
        <w:rPr>
          <w:b/>
          <w:bCs/>
          <w:szCs w:val="24"/>
          <w:u w:val="single"/>
        </w:rPr>
        <w:lastRenderedPageBreak/>
        <w:t xml:space="preserve">al </w:t>
      </w:r>
      <w:r w:rsidRPr="00223954">
        <w:rPr>
          <w:b/>
          <w:bCs/>
          <w:szCs w:val="24"/>
          <w:highlight w:val="yellow"/>
          <w:u w:val="single"/>
        </w:rPr>
        <w:t>relationship to Being</w:t>
      </w:r>
      <w:r w:rsidRPr="003C6431">
        <w:rPr>
          <w:b/>
          <w:bCs/>
          <w:szCs w:val="24"/>
          <w:u w:val="single"/>
        </w:rPr>
        <w:t>.</w:t>
      </w:r>
      <w:r w:rsidRPr="00ED0E75">
        <w:rPr>
          <w:sz w:val="16"/>
          <w:szCs w:val="24"/>
        </w:rPr>
        <w:t xml:space="preserve"> In other words, </w:t>
      </w:r>
      <w:r w:rsidRPr="00744CB9">
        <w:rPr>
          <w:b/>
          <w:bCs/>
          <w:szCs w:val="24"/>
          <w:u w:val="single"/>
        </w:rPr>
        <w:t xml:space="preserve">you have rights to protect and sustain your relation with Being against forces designed to pulverize it </w:t>
      </w:r>
      <w:r w:rsidRPr="00ED0E75">
        <w:rPr>
          <w:sz w:val="16"/>
          <w:szCs w:val="24"/>
        </w:rPr>
        <w:t xml:space="preserve">(what we call “injury”). </w:t>
      </w:r>
      <w:r w:rsidRPr="00744CB9">
        <w:rPr>
          <w:szCs w:val="24"/>
          <w:u w:val="single"/>
        </w:rPr>
        <w:t>The self that anchors rights discourse</w:t>
      </w:r>
      <w:r w:rsidRPr="00486191">
        <w:rPr>
          <w:szCs w:val="24"/>
          <w:u w:val="single"/>
        </w:rPr>
        <w:t>, injury, and privilege becomes an ersatz, or insufficient, substitute for a (non)relation between the human’s there- ness and Being</w:t>
      </w:r>
      <w:r w:rsidRPr="00E630C5">
        <w:rPr>
          <w:szCs w:val="24"/>
          <w:u w:val="single"/>
        </w:rPr>
        <w:t>.</w:t>
      </w:r>
      <w:r w:rsidRPr="00ED0E75">
        <w:rPr>
          <w:sz w:val="16"/>
          <w:szCs w:val="24"/>
        </w:rPr>
        <w:t xml:space="preserve"> Returning to this primordial function of law, as protecting the unfolding of Being, helps us to sort through the seductions of legalism — that is, the </w:t>
      </w:r>
      <w:r w:rsidRPr="004A30EC">
        <w:rPr>
          <w:b/>
          <w:bCs/>
          <w:sz w:val="40"/>
          <w:szCs w:val="44"/>
          <w:highlight w:val="yellow"/>
          <w:u w:val="single"/>
        </w:rPr>
        <w:t xml:space="preserve">proposed legal solutions to the problems of injury </w:t>
      </w:r>
      <w:r w:rsidRPr="004A30EC">
        <w:rPr>
          <w:b/>
          <w:bCs/>
          <w:sz w:val="40"/>
          <w:szCs w:val="44"/>
          <w:u w:val="single"/>
        </w:rPr>
        <w:t>just</w:t>
      </w:r>
      <w:r w:rsidRPr="004A30EC">
        <w:rPr>
          <w:b/>
          <w:bCs/>
          <w:sz w:val="40"/>
          <w:szCs w:val="44"/>
          <w:highlight w:val="yellow"/>
          <w:u w:val="single"/>
        </w:rPr>
        <w:t xml:space="preserve"> sustain it, since these solutions forget Being</w:t>
      </w:r>
      <w:r w:rsidRPr="00E630C5">
        <w:rPr>
          <w:szCs w:val="24"/>
          <w:u w:val="single"/>
        </w:rPr>
        <w:t>.</w:t>
      </w:r>
      <w:r w:rsidRPr="00ED0E75">
        <w:rPr>
          <w:sz w:val="16"/>
          <w:szCs w:val="24"/>
        </w:rPr>
        <w:t xml:space="preserve"> In short, as read through Heidegger and Ben- Dor, injury is the consequence of forgetting Being and distorting the function of this tool for the guardian of Being — to protect and enforce this (non)relation. I would also suggest, following Heidegger and Ben-Dor, that “Ethics” and “Freedom” are two proper names for protecting and enforcing this (non)relation. Within the corpus of law, both freedom and ethics orbit around the protection of this self (the primordial relation) from the injuries of indignity and denial. Or, as Ben- Dor states, “To let Dasein gain ground, to let Dasein ground as one with the simple unity of the fourfold, is to be ethical. To let Dasein be open towards its unfolding world as the grounding of its nearest is ethical. To protect and enforce such ground is the essence of law.”4 </w:t>
      </w:r>
      <w:r w:rsidRPr="006A3057">
        <w:rPr>
          <w:szCs w:val="24"/>
          <w:u w:val="single"/>
        </w:rPr>
        <w:t>The law is an ontological instrument. Its purpose is distorted by the supremacy of metaphysical impe</w:t>
      </w:r>
      <w:r w:rsidRPr="006A3057">
        <w:rPr>
          <w:szCs w:val="24"/>
          <w:u w:val="single"/>
        </w:rPr>
        <w:lastRenderedPageBreak/>
        <w:t>ratives and objectives.</w:t>
      </w:r>
      <w:r w:rsidRPr="00ED0E75">
        <w:rPr>
          <w:sz w:val="16"/>
          <w:szCs w:val="24"/>
        </w:rPr>
        <w:t xml:space="preserve"> But within this primordial function, we must tease out another distinction: the Law of Being and the being of law. What I have discussed thus far is the being of law — the metaphysical instrument designed to protect and enforce the Law of Being. The being of law is something akin to the executive agency of the Law of Being. Our </w:t>
      </w:r>
      <w:r w:rsidRPr="00486191">
        <w:rPr>
          <w:szCs w:val="24"/>
          <w:u w:val="single"/>
        </w:rPr>
        <w:t>legislative decrees, policies, and rights are all subordinate to the Law of Being.</w:t>
      </w:r>
      <w:r w:rsidRPr="00ED0E75">
        <w:rPr>
          <w:sz w:val="8"/>
          <w:szCs w:val="8"/>
        </w:rPr>
        <w:t xml:space="preserve"> ABANDONMENT AND OUTLAWING What is the Law of Being? If we think of Law as the order of Being [dikē], then we understand this order, not just as a realm or field (e.g., like a political order), but also as a command (e.g., an order from a parental figure) of its particular saying, demand, or requirement. Perhaps the realm of Being is nothing more than this command itself. The Law of Being, then, is the order of Being — what it requires and how this requirement sustains Being (since the human is the guardian of Being and Being needs this guardianship, or care, to manifest). But this order is peculiar, and it confounds our diurnal (and metaphysical) understanding of a law and the order that characterizes law in general. What is quite remarkable about Jean- Luc Nancy’s The Birth of Presence is his interpretation of the (non)relation between Being, being, and law. For the Law of Being is a law that conditions all law (our metaphysical understanding of law as this or that decree/legislation as it concerns beings) and a law that “gives nothing, but orders.” This order is revealed to be abandonment (the Law of Being is the Law of Abandonment). There is a fundamental (non)relation between law and abandonment; indeed, abandonment preconditions any law and is understood as the law outside of law that is itself a law (something akin to an exception that is within and without simultaneously). Abandonment is the “not” of law, to borrow Oren BenDor’s concep</w:t>
      </w:r>
      <w:r w:rsidRPr="00ED0E75">
        <w:rPr>
          <w:sz w:val="8"/>
          <w:szCs w:val="8"/>
        </w:rPr>
        <w:lastRenderedPageBreak/>
        <w:t>tion — this “not” escapes simple negativity (i.e., “this is radically different from that,” a metaphysical formulation), but is the within/ without exception that undergirds our metaphysical understanding of law. To return to Nancy, his presentation of abandonment, as the Law of Abandonment and the (non)relation between it and being (abandoned being) presents the condition of law as that which withholds or dissimulates itself within being. We can understand Nancy as suggesting the Law of Abandonment demands absolute submission to the withdrawal of Being through (and within) the there- ness of the human’s being (Being revealed through the dissimulation of itself within being — withdrawal). According to Nancy: One always abandons to a law. The destitution of abandoned being is measured by the limitless severity of the law to which it finds itself exposed. Abandonment does not constitute a subpoena to present oneself before this or that court of law. It is a compulsion to appear absolutely under the law, under the law as such and in its totality. In the same way — it is the same thing — to be banished does not amount to coming under a provision of the law, but rather to coming under the entirety of the law. Turned over to the absolute of the law, the banished one is thereby abandoned completely outside its jurisdiction. The law of abandonment requires the law be applied through its withdrawal. outLawing 69 The Law of abandonment is the other of the law, which constitutes the law. Abandoned being finds itself deserted to a degree that it finds itself remitted, entrusted, or thrown to this law that constitutes the law, this other and same, to this other side of all law that borders and upholds a legal universe; an absolute, solemn order, which prescribes nothing b</w:t>
      </w:r>
      <w:r w:rsidRPr="00ED0E75">
        <w:rPr>
          <w:sz w:val="8"/>
          <w:szCs w:val="8"/>
        </w:rPr>
        <w:lastRenderedPageBreak/>
        <w:t>u</w:t>
      </w:r>
      <w:r w:rsidRPr="00ED0E75">
        <w:rPr>
          <w:sz w:val="8"/>
          <w:szCs w:val="8"/>
        </w:rPr>
        <w:lastRenderedPageBreak/>
        <w:t>t abandonment. . . . Abandonment respects the law; it cannot do otherwise.5 Nancy’s etymological investigation of abandonment presents the term as deriving from bandon (bandum, band, bannen), meaning an “order, prescription, a decree, a permission, and a power that holds these freely at its disposal. To abandon is to remit, entrust, or turn over to such a sovereign power, and to remit, entrust or turn over to its ban, that is to its proclaiming, to its convening, and to its sentencing.”6 Thus, Nancy suggests that the Law of Abandonment orders absolute submission, or remittance, to the ban (or law) of Being. This formulation necessitates a clarification of what the Law itself entails (we know, thus far, that it requires absolute submission to abandonment, as the withdrawal of Being through dissimulation). What is most important for our engagement with Nancy is precisely this clarification; for it adumbrates the inseparability of law and the human being: Man is the being of abandoned being and as such is constituted or rather instituted only by the reception of the order to see man here, there where he is abandoned. To order to see is still an eidetic, or theoretical, order. But what it gives the order to see, the there of man, offers no idea, gives nothing to be seen . . . a place gives itself to be seen, configures itself, but here or there (it is the same, and the other), although it imparts places, although it broaches space and outlines its schemas, itself remains invisible. Here opens a spacing, clears an area upon which being is thrown, abandoned.7 What, then, does Nancy mean with this spacing of the order? If what defines the human’s being is Da- sein [being there], then Being unfolds through the thrown- ness of the human in that very place (that very there). “Man is only ordered as being- there, or to be there — that is, here.”8 Thus, the Law of Abandonment orders the human to see this very place (space 70 chapter two as there- ness) within which Being unfolds through it.</w:t>
      </w:r>
      <w:r w:rsidRPr="00ED0E75">
        <w:rPr>
          <w:sz w:val="16"/>
          <w:szCs w:val="24"/>
        </w:rPr>
        <w:t xml:space="preserve"> </w:t>
      </w:r>
      <w:r w:rsidRPr="00DB7235">
        <w:rPr>
          <w:szCs w:val="24"/>
          <w:u w:val="single"/>
        </w:rPr>
        <w:t xml:space="preserve">But </w:t>
      </w:r>
      <w:r w:rsidRPr="001F49FF">
        <w:rPr>
          <w:szCs w:val="24"/>
          <w:u w:val="single"/>
        </w:rPr>
        <w:t xml:space="preserve">there is a conundrum: the law demands a seeing of the place of Being’s unfolding but this place is invisible — the demand to see what is invisible, as a necessity of the order, is what constitutes withdrawal. </w:t>
      </w:r>
      <w:r w:rsidRPr="001F49FF">
        <w:rPr>
          <w:sz w:val="8"/>
          <w:szCs w:val="8"/>
        </w:rPr>
        <w:t>According to Nancy, this constitutes an impossible categorical imperative, an impossibility that sets something like Kant’s categorical imperative into motion (i.e., an impossible law founds the instantiation of all laws). But why is this place invisible? It is invisible precisely because the place where Being unfolds is the place where it also withdraws. We are thus ordered to see the place of withdrawal that constitutes the human as such. This withdrawal does not conform to the metaphysical schema of time/space, so it demands obedience to an impossible demand. What we can take from Nancy’s diacritical presentation is that all laws (i.e., legislation passed by Congress, amendments, decrees) are subordinate to an impossible demand to see an invisible space of Being’s withdrawal — into the very there- ness that one is thrown. Although one cannot see the place, the order to see anyway is the order upon which law gains its ethical ground. To see what is invisible sets the enterprise of law — as both protection and enforcement — into motion. But what I would like to present is an additional problematic: all seeing is predicated upon blindness.</w:t>
      </w:r>
      <w:r w:rsidRPr="001F49FF">
        <w:rPr>
          <w:sz w:val="16"/>
          <w:szCs w:val="24"/>
        </w:rPr>
        <w:t xml:space="preserve"> </w:t>
      </w:r>
      <w:r w:rsidRPr="001F49FF">
        <w:rPr>
          <w:b/>
          <w:bCs/>
          <w:szCs w:val="24"/>
          <w:u w:val="single"/>
        </w:rPr>
        <w:t>Something must remain outside the field of vision for the seeing to take place</w:t>
      </w:r>
      <w:r w:rsidRPr="00D3738C">
        <w:rPr>
          <w:szCs w:val="24"/>
          <w:u w:val="single"/>
        </w:rPr>
        <w:t xml:space="preserve"> — blindness provides the condition of possibility for the sight mandated, even to see the invisible.</w:t>
      </w:r>
      <w:r w:rsidRPr="00ED0E75">
        <w:rPr>
          <w:sz w:val="16"/>
          <w:szCs w:val="24"/>
        </w:rPr>
        <w:t xml:space="preserve"> We can also conceive of Nancy’s ban through another perspective, as least etymologically, then. Ban also connotes a covering over or a censuring. When something is censured, it provides the condition of possibility for something else to be seen. Thus, the ban, the Law of Abandonment, not only requires the seeing of the invisible, but simultaneously the not seeing, the censuring, of the non- place (the always already not there or here). What I am suggesting is that the Law of Abandonment is doubled (and conceals this doubling</w:t>
      </w:r>
      <w:r w:rsidRPr="009630FC">
        <w:rPr>
          <w:b/>
          <w:bCs/>
          <w:szCs w:val="24"/>
          <w:u w:val="single"/>
        </w:rPr>
        <w:t xml:space="preserve">). The double function is to see the invisible and not see that which never arrived — that which lacked a there- ness through which Being would withdraw. This second, and hidden, order of law is what I will call “outlawing,” </w:t>
      </w:r>
      <w:r w:rsidRPr="00ED0E75">
        <w:rPr>
          <w:sz w:val="16"/>
          <w:szCs w:val="24"/>
        </w:rPr>
        <w:t xml:space="preserve">following Frantz Fanon. </w:t>
      </w:r>
      <w:r w:rsidRPr="00486191">
        <w:rPr>
          <w:szCs w:val="24"/>
          <w:u w:val="single"/>
        </w:rPr>
        <w:t>It is the demand not to see the nonarrival, which Being parasitically relies upon for its own withdrawal.</w:t>
      </w:r>
      <w:r w:rsidRPr="009630FC">
        <w:rPr>
          <w:szCs w:val="24"/>
          <w:u w:val="single"/>
        </w:rPr>
        <w:t xml:space="preserve"> </w:t>
      </w:r>
      <w:r w:rsidRPr="00ED0E75">
        <w:rPr>
          <w:sz w:val="16"/>
          <w:szCs w:val="24"/>
        </w:rPr>
        <w:t xml:space="preserve">This, I argue, </w:t>
      </w:r>
      <w:r w:rsidRPr="009630FC">
        <w:rPr>
          <w:szCs w:val="24"/>
          <w:u w:val="single"/>
        </w:rPr>
        <w:t xml:space="preserve">is a simultaneous order not to see black being, since it is without a world and lacks a there- ness within the unfolding of Being. </w:t>
      </w:r>
      <w:r w:rsidRPr="00486191">
        <w:rPr>
          <w:szCs w:val="24"/>
          <w:highlight w:val="yellow"/>
          <w:u w:val="single"/>
        </w:rPr>
        <w:t xml:space="preserve">Blackness </w:t>
      </w:r>
      <w:r w:rsidRPr="00744CB9">
        <w:rPr>
          <w:szCs w:val="24"/>
          <w:u w:val="single"/>
        </w:rPr>
        <w:t xml:space="preserve">terrifies and </w:t>
      </w:r>
      <w:r w:rsidRPr="00486191">
        <w:rPr>
          <w:szCs w:val="24"/>
          <w:highlight w:val="yellow"/>
          <w:u w:val="single"/>
        </w:rPr>
        <w:t xml:space="preserve">is </w:t>
      </w:r>
      <w:r w:rsidRPr="00744CB9">
        <w:rPr>
          <w:szCs w:val="24"/>
          <w:highlight w:val="yellow"/>
          <w:u w:val="single"/>
        </w:rPr>
        <w:t xml:space="preserve">terrorized, ontologically, because </w:t>
      </w:r>
      <w:r w:rsidRPr="00486191">
        <w:rPr>
          <w:szCs w:val="24"/>
          <w:highlight w:val="yellow"/>
          <w:u w:val="single"/>
        </w:rPr>
        <w:t xml:space="preserve">it lacks a place from which an </w:t>
      </w:r>
      <w:r w:rsidRPr="00744CB9">
        <w:rPr>
          <w:szCs w:val="24"/>
          <w:u w:val="single"/>
        </w:rPr>
        <w:t xml:space="preserve">ethical </w:t>
      </w:r>
      <w:r w:rsidRPr="00486191">
        <w:rPr>
          <w:szCs w:val="24"/>
          <w:highlight w:val="yellow"/>
          <w:u w:val="single"/>
        </w:rPr>
        <w:t>imperative to see can emerge</w:t>
      </w:r>
      <w:r w:rsidRPr="009630FC">
        <w:rPr>
          <w:szCs w:val="24"/>
          <w:u w:val="single"/>
        </w:rPr>
        <w:t>.</w:t>
      </w:r>
      <w:r w:rsidRPr="00ED0E75">
        <w:rPr>
          <w:sz w:val="16"/>
          <w:szCs w:val="24"/>
        </w:rPr>
        <w:t xml:space="preserve"> Following Hortense Spillers, the consequence of this perverse imperative is that “we lose any hint or suggestion of a dimension of ethics, of relatedness . . . to that extent, the procedure adopted for the captive flesh demarcates a total objectification.”9 Spillers also suggests that “[</w:t>
      </w:r>
      <w:r w:rsidRPr="00ED0E75">
        <w:rPr>
          <w:rStyle w:val="StyleUnderline"/>
        </w:rPr>
        <w:t xml:space="preserve">the] </w:t>
      </w:r>
      <w:r w:rsidRPr="00ED0E75">
        <w:rPr>
          <w:rStyle w:val="Emphasis"/>
          <w:highlight w:val="yellow"/>
        </w:rPr>
        <w:t xml:space="preserve">undecipherable markings on the captive body render a </w:t>
      </w:r>
      <w:r w:rsidRPr="001F49FF">
        <w:rPr>
          <w:rStyle w:val="Emphasis"/>
        </w:rPr>
        <w:t>kind of</w:t>
      </w:r>
      <w:r w:rsidRPr="00ED0E75">
        <w:rPr>
          <w:rStyle w:val="StyleUnderline"/>
        </w:rPr>
        <w:t xml:space="preserve"> </w:t>
      </w:r>
      <w:r w:rsidRPr="00ED0E75">
        <w:rPr>
          <w:rStyle w:val="StyleUnderline"/>
          <w:highlight w:val="yellow"/>
        </w:rPr>
        <w:t xml:space="preserve">hieroglyphics of the flesh </w:t>
      </w:r>
      <w:r w:rsidRPr="00FD6EE1">
        <w:rPr>
          <w:rStyle w:val="StyleUnderline"/>
        </w:rPr>
        <w:t>whose</w:t>
      </w:r>
      <w:r w:rsidRPr="00ED0E75">
        <w:rPr>
          <w:rStyle w:val="StyleUnderline"/>
        </w:rPr>
        <w:t xml:space="preserve"> severe disjunctures </w:t>
      </w:r>
      <w:r w:rsidRPr="00FD6EE1">
        <w:rPr>
          <w:rStyle w:val="StyleUnderline"/>
        </w:rPr>
        <w:t xml:space="preserve">come to be </w:t>
      </w:r>
      <w:r w:rsidRPr="009C2BCC">
        <w:rPr>
          <w:rStyle w:val="StyleUnderline"/>
        </w:rPr>
        <w:t>hidden</w:t>
      </w:r>
      <w:r w:rsidRPr="00ED0E75">
        <w:rPr>
          <w:sz w:val="16"/>
          <w:szCs w:val="24"/>
        </w:rPr>
        <w:t xml:space="preserve"> to the cultural seeing of skin color”10 (emphasis mine). Spil lers’s “cultural seeing” is precisely Nancy’s impossible imperative to see, and the metaphysical holocaust (</w:t>
      </w:r>
      <w:r w:rsidRPr="00ED0E75">
        <w:rPr>
          <w:rStyle w:val="StyleUnderline"/>
          <w:highlight w:val="yellow"/>
        </w:rPr>
        <w:t>destruction of</w:t>
      </w:r>
      <w:r w:rsidRPr="00ED0E75">
        <w:rPr>
          <w:rStyle w:val="StyleUnderline"/>
        </w:rPr>
        <w:t xml:space="preserve"> </w:t>
      </w:r>
      <w:r w:rsidRPr="00ED0E75">
        <w:rPr>
          <w:rStyle w:val="StyleUnderline"/>
          <w:highlight w:val="yellow"/>
        </w:rPr>
        <w:t>the flesh</w:t>
      </w:r>
      <w:r w:rsidRPr="00ED0E75">
        <w:rPr>
          <w:sz w:val="16"/>
          <w:szCs w:val="24"/>
        </w:rPr>
        <w:t xml:space="preserve"> as primary narrative), which censures (</w:t>
      </w:r>
      <w:r w:rsidRPr="00ED0E75">
        <w:rPr>
          <w:rStyle w:val="StyleUnderline"/>
        </w:rPr>
        <w:t>bans) blackness</w:t>
      </w:r>
      <w:r w:rsidRPr="00ED0E75">
        <w:rPr>
          <w:sz w:val="16"/>
          <w:szCs w:val="24"/>
        </w:rPr>
        <w:t xml:space="preserve"> out of sight, </w:t>
      </w:r>
      <w:r w:rsidRPr="00ED0E75">
        <w:rPr>
          <w:rStyle w:val="StyleUnderline"/>
          <w:highlight w:val="yellow"/>
        </w:rPr>
        <w:t xml:space="preserve">hides </w:t>
      </w:r>
      <w:r w:rsidRPr="00842E6F">
        <w:rPr>
          <w:rStyle w:val="StyleUnderline"/>
        </w:rPr>
        <w:t>this</w:t>
      </w:r>
      <w:r w:rsidRPr="00ED0E75">
        <w:rPr>
          <w:rStyle w:val="StyleUnderline"/>
          <w:highlight w:val="yellow"/>
        </w:rPr>
        <w:t xml:space="preserve"> devastation and recasts it as an </w:t>
      </w:r>
      <w:r w:rsidRPr="00ED0E75">
        <w:rPr>
          <w:rStyle w:val="StyleUnderline"/>
        </w:rPr>
        <w:t xml:space="preserve">unseen </w:t>
      </w:r>
      <w:r w:rsidRPr="00ED0E75">
        <w:rPr>
          <w:rStyle w:val="StyleUnderline"/>
          <w:highlight w:val="yellow"/>
        </w:rPr>
        <w:t>ontological hieroglyphic within law — unreadable and unseen</w:t>
      </w:r>
      <w:r w:rsidRPr="00ED0E75">
        <w:rPr>
          <w:rStyle w:val="StyleUnderline"/>
        </w:rPr>
        <w:t xml:space="preserve"> within the Order of Being</w:t>
      </w:r>
      <w:r w:rsidRPr="00ED0E75">
        <w:rPr>
          <w:sz w:val="16"/>
          <w:szCs w:val="24"/>
        </w:rPr>
        <w:t xml:space="preserve">. Thus, the refusal to see the unreadable sign of ontological violence (hieroglyphic) is the Order of Being. </w:t>
      </w:r>
      <w:r w:rsidRPr="00840105">
        <w:rPr>
          <w:b/>
          <w:bCs/>
          <w:szCs w:val="24"/>
          <w:u w:val="single"/>
        </w:rPr>
        <w:t xml:space="preserve">Outlawing is the enforced not seeing and maintenance of onticide — </w:t>
      </w:r>
      <w:r w:rsidRPr="00ED0E75">
        <w:rPr>
          <w:b/>
          <w:bCs/>
          <w:szCs w:val="24"/>
          <w:highlight w:val="yellow"/>
          <w:u w:val="single"/>
        </w:rPr>
        <w:t>the continued destruction of the flesh</w:t>
      </w:r>
      <w:r w:rsidRPr="00744CB9">
        <w:rPr>
          <w:b/>
          <w:bCs/>
          <w:szCs w:val="24"/>
          <w:u w:val="single"/>
        </w:rPr>
        <w:t xml:space="preserve">. This not seeing </w:t>
      </w:r>
      <w:r w:rsidRPr="00ED0E75">
        <w:rPr>
          <w:b/>
          <w:bCs/>
          <w:szCs w:val="24"/>
          <w:highlight w:val="yellow"/>
          <w:u w:val="single"/>
        </w:rPr>
        <w:t xml:space="preserve">is </w:t>
      </w:r>
      <w:r w:rsidRPr="00443755">
        <w:rPr>
          <w:b/>
          <w:bCs/>
          <w:szCs w:val="24"/>
          <w:u w:val="single"/>
        </w:rPr>
        <w:t xml:space="preserve">a </w:t>
      </w:r>
      <w:r w:rsidRPr="00ED0E75">
        <w:rPr>
          <w:b/>
          <w:bCs/>
          <w:szCs w:val="24"/>
          <w:highlight w:val="yellow"/>
          <w:u w:val="single"/>
        </w:rPr>
        <w:t>condition of all law,</w:t>
      </w:r>
      <w:r w:rsidRPr="00744CB9">
        <w:rPr>
          <w:b/>
          <w:bCs/>
          <w:szCs w:val="24"/>
          <w:u w:val="single"/>
        </w:rPr>
        <w:t xml:space="preserve"> both</w:t>
      </w:r>
      <w:r w:rsidRPr="00840105">
        <w:rPr>
          <w:b/>
          <w:bCs/>
          <w:szCs w:val="24"/>
          <w:u w:val="single"/>
        </w:rPr>
        <w:t xml:space="preserve"> ontologically and </w:t>
      </w:r>
      <w:r w:rsidRPr="00937985">
        <w:rPr>
          <w:b/>
          <w:bCs/>
          <w:szCs w:val="24"/>
          <w:u w:val="single"/>
        </w:rPr>
        <w:t>metaphysically.</w:t>
      </w:r>
      <w:r w:rsidRPr="00937985">
        <w:rPr>
          <w:szCs w:val="24"/>
          <w:u w:val="single"/>
        </w:rPr>
        <w:t xml:space="preserve"> Outlawing entails (1) censuring the ontological seeing of black being’s holocaust, which continually obliterates there- ness and (2) the not of law, as the outside/inside formulation of the imperative. Outlawing is outside law, since it contravenes the ethical imperative to see the invisible, and also inside law, since it enables and conditions this very imperative — the censure is at the very heart of law. Outlawing is the exception that determines our legal and ethical norms. </w:t>
      </w:r>
    </w:p>
    <w:p w14:paraId="6064C91C" w14:textId="77777777" w:rsidR="00263BF7" w:rsidRDefault="00263BF7" w:rsidP="008C3C62"/>
    <w:p w14:paraId="17F382E6" w14:textId="77777777" w:rsidR="00263BF7" w:rsidRPr="007B422F" w:rsidRDefault="00263BF7" w:rsidP="00263BF7">
      <w:pPr>
        <w:pStyle w:val="Heading4"/>
      </w:pPr>
      <w:r>
        <w:t xml:space="preserve">Universality DA: </w:t>
      </w:r>
      <w:r w:rsidRPr="007B422F">
        <w:rPr>
          <w:bCs/>
          <w:szCs w:val="26"/>
        </w:rPr>
        <w:t>The notion that the</w:t>
      </w:r>
      <w:r>
        <w:rPr>
          <w:bCs/>
          <w:szCs w:val="26"/>
        </w:rPr>
        <w:t xml:space="preserve"> hypothetical consequences of the</w:t>
      </w:r>
      <w:r w:rsidRPr="007B422F">
        <w:rPr>
          <w:bCs/>
          <w:szCs w:val="26"/>
        </w:rPr>
        <w:t xml:space="preserve"> plan</w:t>
      </w:r>
      <w:r w:rsidRPr="007B422F">
        <w:rPr>
          <w:bCs/>
          <w:szCs w:val="26"/>
        </w:rPr>
        <w:lastRenderedPageBreak/>
        <w:t xml:space="preserve"> are the </w:t>
      </w:r>
      <w:r>
        <w:rPr>
          <w:bCs/>
          <w:szCs w:val="26"/>
        </w:rPr>
        <w:t>most</w:t>
      </w:r>
      <w:r w:rsidRPr="007B422F">
        <w:rPr>
          <w:bCs/>
          <w:szCs w:val="26"/>
        </w:rPr>
        <w:t xml:space="preserve"> predictable </w:t>
      </w:r>
      <w:r>
        <w:rPr>
          <w:bCs/>
          <w:szCs w:val="26"/>
        </w:rPr>
        <w:t>loci</w:t>
      </w:r>
      <w:r w:rsidRPr="007B422F">
        <w:rPr>
          <w:bCs/>
          <w:szCs w:val="26"/>
        </w:rPr>
        <w:t xml:space="preserve"> for contestation is </w:t>
      </w:r>
      <w:r w:rsidRPr="007B422F">
        <w:rPr>
          <w:bCs/>
          <w:i/>
          <w:szCs w:val="26"/>
        </w:rPr>
        <w:t>not</w:t>
      </w:r>
      <w:r w:rsidRPr="007B422F">
        <w:rPr>
          <w:bCs/>
          <w:szCs w:val="26"/>
        </w:rPr>
        <w:t xml:space="preserve"> based on some </w:t>
      </w:r>
      <w:r>
        <w:rPr>
          <w:bCs/>
          <w:i/>
          <w:iCs w:val="0"/>
          <w:szCs w:val="26"/>
        </w:rPr>
        <w:t>universal</w:t>
      </w:r>
      <w:r>
        <w:rPr>
          <w:bCs/>
          <w:szCs w:val="26"/>
        </w:rPr>
        <w:t xml:space="preserve"> expectation of what debate is</w:t>
      </w:r>
      <w:r w:rsidRPr="007B422F">
        <w:rPr>
          <w:bCs/>
          <w:szCs w:val="26"/>
        </w:rPr>
        <w:t xml:space="preserve"> but does place whiteness as the </w:t>
      </w:r>
      <w:r>
        <w:rPr>
          <w:bCs/>
          <w:szCs w:val="26"/>
        </w:rPr>
        <w:t>starting point for</w:t>
      </w:r>
      <w:r w:rsidRPr="007B422F">
        <w:rPr>
          <w:bCs/>
          <w:szCs w:val="26"/>
        </w:rPr>
        <w:t xml:space="preserve"> what should be considered up for debate. </w:t>
      </w:r>
    </w:p>
    <w:p w14:paraId="73F17570" w14:textId="77777777" w:rsidR="00263BF7" w:rsidRPr="00AE266E" w:rsidRDefault="00263BF7" w:rsidP="00263BF7">
      <w:pPr>
        <w:rPr>
          <w:sz w:val="20"/>
          <w:szCs w:val="20"/>
        </w:rPr>
      </w:pPr>
      <w:r w:rsidRPr="00AE266E">
        <w:rPr>
          <w:b/>
          <w:bCs/>
          <w:sz w:val="26"/>
          <w:szCs w:val="26"/>
        </w:rPr>
        <w:t>Athanasopoulos</w:t>
      </w:r>
      <w:r w:rsidRPr="00AE266E">
        <w:rPr>
          <w:sz w:val="20"/>
          <w:szCs w:val="20"/>
        </w:rPr>
        <w:t xml:space="preserve">, Charles, </w:t>
      </w:r>
      <w:r w:rsidRPr="00AE266E">
        <w:rPr>
          <w:b/>
          <w:bCs/>
          <w:sz w:val="26"/>
          <w:szCs w:val="26"/>
        </w:rPr>
        <w:t>and</w:t>
      </w:r>
      <w:r w:rsidRPr="00AE266E">
        <w:rPr>
          <w:sz w:val="20"/>
          <w:szCs w:val="20"/>
        </w:rPr>
        <w:t xml:space="preserve"> Corinne Mitsuye </w:t>
      </w:r>
      <w:r w:rsidRPr="00AE266E">
        <w:rPr>
          <w:b/>
          <w:bCs/>
          <w:sz w:val="26"/>
          <w:szCs w:val="26"/>
        </w:rPr>
        <w:t>Sugino</w:t>
      </w:r>
      <w:r w:rsidRPr="00AE266E">
        <w:rPr>
          <w:sz w:val="20"/>
          <w:szCs w:val="20"/>
        </w:rPr>
        <w:t>. "Clash of the Uncivilized: An Alternative Approach to Policy Debate." </w:t>
      </w:r>
      <w:r w:rsidRPr="00AE266E">
        <w:rPr>
          <w:i/>
          <w:iCs/>
          <w:sz w:val="20"/>
          <w:szCs w:val="20"/>
        </w:rPr>
        <w:t>Contemporary Argumentation and Debate</w:t>
      </w:r>
      <w:r w:rsidRPr="00AE266E">
        <w:rPr>
          <w:sz w:val="20"/>
          <w:szCs w:val="20"/>
        </w:rPr>
        <w:t> 38.1 (20</w:t>
      </w:r>
      <w:r w:rsidRPr="00AE266E">
        <w:rPr>
          <w:b/>
          <w:bCs/>
          <w:sz w:val="26"/>
          <w:szCs w:val="26"/>
        </w:rPr>
        <w:t>23</w:t>
      </w:r>
      <w:r w:rsidRPr="00AE266E">
        <w:rPr>
          <w:sz w:val="20"/>
          <w:szCs w:val="20"/>
        </w:rPr>
        <w:t>): 7.</w:t>
      </w:r>
      <w:r>
        <w:rPr>
          <w:sz w:val="20"/>
          <w:szCs w:val="20"/>
        </w:rPr>
        <w:t xml:space="preserve"> [</w:t>
      </w:r>
      <w:r w:rsidRPr="00A83B37">
        <w:rPr>
          <w:sz w:val="20"/>
          <w:szCs w:val="20"/>
        </w:rPr>
        <w:t>Charles Athanasopoulos is a writer and teacher currently serving as Assistant Professor of Black Rhetoric &amp; Popular Culture at The Ohio State University.</w:t>
      </w:r>
      <w:r>
        <w:rPr>
          <w:sz w:val="20"/>
          <w:szCs w:val="20"/>
        </w:rPr>
        <w:t xml:space="preserve"> </w:t>
      </w:r>
      <w:r w:rsidRPr="00264110">
        <w:rPr>
          <w:sz w:val="20"/>
          <w:szCs w:val="20"/>
        </w:rPr>
        <w:t>Corinne Sugino is an Assistant Professor in the Department of English and Center for Ethnic Studies. Their research focus lies at the intersections of Asian American studies, cultural studies, rhetorical theory, and media studies. Corinne's first book project, </w:t>
      </w:r>
      <w:r w:rsidRPr="00264110">
        <w:rPr>
          <w:i/>
          <w:iCs/>
          <w:sz w:val="20"/>
          <w:szCs w:val="20"/>
        </w:rPr>
        <w:t>Making the Human: Race, Allegory, and Asian Americans </w:t>
      </w:r>
      <w:r w:rsidRPr="00264110">
        <w:rPr>
          <w:sz w:val="20"/>
          <w:szCs w:val="20"/>
        </w:rPr>
        <w:t>(Rutgers University Press, November 2024) explores how cultural and media narratives about Asian American racial and gendered difference naturalizes a limited understanding of what it means to be human.</w:t>
      </w:r>
      <w:r>
        <w:rPr>
          <w:sz w:val="20"/>
          <w:szCs w:val="20"/>
        </w:rPr>
        <w:t>]</w:t>
      </w:r>
    </w:p>
    <w:p w14:paraId="11333942" w14:textId="77777777" w:rsidR="00263BF7" w:rsidRPr="006E2331" w:rsidRDefault="00263BF7" w:rsidP="00263BF7">
      <w:pPr>
        <w:rPr>
          <w:szCs w:val="24"/>
          <w:u w:val="single"/>
        </w:rPr>
      </w:pPr>
      <w:r w:rsidRPr="006E2331">
        <w:rPr>
          <w:sz w:val="15"/>
          <w:szCs w:val="24"/>
        </w:rPr>
        <w:t xml:space="preserve">The next section of this essay attempts to answer these questions by exploring how alternative conceptions of social movements might be applied to critical/performance debate. By couching these practices in existing scholarship such as the fields of social movement theory and communication studies to name a few, we attempt to further articulate how rev v. rev debates offer a literature base over which fruitful clash can occur. In doing so, </w:t>
      </w:r>
      <w:r w:rsidRPr="006E2331">
        <w:rPr>
          <w:szCs w:val="24"/>
          <w:u w:val="single"/>
        </w:rPr>
        <w:t xml:space="preserve">we challenge the overrepresentation of </w:t>
      </w:r>
      <w:r w:rsidRPr="006E2331">
        <w:rPr>
          <w:szCs w:val="24"/>
          <w:highlight w:val="yellow"/>
          <w:u w:val="single"/>
        </w:rPr>
        <w:t>traditional policy</w:t>
      </w:r>
      <w:r w:rsidRPr="006E2331">
        <w:rPr>
          <w:szCs w:val="24"/>
          <w:u w:val="single"/>
        </w:rPr>
        <w:t xml:space="preserve"> debate as debate itself through a critical interrogation of traditional norms and practices</w:t>
      </w:r>
      <w:r w:rsidRPr="006E2331">
        <w:rPr>
          <w:b/>
          <w:bCs/>
          <w:szCs w:val="24"/>
          <w:u w:val="single"/>
        </w:rPr>
        <w:t xml:space="preserve">. We argue that these </w:t>
      </w:r>
      <w:r w:rsidRPr="006E2331">
        <w:rPr>
          <w:b/>
          <w:bCs/>
          <w:szCs w:val="24"/>
          <w:highlight w:val="yellow"/>
          <w:u w:val="single"/>
        </w:rPr>
        <w:t>norms are not a result of a balanced social contract, but</w:t>
      </w:r>
      <w:r w:rsidRPr="006E2331">
        <w:rPr>
          <w:b/>
          <w:bCs/>
          <w:szCs w:val="24"/>
          <w:u w:val="single"/>
        </w:rPr>
        <w:t xml:space="preserve"> instead </w:t>
      </w:r>
      <w:r w:rsidRPr="006E2331">
        <w:rPr>
          <w:b/>
          <w:bCs/>
          <w:szCs w:val="24"/>
          <w:highlight w:val="yellow"/>
          <w:u w:val="single"/>
        </w:rPr>
        <w:t>an enforcement of anti-Black power</w:t>
      </w:r>
      <w:r w:rsidRPr="006E2331">
        <w:rPr>
          <w:b/>
          <w:bCs/>
          <w:szCs w:val="24"/>
          <w:u w:val="single"/>
        </w:rPr>
        <w:t xml:space="preserve"> as a way to impose these norms on the community.</w:t>
      </w:r>
      <w:r w:rsidRPr="006E2331">
        <w:rPr>
          <w:sz w:val="15"/>
          <w:szCs w:val="24"/>
        </w:rPr>
        <w:t xml:space="preserve"> Through this process </w:t>
      </w:r>
      <w:r w:rsidRPr="006E2331">
        <w:rPr>
          <w:szCs w:val="24"/>
          <w:highlight w:val="yellow"/>
          <w:u w:val="single"/>
        </w:rPr>
        <w:t>traditional policy debate produces a narrow vision of</w:t>
      </w:r>
      <w:r w:rsidRPr="006E2331">
        <w:rPr>
          <w:szCs w:val="24"/>
          <w:u w:val="single"/>
        </w:rPr>
        <w:t xml:space="preserve"> education and </w:t>
      </w:r>
      <w:r w:rsidRPr="006E2331">
        <w:rPr>
          <w:szCs w:val="24"/>
          <w:highlight w:val="yellow"/>
          <w:u w:val="single"/>
        </w:rPr>
        <w:t>the types of portable skills can be gained fr</w:t>
      </w:r>
      <w:r w:rsidRPr="006E2331">
        <w:rPr>
          <w:szCs w:val="24"/>
          <w:highlight w:val="yellow"/>
          <w:u w:val="single"/>
        </w:rPr>
        <w:lastRenderedPageBreak/>
        <w:t>om the activity,</w:t>
      </w:r>
      <w:r w:rsidRPr="006E2331">
        <w:rPr>
          <w:szCs w:val="24"/>
          <w:u w:val="single"/>
        </w:rPr>
        <w:t xml:space="preserve"> </w:t>
      </w:r>
      <w:r w:rsidRPr="006E2331">
        <w:rPr>
          <w:szCs w:val="24"/>
          <w:highlight w:val="yellow"/>
          <w:u w:val="single"/>
        </w:rPr>
        <w:t>because it can only find value in</w:t>
      </w:r>
      <w:r w:rsidRPr="006E2331">
        <w:rPr>
          <w:szCs w:val="24"/>
          <w:u w:val="single"/>
        </w:rPr>
        <w:t xml:space="preserve"> the </w:t>
      </w:r>
      <w:r w:rsidRPr="006E2331">
        <w:rPr>
          <w:szCs w:val="24"/>
          <w:highlight w:val="yellow"/>
          <w:u w:val="single"/>
        </w:rPr>
        <w:t>sections of the library they have arbitrarily championed</w:t>
      </w:r>
      <w:r w:rsidRPr="006E2331">
        <w:rPr>
          <w:szCs w:val="24"/>
          <w:u w:val="single"/>
        </w:rPr>
        <w:t xml:space="preserve"> as the only sections worth examining.</w:t>
      </w:r>
      <w:r w:rsidRPr="006E2331">
        <w:rPr>
          <w:sz w:val="15"/>
          <w:szCs w:val="24"/>
        </w:rPr>
        <w:t xml:space="preserve"> What Moves Debate? Critical Debate and Rhetorics of Agitation Evolving scholarly debates over social movements, critical theory, race, and rhetoric have the potential to provide fruitful scholarly grounds upon which rev v. rev debates might draw on. As we contend in this section, these debates not only constitute rhetorics of agitation that challenge the hegemony of white-dominated establishment politics but present a model for considering clash between two strategies outside of government reform. </w:t>
      </w:r>
      <w:r w:rsidRPr="006E2331">
        <w:rPr>
          <w:szCs w:val="24"/>
          <w:u w:val="single"/>
        </w:rPr>
        <w:t>Although</w:t>
      </w:r>
      <w:r w:rsidRPr="006E2331">
        <w:rPr>
          <w:szCs w:val="24"/>
          <w:highlight w:val="yellow"/>
          <w:u w:val="single"/>
        </w:rPr>
        <w:t xml:space="preserve"> traditional debate considers the hypothetical imagination of</w:t>
      </w:r>
      <w:r w:rsidRPr="006E2331">
        <w:rPr>
          <w:szCs w:val="24"/>
          <w:u w:val="single"/>
        </w:rPr>
        <w:t xml:space="preserve"> government </w:t>
      </w:r>
      <w:r w:rsidRPr="006E2331">
        <w:rPr>
          <w:szCs w:val="24"/>
          <w:highlight w:val="yellow"/>
          <w:u w:val="single"/>
        </w:rPr>
        <w:t>reform</w:t>
      </w:r>
      <w:r w:rsidRPr="006E2331">
        <w:rPr>
          <w:szCs w:val="24"/>
          <w:u w:val="single"/>
        </w:rPr>
        <w:t xml:space="preserve"> to be </w:t>
      </w:r>
      <w:r w:rsidRPr="006E2331">
        <w:rPr>
          <w:szCs w:val="24"/>
          <w:highlight w:val="yellow"/>
          <w:u w:val="single"/>
        </w:rPr>
        <w:t>the natural stasis</w:t>
      </w:r>
      <w:r w:rsidRPr="006E2331">
        <w:rPr>
          <w:szCs w:val="24"/>
          <w:u w:val="single"/>
        </w:rPr>
        <w:t xml:space="preserve"> of debate writ-large, this stasis is</w:t>
      </w:r>
      <w:r w:rsidRPr="006E2331">
        <w:rPr>
          <w:szCs w:val="24"/>
          <w:highlight w:val="yellow"/>
          <w:u w:val="single"/>
        </w:rPr>
        <w:t xml:space="preserve"> justified through social construction, not inherent limits</w:t>
      </w:r>
      <w:r w:rsidRPr="006E2331">
        <w:rPr>
          <w:szCs w:val="24"/>
          <w:u w:val="single"/>
        </w:rPr>
        <w:t xml:space="preserve"> on the scope of the topic.</w:t>
      </w:r>
      <w:r w:rsidRPr="006E2331">
        <w:rPr>
          <w:sz w:val="15"/>
          <w:szCs w:val="24"/>
        </w:rPr>
        <w:t xml:space="preserve"> As Robert Krizek and Thomas Nakayama (1995) highlight</w:t>
      </w:r>
      <w:r w:rsidRPr="006E2331">
        <w:rPr>
          <w:sz w:val="15"/>
          <w:szCs w:val="24"/>
          <w:highlight w:val="yellow"/>
        </w:rPr>
        <w:t xml:space="preserve">, </w:t>
      </w:r>
      <w:r w:rsidRPr="006E2331">
        <w:rPr>
          <w:szCs w:val="24"/>
          <w:highlight w:val="yellow"/>
          <w:u w:val="single"/>
        </w:rPr>
        <w:t>whiteness functions as the unspoken, universal standard of communication</w:t>
      </w:r>
      <w:r w:rsidRPr="006E2331">
        <w:rPr>
          <w:szCs w:val="24"/>
          <w:u w:val="single"/>
        </w:rPr>
        <w:t xml:space="preserve">, in which the ideas, identities, and </w:t>
      </w:r>
      <w:r w:rsidRPr="006E2331">
        <w:rPr>
          <w:szCs w:val="24"/>
          <w:highlight w:val="yellow"/>
          <w:u w:val="single"/>
        </w:rPr>
        <w:t>experiences of white people are presumed as a “neutral” consensus</w:t>
      </w:r>
      <w:r w:rsidRPr="006E2331">
        <w:rPr>
          <w:szCs w:val="24"/>
          <w:u w:val="single"/>
        </w:rPr>
        <w:t>.</w:t>
      </w:r>
      <w:r w:rsidRPr="006E2331">
        <w:rPr>
          <w:sz w:val="15"/>
          <w:szCs w:val="24"/>
        </w:rPr>
        <w:t xml:space="preserve"> Sylvia Wynter (2003) speaks to the “overrepresentation of Man as human,” in describing how white people stand in as the metaphysical referent point for what it means to be human itself. Similarly</w:t>
      </w:r>
      <w:r w:rsidRPr="006E2331">
        <w:rPr>
          <w:b/>
          <w:bCs/>
          <w:szCs w:val="24"/>
          <w:u w:val="single"/>
        </w:rPr>
        <w:t xml:space="preserve">, the white traditional policy debater stands in as the rhetorical, intellectual, and practical referent point of debate par excellence, </w:t>
      </w:r>
      <w:r w:rsidRPr="006E2331">
        <w:rPr>
          <w:b/>
          <w:bCs/>
          <w:szCs w:val="24"/>
          <w:highlight w:val="yellow"/>
          <w:u w:val="single"/>
        </w:rPr>
        <w:t>framing critical challenges forwarded by Black</w:t>
      </w:r>
      <w:r w:rsidRPr="006E2331">
        <w:rPr>
          <w:b/>
          <w:bCs/>
          <w:szCs w:val="24"/>
          <w:u w:val="single"/>
        </w:rPr>
        <w:t xml:space="preserve"> and minority </w:t>
      </w:r>
      <w:r w:rsidRPr="006E2331">
        <w:rPr>
          <w:b/>
          <w:bCs/>
          <w:szCs w:val="24"/>
          <w:highlight w:val="yellow"/>
          <w:u w:val="single"/>
        </w:rPr>
        <w:t>debaters as peripheral, threatening, and unpredictable</w:t>
      </w:r>
      <w:r w:rsidRPr="006E2331">
        <w:rPr>
          <w:b/>
          <w:bCs/>
          <w:szCs w:val="24"/>
          <w:u w:val="single"/>
        </w:rPr>
        <w:t>.</w:t>
      </w:r>
      <w:r w:rsidRPr="006E2331">
        <w:rPr>
          <w:szCs w:val="24"/>
          <w:u w:val="single"/>
        </w:rPr>
        <w:t xml:space="preserve"> 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w:t>
      </w:r>
      <w:r w:rsidRPr="006E2331">
        <w:rPr>
          <w:sz w:val="15"/>
          <w:szCs w:val="24"/>
        </w:rPr>
        <w:t xml:space="preserve"> More importantly, critical debate has been racialized through Blackness because much of the anxiety surrounding its inception associates critical debate with questions of identity, privilege, and personal experiences of racial domination. Much of this anxiety surrounded Louisville in particular and race-based performance and critical debate writ large.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w:t>
      </w:r>
      <w:r w:rsidRPr="006E2331">
        <w:rPr>
          <w:szCs w:val="24"/>
          <w:u w:val="single"/>
        </w:rPr>
        <w:t>supposed threats posed by critical debates are associated with the threat of Blackness, insofar as Blackness stands in for and gives coherency to threats to the civility, stasis and sovereignty of white policy debate as its constitutive outside (Kelsie, 2019).</w:t>
      </w:r>
      <w:r w:rsidRPr="006E2331">
        <w:rPr>
          <w:sz w:val="15"/>
          <w:szCs w:val="24"/>
        </w:rPr>
        <w:t xml:space="preserve"> That Solt identified the shift from “culture war” to “clash of civilization” speaks to the way in which </w:t>
      </w:r>
      <w:r w:rsidRPr="006E2331">
        <w:rPr>
          <w:szCs w:val="24"/>
          <w:u w:val="single"/>
        </w:rPr>
        <w:t>these forms of debate were considered particularly threatening to the activity – likely in no small part due to underlying anti Blackness.</w:t>
      </w:r>
      <w:r w:rsidRPr="006E2331">
        <w:rPr>
          <w:sz w:val="15"/>
          <w:szCs w:val="24"/>
        </w:rPr>
        <w:t xml:space="preserve"> </w:t>
      </w:r>
      <w:r w:rsidRPr="006E2331">
        <w:rPr>
          <w:szCs w:val="24"/>
          <w:u w:val="single"/>
        </w:rPr>
        <w:t>That white policy debate remains overrepresented as debate writ large does not point to its inherent center of any given resolution.</w:t>
      </w:r>
      <w:r w:rsidRPr="006E2331">
        <w:rPr>
          <w:sz w:val="15"/>
          <w:szCs w:val="24"/>
        </w:rPr>
        <w:t xml:space="preserve"> Consider for example, Lisa Flores’ (2016) consideration of racial rhetorical criticism in the discipline of communication. She contends that despite the fact that minority scholars and scholarship concerning race remain marginalized in the canon, that rhetorical studies at its core is bound up with questions of race. This is because </w:t>
      </w:r>
      <w:r w:rsidRPr="006E2331">
        <w:rPr>
          <w:szCs w:val="24"/>
          <w:u w:val="single"/>
        </w:rPr>
        <w:t xml:space="preserve">rhetoric is concerned with politics, publics, and cultural discourses, and race is central to all of those aspects. We suggest scholars ought to consider the ways in which </w:t>
      </w:r>
      <w:r w:rsidRPr="006E2331">
        <w:rPr>
          <w:szCs w:val="24"/>
          <w:highlight w:val="yellow"/>
          <w:u w:val="single"/>
        </w:rPr>
        <w:t>race lies at the core of every resolutional question</w:t>
      </w:r>
      <w:r w:rsidRPr="006E2331">
        <w:rPr>
          <w:szCs w:val="24"/>
          <w:u w:val="single"/>
        </w:rPr>
        <w:t xml:space="preserve"> in different ways, as each year the resolution typically considers topics relevant to political publics and social change.</w:t>
      </w:r>
      <w:r w:rsidRPr="006E2331">
        <w:rPr>
          <w:sz w:val="15"/>
          <w:szCs w:val="24"/>
        </w:rPr>
        <w:t xml:space="preserve"> One may object that by design, the resolutional question is meant to change the surrounding scholarship every year so that it is topic 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particular cases vary with each resolution. </w:t>
      </w:r>
      <w:r w:rsidRPr="006E2331">
        <w:rPr>
          <w:szCs w:val="24"/>
          <w:u w:val="single"/>
        </w:rPr>
        <w:t xml:space="preserve">Proponents of a traditional policy interpretation of the topic often contend specifically that the mechanism, or the actor, in the resolution is necessary to make it predictable. </w:t>
      </w:r>
      <w:r w:rsidRPr="006E2331">
        <w:rPr>
          <w:sz w:val="15"/>
          <w:szCs w:val="24"/>
        </w:rPr>
        <w:t>However, as we have been arguing throughout this essay</w:t>
      </w:r>
      <w:r w:rsidRPr="006E2331">
        <w:rPr>
          <w:b/>
          <w:bCs/>
          <w:szCs w:val="24"/>
          <w:u w:val="single"/>
        </w:rPr>
        <w:t xml:space="preserve">, </w:t>
      </w:r>
      <w:r w:rsidRPr="006E2331">
        <w:rPr>
          <w:b/>
          <w:bCs/>
          <w:szCs w:val="24"/>
          <w:highlight w:val="yellow"/>
          <w:u w:val="single"/>
        </w:rPr>
        <w:t>traditional policy debate’s overrepresentation</w:t>
      </w:r>
      <w:r w:rsidRPr="006E2331">
        <w:rPr>
          <w:b/>
          <w:bCs/>
          <w:szCs w:val="24"/>
          <w:u w:val="single"/>
        </w:rPr>
        <w:t xml:space="preserve"> of debate </w:t>
      </w:r>
      <w:r w:rsidRPr="006E2331">
        <w:rPr>
          <w:b/>
          <w:bCs/>
          <w:szCs w:val="24"/>
          <w:highlight w:val="yellow"/>
          <w:u w:val="single"/>
        </w:rPr>
        <w:t>is not neutral consensus, but a normalized process informed by racialized assumptions</w:t>
      </w:r>
      <w:r w:rsidRPr="006E2331">
        <w:rPr>
          <w:b/>
          <w:bCs/>
          <w:szCs w:val="24"/>
          <w:u w:val="single"/>
        </w:rPr>
        <w:t>.</w:t>
      </w:r>
      <w:r w:rsidRPr="006E2331">
        <w:rPr>
          <w:sz w:val="15"/>
          <w:szCs w:val="24"/>
        </w:rPr>
        <w:t xml:space="preserve"> Traditionally, </w:t>
      </w:r>
      <w:r w:rsidRPr="006E2331">
        <w:rPr>
          <w:szCs w:val="24"/>
          <w:u w:val="single"/>
        </w:rPr>
        <w:t>the words in the resolution are assumed to describe fiat, or hypothetical imagination. Yet none of the words in any given resolution can be described definitively as meaning hypothetical imagination.</w:t>
      </w:r>
      <w:r w:rsidRPr="006E2331">
        <w:rPr>
          <w:sz w:val="15"/>
          <w:szCs w:val="24"/>
        </w:rPr>
        <w:t xml:space="preserve"> A team could read a plan text and then describe the affirmative case as irony. </w:t>
      </w:r>
      <w:r w:rsidRPr="006E2331">
        <w:rPr>
          <w:szCs w:val="24"/>
          <w:u w:val="single"/>
        </w:rPr>
        <w:t>They could also read a plan text as a metaphor. These would technically conform to the words in the resolution, and thus reveal it is not the words that limit out “unpredictable” mechanisms but a community norm.</w:t>
      </w:r>
      <w:r w:rsidRPr="006E2331">
        <w:rPr>
          <w:sz w:val="15"/>
          <w:szCs w:val="24"/>
        </w:rPr>
        <w:t xml:space="preserve"> In this regard, </w:t>
      </w:r>
      <w:r w:rsidRPr="006E2331">
        <w:rPr>
          <w:szCs w:val="24"/>
          <w:highlight w:val="yellow"/>
          <w:u w:val="single"/>
        </w:rPr>
        <w:t>fiat is</w:t>
      </w:r>
      <w:r w:rsidRPr="006E2331">
        <w:rPr>
          <w:szCs w:val="24"/>
          <w:u w:val="single"/>
        </w:rPr>
        <w:t xml:space="preserve">, technically speaking, </w:t>
      </w:r>
      <w:r w:rsidRPr="006E2331">
        <w:rPr>
          <w:szCs w:val="24"/>
          <w:highlight w:val="yellow"/>
          <w:u w:val="single"/>
        </w:rPr>
        <w:t>an arbitrary, extra-topical inclusion</w:t>
      </w:r>
      <w:r w:rsidRPr="006E2331">
        <w:rPr>
          <w:szCs w:val="24"/>
          <w:u w:val="single"/>
        </w:rPr>
        <w:t>.</w:t>
      </w:r>
      <w:r w:rsidRPr="006E2331">
        <w:rPr>
          <w:sz w:val="15"/>
          <w:szCs w:val="24"/>
        </w:rPr>
        <w:t xml:space="preserve"> It does not gain authority from the words in the resolution, instead it informs how debaters and coaches ought to interpret those words. Put differently, </w:t>
      </w:r>
      <w:r w:rsidRPr="006E2331">
        <w:rPr>
          <w:szCs w:val="24"/>
          <w:u w:val="single"/>
        </w:rPr>
        <w:t xml:space="preserve">fiat is </w:t>
      </w:r>
      <w:r w:rsidRPr="006E2331">
        <w:rPr>
          <w:szCs w:val="24"/>
          <w:highlight w:val="yellow"/>
          <w:u w:val="single"/>
        </w:rPr>
        <w:t>not inherently predictable based on the resolution, but only predictable based on a tradition</w:t>
      </w:r>
      <w:r w:rsidRPr="006E2331">
        <w:rPr>
          <w:szCs w:val="24"/>
          <w:u w:val="single"/>
        </w:rPr>
        <w:t>.</w:t>
      </w:r>
      <w:r w:rsidRPr="006E2331">
        <w:rPr>
          <w:sz w:val="15"/>
          <w:szCs w:val="24"/>
        </w:rPr>
        <w:t xml:space="preserve"> However, as Louisville and other Black and critical teams have pointed to, </w:t>
      </w:r>
      <w:r w:rsidRPr="006E2331">
        <w:rPr>
          <w:b/>
          <w:bCs/>
          <w:szCs w:val="24"/>
          <w:u w:val="single"/>
        </w:rPr>
        <w:t>that tradition is steeped in the overrepresentation of white debaters, their interests, their desires, and their claims to what the activity ought to look like.</w:t>
      </w:r>
      <w:r w:rsidRPr="006E2331">
        <w:rPr>
          <w:sz w:val="15"/>
          <w:szCs w:val="24"/>
        </w:rPr>
        <w:t xml:space="preserve"> When this aspect is taken into consideration with our aforementioned point that the topic selection and resolutional wording process is itself informed by racialized archival processes, </w:t>
      </w:r>
      <w:r w:rsidRPr="006E2331">
        <w:rPr>
          <w:szCs w:val="24"/>
          <w:highlight w:val="yellow"/>
          <w:u w:val="single"/>
        </w:rPr>
        <w:t>new conceptualizations of clash beyond this restrictive framework</w:t>
      </w:r>
      <w:r w:rsidRPr="006E2331">
        <w:rPr>
          <w:szCs w:val="24"/>
          <w:u w:val="single"/>
        </w:rPr>
        <w:t xml:space="preserve"> become </w:t>
      </w:r>
      <w:r w:rsidRPr="006E2331">
        <w:rPr>
          <w:szCs w:val="24"/>
          <w:highlight w:val="yellow"/>
          <w:u w:val="single"/>
        </w:rPr>
        <w:t>necessary.</w:t>
      </w:r>
    </w:p>
    <w:p w14:paraId="54ABC55A" w14:textId="77777777" w:rsidR="00263BF7" w:rsidRPr="008C3C62" w:rsidRDefault="00263BF7" w:rsidP="008C3C62">
      <w:pPr>
        <w:rPr>
          <w:b/>
          <w:bCs/>
        </w:rPr>
      </w:pPr>
    </w:p>
    <w:p w14:paraId="47CD64FF" w14:textId="77777777" w:rsidR="00263BF7" w:rsidRPr="008C3C62" w:rsidRDefault="00263BF7">
      <w:pPr>
        <w:rPr>
          <w:b/>
          <w:bCs/>
        </w:rPr>
      </w:pPr>
    </w:p>
    <w:sectPr w:rsidR="00263BF7" w:rsidRPr="008C3C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FE6C" w14:textId="77777777" w:rsidR="00B100A2" w:rsidRDefault="00B100A2" w:rsidP="00066D2C">
      <w:pPr>
        <w:spacing w:after="0" w:line="240" w:lineRule="auto"/>
      </w:pPr>
      <w:r>
        <w:separator/>
      </w:r>
    </w:p>
  </w:endnote>
  <w:endnote w:type="continuationSeparator" w:id="0">
    <w:p w14:paraId="4DC01613" w14:textId="77777777" w:rsidR="00B100A2" w:rsidRDefault="00B100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5BDF4" w14:textId="77777777" w:rsidR="00B100A2" w:rsidRDefault="00B100A2" w:rsidP="00066D2C">
      <w:pPr>
        <w:spacing w:after="0" w:line="240" w:lineRule="auto"/>
      </w:pPr>
      <w:r>
        <w:separator/>
      </w:r>
    </w:p>
  </w:footnote>
  <w:footnote w:type="continuationSeparator" w:id="0">
    <w:p w14:paraId="4411E116" w14:textId="77777777" w:rsidR="00B100A2" w:rsidRDefault="00B100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17D84"/>
    <w:multiLevelType w:val="hybridMultilevel"/>
    <w:tmpl w:val="68922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133E56"/>
    <w:multiLevelType w:val="hybridMultilevel"/>
    <w:tmpl w:val="929A877E"/>
    <w:lvl w:ilvl="0" w:tplc="F24607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BD3912"/>
    <w:multiLevelType w:val="hybridMultilevel"/>
    <w:tmpl w:val="CA024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5B322E"/>
    <w:multiLevelType w:val="hybridMultilevel"/>
    <w:tmpl w:val="7AB02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490515"/>
    <w:multiLevelType w:val="hybridMultilevel"/>
    <w:tmpl w:val="90A21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2E43D8"/>
    <w:multiLevelType w:val="hybridMultilevel"/>
    <w:tmpl w:val="8498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747CDF"/>
    <w:multiLevelType w:val="hybridMultilevel"/>
    <w:tmpl w:val="52DAD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CC7618"/>
    <w:multiLevelType w:val="hybridMultilevel"/>
    <w:tmpl w:val="5A5C0CEC"/>
    <w:lvl w:ilvl="0" w:tplc="9764662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D25FF5"/>
    <w:multiLevelType w:val="hybridMultilevel"/>
    <w:tmpl w:val="A1B2CA82"/>
    <w:lvl w:ilvl="0" w:tplc="49D6F8F0">
      <w:start w:val="1"/>
      <w:numFmt w:val="decimal"/>
      <w:lvlText w:val="%1-"/>
      <w:lvlJc w:val="left"/>
      <w:pPr>
        <w:ind w:left="1000" w:hanging="6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FA04F9"/>
    <w:multiLevelType w:val="hybridMultilevel"/>
    <w:tmpl w:val="B7629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3"/>
  </w:num>
  <w:num w:numId="45" w16cid:durableId="1577397723">
    <w:abstractNumId w:val="11"/>
  </w:num>
  <w:num w:numId="46" w16cid:durableId="2048336665">
    <w:abstractNumId w:val="21"/>
  </w:num>
  <w:num w:numId="47" w16cid:durableId="609245411">
    <w:abstractNumId w:val="20"/>
  </w:num>
  <w:num w:numId="48" w16cid:durableId="457719098">
    <w:abstractNumId w:val="19"/>
  </w:num>
  <w:num w:numId="49" w16cid:durableId="1541623775">
    <w:abstractNumId w:val="23"/>
  </w:num>
  <w:num w:numId="50" w16cid:durableId="1557087200">
    <w:abstractNumId w:val="10"/>
  </w:num>
  <w:num w:numId="51" w16cid:durableId="374819843">
    <w:abstractNumId w:val="12"/>
  </w:num>
  <w:num w:numId="52" w16cid:durableId="1987389593">
    <w:abstractNumId w:val="15"/>
  </w:num>
  <w:num w:numId="53" w16cid:durableId="856774823">
    <w:abstractNumId w:val="17"/>
  </w:num>
  <w:num w:numId="54" w16cid:durableId="16927995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529462480"/>
    <w:docVar w:name="VerbatimVersion" w:val="6.0.0"/>
    <w:docVar w:name="WordVersion" w:val="16.0"/>
  </w:docVars>
  <w:rsids>
    <w:rsidRoot w:val="00CF497E"/>
    <w:rsid w:val="00001C7E"/>
    <w:rsid w:val="0000487C"/>
    <w:rsid w:val="00011FEF"/>
    <w:rsid w:val="00013C8B"/>
    <w:rsid w:val="00023AEF"/>
    <w:rsid w:val="000250CA"/>
    <w:rsid w:val="00032119"/>
    <w:rsid w:val="000427BD"/>
    <w:rsid w:val="00043C82"/>
    <w:rsid w:val="00046BD3"/>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27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019"/>
    <w:rsid w:val="001D6D5C"/>
    <w:rsid w:val="001D7A6D"/>
    <w:rsid w:val="001E4A64"/>
    <w:rsid w:val="001E61F5"/>
    <w:rsid w:val="001F0C01"/>
    <w:rsid w:val="001F1F4D"/>
    <w:rsid w:val="001F295F"/>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BF7"/>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4FB"/>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46F"/>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003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564"/>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6261"/>
    <w:rsid w:val="00583644"/>
    <w:rsid w:val="00585F11"/>
    <w:rsid w:val="005906F9"/>
    <w:rsid w:val="005932B4"/>
    <w:rsid w:val="005A3550"/>
    <w:rsid w:val="005A4DE4"/>
    <w:rsid w:val="005A6204"/>
    <w:rsid w:val="005A6D5A"/>
    <w:rsid w:val="005B41CE"/>
    <w:rsid w:val="005B44E6"/>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E7F9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CB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29E"/>
    <w:rsid w:val="007D2F9C"/>
    <w:rsid w:val="007E1757"/>
    <w:rsid w:val="007E18CC"/>
    <w:rsid w:val="007E1E34"/>
    <w:rsid w:val="007F1998"/>
    <w:rsid w:val="007F2034"/>
    <w:rsid w:val="007F4683"/>
    <w:rsid w:val="007F55A4"/>
    <w:rsid w:val="007F6EFD"/>
    <w:rsid w:val="007F7C5E"/>
    <w:rsid w:val="00800BF1"/>
    <w:rsid w:val="008014DB"/>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C62"/>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395"/>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07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E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0A2"/>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B9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97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102"/>
    <w:rsid w:val="00DB20EB"/>
    <w:rsid w:val="00DB33F6"/>
    <w:rsid w:val="00DB38CC"/>
    <w:rsid w:val="00DC08B6"/>
    <w:rsid w:val="00DC277F"/>
    <w:rsid w:val="00DD0950"/>
    <w:rsid w:val="00DD0BFE"/>
    <w:rsid w:val="00DD29B1"/>
    <w:rsid w:val="00DD4AF9"/>
    <w:rsid w:val="00DD5435"/>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E4B"/>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2B7"/>
    <w:rsid w:val="00F5306F"/>
    <w:rsid w:val="00F532A6"/>
    <w:rsid w:val="00F569D6"/>
    <w:rsid w:val="00F57FCC"/>
    <w:rsid w:val="00F61907"/>
    <w:rsid w:val="00F61AB2"/>
    <w:rsid w:val="00F6486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79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D33C35"/>
  <w15:chartTrackingRefBased/>
  <w15:docId w15:val="{1B6FBAD4-EE39-4148-A7DF-D857A2DF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3BF7"/>
    <w:rPr>
      <w:rFonts w:ascii="Calibri" w:hAnsi="Calibri" w:cs="Calibri"/>
    </w:rPr>
  </w:style>
  <w:style w:type="paragraph" w:styleId="Heading1">
    <w:name w:val="heading 1"/>
    <w:aliases w:val="Pocket"/>
    <w:basedOn w:val="Normal"/>
    <w:next w:val="Normal"/>
    <w:link w:val="Heading1Char"/>
    <w:qFormat/>
    <w:rsid w:val="00263B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3B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63B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263B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3B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3B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3BF7"/>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263BF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3BF7"/>
    <w:rPr>
      <w:color w:val="auto"/>
      <w:u w:val="none"/>
    </w:rPr>
  </w:style>
  <w:style w:type="character" w:customStyle="1" w:styleId="Heading1Char">
    <w:name w:val="Heading 1 Char"/>
    <w:aliases w:val="Pocket Char"/>
    <w:basedOn w:val="DefaultParagraphFont"/>
    <w:link w:val="Heading1"/>
    <w:rsid w:val="00263B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3BF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3BF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263BF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63BF7"/>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8"/>
    <w:basedOn w:val="DefaultParagraphFont"/>
    <w:uiPriority w:val="7"/>
    <w:qFormat/>
    <w:rsid w:val="00263BF7"/>
    <w:rPr>
      <w:b w:val="0"/>
      <w:sz w:val="22"/>
      <w:u w:val="single"/>
    </w:rPr>
  </w:style>
  <w:style w:type="character" w:styleId="Strong">
    <w:name w:val="Strong"/>
    <w:basedOn w:val="DefaultParagraphFont"/>
    <w:uiPriority w:val="22"/>
    <w:semiHidden/>
    <w:qFormat/>
    <w:rsid w:val="00263BF7"/>
    <w:rPr>
      <w:b/>
      <w:bCs/>
    </w:rPr>
  </w:style>
  <w:style w:type="character" w:styleId="BookTitle">
    <w:name w:val="Book Title"/>
    <w:basedOn w:val="DefaultParagraphFont"/>
    <w:uiPriority w:val="33"/>
    <w:semiHidden/>
    <w:qFormat/>
    <w:rsid w:val="00263BF7"/>
    <w:rPr>
      <w:b/>
      <w:bCs/>
      <w:i/>
      <w:iCs/>
      <w:spacing w:val="5"/>
    </w:rPr>
  </w:style>
  <w:style w:type="character" w:customStyle="1" w:styleId="Heading5Char">
    <w:name w:val="Heading 5 Char"/>
    <w:basedOn w:val="DefaultParagraphFont"/>
    <w:link w:val="Heading5"/>
    <w:uiPriority w:val="9"/>
    <w:semiHidden/>
    <w:rsid w:val="00263B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3BF7"/>
  </w:style>
  <w:style w:type="paragraph" w:styleId="Header">
    <w:name w:val="header"/>
    <w:basedOn w:val="Normal"/>
    <w:link w:val="HeaderChar"/>
    <w:uiPriority w:val="99"/>
    <w:semiHidden/>
    <w:rsid w:val="00263B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3BF7"/>
    <w:rPr>
      <w:rFonts w:ascii="Calibri" w:hAnsi="Calibri" w:cs="Calibri"/>
    </w:rPr>
  </w:style>
  <w:style w:type="paragraph" w:styleId="Footer">
    <w:name w:val="footer"/>
    <w:basedOn w:val="Normal"/>
    <w:link w:val="FooterChar"/>
    <w:uiPriority w:val="99"/>
    <w:semiHidden/>
    <w:rsid w:val="00263B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3BF7"/>
    <w:rPr>
      <w:rFonts w:ascii="Calibri" w:hAnsi="Calibri" w:cs="Calibri"/>
    </w:rPr>
  </w:style>
  <w:style w:type="paragraph" w:styleId="BodyText">
    <w:name w:val="Body Text"/>
    <w:basedOn w:val="Normal"/>
    <w:link w:val="BodyTextChar"/>
    <w:uiPriority w:val="99"/>
    <w:semiHidden/>
    <w:unhideWhenUsed/>
    <w:rsid w:val="00263BF7"/>
    <w:pPr>
      <w:spacing w:after="120"/>
    </w:pPr>
  </w:style>
  <w:style w:type="character" w:customStyle="1" w:styleId="BodyTextChar">
    <w:name w:val="Body Text Char"/>
    <w:basedOn w:val="DefaultParagraphFont"/>
    <w:link w:val="BodyText"/>
    <w:uiPriority w:val="99"/>
    <w:semiHidden/>
    <w:rsid w:val="00263BF7"/>
    <w:rPr>
      <w:rFonts w:ascii="Calibri" w:hAnsi="Calibri" w:cs="Calibri"/>
    </w:rPr>
  </w:style>
  <w:style w:type="paragraph" w:styleId="NoSpacing">
    <w:name w:val="No Spacing"/>
    <w:link w:val="NoSpacingChar"/>
    <w:uiPriority w:val="99"/>
    <w:semiHidden/>
    <w:unhideWhenUsed/>
    <w:qFormat/>
    <w:rsid w:val="00263B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63BF7"/>
    <w:rPr>
      <w:rFonts w:ascii="Calibri" w:hAnsi="Calibri" w:cs="Calibri"/>
    </w:rPr>
  </w:style>
  <w:style w:type="character" w:styleId="Hyperlink">
    <w:name w:val="Hyperlink"/>
    <w:basedOn w:val="DefaultParagraphFont"/>
    <w:uiPriority w:val="99"/>
    <w:unhideWhenUsed/>
    <w:rsid w:val="00263BF7"/>
    <w:rPr>
      <w:color w:val="0563C1" w:themeColor="hyperlink"/>
      <w:u w:val="single"/>
    </w:rPr>
  </w:style>
  <w:style w:type="character" w:styleId="UnresolvedMention">
    <w:name w:val="Unresolved Mention"/>
    <w:basedOn w:val="DefaultParagraphFont"/>
    <w:uiPriority w:val="99"/>
    <w:semiHidden/>
    <w:unhideWhenUsed/>
    <w:rsid w:val="00263BF7"/>
    <w:rPr>
      <w:color w:val="605E5C"/>
      <w:shd w:val="clear" w:color="auto" w:fill="E1DFDD"/>
    </w:rPr>
  </w:style>
  <w:style w:type="paragraph" w:customStyle="1" w:styleId="textbold">
    <w:name w:val="text bold"/>
    <w:basedOn w:val="Normal"/>
    <w:link w:val="Emphasis"/>
    <w:uiPriority w:val="8"/>
    <w:qFormat/>
    <w:rsid w:val="007D229E"/>
    <w:pPr>
      <w:ind w:left="720"/>
      <w:jc w:val="both"/>
    </w:pPr>
    <w:rPr>
      <w:b/>
      <w:iCs/>
      <w:u w:val="single"/>
    </w:rPr>
  </w:style>
  <w:style w:type="paragraph" w:styleId="NormalWeb">
    <w:name w:val="Normal (Web)"/>
    <w:basedOn w:val="Normal"/>
    <w:uiPriority w:val="99"/>
    <w:unhideWhenUsed/>
    <w:rsid w:val="007D229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7D229E"/>
    <w:pPr>
      <w:ind w:left="720"/>
      <w:contextualSpacing/>
    </w:pPr>
  </w:style>
  <w:style w:type="paragraph" w:customStyle="1" w:styleId="Emphasis1">
    <w:name w:val="Emphasis1"/>
    <w:basedOn w:val="Normal"/>
    <w:uiPriority w:val="8"/>
    <w:qFormat/>
    <w:rsid w:val="00160278"/>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mporaryand.com/magazines/navigating-pain-and-possibility/" TargetMode="External"/><Relationship Id="rId13" Type="http://schemas.openxmlformats.org/officeDocument/2006/relationships/hyperlink" Target="https://appellate.nccourts.org/opinions/?c=1&amp;pdf=3941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ellate.nccourts.org/opinions/?c=1&amp;pdf=3941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j.org/10.10000/IJLMH.1123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otusblog.com/wp-content/uploads/2008/06/07-290.pdf" TargetMode="External"/><Relationship Id="rId5" Type="http://schemas.openxmlformats.org/officeDocument/2006/relationships/webSettings" Target="webSettings.xml"/><Relationship Id="rId15" Type="http://schemas.openxmlformats.org/officeDocument/2006/relationships/hyperlink" Target="https://nccriminallaw.sog.unc.edu/prosecutor-for-hire/" TargetMode="External"/><Relationship Id="rId10" Type="http://schemas.openxmlformats.org/officeDocument/2006/relationships/hyperlink" Target="https://papers.ssrn.com/sol3/papers.cfm?abstract_id=2699607" TargetMode="External"/><Relationship Id="rId4" Type="http://schemas.openxmlformats.org/officeDocument/2006/relationships/settings" Target="settings.xml"/><Relationship Id="rId9" Type="http://schemas.openxmlformats.org/officeDocument/2006/relationships/hyperlink" Target="https://www.scotusblog.com/2016/10/legal-scholarship-highlight-when-lower-courts-dont-follow-supreme-court-precedent/" TargetMode="External"/><Relationship Id="rId14" Type="http://schemas.openxmlformats.org/officeDocument/2006/relationships/hyperlink" Target="https://nccriminallaw.sog.unc.edu/habeas-relief-for-immigration-detainers-gets-put-on-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72</TotalTime>
  <Pages>37</Pages>
  <Words>21374</Words>
  <Characters>121835</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Bashir Eltyeb</cp:lastModifiedBy>
  <cp:revision>31</cp:revision>
  <dcterms:created xsi:type="dcterms:W3CDTF">2026-03-27T18:12:00Z</dcterms:created>
  <dcterms:modified xsi:type="dcterms:W3CDTF">2026-03-27T21:06:00Z</dcterms:modified>
</cp:coreProperties>
</file>