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62C5E" w14:textId="77777777" w:rsidR="00923E7B" w:rsidRDefault="00923E7B" w:rsidP="00923E7B">
      <w:pPr>
        <w:pStyle w:val="Heading1"/>
      </w:pPr>
      <w:r>
        <w:t>1NC---NW---r6 v Dartmouth BJ</w:t>
      </w:r>
    </w:p>
    <w:p w14:paraId="04E0CB2C" w14:textId="77777777" w:rsidR="00923E7B" w:rsidRDefault="00923E7B" w:rsidP="00923E7B">
      <w:pPr>
        <w:pStyle w:val="Heading2"/>
      </w:pPr>
      <w:r>
        <w:lastRenderedPageBreak/>
        <w:t>1NC---Off</w:t>
      </w:r>
    </w:p>
    <w:p w14:paraId="3EDF133A" w14:textId="77777777" w:rsidR="00923E7B" w:rsidRDefault="00923E7B" w:rsidP="00923E7B">
      <w:pPr>
        <w:pStyle w:val="Heading3"/>
      </w:pPr>
      <w:r>
        <w:lastRenderedPageBreak/>
        <w:t>1NC---P</w:t>
      </w:r>
    </w:p>
    <w:p w14:paraId="0EF17369" w14:textId="77777777" w:rsidR="00923E7B" w:rsidRDefault="00923E7B" w:rsidP="00923E7B">
      <w:r>
        <w:t>P-Ableism</w:t>
      </w:r>
    </w:p>
    <w:p w14:paraId="5FE546BA" w14:textId="77777777" w:rsidR="00923E7B" w:rsidRDefault="00923E7B" w:rsidP="00923E7B">
      <w:pPr>
        <w:pStyle w:val="Heading4"/>
      </w:pPr>
      <w:r>
        <w:t>The affirmative team spreading the 1AC was a denial of access to this space for me as a 1NC. We as the negative have tried to communicate MULTIPLE times that my auditory processing issues prevent me from being able to access not only this debate but this space when it is spread. This is a major issue because without these accommodations Jace cannot understand the groundwork of this debate.</w:t>
      </w:r>
    </w:p>
    <w:p w14:paraId="79D747A0" w14:textId="77777777" w:rsidR="00923E7B" w:rsidRDefault="00923E7B" w:rsidP="00923E7B"/>
    <w:p w14:paraId="52E3C135" w14:textId="77777777" w:rsidR="00923E7B" w:rsidRDefault="00923E7B" w:rsidP="00923E7B">
      <w:pPr>
        <w:pStyle w:val="Heading4"/>
      </w:pPr>
      <w:r>
        <w:t>Our interp is that teams get 3 slow reminders before they should lose the debate.</w:t>
      </w:r>
    </w:p>
    <w:p w14:paraId="0677E04E" w14:textId="77777777" w:rsidR="00923E7B" w:rsidRDefault="00923E7B" w:rsidP="00923E7B"/>
    <w:p w14:paraId="3FE4BFD7" w14:textId="77777777" w:rsidR="00923E7B" w:rsidRPr="00984647" w:rsidRDefault="00923E7B" w:rsidP="00923E7B">
      <w:pPr>
        <w:pStyle w:val="Heading4"/>
      </w:pPr>
      <w:r>
        <w:lastRenderedPageBreak/>
        <w:t>Prefer it:</w:t>
      </w:r>
    </w:p>
    <w:p w14:paraId="45A07B17" w14:textId="77777777" w:rsidR="00923E7B" w:rsidRDefault="00923E7B" w:rsidP="00923E7B">
      <w:pPr>
        <w:pStyle w:val="Heading4"/>
        <w:numPr>
          <w:ilvl w:val="0"/>
          <w:numId w:val="46"/>
        </w:numPr>
        <w:tabs>
          <w:tab w:val="num" w:pos="360"/>
        </w:tabs>
        <w:ind w:left="360"/>
      </w:pPr>
      <w:r>
        <w:t>When they spread, they make this space inaccessible to teams who cannot understand it. Many people with disabilities who enter this space feel unwelcome and are discriminated against because they can’t understand spreading. Whenever someone spreads during a speech all I hear is sounds that are garbled in my brain. When this happens and I miss arguments the stress becomes so much that I have had panic attacks and increased anxiety. The way I am able to access this space is by not spreading and having others to do the same.</w:t>
      </w:r>
    </w:p>
    <w:p w14:paraId="389EEEFB" w14:textId="77777777" w:rsidR="00923E7B" w:rsidRDefault="00923E7B" w:rsidP="00923E7B">
      <w:pPr>
        <w:pStyle w:val="Heading4"/>
        <w:numPr>
          <w:ilvl w:val="0"/>
          <w:numId w:val="46"/>
        </w:numPr>
        <w:tabs>
          <w:tab w:val="num" w:pos="360"/>
        </w:tabs>
        <w:ind w:left="360"/>
      </w:pPr>
      <w:r>
        <w:t>Even if the negative team were to provide a full document with written analytics the everything from words used to the speed, we speak is a component of our performances in this space. The other team should be able to make their performances accessible.</w:t>
      </w:r>
    </w:p>
    <w:p w14:paraId="4442F3EB" w14:textId="77777777" w:rsidR="00923E7B" w:rsidRDefault="00923E7B" w:rsidP="00923E7B">
      <w:pPr>
        <w:pStyle w:val="Heading4"/>
        <w:numPr>
          <w:ilvl w:val="0"/>
          <w:numId w:val="46"/>
        </w:numPr>
        <w:tabs>
          <w:tab w:val="num" w:pos="360"/>
        </w:tabs>
        <w:ind w:left="360"/>
      </w:pPr>
      <w:r>
        <w:t>In debate we value clash, knowledge production, and education. However, it is not possible to have any form of these impacts in a round where one team is actively excluded because the other side said that accommodations just aren’t worth their time.</w:t>
      </w:r>
    </w:p>
    <w:p w14:paraId="579444F4" w14:textId="77777777" w:rsidR="00923E7B" w:rsidRDefault="00923E7B" w:rsidP="00923E7B">
      <w:pPr>
        <w:pStyle w:val="Heading4"/>
        <w:numPr>
          <w:ilvl w:val="0"/>
          <w:numId w:val="46"/>
        </w:numPr>
        <w:tabs>
          <w:tab w:val="num" w:pos="360"/>
        </w:tabs>
        <w:ind w:left="360"/>
      </w:pPr>
      <w:r>
        <w:t>Spread debate is an integral part of gamifying the space rather than opening up discourse and understanding intricacy and nuance of issues. In this game spreading acts like a blitz play in football with the only goal being to bludgeon the opponent and get the ball across the field. However even in this game there should still be the want and ability to make the game accessible; in football the huddle was created so deaf players could communicate. This attempt to make games accessible should be the top priority in this round.</w:t>
      </w:r>
    </w:p>
    <w:p w14:paraId="6E262286" w14:textId="77777777" w:rsidR="00923E7B" w:rsidRPr="00180C02" w:rsidRDefault="00923E7B" w:rsidP="00923E7B">
      <w:pPr>
        <w:pStyle w:val="Heading4"/>
        <w:numPr>
          <w:ilvl w:val="0"/>
          <w:numId w:val="46"/>
        </w:numPr>
        <w:tabs>
          <w:tab w:val="num" w:pos="360"/>
        </w:tabs>
        <w:ind w:left="360"/>
      </w:pPr>
      <w:r>
        <w:t>We have said spreading is not okay and Jace can’t here it if we say slow during the speech than that means you are going too fast and should slow down this is the best way for us as a community to judge whether or not the other team should slow down and if it is a continuing issue.</w:t>
      </w:r>
    </w:p>
    <w:p w14:paraId="48075F5F" w14:textId="77777777" w:rsidR="00923E7B" w:rsidRDefault="00923E7B" w:rsidP="00923E7B">
      <w:pPr>
        <w:pStyle w:val="Heading4"/>
        <w:numPr>
          <w:ilvl w:val="0"/>
          <w:numId w:val="46"/>
        </w:numPr>
        <w:tabs>
          <w:tab w:val="num" w:pos="360"/>
        </w:tabs>
        <w:ind w:left="360"/>
      </w:pPr>
      <w:r>
        <w:t>Regardless of everything the opposing team will present today they need to be told that what they did was unacceptable even if they chose to change in the next speech the damage was done, and the opening part of the debate will echo in every speech. The fact is if the team chooses to be ableist, they should not win the round.</w:t>
      </w:r>
    </w:p>
    <w:p w14:paraId="5DE2A08B" w14:textId="77777777" w:rsidR="00923E7B" w:rsidRPr="00B97F84" w:rsidRDefault="00923E7B" w:rsidP="00923E7B"/>
    <w:p w14:paraId="5A35D6F3" w14:textId="77777777" w:rsidR="00923E7B" w:rsidRDefault="00923E7B" w:rsidP="00923E7B">
      <w:pPr>
        <w:pStyle w:val="Heading3"/>
      </w:pPr>
      <w:r>
        <w:lastRenderedPageBreak/>
        <w:t>1NC---PIK</w:t>
      </w:r>
    </w:p>
    <w:p w14:paraId="5E841C0A" w14:textId="77777777" w:rsidR="00923E7B" w:rsidRPr="004E443B" w:rsidRDefault="00923E7B" w:rsidP="00923E7B">
      <w:r>
        <w:t>PIK-Rights</w:t>
      </w:r>
    </w:p>
    <w:p w14:paraId="0D349DD4" w14:textId="77777777" w:rsidR="00923E7B" w:rsidRDefault="00923E7B" w:rsidP="00923E7B">
      <w:pPr>
        <w:pStyle w:val="Heading4"/>
      </w:pPr>
      <w:r>
        <w:t>We affirm the entirety of the 1AC sans rights rhetoric.</w:t>
      </w:r>
    </w:p>
    <w:p w14:paraId="36977A99" w14:textId="77777777" w:rsidR="00923E7B" w:rsidRDefault="00923E7B" w:rsidP="00923E7B">
      <w:pPr>
        <w:pStyle w:val="Heading4"/>
      </w:pPr>
      <w:r>
        <w:t>The affirmatives rights rhetoric places them within the moral and legal doctrine of neoliberalism which turns case and proliferates a laundry list of Impacts</w:t>
      </w:r>
    </w:p>
    <w:p w14:paraId="6C471C57" w14:textId="77777777" w:rsidR="00923E7B" w:rsidRPr="0003023A" w:rsidRDefault="00923E7B" w:rsidP="00923E7B">
      <w:r>
        <w:rPr>
          <w:rStyle w:val="Style13ptBold"/>
        </w:rPr>
        <w:t xml:space="preserve">Coleman 24 </w:t>
      </w:r>
      <w:r w:rsidRPr="004F310F">
        <w:t xml:space="preserve">[(Professor of International Law, Ethics and Political Economy (International Relations University of Sussex) “struggles for the human” Duke University Press Durham and London 2024 Chapter </w:t>
      </w:r>
      <w:r>
        <w:t xml:space="preserve">1 </w:t>
      </w:r>
      <w:r w:rsidRPr="004F310F">
        <w:t>DOI: </w:t>
      </w:r>
      <w:hyperlink r:id="rId8" w:tgtFrame="_blank" w:history="1">
        <w:r w:rsidRPr="004F310F">
          <w:rPr>
            <w:rStyle w:val="Hyperlink"/>
          </w:rPr>
          <w:t>https://doi.org/10.1215/9781478027683</w:t>
        </w:r>
      </w:hyperlink>
      <w:r w:rsidRPr="004F310F">
        <w:t>]</w:t>
      </w:r>
    </w:p>
    <w:p w14:paraId="7F1730DC" w14:textId="77777777" w:rsidR="00923E7B" w:rsidRPr="00C6079E" w:rsidRDefault="00923E7B" w:rsidP="00923E7B">
      <w:pPr>
        <w:rPr>
          <w:sz w:val="14"/>
        </w:rPr>
      </w:pPr>
      <w:r w:rsidRPr="00BB217C">
        <w:rPr>
          <w:sz w:val="14"/>
        </w:rPr>
        <w:t xml:space="preserve">Before we can begin any assessment of the politics of human rights, it is necessary to tackle two myths that pervade much mainstream discussion. The first myth is that large-scale human rights abuses are best understood in terms of an absence of “rule of law.” Take, for example the opening sentence of an article by Amnesty International: “In Colombia, nominally Latin America’s oldest democracy, the rule of law continues to be weak and impunity reigns.”1 If you were to ask a human rights advocate what they meant by “rule of law,” the chances are that they would be referring to features such as an independent judiciary; the separation of the executive, legislative, and judicial powers of the state; and independent and effective law enforcement. The rule of law, understood in this sense, is perceived as neutral and benign. Violence, meanwhile, is spectacular and interpersonal, taking place predominantly outside of the law. If we look more closely, however, we find that </w:t>
      </w:r>
      <w:r w:rsidRPr="00E2437A">
        <w:rPr>
          <w:rStyle w:val="StyleUnderline"/>
        </w:rPr>
        <w:t>the ordinary operation of the law is deeply imbricated in the dynamics of unlawful killing.</w:t>
      </w:r>
      <w:r w:rsidRPr="00BB217C">
        <w:rPr>
          <w:sz w:val="14"/>
        </w:rPr>
        <w:t xml:space="preserve"> This, as I show, has long been the case historically, although with </w:t>
      </w:r>
      <w:r w:rsidRPr="00042504">
        <w:rPr>
          <w:rStyle w:val="StyleUnderline"/>
        </w:rPr>
        <w:t>the globalization of neoliberal political economy, a particular conceptualization of rule of law has been constitutionalized at a global level, underwriting plunder and dispossession.</w:t>
      </w:r>
      <w:r w:rsidRPr="00BB217C">
        <w:rPr>
          <w:sz w:val="14"/>
        </w:rPr>
        <w:t xml:space="preserve"> Limited recognition of this fact is tied to another myth, heavily criticized by intellectual historians but still commonplace in everyday discourse—that is, that neoliberalism should be understood as an amoral doctrine of “market rule,” involving the “rollback” of the state. In reality, as I show later in this chapter, </w:t>
      </w:r>
      <w:r w:rsidRPr="00047C7A">
        <w:rPr>
          <w:rStyle w:val="StyleUnderline"/>
          <w:highlight w:val="cyan"/>
        </w:rPr>
        <w:t>neoliberalism</w:t>
      </w:r>
      <w:r w:rsidRPr="00E135A1">
        <w:rPr>
          <w:rStyle w:val="StyleUnderline"/>
        </w:rPr>
        <w:t xml:space="preserve"> is both </w:t>
      </w:r>
      <w:r w:rsidRPr="00047C7A">
        <w:rPr>
          <w:rStyle w:val="StyleUnderline"/>
          <w:highlight w:val="cyan"/>
        </w:rPr>
        <w:t>a moral and</w:t>
      </w:r>
      <w:r w:rsidRPr="00E135A1">
        <w:rPr>
          <w:rStyle w:val="StyleUnderline"/>
        </w:rPr>
        <w:t xml:space="preserve"> a </w:t>
      </w:r>
      <w:r w:rsidRPr="00047C7A">
        <w:rPr>
          <w:rStyle w:val="StyleUnderline"/>
          <w:highlight w:val="cyan"/>
        </w:rPr>
        <w:t>legal doctrine</w:t>
      </w:r>
      <w:r w:rsidRPr="00E135A1">
        <w:rPr>
          <w:rStyle w:val="StyleUnderline"/>
        </w:rPr>
        <w:t>, premised on an understanding of human beings as of profoundly unequal worth and advocating a vision of rule of law that elevates private property, contract, and investment rights above all else</w:t>
      </w:r>
      <w:r w:rsidRPr="00BB217C">
        <w:rPr>
          <w:sz w:val="14"/>
        </w:rPr>
        <w:t>. If we want to understand the context in which human rights abuses have proliferated amid neoliberal reforms around the world, it is crucial that we delve more deeply into the links among law, violence, and twenty-first-century plunder. What is more, to make sense of appeal to human rights in opposition to these dynamics, it is necessary to grasp the extent to which this vision of rule of law has been entrenched, not merely through appeal to the demands of “the market,” but also through humanistic, “social,” and ethical discourse: the scenario that Humberto Cárdenas and Álvaro Marín refer to as “defending life by sowing death.”2 Visible and Invisible Violence As a way into considering the entanglements between violence and legality, let us begin with the immediate origins of the strug</w:t>
      </w:r>
      <w:r w:rsidRPr="00BB217C">
        <w:rPr>
          <w:sz w:val="14"/>
        </w:rPr>
        <w:softHyphen/>
        <w:t xml:space="preserve">gles that I discuss in subsequent chapters. </w:t>
      </w:r>
      <w:r w:rsidRPr="0020720B">
        <w:rPr>
          <w:rStyle w:val="StyleUnderline"/>
        </w:rPr>
        <w:t>Neoliberalism came later to Colombia</w:t>
      </w:r>
      <w:r w:rsidRPr="00BB217C">
        <w:rPr>
          <w:sz w:val="14"/>
        </w:rPr>
        <w:t xml:space="preserve"> than to much of Latin America, but from the early 1990s Colombia’s “economic opening” </w:t>
      </w:r>
      <w:r w:rsidRPr="00251ADA">
        <w:rPr>
          <w:rStyle w:val="StyleUnderline"/>
        </w:rPr>
        <w:t>set the scene for an upsurge of state-backed armed violence.</w:t>
      </w:r>
      <w:r w:rsidRPr="00BB217C">
        <w:rPr>
          <w:sz w:val="14"/>
        </w:rPr>
        <w:t xml:space="preserve"> As successive governments adopted and entrenched neoliberal economic policies (geared toward the pursuit of foreign direct investment in natural resource extraction, alongside “flexible” and “competitive” labor markets), massacres and selective killings proliferated at the hands of paramilitary death squads working closely with state security forces. While workers were stripped of hard-won rights, trade unionists were subject to repression so widespread and brutal that the historian Renan Vega coined the term sindicalicidio—or trade union genocide—to make sense of it.3 From the mid-1990s, paramilitaries began to take over entire regions, chainsaws in hand. Those deemed subversive or surplus to requirements were massacred, displaced, or “disappeared.” Landholdings were concentrated, and an authoritarian social order was imposed. Afterward, </w:t>
      </w:r>
      <w:r w:rsidRPr="0020720B">
        <w:rPr>
          <w:rStyle w:val="StyleUnderline"/>
        </w:rPr>
        <w:t xml:space="preserve">state institutions would </w:t>
      </w:r>
      <w:r w:rsidRPr="00047C7A">
        <w:rPr>
          <w:rStyle w:val="StyleUnderline"/>
          <w:highlight w:val="cyan"/>
        </w:rPr>
        <w:t>add a veneer of legality to</w:t>
      </w:r>
      <w:r w:rsidRPr="0020720B">
        <w:rPr>
          <w:rStyle w:val="StyleUnderline"/>
        </w:rPr>
        <w:t xml:space="preserve"> the process.4 In this way, vast swathes of Colombian territory were handed over to the operations of multinational corporations.</w:t>
      </w:r>
      <w:r w:rsidRPr="00BB217C">
        <w:rPr>
          <w:sz w:val="14"/>
        </w:rPr>
        <w:t xml:space="preserve"> The involvement of many of those corporations in atrocities has been painstakingly documented by human rights organizations. Chiquita Brands even admitted to having paid US$1.7 million to state-linked paramilitaries between 1997 and 2004, as well as to supplying paramilitaries with weapons. According to Colombia’s attorney general, these payments led to the murder of four thousand civilians in the banana regions of Colombia and aided the expansion of paramilitary groups throughout the country.5 In 1999, seventeen civilians were killed when the village of Santo Domingo, in </w:t>
      </w:r>
      <w:r w:rsidRPr="000671FC">
        <w:rPr>
          <w:rStyle w:val="StyleUnderline"/>
        </w:rPr>
        <w:t>the oil-rich Department of Arauca, was bombed</w:t>
      </w:r>
      <w:r w:rsidRPr="00BB217C">
        <w:rPr>
          <w:sz w:val="14"/>
        </w:rPr>
        <w:t xml:space="preserve">. There is compelling evidence not only that the bombing was </w:t>
      </w:r>
      <w:r w:rsidRPr="006B75B9">
        <w:rPr>
          <w:rStyle w:val="StyleUnderline"/>
        </w:rPr>
        <w:t>planned by Occidental Petroleum</w:t>
      </w:r>
      <w:r w:rsidRPr="00BB217C">
        <w:rPr>
          <w:sz w:val="14"/>
        </w:rPr>
        <w:t xml:space="preserve"> and the Colombian Air Force in the company’s offices, but also that aerial surveillance for the mission was carried out by the US security contractor Airscan using a Skymaster plane supplied by the oil company. Witnesses were later killed by paramilitaries.6 The Corporación Social para la Asesoría y Capacitación Comunitaria (Social Corporation for Community Advice and Training), the organization that I worked with while investigating the impact of bp’s oilfields, was set up by peasant leaders forcibly displaced from the region in the late 1990s, when the murders of numerous peasant activists generated an international media outcry over bp’s links to the Colombian Army and the private security contractor Defence Systems Limited.7 By 2002, when Gilberto Torres was kidnapped in a van that belonged to bp’s oil pipeline company, </w:t>
      </w:r>
      <w:r w:rsidRPr="00572E94">
        <w:rPr>
          <w:rStyle w:val="StyleUnderline"/>
        </w:rPr>
        <w:t>bp was vocal on the international stage promoting the idea that human rights were a matter of concern for corporations</w:t>
      </w:r>
      <w:r w:rsidRPr="00BB217C">
        <w:rPr>
          <w:sz w:val="14"/>
        </w:rPr>
        <w:t xml:space="preserve">. Nevertheless, in a trial in Colombia, Torres’s kidnappers said they took direct orders from pipeline company Ocensa and that the company had paid them an extra US$40,000 to “disappear” him.8 While I was working in the region between 2006 and 2008, peasant leaders continued to be killed. Indeed, as I discuss in the next chapter, almost 2,500 people had been “disappeared” by the time bp departed from the region in 2011.9 In chapter 3, I talk about the Colombian Food Workers Union and its international campaign against Coca-Cola. Between 1994 and 2002, eight </w:t>
      </w:r>
      <w:r w:rsidRPr="007D520E">
        <w:rPr>
          <w:rStyle w:val="StyleUnderline"/>
        </w:rPr>
        <w:t>unionized Coca-Cola workers were killed by paramilitaries</w:t>
      </w:r>
      <w:r w:rsidRPr="00BB217C">
        <w:rPr>
          <w:sz w:val="14"/>
        </w:rPr>
        <w:t xml:space="preserve">.10 Four of them were </w:t>
      </w:r>
      <w:r w:rsidRPr="00BB217C">
        <w:rPr>
          <w:sz w:val="14"/>
        </w:rPr>
        <w:lastRenderedPageBreak/>
        <w:t xml:space="preserve">workers at the same bottling plant, in the northwestern city of Carepa. After </w:t>
      </w:r>
      <w:r w:rsidRPr="007D520E">
        <w:rPr>
          <w:rStyle w:val="StyleUnderline"/>
        </w:rPr>
        <w:t>three leaders of the union were killed in the run-up to negotiations</w:t>
      </w:r>
      <w:r w:rsidRPr="00BB217C">
        <w:rPr>
          <w:sz w:val="14"/>
        </w:rPr>
        <w:t xml:space="preserve"> with plant management, paramilitaries killed the local branch’s general-secretary, set fire to the union’s offices, and then </w:t>
      </w:r>
      <w:r w:rsidRPr="007D520E">
        <w:rPr>
          <w:rStyle w:val="StyleUnderline"/>
        </w:rPr>
        <w:t>assembled workers to tell them that they would be killed if they did not resign from the union.</w:t>
      </w:r>
      <w:r w:rsidRPr="00BB217C">
        <w:rPr>
          <w:sz w:val="14"/>
        </w:rPr>
        <w:t xml:space="preserve"> Witnesses said the resignation letters were prepared on company computers and collected by management.11 In 2002, Adolfo Múnera, a leader of the union, was shot dead upon his return to Barranquilla on the Caribbean coast, after having spent some time in exile following his role in a successful strike. There was abundant evidence of collusion among bottling plant management, state forces, and paramilitaries in Múnera’s murder. Months later, paramilitaries publicly announced plans to kill more members of the union because they were interfering with Coca-Cola’s business.12 </w:t>
      </w:r>
      <w:r w:rsidRPr="00F80470">
        <w:rPr>
          <w:rStyle w:val="StyleUnderline"/>
        </w:rPr>
        <w:t>Fourteen members of the Colombian Food Workers Union working at Nestlé have also been killed</w:t>
      </w:r>
      <w:r w:rsidRPr="00BB217C">
        <w:rPr>
          <w:sz w:val="14"/>
        </w:rPr>
        <w:t xml:space="preserve">.13 I accompanied the union during negotiations with Nestlé in southwestern Colombia in April 2006. Before talks had even begun, members of the negotiating committee reported being followed by cars with blacked-out windows. One of the union members I got to know during that visit was Oscar López. In 2013, López was shot dead during a hunger strike. The day before his murder, several </w:t>
      </w:r>
      <w:r w:rsidRPr="00A808A4">
        <w:rPr>
          <w:rStyle w:val="StyleUnderline"/>
        </w:rPr>
        <w:t>union activists had received text messages from a paramilitary group threatening them with death for “bothering Nestlé</w:t>
      </w:r>
      <w:r w:rsidRPr="00BB217C">
        <w:rPr>
          <w:sz w:val="14"/>
        </w:rPr>
        <w:t xml:space="preserve">.”14 In the wake of horrors such as these, our gaze is automatically directed to acts most clearly recognizable as violence: those direct acts carried out by identifiable agents. Yet it is clear to the victims themselves that the violence penetrates far more deeply. On its list of twenty-nine members killed since the union was founded, the Colombian Food Workers Union includes Guillermo Gómez, whose desperation at the closure of the Coca-Cola bottling plant where he worked led him to take his own life. Also listed is Walter Rengifo, who died from a brain aneurism “caused by the constant repression, persecution and permanent labour conflicts” with Nestlé. 15 </w:t>
      </w:r>
      <w:r w:rsidRPr="00E724AF">
        <w:rPr>
          <w:rStyle w:val="StyleUnderline"/>
        </w:rPr>
        <w:t xml:space="preserve">Selective assassinations are part of a continuum of </w:t>
      </w:r>
      <w:r w:rsidRPr="00047C7A">
        <w:rPr>
          <w:rStyle w:val="StyleUnderline"/>
          <w:highlight w:val="cyan"/>
        </w:rPr>
        <w:t>ways in which capitalism generates death</w:t>
      </w:r>
      <w:r w:rsidRPr="00E724AF">
        <w:rPr>
          <w:rStyle w:val="StyleUnderline"/>
        </w:rPr>
        <w:t>— through hunger or the precarity that creates the state of “total crisis”</w:t>
      </w:r>
      <w:r w:rsidRPr="00BB217C">
        <w:rPr>
          <w:sz w:val="14"/>
        </w:rPr>
        <w:t xml:space="preserve"> that Gómez described in his suicide note. When I was accompanying union leaders in various parts of the country during the time I was living in Colombia, a recurrent topic of conversation was labor conditions at Coca-Cola bottling plants as a result of casualization, which leaders often described as “inhuman.” Workers were laboring from five in the morning until eleven or twelve at night for wages that barely covered the cost of food and rent. They were undertaking long and exhausting treks to the workplace because deregulated housing markets had pushed the cost of local accommodation beyond their reach. Extensive subcontracting meant that most had to cover the costs of their own tools and uniforms, health care, and social security.16 In the union’s discourse, these violences, too, constitute crimes against humanity. As does the widespread hunger generated by a food and agriculture industry designed for corporate profit rather than the well-being of the population.17 Reading Marx through a lens of violence and visibility, Amedeo Policante suggests that, from the preface to the first German edition of Capital, Marx framed his endeavor as </w:t>
      </w:r>
      <w:r w:rsidRPr="001C195A">
        <w:rPr>
          <w:rStyle w:val="StyleUnderline"/>
        </w:rPr>
        <w:t xml:space="preserve">an effort to uncover the systemic violence at work beneath the “civil peace” of nineteenth-century liberal society.18 For all the horror of </w:t>
      </w:r>
      <w:r w:rsidRPr="00047C7A">
        <w:rPr>
          <w:rStyle w:val="StyleUnderline"/>
        </w:rPr>
        <w:t>land dispossession</w:t>
      </w:r>
      <w:r w:rsidRPr="001C195A">
        <w:rPr>
          <w:rStyle w:val="StyleUnderline"/>
        </w:rPr>
        <w:t xml:space="preserve">, for all the brutality of laws that criminalized the dispossessed, for all the “extirpation, enslavement, and entombment in mines” of colonized peoples, there is another, less spectacular form of horror inherent in capitalism: </w:t>
      </w:r>
      <w:r w:rsidRPr="00E73761">
        <w:rPr>
          <w:rStyle w:val="StyleUnderline"/>
        </w:rPr>
        <w:t>the constant extraction of life</w:t>
      </w:r>
      <w:r w:rsidRPr="001C195A">
        <w:rPr>
          <w:rStyle w:val="StyleUnderline"/>
        </w:rPr>
        <w:t xml:space="preserve"> from those without capital, “the vampire thirst for the living blood of labour</w:t>
      </w:r>
      <w:r w:rsidRPr="00F92A91">
        <w:rPr>
          <w:rStyle w:val="StyleUnderline"/>
        </w:rPr>
        <w:t>.”</w:t>
      </w:r>
      <w:r w:rsidRPr="00F92A91">
        <w:rPr>
          <w:sz w:val="14"/>
        </w:rPr>
        <w:t xml:space="preserve">19 </w:t>
      </w:r>
      <w:r w:rsidRPr="00F92A91">
        <w:rPr>
          <w:rStyle w:val="StyleUnderline"/>
        </w:rPr>
        <w:t>Other violent modes of extraction</w:t>
      </w:r>
      <w:r w:rsidRPr="00F92A91">
        <w:rPr>
          <w:sz w:val="14"/>
        </w:rPr>
        <w:t xml:space="preserve"> are also a major focus of movements that are the recipients of corporate-backed acts of direct violence—</w:t>
      </w:r>
      <w:r w:rsidRPr="00F92A91">
        <w:rPr>
          <w:rStyle w:val="StyleUnderline"/>
        </w:rPr>
        <w:t>for instance, the overwhelmingly racialized public-health impact of extractive industries alongside what some Indigenous peoples would describe as a thirst for the blood of nature itself</w:t>
      </w:r>
      <w:r w:rsidRPr="00F92A91">
        <w:rPr>
          <w:sz w:val="14"/>
        </w:rPr>
        <w:t xml:space="preserve">. In 2016, I shared a platform at a conference in London with Luz Angela Uriana, a Wayuú Indigenous campaigner who lives near the Cerrejón open cast coal mine in La Guajira, a department </w:t>
      </w:r>
      <w:r w:rsidRPr="00F92A91">
        <w:rPr>
          <w:rStyle w:val="StyleUnderline"/>
        </w:rPr>
        <w:t>in northeastern Colombia. Over the previous eight years, almost five thousand Wayuú children had died because of a lack of water and food caused by the ecological impact of the mine,</w:t>
      </w:r>
      <w:r w:rsidRPr="00F92A91">
        <w:rPr>
          <w:sz w:val="14"/>
        </w:rPr>
        <w:t xml:space="preserve"> while the London-listed companies that own the mine—Anglo American, bhp, and Glencore—made skyrocketing profits.20 Many more children, including</w:t>
      </w:r>
      <w:r w:rsidRPr="00BB217C">
        <w:rPr>
          <w:sz w:val="14"/>
        </w:rPr>
        <w:t xml:space="preserve"> Uriana’s then four-year-old son, Moíses, were suffering respiratory illness. Uriana had come to London to denounce the multinationals on their home territory as </w:t>
      </w:r>
      <w:r w:rsidRPr="00D762F4">
        <w:rPr>
          <w:rStyle w:val="StyleUnderline"/>
        </w:rPr>
        <w:t>company representatives continued to deny responsibility by insisting that they operate within the parameters of the law</w:t>
      </w:r>
      <w:r w:rsidRPr="00BB217C">
        <w:rPr>
          <w:sz w:val="14"/>
        </w:rPr>
        <w:t xml:space="preserve">.21 Furthermore, as Uriana also emphasized, adequate medical care is unattainable for most of those affected. The cost of comprehensive health insurance is prohibitive, as it is for precarious workers, the unemployed, and those participating in the informal economy, while public hospitals are drastically under-resourced and any form of medical care is beyond the reach of many rural populations. In September 2006, while I was accompanying representatives of the Colombian Food Workers Union in Barranquilla, I was introduced to members of the National Association of Hospital and Clinic Workers who talked about further violence visited on the population by the denial of treatment and the transformation of health care from a right into a business.22 One union leader invited me to visit a public hospital, where patients in many wards were two to a bed. This union, too, had experienced high levels of armed repression for its defense of public health care. Yet it was the privatization of public services that my companion wanted to talk about. He took me to the hospital morgue and explained that the young man whose body was lying there would have been saved had the hospital had the basic resuscitation equipment available in the private sector. I was reminded of that visit to the morgue a few years later when I read that </w:t>
      </w:r>
      <w:r w:rsidRPr="006A48C9">
        <w:rPr>
          <w:rStyle w:val="StyleUnderline"/>
        </w:rPr>
        <w:t xml:space="preserve">researchers had attributed thirty </w:t>
      </w:r>
      <w:r w:rsidRPr="00F92A91">
        <w:rPr>
          <w:rStyle w:val="StyleUnderline"/>
        </w:rPr>
        <w:t>thousand “excess deaths” to healthcare cuts in England over the course of 2015 alone</w:t>
      </w:r>
      <w:r w:rsidRPr="00F92A91">
        <w:rPr>
          <w:sz w:val="14"/>
        </w:rPr>
        <w:t xml:space="preserve">.23 That, of course, was before the covid-19 pandemic, when </w:t>
      </w:r>
      <w:r w:rsidRPr="00F92A91">
        <w:rPr>
          <w:rStyle w:val="StyleUnderline"/>
        </w:rPr>
        <w:t>tens of thousands of further avoidable deaths occurred as a result of the cuts and privatization that left the country exposed to the virus</w:t>
      </w:r>
      <w:r w:rsidRPr="00F92A91">
        <w:rPr>
          <w:sz w:val="14"/>
        </w:rPr>
        <w:t xml:space="preserve">.24 </w:t>
      </w:r>
      <w:r w:rsidRPr="00F92A91">
        <w:rPr>
          <w:rStyle w:val="StyleUnderline"/>
        </w:rPr>
        <w:t>Britain was in the grip of “austerity,” a euphemism for drastic cuts to public expenditure on the basis of the same neoliberal policy prescriptions that have long assailed populations at the peripheries of global capitalism</w:t>
      </w:r>
      <w:r w:rsidRPr="00BB217C">
        <w:rPr>
          <w:sz w:val="14"/>
        </w:rPr>
        <w:t xml:space="preserve">. Neoliberalism took off in Britain in the 1980s with Prime Minister Margaret Thatcher’s mantra “There is no alternative,” but attacks on the social safety nets once designed to protect people were accelerated in the wake of the financial crisis of 2008. In the years before the pandemic, </w:t>
      </w:r>
      <w:r w:rsidRPr="000E5BC0">
        <w:rPr>
          <w:rStyle w:val="StyleUnderline"/>
        </w:rPr>
        <w:t>austerity had</w:t>
      </w:r>
      <w:r w:rsidRPr="00BB217C">
        <w:rPr>
          <w:sz w:val="14"/>
        </w:rPr>
        <w:t xml:space="preserve"> </w:t>
      </w:r>
      <w:r w:rsidRPr="00BB217C">
        <w:rPr>
          <w:sz w:val="14"/>
        </w:rPr>
        <w:lastRenderedPageBreak/>
        <w:t>already had—as Vickie Cooper and David Whyte put it—“</w:t>
      </w:r>
      <w:r w:rsidRPr="000E5BC0">
        <w:rPr>
          <w:rStyle w:val="StyleUnderline"/>
        </w:rPr>
        <w:t>profoundly violent effects</w:t>
      </w:r>
      <w:r w:rsidRPr="00BB217C">
        <w:rPr>
          <w:sz w:val="14"/>
        </w:rPr>
        <w:t xml:space="preserve">.”25 Corporate and political elites had vastly increased their wealth, benefiting from generous tax cuts alongside the transfer of lucrative contracts for once public services to private providers.26 In 2012, legislation crafted by the international management consulting firm McKinsey and Company had abolished the state’s responsibility to provide comprehensive health care.27 By the start of 2017, </w:t>
      </w:r>
      <w:r w:rsidRPr="00450DA2">
        <w:rPr>
          <w:rStyle w:val="StyleUnderline"/>
        </w:rPr>
        <w:t>the Red Cross had declared Britain’s National Health Service (nhs) to be in a state of “humanitarian crisis</w:t>
      </w:r>
      <w:r w:rsidRPr="00BB217C">
        <w:rPr>
          <w:sz w:val="14"/>
        </w:rPr>
        <w:t xml:space="preserve">,” </w:t>
      </w:r>
      <w:r w:rsidRPr="00450DA2">
        <w:rPr>
          <w:rStyle w:val="StyleUnderline"/>
        </w:rPr>
        <w:t>while more than ten thousand disabled people had died after being assessed “fit to work” following welfare reforms,</w:t>
      </w:r>
      <w:r w:rsidRPr="00BB217C">
        <w:rPr>
          <w:sz w:val="14"/>
        </w:rPr>
        <w:t xml:space="preserve"> and more than a million people lacked food, toiletries, and even beds.28 The working conditions that the Food Workers Union described in Colombia would sound familiar to the approximately one million workers by then on zero-hours contracts. In 2016, as homelessness proliferated, legislation written with extensive input from the global real estate firm Savills had devastated remaining public housing stock to the benefit of corporate landlords, while the government voted against legislation demanding that landlords make properties “fit for human habitation.”29 The Grenfell Tower fire, which killed seventy-two residents of a high-rise housing block in June 2017, soon came to stand in for the wider implications of austerity. The catastrophe had long been foreseen by campaigners. The tower had been covered in cheap, flammable cladding to prevent it from being an eyesore to wealthier area inhabitants. Residents had been complaining for years about the absence of fire extinguishers and had repeatedly raised concerns about the use of hazardous materials.30 Cuts to legal aid had meant that they were unable to afford advice from lawyers. Instead, the building’s tenant management organization had threatened campaigners with legal action for questioning fire safety.31 It was reported that, across Britain, thirty thousand other buildings were covered in the same illegal cladding.32 Shortly after the Grenfell fire, Britain’s shadow chancellor sparked outrage by referring to the deaths as “social murder.”33 Friedrich Engels had coined that term in The Condition of the Working Class in England in 1844 to describe the early and unnatural deaths in factories, slums, and poorhouses that were a normal feature of working-class existence.34 Commentators spouted disbelief that events such as Grenfell could happen in Britain, in 2017, voicing sentiments such as Surely not here, not now; </w:t>
      </w:r>
      <w:r w:rsidRPr="00C45B24">
        <w:rPr>
          <w:rStyle w:val="StyleUnderline"/>
        </w:rPr>
        <w:t>These things only happen elsewhere, or at another time;</w:t>
      </w:r>
      <w:r w:rsidRPr="00BB217C">
        <w:rPr>
          <w:sz w:val="14"/>
        </w:rPr>
        <w:t xml:space="preserve"> and Are we returning to the levels of inequality characteristic of Victorian England?35 </w:t>
      </w:r>
      <w:r w:rsidRPr="00F92A91">
        <w:rPr>
          <w:rStyle w:val="StyleUnderline"/>
        </w:rPr>
        <w:t xml:space="preserve">These expressions of disbelief indicate something that is common to much </w:t>
      </w:r>
      <w:r w:rsidRPr="00047C7A">
        <w:rPr>
          <w:rStyle w:val="StyleUnderline"/>
          <w:highlight w:val="cyan"/>
        </w:rPr>
        <w:t>mainstream human rights activism: a refusal to recognize</w:t>
      </w:r>
      <w:r w:rsidRPr="00C45B24">
        <w:rPr>
          <w:rStyle w:val="StyleUnderline"/>
        </w:rPr>
        <w:t xml:space="preserve"> that, outside of the selective amelioration of exploitation within postwar welfare states, </w:t>
      </w:r>
      <w:r w:rsidRPr="00047C7A">
        <w:rPr>
          <w:rStyle w:val="StyleUnderline"/>
          <w:highlight w:val="cyan"/>
        </w:rPr>
        <w:t>capitalism kills as a matter of routine</w:t>
      </w:r>
      <w:r w:rsidRPr="00C45B24">
        <w:rPr>
          <w:rStyle w:val="StyleUnderline"/>
        </w:rPr>
        <w:t>—especially if you are situated on the wrong side of the color line or if you are undocumented, a noncitizen, or not quite a citizen; especially if you are female; especially if you are sick or disabled and thus unable to work to sustain your existence.</w:t>
      </w:r>
      <w:r w:rsidRPr="00BB217C">
        <w:rPr>
          <w:sz w:val="14"/>
        </w:rPr>
        <w:t xml:space="preserve">36 The placards and signs near the ruins of Grenfell Tower grasped this reality: “Corporate Murder” and “People’s Lives Don’t Matter under Capitalism.”37 From the slow deaths of workers from sickness and exhaustion, deaths from hunger, or the public-health impact of ecological harm, to the tragedy of Grenfell Tower, </w:t>
      </w:r>
      <w:r w:rsidRPr="003A4974">
        <w:rPr>
          <w:rStyle w:val="StyleUnderline"/>
        </w:rPr>
        <w:t>premature death is a normal, predictable, and often entirely legal outcome</w:t>
      </w:r>
      <w:r w:rsidRPr="00BB217C">
        <w:rPr>
          <w:sz w:val="14"/>
        </w:rPr>
        <w:t xml:space="preserve"> of capitalist extraction. I juxtapose the two countries in which I have been based while writing this book, not to downplay the profound differences between Colombia and Britain, and still less to attempt a historical sociology of their uneven and combined development, but with the more modest aim of situating Colombia in a global conjuncture marked by ever increasing penetration of corporate power. Colonial-style relations of extraction and expropriation have now boomeranged back into the former heartlands of empire.38 </w:t>
      </w:r>
      <w:r w:rsidRPr="00047C7A">
        <w:rPr>
          <w:rStyle w:val="StyleUnderline"/>
          <w:highlight w:val="cyan"/>
        </w:rPr>
        <w:t>The human rights movement</w:t>
      </w:r>
      <w:r w:rsidRPr="00B406D6">
        <w:rPr>
          <w:rStyle w:val="StyleUnderline"/>
        </w:rPr>
        <w:t xml:space="preserve"> that emerged in the 1970s was the product of a dif</w:t>
      </w:r>
      <w:r w:rsidRPr="00B406D6">
        <w:rPr>
          <w:rStyle w:val="StyleUnderline"/>
        </w:rPr>
        <w:softHyphen/>
        <w:t xml:space="preserve">ferent era, of the activities of citizens </w:t>
      </w:r>
      <w:r w:rsidRPr="00047C7A">
        <w:rPr>
          <w:rStyle w:val="StyleUnderline"/>
          <w:highlight w:val="cyan"/>
        </w:rPr>
        <w:t>enjoy</w:t>
      </w:r>
      <w:r w:rsidRPr="00B406D6">
        <w:rPr>
          <w:rStyle w:val="StyleUnderline"/>
        </w:rPr>
        <w:t xml:space="preserve">ing the benefits of </w:t>
      </w:r>
      <w:r w:rsidRPr="00047C7A">
        <w:rPr>
          <w:rStyle w:val="StyleUnderline"/>
          <w:highlight w:val="cyan"/>
        </w:rPr>
        <w:t>inclusion within Western liberal democracies</w:t>
      </w:r>
      <w:r w:rsidRPr="00B406D6">
        <w:rPr>
          <w:rStyle w:val="StyleUnderline"/>
        </w:rPr>
        <w:t xml:space="preserve">. </w:t>
      </w:r>
      <w:r w:rsidRPr="00BB217C">
        <w:rPr>
          <w:sz w:val="14"/>
        </w:rPr>
        <w:t xml:space="preserve">As such, </w:t>
      </w:r>
      <w:r w:rsidRPr="00B406D6">
        <w:rPr>
          <w:rStyle w:val="StyleUnderline"/>
        </w:rPr>
        <w:t>it was shaped from its inception by a focus on egregious violations of civil and political rights by Third World states</w:t>
      </w:r>
      <w:r w:rsidRPr="00BB217C">
        <w:rPr>
          <w:sz w:val="14"/>
        </w:rPr>
        <w:t xml:space="preserve">.39 </w:t>
      </w:r>
      <w:r w:rsidRPr="00B406D6">
        <w:rPr>
          <w:rStyle w:val="StyleUnderline"/>
        </w:rPr>
        <w:t xml:space="preserve">The fact that prominent </w:t>
      </w:r>
      <w:r w:rsidRPr="00047C7A">
        <w:rPr>
          <w:rStyle w:val="StyleUnderline"/>
          <w:highlight w:val="cyan"/>
        </w:rPr>
        <w:t>neoliberals</w:t>
      </w:r>
      <w:r w:rsidRPr="00B406D6">
        <w:rPr>
          <w:rStyle w:val="StyleUnderline"/>
        </w:rPr>
        <w:t xml:space="preserve"> of the time </w:t>
      </w:r>
      <w:r w:rsidRPr="00047C7A">
        <w:rPr>
          <w:rStyle w:val="StyleUnderline"/>
          <w:highlight w:val="cyan"/>
        </w:rPr>
        <w:t xml:space="preserve">used human rights to oppose demands for postcolonial redistribution and to link </w:t>
      </w:r>
      <w:r w:rsidRPr="00F92A91">
        <w:rPr>
          <w:rStyle w:val="StyleUnderline"/>
        </w:rPr>
        <w:t>Third World governments’</w:t>
      </w:r>
      <w:r w:rsidRPr="00047C7A">
        <w:rPr>
          <w:rStyle w:val="StyleUnderline"/>
          <w:highlight w:val="cyan"/>
        </w:rPr>
        <w:t xml:space="preserve"> restrictions of </w:t>
      </w:r>
      <w:r w:rsidRPr="00047C7A">
        <w:rPr>
          <w:rStyle w:val="StyleUnderline"/>
        </w:rPr>
        <w:t>the</w:t>
      </w:r>
      <w:r w:rsidRPr="00B406D6">
        <w:rPr>
          <w:rStyle w:val="StyleUnderline"/>
        </w:rPr>
        <w:t xml:space="preserve"> rights of </w:t>
      </w:r>
      <w:r w:rsidRPr="00047C7A">
        <w:rPr>
          <w:rStyle w:val="StyleUnderline"/>
          <w:highlight w:val="cyan"/>
        </w:rPr>
        <w:t>foreign investors to violation of</w:t>
      </w:r>
      <w:r w:rsidRPr="00B406D6">
        <w:rPr>
          <w:rStyle w:val="StyleUnderline"/>
        </w:rPr>
        <w:t xml:space="preserve"> civil and political </w:t>
      </w:r>
      <w:r w:rsidRPr="00047C7A">
        <w:rPr>
          <w:rStyle w:val="StyleUnderline"/>
          <w:highlight w:val="cyan"/>
        </w:rPr>
        <w:t>rights</w:t>
      </w:r>
      <w:r w:rsidRPr="00B406D6">
        <w:rPr>
          <w:rStyle w:val="StyleUnderline"/>
        </w:rPr>
        <w:t xml:space="preserve"> has shaped the mainstream discourse of human rights ever since</w:t>
      </w:r>
      <w:r w:rsidRPr="00BB217C">
        <w:rPr>
          <w:sz w:val="14"/>
        </w:rPr>
        <w:t xml:space="preserve">.40 Yet, as becomes clear in subsequent chapters, a deep understanding of the systemic violence of capitalism is central to how many social movements make appeal to human rights. Thus, to grasp the politics of human rights in these struggles, we must, as Slavoj Žižek insists, “learn to step back, to disentangle ourselves from the fascinating lure” of the immediately visible sort of violence carried out by identifiable agents—crime and terror, civil unrest and war. “We need to perceive the contours of the background which generates such outbursts”: the real but unseen violence that is “the spontaneously accepted background” against which we register more visible acts of violence.41 The everyday workings of the law are enmeshed within this background, though they are often hidden from view by the ambivalent concept of rule of law. Rule of Law The rule of law is one of the most powerful myths of Western political thought. The connotations are usually positive: the term rule of law is presumed to imply a just and ordered society where law applies equally to everyone, whatever their rank or status. Nevertheless, as Ugo Mattei and Laura Nader point out, few people seem to have a clear idea of what, exactly, they mean when they refer to the rule of law.42 When the former English judge Tom Bingham was invited to give a public lecture at the University of Cambridge in 2006, he chose rule of law precisely because he was neither sure what the term meant nor convinced that others knew what they meant when they used it. Bingham’s subsequent book-length discussion sets out the purposeful function of law as the foundation of a fair and just society, a guarantee of responsible government, and an important contributor to economic growth.43 The starting point of Bingham’s discussion is the English Magna Carta of 1215, which reflects the sense of rule of law to which human rights advocates tend to appeal: “No free man shall be seized or imprisoned or stripped of his rights or possessions . . . except by the lawful judgement of his equals or by the law of the land.”44 Nevertheless, Magna Carta established not democracy but the constitutional nature of English monarchy. When we consider the earliest uses of the term rule of law, at the start of the seventeenth century, we find it referring to the specialist status of lawyers as “guardians of a government of laws,” a role that was “in fact born out of their role as guardians of a given, highly unequal, and certainly non-democratic distribution of property.”45 It was not, however, until the following century that an ideology of rule of law began to be consolidated. When the European witch hunts subsided in the late seventeenth and early eighteenth centuries, arrests for damage to property and assaults proliferated, while new crimes entered the statute books.46 England’s Black Act of 1723 created “at a blow some fifty new capital offences” against property and the person, bringing into force a new and particularly severe criminal code that then became “a spawning ground for ever-extending legal judgements.”47 As E. P. Thompson underscores in opening his book on the origins of the act, legislators were already clear at the start of the eighteenth century that the British state “existed to preserve the property and, incidentally, the lives and liberties of the propertied.”48 It was only during the course of that century, however, that rule of law gained preeminence as the “central legitimising authority” for the power of the ruling class, giving way in the nineteenth century to political liberalism, free-market ideology, and intensified imperial plunder.49 Indeed, as Brenna Bhandar has explored, the English common law of property became “the sine qua non of civilized life and society” in the legal </w:t>
      </w:r>
      <w:r w:rsidRPr="00BB217C">
        <w:rPr>
          <w:sz w:val="14"/>
        </w:rPr>
        <w:lastRenderedPageBreak/>
        <w:t xml:space="preserve">narratives that shaped the practice of colonial rule, “an axiom sharpened at the expense of indigenous peoples throughout the colonial world.”50 An ideology of rule of law was also central to the construction of legitimate authority in Latin American republics after their wars of independence. Nevertheless, as Ignacio Abello notes, law was largely an abstract phenomenon, and the oligarchy “never seriously thought of a . . . society in which the principles and rights for which they had fought in Congress and on the battlefields would really include indians, blacks, mestizos, mulatos, zambos and all the other groups that they . . . dedicated themselves to classifying as objects of scientific observation.”51 Colonial rule in what is now called Latin America—as elsewhere—split its subject populations into a minority whose humanity was legally and socially recognized and a majority excluded from the protection of law. The boundaries between legitimate and illegitimate violence remained in constant flux after independence, as rival leaders seized power.52 Colonial and postcolonial discipline often involved armed groups funded by corporations—as the British diplomat and later Irish revolutionary Roger Casement documented in the Congo of the late 1800s and the Amazon of the early 1900s—despite the latter falling within the jurisdiction of Colombia and Peru. In what is now the Putumayo region of Colombia, the extraction of rubber was accompanied by the shooting and mutilation of enslaved Indigenous rubber collectors under the control of the Londonregistered Peruvian Amazon Company. “The diabolical maxim, ‘the Indian has no right’ was,” Casement reported, “stronger than remote laws that were rarely implemented.”53 Even this, however, does not mean that those laws were worth nothing. Thompson’s comments on the consolidation of an ideology of rule of law in England are also pertinent to the republicanism of nineteenth-century Latin America. Elites in postindependence Colombia espoused republican ideology as a minority project, with citizenship afforded only to those males who met certain criteria of property or income.54 Nevertheless, the fact that they grounded the legitimacy of the state in a discourse of rights and the universality of law also made members of the Colombian ruling class “prisoners of their own rhetoric” in the sense that Thompson describes.55 </w:t>
      </w:r>
      <w:r w:rsidRPr="00E55986">
        <w:rPr>
          <w:rStyle w:val="StyleUnderline"/>
        </w:rPr>
        <w:t>Elites required the support of subaltern groups in the seizures of power by rival Liberal and Conservative factions</w:t>
      </w:r>
      <w:r w:rsidRPr="00BB217C">
        <w:rPr>
          <w:sz w:val="14"/>
        </w:rPr>
        <w:t xml:space="preserve"> that marked the decades after independence. While </w:t>
      </w:r>
      <w:r w:rsidRPr="00E55986">
        <w:rPr>
          <w:rStyle w:val="StyleUnderline"/>
        </w:rPr>
        <w:t>this gave rise to dense structures of patronage</w:t>
      </w:r>
      <w:r w:rsidRPr="00BB217C">
        <w:rPr>
          <w:sz w:val="14"/>
        </w:rPr>
        <w:t xml:space="preserve">, this does not mean that peasants, Indigenous groups, and Afro-Colombians were mere clients of a corrupt oligarchy. As James E. Sanders has explored in relation to the southern region of the Cauca in the nineteenth century, “Republicanism offered new and powerful ways of talking about and engaging in politics that Plebians appropriated,” and Colombia’s political culture was, as a result, “as innovative and democratic as any in the republican world.”56 Both elites and subaltern groups “had to play by the rules. . . of republican politics,” </w:t>
      </w:r>
      <w:r w:rsidRPr="00E55986">
        <w:rPr>
          <w:rStyle w:val="StyleUnderline"/>
        </w:rPr>
        <w:t>and Afro-Colombians, peasants, and Indigenous peoples fought continuously within the parameters of republican discourse to make society more democratic</w:t>
      </w:r>
      <w:r w:rsidRPr="00BB217C">
        <w:rPr>
          <w:sz w:val="14"/>
        </w:rPr>
        <w:t>.57 The clashes between legal principles of freedom, equality, and natural right and the legal architecture of conquest, plunder, and enslavement are reflected in two distinct constellations of meaning around the rule of law.58 Principles of equality and human rights emerge—broadly speaking—from a liberal political tradition rooted in ideas of “natural law,” developed (originally from the Ancient Greek Stoic tradition) by fifteenth- and sixteenth-century Spanish Jesuits and “later becoming a dominant jurisprudence through Europe (including Great Britain), in the more secular form of ‘rational law.’”59 “According to this tradition,” Mattei and Nader explain, “society should be governed by the law and not by a human being acting as a ruler (sub lege, non sub homine). The law is impersonal, abstract and fair, because it is applied blindly to anyone in society.”60 As such, the rule of law is a defense against the tyranny of rulers because they, too, must be bound by the law. It is this conception of rule of law that human rights advocates invoke when denouncing the actions of ruthless governments. In a dif</w:t>
      </w:r>
      <w:r w:rsidRPr="00BB217C">
        <w:rPr>
          <w:sz w:val="14"/>
        </w:rPr>
        <w:softHyphen/>
        <w:t xml:space="preserve">ferent direction, this broad conception of law also underpins the “social” theories of law developed by nineteenth-century reformers and taken up by postwar welfare and develop- mental states, according to which property rights can be limited or curtailed in the name of justice and social solidarity.61 </w:t>
      </w:r>
      <w:r w:rsidRPr="00E55986">
        <w:rPr>
          <w:rStyle w:val="StyleUnderline"/>
        </w:rPr>
        <w:t>We should not romanticize any of this. “</w:t>
      </w:r>
      <w:r w:rsidRPr="00504977">
        <w:rPr>
          <w:rStyle w:val="StyleUnderline"/>
          <w:highlight w:val="cyan"/>
        </w:rPr>
        <w:t>Social” theories of law</w:t>
      </w:r>
      <w:r w:rsidRPr="00E55986">
        <w:rPr>
          <w:rStyle w:val="StyleUnderline"/>
        </w:rPr>
        <w:t xml:space="preserve">, for instance, have also </w:t>
      </w:r>
      <w:r w:rsidRPr="00504977">
        <w:rPr>
          <w:rStyle w:val="StyleUnderline"/>
          <w:highlight w:val="cyan"/>
        </w:rPr>
        <w:t xml:space="preserve">underpinned authoritarian and </w:t>
      </w:r>
      <w:r w:rsidRPr="00504977">
        <w:rPr>
          <w:rStyle w:val="StyleUnderline"/>
        </w:rPr>
        <w:t xml:space="preserve">deeply </w:t>
      </w:r>
      <w:r w:rsidRPr="00504977">
        <w:rPr>
          <w:rStyle w:val="StyleUnderline"/>
          <w:highlight w:val="cyan"/>
        </w:rPr>
        <w:t xml:space="preserve">racist </w:t>
      </w:r>
      <w:r w:rsidRPr="00504977">
        <w:rPr>
          <w:rStyle w:val="StyleUnderline"/>
        </w:rPr>
        <w:t xml:space="preserve">forms of </w:t>
      </w:r>
      <w:r w:rsidRPr="00504977">
        <w:rPr>
          <w:rStyle w:val="StyleUnderline"/>
          <w:highlight w:val="cyan"/>
        </w:rPr>
        <w:t>populism</w:t>
      </w:r>
      <w:r w:rsidRPr="00BB217C">
        <w:rPr>
          <w:sz w:val="14"/>
        </w:rPr>
        <w:t xml:space="preserve">. Nevertheless, the tradition of natural law and natural rights has been marked since antiquity by what Tarik Kochi describes as “a tension between an ethic of human sociability and fellowship, and, a theory of the utility of unsocial and self-interested private property and commercial relations.”62 </w:t>
      </w:r>
      <w:r w:rsidRPr="00C3720A">
        <w:rPr>
          <w:rStyle w:val="StyleUnderline"/>
        </w:rPr>
        <w:t>The latter has fed a rather dif</w:t>
      </w:r>
      <w:r w:rsidRPr="00C3720A">
        <w:rPr>
          <w:rStyle w:val="StyleUnderline"/>
        </w:rPr>
        <w:softHyphen/>
        <w:t xml:space="preserve">ferent conception of </w:t>
      </w:r>
      <w:r w:rsidRPr="00F92A91">
        <w:rPr>
          <w:rStyle w:val="StyleUnderline"/>
        </w:rPr>
        <w:t>rule of law in liberal jurisprudence, referring not to human equity or social solidarity but to institutions that secure property rights and rights to accumulation</w:t>
      </w:r>
      <w:r w:rsidRPr="00F92A91">
        <w:rPr>
          <w:sz w:val="14"/>
        </w:rPr>
        <w:t xml:space="preserve">.63 </w:t>
      </w:r>
      <w:r w:rsidRPr="00F92A91">
        <w:rPr>
          <w:rStyle w:val="StyleUnderline"/>
        </w:rPr>
        <w:t>This is the vision of rule of law that prevailed within colonial rule and that continues</w:t>
      </w:r>
      <w:r w:rsidRPr="00C3720A">
        <w:rPr>
          <w:rStyle w:val="StyleUnderline"/>
        </w:rPr>
        <w:t xml:space="preserve"> to shape what Bhandar denotes “racial regimes of ownership</w:t>
      </w:r>
      <w:r w:rsidRPr="00BB217C">
        <w:rPr>
          <w:sz w:val="14"/>
        </w:rPr>
        <w:t xml:space="preserve">.”64 It also </w:t>
      </w:r>
      <w:r w:rsidRPr="00C3720A">
        <w:rPr>
          <w:rStyle w:val="StyleUnderline"/>
        </w:rPr>
        <w:t xml:space="preserve">informed the legal vision of neoliberal thinkers, according to which state regulation to protect </w:t>
      </w:r>
      <w:r w:rsidRPr="00F92A91">
        <w:rPr>
          <w:rStyle w:val="StyleUnderline"/>
        </w:rPr>
        <w:t>socioeconomic rights</w:t>
      </w:r>
      <w:r w:rsidRPr="00F92A91">
        <w:rPr>
          <w:sz w:val="14"/>
        </w:rPr>
        <w:t xml:space="preserve"> (e.g., through wealth redistribution or welfare provision) </w:t>
      </w:r>
      <w:r w:rsidRPr="00F92A91">
        <w:rPr>
          <w:rStyle w:val="StyleUnderline"/>
        </w:rPr>
        <w:t>is said to undermine a “natural,” merely technical legal order, protected by courts as “neutral” solvers of private conflicts arising in a free market.</w:t>
      </w:r>
      <w:r w:rsidRPr="00F92A91">
        <w:rPr>
          <w:sz w:val="14"/>
        </w:rPr>
        <w:t xml:space="preserve">65 </w:t>
      </w:r>
      <w:r w:rsidRPr="00F92A91">
        <w:rPr>
          <w:rStyle w:val="StyleUnderline"/>
        </w:rPr>
        <w:t>Efforts to fix the meaning of rule of law in these terms at a global level have been fundamental to the rise of neoliberalism and—by the same token—to the defeat of the Third Worldism</w:t>
      </w:r>
      <w:r w:rsidRPr="00F92A91">
        <w:rPr>
          <w:sz w:val="14"/>
        </w:rPr>
        <w:t xml:space="preserve">, which, in the 1960s and ’70s, represented to neoliberals “the scandalous prospect of a decolonization of international law.”66 </w:t>
      </w:r>
      <w:r w:rsidRPr="00F92A91">
        <w:rPr>
          <w:rStyle w:val="StyleUnderline"/>
        </w:rPr>
        <w:t>This, as I show, is central to understanding the intersecting forms of violence faced by populations around the world as neoliberalism has prevailed on a global scale.</w:t>
      </w:r>
      <w:r w:rsidRPr="00F92A91">
        <w:rPr>
          <w:sz w:val="14"/>
        </w:rPr>
        <w:t xml:space="preserve"> Necroeconomics The myth of a neutral, natural civil order has long generated a sort of cognitive dissonance on the part of liberal thinkers. Indeed, the slippage in meaning around rule of law is reflected in Marx’s observation, more than twenty years before he published Capital, that liberal principles of freedom and equality embody a completely dif</w:t>
      </w:r>
      <w:r w:rsidRPr="00F92A91">
        <w:rPr>
          <w:sz w:val="14"/>
        </w:rPr>
        <w:softHyphen/>
        <w:t>ferent vision of humanity and completely dif</w:t>
      </w:r>
      <w:r w:rsidRPr="00F92A91">
        <w:rPr>
          <w:sz w:val="14"/>
        </w:rPr>
        <w:softHyphen/>
        <w:t>ferent moral referen</w:t>
      </w:r>
      <w:r w:rsidRPr="00BB217C">
        <w:rPr>
          <w:sz w:val="14"/>
        </w:rPr>
        <w:t>ce points from the capitalist order within which they are asserted.67 Liberal philosophers have—in dif</w:t>
      </w:r>
      <w:r w:rsidRPr="00BB217C">
        <w:rPr>
          <w:sz w:val="14"/>
        </w:rPr>
        <w:softHyphen/>
        <w:t>ferent ways and to dif</w:t>
      </w:r>
      <w:r w:rsidRPr="00BB217C">
        <w:rPr>
          <w:sz w:val="14"/>
        </w:rPr>
        <w:softHyphen/>
        <w:t>ferent degrees—tried to get around the problem by drawing distinctions between the criteria for moral action and the criteria for economic action.68 Adam Smith’s moral philosophy, for example, was worked out in perpetual tension with his political economy. In The Wealth of Nations, Smith made clear not only that societies must exercise the right to kill to generate terror of punishment for crimes against property, but also—as Warren Montag puts it—that the “</w:t>
      </w:r>
      <w:r w:rsidRPr="008239CB">
        <w:rPr>
          <w:rStyle w:val="StyleUnderline"/>
        </w:rPr>
        <w:t>the market . . . must necessarily at certain precise moments, ‘let die</w:t>
      </w:r>
      <w:r w:rsidRPr="00BB217C">
        <w:rPr>
          <w:sz w:val="14"/>
        </w:rPr>
        <w:t xml:space="preserve">.’” Montag coined the term necro-economics in relation to this aspect of Smith’s thought. Smith’s metaphor of the market’s “invisible hand,” which steers the natural order of things in accordance with providence, was an attempt to reconcile morality with a commercial society based on selfishness and greed. That some must be abandoned, even to death, is covertly set out by Smith as the basis of social harmony.69 Smith could oppose slavery only because his moral sentiments coincided with his economic reasoning on the matter: slavery was not only inhumane but also inefficient.70 </w:t>
      </w:r>
      <w:r w:rsidRPr="00504977">
        <w:rPr>
          <w:rStyle w:val="StyleUnderline"/>
        </w:rPr>
        <w:t>The extension of</w:t>
      </w:r>
      <w:r w:rsidRPr="00947EA8">
        <w:rPr>
          <w:rStyle w:val="StyleUnderline"/>
        </w:rPr>
        <w:t xml:space="preserve"> citizenship </w:t>
      </w:r>
      <w:r w:rsidRPr="00504977">
        <w:rPr>
          <w:rStyle w:val="StyleUnderline"/>
        </w:rPr>
        <w:t>rights</w:t>
      </w:r>
      <w:r w:rsidRPr="00947EA8">
        <w:rPr>
          <w:rStyle w:val="StyleUnderline"/>
        </w:rPr>
        <w:t xml:space="preserve"> that marked twentieth-century socialdemocratic thought sought to alleviate the tension not by separating the criteria for economic and moral action, but </w:t>
      </w:r>
      <w:r w:rsidRPr="00947EA8">
        <w:rPr>
          <w:rStyle w:val="StyleUnderline"/>
        </w:rPr>
        <w:lastRenderedPageBreak/>
        <w:t>by establishing rights as limits to what can be authorized on economic grounds.</w:t>
      </w:r>
      <w:r w:rsidRPr="00BB217C">
        <w:rPr>
          <w:sz w:val="14"/>
        </w:rPr>
        <w:t xml:space="preserve"> That said, these were limited limits. </w:t>
      </w:r>
      <w:r w:rsidRPr="00504977">
        <w:rPr>
          <w:rStyle w:val="StyleUnderline"/>
          <w:highlight w:val="cyan"/>
        </w:rPr>
        <w:t>The discourse of</w:t>
      </w:r>
      <w:r w:rsidRPr="00947EA8">
        <w:rPr>
          <w:rStyle w:val="StyleUnderline"/>
        </w:rPr>
        <w:t xml:space="preserve"> social </w:t>
      </w:r>
      <w:r w:rsidRPr="00504977">
        <w:rPr>
          <w:rStyle w:val="StyleUnderline"/>
          <w:highlight w:val="cyan"/>
        </w:rPr>
        <w:t>rights</w:t>
      </w:r>
      <w:r w:rsidRPr="00947EA8">
        <w:rPr>
          <w:rStyle w:val="StyleUnderline"/>
        </w:rPr>
        <w:t xml:space="preserve"> that accompanied this </w:t>
      </w:r>
      <w:r w:rsidRPr="00504977">
        <w:rPr>
          <w:rStyle w:val="StyleUnderline"/>
          <w:highlight w:val="cyan"/>
        </w:rPr>
        <w:t>provided little</w:t>
      </w:r>
      <w:r w:rsidRPr="00947EA8">
        <w:rPr>
          <w:rStyle w:val="StyleUnderline"/>
        </w:rPr>
        <w:t xml:space="preserve"> more than what Wendy Brown has referred to as a “modest ethical </w:t>
      </w:r>
      <w:r w:rsidRPr="00504977">
        <w:rPr>
          <w:rStyle w:val="StyleUnderline"/>
          <w:highlight w:val="cyan"/>
        </w:rPr>
        <w:t>gap</w:t>
      </w:r>
      <w:r w:rsidRPr="00947EA8">
        <w:rPr>
          <w:rStyle w:val="StyleUnderline"/>
        </w:rPr>
        <w:t xml:space="preserve">” </w:t>
      </w:r>
      <w:r w:rsidRPr="00504977">
        <w:rPr>
          <w:rStyle w:val="StyleUnderline"/>
          <w:highlight w:val="cyan"/>
        </w:rPr>
        <w:t>between economy and polity</w:t>
      </w:r>
      <w:r w:rsidRPr="00BB217C">
        <w:rPr>
          <w:sz w:val="14"/>
        </w:rPr>
        <w:t>.</w:t>
      </w:r>
      <w:r w:rsidRPr="00F92A91">
        <w:rPr>
          <w:sz w:val="14"/>
        </w:rPr>
        <w:t xml:space="preserve">71 </w:t>
      </w:r>
      <w:r w:rsidRPr="00F92A91">
        <w:rPr>
          <w:rStyle w:val="StyleUnderline"/>
        </w:rPr>
        <w:t>Moral arguments for the welfare state, found most notably in the insistence in the United Nations Universal Declaration of Human Rights</w:t>
      </w:r>
      <w:r w:rsidRPr="00F92A91">
        <w:rPr>
          <w:sz w:val="14"/>
        </w:rPr>
        <w:t xml:space="preserve"> (udhr) on “the inherent dignity and of the equal and inalienable rights of all members of the human family,” </w:t>
      </w:r>
      <w:r w:rsidRPr="00F92A91">
        <w:rPr>
          <w:rStyle w:val="StyleUnderline"/>
        </w:rPr>
        <w:t>coexisted with more explicit economic arguments for the stabilization of capitalism by preventing “the economy” from becoming “disembedded” from</w:t>
      </w:r>
      <w:r w:rsidRPr="00482316">
        <w:rPr>
          <w:rStyle w:val="StyleUnderline"/>
        </w:rPr>
        <w:t xml:space="preserve"> the social conditions that sustain its reproduction.</w:t>
      </w:r>
      <w:r w:rsidRPr="00BB217C">
        <w:rPr>
          <w:sz w:val="14"/>
        </w:rPr>
        <w:t xml:space="preserve">72 What is more, </w:t>
      </w:r>
      <w:r w:rsidRPr="00504977">
        <w:rPr>
          <w:rStyle w:val="StyleUnderline"/>
        </w:rPr>
        <w:t>the application of social rights was deeply marked by</w:t>
      </w:r>
      <w:r w:rsidRPr="002674F4">
        <w:rPr>
          <w:rStyle w:val="StyleUnderline"/>
        </w:rPr>
        <w:t xml:space="preserve"> </w:t>
      </w:r>
      <w:r w:rsidRPr="00504977">
        <w:rPr>
          <w:rStyle w:val="StyleUnderline"/>
        </w:rPr>
        <w:t>racialized divisions</w:t>
      </w:r>
      <w:r w:rsidRPr="002674F4">
        <w:rPr>
          <w:rStyle w:val="StyleUnderline"/>
        </w:rPr>
        <w:t xml:space="preserve"> between those whose rights were and were not recognized in practice.</w:t>
      </w:r>
      <w:r w:rsidRPr="00BB217C">
        <w:rPr>
          <w:sz w:val="14"/>
        </w:rPr>
        <w:t xml:space="preserve"> Although the udhr was a manifesto for the welfare state, actually existing welfare states in the West served largely to redistribute the spoils of colonialism to white working classes.73 In Britain, proposals for state welfare were fueled by eugenicist desires to maintain “good racial stock” and preserve the British Empire.74 The direct state provision of national welfare in the twentieth century followed the same path as the more limited provision of the previous two centuries (through voluntary organizations, friendly societies, and private charity, alongside limited state interventions), which had been made possible only through imperial relations of extraction and aggressive taxation.75 Although the consolidation of the welfare state coincided with the formal dismantling of the British Empire, “the imperial dividend continued after empire and was integral to the construction of the post-war welfare state.”76 Neoliberal thought was, from its inception, a rejection of </w:t>
      </w:r>
      <w:r w:rsidRPr="00F92A91">
        <w:rPr>
          <w:sz w:val="14"/>
        </w:rPr>
        <w:t xml:space="preserve">social welfare and of the liberal belief in inalienable rights at the same time that it sought to maintain the colonial division of labor. Yet </w:t>
      </w:r>
      <w:r w:rsidRPr="00F92A91">
        <w:rPr>
          <w:rStyle w:val="StyleUnderline"/>
        </w:rPr>
        <w:t>what really marks out the neoliberal project is that, rather than separating the principles for moral and economic action, it recast classical necroeconomics with an explicitly moral hue. The neoliberal argument for the competitive market was</w:t>
      </w:r>
      <w:r w:rsidRPr="00F92A91">
        <w:rPr>
          <w:sz w:val="14"/>
        </w:rPr>
        <w:t>, Jessica Whyte emphasizes, “</w:t>
      </w:r>
      <w:r w:rsidRPr="00F92A91">
        <w:rPr>
          <w:rStyle w:val="StyleUnderline"/>
        </w:rPr>
        <w:t>moral and political, rather than strictly economic</w:t>
      </w:r>
      <w:r w:rsidRPr="00F92A91">
        <w:rPr>
          <w:sz w:val="14"/>
        </w:rPr>
        <w:t>.”77 Jettisoning the optimism of classical political economists’ free-market laissez-faire, the thinkers who came together in the Mont Pèlerin Society of the 1940s</w:t>
      </w:r>
      <w:r w:rsidRPr="00BB217C">
        <w:rPr>
          <w:sz w:val="14"/>
        </w:rPr>
        <w:t xml:space="preserve"> were </w:t>
      </w:r>
      <w:r w:rsidRPr="001227D1">
        <w:rPr>
          <w:rStyle w:val="StyleUnderline"/>
        </w:rPr>
        <w:t>explicitly concerned with creating the social and institutional foundations of a competitive market order, including the “moral values and subjective qualities</w:t>
      </w:r>
      <w:r w:rsidRPr="00BB217C">
        <w:rPr>
          <w:sz w:val="14"/>
        </w:rPr>
        <w:t>” that such an order required.78 The basic error of classical political economy, for neoliberal thinkers, was “to confine the role of the state to the maintenance of order and the enforcement of contracts</w:t>
      </w:r>
      <w:r w:rsidRPr="00E677FE">
        <w:rPr>
          <w:sz w:val="14"/>
        </w:rPr>
        <w:t xml:space="preserve">” when </w:t>
      </w:r>
      <w:r w:rsidRPr="00E677FE">
        <w:rPr>
          <w:rStyle w:val="StyleUnderline"/>
        </w:rPr>
        <w:t xml:space="preserve">what was required was </w:t>
      </w:r>
      <w:r w:rsidRPr="00504977">
        <w:rPr>
          <w:rStyle w:val="StyleUnderline"/>
          <w:highlight w:val="cyan"/>
        </w:rPr>
        <w:t>a</w:t>
      </w:r>
      <w:r w:rsidRPr="0097702D">
        <w:rPr>
          <w:rStyle w:val="StyleUnderline"/>
        </w:rPr>
        <w:t xml:space="preserve">n appropriate </w:t>
      </w:r>
      <w:r w:rsidRPr="00504977">
        <w:rPr>
          <w:rStyle w:val="StyleUnderline"/>
          <w:highlight w:val="cyan"/>
        </w:rPr>
        <w:t>legal structure</w:t>
      </w:r>
      <w:r w:rsidRPr="0097702D">
        <w:rPr>
          <w:rStyle w:val="StyleUnderline"/>
        </w:rPr>
        <w:t xml:space="preserve"> and means of </w:t>
      </w:r>
      <w:r w:rsidRPr="00504977">
        <w:rPr>
          <w:rStyle w:val="StyleUnderline"/>
          <w:highlight w:val="cyan"/>
        </w:rPr>
        <w:t>inculcating</w:t>
      </w:r>
      <w:r w:rsidRPr="0097702D">
        <w:rPr>
          <w:rStyle w:val="StyleUnderline"/>
        </w:rPr>
        <w:t xml:space="preserve"> the appropriate </w:t>
      </w:r>
      <w:r w:rsidRPr="00504977">
        <w:rPr>
          <w:rStyle w:val="StyleUnderline"/>
          <w:highlight w:val="cyan"/>
        </w:rPr>
        <w:t>moral values to</w:t>
      </w:r>
      <w:r w:rsidRPr="0097702D">
        <w:rPr>
          <w:rStyle w:val="StyleUnderline"/>
        </w:rPr>
        <w:t xml:space="preserve"> </w:t>
      </w:r>
      <w:r w:rsidRPr="00504977">
        <w:rPr>
          <w:rStyle w:val="StyleUnderline"/>
          <w:highlight w:val="cyan"/>
        </w:rPr>
        <w:t>ensure the institutional conditions in which wealth could remain in the hands of those deemed</w:t>
      </w:r>
      <w:r w:rsidRPr="0097702D">
        <w:rPr>
          <w:rStyle w:val="StyleUnderline"/>
        </w:rPr>
        <w:t xml:space="preserve"> most </w:t>
      </w:r>
      <w:r w:rsidRPr="00504977">
        <w:rPr>
          <w:rStyle w:val="StyleUnderline"/>
          <w:highlight w:val="cyan"/>
        </w:rPr>
        <w:t>capable of using it</w:t>
      </w:r>
      <w:r w:rsidRPr="00BB217C">
        <w:rPr>
          <w:sz w:val="14"/>
        </w:rPr>
        <w:t xml:space="preserve">.79 </w:t>
      </w:r>
      <w:r w:rsidRPr="00E677FE">
        <w:rPr>
          <w:rStyle w:val="StyleUnderline"/>
        </w:rPr>
        <w:t>With human dignity redefined in terms of successful self-reliance, the dissonant conceptualizations of humanity</w:t>
      </w:r>
      <w:r w:rsidRPr="00BB217C">
        <w:rPr>
          <w:sz w:val="14"/>
        </w:rPr>
        <w:t xml:space="preserve"> to which Marx drew attention in classical liberal thought were jettisoned in favor of </w:t>
      </w:r>
      <w:r w:rsidRPr="0097702D">
        <w:rPr>
          <w:rStyle w:val="StyleUnderline"/>
        </w:rPr>
        <w:t>an explicit commitment to an inequality of worth among human beings.80 Equality was reduced to equality before the law, with the rule of law itself redefined to privilege the rights of property and private investment above all else</w:t>
      </w:r>
      <w:r w:rsidRPr="00BB217C">
        <w:rPr>
          <w:sz w:val="14"/>
        </w:rPr>
        <w:t xml:space="preserve">. So, too, what Friedrich Hayek referred to as “the morals of the market” involved “a set of individualistic, commercial values that prioritized the pursuit of self-interest above the development of common purposes.”81 Notions of social justice, and the economic and social rights of the udhr, threatened civilization itself.82 In the wake of the Great Depression, some neoliberals were willing to countenance a minimal level of assistance, targeted to the most destitute, so long as this did not interfere with economic incentives. However, what was universally rejected was a “cradle-to-grave” welfare state, any move toward greater equality, and—crucially—the idea that even the most minimal level of assistance could be claimed as a “right.”83 Montag has explored the necroeconomic aspect of neoliberal thought with particular reference to Ludwig von Mises, who stood out among his colleagues by arguing at the first meeting of the Mont Pèlerin Society that all public assistance should be abolished and who insisted that there could be no such thing as “an enforceable human right to subsistence,” or even a right to existence.84 “While Adam Smith might in all sincerity argue that famine could only arise from government interference in market rationality,” Montag writes, von Mises was clear that famine at times would be the consequence of the competitive market order and that this required that states refrain from intervening through price controls or mass distribution of food to the hungry.85 Whereas, for Marx, “the capitalist class was unfit to rule because it could not assure the existence of its own labourers; for Mises it is fit to rule only if it knows enough to refuse any such assurance on principle.”86 And </w:t>
      </w:r>
      <w:r w:rsidRPr="00B81F39">
        <w:rPr>
          <w:rStyle w:val="StyleUnderline"/>
        </w:rPr>
        <w:t>while neoliberal ideology does not consider it legitimate for the state to actively kill those who lack access to food, housing, or medicine, it demands a willingness to use armed force to repress those who demand that things be otherwise</w:t>
      </w:r>
      <w:r w:rsidRPr="00BB217C">
        <w:rPr>
          <w:sz w:val="14"/>
        </w:rPr>
        <w:t xml:space="preserve">.87 As early as the 1927 uprising in his home city of Vienna, Quinn Slobodian notes, the “right to kill with impunity under emergency powers. . . met with Mises’s approval.”88 Von Mises was also explicit that </w:t>
      </w:r>
      <w:r w:rsidRPr="004F37CA">
        <w:rPr>
          <w:rStyle w:val="StyleUnderline"/>
        </w:rPr>
        <w:t>the same armed force of the state must be applied in the Global South</w:t>
      </w:r>
      <w:r w:rsidRPr="00BB217C">
        <w:rPr>
          <w:sz w:val="14"/>
        </w:rPr>
        <w:t xml:space="preserve"> where governments or populations “resist the freeing up and development of the natural wealth with which they merely co-exist and therefore the natural necessity of the market out of fear of the destitution that such development brings.”89 Ideas of inviolable national sovereignty and the rights of Indigenous peoples to collective territories are “utterly without force or effect.”90 Indeed, as Slobodian explores in his exposition of twentieth-century European neoliberal thought, the core of the neoliberal project was a quest to find the institutional framework to safeguard capitalism on a global scale in the absence of formal colonialism.91 Von Mises developed his own “just war” argument against postcolonial states’ sovereignty over natural resources on the basis that it was an injury to all humanity for a country to deprive others of access to its resources.92 He also sought explicitly to rescue the “germ” of biological racism for “a ‘modern’ race theory that ascribed racial hierarchies to an evolutionary process that had given certain races so long a lead that members of other races could not overtake them within a limited time.”93 Likewise, in the postwar period, as decolonization accelerated and Third Worldist demands for a New International Economic Order took shape, “neoliberals commonly resorted to one particular argumentative strategy,” Lars Cornelissen notes: one of casting the colonial population in racialized terms as “culturally underdeveloped” or “immature.” Thus, neoliberals “could assert that [the colonial population] was not yet ready for self-determination, that if left to self-govern it would fall victim to anticapitalist propaganda, thus destroying its prospects </w:t>
      </w:r>
      <w:r w:rsidRPr="00BB217C">
        <w:rPr>
          <w:sz w:val="14"/>
        </w:rPr>
        <w:lastRenderedPageBreak/>
        <w:t xml:space="preserve">for economic (and therewith civilizational) growth.”94 Followers of Hayek within the legal office of the General Agreement on Tariffs and Trade (gatt) were major drivers of a counteroffensive to Third Worldism and to the social understandings of law that shaped welfare states. This counteroffensive sought “to reclaim law as an enforcer of private property and competition” and was central to the gatt’s transformation into the World Trade Organization in the 1990s.95 This is not to say that political articulations of neoliberalism have followed smoothly on the prescriptions of intellectuals like Hayek and von Mises. In Britain, for instance, one of the first neoliberal politicians was arguably the notorious Conservative Enoch Powell, who, in the 1960s, made </w:t>
      </w:r>
      <w:r w:rsidRPr="0065389A">
        <w:rPr>
          <w:rStyle w:val="StyleUnderline"/>
        </w:rPr>
        <w:t>the moral case for neoliberal “free enterprise” in the context of a racist nationalism that rejected dependency on the riches of empire in favor of a white English heredity</w:t>
      </w:r>
      <w:r w:rsidRPr="00BB217C">
        <w:rPr>
          <w:sz w:val="14"/>
        </w:rPr>
        <w:t xml:space="preserve"> “founded on the principle of orderly independence.”</w:t>
      </w:r>
      <w:r w:rsidRPr="0065389A">
        <w:rPr>
          <w:rStyle w:val="StyleUnderline"/>
        </w:rPr>
        <w:t>96 A dif</w:t>
      </w:r>
      <w:r w:rsidRPr="0065389A">
        <w:rPr>
          <w:rStyle w:val="StyleUnderline"/>
        </w:rPr>
        <w:softHyphen/>
        <w:t xml:space="preserve">ferent sort of </w:t>
      </w:r>
      <w:r w:rsidRPr="00504977">
        <w:rPr>
          <w:rStyle w:val="StyleUnderline"/>
        </w:rPr>
        <w:t>racist nationalism has been tightly entwined with neoliberalization in Colombia</w:t>
      </w:r>
      <w:r w:rsidRPr="00504977">
        <w:rPr>
          <w:sz w:val="14"/>
        </w:rPr>
        <w:t xml:space="preserve">. Not only has a </w:t>
      </w:r>
      <w:r w:rsidRPr="00504977">
        <w:rPr>
          <w:rStyle w:val="StyleUnderline"/>
        </w:rPr>
        <w:t>neoliberal vision of development been tightly articulated with a nationalist narrative of d</w:t>
      </w:r>
      <w:r w:rsidRPr="003343F5">
        <w:rPr>
          <w:rStyle w:val="StyleUnderline"/>
        </w:rPr>
        <w:t>efense of “the nation” against those who would undermine progress, but this has drawn on a heavily racialized moral discourse through which the state’s developmentalist intervention is legitimated</w:t>
      </w:r>
      <w:r w:rsidRPr="00BB217C">
        <w:rPr>
          <w:sz w:val="14"/>
        </w:rPr>
        <w:t xml:space="preserve">. As Margarita Serje has explored in depth, the discursive artifact of the Colombian nation—since the nineteenth century—has drawn on colonial imaginative geographies that are reproduced within the national territory. Areas rich in natural resources have persistently been represented as savage lands, inhabited by immature, barbarous, surplus populations.97 National development discourse since Colombia’s “economic opening” has drawn heavily on this imagery. Rural areas with high levels of poverty and armed conflict are charted as terrain scarred by the pathology of rebellion and occupied by childlike populations who must be “developed” and “protected.” “Protection” implies targeting these populations with brutal counterinsurgency techniques, while “development” involves dispossession, displacement, or subjection to the slow violence of environmental degradation.98 From another direction, despite the insistence of von Mises and his colleagues that economic laws were “indifferent to human conceptions of justice,” </w:t>
      </w:r>
      <w:r w:rsidRPr="0035237B">
        <w:rPr>
          <w:rStyle w:val="StyleUnderline"/>
        </w:rPr>
        <w:t xml:space="preserve">political </w:t>
      </w:r>
      <w:r w:rsidRPr="00504977">
        <w:rPr>
          <w:rStyle w:val="StyleUnderline"/>
          <w:highlight w:val="cyan"/>
        </w:rPr>
        <w:t>articulations of neoliberalism</w:t>
      </w:r>
      <w:r w:rsidRPr="0035237B">
        <w:rPr>
          <w:rStyle w:val="StyleUnderline"/>
        </w:rPr>
        <w:t xml:space="preserve"> in practice often have been </w:t>
      </w:r>
      <w:r w:rsidRPr="00504977">
        <w:rPr>
          <w:rStyle w:val="StyleUnderline"/>
          <w:highlight w:val="cyan"/>
        </w:rPr>
        <w:t>accompanied</w:t>
      </w:r>
      <w:r w:rsidRPr="00504977">
        <w:rPr>
          <w:rStyle w:val="StyleUnderline"/>
        </w:rPr>
        <w:t xml:space="preserve"> by formal </w:t>
      </w:r>
      <w:r w:rsidRPr="00504977">
        <w:rPr>
          <w:rStyle w:val="StyleUnderline"/>
          <w:highlight w:val="cyan"/>
        </w:rPr>
        <w:t>recognition of</w:t>
      </w:r>
      <w:r w:rsidRPr="00504977">
        <w:rPr>
          <w:rStyle w:val="StyleUnderline"/>
        </w:rPr>
        <w:t xml:space="preserve"> economic and social </w:t>
      </w:r>
      <w:r w:rsidRPr="00504977">
        <w:rPr>
          <w:rStyle w:val="StyleUnderline"/>
          <w:highlight w:val="cyan"/>
        </w:rPr>
        <w:t>rights</w:t>
      </w:r>
      <w:r w:rsidRPr="00504977">
        <w:rPr>
          <w:sz w:val="14"/>
        </w:rPr>
        <w:t xml:space="preserve"> enshrined in the udhr and subsequent international covenants.99 Of course, </w:t>
      </w:r>
      <w:r w:rsidRPr="00504977">
        <w:rPr>
          <w:rStyle w:val="StyleUnderline"/>
        </w:rPr>
        <w:t>even when these rights are formally recognized, enforcing them depends on the capacity to resolve the contradictions between formal rights and the laws and policy decisions that undermine those rights</w:t>
      </w:r>
      <w:r w:rsidRPr="00504977">
        <w:rPr>
          <w:sz w:val="14"/>
        </w:rPr>
        <w:t>. David Whyte has highlighted this in relation to deaths at work</w:t>
      </w:r>
      <w:r w:rsidRPr="00BB217C">
        <w:rPr>
          <w:sz w:val="14"/>
        </w:rPr>
        <w:t xml:space="preserve">. At a basic level, </w:t>
      </w:r>
      <w:r w:rsidRPr="00504977">
        <w:rPr>
          <w:rStyle w:val="StyleUnderline"/>
          <w:highlight w:val="cyan"/>
        </w:rPr>
        <w:t>the law</w:t>
      </w:r>
      <w:r w:rsidRPr="007F6F91">
        <w:rPr>
          <w:rStyle w:val="StyleUnderline"/>
        </w:rPr>
        <w:t xml:space="preserve"> </w:t>
      </w:r>
      <w:r w:rsidRPr="00504977">
        <w:rPr>
          <w:rStyle w:val="StyleUnderline"/>
          <w:highlight w:val="cyan"/>
        </w:rPr>
        <w:t>undermines</w:t>
      </w:r>
      <w:r w:rsidRPr="007F6F91">
        <w:rPr>
          <w:rStyle w:val="StyleUnderline"/>
        </w:rPr>
        <w:t xml:space="preserve"> workers’ rights </w:t>
      </w:r>
      <w:r w:rsidRPr="00504977">
        <w:rPr>
          <w:rStyle w:val="StyleUnderline"/>
          <w:highlight w:val="cyan"/>
        </w:rPr>
        <w:t>via legal fictions such as</w:t>
      </w:r>
      <w:r w:rsidRPr="007F6F91">
        <w:rPr>
          <w:rStyle w:val="StyleUnderline"/>
        </w:rPr>
        <w:t xml:space="preserve"> workers’ “</w:t>
      </w:r>
      <w:r w:rsidRPr="00504977">
        <w:rPr>
          <w:rStyle w:val="StyleUnderline"/>
          <w:highlight w:val="cyan"/>
        </w:rPr>
        <w:t>freedom</w:t>
      </w:r>
      <w:r w:rsidRPr="007F6F91">
        <w:rPr>
          <w:rStyle w:val="StyleUnderline"/>
        </w:rPr>
        <w:t xml:space="preserve">” of contract with employers or the corporate “person” and associated ideas of </w:t>
      </w:r>
      <w:r w:rsidRPr="002E4EDD">
        <w:rPr>
          <w:rStyle w:val="StyleUnderline"/>
        </w:rPr>
        <w:t xml:space="preserve">employers’ limited liability for deaths and injury of </w:t>
      </w:r>
      <w:r w:rsidRPr="00040A28">
        <w:rPr>
          <w:rStyle w:val="StyleUnderline"/>
        </w:rPr>
        <w:t xml:space="preserve">employees. </w:t>
      </w:r>
      <w:r w:rsidRPr="00504977">
        <w:rPr>
          <w:rStyle w:val="StyleUnderline"/>
          <w:highlight w:val="cyan"/>
        </w:rPr>
        <w:t>Economic power</w:t>
      </w:r>
      <w:r w:rsidRPr="00040A28">
        <w:rPr>
          <w:rStyle w:val="StyleUnderline"/>
        </w:rPr>
        <w:t xml:space="preserve"> is also persistently </w:t>
      </w:r>
      <w:r w:rsidRPr="00504977">
        <w:rPr>
          <w:rStyle w:val="StyleUnderline"/>
          <w:highlight w:val="cyan"/>
        </w:rPr>
        <w:t>redefining the boundaries of law, creating a</w:t>
      </w:r>
      <w:r w:rsidRPr="00040A28">
        <w:rPr>
          <w:rStyle w:val="StyleUnderline"/>
        </w:rPr>
        <w:t xml:space="preserve"> sort of </w:t>
      </w:r>
      <w:r w:rsidRPr="00504977">
        <w:rPr>
          <w:rStyle w:val="StyleUnderline"/>
          <w:highlight w:val="cyan"/>
        </w:rPr>
        <w:t>state of exception</w:t>
      </w:r>
      <w:r w:rsidRPr="00040A28">
        <w:rPr>
          <w:rStyle w:val="StyleUnderline"/>
        </w:rPr>
        <w:t xml:space="preserve"> in which formal rights can be lawfully violated</w:t>
      </w:r>
      <w:r w:rsidRPr="00BB217C">
        <w:rPr>
          <w:sz w:val="14"/>
        </w:rPr>
        <w:t>. In the fast-disappearing social democracies of the West, re</w:t>
      </w:r>
      <w:r w:rsidRPr="00A70E11">
        <w:rPr>
          <w:rStyle w:val="StyleUnderline"/>
        </w:rPr>
        <w:t>gulatory agencies have tended to intervene</w:t>
      </w:r>
      <w:r w:rsidRPr="00BB217C">
        <w:rPr>
          <w:sz w:val="14"/>
        </w:rPr>
        <w:t xml:space="preserve"> more consistently in the face of these contradictions, rendering those who lack access to the means to secure their subsistence less exposed to the brutality of economic force than they are in the Global South. </w:t>
      </w:r>
      <w:r w:rsidRPr="00A70E11">
        <w:rPr>
          <w:rStyle w:val="StyleUnderline"/>
        </w:rPr>
        <w:t xml:space="preserve">Yet the </w:t>
      </w:r>
      <w:r w:rsidRPr="00E677FE">
        <w:rPr>
          <w:rStyle w:val="StyleUnderline"/>
        </w:rPr>
        <w:t>neoliberal assault on the welfare state has eroded much of this regulation, as well as other forms of social protection, such as welfare benefits and comprehensive health care</w:t>
      </w:r>
      <w:r w:rsidRPr="00E677FE">
        <w:rPr>
          <w:sz w:val="14"/>
        </w:rPr>
        <w:t>. In Britain, for example</w:t>
      </w:r>
      <w:r w:rsidRPr="00BB217C">
        <w:rPr>
          <w:sz w:val="14"/>
        </w:rPr>
        <w:t xml:space="preserve">, the Health and Safety Executive (the British government regulator for workplace health and safety) has made such drastic cuts that some local authorities no longer have any protection or inspection of workplaces. As a result, </w:t>
      </w:r>
      <w:r w:rsidRPr="004F353E">
        <w:rPr>
          <w:rStyle w:val="StyleUnderline"/>
        </w:rPr>
        <w:t xml:space="preserve">workers are completely exposed in the face of economic force. </w:t>
      </w:r>
      <w:r w:rsidRPr="00E677FE">
        <w:rPr>
          <w:rStyle w:val="StyleUnderline"/>
        </w:rPr>
        <w:t>They are excluded from the protection of law despite the existence of formal rights</w:t>
      </w:r>
      <w:r w:rsidRPr="00E677FE">
        <w:rPr>
          <w:sz w:val="14"/>
        </w:rPr>
        <w:t>.100 These contradictions are not unique to the erstwhile social democracies of the West</w:t>
      </w:r>
      <w:r w:rsidRPr="00E677FE">
        <w:rPr>
          <w:rStyle w:val="StyleUnderline"/>
        </w:rPr>
        <w:t>. In much of Latin America, neoliberal policies have been accompanied by an emphasis on economic and social rights</w:t>
      </w:r>
      <w:r w:rsidRPr="006F6730">
        <w:rPr>
          <w:rStyle w:val="StyleUnderline"/>
        </w:rPr>
        <w:t xml:space="preserve">. </w:t>
      </w:r>
      <w:r w:rsidRPr="003C6A31">
        <w:rPr>
          <w:rStyle w:val="StyleUnderline"/>
          <w:highlight w:val="cyan"/>
        </w:rPr>
        <w:t>Colombia</w:t>
      </w:r>
      <w:r w:rsidRPr="003C6A31">
        <w:rPr>
          <w:rStyle w:val="StyleUnderline"/>
        </w:rPr>
        <w:t xml:space="preserve"> is</w:t>
      </w:r>
      <w:r w:rsidRPr="006F6730">
        <w:rPr>
          <w:rStyle w:val="StyleUnderline"/>
        </w:rPr>
        <w:t xml:space="preserve"> a pertinent case in point.</w:t>
      </w:r>
      <w:r w:rsidRPr="00BB217C">
        <w:rPr>
          <w:sz w:val="14"/>
        </w:rPr>
        <w:t xml:space="preserve"> </w:t>
      </w:r>
      <w:r w:rsidRPr="006749E7">
        <w:rPr>
          <w:rStyle w:val="StyleUnderline"/>
        </w:rPr>
        <w:t xml:space="preserve">The country’s so-called economic opening was marked, in 1991, by a new National </w:t>
      </w:r>
      <w:r w:rsidRPr="003C6A31">
        <w:rPr>
          <w:rStyle w:val="StyleUnderline"/>
          <w:highlight w:val="cyan"/>
        </w:rPr>
        <w:t>Constitution</w:t>
      </w:r>
      <w:r w:rsidRPr="006749E7">
        <w:rPr>
          <w:rStyle w:val="StyleUnderline"/>
        </w:rPr>
        <w:t xml:space="preserve">, said to </w:t>
      </w:r>
      <w:r w:rsidRPr="003C6A31">
        <w:rPr>
          <w:rStyle w:val="StyleUnderline"/>
          <w:highlight w:val="cyan"/>
        </w:rPr>
        <w:t>include more</w:t>
      </w:r>
      <w:r w:rsidRPr="006749E7">
        <w:rPr>
          <w:rStyle w:val="StyleUnderline"/>
        </w:rPr>
        <w:t xml:space="preserve"> citizenship </w:t>
      </w:r>
      <w:r w:rsidRPr="003C6A31">
        <w:rPr>
          <w:rStyle w:val="StyleUnderline"/>
          <w:highlight w:val="cyan"/>
        </w:rPr>
        <w:t>rights than</w:t>
      </w:r>
      <w:r w:rsidRPr="006749E7">
        <w:rPr>
          <w:rStyle w:val="StyleUnderline"/>
        </w:rPr>
        <w:t xml:space="preserve"> </w:t>
      </w:r>
      <w:r w:rsidRPr="003C6A31">
        <w:rPr>
          <w:rStyle w:val="StyleUnderline"/>
          <w:highlight w:val="cyan"/>
        </w:rPr>
        <w:t>any in the world, including</w:t>
      </w:r>
      <w:r w:rsidRPr="006749E7">
        <w:rPr>
          <w:rStyle w:val="StyleUnderline"/>
        </w:rPr>
        <w:t xml:space="preserve"> an array of </w:t>
      </w:r>
      <w:r w:rsidRPr="003C6A31">
        <w:rPr>
          <w:rStyle w:val="StyleUnderline"/>
          <w:highlight w:val="cyan"/>
        </w:rPr>
        <w:t>labor rights</w:t>
      </w:r>
      <w:r w:rsidRPr="006749E7">
        <w:rPr>
          <w:rStyle w:val="StyleUnderline"/>
        </w:rPr>
        <w:t xml:space="preserve"> and the territorial rights of Indigenous and Afro-Colombian populations.</w:t>
      </w:r>
      <w:r w:rsidRPr="00BB217C">
        <w:rPr>
          <w:sz w:val="14"/>
        </w:rPr>
        <w:t xml:space="preserve"> Enshrined within the constitution was the principle of the Social Rule of Law (Estado Social de Derecho), a legal order “with the citizen at the center, and in which the social is the reason for the existence of political powers.”101 </w:t>
      </w:r>
      <w:r w:rsidRPr="006749E7">
        <w:rPr>
          <w:rStyle w:val="StyleUnderline"/>
        </w:rPr>
        <w:t>This was, however, accompanied by a series of legislative reforms that served to block access to the rights formally recognized in the constitution</w:t>
      </w:r>
      <w:r w:rsidRPr="00BB217C">
        <w:rPr>
          <w:sz w:val="14"/>
        </w:rPr>
        <w:t xml:space="preserve">. Take labor law. The 1991 constitution recognized a series of rights that, if actualized, would have made precarious labor impossible. </w:t>
      </w:r>
      <w:r w:rsidRPr="006749E7">
        <w:rPr>
          <w:rStyle w:val="StyleUnderline"/>
        </w:rPr>
        <w:t xml:space="preserve">It </w:t>
      </w:r>
      <w:r w:rsidRPr="003C6A31">
        <w:rPr>
          <w:rStyle w:val="StyleUnderline"/>
          <w:highlight w:val="cyan"/>
        </w:rPr>
        <w:t>incorporated</w:t>
      </w:r>
      <w:r w:rsidRPr="006749E7">
        <w:rPr>
          <w:rStyle w:val="StyleUnderline"/>
        </w:rPr>
        <w:t xml:space="preserve"> International Labour Organization (ilo) conventions on freedom of association and the </w:t>
      </w:r>
      <w:r w:rsidRPr="003C6A31">
        <w:rPr>
          <w:rStyle w:val="StyleUnderline"/>
          <w:highlight w:val="cyan"/>
        </w:rPr>
        <w:t>rights to organize and bargain collectively</w:t>
      </w:r>
      <w:r w:rsidRPr="00BB217C">
        <w:rPr>
          <w:sz w:val="14"/>
        </w:rPr>
        <w:t xml:space="preserve">.102 It also committed the Congress of Colombia to producing a labor </w:t>
      </w:r>
      <w:r w:rsidRPr="00E677FE">
        <w:rPr>
          <w:sz w:val="14"/>
        </w:rPr>
        <w:t xml:space="preserve">statute that would protect minimum fundamental principles, such as stability of employment, social security, and adequate rest for workers.103 </w:t>
      </w:r>
      <w:r w:rsidRPr="00E677FE">
        <w:rPr>
          <w:rStyle w:val="StyleUnderline"/>
        </w:rPr>
        <w:t>Yet the constitution came into force almost simultaneously with an array of laws designed to generate “fle</w:t>
      </w:r>
      <w:r w:rsidRPr="000B3BEC">
        <w:rPr>
          <w:rStyle w:val="StyleUnderline"/>
        </w:rPr>
        <w:t xml:space="preserve">xible labor markets” and attract foreign investment. </w:t>
      </w:r>
      <w:r w:rsidRPr="00BB217C">
        <w:rPr>
          <w:sz w:val="14"/>
        </w:rPr>
        <w:t xml:space="preserve">For example, </w:t>
      </w:r>
      <w:r w:rsidRPr="000B3BEC">
        <w:rPr>
          <w:rStyle w:val="StyleUnderline"/>
        </w:rPr>
        <w:t>Law 10</w:t>
      </w:r>
      <w:r w:rsidRPr="00BB217C">
        <w:rPr>
          <w:sz w:val="14"/>
        </w:rPr>
        <w:t xml:space="preserve"> of 1989 </w:t>
      </w:r>
      <w:r w:rsidRPr="000B3BEC">
        <w:rPr>
          <w:rStyle w:val="StyleUnderline"/>
        </w:rPr>
        <w:t xml:space="preserve">created “associated work cooperatives,” </w:t>
      </w:r>
      <w:r w:rsidRPr="003C6A31">
        <w:rPr>
          <w:rStyle w:val="StyleUnderline"/>
          <w:highlight w:val="cyan"/>
        </w:rPr>
        <w:t>through which workers are forced to bid for contracts</w:t>
      </w:r>
      <w:r w:rsidRPr="000B3BEC">
        <w:rPr>
          <w:rStyle w:val="StyleUnderline"/>
        </w:rPr>
        <w:t>, covering the costs of their own materials and social security</w:t>
      </w:r>
      <w:r w:rsidRPr="00BB217C">
        <w:rPr>
          <w:sz w:val="14"/>
        </w:rPr>
        <w:t xml:space="preserve">. This was a policy promoted with the support of the World Bank, as well as that of paramilitary organizations, and has become central to corporations’ strategies of cost reduction.104 </w:t>
      </w:r>
      <w:r w:rsidRPr="000B3BEC">
        <w:rPr>
          <w:rStyle w:val="StyleUnderline"/>
        </w:rPr>
        <w:t xml:space="preserve">Subsequent laws have </w:t>
      </w:r>
      <w:r w:rsidRPr="003C6A31">
        <w:rPr>
          <w:rStyle w:val="StyleUnderline"/>
          <w:highlight w:val="cyan"/>
        </w:rPr>
        <w:t>lengthened</w:t>
      </w:r>
      <w:r w:rsidRPr="000B3BEC">
        <w:rPr>
          <w:rStyle w:val="StyleUnderline"/>
        </w:rPr>
        <w:t xml:space="preserve"> the </w:t>
      </w:r>
      <w:r w:rsidRPr="003C6A31">
        <w:rPr>
          <w:rStyle w:val="StyleUnderline"/>
          <w:highlight w:val="cyan"/>
        </w:rPr>
        <w:t>working day, cut</w:t>
      </w:r>
      <w:r w:rsidRPr="000B3BEC">
        <w:rPr>
          <w:rStyle w:val="StyleUnderline"/>
        </w:rPr>
        <w:t xml:space="preserve"> payments for </w:t>
      </w:r>
      <w:r w:rsidRPr="003C6A31">
        <w:rPr>
          <w:rStyle w:val="StyleUnderline"/>
          <w:highlight w:val="cyan"/>
        </w:rPr>
        <w:t>overtime</w:t>
      </w:r>
      <w:r w:rsidRPr="000B3BEC">
        <w:rPr>
          <w:rStyle w:val="StyleUnderline"/>
        </w:rPr>
        <w:t xml:space="preserve">, </w:t>
      </w:r>
      <w:r w:rsidRPr="003C6A31">
        <w:rPr>
          <w:rStyle w:val="StyleUnderline"/>
          <w:highlight w:val="cyan"/>
        </w:rPr>
        <w:t>facilitated</w:t>
      </w:r>
      <w:r w:rsidRPr="000B3BEC">
        <w:rPr>
          <w:rStyle w:val="StyleUnderline"/>
        </w:rPr>
        <w:t xml:space="preserve"> mass </w:t>
      </w:r>
      <w:r w:rsidRPr="003C6A31">
        <w:rPr>
          <w:rStyle w:val="StyleUnderline"/>
          <w:highlight w:val="cyan"/>
        </w:rPr>
        <w:t>layoffs</w:t>
      </w:r>
      <w:r w:rsidRPr="000B3BEC">
        <w:rPr>
          <w:rStyle w:val="StyleUnderline"/>
        </w:rPr>
        <w:t xml:space="preserve"> of employees, </w:t>
      </w:r>
      <w:r w:rsidRPr="003C6A31">
        <w:rPr>
          <w:rStyle w:val="StyleUnderline"/>
          <w:highlight w:val="cyan"/>
        </w:rPr>
        <w:t>and</w:t>
      </w:r>
      <w:r w:rsidRPr="000B3BEC">
        <w:rPr>
          <w:rStyle w:val="StyleUnderline"/>
        </w:rPr>
        <w:t xml:space="preserve"> </w:t>
      </w:r>
      <w:r w:rsidRPr="003C6A31">
        <w:rPr>
          <w:rStyle w:val="StyleUnderline"/>
          <w:highlight w:val="cyan"/>
        </w:rPr>
        <w:t>generated</w:t>
      </w:r>
      <w:r w:rsidRPr="000B3BEC">
        <w:rPr>
          <w:rStyle w:val="StyleUnderline"/>
        </w:rPr>
        <w:t xml:space="preserve"> extensive </w:t>
      </w:r>
      <w:r w:rsidRPr="003C6A31">
        <w:rPr>
          <w:rStyle w:val="StyleUnderline"/>
          <w:highlight w:val="cyan"/>
        </w:rPr>
        <w:lastRenderedPageBreak/>
        <w:t>subcontracting</w:t>
      </w:r>
      <w:r w:rsidRPr="000B3BEC">
        <w:rPr>
          <w:rStyle w:val="StyleUnderline"/>
        </w:rPr>
        <w:t xml:space="preserve"> of </w:t>
      </w:r>
      <w:r w:rsidRPr="003C6A31">
        <w:rPr>
          <w:rStyle w:val="StyleUnderline"/>
          <w:highlight w:val="cyan"/>
        </w:rPr>
        <w:t>labor</w:t>
      </w:r>
      <w:r w:rsidRPr="000B3BEC">
        <w:rPr>
          <w:rStyle w:val="StyleUnderline"/>
        </w:rPr>
        <w:t xml:space="preserve"> that obliterates the possibility of stable employment and social security.</w:t>
      </w:r>
      <w:r w:rsidRPr="00BB217C">
        <w:rPr>
          <w:sz w:val="14"/>
        </w:rPr>
        <w:t xml:space="preserve">105 The result has been working conditions such as those the Colombian Food Workers Union has attempted to resist on Coca-Cola bottling plants. </w:t>
      </w:r>
      <w:r w:rsidRPr="00AE4444">
        <w:rPr>
          <w:rStyle w:val="StyleUnderline"/>
        </w:rPr>
        <w:t xml:space="preserve">Permanent, generally </w:t>
      </w:r>
      <w:r w:rsidRPr="003C6A31">
        <w:rPr>
          <w:rStyle w:val="StyleUnderline"/>
          <w:highlight w:val="cyan"/>
        </w:rPr>
        <w:t>unionized</w:t>
      </w:r>
      <w:r w:rsidRPr="00AE4444">
        <w:rPr>
          <w:rStyle w:val="StyleUnderline"/>
        </w:rPr>
        <w:t xml:space="preserve"> </w:t>
      </w:r>
      <w:r w:rsidRPr="003C6A31">
        <w:rPr>
          <w:rStyle w:val="StyleUnderline"/>
          <w:highlight w:val="cyan"/>
        </w:rPr>
        <w:t>employees were replaced</w:t>
      </w:r>
      <w:r w:rsidRPr="00AE4444">
        <w:rPr>
          <w:rStyle w:val="StyleUnderline"/>
        </w:rPr>
        <w:t xml:space="preserve"> by temps subcontracted through agencies, and by ad hoc employment of the reserve army of former workers</w:t>
      </w:r>
      <w:r w:rsidRPr="00BB217C">
        <w:rPr>
          <w:sz w:val="14"/>
        </w:rPr>
        <w:t xml:space="preserve"> that I chatted to with union leaders in Barranquilla while they waited outside bottling plant gates in the hope of getting a few hours’ employment. Delivery trucks were handed over to “cooperatives” composed primarily of former employees who became responsible for the maintenance of the vehicles and their own salaries. </w:t>
      </w:r>
      <w:r w:rsidRPr="00F75283">
        <w:rPr>
          <w:rStyle w:val="StyleUnderline"/>
        </w:rPr>
        <w:t>Those who were reemployed and new casual workers received wages that were approximately 35 percent lower than those of workers on direct contracts, while the wages of those contracted through cooperatives were reduced in real terms by three-quarters</w:t>
      </w:r>
      <w:r w:rsidRPr="00BB217C">
        <w:rPr>
          <w:sz w:val="14"/>
        </w:rPr>
        <w:t xml:space="preserve">.106 </w:t>
      </w:r>
      <w:r w:rsidRPr="00F75283">
        <w:rPr>
          <w:rStyle w:val="StyleUnderline"/>
        </w:rPr>
        <w:t xml:space="preserve">This dispossession of workers has likewise been accompanied by actions that </w:t>
      </w:r>
      <w:r w:rsidRPr="003C6A31">
        <w:rPr>
          <w:rStyle w:val="StyleUnderline"/>
          <w:highlight w:val="cyan"/>
        </w:rPr>
        <w:t>illustrate</w:t>
      </w:r>
      <w:r w:rsidRPr="00F75283">
        <w:rPr>
          <w:rStyle w:val="StyleUnderline"/>
        </w:rPr>
        <w:t xml:space="preserve"> the </w:t>
      </w:r>
      <w:r w:rsidRPr="003C6A31">
        <w:rPr>
          <w:rStyle w:val="StyleUnderline"/>
          <w:highlight w:val="cyan"/>
        </w:rPr>
        <w:t>capacity of</w:t>
      </w:r>
      <w:r w:rsidRPr="00F75283">
        <w:rPr>
          <w:rStyle w:val="StyleUnderline"/>
        </w:rPr>
        <w:t xml:space="preserve"> </w:t>
      </w:r>
      <w:r w:rsidRPr="003C6A31">
        <w:rPr>
          <w:rStyle w:val="StyleUnderline"/>
          <w:highlight w:val="cyan"/>
        </w:rPr>
        <w:t>economic force</w:t>
      </w:r>
      <w:r w:rsidRPr="00F75283">
        <w:rPr>
          <w:rStyle w:val="StyleUnderline"/>
        </w:rPr>
        <w:t xml:space="preserve"> not only </w:t>
      </w:r>
      <w:r w:rsidRPr="003C6A31">
        <w:rPr>
          <w:rStyle w:val="StyleUnderline"/>
          <w:highlight w:val="cyan"/>
        </w:rPr>
        <w:t>to shape</w:t>
      </w:r>
      <w:r w:rsidRPr="00F75283">
        <w:rPr>
          <w:rStyle w:val="StyleUnderline"/>
        </w:rPr>
        <w:t xml:space="preserve"> unconstitutional—and so, effectively, </w:t>
      </w:r>
      <w:r w:rsidRPr="003C6A31">
        <w:rPr>
          <w:rStyle w:val="StyleUnderline"/>
          <w:highlight w:val="cyan"/>
        </w:rPr>
        <w:t>illegal</w:t>
      </w:r>
      <w:r w:rsidRPr="00F75283">
        <w:rPr>
          <w:rStyle w:val="StyleUnderline"/>
        </w:rPr>
        <w:t xml:space="preserve">—reforms of </w:t>
      </w:r>
      <w:r w:rsidRPr="003C6A31">
        <w:rPr>
          <w:rStyle w:val="StyleUnderline"/>
          <w:highlight w:val="cyan"/>
        </w:rPr>
        <w:t xml:space="preserve">labor law </w:t>
      </w:r>
      <w:r w:rsidRPr="003C6A31">
        <w:rPr>
          <w:rStyle w:val="StyleUnderline"/>
        </w:rPr>
        <w:t>but</w:t>
      </w:r>
      <w:r w:rsidRPr="00F75283">
        <w:rPr>
          <w:rStyle w:val="StyleUnderline"/>
        </w:rPr>
        <w:t xml:space="preserve"> also to </w:t>
      </w:r>
      <w:r w:rsidRPr="003C6A31">
        <w:rPr>
          <w:rStyle w:val="StyleUnderline"/>
          <w:highlight w:val="cyan"/>
        </w:rPr>
        <w:t>act outside the law</w:t>
      </w:r>
      <w:r w:rsidRPr="00F75283">
        <w:rPr>
          <w:rStyle w:val="StyleUnderline"/>
        </w:rPr>
        <w:t xml:space="preserve"> in the name of economic necessity.</w:t>
      </w:r>
      <w:r w:rsidRPr="00BB217C">
        <w:rPr>
          <w:sz w:val="14"/>
        </w:rPr>
        <w:t xml:space="preserve"> For example, </w:t>
      </w:r>
      <w:r w:rsidRPr="006D3F56">
        <w:rPr>
          <w:rStyle w:val="StyleUnderline"/>
        </w:rPr>
        <w:t>the Ministry of Social Protection has repeatedly complied with requests from bottling companies to refuse recognition of local union committees</w:t>
      </w:r>
      <w:r w:rsidRPr="00BB217C">
        <w:rPr>
          <w:sz w:val="14"/>
        </w:rPr>
        <w:t xml:space="preserve">. This is so </w:t>
      </w:r>
      <w:r w:rsidRPr="006D3F56">
        <w:rPr>
          <w:rStyle w:val="StyleUnderline"/>
        </w:rPr>
        <w:t>despite the ministry’s lack of jurisdiction over the internal affairs of trade unions</w:t>
      </w:r>
      <w:r w:rsidRPr="00BB217C">
        <w:rPr>
          <w:sz w:val="14"/>
        </w:rPr>
        <w:t xml:space="preserve">, </w:t>
      </w:r>
      <w:r w:rsidRPr="006D3F56">
        <w:rPr>
          <w:rStyle w:val="StyleUnderline"/>
        </w:rPr>
        <w:t xml:space="preserve">and </w:t>
      </w:r>
      <w:r w:rsidRPr="003C6A31">
        <w:rPr>
          <w:rStyle w:val="StyleUnderline"/>
          <w:highlight w:val="cyan"/>
        </w:rPr>
        <w:t>despite Colombia’s</w:t>
      </w:r>
      <w:r w:rsidRPr="006D3F56">
        <w:rPr>
          <w:rStyle w:val="StyleUnderline"/>
        </w:rPr>
        <w:t xml:space="preserve"> ratification of international labor conventions that grant </w:t>
      </w:r>
      <w:r w:rsidRPr="003C6A31">
        <w:rPr>
          <w:rStyle w:val="StyleUnderline"/>
          <w:highlight w:val="cyan"/>
        </w:rPr>
        <w:t>trade unions</w:t>
      </w:r>
      <w:r w:rsidRPr="006D3F56">
        <w:rPr>
          <w:rStyle w:val="StyleUnderline"/>
        </w:rPr>
        <w:t xml:space="preserve"> the autonomy to define their own statutes and elect their own representatives</w:t>
      </w:r>
      <w:r w:rsidRPr="00BB217C">
        <w:rPr>
          <w:sz w:val="14"/>
        </w:rPr>
        <w:t>.107 In 2003, when Coca-Cola–Fomento Económico Mexicano closed eleven out of sixteen Colombian bottling plants as part of the Coca-Cola Company’s drive to achieve a more “efficient” global system</w:t>
      </w:r>
      <w:r w:rsidRPr="004F4FDB">
        <w:rPr>
          <w:rStyle w:val="StyleUnderline"/>
        </w:rPr>
        <w:t xml:space="preserve">, </w:t>
      </w:r>
      <w:r w:rsidRPr="003C6A31">
        <w:rPr>
          <w:rStyle w:val="StyleUnderline"/>
          <w:highlight w:val="cyan"/>
        </w:rPr>
        <w:t>it</w:t>
      </w:r>
      <w:r w:rsidRPr="004F4FDB">
        <w:rPr>
          <w:rStyle w:val="StyleUnderline"/>
        </w:rPr>
        <w:t xml:space="preserve"> simply </w:t>
      </w:r>
      <w:r w:rsidRPr="003C6A31">
        <w:rPr>
          <w:rStyle w:val="StyleUnderline"/>
          <w:highlight w:val="cyan"/>
        </w:rPr>
        <w:t>ignored legislation</w:t>
      </w:r>
      <w:r w:rsidRPr="004F4FDB">
        <w:rPr>
          <w:rStyle w:val="StyleUnderline"/>
        </w:rPr>
        <w:t xml:space="preserve"> prohibiting closure of factories or branches without authorization from the Ministry of Social Protection</w:t>
      </w:r>
      <w:r w:rsidRPr="00BB217C">
        <w:rPr>
          <w:sz w:val="14"/>
        </w:rPr>
        <w:t xml:space="preserve">. More than three thousand workers were laid off, with </w:t>
      </w:r>
      <w:r w:rsidRPr="004F4FDB">
        <w:rPr>
          <w:rStyle w:val="StyleUnderline"/>
        </w:rPr>
        <w:t xml:space="preserve">mass resignations achieved </w:t>
      </w:r>
      <w:r w:rsidRPr="003C6A31">
        <w:rPr>
          <w:rStyle w:val="StyleUnderline"/>
        </w:rPr>
        <w:t>by</w:t>
      </w:r>
      <w:r w:rsidRPr="004F4FDB">
        <w:rPr>
          <w:rStyle w:val="StyleUnderline"/>
        </w:rPr>
        <w:t xml:space="preserve"> forcibly detaining workers in the presence of armed security guards. </w:t>
      </w:r>
      <w:r w:rsidRPr="00BB217C">
        <w:rPr>
          <w:sz w:val="14"/>
        </w:rPr>
        <w:t xml:space="preserve">The workers were blackmailed into resigning their contracts for financial compensation, under threat of otherwise being fired, and they were not allowed to leave until they had done so.108 The ministry, for its part, went on to authorize the closures retrospectively alongside the laying off of those workers who had refused to resign. </w:t>
      </w:r>
      <w:r w:rsidRPr="00BF14DA">
        <w:rPr>
          <w:rStyle w:val="StyleUnderline"/>
        </w:rPr>
        <w:t xml:space="preserve">Most of those laid off were forced into destitution. </w:t>
      </w:r>
      <w:r w:rsidRPr="00BB217C">
        <w:rPr>
          <w:sz w:val="14"/>
        </w:rPr>
        <w:t xml:space="preserve">Many had worked for the company for more than twenty years, in a context in which finding new work beyond thirty-five is almost impossible (even more so when a person has a history of being a union member). The territorial rights recognized by the National Constitution are also undermined by a combination of law and action outside of the law. For example, Transitory Article 55 gave rise to Law 70 of 1993, intended to protect the cultural and territorial rights of Afro-Colombian communities. Yet other legislation—such as that granting concessions to mining companies— undermines the territorial rights that have been recognized. In most cases, </w:t>
      </w:r>
      <w:r w:rsidRPr="00C04F38">
        <w:rPr>
          <w:rStyle w:val="StyleUnderline"/>
        </w:rPr>
        <w:t>the right to prior consultation in accordance with ilo Convention 169 on Indigenous and Tribal Peoples has been, as von Mises might have put it, “without force or effect”</w:t>
      </w:r>
      <w:r w:rsidRPr="00BB217C">
        <w:rPr>
          <w:sz w:val="14"/>
        </w:rPr>
        <w:t xml:space="preserve"> in practice.109 What is more, </w:t>
      </w:r>
      <w:r w:rsidRPr="00C04F38">
        <w:rPr>
          <w:rStyle w:val="StyleUnderline"/>
        </w:rPr>
        <w:t>while Afro-Colombian communities were given land on the Pacific coast, their attempts to return to lands from which they had been displaced in the Inter-Andean Valleys were rejected</w:t>
      </w:r>
      <w:r w:rsidRPr="00BB217C">
        <w:rPr>
          <w:sz w:val="14"/>
        </w:rPr>
        <w:t xml:space="preserve">. These lands were in the hands of Colombia’s oligarchic families, </w:t>
      </w:r>
      <w:r w:rsidRPr="00EF2B56">
        <w:rPr>
          <w:rStyle w:val="StyleUnderline"/>
        </w:rPr>
        <w:t xml:space="preserve">who, like </w:t>
      </w:r>
      <w:r w:rsidRPr="003C6A31">
        <w:rPr>
          <w:rStyle w:val="StyleUnderline"/>
        </w:rPr>
        <w:t>multinational corporations</w:t>
      </w:r>
      <w:r w:rsidRPr="00EF2B56">
        <w:rPr>
          <w:rStyle w:val="StyleUnderline"/>
        </w:rPr>
        <w:t>, have long benefited from the capacity to act outside the law when it suits them.</w:t>
      </w:r>
      <w:r w:rsidRPr="00BB217C">
        <w:rPr>
          <w:sz w:val="14"/>
        </w:rPr>
        <w:t xml:space="preserve"> </w:t>
      </w:r>
      <w:r w:rsidRPr="00EF2B56">
        <w:rPr>
          <w:rStyle w:val="StyleUnderline"/>
        </w:rPr>
        <w:t>This, too, corresponds with wider patterns across the world.</w:t>
      </w:r>
      <w:r w:rsidRPr="00BB217C">
        <w:rPr>
          <w:sz w:val="14"/>
        </w:rPr>
        <w:t xml:space="preserve"> For instance, as Charles Hale has discussed in relation to Indigenous strug</w:t>
      </w:r>
      <w:r w:rsidRPr="00BB217C">
        <w:rPr>
          <w:sz w:val="14"/>
        </w:rPr>
        <w:softHyphen/>
        <w:t xml:space="preserve">gles </w:t>
      </w:r>
      <w:r w:rsidRPr="003C6A31">
        <w:rPr>
          <w:rStyle w:val="StyleUnderline"/>
        </w:rPr>
        <w:t>in Guatemala</w:t>
      </w:r>
      <w:r w:rsidRPr="00EF2B56">
        <w:rPr>
          <w:rStyle w:val="StyleUnderline"/>
        </w:rPr>
        <w:t xml:space="preserve">, territorial </w:t>
      </w:r>
      <w:r w:rsidRPr="003C6A31">
        <w:rPr>
          <w:rStyle w:val="StyleUnderline"/>
        </w:rPr>
        <w:t>rights</w:t>
      </w:r>
      <w:r w:rsidRPr="00EF2B56">
        <w:rPr>
          <w:rStyle w:val="StyleUnderline"/>
        </w:rPr>
        <w:t xml:space="preserve"> have been </w:t>
      </w:r>
      <w:r w:rsidRPr="003C6A31">
        <w:rPr>
          <w:rStyle w:val="StyleUnderline"/>
        </w:rPr>
        <w:t>recognized selectively, only in the “empty spaces” not of use to capital.</w:t>
      </w:r>
      <w:r w:rsidRPr="003C6A31">
        <w:rPr>
          <w:sz w:val="14"/>
        </w:rPr>
        <w:t>110 This is not to say that the formal recognition of rights is a mere sham. Even in Colombia, the constitutional rights of Indigenous and Black populations to prior consultation over the use of their</w:t>
      </w:r>
      <w:r w:rsidRPr="00BB217C">
        <w:rPr>
          <w:sz w:val="14"/>
        </w:rPr>
        <w:t xml:space="preserve"> collective territories have been vital tools to social movements and lawyers opposing extractive projects. The right to appeal the violation of a “fundamental right” before a judge, meanwhile, has enabled trade unionists to be reinstated following unfair dismissal.111 </w:t>
      </w:r>
      <w:r w:rsidRPr="00C54051">
        <w:rPr>
          <w:rStyle w:val="StyleUnderline"/>
        </w:rPr>
        <w:t xml:space="preserve">Adolfo Múnera, the </w:t>
      </w:r>
      <w:r w:rsidRPr="003C6A31">
        <w:rPr>
          <w:rStyle w:val="StyleUnderline"/>
        </w:rPr>
        <w:t>Coca-Cola worker shot dead</w:t>
      </w:r>
      <w:r w:rsidRPr="00C54051">
        <w:rPr>
          <w:rStyle w:val="StyleUnderline"/>
        </w:rPr>
        <w:t xml:space="preserve"> in Barranquilla, had returned to the city following a successful appeal of his dismissal, which was deemed unlawful, given that death threats resulting from his trade union work had forced him to flee his employment. However, here, too, court rulings clash with the power to act outside of the law</w:t>
      </w:r>
      <w:r w:rsidRPr="00BB217C">
        <w:rPr>
          <w:sz w:val="14"/>
        </w:rPr>
        <w:t xml:space="preserve">. Múnera was shot dead when he returned to resume his employment. When Luz Ángela Uriana traveled to London to address bhp Billiton shareholders in 2016, the Cerrejon mine had already failed to comply with a ruling by the Colombian Constitutional Court that it must guarantee a healthy atmosphere for her son (and, by extension, other children).112 States of Exception It is important to emphasize, however, that not even trade union genocide and massacres of populations occupying territories destined for resource exploitation have taken place within a legal vacuum. Giorgio Agamben famously highlighted the hypocrisy of knee-jerk bewilderment in the face of atrocity. “It would be more honest and, above all, more useful,” he says, “to investigate carefully the juridical procedures and deployments of power by which human beings could be completely deprived of their rights and prerogatives that no act committed against them could appear any longer as a crime.”113 </w:t>
      </w:r>
      <w:r w:rsidRPr="00007F33">
        <w:rPr>
          <w:rStyle w:val="StyleUnderline"/>
        </w:rPr>
        <w:t xml:space="preserve">The </w:t>
      </w:r>
      <w:r w:rsidRPr="003C6A31">
        <w:rPr>
          <w:rStyle w:val="StyleUnderline"/>
          <w:highlight w:val="cyan"/>
        </w:rPr>
        <w:t>atrocities in Colombia</w:t>
      </w:r>
      <w:r w:rsidRPr="00007F33">
        <w:rPr>
          <w:rStyle w:val="StyleUnderline"/>
        </w:rPr>
        <w:t xml:space="preserve"> must be understood in direct relationship to law</w:t>
      </w:r>
      <w:r w:rsidRPr="00BB217C">
        <w:rPr>
          <w:sz w:val="14"/>
        </w:rPr>
        <w:t xml:space="preserve">—not as indicative of state absence or weakness, but as </w:t>
      </w:r>
      <w:r w:rsidRPr="003C6A31">
        <w:rPr>
          <w:rStyle w:val="StyleUnderline"/>
          <w:highlight w:val="cyan"/>
        </w:rPr>
        <w:t>taking place in the context of a</w:t>
      </w:r>
      <w:r w:rsidRPr="00E6030E">
        <w:rPr>
          <w:rStyle w:val="StyleUnderline"/>
        </w:rPr>
        <w:t xml:space="preserve"> normalized </w:t>
      </w:r>
      <w:r w:rsidRPr="003C6A31">
        <w:rPr>
          <w:rStyle w:val="StyleUnderline"/>
          <w:highlight w:val="cyan"/>
        </w:rPr>
        <w:t>state of exception</w:t>
      </w:r>
      <w:r w:rsidRPr="00E6030E">
        <w:rPr>
          <w:rStyle w:val="StyleUnderline"/>
        </w:rPr>
        <w:t xml:space="preserve">, the active </w:t>
      </w:r>
      <w:r w:rsidRPr="003C6A31">
        <w:rPr>
          <w:rStyle w:val="StyleUnderline"/>
          <w:highlight w:val="cyan"/>
        </w:rPr>
        <w:t>suspension of</w:t>
      </w:r>
      <w:r w:rsidRPr="00E6030E">
        <w:rPr>
          <w:rStyle w:val="StyleUnderline"/>
        </w:rPr>
        <w:t xml:space="preserve"> ordinary </w:t>
      </w:r>
      <w:r w:rsidRPr="003C6A31">
        <w:rPr>
          <w:rStyle w:val="StyleUnderline"/>
          <w:highlight w:val="cyan"/>
        </w:rPr>
        <w:t>legality in the name of</w:t>
      </w:r>
      <w:r w:rsidRPr="00E6030E">
        <w:rPr>
          <w:rStyle w:val="StyleUnderline"/>
        </w:rPr>
        <w:t xml:space="preserve"> “</w:t>
      </w:r>
      <w:r w:rsidRPr="003C6A31">
        <w:rPr>
          <w:rStyle w:val="StyleUnderline"/>
          <w:highlight w:val="cyan"/>
        </w:rPr>
        <w:t>necessity</w:t>
      </w:r>
      <w:r w:rsidRPr="00E6030E">
        <w:rPr>
          <w:rStyle w:val="StyleUnderline"/>
        </w:rPr>
        <w:t>,” which is an “illegal” but nevertheless “perfectly juridical and constitutional measure” central to the operation of state power</w:t>
      </w:r>
      <w:r w:rsidRPr="00BB217C">
        <w:rPr>
          <w:sz w:val="14"/>
        </w:rPr>
        <w:t xml:space="preserve">.114 Agamben himself was </w:t>
      </w:r>
      <w:r w:rsidRPr="00BB217C">
        <w:rPr>
          <w:sz w:val="14"/>
        </w:rPr>
        <w:lastRenderedPageBreak/>
        <w:t>hasty in claiming the concentration camp as both unique and archetypical of modernity. He overlooked how colonized peoples have been systematically excluded from the protection of law, and how extermination and genocide have been routinely justified by a mythology of progress that is inseparable from the degradation of the natures of populations racialized as Other. These legacies of colonialism have been central to security apparatuses, authoritarian rule, and the repression of resistance that have accompanied neoliberal reforms in contexts such as Colombia and Pinochet’s Chile (praised by the World Bank as the forerunner of the structural adjustment programs subsequently imposed across the Global South).115 Across what is now Latin America, the racism instilled by the Conquest “left an inheritance of guilt and a fear that the old gods would return.” Subsequent anxieties over modernization “transposed racism into a dif</w:t>
      </w:r>
      <w:r w:rsidRPr="00BB217C">
        <w:rPr>
          <w:sz w:val="14"/>
        </w:rPr>
        <w:softHyphen/>
        <w:t>ferent key and turned the indigenous from an exploited labour force into a negative and undesirable mass.”116 In this context</w:t>
      </w:r>
      <w:r w:rsidRPr="00E677FE">
        <w:rPr>
          <w:sz w:val="14"/>
        </w:rPr>
        <w:t xml:space="preserve">, </w:t>
      </w:r>
      <w:r w:rsidRPr="00E677FE">
        <w:rPr>
          <w:rStyle w:val="StyleUnderline"/>
        </w:rPr>
        <w:t>the idea of an “enemy within” has long underpinned a culture of exception in which rights and liberties can be suspended when required</w:t>
      </w:r>
      <w:r w:rsidRPr="00E677FE">
        <w:rPr>
          <w:sz w:val="14"/>
        </w:rPr>
        <w:t>.117 The “massacre of the banana workers,” commemorated in Gabriel García Márquez’s One Hundred Years of Solitude, is an infamous case in point. In 1928, long before left-wing guerrilla groups were formed and counterinsurgency became the rationale for repressing protest, the Colombian Army killed about one thousand striking banana workers. The United States had threatened to invade with the Marine Corps if action was not taken to protect the interests of the United Fruit Company (a previous incarnation of Chiquita Brands). By the mid-twentieth century, anticommunism in Colombia had reached a “genocidal pitch.”118 The formal use of exceptional measures became predominant during a twelve-year period of civil war that began in 1948. Armed conflict among factions of the oligarchy subsided in the 1960s in the wake of a power-sharing deal. However, the consolidation of insurgencies representing subaltern forces had reconfigured the terrain of strug</w:t>
      </w:r>
      <w:r w:rsidRPr="00E677FE">
        <w:rPr>
          <w:sz w:val="14"/>
        </w:rPr>
        <w:softHyphen/>
        <w:t>gle. So, too, had development entered the scene. In his inaugural speech of January 20, 1949, US president Harry Truman set out his vision of a “fair deal” for “freedom-loving peoples,” an essential component of which was solving the problems of “underdeveloped areas.” Later that year, Colombia was the site of the first ever mission of the International Bank for Reconstruction and Development aimed at formulating a general development program for a country. This resulted in proposals for a “multitude of improvements and reforms” through careful planning and administration of resources that would make Colombia an “inspiring example” for the underdeveloped world.119 Although leaders framed industrialization as necessary for the consolidation of democracy, development in</w:t>
      </w:r>
      <w:r w:rsidRPr="00BB217C">
        <w:rPr>
          <w:sz w:val="14"/>
        </w:rPr>
        <w:t xml:space="preserve"> practice was inseparable from the growing international anticommunist crusade that authorized extreme terror against dissidents and their possible supporters.120 The left-wing insurgencies of the Fuerzas Armadas Revolucionarias de Colombia (Revolutionary Armed Forces of Colombia [farc]) and Ejército de Liberación Nacional (National Liberation Army) were formed in 1964 amid this repression.121 From the 1960s, enthusiastic adoption of US counterinsurgency recommendations saw armed civilians routinely incorporated into military strategy. In 1965, during a state of siege, Decree 3398 provided a legal basis for the formation of paramilitary groups (on the grounds that the “defense of the nation” was a task for everyone).122 By the second half of the 1970s, a “dirty war” was being waged against rural populations by state forces and paramilitaries, with the aim of eliminating insurgents’ potential supporters.123 Larger paramilitary groups were subsequently trained by the Colombian armed forces, with the support of US military aid, businesspeople, and drug traffickers. These paramilitaries went on to perpetrate more than 12,800 political killings over the course of the 1980s.124 By the time unsuccessful peace negotiations with the guerrillas began in the early 1980s, a culture of juridical exception had become normalized. The provisions of once exceptional decrees had been incorporated into ordinary law.125 Decree 3398, for example, was absorbed into Law 48 of 1968.126 Systematic impunity had likewise become institutionalized as the result of refusal to investigate abuses by state and parastatal forces. This generated a state of de facto exception, facilitating the dirty war in defense of society and nation.127 The 1991 constitution entered into force the same year that a military intelligence reorganization plan placed paramilitary death squads directly under the orders of the military high command, with the support of ongoing US military aid.128 </w:t>
      </w:r>
      <w:r w:rsidRPr="005766B3">
        <w:rPr>
          <w:rStyle w:val="StyleUnderline"/>
        </w:rPr>
        <w:t>Although, with the new constitution, means were introduced to limit the duration of states of siege, and the suspension of fundamental rights and liberties was prohibited, the constitution was itself enabled by recourse to exceptional measures.</w:t>
      </w:r>
      <w:r w:rsidRPr="00BB217C">
        <w:rPr>
          <w:sz w:val="14"/>
        </w:rPr>
        <w:t xml:space="preserve">129 Exceptional decrees of previous years were once again converted into permanent legislation, while impunity was further entrenched in the justice system.130 A “faceless system of justice” was also established, allowing the accused to be tried while the identity of witnesses and judges remained secret.131 Law here is itself the vehicle of exceptional tactics: criminal law is a “tool of war” that “invokes not the figure of the delinquent but that of the enemy.”132 Numerous features of states of exception were thus to be found, with their origins disguised, within the new “Social Rule of Law.” In Britain, too, there is a long historical lineage of recourse to exceptional tactics in the context of the ideology of rule of law that came to prevail from the eighteenth century. That ideology was consolidated in the context of the invention of new capital crimes that gave the impression of a national emergency in the absence of any new threat to order.133 Less than a decade before the Black Act passed, the Riot Act of 1714 had made it possible for a justice of the peace or other specified authority to deliver an oral warning to any group of more than twelve “unlawfully, riotously, and tumultuously assembled together” that suspended ordinary protections and enabled the group to be forcibly dispersed, on pain of death.134 Thus, the English common law that became the standard of civilization in the nineteenth century was sharpened not only at the expense of Indigenous peoples, but also through systematic repression in Britain, where the democratic demands of the lower orders met with massacres on several occasions over the following century and a half.135 Yet there are aspects of the exceptional tactics that have accompanied neoliberalism in Britain that also resonate with those in Colombia. Such tactics were already evident in Margaret Thatcher’s and Ronald Reagan’s deliberate exaggeration of the Soviet threat during the early days of neoliberal reforms in the United States and United Kingdom, which facilitated the transfer of resources from welfare to the repressive apparatuses of the state.136 The intensification of neoliberal reforms over recent years has been accompanied by an escalating use of state and institutional power to undermine formal democratic rights through the criminalization of resistance, and an array of illegal or quasi-legal provisions and restrictions on freedom of assembly and protest. Protests and mobilizations that once would have been considered an essential part of democracy have been framed as “extremist” attacks on “democracy” that demand a repressive response. The repression of student mobilizations is a good example of the continuities between present-day Colombia and Britain. In 2005, I was present at a protest at the University of Valle, in Cali, where police killed the twentyone-year-old chemistry student Jhonny Silva. Protests had erupted across the country in opposition to a free-trade agreement being negotiated between Colombia and the United States that week. Earlier that day, residents of a poor neighborhood had taken to the streets to protest privatization and ongoing cuts to water and electricity. Riot police had been indiscriminate in their use of tear gas, resulting in the death of a young child. When the students went out to protest, the police drove them back inside the campus and spent the afternoon illegally firing stun grenades and tear gas directly at the bodies of protesters. Later, as the protest drew to a close, the police illegally entered the campus and began firing tear gas and live ammunition. Silva could not run as fast as the other students, having suffered polio as a child. He was shot at point-blank range and died on the way to hospital. Another student was seriously injured by a tear-gas canister. Two more were detained overnight, threatened with being “disappeared” and dismembered, then released the next morning without charge.137 The day after Silva was killed, the British university delegation I was with met the secretary of the governor of the Administrative Department of Valle del Cauca, Gladys Hernández, who justified the actions of the police on the basis of their duty to “protect public order.” The same day, far-right president Álvaro Uribe Vélez visited the city and proclaimed that the police and public authorities could count on his “instant authorization to go in, finish off and capture the violent people” on campus.138 These events reflect a systematic criminalization of protest in Colombia, which has been further intensified over recent years.139 In the context of the ongoing dirty war, members of the university community were already recipients of frequent death threats. A year later, twenty-nine-year-old Julian Hurtado, a member of the Truth Commission investigating the murder, was shot dead by sicarios (hired assassins) upon his return home from an event commemorating the first anniversary of Silva’s death.140 There were echoes of this logic of repression five years later in Britain, during the 2010 protests against spending cuts and university fees. I thought of Jhonny Silva when the protester Jody MacIntyre was dragged from his wheelchair by police. The media even implied this was an appropriate response, given McIntyre’s thought crime of holding “revolutionary” views.141 The parallels were perhaps even more pronounced in the case of Alfie </w:t>
      </w:r>
      <w:r w:rsidRPr="00BB217C">
        <w:rPr>
          <w:sz w:val="14"/>
        </w:rPr>
        <w:lastRenderedPageBreak/>
        <w:t xml:space="preserve">Meadows, who suffered life-threatening injuries after receiving a blow to his head from a police baton the same year. The Metropolitan Police subsequently charged Meadows and a fellow student, Zak King, with violent disorder. Meadows and King were acquitted in 2013 after a jury accepted that they had been attempting to defend themselves and fellow protesters. Their acquittal highlighted the extent to which police had begun to make unlawful use of Section 2 of the 1986 Public Order Act, which defines the crime of violent disorder, to repress protesters. Eighteen out of nineteen students charged with violent disorder during the tuition fees protests were likewise acquitted. Counsel for Zak King described the use of the Public Order Act as a “sledgehammer” against peaceful protestors that “failed to differentiate between the actions of a crowd and individuals within it.”142 Illegal Rule of Law It is important to emphasize, however, that authoritarianism and coercive repression are not just means to impose unpopular neoliberal policies.143 Rather, authoritarianism is, as Ian Bruff writes, “a permanent and necessary part of neoliberal ideology, institutionalization and practice.” We find it not only in the exceptional measures of repressive legality but also, Bruff continues, “in the reconfiguring of state and institutional power in an attempt to insulate certain policies and institutional practices from social and political dissent.”144 Indeed, if the state of exception is a useful concept, it needs to be extended beyond the active operation of state power to cast certain populations and individuals outside of the protection of law. As José Atiles-Osoria and David Whyte point out, it also opens up a way to understand the legal ordering of contemporary capitalism.145 We saw in the previous section how social and economic rights are cast aside not merely by action outside of the law, but also by legislative measures that block access to those rights. So too have we seen how corporations have become quasi-sovereign authorities, because the idea of rule of law as a neutral means to economic competitiveness has made them into natural counterparts of government in drafting legislation. Yet the backbone of the specifically neoliberal assault on democracy is the transformation of a Hayekian vision of rule of law into a global constitutional structure. It is this, I now show, that has fomented an unprecedented capacity for legal intervention into politics that has served, in effect, to outlaw democratic demands for an alternative. It is, Mattei and Nader write, no coincidence that neoliberal globalization took off at the time that the rule of law began to be understood as a universal minimal legal system, conceived as a neutral, merely “technical” means of ensuring growth but in fact generating “harsh control of any individual threatening the bottom line of property rights and incapable of limiting corporate actors.”146 In relation to Pinochet’s Chile, both Hayek and Milton Friedman insisted that “freedom” required a legal structure that would protect private property, individual enterprise, and investment rights (as well as insisting that normal political freedoms may have to be temporarily suspended as a matter of necessity to preserve the institutions required for a competitive market order).147 In Colombia, too, the transformation of a neoliberal vision of legality into a global constitutional structure has set the parameters not just for reforms of specific laws that undermine constitutional rights, but also for constitutional reforms that undermine those rights. In 2011, the Colombian Constitution itself was modified by Legislative Act 3, which “gave constitutional recognition to fiscal sustainability, as a right of citizenship,” endowing the authorities with the duty to control public spending and public debt.148 This gave rise to new fiscal rules prohibiting any public spending that exceeds public income.149 These reforms represent not simply the bypassing of constitutional rights but a paradoxical constitutionalization of austerity in the name of citizens’ rights. This constitutionalization of neoliberal policy prescriptions is now a worldwide phenomenon. In the international order that was consolidated after World War II, the World Bank and International Monetary Fund (imf) were prevented from intervening in countries’ legal systems by their own bylaws, which prohibited political intervention. Lawmaking was still seen, at least officially, as the prerogative of sovereign states (notwithstanding the covert interference in independent states that took place in the context of the Cold War and decolonization). Redefining law as nonpolitical and merely technical allowed the imf and World Bank to sidestep these bylaws and make domestic law reform a condition of aid. The contractual power of international financial institutions to condition aid to domestic law reform has helped shape this particular vision of rule of law into a global constitutional structure.150 Once again, none of this is peculiar to the postcolonial world. Indeed, Bruff suggests that Europe is a particularly useful place to begin to explore the authoritarian nature of neoliberalism precisely because “more than anywhere else in the world, Europe’s self-image is that of a socially-aware, more generous and more inclusive form of capitalism than in other world regions.”151 Europe’s self-image notwithstanding, the same reconceptualization of rule of law that has shaped international economic law and enabled international financial institutions to condition aid on domestic law reform has also underpinned an increasingly undemocratic shift within European states. The intensification of neoliberal reforms since the 2008 global financial crisis involved increasing legal intervention into politics with the aim of eliminating democratic control over “the economy.” Resistant governments were forced to implement austerity measures by (often supranational) constitutional and legal rules, portrayed as “necessary” and beyond question.152 There were precursors to this long before the crisis. The treaties of the 1970s and ’80s that anticipated the creation of a single market extended the power of European law over domestic law on the basis that economic competition was the key objective of the treaties.153 The Maastricht Treaty of 1992 built on this, committing governments to avoiding “excessive deficits,” and empowering the European Commission to monitor economies and impose sanctions. Through this and a series of subsequent measures, austerity was enshrined within the legal framework of the European Union.154 This, Robert Knox notes, “is not simply an incidental part of the eu framework.” It is “accorded supreme constitutional status.”155 When Greece was on the verge of default in 2010, the European Union agreed to a bailout package in conjunction with the imf, with strict conditions such as the “modernization” of the public sector and more “flexible” and “efficient” labor markets.156 In the aftermath of the Greek crisis, a series of stricter “economic governance” regulations were aimed at getting governments to preemptively self-impose similar measures to “detect, prevent, and correct ‘problematic’ economic trends” (which is to say, “excessive” budget deficits and “high” unit labor costs).157 Thus, when Greece’s Syriza party was elected on an anti-austerity mandate in 2015, the president of the European Commission could declare that Syriza would be unable to implement its program because “there can be no democratic choice against the European treaties.”158 His argument did not even invoke the idea of economic necessity; he could simply appeal to law.159 Lest this be thought to be something specific to the European Union, which Britain might now evade by escaping eu clutches, we should keep in the mind that Britain has a track record of using legal targets to “tie its own hands” in this way. This began to be visible in 1997, with the election of New Labour and the imposition of fiscal rules that the government would maintain a balanced budget or budget surplus while keeping debt at less than 40 percent of the gross domestic product.160 This self-imposition of austerity through law was entrenched in the wake of the financial crisis of 2008. “Echoing the eu’s constitutionalization of austerity,” Knox writes, “the 2010 Fiscal Responsibility Act imposed binding legal rules under which the Treasury had to ensure public sector borrowing decreased yearly. In effect, the Labour government attempted to use law to create ‘external’ compulsions on itself to implement austerity.”161 Similar techniques were adopted through the subsequent coalition government’s Budget Responsibility and National Audit Act, according to which any future budgets were to correspond to strict fiscal targets. The act also established the Office for Budgetary Responsibility, charged with “objectively, transparently and impartially” analyzing the Treasury’s policy for managing national debt and setting fiscal targets. “Thus the Coalition—building on New Labour Policy—attempted to import the legal surveillance techniques of the imf and eu into UK economic policy.”162 Just as rights set out in the Colombian Constitution were overwritten by actual legislation, legally mandated austerity in Britain has been judged to violate human rights and equalities legislation, as well as human rights conventions ratified by the United Kingdom.163 By the turn of the twenty-first century, the sociolegal scholar Boaventura de Sousa Santos was highlighting a worldwide crisis in liberal narratives of a social contract between state and citizens.164 Ideas of a social contract have been replaced by what Santos calls “neoliberal contractualism”—a multitude of unstable private contracts based on “a mere appearance of a compromise constituted by conditions, as costly as they are inescapable, imposed without discussion on the weaker party.”165 Colombia typifies these dynamics to such an extent that Santos and the Colombian lawyer Mauricio García Villegas have referred to the country as “the reverse of modernity’s social contract.”166 Even in Colombia, however, democracy has not been sacrificed to the demands of capitalism, as it was in the Southern Cone dictatorships of previous decades. It is not simply that democratic forces are suppressed, that citizens’ rights and protections are suspended in the name of necessity, or even that social and economic rights are rendered toothless by specific laws and policies. Rather, at the same time that democracy is advocated as a global principle of governance, it is hollowed out by a legal architecture that places drastic restrictions on the possibility of challenging corporate power. It is thus “no longer necessary, or even convenient, to sacrifice democracy in order to promote capitalism.”167 The very meanings of democracy and citizenship are being reshaped in accordance with authoritarian neoliberal constitutionalism.168 Social Fascism Santos refers to this worldwide hollowing out of democracy as “social fascism.”169 </w:t>
      </w:r>
      <w:r w:rsidRPr="00BB217C">
        <w:rPr>
          <w:sz w:val="14"/>
        </w:rPr>
        <w:lastRenderedPageBreak/>
        <w:t xml:space="preserve">The “social” element of this seems, for Santos, </w:t>
      </w:r>
      <w:r w:rsidRPr="005A1946">
        <w:rPr>
          <w:rStyle w:val="StyleUnderline"/>
        </w:rPr>
        <w:t>to be limited to the maintenance of a formal liberal-democratic infrastructure in highly au-thoritarian political surroundings</w:t>
      </w:r>
      <w:r w:rsidRPr="00BB217C">
        <w:rPr>
          <w:sz w:val="14"/>
        </w:rPr>
        <w:t>. Yet this “social” aspect warrants further consideration. Across the world</w:t>
      </w:r>
      <w:r w:rsidRPr="00E677FE">
        <w:rPr>
          <w:sz w:val="14"/>
        </w:rPr>
        <w:t xml:space="preserve">, </w:t>
      </w:r>
      <w:r w:rsidRPr="00E677FE">
        <w:rPr>
          <w:rStyle w:val="StyleUnderline"/>
        </w:rPr>
        <w:t>the hollowing out of democracy has been accompanied not only by emphasis on the rule of law, but also by democratic, social, and humanistic rhetoric configured as an ethical rationale for doing whatever also</w:t>
      </w:r>
      <w:r w:rsidRPr="00E677FE">
        <w:rPr>
          <w:sz w:val="14"/>
        </w:rPr>
        <w:t>—serendipitously—happens to be demanded by the criteria of efficiency and competitiveness. The intellectual authors of neoliberalism may have considered</w:t>
      </w:r>
      <w:r w:rsidRPr="00BB217C">
        <w:rPr>
          <w:sz w:val="14"/>
        </w:rPr>
        <w:t xml:space="preserve"> social and economic rights and anything beyond the most minimal assistance to the destitute a threat to civilization. They may have invoked racist arguments to oppose democratic self-determination of newly independent states. </w:t>
      </w:r>
      <w:r w:rsidRPr="00BC286C">
        <w:rPr>
          <w:rStyle w:val="StyleUnderline"/>
        </w:rPr>
        <w:t xml:space="preserve">Yet, as we have seen, </w:t>
      </w:r>
      <w:r w:rsidRPr="003C6A31">
        <w:rPr>
          <w:rStyle w:val="StyleUnderline"/>
        </w:rPr>
        <w:t>neoliberal reforms</w:t>
      </w:r>
      <w:r w:rsidRPr="00BC286C">
        <w:rPr>
          <w:rStyle w:val="StyleUnderline"/>
        </w:rPr>
        <w:t xml:space="preserve"> in practice have taken place alongside the extension of economic and social rights, including recognition of ethnic diversity. </w:t>
      </w:r>
      <w:r w:rsidRPr="003C6A31">
        <w:rPr>
          <w:rStyle w:val="StyleUnderline"/>
          <w:highlight w:val="cyan"/>
        </w:rPr>
        <w:t>Neoliberal intellectuals</w:t>
      </w:r>
      <w:r w:rsidRPr="00BC286C">
        <w:rPr>
          <w:rStyle w:val="StyleUnderline"/>
        </w:rPr>
        <w:t xml:space="preserve"> may have </w:t>
      </w:r>
      <w:r w:rsidRPr="003C6A31">
        <w:rPr>
          <w:rStyle w:val="StyleUnderline"/>
          <w:highlight w:val="cyan"/>
        </w:rPr>
        <w:t>deployed</w:t>
      </w:r>
      <w:r w:rsidRPr="00BC286C">
        <w:rPr>
          <w:rStyle w:val="StyleUnderline"/>
        </w:rPr>
        <w:t xml:space="preserve"> the </w:t>
      </w:r>
      <w:r w:rsidRPr="003C6A31">
        <w:rPr>
          <w:rStyle w:val="StyleUnderline"/>
          <w:highlight w:val="cyan"/>
        </w:rPr>
        <w:t>language of human rights to oppose</w:t>
      </w:r>
      <w:r w:rsidRPr="00BC286C">
        <w:rPr>
          <w:rStyle w:val="StyleUnderline"/>
        </w:rPr>
        <w:t xml:space="preserve"> demands for </w:t>
      </w:r>
      <w:r w:rsidRPr="003C6A31">
        <w:rPr>
          <w:rStyle w:val="StyleUnderline"/>
          <w:highlight w:val="cyan"/>
        </w:rPr>
        <w:t>postcolonial redistribution</w:t>
      </w:r>
      <w:r w:rsidRPr="00BC286C">
        <w:rPr>
          <w:rStyle w:val="StyleUnderline"/>
        </w:rPr>
        <w:t xml:space="preserve"> in accordance with a specific vision of human rights focused on securing the investment rights of private capital and the property rights of the wealthy</w:t>
      </w:r>
      <w:r w:rsidRPr="00BB217C">
        <w:rPr>
          <w:sz w:val="14"/>
        </w:rPr>
        <w:t>. Yet the human rights that have accompanied neoliberal reforms go beyond this. They do involve recognition of rights to social protection and the territorial rights of Indigenous peoples. It might be tempting to dismiss this social and humanistic rhetoric as mere “window dressing,” used to disguise policies intent on increasing the wealth of the rich at the expense of the lives of the poor, sealed off from democratic oversight and justified through a rule of law that is—from the perspective of formally recognized rights—illegal.170 This is, without doubt, to some extent the case. The persistence of a language of social welfare, social rights, and Indigenous self-determination is also indicative of tensions between pure neoliberalism and the legacies of liberal democracy and cosmopolitan humanitarianism that neoliberalization must encounter in practice. Neoliberalism, in other words, is unable to avoid the contradictions of classical liberalism to which Marx drew attention. Nevertheless, I do not think we can reduce the social and humanistic rhetoric that has accompanied political expressions of neoliberalism to just a combination of window dressing and the tensions between neoliberalism and other political discourses. ‘“Left” politics, as Bruff notes, “</w:t>
      </w:r>
      <w:r w:rsidRPr="00A01428">
        <w:rPr>
          <w:rStyle w:val="StyleUnderline"/>
        </w:rPr>
        <w:t>has frequently been guilty of taking the law and the ‘social’ institutions within capitalism to be somehow neutral, ignoring in the process how ‘non-market’ social forms have often been central to, not resistant against, the rise of neoliberalism</w:t>
      </w:r>
      <w:r w:rsidRPr="00BB217C">
        <w:rPr>
          <w:sz w:val="14"/>
        </w:rPr>
        <w:t xml:space="preserve">.”171 Building on this, what I want to suggest is that there has been an important shift away over recent decades from these classical contradictions of liberalism and the selective application of rights. </w:t>
      </w:r>
      <w:r w:rsidRPr="00A01428">
        <w:rPr>
          <w:rStyle w:val="StyleUnderline"/>
        </w:rPr>
        <w:t xml:space="preserve">An Orwellian world has taken shape in </w:t>
      </w:r>
      <w:r w:rsidRPr="00E677FE">
        <w:rPr>
          <w:rStyle w:val="StyleUnderline"/>
        </w:rPr>
        <w:t xml:space="preserve">which liberal values and principles are collapsed as far as possible into deadly economic logics. </w:t>
      </w:r>
      <w:r w:rsidRPr="00E677FE">
        <w:rPr>
          <w:sz w:val="14"/>
        </w:rPr>
        <w:t>The shift toward an apparently softer, more socially minded approach in the World Bank has been central here. In part, this was a response to the human consequences</w:t>
      </w:r>
      <w:r w:rsidRPr="00BB217C">
        <w:rPr>
          <w:sz w:val="14"/>
        </w:rPr>
        <w:t xml:space="preserve"> of hard-line neoliberalism of the sort envisaged by neoliberal intellectuals. In the mid-1990s, criticism of the devastating effects of structural adjustment generated a strategy change within the bank. Under the new rubric of “poverty reduction,” a greater role for state intervention was promoted, while “country ownership” of the agenda, “good governance,” “local participation,” “rights-based development,” and “dialogue” became buzzwords around aid conditionality. Neoliberalism gained a much touted “human face,” to the horror of many at the imf and US Treasury.172 Yet critics have pointed out that interventions under the label “poverty reduction” are, in reality, strategies designed to create the social underpinnings for productive labor and competitiveness to make targeted countries more hospitable to foreign direct investment. As Paul Cammack was quick to note when the World Bank changed tack, “poverty reduction” means “locking the poor into the market,” without any substantive change to policy staples such as privatization or the role of postcolonial states as producers of cheap commodities. Civil society “participation,” meanwhile, has largely implied the co-optation of community organizations and ngos into neoliberal agendas, while “rightsbased” development is focused, in reality, not on the economic and social rights of the udhr, but on civil and political rights (participation, freedom of expression, and so on) plus minimal “basic rights,” such as access to food.173 There are also important, but rarely acknowledged, connections between the shift toward a “pro-poor” approach within the World Bank and the “social” justifications for neoliberalism in Europe. In the wake of the 2008 financial crisis, instead of arguing that the attachment to “social Europe” must be dropped, austerity has been justified on the basis that “social” institutions such as the welfare state can survive only if they are able to adapt to change.174 However, as Bruff </w:t>
      </w:r>
      <w:r w:rsidRPr="00E677FE">
        <w:rPr>
          <w:sz w:val="14"/>
        </w:rPr>
        <w:t>underscores, “</w:t>
      </w:r>
      <w:r w:rsidRPr="00E677FE">
        <w:rPr>
          <w:rStyle w:val="StyleUnderline"/>
        </w:rPr>
        <w:t>Europe has in reality been neoliberalizing through, not against, ‘social’ institutions of governance since the 1980s.” Long before the 2008 crisis</w:t>
      </w:r>
      <w:r w:rsidRPr="009B7A7F">
        <w:rPr>
          <w:rStyle w:val="StyleUnderline"/>
        </w:rPr>
        <w:t xml:space="preserve">, </w:t>
      </w:r>
      <w:r w:rsidRPr="003C6A31">
        <w:rPr>
          <w:rStyle w:val="StyleUnderline"/>
          <w:highlight w:val="cyan"/>
        </w:rPr>
        <w:t>collective bargaining mechanisms</w:t>
      </w:r>
      <w:r w:rsidRPr="009B7A7F">
        <w:rPr>
          <w:rStyle w:val="StyleUnderline"/>
        </w:rPr>
        <w:t xml:space="preserve"> had begun to be u</w:t>
      </w:r>
      <w:r w:rsidRPr="003C6A31">
        <w:rPr>
          <w:rStyle w:val="StyleUnderline"/>
          <w:highlight w:val="cyan"/>
        </w:rPr>
        <w:t>sed to discipline labor</w:t>
      </w:r>
      <w:r w:rsidRPr="009B7A7F">
        <w:rPr>
          <w:rStyle w:val="StyleUnderline"/>
        </w:rPr>
        <w:t xml:space="preserve"> rather than treating trade unions as equal partners</w:t>
      </w:r>
      <w:r w:rsidRPr="00BB217C">
        <w:rPr>
          <w:sz w:val="14"/>
        </w:rPr>
        <w:t xml:space="preserve"> (as they were considered under the postwar rubric of social partnership among capital, labor, and the state). Likewise, before the 2008 crisis European countries were witnessing welfare retrenchment and a move from welfare to “workfare” (in accordance with a shift in emphasis from the idea of collective entitlement to a social safety net in the face of restructuring toward the individual responsibility to work).175 British prime minister Tony Blair was a leading proponent of the idea that Europe’s social institutions needed to adapt to survive.176 His New Labour government not only introduced the fiscal rules that paved the way to austerity after the 2008 crisis but also presided over numerous privatizing reforms, such as those that “rapidly accelerated the fragmentation of the nhs [National Health Service] and its permeation by private capital.”177 These </w:t>
      </w:r>
      <w:r w:rsidRPr="00852B68">
        <w:rPr>
          <w:rStyle w:val="StyleUnderline"/>
        </w:rPr>
        <w:t xml:space="preserve">reforms, which went with a substantial midterm funding increase, were rationalized on the basis of the need to “save the nhs.”178 Convergence between European “social” </w:t>
      </w:r>
      <w:r w:rsidRPr="003C6A31">
        <w:rPr>
          <w:rStyle w:val="StyleUnderline"/>
          <w:highlight w:val="cyan"/>
        </w:rPr>
        <w:t xml:space="preserve">neoliberalism </w:t>
      </w:r>
      <w:r w:rsidRPr="00E677FE">
        <w:rPr>
          <w:rStyle w:val="StyleUnderline"/>
        </w:rPr>
        <w:t xml:space="preserve">and the humanistic rhetoric </w:t>
      </w:r>
      <w:r w:rsidRPr="003C6A31">
        <w:rPr>
          <w:rStyle w:val="StyleUnderline"/>
          <w:highlight w:val="cyan"/>
        </w:rPr>
        <w:t xml:space="preserve">of </w:t>
      </w:r>
      <w:r w:rsidRPr="00E677FE">
        <w:rPr>
          <w:rStyle w:val="StyleUnderline"/>
        </w:rPr>
        <w:t xml:space="preserve">mainstream </w:t>
      </w:r>
      <w:r w:rsidRPr="003C6A31">
        <w:rPr>
          <w:rStyle w:val="StyleUnderline"/>
          <w:highlight w:val="cyan"/>
        </w:rPr>
        <w:t>development discourse</w:t>
      </w:r>
      <w:r w:rsidRPr="00852B68">
        <w:rPr>
          <w:rStyle w:val="StyleUnderline"/>
        </w:rPr>
        <w:t xml:space="preserve"> can be </w:t>
      </w:r>
      <w:r w:rsidRPr="003C6A31">
        <w:rPr>
          <w:rStyle w:val="StyleUnderline"/>
          <w:highlight w:val="cyan"/>
        </w:rPr>
        <w:t>found in</w:t>
      </w:r>
      <w:r w:rsidRPr="00852B68">
        <w:rPr>
          <w:rStyle w:val="StyleUnderline"/>
        </w:rPr>
        <w:t xml:space="preserve"> projects such as the “</w:t>
      </w:r>
      <w:r w:rsidRPr="003C6A31">
        <w:rPr>
          <w:rStyle w:val="StyleUnderline"/>
          <w:highlight w:val="cyan"/>
        </w:rPr>
        <w:t>peace laboratories</w:t>
      </w:r>
      <w:r w:rsidRPr="00852B68">
        <w:rPr>
          <w:rStyle w:val="StyleUnderline"/>
        </w:rPr>
        <w:t>” established at the turn of this century in the wake of state-backed massacres in Colombia</w:t>
      </w:r>
      <w:r w:rsidRPr="00BB217C">
        <w:rPr>
          <w:sz w:val="14"/>
        </w:rPr>
        <w:t xml:space="preserve">. These are regional programs for “development and peace,” established as a joint initiative between the Colombian state and the European Union, in association with the World Bank, multinational corporations, and ngos. They were </w:t>
      </w:r>
      <w:r w:rsidRPr="007F4746">
        <w:rPr>
          <w:rStyle w:val="StyleUnderline"/>
        </w:rPr>
        <w:t>designed to “explore, with the instruments appropriate to the Social Rule of Law, the paths which Colombian society must go down to reach peace and generate sustainable development.”</w:t>
      </w:r>
      <w:r w:rsidRPr="00BB217C">
        <w:rPr>
          <w:sz w:val="14"/>
        </w:rPr>
        <w:t xml:space="preserve">179 In Magdalena Medio, for example, the rhetoric of the peace laboratory is couched in terms of community “participation” and “dialogue,” aimed at generating a culture of peace and “integral rights.”180 In reality, this has involved the insertion of peasants into global markets through the “sustainable” production of monocultures such as oil palm. The “participation” advocated is “a participation on a supposedly equal footing with corporations” through so-called strategic alliances that involve contracts of ten to twelve years, during which peasants must sell palm fruit to the company </w:t>
      </w:r>
      <w:r w:rsidRPr="00BB217C">
        <w:rPr>
          <w:sz w:val="14"/>
        </w:rPr>
        <w:lastRenderedPageBreak/>
        <w:t>under an agreement at which the price is determined at the point of sale, meaning that peasants must absorb the risks of falling prices. The company also extracts the cost of seeds and technical assistance from peasant participants in these alliances.181 Despite the reference to the Social Rule of Law, the “</w:t>
      </w:r>
      <w:r w:rsidRPr="007F4746">
        <w:rPr>
          <w:rStyle w:val="StyleUnderline"/>
        </w:rPr>
        <w:t xml:space="preserve">peace laboratories” embody </w:t>
      </w:r>
      <w:r w:rsidRPr="00E677FE">
        <w:rPr>
          <w:rStyle w:val="StyleUnderline"/>
        </w:rPr>
        <w:t>the “reverse of the social contract” of which Santos speaks. “Strategic alliances” between peasants and corporations are the quintessence of neoliberal contractualism.</w:t>
      </w:r>
      <w:r w:rsidRPr="00E677FE">
        <w:rPr>
          <w:sz w:val="14"/>
        </w:rPr>
        <w:t xml:space="preserve"> They are, as one peasant put it in an interview with the investigative journalist Gearóid Ó Loingsigh</w:t>
      </w:r>
      <w:r w:rsidRPr="00BB217C">
        <w:rPr>
          <w:sz w:val="14"/>
        </w:rPr>
        <w:t xml:space="preserve">, like “an alliance between the fox and the chickens: in the end the fox will eat the chickens.”182 While successive governments, the World Bank, and the European Union repeatedly talk about “peace and development,” </w:t>
      </w:r>
      <w:r w:rsidRPr="003C6A31">
        <w:rPr>
          <w:rStyle w:val="StyleUnderline"/>
          <w:highlight w:val="cyan"/>
        </w:rPr>
        <w:t>framing development as</w:t>
      </w:r>
      <w:r w:rsidRPr="00CC28E5">
        <w:rPr>
          <w:rStyle w:val="StyleUnderline"/>
        </w:rPr>
        <w:t xml:space="preserve"> the </w:t>
      </w:r>
      <w:r w:rsidRPr="003C6A31">
        <w:rPr>
          <w:rStyle w:val="StyleUnderline"/>
          <w:highlight w:val="cyan"/>
        </w:rPr>
        <w:t>antidote to</w:t>
      </w:r>
      <w:r w:rsidRPr="00CC28E5">
        <w:rPr>
          <w:rStyle w:val="StyleUnderline"/>
        </w:rPr>
        <w:t xml:space="preserve"> </w:t>
      </w:r>
      <w:r w:rsidRPr="003C6A31">
        <w:rPr>
          <w:rStyle w:val="StyleUnderline"/>
          <w:highlight w:val="cyan"/>
        </w:rPr>
        <w:t>violence</w:t>
      </w:r>
      <w:r w:rsidRPr="00CC28E5">
        <w:rPr>
          <w:rStyle w:val="StyleUnderline"/>
        </w:rPr>
        <w:t xml:space="preserve">, the model of development advocated </w:t>
      </w:r>
      <w:r w:rsidRPr="003C6A31">
        <w:rPr>
          <w:rStyle w:val="StyleUnderline"/>
          <w:highlight w:val="cyan"/>
        </w:rPr>
        <w:t>in the name of</w:t>
      </w:r>
      <w:r w:rsidRPr="00CC28E5">
        <w:rPr>
          <w:rStyle w:val="StyleUnderline"/>
        </w:rPr>
        <w:t xml:space="preserve"> “</w:t>
      </w:r>
      <w:r w:rsidRPr="003C6A31">
        <w:rPr>
          <w:rStyle w:val="StyleUnderline"/>
        </w:rPr>
        <w:t>peace</w:t>
      </w:r>
      <w:r w:rsidRPr="00CC28E5">
        <w:rPr>
          <w:rStyle w:val="StyleUnderline"/>
        </w:rPr>
        <w:t xml:space="preserve">” is </w:t>
      </w:r>
      <w:r w:rsidRPr="003C6A31">
        <w:rPr>
          <w:rStyle w:val="StyleUnderline"/>
          <w:highlight w:val="cyan"/>
        </w:rPr>
        <w:t>the</w:t>
      </w:r>
      <w:r w:rsidRPr="00CC28E5">
        <w:rPr>
          <w:rStyle w:val="StyleUnderline"/>
        </w:rPr>
        <w:t xml:space="preserve"> very </w:t>
      </w:r>
      <w:r w:rsidRPr="003C6A31">
        <w:rPr>
          <w:rStyle w:val="StyleUnderline"/>
          <w:highlight w:val="cyan"/>
        </w:rPr>
        <w:t>model for which people were killed</w:t>
      </w:r>
      <w:r w:rsidRPr="00CC28E5">
        <w:rPr>
          <w:rStyle w:val="StyleUnderline"/>
        </w:rPr>
        <w:t xml:space="preserve"> in the first place.</w:t>
      </w:r>
      <w:r w:rsidRPr="00BB217C">
        <w:rPr>
          <w:sz w:val="14"/>
        </w:rPr>
        <w:t xml:space="preserve"> The paramilitary groups who took over entire regions such as Magdalena Medio in close collaboration with the army were never mere armed mercenaries; they were political organizations whose visions of “development” overlapped with those of the government, World Bank, European Union, and international ngos.183 Since the 1990s</w:t>
      </w:r>
      <w:r w:rsidRPr="00CC28E5">
        <w:rPr>
          <w:rStyle w:val="StyleUnderline"/>
        </w:rPr>
        <w:t>, forced displacement and massacres</w:t>
      </w:r>
      <w:r w:rsidRPr="00BB217C">
        <w:rPr>
          <w:sz w:val="14"/>
        </w:rPr>
        <w:t>—as Cardenas and Marín point out—</w:t>
      </w:r>
      <w:r w:rsidRPr="00311268">
        <w:rPr>
          <w:rStyle w:val="StyleUnderline"/>
        </w:rPr>
        <w:t xml:space="preserve">have been </w:t>
      </w:r>
      <w:r w:rsidRPr="00E677FE">
        <w:rPr>
          <w:rStyle w:val="StyleUnderline"/>
        </w:rPr>
        <w:t>accompanied by a humanistic, developmentalist, and conservationist discourse propagated by un bodies, the World Bank, transnational corporations, and ngos, as well as paramilitary and</w:t>
      </w:r>
      <w:r w:rsidRPr="00311268">
        <w:rPr>
          <w:rStyle w:val="StyleUnderline"/>
        </w:rPr>
        <w:t xml:space="preserve"> state organizations</w:t>
      </w:r>
      <w:r w:rsidRPr="00BB217C">
        <w:rPr>
          <w:sz w:val="14"/>
        </w:rPr>
        <w:t xml:space="preserve">.184 This is perhaps nowhere more visible than in more recent proposals for land restitution and “post-conflict” development following the 2016 peace deal with defeated farc guerrillas. Most of Colombia’s national territory has been destined for extractive projects to pay for “peace,” while displaced peasants have to agree to plant monocultures for export to get their land back or (as is more common) be relocated to “unproductive” land not destined for foreign investment. Thus, </w:t>
      </w:r>
      <w:r w:rsidRPr="00311268">
        <w:rPr>
          <w:rStyle w:val="StyleUnderline"/>
        </w:rPr>
        <w:t>the very measures put in place to promote peace and advance justice serve to consolidate what was achieved through state-backed massacres and forced displacement</w:t>
      </w:r>
      <w:r w:rsidRPr="00BB217C">
        <w:rPr>
          <w:sz w:val="14"/>
        </w:rPr>
        <w:t xml:space="preserve">.185 </w:t>
      </w:r>
      <w:r w:rsidRPr="00311268">
        <w:rPr>
          <w:rStyle w:val="StyleUnderline"/>
        </w:rPr>
        <w:t xml:space="preserve">The appeal to </w:t>
      </w:r>
      <w:r w:rsidRPr="003C6A31">
        <w:rPr>
          <w:rStyle w:val="StyleUnderline"/>
          <w:highlight w:val="cyan"/>
        </w:rPr>
        <w:t>social and democratic values serves</w:t>
      </w:r>
      <w:r w:rsidRPr="00311268">
        <w:rPr>
          <w:rStyle w:val="StyleUnderline"/>
        </w:rPr>
        <w:t xml:space="preserve"> here not to insulate people against economic force, but </w:t>
      </w:r>
      <w:r w:rsidRPr="003C6A31">
        <w:rPr>
          <w:rStyle w:val="StyleUnderline"/>
          <w:highlight w:val="cyan"/>
        </w:rPr>
        <w:t>as means through which violent modes of dispossession are authorized</w:t>
      </w:r>
      <w:r w:rsidRPr="00BB217C">
        <w:rPr>
          <w:sz w:val="14"/>
        </w:rPr>
        <w:t xml:space="preserve">. It is no longer necessary to distinguish between criteria for moral action and criteria for economic action in the style of classical liberal thinkers, for the two become indistinct. This coheres with the aims of the original neoliberal thought collective—to build an institutional and moral framework that could encase wealth and power in the hands of a corporate elite—but it does so in a way that extends beyond their own response to concerns about the civilizational dangers posed by democratic self determination and systems of social protection. For neoliberals who came together at Mont Pèlerin, the social and economic rights in the udhr were a threat to a Western civilization founded on commerce and free markets. </w:t>
      </w:r>
      <w:r w:rsidRPr="00E677FE">
        <w:rPr>
          <w:sz w:val="14"/>
        </w:rPr>
        <w:t xml:space="preserve">Today, by contrast, </w:t>
      </w:r>
      <w:r w:rsidRPr="00E677FE">
        <w:rPr>
          <w:rStyle w:val="StyleUnderline"/>
        </w:rPr>
        <w:t>not just rule of law but also democracy, poverty reduction, and social welfare have become part of an increasingly penetrative ethical newspeak that has served to consolidate neoliberal necroeconomics</w:t>
      </w:r>
      <w:r w:rsidRPr="00E677FE">
        <w:rPr>
          <w:sz w:val="14"/>
        </w:rPr>
        <w:t>. This needs to be considered on its own terms as a constitutive aspect of how neoliberalization has taken shape in practice. Capitalism, after all, is adept at absorbing everything it encounters, including sites of contestation and critique. With the “social” turn of neoliberalism, we arrive at a juncture</w:t>
      </w:r>
      <w:r w:rsidRPr="00BB217C">
        <w:rPr>
          <w:sz w:val="14"/>
        </w:rPr>
        <w:t xml:space="preserve"> in which financial and corporate power has had unprecedented success in shaping global institutions and ethical discourse in the image of an intensely violent global political economy. It is this with which we must contend when considering the politics of human rights.</w:t>
      </w:r>
    </w:p>
    <w:p w14:paraId="37BA607B" w14:textId="77777777" w:rsidR="00923E7B" w:rsidRPr="003B579B" w:rsidRDefault="00923E7B" w:rsidP="00923E7B"/>
    <w:p w14:paraId="04143291" w14:textId="77777777" w:rsidR="00923E7B" w:rsidRDefault="00923E7B" w:rsidP="00923E7B">
      <w:pPr>
        <w:pStyle w:val="Heading3"/>
      </w:pPr>
      <w:r>
        <w:lastRenderedPageBreak/>
        <w:t>1NC---CP</w:t>
      </w:r>
    </w:p>
    <w:p w14:paraId="15E49D06" w14:textId="77777777" w:rsidR="00923E7B" w:rsidRPr="004E443B" w:rsidRDefault="00923E7B" w:rsidP="00923E7B">
      <w:r>
        <w:t>CP-CRA</w:t>
      </w:r>
    </w:p>
    <w:p w14:paraId="7E68B96E" w14:textId="77777777" w:rsidR="00923E7B" w:rsidRDefault="00923E7B" w:rsidP="00923E7B">
      <w:pPr>
        <w:keepNext/>
        <w:keepLines/>
        <w:spacing w:before="40" w:after="0"/>
        <w:outlineLvl w:val="3"/>
        <w:rPr>
          <w:rFonts w:eastAsiaTheme="majorEastAsia" w:cstheme="majorBidi"/>
          <w:b/>
          <w:iCs/>
          <w:sz w:val="26"/>
        </w:rPr>
      </w:pPr>
      <w:r w:rsidRPr="00D24E0B">
        <w:rPr>
          <w:rFonts w:eastAsiaTheme="majorEastAsia" w:cstheme="majorBidi"/>
          <w:b/>
          <w:iCs/>
          <w:sz w:val="26"/>
        </w:rPr>
        <w:t xml:space="preserve">The United States executive branch should issue an interpretive rule stating that its statutory authority neither allows nor requires </w:t>
      </w:r>
      <w:r>
        <w:rPr>
          <w:rFonts w:eastAsiaTheme="majorEastAsia" w:cstheme="majorBidi"/>
          <w:b/>
          <w:iCs/>
          <w:sz w:val="26"/>
        </w:rPr>
        <w:t>legalizing secondary strikes.</w:t>
      </w:r>
    </w:p>
    <w:p w14:paraId="129EB164" w14:textId="77777777" w:rsidR="00923E7B" w:rsidRPr="003C0EAC" w:rsidRDefault="00923E7B" w:rsidP="00923E7B">
      <w:pPr>
        <w:keepNext/>
        <w:keepLines/>
        <w:spacing w:before="40" w:after="0"/>
        <w:outlineLvl w:val="3"/>
        <w:rPr>
          <w:rFonts w:eastAsiaTheme="majorEastAsia" w:cstheme="majorBidi"/>
          <w:b/>
          <w:iCs/>
          <w:sz w:val="26"/>
        </w:rPr>
      </w:pPr>
      <w:r w:rsidRPr="003C0EAC">
        <w:rPr>
          <w:rFonts w:eastAsiaTheme="majorEastAsia" w:cstheme="majorBidi"/>
          <w:b/>
          <w:iCs/>
          <w:sz w:val="26"/>
        </w:rPr>
        <w:t xml:space="preserve">The United States Congress should enact, and the President should sign, a resolution of disapproval of this rule pursuant to the Congressional Review Act. </w:t>
      </w:r>
    </w:p>
    <w:p w14:paraId="6D08098A" w14:textId="77777777" w:rsidR="00923E7B" w:rsidRPr="003C0EAC" w:rsidRDefault="00923E7B" w:rsidP="00923E7B">
      <w:pPr>
        <w:keepNext/>
        <w:keepLines/>
        <w:spacing w:before="40" w:after="0"/>
        <w:outlineLvl w:val="3"/>
        <w:rPr>
          <w:rFonts w:eastAsiaTheme="majorEastAsia" w:cstheme="majorBidi"/>
          <w:b/>
          <w:iCs/>
          <w:sz w:val="26"/>
        </w:rPr>
      </w:pPr>
      <w:r w:rsidRPr="003C0EAC">
        <w:rPr>
          <w:rFonts w:eastAsiaTheme="majorEastAsia" w:cstheme="majorBidi"/>
          <w:b/>
          <w:iCs/>
          <w:sz w:val="26"/>
        </w:rPr>
        <w:t xml:space="preserve">It </w:t>
      </w:r>
      <w:r w:rsidRPr="003C0EAC">
        <w:rPr>
          <w:rFonts w:eastAsiaTheme="majorEastAsia" w:cstheme="majorBidi"/>
          <w:b/>
          <w:iCs/>
          <w:sz w:val="26"/>
          <w:u w:val="single"/>
        </w:rPr>
        <w:t>solves</w:t>
      </w:r>
      <w:r w:rsidRPr="003C0EAC">
        <w:rPr>
          <w:rFonts w:eastAsiaTheme="majorEastAsia" w:cstheme="majorBidi"/>
          <w:b/>
          <w:iCs/>
          <w:sz w:val="26"/>
        </w:rPr>
        <w:t xml:space="preserve">---agencies and Congress can </w:t>
      </w:r>
      <w:r w:rsidRPr="003C0EAC">
        <w:rPr>
          <w:rFonts w:eastAsiaTheme="majorEastAsia" w:cstheme="majorBidi"/>
          <w:b/>
          <w:iCs/>
          <w:sz w:val="26"/>
          <w:u w:val="single"/>
        </w:rPr>
        <w:t>fast track</w:t>
      </w:r>
      <w:r w:rsidRPr="003C0EAC">
        <w:rPr>
          <w:rFonts w:eastAsiaTheme="majorEastAsia" w:cstheme="majorBidi"/>
          <w:b/>
          <w:iCs/>
          <w:sz w:val="26"/>
        </w:rPr>
        <w:t xml:space="preserve"> approval of statutory interpretations by making </w:t>
      </w:r>
      <w:r w:rsidRPr="003C0EAC">
        <w:rPr>
          <w:rFonts w:eastAsiaTheme="majorEastAsia" w:cstheme="majorBidi"/>
          <w:b/>
          <w:iCs/>
          <w:sz w:val="26"/>
          <w:u w:val="single"/>
        </w:rPr>
        <w:t>interpretive rules</w:t>
      </w:r>
      <w:r w:rsidRPr="003C0EAC">
        <w:rPr>
          <w:rFonts w:eastAsiaTheme="majorEastAsia" w:cstheme="majorBidi"/>
          <w:b/>
          <w:iCs/>
          <w:sz w:val="26"/>
        </w:rPr>
        <w:t xml:space="preserve"> that say the </w:t>
      </w:r>
      <w:r w:rsidRPr="003C0EAC">
        <w:rPr>
          <w:rFonts w:eastAsiaTheme="majorEastAsia" w:cstheme="majorBidi"/>
          <w:b/>
          <w:iCs/>
          <w:sz w:val="26"/>
          <w:u w:val="single"/>
        </w:rPr>
        <w:t>opposite</w:t>
      </w:r>
      <w:r w:rsidRPr="003C0EAC">
        <w:rPr>
          <w:rFonts w:eastAsiaTheme="majorEastAsia" w:cstheme="majorBidi"/>
          <w:b/>
          <w:iCs/>
          <w:sz w:val="26"/>
        </w:rPr>
        <w:t xml:space="preserve"> of the desired outcome, then </w:t>
      </w:r>
      <w:r w:rsidRPr="003C0EAC">
        <w:rPr>
          <w:rFonts w:eastAsiaTheme="majorEastAsia" w:cstheme="majorBidi"/>
          <w:b/>
          <w:iCs/>
          <w:sz w:val="26"/>
          <w:u w:val="single"/>
        </w:rPr>
        <w:t>disapproving</w:t>
      </w:r>
      <w:r w:rsidRPr="003C0EAC">
        <w:rPr>
          <w:rFonts w:eastAsiaTheme="majorEastAsia" w:cstheme="majorBidi"/>
          <w:b/>
          <w:iCs/>
          <w:sz w:val="26"/>
        </w:rPr>
        <w:t xml:space="preserve"> them via the CRA. That </w:t>
      </w:r>
      <w:r w:rsidRPr="003C0EAC">
        <w:rPr>
          <w:rFonts w:eastAsiaTheme="majorEastAsia" w:cstheme="majorBidi"/>
          <w:b/>
          <w:iCs/>
          <w:sz w:val="26"/>
          <w:u w:val="single"/>
        </w:rPr>
        <w:t>rebalances</w:t>
      </w:r>
      <w:r w:rsidRPr="003C0EAC">
        <w:rPr>
          <w:rFonts w:eastAsiaTheme="majorEastAsia" w:cstheme="majorBidi"/>
          <w:b/>
          <w:iCs/>
          <w:sz w:val="26"/>
        </w:rPr>
        <w:t xml:space="preserve"> statutory interpretation </w:t>
      </w:r>
      <w:r w:rsidRPr="003C0EAC">
        <w:rPr>
          <w:rFonts w:eastAsiaTheme="majorEastAsia" w:cstheme="majorBidi"/>
          <w:b/>
          <w:iCs/>
          <w:sz w:val="26"/>
          <w:u w:val="single"/>
        </w:rPr>
        <w:t>away</w:t>
      </w:r>
      <w:r w:rsidRPr="003C0EAC">
        <w:rPr>
          <w:rFonts w:eastAsiaTheme="majorEastAsia" w:cstheme="majorBidi"/>
          <w:b/>
          <w:iCs/>
          <w:sz w:val="26"/>
        </w:rPr>
        <w:t xml:space="preserve"> from courts, and </w:t>
      </w:r>
      <w:r w:rsidRPr="003C0EAC">
        <w:rPr>
          <w:rFonts w:eastAsiaTheme="majorEastAsia" w:cstheme="majorBidi"/>
          <w:b/>
          <w:iCs/>
          <w:sz w:val="26"/>
          <w:u w:val="single"/>
        </w:rPr>
        <w:t>never</w:t>
      </w:r>
      <w:r w:rsidRPr="003C0EAC">
        <w:rPr>
          <w:rFonts w:eastAsiaTheme="majorEastAsia" w:cstheme="majorBidi"/>
          <w:b/>
          <w:iCs/>
          <w:sz w:val="26"/>
        </w:rPr>
        <w:t xml:space="preserve"> fiats the plan. </w:t>
      </w:r>
    </w:p>
    <w:p w14:paraId="6862E685" w14:textId="77777777" w:rsidR="00923E7B" w:rsidRPr="003C0EAC" w:rsidRDefault="00923E7B" w:rsidP="00923E7B">
      <w:r w:rsidRPr="003C0EAC">
        <w:t xml:space="preserve">Jody </w:t>
      </w:r>
      <w:r w:rsidRPr="003C0EAC">
        <w:rPr>
          <w:b/>
          <w:bCs/>
          <w:sz w:val="26"/>
        </w:rPr>
        <w:t>Freeman 22</w:t>
      </w:r>
      <w:r w:rsidRPr="003C0EAC">
        <w:t xml:space="preserve">, the Archibald Cox Professor of Law, Harvard Law School; and Matthew C. </w:t>
      </w:r>
      <w:r w:rsidRPr="003C0EAC">
        <w:rPr>
          <w:b/>
          <w:bCs/>
        </w:rPr>
        <w:t>Stephenson</w:t>
      </w:r>
      <w:r w:rsidRPr="003C0EAC">
        <w:t>, the Eli Goldston Professor of Law, Harvard Law School, 2022, “The Untapped Potential of the Congressional Review Act,” Harvard Journal on Legislation, Vol. 59, pp. 279-327</w:t>
      </w:r>
    </w:p>
    <w:p w14:paraId="35327208" w14:textId="77777777" w:rsidR="00923E7B" w:rsidRPr="00220A65" w:rsidRDefault="00923E7B" w:rsidP="00923E7B">
      <w:pPr>
        <w:rPr>
          <w:sz w:val="16"/>
        </w:rPr>
      </w:pPr>
      <w:r w:rsidRPr="00220A65">
        <w:rPr>
          <w:highlight w:val="cyan"/>
          <w:u w:val="single"/>
        </w:rPr>
        <w:t>Imagine</w:t>
      </w:r>
      <w:r w:rsidRPr="00220A65">
        <w:rPr>
          <w:sz w:val="16"/>
        </w:rPr>
        <w:t xml:space="preserve"> there was </w:t>
      </w:r>
      <w:r w:rsidRPr="00220A65">
        <w:rPr>
          <w:highlight w:val="cyan"/>
          <w:u w:val="single"/>
        </w:rPr>
        <w:t>a statute</w:t>
      </w:r>
      <w:r w:rsidRPr="00220A65">
        <w:rPr>
          <w:u w:val="single"/>
        </w:rPr>
        <w:t xml:space="preserve"> that </w:t>
      </w:r>
      <w:r w:rsidRPr="00220A65">
        <w:rPr>
          <w:highlight w:val="cyan"/>
          <w:u w:val="single"/>
        </w:rPr>
        <w:t>allowed</w:t>
      </w:r>
      <w:r w:rsidRPr="00220A65">
        <w:rPr>
          <w:sz w:val="16"/>
        </w:rPr>
        <w:t xml:space="preserve"> federal </w:t>
      </w:r>
      <w:r w:rsidRPr="00220A65">
        <w:rPr>
          <w:highlight w:val="cyan"/>
          <w:u w:val="single"/>
        </w:rPr>
        <w:t>agencies to</w:t>
      </w:r>
      <w:r w:rsidRPr="00220A65">
        <w:rPr>
          <w:sz w:val="16"/>
        </w:rPr>
        <w:t xml:space="preserve"> seek and </w:t>
      </w:r>
      <w:r w:rsidRPr="00220A65">
        <w:rPr>
          <w:b/>
          <w:iCs/>
          <w:highlight w:val="cyan"/>
          <w:u w:val="single"/>
          <w:bdr w:val="single" w:sz="8" w:space="0" w:color="auto"/>
        </w:rPr>
        <w:t>prompt</w:t>
      </w:r>
      <w:r w:rsidRPr="00220A65">
        <w:rPr>
          <w:u w:val="single"/>
        </w:rPr>
        <w:t xml:space="preserve">ly receive </w:t>
      </w:r>
      <w:r w:rsidRPr="00220A65">
        <w:rPr>
          <w:b/>
          <w:iCs/>
          <w:u w:val="single"/>
          <w:bdr w:val="single" w:sz="8" w:space="0" w:color="auto"/>
        </w:rPr>
        <w:t xml:space="preserve">from Congress </w:t>
      </w:r>
      <w:r w:rsidRPr="00220A65">
        <w:rPr>
          <w:b/>
          <w:iCs/>
          <w:highlight w:val="cyan"/>
          <w:u w:val="single"/>
          <w:bdr w:val="single" w:sz="8" w:space="0" w:color="auto"/>
        </w:rPr>
        <w:t>formal endorsements</w:t>
      </w:r>
      <w:r w:rsidRPr="00220A65">
        <w:rPr>
          <w:highlight w:val="cyan"/>
          <w:u w:val="single"/>
        </w:rPr>
        <w:t xml:space="preserve"> of</w:t>
      </w:r>
      <w:r w:rsidRPr="00220A65">
        <w:rPr>
          <w:u w:val="single"/>
        </w:rPr>
        <w:t xml:space="preserve"> their statutory </w:t>
      </w:r>
      <w:r w:rsidRPr="00220A65">
        <w:rPr>
          <w:b/>
          <w:iCs/>
          <w:highlight w:val="cyan"/>
          <w:u w:val="single"/>
          <w:bdr w:val="single" w:sz="8" w:space="0" w:color="auto"/>
        </w:rPr>
        <w:t>interp</w:t>
      </w:r>
      <w:r w:rsidRPr="00220A65">
        <w:rPr>
          <w:u w:val="single"/>
        </w:rPr>
        <w:t>retation</w:t>
      </w:r>
      <w:r w:rsidRPr="00220A65">
        <w:rPr>
          <w:b/>
          <w:iCs/>
          <w:highlight w:val="cyan"/>
          <w:u w:val="single"/>
          <w:bdr w:val="single" w:sz="8" w:space="0" w:color="auto"/>
        </w:rPr>
        <w:t>s</w:t>
      </w:r>
      <w:r w:rsidRPr="00220A65">
        <w:rPr>
          <w:sz w:val="16"/>
        </w:rPr>
        <w:t xml:space="preserve">— and that Congress could provide such endorsements </w:t>
      </w:r>
      <w:r w:rsidRPr="00220A65">
        <w:rPr>
          <w:u w:val="single"/>
        </w:rPr>
        <w:t xml:space="preserve">via </w:t>
      </w:r>
      <w:r w:rsidRPr="00220A65">
        <w:rPr>
          <w:b/>
          <w:iCs/>
          <w:u w:val="single"/>
          <w:bdr w:val="single" w:sz="8" w:space="0" w:color="auto"/>
        </w:rPr>
        <w:t>special fast-track procedures</w:t>
      </w:r>
      <w:r w:rsidRPr="00220A65">
        <w:rPr>
          <w:u w:val="single"/>
        </w:rPr>
        <w:t xml:space="preserve"> </w:t>
      </w:r>
      <w:r w:rsidRPr="00220A65">
        <w:rPr>
          <w:highlight w:val="cyan"/>
          <w:u w:val="single"/>
        </w:rPr>
        <w:t>requiring</w:t>
      </w:r>
      <w:r w:rsidRPr="00220A65">
        <w:rPr>
          <w:u w:val="single"/>
        </w:rPr>
        <w:t xml:space="preserve"> only a simple </w:t>
      </w:r>
      <w:r w:rsidRPr="00220A65">
        <w:rPr>
          <w:highlight w:val="cyan"/>
          <w:u w:val="single"/>
        </w:rPr>
        <w:t>majority</w:t>
      </w:r>
      <w:r w:rsidRPr="00220A65">
        <w:rPr>
          <w:u w:val="single"/>
        </w:rPr>
        <w:t xml:space="preserve"> vote, </w:t>
      </w:r>
      <w:r w:rsidRPr="00220A65">
        <w:rPr>
          <w:b/>
          <w:iCs/>
          <w:highlight w:val="cyan"/>
          <w:u w:val="single"/>
          <w:bdr w:val="single" w:sz="8" w:space="0" w:color="auto"/>
        </w:rPr>
        <w:t>without</w:t>
      </w:r>
      <w:r w:rsidRPr="00220A65">
        <w:rPr>
          <w:sz w:val="16"/>
        </w:rPr>
        <w:t xml:space="preserve"> the possibility of </w:t>
      </w:r>
      <w:r w:rsidRPr="00220A65">
        <w:rPr>
          <w:b/>
          <w:iCs/>
          <w:highlight w:val="cyan"/>
          <w:u w:val="single"/>
          <w:bdr w:val="single" w:sz="8" w:space="0" w:color="auto"/>
        </w:rPr>
        <w:t>filibuster</w:t>
      </w:r>
      <w:r w:rsidRPr="00220A65">
        <w:rPr>
          <w:b/>
          <w:iCs/>
          <w:u w:val="single"/>
          <w:bdr w:val="single" w:sz="8" w:space="0" w:color="auto"/>
        </w:rPr>
        <w:t xml:space="preserve"> or amendment</w:t>
      </w:r>
      <w:r w:rsidRPr="00220A65">
        <w:rPr>
          <w:u w:val="single"/>
        </w:rPr>
        <w:t>. This</w:t>
      </w:r>
      <w:r w:rsidRPr="00220A65">
        <w:rPr>
          <w:sz w:val="16"/>
        </w:rPr>
        <w:t xml:space="preserve"> expedited process </w:t>
      </w:r>
      <w:r w:rsidRPr="00220A65">
        <w:rPr>
          <w:u w:val="single"/>
        </w:rPr>
        <w:t xml:space="preserve">would make it </w:t>
      </w:r>
      <w:r w:rsidRPr="00220A65">
        <w:rPr>
          <w:highlight w:val="cyan"/>
          <w:u w:val="single"/>
        </w:rPr>
        <w:t>easier</w:t>
      </w:r>
      <w:r w:rsidRPr="00220A65">
        <w:rPr>
          <w:u w:val="single"/>
        </w:rPr>
        <w:t xml:space="preserve"> for agencies </w:t>
      </w:r>
      <w:r w:rsidRPr="00220A65">
        <w:rPr>
          <w:highlight w:val="cyan"/>
          <w:u w:val="single"/>
        </w:rPr>
        <w:t xml:space="preserve">to </w:t>
      </w:r>
      <w:r w:rsidRPr="00220A65">
        <w:rPr>
          <w:b/>
          <w:iCs/>
          <w:highlight w:val="cyan"/>
          <w:u w:val="single"/>
          <w:bdr w:val="single" w:sz="8" w:space="0" w:color="auto"/>
        </w:rPr>
        <w:t>resolve uncertainties</w:t>
      </w:r>
      <w:r w:rsidRPr="00220A65">
        <w:rPr>
          <w:u w:val="single"/>
        </w:rPr>
        <w:t xml:space="preserve"> about their legal authority</w:t>
      </w:r>
      <w:r w:rsidRPr="00220A65">
        <w:rPr>
          <w:sz w:val="16"/>
        </w:rPr>
        <w:t xml:space="preserve">—uncertainties </w:t>
      </w:r>
      <w:r w:rsidRPr="00220A65">
        <w:rPr>
          <w:highlight w:val="cyan"/>
          <w:u w:val="single"/>
        </w:rPr>
        <w:t>that</w:t>
      </w:r>
      <w:r w:rsidRPr="00220A65">
        <w:rPr>
          <w:u w:val="single"/>
        </w:rPr>
        <w:t xml:space="preserve"> have </w:t>
      </w:r>
      <w:r w:rsidRPr="00220A65">
        <w:rPr>
          <w:highlight w:val="cyan"/>
          <w:u w:val="single"/>
        </w:rPr>
        <w:t>multiplied as</w:t>
      </w:r>
      <w:r w:rsidRPr="00220A65">
        <w:rPr>
          <w:u w:val="single"/>
        </w:rPr>
        <w:t xml:space="preserve"> agencies increasingly interpret </w:t>
      </w:r>
      <w:r w:rsidRPr="00220A65">
        <w:rPr>
          <w:highlight w:val="cyan"/>
          <w:u w:val="single"/>
        </w:rPr>
        <w:t>old statutes</w:t>
      </w:r>
      <w:r w:rsidRPr="00220A65">
        <w:rPr>
          <w:u w:val="single"/>
        </w:rPr>
        <w:t xml:space="preserve"> to </w:t>
      </w:r>
      <w:r w:rsidRPr="00220A65">
        <w:rPr>
          <w:highlight w:val="cyan"/>
          <w:u w:val="single"/>
        </w:rPr>
        <w:t>confront new problems</w:t>
      </w:r>
      <w:r w:rsidRPr="00220A65">
        <w:rPr>
          <w:sz w:val="16"/>
        </w:rPr>
        <w:t xml:space="preserve">.1 By </w:t>
      </w:r>
      <w:r w:rsidRPr="00220A65">
        <w:rPr>
          <w:u w:val="single"/>
        </w:rPr>
        <w:t>enabling Congress to weigh in quickly to resolve questions of statutory meaning</w:t>
      </w:r>
      <w:r w:rsidRPr="00220A65">
        <w:rPr>
          <w:sz w:val="16"/>
        </w:rPr>
        <w:t xml:space="preserve">, such a </w:t>
      </w:r>
      <w:r w:rsidRPr="00220A65">
        <w:rPr>
          <w:highlight w:val="cyan"/>
          <w:u w:val="single"/>
        </w:rPr>
        <w:t xml:space="preserve">mechanism could </w:t>
      </w:r>
      <w:r w:rsidRPr="00220A65">
        <w:rPr>
          <w:b/>
          <w:iCs/>
          <w:highlight w:val="cyan"/>
          <w:u w:val="single"/>
          <w:bdr w:val="single" w:sz="8" w:space="0" w:color="auto"/>
        </w:rPr>
        <w:t>fundamentally re-balance</w:t>
      </w:r>
      <w:r w:rsidRPr="00220A65">
        <w:rPr>
          <w:sz w:val="16"/>
        </w:rPr>
        <w:t xml:space="preserve"> the respective </w:t>
      </w:r>
      <w:r w:rsidRPr="00220A65">
        <w:rPr>
          <w:u w:val="single"/>
        </w:rPr>
        <w:t xml:space="preserve">roles of </w:t>
      </w:r>
      <w:r w:rsidRPr="00220A65">
        <w:rPr>
          <w:b/>
          <w:iCs/>
          <w:highlight w:val="cyan"/>
          <w:u w:val="single"/>
          <w:bdr w:val="single" w:sz="8" w:space="0" w:color="auto"/>
        </w:rPr>
        <w:t>Congress and</w:t>
      </w:r>
      <w:r w:rsidRPr="00220A65">
        <w:rPr>
          <w:u w:val="single"/>
        </w:rPr>
        <w:t xml:space="preserve"> the </w:t>
      </w:r>
      <w:r w:rsidRPr="00220A65">
        <w:rPr>
          <w:b/>
          <w:iCs/>
          <w:highlight w:val="cyan"/>
          <w:u w:val="single"/>
          <w:bdr w:val="single" w:sz="8" w:space="0" w:color="auto"/>
        </w:rPr>
        <w:t>courts</w:t>
      </w:r>
      <w:r w:rsidRPr="00220A65">
        <w:rPr>
          <w:u w:val="single"/>
        </w:rPr>
        <w:t xml:space="preserve"> in </w:t>
      </w:r>
      <w:r w:rsidRPr="00220A65">
        <w:rPr>
          <w:b/>
          <w:iCs/>
          <w:highlight w:val="cyan"/>
          <w:u w:val="single"/>
          <w:bdr w:val="single" w:sz="8" w:space="0" w:color="auto"/>
        </w:rPr>
        <w:t>shaping</w:t>
      </w:r>
      <w:r w:rsidRPr="00220A65">
        <w:rPr>
          <w:u w:val="single"/>
        </w:rPr>
        <w:t xml:space="preserve"> and constraining agency </w:t>
      </w:r>
      <w:r w:rsidRPr="00220A65">
        <w:rPr>
          <w:b/>
          <w:iCs/>
          <w:highlight w:val="cyan"/>
          <w:u w:val="single"/>
          <w:bdr w:val="single" w:sz="8" w:space="0" w:color="auto"/>
        </w:rPr>
        <w:t>policy</w:t>
      </w:r>
      <w:r w:rsidRPr="00220A65">
        <w:rPr>
          <w:u w:val="single"/>
        </w:rPr>
        <w:t>making</w:t>
      </w:r>
      <w:r w:rsidRPr="00220A65">
        <w:rPr>
          <w:sz w:val="16"/>
        </w:rPr>
        <w:t xml:space="preserve">. Moreover, </w:t>
      </w:r>
      <w:r w:rsidRPr="00220A65">
        <w:rPr>
          <w:u w:val="single"/>
        </w:rPr>
        <w:t>this tool could be used by agencies, in collaboration with sympathetic congressional majorities, to amend—rather than merely clarify—the relevant statutes</w:t>
      </w:r>
      <w:r w:rsidRPr="00220A65">
        <w:rPr>
          <w:sz w:val="16"/>
        </w:rPr>
        <w:t xml:space="preserve">. After all, </w:t>
      </w:r>
      <w:r w:rsidRPr="00220A65">
        <w:rPr>
          <w:highlight w:val="cyan"/>
          <w:u w:val="single"/>
        </w:rPr>
        <w:t>if</w:t>
      </w:r>
      <w:r w:rsidRPr="00220A65">
        <w:rPr>
          <w:u w:val="single"/>
        </w:rPr>
        <w:t xml:space="preserve"> an </w:t>
      </w:r>
      <w:r w:rsidRPr="00220A65">
        <w:rPr>
          <w:highlight w:val="cyan"/>
          <w:u w:val="single"/>
        </w:rPr>
        <w:t>agency</w:t>
      </w:r>
      <w:r w:rsidRPr="00220A65">
        <w:rPr>
          <w:u w:val="single"/>
        </w:rPr>
        <w:t xml:space="preserve"> proposed an interpretation that </w:t>
      </w:r>
      <w:r w:rsidRPr="00220A65">
        <w:rPr>
          <w:highlight w:val="cyan"/>
          <w:u w:val="single"/>
        </w:rPr>
        <w:t>contravened</w:t>
      </w:r>
      <w:r w:rsidRPr="00220A65">
        <w:rPr>
          <w:u w:val="single"/>
        </w:rPr>
        <w:t xml:space="preserve"> the </w:t>
      </w:r>
      <w:r w:rsidRPr="00220A65">
        <w:rPr>
          <w:highlight w:val="cyan"/>
          <w:u w:val="single"/>
        </w:rPr>
        <w:t>existing</w:t>
      </w:r>
      <w:r w:rsidRPr="00220A65">
        <w:rPr>
          <w:u w:val="single"/>
        </w:rPr>
        <w:t xml:space="preserve"> statutory </w:t>
      </w:r>
      <w:r w:rsidRPr="00220A65">
        <w:rPr>
          <w:highlight w:val="cyan"/>
          <w:u w:val="single"/>
        </w:rPr>
        <w:t xml:space="preserve">text, but </w:t>
      </w:r>
      <w:r w:rsidRPr="00220A65">
        <w:rPr>
          <w:b/>
          <w:iCs/>
          <w:highlight w:val="cyan"/>
          <w:u w:val="single"/>
          <w:bdr w:val="single" w:sz="8" w:space="0" w:color="auto"/>
        </w:rPr>
        <w:t>Congress</w:t>
      </w:r>
      <w:r w:rsidRPr="00220A65">
        <w:rPr>
          <w:b/>
          <w:iCs/>
          <w:u w:val="single"/>
          <w:bdr w:val="single" w:sz="8" w:space="0" w:color="auto"/>
        </w:rPr>
        <w:t xml:space="preserve"> subsequently </w:t>
      </w:r>
      <w:r w:rsidRPr="00220A65">
        <w:rPr>
          <w:b/>
          <w:iCs/>
          <w:highlight w:val="cyan"/>
          <w:u w:val="single"/>
          <w:bdr w:val="single" w:sz="8" w:space="0" w:color="auto"/>
        </w:rPr>
        <w:t>endorsed</w:t>
      </w:r>
      <w:r w:rsidRPr="00220A65">
        <w:rPr>
          <w:highlight w:val="cyan"/>
          <w:u w:val="single"/>
        </w:rPr>
        <w:t xml:space="preserve"> that</w:t>
      </w:r>
      <w:r w:rsidRPr="00220A65">
        <w:rPr>
          <w:u w:val="single"/>
        </w:rPr>
        <w:t xml:space="preserve"> interpretation through a formal exercise of legislative power, Congress </w:t>
      </w:r>
      <w:r w:rsidRPr="00220A65">
        <w:rPr>
          <w:b/>
          <w:iCs/>
          <w:highlight w:val="cyan"/>
          <w:u w:val="single"/>
          <w:bdr w:val="single" w:sz="8" w:space="0" w:color="auto"/>
        </w:rPr>
        <w:t>effectively</w:t>
      </w:r>
      <w:r w:rsidRPr="00220A65">
        <w:rPr>
          <w:highlight w:val="cyan"/>
          <w:u w:val="single"/>
        </w:rPr>
        <w:t xml:space="preserve"> would</w:t>
      </w:r>
      <w:r w:rsidRPr="00220A65">
        <w:rPr>
          <w:u w:val="single"/>
        </w:rPr>
        <w:t xml:space="preserve"> have </w:t>
      </w:r>
      <w:r w:rsidRPr="00220A65">
        <w:rPr>
          <w:b/>
          <w:iCs/>
          <w:highlight w:val="cyan"/>
          <w:u w:val="single"/>
          <w:bdr w:val="single" w:sz="8" w:space="0" w:color="auto"/>
        </w:rPr>
        <w:t>amend</w:t>
      </w:r>
      <w:r w:rsidRPr="00220A65">
        <w:rPr>
          <w:u w:val="single"/>
        </w:rPr>
        <w:t xml:space="preserve">ed the </w:t>
      </w:r>
      <w:r w:rsidRPr="00220A65">
        <w:rPr>
          <w:highlight w:val="cyan"/>
          <w:u w:val="single"/>
        </w:rPr>
        <w:t>statute</w:t>
      </w:r>
      <w:r w:rsidRPr="00220A65">
        <w:rPr>
          <w:u w:val="single"/>
        </w:rPr>
        <w:t xml:space="preserve"> to </w:t>
      </w:r>
      <w:r w:rsidRPr="00220A65">
        <w:rPr>
          <w:b/>
          <w:iCs/>
          <w:u w:val="single"/>
          <w:bdr w:val="single" w:sz="8" w:space="0" w:color="auto"/>
        </w:rPr>
        <w:t>permit the agency’s proposed interpretation</w:t>
      </w:r>
      <w:r w:rsidRPr="00220A65">
        <w:rPr>
          <w:sz w:val="16"/>
        </w:rPr>
        <w:t>.</w:t>
      </w:r>
    </w:p>
    <w:p w14:paraId="6B4D5E17" w14:textId="77777777" w:rsidR="00923E7B" w:rsidRPr="00220A65" w:rsidRDefault="00923E7B" w:rsidP="00923E7B">
      <w:pPr>
        <w:rPr>
          <w:sz w:val="16"/>
        </w:rPr>
      </w:pPr>
      <w:r w:rsidRPr="00220A65">
        <w:rPr>
          <w:sz w:val="16"/>
        </w:rPr>
        <w:t xml:space="preserve">No special framework law is required for agencies to request, or for Congress to adopt, legislation clarifying or amending a statute.2 But as a practical matter, </w:t>
      </w:r>
      <w:r w:rsidRPr="00220A65">
        <w:rPr>
          <w:b/>
          <w:iCs/>
          <w:u w:val="single"/>
          <w:bdr w:val="single" w:sz="8" w:space="0" w:color="auto"/>
        </w:rPr>
        <w:t>numerous features</w:t>
      </w:r>
      <w:r w:rsidRPr="00220A65">
        <w:rPr>
          <w:u w:val="single"/>
        </w:rPr>
        <w:t xml:space="preserve"> of the legislative process make it </w:t>
      </w:r>
      <w:r w:rsidRPr="00220A65">
        <w:rPr>
          <w:b/>
          <w:iCs/>
          <w:u w:val="single"/>
          <w:bdr w:val="single" w:sz="8" w:space="0" w:color="auto"/>
        </w:rPr>
        <w:t>very hard</w:t>
      </w:r>
      <w:r w:rsidRPr="00220A65">
        <w:rPr>
          <w:u w:val="single"/>
        </w:rPr>
        <w:t xml:space="preserve"> for agencies to secure formal legislative endorsement of their legal views, even when majorities in both chambers of Congress are supportive</w:t>
      </w:r>
      <w:r w:rsidRPr="00220A65">
        <w:rPr>
          <w:sz w:val="16"/>
        </w:rPr>
        <w:t xml:space="preserve">. The </w:t>
      </w:r>
      <w:r w:rsidRPr="00220A65">
        <w:rPr>
          <w:b/>
          <w:iCs/>
          <w:u w:val="single"/>
          <w:bdr w:val="single" w:sz="8" w:space="0" w:color="auto"/>
        </w:rPr>
        <w:t>greatest obstacle</w:t>
      </w:r>
      <w:r w:rsidRPr="00220A65">
        <w:rPr>
          <w:u w:val="single"/>
        </w:rPr>
        <w:t xml:space="preserve"> is</w:t>
      </w:r>
      <w:r w:rsidRPr="00220A65">
        <w:rPr>
          <w:sz w:val="16"/>
        </w:rPr>
        <w:t xml:space="preserve"> almost certainly </w:t>
      </w:r>
      <w:r w:rsidRPr="00220A65">
        <w:rPr>
          <w:u w:val="single"/>
        </w:rPr>
        <w:t>the Senate filibuster, but there are others</w:t>
      </w:r>
      <w:r w:rsidRPr="00220A65">
        <w:rPr>
          <w:sz w:val="16"/>
        </w:rPr>
        <w:t xml:space="preserve"> as well, </w:t>
      </w:r>
      <w:r w:rsidRPr="00220A65">
        <w:rPr>
          <w:u w:val="single"/>
        </w:rPr>
        <w:t>including</w:t>
      </w:r>
      <w:r w:rsidRPr="00220A65">
        <w:rPr>
          <w:sz w:val="16"/>
        </w:rPr>
        <w:t xml:space="preserve"> the </w:t>
      </w:r>
      <w:r w:rsidRPr="00220A65">
        <w:rPr>
          <w:u w:val="single"/>
        </w:rPr>
        <w:t>possibility</w:t>
      </w:r>
      <w:r w:rsidRPr="00220A65">
        <w:rPr>
          <w:sz w:val="16"/>
        </w:rPr>
        <w:t xml:space="preserve"> that </w:t>
      </w:r>
      <w:r w:rsidRPr="00220A65">
        <w:rPr>
          <w:u w:val="single"/>
        </w:rPr>
        <w:t>a proposal will get bottled up in committee or bogged down with amendments</w:t>
      </w:r>
      <w:r w:rsidRPr="00220A65">
        <w:rPr>
          <w:sz w:val="16"/>
        </w:rPr>
        <w:t xml:space="preserve">. For these reasons, </w:t>
      </w:r>
      <w:r w:rsidRPr="00220A65">
        <w:rPr>
          <w:u w:val="single"/>
        </w:rPr>
        <w:t xml:space="preserve">Congress </w:t>
      </w:r>
      <w:r w:rsidRPr="00220A65">
        <w:rPr>
          <w:b/>
          <w:iCs/>
          <w:u w:val="single"/>
          <w:bdr w:val="single" w:sz="8" w:space="0" w:color="auto"/>
        </w:rPr>
        <w:t>rarely</w:t>
      </w:r>
      <w:r w:rsidRPr="00220A65">
        <w:rPr>
          <w:u w:val="single"/>
        </w:rPr>
        <w:t xml:space="preserve"> uses its formal Article I powers to </w:t>
      </w:r>
      <w:r w:rsidRPr="00220A65">
        <w:rPr>
          <w:b/>
          <w:iCs/>
          <w:u w:val="single"/>
          <w:bdr w:val="single" w:sz="8" w:space="0" w:color="auto"/>
        </w:rPr>
        <w:t>confirm administrative agencies’ interpretive positions</w:t>
      </w:r>
      <w:r w:rsidRPr="00220A65">
        <w:rPr>
          <w:u w:val="single"/>
        </w:rPr>
        <w:t>, even during</w:t>
      </w:r>
      <w:r w:rsidRPr="00220A65">
        <w:rPr>
          <w:sz w:val="16"/>
        </w:rPr>
        <w:t xml:space="preserve"> periods of </w:t>
      </w:r>
      <w:r w:rsidRPr="00220A65">
        <w:rPr>
          <w:u w:val="single"/>
        </w:rPr>
        <w:t>unified government</w:t>
      </w:r>
      <w:r w:rsidRPr="00220A65">
        <w:rPr>
          <w:sz w:val="16"/>
        </w:rPr>
        <w:t xml:space="preserve">.3 </w:t>
      </w:r>
      <w:r w:rsidRPr="00220A65">
        <w:rPr>
          <w:u w:val="single"/>
        </w:rPr>
        <w:t xml:space="preserve">A framework statute that </w:t>
      </w:r>
      <w:r w:rsidRPr="00220A65">
        <w:rPr>
          <w:b/>
          <w:iCs/>
          <w:u w:val="single"/>
          <w:bdr w:val="single" w:sz="8" w:space="0" w:color="auto"/>
        </w:rPr>
        <w:t>guaranteed</w:t>
      </w:r>
      <w:r w:rsidRPr="00220A65">
        <w:rPr>
          <w:u w:val="single"/>
        </w:rPr>
        <w:t xml:space="preserve"> a fast-track, filibuster-proof, amendment-free, up-or-down majority vote on whether to endorse an agency’s</w:t>
      </w:r>
      <w:r w:rsidRPr="00220A65">
        <w:rPr>
          <w:sz w:val="16"/>
        </w:rPr>
        <w:t xml:space="preserve"> proposed </w:t>
      </w:r>
      <w:r w:rsidRPr="00220A65">
        <w:rPr>
          <w:u w:val="single"/>
        </w:rPr>
        <w:t>interpretation of its legal authority would</w:t>
      </w:r>
      <w:r w:rsidRPr="00220A65">
        <w:rPr>
          <w:sz w:val="16"/>
        </w:rPr>
        <w:t xml:space="preserve"> therefore </w:t>
      </w:r>
      <w:r w:rsidRPr="00220A65">
        <w:rPr>
          <w:b/>
          <w:iCs/>
          <w:u w:val="single"/>
          <w:bdr w:val="single" w:sz="8" w:space="0" w:color="auto"/>
        </w:rPr>
        <w:t>be a game changer</w:t>
      </w:r>
      <w:r w:rsidRPr="00220A65">
        <w:rPr>
          <w:sz w:val="16"/>
        </w:rPr>
        <w:t>.</w:t>
      </w:r>
    </w:p>
    <w:p w14:paraId="121F999C" w14:textId="77777777" w:rsidR="00923E7B" w:rsidRPr="00220A65" w:rsidRDefault="00923E7B" w:rsidP="00923E7B">
      <w:pPr>
        <w:rPr>
          <w:sz w:val="16"/>
        </w:rPr>
      </w:pPr>
      <w:r w:rsidRPr="00220A65">
        <w:rPr>
          <w:sz w:val="16"/>
        </w:rPr>
        <w:t xml:space="preserve">It turns out that </w:t>
      </w:r>
      <w:r w:rsidRPr="00220A65">
        <w:rPr>
          <w:b/>
          <w:iCs/>
          <w:highlight w:val="cyan"/>
          <w:u w:val="single"/>
          <w:bdr w:val="single" w:sz="8" w:space="0" w:color="auto"/>
        </w:rPr>
        <w:t>this</w:t>
      </w:r>
      <w:r w:rsidRPr="00220A65">
        <w:rPr>
          <w:b/>
          <w:iCs/>
          <w:u w:val="single"/>
          <w:bdr w:val="single" w:sz="8" w:space="0" w:color="auto"/>
        </w:rPr>
        <w:t xml:space="preserve"> framework law </w:t>
      </w:r>
      <w:r w:rsidRPr="00220A65">
        <w:rPr>
          <w:b/>
          <w:iCs/>
          <w:highlight w:val="cyan"/>
          <w:u w:val="single"/>
          <w:bdr w:val="single" w:sz="8" w:space="0" w:color="auto"/>
        </w:rPr>
        <w:t>already exists</w:t>
      </w:r>
      <w:r w:rsidRPr="00220A65">
        <w:rPr>
          <w:u w:val="single"/>
        </w:rPr>
        <w:t xml:space="preserve">, though </w:t>
      </w:r>
      <w:r w:rsidRPr="00220A65">
        <w:rPr>
          <w:b/>
          <w:iCs/>
          <w:highlight w:val="cyan"/>
          <w:u w:val="single"/>
          <w:bdr w:val="single" w:sz="8" w:space="0" w:color="auto"/>
        </w:rPr>
        <w:t>nobody</w:t>
      </w:r>
      <w:r w:rsidRPr="00220A65">
        <w:rPr>
          <w:sz w:val="16"/>
        </w:rPr>
        <w:t xml:space="preserve"> seems to have </w:t>
      </w:r>
      <w:r w:rsidRPr="00220A65">
        <w:rPr>
          <w:b/>
          <w:iCs/>
          <w:highlight w:val="cyan"/>
          <w:u w:val="single"/>
          <w:bdr w:val="single" w:sz="8" w:space="0" w:color="auto"/>
        </w:rPr>
        <w:t>noticed</w:t>
      </w:r>
      <w:r w:rsidRPr="00220A65">
        <w:rPr>
          <w:u w:val="single"/>
        </w:rPr>
        <w:t xml:space="preserve">. That law is the </w:t>
      </w:r>
      <w:r w:rsidRPr="00220A65">
        <w:rPr>
          <w:b/>
          <w:iCs/>
          <w:u w:val="single"/>
          <w:bdr w:val="single" w:sz="8" w:space="0" w:color="auto"/>
        </w:rPr>
        <w:t>Congressional Review Act</w:t>
      </w:r>
      <w:r w:rsidRPr="00220A65">
        <w:rPr>
          <w:sz w:val="16"/>
        </w:rPr>
        <w:t xml:space="preserve"> (“</w:t>
      </w:r>
      <w:r w:rsidRPr="00220A65">
        <w:rPr>
          <w:b/>
          <w:iCs/>
          <w:highlight w:val="cyan"/>
          <w:u w:val="single"/>
          <w:bdr w:val="single" w:sz="8" w:space="0" w:color="auto"/>
        </w:rPr>
        <w:t>CRA</w:t>
      </w:r>
      <w:r w:rsidRPr="00220A65">
        <w:rPr>
          <w:sz w:val="16"/>
        </w:rPr>
        <w:t xml:space="preserve">”).4 The CRA, enacted in 1996 as part of the Small Business Regulatory Enforcement Fairness Act,5 </w:t>
      </w:r>
      <w:r w:rsidRPr="00220A65">
        <w:rPr>
          <w:highlight w:val="cyan"/>
          <w:u w:val="single"/>
        </w:rPr>
        <w:t>authorizes</w:t>
      </w:r>
      <w:r w:rsidRPr="00220A65">
        <w:rPr>
          <w:u w:val="single"/>
        </w:rPr>
        <w:t xml:space="preserve"> special </w:t>
      </w:r>
      <w:r w:rsidRPr="00220A65">
        <w:rPr>
          <w:highlight w:val="cyan"/>
          <w:u w:val="single"/>
        </w:rPr>
        <w:t>fast-track</w:t>
      </w:r>
      <w:r w:rsidRPr="00220A65">
        <w:rPr>
          <w:u w:val="single"/>
        </w:rPr>
        <w:t xml:space="preserve"> procedures for Congress to pass a joint </w:t>
      </w:r>
      <w:r w:rsidRPr="00220A65">
        <w:rPr>
          <w:highlight w:val="cyan"/>
          <w:u w:val="single"/>
        </w:rPr>
        <w:t xml:space="preserve">resolution </w:t>
      </w:r>
      <w:r w:rsidRPr="00220A65">
        <w:rPr>
          <w:b/>
          <w:iCs/>
          <w:highlight w:val="cyan"/>
          <w:u w:val="single"/>
          <w:bdr w:val="single" w:sz="8" w:space="0" w:color="auto"/>
        </w:rPr>
        <w:t>disapproving</w:t>
      </w:r>
      <w:r w:rsidRPr="00220A65">
        <w:rPr>
          <w:u w:val="single"/>
        </w:rPr>
        <w:t xml:space="preserve"> an </w:t>
      </w:r>
      <w:r w:rsidRPr="00220A65">
        <w:rPr>
          <w:highlight w:val="cyan"/>
          <w:u w:val="single"/>
        </w:rPr>
        <w:t xml:space="preserve">agency </w:t>
      </w:r>
      <w:r w:rsidRPr="00220A65">
        <w:rPr>
          <w:highlight w:val="cyan"/>
          <w:u w:val="single"/>
        </w:rPr>
        <w:lastRenderedPageBreak/>
        <w:t>rule</w:t>
      </w:r>
      <w:r w:rsidRPr="00220A65">
        <w:rPr>
          <w:sz w:val="16"/>
        </w:rPr>
        <w:t xml:space="preserve">. The CRA is </w:t>
      </w:r>
      <w:r w:rsidRPr="00220A65">
        <w:rPr>
          <w:u w:val="single"/>
        </w:rPr>
        <w:t xml:space="preserve">universally </w:t>
      </w:r>
      <w:r w:rsidRPr="00220A65">
        <w:rPr>
          <w:highlight w:val="cyan"/>
          <w:u w:val="single"/>
        </w:rPr>
        <w:t xml:space="preserve">viewed as a </w:t>
      </w:r>
      <w:r w:rsidRPr="00220A65">
        <w:rPr>
          <w:b/>
          <w:iCs/>
          <w:highlight w:val="cyan"/>
          <w:u w:val="single"/>
          <w:bdr w:val="single" w:sz="8" w:space="0" w:color="auto"/>
        </w:rPr>
        <w:t>negative instrument</w:t>
      </w:r>
      <w:r w:rsidRPr="00220A65">
        <w:rPr>
          <w:sz w:val="16"/>
        </w:rPr>
        <w:t xml:space="preserve"> that </w:t>
      </w:r>
      <w:r w:rsidRPr="00220A65">
        <w:rPr>
          <w:u w:val="single"/>
        </w:rPr>
        <w:t xml:space="preserve">the President and Congress may use </w:t>
      </w:r>
      <w:r w:rsidRPr="00220A65">
        <w:rPr>
          <w:highlight w:val="cyan"/>
          <w:u w:val="single"/>
        </w:rPr>
        <w:t>to “</w:t>
      </w:r>
      <w:r w:rsidRPr="00220A65">
        <w:rPr>
          <w:b/>
          <w:iCs/>
          <w:highlight w:val="cyan"/>
          <w:u w:val="single"/>
          <w:bdr w:val="single" w:sz="8" w:space="0" w:color="auto"/>
        </w:rPr>
        <w:t>cancel</w:t>
      </w:r>
      <w:r w:rsidRPr="00220A65">
        <w:rPr>
          <w:b/>
          <w:iCs/>
          <w:u w:val="single"/>
          <w:bdr w:val="single" w:sz="8" w:space="0" w:color="auto"/>
        </w:rPr>
        <w:t>” agency</w:t>
      </w:r>
      <w:r w:rsidRPr="00220A65">
        <w:rPr>
          <w:u w:val="single"/>
        </w:rPr>
        <w:t xml:space="preserve"> </w:t>
      </w:r>
      <w:r w:rsidRPr="00220A65">
        <w:rPr>
          <w:b/>
          <w:iCs/>
          <w:highlight w:val="cyan"/>
          <w:u w:val="single"/>
          <w:bdr w:val="single" w:sz="8" w:space="0" w:color="auto"/>
        </w:rPr>
        <w:t>reg</w:t>
      </w:r>
      <w:r w:rsidRPr="00220A65">
        <w:rPr>
          <w:u w:val="single"/>
        </w:rPr>
        <w:t>ulation</w:t>
      </w:r>
      <w:r w:rsidRPr="00220A65">
        <w:rPr>
          <w:b/>
          <w:iCs/>
          <w:highlight w:val="cyan"/>
          <w:u w:val="single"/>
          <w:bdr w:val="single" w:sz="8" w:space="0" w:color="auto"/>
        </w:rPr>
        <w:t>s</w:t>
      </w:r>
      <w:r w:rsidRPr="00220A65">
        <w:rPr>
          <w:sz w:val="16"/>
        </w:rPr>
        <w:t xml:space="preserve">. That perception is understandable given the CRA’s framing, history, and original purpose. Moreover, the </w:t>
      </w:r>
      <w:r w:rsidRPr="00220A65">
        <w:rPr>
          <w:u w:val="single"/>
        </w:rPr>
        <w:t xml:space="preserve">prevailing </w:t>
      </w:r>
      <w:r w:rsidRPr="00220A65">
        <w:rPr>
          <w:b/>
          <w:iCs/>
          <w:u w:val="single"/>
          <w:bdr w:val="single" w:sz="8" w:space="0" w:color="auto"/>
        </w:rPr>
        <w:t>assumption</w:t>
      </w:r>
      <w:r w:rsidRPr="00220A65">
        <w:rPr>
          <w:u w:val="single"/>
        </w:rPr>
        <w:t xml:space="preserve"> is that </w:t>
      </w:r>
      <w:r w:rsidRPr="00220A65">
        <w:rPr>
          <w:b/>
          <w:iCs/>
          <w:u w:val="single"/>
          <w:bdr w:val="single" w:sz="8" w:space="0" w:color="auto"/>
        </w:rPr>
        <w:t>presidents will usually veto</w:t>
      </w:r>
      <w:r w:rsidRPr="00220A65">
        <w:rPr>
          <w:u w:val="single"/>
        </w:rPr>
        <w:t xml:space="preserve"> CRA resolutions that disapprove rules issued by the sitting President’s own administration. That</w:t>
      </w:r>
      <w:r w:rsidRPr="00220A65">
        <w:rPr>
          <w:sz w:val="16"/>
        </w:rPr>
        <w:t xml:space="preserve"> assumption </w:t>
      </w:r>
      <w:r w:rsidRPr="00220A65">
        <w:rPr>
          <w:u w:val="single"/>
        </w:rPr>
        <w:t>implies</w:t>
      </w:r>
      <w:r w:rsidRPr="00220A65">
        <w:rPr>
          <w:sz w:val="16"/>
        </w:rPr>
        <w:t xml:space="preserve"> that </w:t>
      </w:r>
      <w:r w:rsidRPr="00220A65">
        <w:rPr>
          <w:u w:val="single"/>
        </w:rPr>
        <w:t xml:space="preserve">the CRA is relevant </w:t>
      </w:r>
      <w:r w:rsidRPr="00220A65">
        <w:rPr>
          <w:b/>
          <w:iCs/>
          <w:u w:val="single"/>
          <w:bdr w:val="single" w:sz="8" w:space="0" w:color="auto"/>
        </w:rPr>
        <w:t>only in the few months after a presidential transition</w:t>
      </w:r>
      <w:r w:rsidRPr="00220A65">
        <w:rPr>
          <w:u w:val="single"/>
        </w:rPr>
        <w:t xml:space="preserve">, when the incoming administration can </w:t>
      </w:r>
      <w:r w:rsidRPr="00220A65">
        <w:rPr>
          <w:b/>
          <w:iCs/>
          <w:u w:val="single"/>
          <w:bdr w:val="single" w:sz="8" w:space="0" w:color="auto"/>
        </w:rPr>
        <w:t>nullify rules adopted late in the prior administration</w:t>
      </w:r>
      <w:r w:rsidRPr="00220A65">
        <w:rPr>
          <w:sz w:val="16"/>
        </w:rPr>
        <w:t xml:space="preserve">. And </w:t>
      </w:r>
      <w:r w:rsidRPr="00220A65">
        <w:rPr>
          <w:u w:val="single"/>
        </w:rPr>
        <w:t>this has</w:t>
      </w:r>
      <w:r w:rsidRPr="00220A65">
        <w:rPr>
          <w:sz w:val="16"/>
        </w:rPr>
        <w:t xml:space="preserve"> indeed </w:t>
      </w:r>
      <w:r w:rsidRPr="00220A65">
        <w:rPr>
          <w:u w:val="single"/>
        </w:rPr>
        <w:t>been the pattern to date</w:t>
      </w:r>
      <w:r w:rsidRPr="00220A65">
        <w:rPr>
          <w:sz w:val="16"/>
        </w:rPr>
        <w:t>.6</w:t>
      </w:r>
    </w:p>
    <w:p w14:paraId="6154B5E2" w14:textId="77777777" w:rsidR="00923E7B" w:rsidRPr="00220A65" w:rsidRDefault="00923E7B" w:rsidP="00923E7B">
      <w:pPr>
        <w:rPr>
          <w:sz w:val="16"/>
        </w:rPr>
      </w:pPr>
      <w:r w:rsidRPr="00220A65">
        <w:rPr>
          <w:u w:val="single"/>
        </w:rPr>
        <w:t xml:space="preserve">Yet the </w:t>
      </w:r>
      <w:r w:rsidRPr="00220A65">
        <w:rPr>
          <w:highlight w:val="cyan"/>
          <w:u w:val="single"/>
        </w:rPr>
        <w:t>CRA has</w:t>
      </w:r>
      <w:r w:rsidRPr="00220A65">
        <w:rPr>
          <w:u w:val="single"/>
        </w:rPr>
        <w:t xml:space="preserve"> </w:t>
      </w:r>
      <w:r w:rsidRPr="00220A65">
        <w:rPr>
          <w:b/>
          <w:iCs/>
          <w:u w:val="single"/>
          <w:bdr w:val="single" w:sz="8" w:space="0" w:color="auto"/>
        </w:rPr>
        <w:t xml:space="preserve">substantially </w:t>
      </w:r>
      <w:r w:rsidRPr="00220A65">
        <w:rPr>
          <w:b/>
          <w:iCs/>
          <w:highlight w:val="cyan"/>
          <w:u w:val="single"/>
          <w:bdr w:val="single" w:sz="8" w:space="0" w:color="auto"/>
        </w:rPr>
        <w:t>greater</w:t>
      </w:r>
      <w:r w:rsidRPr="00220A65">
        <w:rPr>
          <w:b/>
          <w:iCs/>
          <w:u w:val="single"/>
          <w:bdr w:val="single" w:sz="8" w:space="0" w:color="auto"/>
        </w:rPr>
        <w:t xml:space="preserve"> unrealized </w:t>
      </w:r>
      <w:r w:rsidRPr="00220A65">
        <w:rPr>
          <w:b/>
          <w:iCs/>
          <w:highlight w:val="cyan"/>
          <w:u w:val="single"/>
          <w:bdr w:val="single" w:sz="8" w:space="0" w:color="auto"/>
        </w:rPr>
        <w:t>potential</w:t>
      </w:r>
      <w:r w:rsidRPr="00220A65">
        <w:rPr>
          <w:u w:val="single"/>
        </w:rPr>
        <w:t>. Unlocking that</w:t>
      </w:r>
      <w:r w:rsidRPr="00220A65">
        <w:rPr>
          <w:sz w:val="16"/>
        </w:rPr>
        <w:t xml:space="preserve"> potential </w:t>
      </w:r>
      <w:r w:rsidRPr="00220A65">
        <w:rPr>
          <w:u w:val="single"/>
        </w:rPr>
        <w:t>requires embracing</w:t>
      </w:r>
      <w:r w:rsidRPr="00220A65">
        <w:rPr>
          <w:sz w:val="16"/>
        </w:rPr>
        <w:t xml:space="preserve"> two </w:t>
      </w:r>
      <w:r w:rsidRPr="00220A65">
        <w:rPr>
          <w:u w:val="single"/>
        </w:rPr>
        <w:t>important but overlooked facts about the CRA</w:t>
      </w:r>
      <w:r w:rsidRPr="00220A65">
        <w:rPr>
          <w:sz w:val="16"/>
        </w:rPr>
        <w:t xml:space="preserve">. First, </w:t>
      </w:r>
      <w:r w:rsidRPr="00220A65">
        <w:rPr>
          <w:b/>
          <w:iCs/>
          <w:u w:val="single"/>
          <w:bdr w:val="single" w:sz="8" w:space="0" w:color="auto"/>
        </w:rPr>
        <w:t>nothing</w:t>
      </w:r>
      <w:r w:rsidRPr="00220A65">
        <w:rPr>
          <w:u w:val="single"/>
        </w:rPr>
        <w:t xml:space="preserve"> in the CRA’s text or structure requires that the Congress and President that use the CRA to veto a rule </w:t>
      </w:r>
      <w:r w:rsidRPr="00220A65">
        <w:rPr>
          <w:b/>
          <w:iCs/>
          <w:u w:val="single"/>
          <w:bdr w:val="single" w:sz="8" w:space="0" w:color="auto"/>
        </w:rPr>
        <w:t>actually have different views</w:t>
      </w:r>
      <w:r w:rsidRPr="00220A65">
        <w:rPr>
          <w:u w:val="single"/>
        </w:rPr>
        <w:t xml:space="preserve"> from the agency</w:t>
      </w:r>
      <w:r w:rsidRPr="00220A65">
        <w:rPr>
          <w:sz w:val="16"/>
        </w:rPr>
        <w:t xml:space="preserve"> that promulgated the rule. Instead, </w:t>
      </w:r>
      <w:r w:rsidRPr="00220A65">
        <w:rPr>
          <w:u w:val="single"/>
        </w:rPr>
        <w:t xml:space="preserve">these entities may </w:t>
      </w:r>
      <w:r w:rsidRPr="00220A65">
        <w:rPr>
          <w:b/>
          <w:iCs/>
          <w:u w:val="single"/>
          <w:bdr w:val="single" w:sz="8" w:space="0" w:color="auto"/>
        </w:rPr>
        <w:t>cooperate</w:t>
      </w:r>
      <w:r w:rsidRPr="00220A65">
        <w:rPr>
          <w:u w:val="single"/>
        </w:rPr>
        <w:t xml:space="preserve"> to </w:t>
      </w:r>
      <w:r w:rsidRPr="00220A65">
        <w:rPr>
          <w:b/>
          <w:iCs/>
          <w:u w:val="single"/>
          <w:bdr w:val="single" w:sz="8" w:space="0" w:color="auto"/>
        </w:rPr>
        <w:t>secure an outcome that they all favor</w:t>
      </w:r>
      <w:r w:rsidRPr="00220A65">
        <w:rPr>
          <w:sz w:val="16"/>
        </w:rPr>
        <w:t xml:space="preserve">. Second, </w:t>
      </w:r>
      <w:r w:rsidRPr="00220A65">
        <w:rPr>
          <w:u w:val="single"/>
        </w:rPr>
        <w:t>al</w:t>
      </w:r>
      <w:r w:rsidRPr="00220A65">
        <w:rPr>
          <w:b/>
          <w:iCs/>
          <w:highlight w:val="cyan"/>
          <w:u w:val="single"/>
          <w:bdr w:val="single" w:sz="8" w:space="0" w:color="auto"/>
        </w:rPr>
        <w:t>though</w:t>
      </w:r>
      <w:r w:rsidRPr="00220A65">
        <w:rPr>
          <w:u w:val="single"/>
        </w:rPr>
        <w:t xml:space="preserve"> the CRA </w:t>
      </w:r>
      <w:r w:rsidRPr="00220A65">
        <w:rPr>
          <w:highlight w:val="cyan"/>
          <w:u w:val="single"/>
        </w:rPr>
        <w:t>only applies to</w:t>
      </w:r>
      <w:r w:rsidRPr="00220A65">
        <w:rPr>
          <w:u w:val="single"/>
        </w:rPr>
        <w:t xml:space="preserve"> joint </w:t>
      </w:r>
      <w:r w:rsidRPr="00220A65">
        <w:rPr>
          <w:highlight w:val="cyan"/>
          <w:u w:val="single"/>
        </w:rPr>
        <w:t xml:space="preserve">resolutions of </w:t>
      </w:r>
      <w:r w:rsidRPr="00220A65">
        <w:rPr>
          <w:b/>
          <w:iCs/>
          <w:highlight w:val="cyan"/>
          <w:u w:val="single"/>
          <w:bdr w:val="single" w:sz="8" w:space="0" w:color="auto"/>
        </w:rPr>
        <w:t>disapproval</w:t>
      </w:r>
      <w:r w:rsidRPr="00220A65">
        <w:rPr>
          <w:b/>
          <w:iCs/>
          <w:u w:val="single"/>
          <w:bdr w:val="single" w:sz="8" w:space="0" w:color="auto"/>
        </w:rPr>
        <w:t>, not</w:t>
      </w:r>
      <w:r w:rsidRPr="00220A65">
        <w:rPr>
          <w:sz w:val="16"/>
        </w:rPr>
        <w:t xml:space="preserve"> joint resolutions of </w:t>
      </w:r>
      <w:r w:rsidRPr="00220A65">
        <w:rPr>
          <w:b/>
          <w:iCs/>
          <w:u w:val="single"/>
          <w:bdr w:val="single" w:sz="8" w:space="0" w:color="auto"/>
        </w:rPr>
        <w:t>approval</w:t>
      </w:r>
      <w:r w:rsidRPr="00220A65">
        <w:rPr>
          <w:u w:val="single"/>
        </w:rPr>
        <w:t xml:space="preserve">, </w:t>
      </w:r>
      <w:r w:rsidRPr="00220A65">
        <w:rPr>
          <w:highlight w:val="cyan"/>
          <w:u w:val="single"/>
        </w:rPr>
        <w:t xml:space="preserve">any </w:t>
      </w:r>
      <w:r w:rsidRPr="00220A65">
        <w:rPr>
          <w:b/>
          <w:iCs/>
          <w:highlight w:val="cyan"/>
          <w:u w:val="single"/>
          <w:bdr w:val="single" w:sz="8" w:space="0" w:color="auto"/>
        </w:rPr>
        <w:t>disapproval can be</w:t>
      </w:r>
      <w:r w:rsidRPr="00220A65">
        <w:rPr>
          <w:b/>
          <w:iCs/>
          <w:u w:val="single"/>
          <w:bdr w:val="single" w:sz="8" w:space="0" w:color="auto"/>
        </w:rPr>
        <w:t xml:space="preserve"> converted into an </w:t>
      </w:r>
      <w:r w:rsidRPr="00220A65">
        <w:rPr>
          <w:b/>
          <w:iCs/>
          <w:highlight w:val="cyan"/>
          <w:u w:val="single"/>
          <w:bdr w:val="single" w:sz="8" w:space="0" w:color="auto"/>
        </w:rPr>
        <w:t>approval</w:t>
      </w:r>
      <w:r w:rsidRPr="00220A65">
        <w:rPr>
          <w:highlight w:val="cyan"/>
          <w:u w:val="single"/>
        </w:rPr>
        <w:t xml:space="preserve"> by </w:t>
      </w:r>
      <w:r w:rsidRPr="00220A65">
        <w:rPr>
          <w:b/>
          <w:iCs/>
          <w:highlight w:val="cyan"/>
          <w:u w:val="single"/>
          <w:bdr w:val="single" w:sz="8" w:space="0" w:color="auto"/>
        </w:rPr>
        <w:t>framing</w:t>
      </w:r>
      <w:r w:rsidRPr="00220A65">
        <w:rPr>
          <w:b/>
          <w:iCs/>
          <w:u w:val="single"/>
          <w:bdr w:val="single" w:sz="8" w:space="0" w:color="auto"/>
        </w:rPr>
        <w:t xml:space="preserve"> the </w:t>
      </w:r>
      <w:r w:rsidRPr="00220A65">
        <w:rPr>
          <w:b/>
          <w:iCs/>
          <w:highlight w:val="cyan"/>
          <w:u w:val="single"/>
          <w:bdr w:val="single" w:sz="8" w:space="0" w:color="auto"/>
        </w:rPr>
        <w:t>original statement in negative terms</w:t>
      </w:r>
      <w:r w:rsidRPr="00220A65">
        <w:rPr>
          <w:sz w:val="16"/>
        </w:rPr>
        <w:t xml:space="preserve">. Therefore, </w:t>
      </w:r>
      <w:r w:rsidRPr="00220A65">
        <w:rPr>
          <w:u w:val="single"/>
        </w:rPr>
        <w:t xml:space="preserve">when the President and Congress are aligned, an </w:t>
      </w:r>
      <w:r w:rsidRPr="00220A65">
        <w:rPr>
          <w:highlight w:val="cyan"/>
          <w:u w:val="single"/>
        </w:rPr>
        <w:t>agency seeking</w:t>
      </w:r>
      <w:r w:rsidRPr="00220A65">
        <w:rPr>
          <w:sz w:val="16"/>
        </w:rPr>
        <w:t xml:space="preserve"> to secure </w:t>
      </w:r>
      <w:r w:rsidRPr="00220A65">
        <w:rPr>
          <w:u w:val="single"/>
        </w:rPr>
        <w:t xml:space="preserve">fast-track </w:t>
      </w:r>
      <w:r w:rsidRPr="00220A65">
        <w:rPr>
          <w:highlight w:val="cyan"/>
          <w:u w:val="single"/>
        </w:rPr>
        <w:t>legislation endorsing a</w:t>
      </w:r>
      <w:r w:rsidRPr="00220A65">
        <w:rPr>
          <w:u w:val="single"/>
        </w:rPr>
        <w:t xml:space="preserve"> given statutory </w:t>
      </w:r>
      <w:r w:rsidRPr="00220A65">
        <w:rPr>
          <w:b/>
          <w:iCs/>
          <w:highlight w:val="cyan"/>
          <w:u w:val="single"/>
          <w:bdr w:val="single" w:sz="8" w:space="0" w:color="auto"/>
        </w:rPr>
        <w:t>interp</w:t>
      </w:r>
      <w:r w:rsidRPr="00220A65">
        <w:rPr>
          <w:u w:val="single"/>
        </w:rPr>
        <w:t xml:space="preserve">retation </w:t>
      </w:r>
      <w:r w:rsidRPr="00220A65">
        <w:rPr>
          <w:highlight w:val="cyan"/>
          <w:u w:val="single"/>
        </w:rPr>
        <w:t>can</w:t>
      </w:r>
      <w:r w:rsidRPr="00220A65">
        <w:rPr>
          <w:u w:val="single"/>
        </w:rPr>
        <w:t xml:space="preserve"> do so by </w:t>
      </w:r>
      <w:r w:rsidRPr="00220A65">
        <w:rPr>
          <w:b/>
          <w:iCs/>
          <w:highlight w:val="cyan"/>
          <w:u w:val="single"/>
          <w:bdr w:val="single" w:sz="8" w:space="0" w:color="auto"/>
        </w:rPr>
        <w:t>promulgat</w:t>
      </w:r>
      <w:r w:rsidRPr="00220A65">
        <w:rPr>
          <w:u w:val="single"/>
        </w:rPr>
        <w:t xml:space="preserve">ing </w:t>
      </w:r>
      <w:r w:rsidRPr="00220A65">
        <w:rPr>
          <w:b/>
          <w:iCs/>
          <w:highlight w:val="cyan"/>
          <w:u w:val="single"/>
          <w:bdr w:val="single" w:sz="8" w:space="0" w:color="auto"/>
        </w:rPr>
        <w:t>a rule that announces</w:t>
      </w:r>
      <w:r w:rsidRPr="00220A65">
        <w:rPr>
          <w:b/>
          <w:iCs/>
          <w:u w:val="single"/>
          <w:bdr w:val="single" w:sz="8" w:space="0" w:color="auto"/>
        </w:rPr>
        <w:t xml:space="preserve"> the </w:t>
      </w:r>
      <w:r w:rsidRPr="00220A65">
        <w:rPr>
          <w:b/>
          <w:iCs/>
          <w:highlight w:val="cyan"/>
          <w:u w:val="single"/>
          <w:bdr w:val="single" w:sz="8" w:space="0" w:color="auto"/>
        </w:rPr>
        <w:t>opposite</w:t>
      </w:r>
      <w:r w:rsidRPr="00220A65">
        <w:rPr>
          <w:highlight w:val="cyan"/>
          <w:u w:val="single"/>
        </w:rPr>
        <w:t xml:space="preserve"> of</w:t>
      </w:r>
      <w:r w:rsidRPr="00220A65">
        <w:rPr>
          <w:u w:val="single"/>
        </w:rPr>
        <w:t xml:space="preserve"> the </w:t>
      </w:r>
      <w:r w:rsidRPr="00220A65">
        <w:rPr>
          <w:b/>
          <w:iCs/>
          <w:highlight w:val="cyan"/>
          <w:u w:val="single"/>
          <w:bdr w:val="single" w:sz="8" w:space="0" w:color="auto"/>
        </w:rPr>
        <w:t>interp</w:t>
      </w:r>
      <w:r w:rsidRPr="00220A65">
        <w:rPr>
          <w:u w:val="single"/>
        </w:rPr>
        <w:t xml:space="preserve">retation that the </w:t>
      </w:r>
      <w:r w:rsidRPr="00220A65">
        <w:rPr>
          <w:highlight w:val="cyan"/>
          <w:u w:val="single"/>
        </w:rPr>
        <w:t xml:space="preserve">agency </w:t>
      </w:r>
      <w:r w:rsidRPr="00220A65">
        <w:rPr>
          <w:b/>
          <w:iCs/>
          <w:highlight w:val="cyan"/>
          <w:u w:val="single"/>
          <w:bdr w:val="single" w:sz="8" w:space="0" w:color="auto"/>
        </w:rPr>
        <w:t>actually wants</w:t>
      </w:r>
      <w:r w:rsidRPr="00220A65">
        <w:rPr>
          <w:sz w:val="16"/>
        </w:rPr>
        <w:t xml:space="preserve">— for example, </w:t>
      </w:r>
      <w:r w:rsidRPr="00220A65">
        <w:rPr>
          <w:u w:val="single"/>
        </w:rPr>
        <w:t xml:space="preserve">by </w:t>
      </w:r>
      <w:r w:rsidRPr="00220A65">
        <w:rPr>
          <w:highlight w:val="cyan"/>
          <w:u w:val="single"/>
        </w:rPr>
        <w:t>interpreting</w:t>
      </w:r>
      <w:r w:rsidRPr="00220A65">
        <w:rPr>
          <w:u w:val="single"/>
        </w:rPr>
        <w:t xml:space="preserve"> a </w:t>
      </w:r>
      <w:r w:rsidRPr="00220A65">
        <w:rPr>
          <w:highlight w:val="cyan"/>
          <w:u w:val="single"/>
        </w:rPr>
        <w:t xml:space="preserve">statute to </w:t>
      </w:r>
      <w:r w:rsidRPr="00220A65">
        <w:rPr>
          <w:b/>
          <w:iCs/>
          <w:highlight w:val="cyan"/>
          <w:u w:val="single"/>
          <w:bdr w:val="single" w:sz="8" w:space="0" w:color="auto"/>
        </w:rPr>
        <w:t>prohibit a reg</w:t>
      </w:r>
      <w:r w:rsidRPr="00220A65">
        <w:rPr>
          <w:u w:val="single"/>
        </w:rPr>
        <w:t xml:space="preserve">ulation that the </w:t>
      </w:r>
      <w:r w:rsidRPr="00220A65">
        <w:rPr>
          <w:b/>
          <w:iCs/>
          <w:highlight w:val="cyan"/>
          <w:u w:val="single"/>
          <w:bdr w:val="single" w:sz="8" w:space="0" w:color="auto"/>
        </w:rPr>
        <w:t>agency would like</w:t>
      </w:r>
      <w:r w:rsidRPr="00220A65">
        <w:rPr>
          <w:b/>
          <w:iCs/>
          <w:u w:val="single"/>
          <w:bdr w:val="single" w:sz="8" w:space="0" w:color="auto"/>
        </w:rPr>
        <w:t xml:space="preserve"> to adopt</w:t>
      </w:r>
      <w:r w:rsidRPr="00220A65">
        <w:rPr>
          <w:sz w:val="16"/>
        </w:rPr>
        <w:t xml:space="preserve">—and </w:t>
      </w:r>
      <w:r w:rsidRPr="00220A65">
        <w:rPr>
          <w:u w:val="single"/>
        </w:rPr>
        <w:t xml:space="preserve">inviting </w:t>
      </w:r>
      <w:r w:rsidRPr="00220A65">
        <w:rPr>
          <w:highlight w:val="cyan"/>
          <w:u w:val="single"/>
        </w:rPr>
        <w:t>Congress</w:t>
      </w:r>
      <w:r w:rsidRPr="00220A65">
        <w:rPr>
          <w:u w:val="single"/>
        </w:rPr>
        <w:t xml:space="preserve"> and the President to </w:t>
      </w:r>
      <w:r w:rsidRPr="00220A65">
        <w:rPr>
          <w:b/>
          <w:iCs/>
          <w:highlight w:val="cyan"/>
          <w:u w:val="single"/>
          <w:bdr w:val="single" w:sz="8" w:space="0" w:color="auto"/>
        </w:rPr>
        <w:t>use</w:t>
      </w:r>
      <w:r w:rsidRPr="00220A65">
        <w:rPr>
          <w:b/>
          <w:iCs/>
          <w:u w:val="single"/>
          <w:bdr w:val="single" w:sz="8" w:space="0" w:color="auto"/>
        </w:rPr>
        <w:t xml:space="preserve"> the </w:t>
      </w:r>
      <w:r w:rsidRPr="00220A65">
        <w:rPr>
          <w:b/>
          <w:iCs/>
          <w:highlight w:val="cyan"/>
          <w:u w:val="single"/>
          <w:bdr w:val="single" w:sz="8" w:space="0" w:color="auto"/>
        </w:rPr>
        <w:t>CRA to disapprove</w:t>
      </w:r>
      <w:r w:rsidRPr="00220A65">
        <w:rPr>
          <w:b/>
          <w:iCs/>
          <w:u w:val="single"/>
          <w:bdr w:val="single" w:sz="8" w:space="0" w:color="auto"/>
        </w:rPr>
        <w:t xml:space="preserve"> that rule</w:t>
      </w:r>
      <w:r w:rsidRPr="00220A65">
        <w:rPr>
          <w:u w:val="single"/>
        </w:rPr>
        <w:t xml:space="preserve">. The </w:t>
      </w:r>
      <w:r w:rsidRPr="00220A65">
        <w:rPr>
          <w:b/>
          <w:iCs/>
          <w:highlight w:val="cyan"/>
          <w:u w:val="single"/>
          <w:bdr w:val="single" w:sz="8" w:space="0" w:color="auto"/>
        </w:rPr>
        <w:t>trick</w:t>
      </w:r>
      <w:r w:rsidRPr="00220A65">
        <w:rPr>
          <w:sz w:val="16"/>
        </w:rPr>
        <w:t xml:space="preserve"> here </w:t>
      </w:r>
      <w:r w:rsidRPr="00220A65">
        <w:rPr>
          <w:highlight w:val="cyan"/>
          <w:u w:val="single"/>
        </w:rPr>
        <w:t>is</w:t>
      </w:r>
      <w:r w:rsidRPr="00220A65">
        <w:rPr>
          <w:sz w:val="16"/>
        </w:rPr>
        <w:t xml:space="preserve">, in essence, </w:t>
      </w:r>
      <w:r w:rsidRPr="00220A65">
        <w:rPr>
          <w:b/>
          <w:iCs/>
          <w:highlight w:val="cyan"/>
          <w:u w:val="single"/>
          <w:bdr w:val="single" w:sz="8" w:space="0" w:color="auto"/>
        </w:rPr>
        <w:t>a legal double-negative</w:t>
      </w:r>
      <w:r w:rsidRPr="00220A65">
        <w:rPr>
          <w:highlight w:val="cyan"/>
          <w:u w:val="single"/>
        </w:rPr>
        <w:t>: disapproving</w:t>
      </w:r>
      <w:r w:rsidRPr="00220A65">
        <w:rPr>
          <w:u w:val="single"/>
        </w:rPr>
        <w:t xml:space="preserve"> the statement </w:t>
      </w:r>
      <w:r w:rsidRPr="00220A65">
        <w:rPr>
          <w:highlight w:val="cyan"/>
          <w:u w:val="single"/>
        </w:rPr>
        <w:t>“X</w:t>
      </w:r>
      <w:r w:rsidRPr="00220A65">
        <w:rPr>
          <w:u w:val="single"/>
        </w:rPr>
        <w:t xml:space="preserve"> is </w:t>
      </w:r>
      <w:r w:rsidRPr="00220A65">
        <w:rPr>
          <w:highlight w:val="cyan"/>
          <w:u w:val="single"/>
        </w:rPr>
        <w:t xml:space="preserve">not permitted” is </w:t>
      </w:r>
      <w:r w:rsidRPr="00220A65">
        <w:rPr>
          <w:b/>
          <w:iCs/>
          <w:highlight w:val="cyan"/>
          <w:u w:val="single"/>
          <w:bdr w:val="single" w:sz="8" w:space="0" w:color="auto"/>
        </w:rPr>
        <w:t>equivalent</w:t>
      </w:r>
      <w:r w:rsidRPr="00220A65">
        <w:rPr>
          <w:u w:val="single"/>
        </w:rPr>
        <w:t xml:space="preserve"> (linguistically and </w:t>
      </w:r>
      <w:r w:rsidRPr="00220A65">
        <w:rPr>
          <w:b/>
          <w:iCs/>
          <w:highlight w:val="cyan"/>
          <w:u w:val="single"/>
          <w:bdr w:val="single" w:sz="8" w:space="0" w:color="auto"/>
        </w:rPr>
        <w:t>legally</w:t>
      </w:r>
      <w:r w:rsidRPr="00220A65">
        <w:rPr>
          <w:highlight w:val="cyan"/>
          <w:u w:val="single"/>
        </w:rPr>
        <w:t>) to</w:t>
      </w:r>
      <w:r w:rsidRPr="00220A65">
        <w:rPr>
          <w:u w:val="single"/>
        </w:rPr>
        <w:t xml:space="preserve"> </w:t>
      </w:r>
      <w:r w:rsidRPr="00220A65">
        <w:rPr>
          <w:b/>
          <w:iCs/>
          <w:u w:val="single"/>
          <w:bdr w:val="single" w:sz="8" w:space="0" w:color="auto"/>
        </w:rPr>
        <w:t>approving the statement “</w:t>
      </w:r>
      <w:r w:rsidRPr="00220A65">
        <w:rPr>
          <w:b/>
          <w:iCs/>
          <w:highlight w:val="cyan"/>
          <w:u w:val="single"/>
          <w:bdr w:val="single" w:sz="8" w:space="0" w:color="auto"/>
        </w:rPr>
        <w:t>X is permitted</w:t>
      </w:r>
      <w:r w:rsidRPr="00220A65">
        <w:rPr>
          <w:sz w:val="16"/>
        </w:rPr>
        <w:t>.” Once one recognizes this fact, the transformative potential of the CRA snaps into focus.</w:t>
      </w:r>
    </w:p>
    <w:p w14:paraId="09D2927F" w14:textId="77777777" w:rsidR="00923E7B" w:rsidRPr="00220A65" w:rsidRDefault="00923E7B" w:rsidP="00923E7B">
      <w:pPr>
        <w:rPr>
          <w:sz w:val="16"/>
        </w:rPr>
      </w:pPr>
      <w:r w:rsidRPr="00220A65">
        <w:rPr>
          <w:sz w:val="16"/>
        </w:rPr>
        <w:t>The goal of this Article is to call attention to this neglected possibility. After Part I provides some background on the CRA, Part II develops in greater detail the argument sketched above, explaining how agencies, working in concert with the President and supportive majorities in the House and Senate, can use the CRA to clarify, or even to alter, the scope of the agency’s statutory authority. Part III considers and rejects several legal objections to this novel use of the CRA. Finally, Part IV turns to some practical, political, and normative implications of using the CRA as we have proposed.</w:t>
      </w:r>
    </w:p>
    <w:p w14:paraId="6E4ABB1F" w14:textId="77777777" w:rsidR="00923E7B" w:rsidRPr="00220A65" w:rsidRDefault="00923E7B" w:rsidP="00923E7B">
      <w:pPr>
        <w:rPr>
          <w:sz w:val="16"/>
        </w:rPr>
      </w:pPr>
      <w:r w:rsidRPr="00220A65">
        <w:rPr>
          <w:sz w:val="16"/>
        </w:rPr>
        <w:t xml:space="preserve">We acknowledge, right at the outset, that </w:t>
      </w:r>
      <w:r w:rsidRPr="00220A65">
        <w:rPr>
          <w:u w:val="single"/>
        </w:rPr>
        <w:t xml:space="preserve">our proposed use of the CRA would be a </w:t>
      </w:r>
      <w:r w:rsidRPr="00220A65">
        <w:rPr>
          <w:b/>
          <w:iCs/>
          <w:u w:val="single"/>
          <w:bdr w:val="single" w:sz="8" w:space="0" w:color="auto"/>
        </w:rPr>
        <w:t>dramatic departure</w:t>
      </w:r>
      <w:r w:rsidRPr="00220A65">
        <w:rPr>
          <w:u w:val="single"/>
        </w:rPr>
        <w:t xml:space="preserve"> from prevailing assumptions about how that statute is supposed to operate</w:t>
      </w:r>
      <w:r w:rsidRPr="00220A65">
        <w:rPr>
          <w:sz w:val="16"/>
        </w:rPr>
        <w:t xml:space="preserve">. We are not aware of any prior work that even hints at something like the proposal we advance.7 We therefore anticipate that many readers will be skeptical. Our objective in this Article is to overcome this skepticism. </w:t>
      </w:r>
      <w:r w:rsidRPr="00220A65">
        <w:rPr>
          <w:u w:val="single"/>
        </w:rPr>
        <w:t xml:space="preserve">By </w:t>
      </w:r>
      <w:r w:rsidRPr="00220A65">
        <w:rPr>
          <w:b/>
          <w:iCs/>
          <w:u w:val="single"/>
          <w:bdr w:val="single" w:sz="8" w:space="0" w:color="auto"/>
        </w:rPr>
        <w:t>responding</w:t>
      </w:r>
      <w:r w:rsidRPr="00220A65">
        <w:rPr>
          <w:sz w:val="16"/>
        </w:rPr>
        <w:t xml:space="preserve"> as </w:t>
      </w:r>
      <w:r w:rsidRPr="00220A65">
        <w:rPr>
          <w:b/>
          <w:iCs/>
          <w:u w:val="single"/>
          <w:bdr w:val="single" w:sz="8" w:space="0" w:color="auto"/>
        </w:rPr>
        <w:t>clearly and methodically</w:t>
      </w:r>
      <w:r w:rsidRPr="00220A65">
        <w:rPr>
          <w:sz w:val="16"/>
        </w:rPr>
        <w:t xml:space="preserve"> as we can </w:t>
      </w:r>
      <w:r w:rsidRPr="00220A65">
        <w:rPr>
          <w:u w:val="single"/>
        </w:rPr>
        <w:t xml:space="preserve">to the principal legal objections, we hope to convince dubious readers that our proposed use of the CRA, </w:t>
      </w:r>
      <w:r w:rsidRPr="00220A65">
        <w:rPr>
          <w:b/>
          <w:iCs/>
          <w:u w:val="single"/>
          <w:bdr w:val="single" w:sz="8" w:space="0" w:color="auto"/>
        </w:rPr>
        <w:t>while admittedly novel</w:t>
      </w:r>
      <w:r w:rsidRPr="00220A65">
        <w:rPr>
          <w:u w:val="single"/>
        </w:rPr>
        <w:t xml:space="preserve">, is </w:t>
      </w:r>
      <w:r w:rsidRPr="00220A65">
        <w:rPr>
          <w:b/>
          <w:iCs/>
          <w:u w:val="single"/>
          <w:bdr w:val="single" w:sz="8" w:space="0" w:color="auto"/>
        </w:rPr>
        <w:t>just as valid</w:t>
      </w:r>
      <w:r w:rsidRPr="00220A65">
        <w:rPr>
          <w:u w:val="single"/>
        </w:rPr>
        <w:t xml:space="preserve"> and </w:t>
      </w:r>
      <w:r w:rsidRPr="00220A65">
        <w:rPr>
          <w:b/>
          <w:iCs/>
          <w:u w:val="single"/>
          <w:bdr w:val="single" w:sz="8" w:space="0" w:color="auto"/>
        </w:rPr>
        <w:t>legit</w:t>
      </w:r>
      <w:r w:rsidRPr="00220A65">
        <w:rPr>
          <w:u w:val="single"/>
        </w:rPr>
        <w:t xml:space="preserve">imate as other maneuvers that deploy existing laws or procedural rules in </w:t>
      </w:r>
      <w:r w:rsidRPr="00220A65">
        <w:rPr>
          <w:b/>
          <w:iCs/>
          <w:u w:val="single"/>
          <w:bdr w:val="single" w:sz="8" w:space="0" w:color="auto"/>
        </w:rPr>
        <w:t>unanticipated ways</w:t>
      </w:r>
      <w:r w:rsidRPr="00220A65">
        <w:rPr>
          <w:sz w:val="16"/>
        </w:rPr>
        <w:t>.8</w:t>
      </w:r>
    </w:p>
    <w:p w14:paraId="43F97BD0" w14:textId="77777777" w:rsidR="00923E7B" w:rsidRPr="00220A65" w:rsidRDefault="00923E7B" w:rsidP="00923E7B">
      <w:pPr>
        <w:rPr>
          <w:sz w:val="16"/>
        </w:rPr>
      </w:pPr>
      <w:r w:rsidRPr="00220A65">
        <w:rPr>
          <w:u w:val="single"/>
        </w:rPr>
        <w:t xml:space="preserve">This is </w:t>
      </w:r>
      <w:r w:rsidRPr="00220A65">
        <w:rPr>
          <w:b/>
          <w:iCs/>
          <w:u w:val="single"/>
          <w:bdr w:val="single" w:sz="8" w:space="0" w:color="auto"/>
        </w:rPr>
        <w:t>not merely</w:t>
      </w:r>
      <w:r w:rsidRPr="00220A65">
        <w:rPr>
          <w:sz w:val="16"/>
        </w:rPr>
        <w:t xml:space="preserve"> an </w:t>
      </w:r>
      <w:r w:rsidRPr="00220A65">
        <w:rPr>
          <w:b/>
          <w:iCs/>
          <w:u w:val="single"/>
          <w:bdr w:val="single" w:sz="8" w:space="0" w:color="auto"/>
        </w:rPr>
        <w:t>academic</w:t>
      </w:r>
      <w:r w:rsidRPr="00220A65">
        <w:rPr>
          <w:sz w:val="16"/>
        </w:rPr>
        <w:t xml:space="preserve"> exercise. The </w:t>
      </w:r>
      <w:r w:rsidRPr="00220A65">
        <w:rPr>
          <w:b/>
          <w:iCs/>
          <w:highlight w:val="cyan"/>
          <w:u w:val="single"/>
          <w:bdr w:val="single" w:sz="8" w:space="0" w:color="auto"/>
        </w:rPr>
        <w:t>dysfunction</w:t>
      </w:r>
      <w:r w:rsidRPr="00220A65">
        <w:rPr>
          <w:highlight w:val="cyan"/>
          <w:u w:val="single"/>
        </w:rPr>
        <w:t xml:space="preserve"> of</w:t>
      </w:r>
      <w:r w:rsidRPr="00220A65">
        <w:rPr>
          <w:u w:val="single"/>
        </w:rPr>
        <w:t xml:space="preserve"> the modern </w:t>
      </w:r>
      <w:r w:rsidRPr="00220A65">
        <w:rPr>
          <w:highlight w:val="cyan"/>
          <w:u w:val="single"/>
        </w:rPr>
        <w:t>Congress justifies</w:t>
      </w:r>
      <w:r w:rsidRPr="00220A65">
        <w:rPr>
          <w:sz w:val="16"/>
        </w:rPr>
        <w:t xml:space="preserve"> exploring </w:t>
      </w:r>
      <w:r w:rsidRPr="00220A65">
        <w:rPr>
          <w:b/>
          <w:iCs/>
          <w:highlight w:val="cyan"/>
          <w:u w:val="single"/>
          <w:bdr w:val="single" w:sz="8" w:space="0" w:color="auto"/>
        </w:rPr>
        <w:t>unconventional methods</w:t>
      </w:r>
      <w:r w:rsidRPr="00220A65">
        <w:rPr>
          <w:b/>
          <w:iCs/>
          <w:u w:val="single"/>
          <w:bdr w:val="single" w:sz="8" w:space="0" w:color="auto"/>
        </w:rPr>
        <w:t xml:space="preserve"> for </w:t>
      </w:r>
      <w:r w:rsidRPr="00220A65">
        <w:rPr>
          <w:b/>
          <w:iCs/>
          <w:highlight w:val="cyan"/>
          <w:u w:val="single"/>
          <w:bdr w:val="single" w:sz="8" w:space="0" w:color="auto"/>
        </w:rPr>
        <w:t>overcoming obstructionism</w:t>
      </w:r>
      <w:r w:rsidRPr="00220A65">
        <w:rPr>
          <w:sz w:val="16"/>
        </w:rPr>
        <w:t xml:space="preserve">. 9 We recognize that for practical and political reasons, our proposed use of the CRA, even if accepted as legitimate, might be used relatively sparingly, and to settle simpler legal propositions—at least initially. But in principle, </w:t>
      </w:r>
      <w:r w:rsidRPr="00220A65">
        <w:rPr>
          <w:u w:val="single"/>
        </w:rPr>
        <w:t xml:space="preserve">the </w:t>
      </w:r>
      <w:r w:rsidRPr="00220A65">
        <w:rPr>
          <w:highlight w:val="cyan"/>
          <w:u w:val="single"/>
        </w:rPr>
        <w:t>CRA</w:t>
      </w:r>
      <w:r w:rsidRPr="00220A65">
        <w:rPr>
          <w:u w:val="single"/>
        </w:rPr>
        <w:t xml:space="preserve">, used in the manner we describe, </w:t>
      </w:r>
      <w:r w:rsidRPr="00220A65">
        <w:rPr>
          <w:highlight w:val="cyan"/>
          <w:u w:val="single"/>
        </w:rPr>
        <w:t>could be</w:t>
      </w:r>
      <w:r w:rsidRPr="00220A65">
        <w:rPr>
          <w:u w:val="single"/>
        </w:rPr>
        <w:t xml:space="preserve"> a </w:t>
      </w:r>
      <w:r w:rsidRPr="00220A65">
        <w:rPr>
          <w:b/>
          <w:iCs/>
          <w:highlight w:val="cyan"/>
          <w:u w:val="single"/>
          <w:bdr w:val="single" w:sz="8" w:space="0" w:color="auto"/>
        </w:rPr>
        <w:t>powerful</w:t>
      </w:r>
      <w:r w:rsidRPr="00220A65">
        <w:rPr>
          <w:b/>
          <w:iCs/>
          <w:u w:val="single"/>
          <w:bdr w:val="single" w:sz="8" w:space="0" w:color="auto"/>
        </w:rPr>
        <w:t xml:space="preserve"> and </w:t>
      </w:r>
      <w:r w:rsidRPr="00220A65">
        <w:rPr>
          <w:b/>
          <w:iCs/>
          <w:highlight w:val="cyan"/>
          <w:u w:val="single"/>
          <w:bdr w:val="single" w:sz="8" w:space="0" w:color="auto"/>
        </w:rPr>
        <w:t>flexible tool</w:t>
      </w:r>
      <w:r w:rsidRPr="00220A65">
        <w:rPr>
          <w:u w:val="single"/>
        </w:rPr>
        <w:t xml:space="preserve"> for achieving important changes in law and public policy</w:t>
      </w:r>
      <w:r w:rsidRPr="00220A65">
        <w:rPr>
          <w:sz w:val="16"/>
        </w:rPr>
        <w:t>.</w:t>
      </w:r>
    </w:p>
    <w:p w14:paraId="550FB573" w14:textId="77777777" w:rsidR="00923E7B" w:rsidRPr="003C0EAC" w:rsidRDefault="00923E7B" w:rsidP="00923E7B">
      <w:pPr>
        <w:keepNext/>
        <w:keepLines/>
        <w:spacing w:before="40" w:after="0"/>
        <w:outlineLvl w:val="3"/>
        <w:rPr>
          <w:rFonts w:eastAsiaTheme="majorEastAsia" w:cstheme="majorBidi"/>
          <w:b/>
          <w:iCs/>
          <w:sz w:val="26"/>
        </w:rPr>
      </w:pPr>
      <w:r w:rsidRPr="003C0EAC">
        <w:rPr>
          <w:rFonts w:eastAsiaTheme="majorEastAsia" w:cstheme="majorBidi"/>
          <w:b/>
          <w:iCs/>
          <w:sz w:val="26"/>
        </w:rPr>
        <w:lastRenderedPageBreak/>
        <w:t xml:space="preserve">Checking the court’s power grabs in statutory interpretation’s key to economic foreign policy flex that prevents great power nuclear war </w:t>
      </w:r>
    </w:p>
    <w:p w14:paraId="56B0E347" w14:textId="77777777" w:rsidR="00923E7B" w:rsidRPr="003C0EAC" w:rsidRDefault="00923E7B" w:rsidP="00923E7B">
      <w:r w:rsidRPr="003C0EAC">
        <w:t xml:space="preserve">Timothy </w:t>
      </w:r>
      <w:r w:rsidRPr="003C0EAC">
        <w:rPr>
          <w:b/>
          <w:bCs/>
          <w:sz w:val="26"/>
        </w:rPr>
        <w:t>Meyer 23</w:t>
      </w:r>
      <w:r w:rsidRPr="003C0EAC">
        <w:t xml:space="preserve">, Richard Allen/Cravath Distinguished Professor in International Business Law, Duke University School of Law; and Ganesh </w:t>
      </w:r>
      <w:r w:rsidRPr="003C0EAC">
        <w:rPr>
          <w:b/>
          <w:bCs/>
        </w:rPr>
        <w:t>Sitaraman</w:t>
      </w:r>
      <w:r w:rsidRPr="003C0EAC">
        <w:t>, New York Alumni Chancellor’s Chair in Law, Vanderbilt University Law School, 2023, “The National Security Consequences of the Major Questions Doctrine,” Michigan Law Review, 122(1), pp. 55-96</w:t>
      </w:r>
    </w:p>
    <w:p w14:paraId="5B0C0736" w14:textId="77777777" w:rsidR="00923E7B" w:rsidRPr="00220A65" w:rsidRDefault="00923E7B" w:rsidP="00923E7B">
      <w:pPr>
        <w:rPr>
          <w:sz w:val="16"/>
        </w:rPr>
      </w:pPr>
      <w:r w:rsidRPr="00220A65">
        <w:rPr>
          <w:sz w:val="16"/>
        </w:rPr>
        <w:t xml:space="preserve">The </w:t>
      </w:r>
      <w:r w:rsidRPr="00220A65">
        <w:rPr>
          <w:u w:val="single"/>
        </w:rPr>
        <w:t xml:space="preserve">rise of the </w:t>
      </w:r>
      <w:r w:rsidRPr="00220A65">
        <w:rPr>
          <w:b/>
          <w:iCs/>
          <w:highlight w:val="cyan"/>
          <w:u w:val="single"/>
          <w:bdr w:val="single" w:sz="8" w:space="0" w:color="auto"/>
        </w:rPr>
        <w:t>m</w:t>
      </w:r>
      <w:r w:rsidRPr="00220A65">
        <w:rPr>
          <w:u w:val="single"/>
        </w:rPr>
        <w:t xml:space="preserve">ajor </w:t>
      </w:r>
      <w:r w:rsidRPr="00220A65">
        <w:rPr>
          <w:b/>
          <w:iCs/>
          <w:highlight w:val="cyan"/>
          <w:u w:val="single"/>
          <w:bdr w:val="single" w:sz="8" w:space="0" w:color="auto"/>
        </w:rPr>
        <w:t>q</w:t>
      </w:r>
      <w:r w:rsidRPr="00220A65">
        <w:rPr>
          <w:u w:val="single"/>
        </w:rPr>
        <w:t xml:space="preserve">uestions </w:t>
      </w:r>
      <w:r w:rsidRPr="00220A65">
        <w:rPr>
          <w:b/>
          <w:iCs/>
          <w:highlight w:val="cyan"/>
          <w:u w:val="single"/>
          <w:bdr w:val="single" w:sz="8" w:space="0" w:color="auto"/>
        </w:rPr>
        <w:t>d</w:t>
      </w:r>
      <w:r w:rsidRPr="00220A65">
        <w:rPr>
          <w:u w:val="single"/>
        </w:rPr>
        <w:t>octrine</w:t>
      </w:r>
      <w:r w:rsidRPr="00220A65">
        <w:rPr>
          <w:sz w:val="16"/>
        </w:rPr>
        <w:t>—the rule that says that in order to delegate to the executive branch the power to resolve a “question of deep ‘economic and political significance’ that is central to [a] statutory scheme,” Congress must do so expressly —</w:t>
      </w:r>
      <w:r w:rsidRPr="00220A65">
        <w:rPr>
          <w:highlight w:val="cyan"/>
          <w:u w:val="single"/>
        </w:rPr>
        <w:t>threatens</w:t>
      </w:r>
      <w:r w:rsidRPr="00220A65">
        <w:rPr>
          <w:u w:val="single"/>
        </w:rPr>
        <w:t xml:space="preserve"> to </w:t>
      </w:r>
      <w:r w:rsidRPr="00220A65">
        <w:rPr>
          <w:b/>
          <w:iCs/>
          <w:u w:val="single"/>
          <w:bdr w:val="single" w:sz="8" w:space="0" w:color="auto"/>
        </w:rPr>
        <w:t xml:space="preserve">unmake the modern </w:t>
      </w:r>
      <w:r w:rsidRPr="00220A65">
        <w:rPr>
          <w:b/>
          <w:iCs/>
          <w:highlight w:val="cyan"/>
          <w:u w:val="single"/>
          <w:bdr w:val="single" w:sz="8" w:space="0" w:color="auto"/>
        </w:rPr>
        <w:t>executive’s authority</w:t>
      </w:r>
      <w:r w:rsidRPr="00220A65">
        <w:rPr>
          <w:b/>
          <w:iCs/>
          <w:u w:val="single"/>
          <w:bdr w:val="single" w:sz="8" w:space="0" w:color="auto"/>
        </w:rPr>
        <w:t xml:space="preserve"> over foreign affairs</w:t>
      </w:r>
      <w:r w:rsidRPr="00220A65">
        <w:rPr>
          <w:u w:val="single"/>
        </w:rPr>
        <w:t xml:space="preserve">, especially </w:t>
      </w:r>
      <w:r w:rsidRPr="00220A65">
        <w:rPr>
          <w:highlight w:val="cyan"/>
          <w:u w:val="single"/>
        </w:rPr>
        <w:t>in</w:t>
      </w:r>
      <w:r w:rsidRPr="00220A65">
        <w:rPr>
          <w:u w:val="single"/>
        </w:rPr>
        <w:t xml:space="preserve"> matters of </w:t>
      </w:r>
      <w:r w:rsidRPr="00220A65">
        <w:rPr>
          <w:b/>
          <w:iCs/>
          <w:u w:val="single"/>
          <w:bdr w:val="single" w:sz="8" w:space="0" w:color="auto"/>
        </w:rPr>
        <w:t xml:space="preserve">national security and </w:t>
      </w:r>
      <w:r w:rsidRPr="00220A65">
        <w:rPr>
          <w:b/>
          <w:iCs/>
          <w:highlight w:val="cyan"/>
          <w:u w:val="single"/>
          <w:bdr w:val="single" w:sz="8" w:space="0" w:color="auto"/>
        </w:rPr>
        <w:t>interstate conflict</w:t>
      </w:r>
      <w:r w:rsidRPr="00220A65">
        <w:rPr>
          <w:sz w:val="16"/>
        </w:rPr>
        <w:t xml:space="preserve">. In the twenty-first century, </w:t>
      </w:r>
      <w:r w:rsidRPr="00220A65">
        <w:rPr>
          <w:b/>
          <w:iCs/>
          <w:u w:val="single"/>
          <w:bdr w:val="single" w:sz="8" w:space="0" w:color="auto"/>
        </w:rPr>
        <w:t>global conflicts</w:t>
      </w:r>
      <w:r w:rsidRPr="00220A65">
        <w:rPr>
          <w:u w:val="single"/>
        </w:rPr>
        <w:t xml:space="preserve"> increasingly involve economic warfare, rather than (or in addition to) the force of arms</w:t>
      </w:r>
      <w:r w:rsidRPr="00220A65">
        <w:rPr>
          <w:sz w:val="16"/>
        </w:rPr>
        <w:t xml:space="preserve">. In the wake of 9/11, the United States and its allies developed a global financial architecture that aimed to dry up the financing for al-Qaeda specifically and global terrorism generally. </w:t>
      </w:r>
      <w:r w:rsidRPr="00220A65">
        <w:rPr>
          <w:u w:val="single"/>
        </w:rPr>
        <w:t xml:space="preserve">Economic sanctions played a central role in enforcing the </w:t>
      </w:r>
      <w:r w:rsidRPr="00220A65">
        <w:rPr>
          <w:b/>
          <w:iCs/>
          <w:u w:val="single"/>
          <w:bdr w:val="single" w:sz="8" w:space="0" w:color="auto"/>
        </w:rPr>
        <w:t>J</w:t>
      </w:r>
      <w:r w:rsidRPr="00220A65">
        <w:rPr>
          <w:u w:val="single"/>
        </w:rPr>
        <w:t xml:space="preserve">oint </w:t>
      </w:r>
      <w:r w:rsidRPr="00220A65">
        <w:rPr>
          <w:b/>
          <w:iCs/>
          <w:u w:val="single"/>
          <w:bdr w:val="single" w:sz="8" w:space="0" w:color="auto"/>
        </w:rPr>
        <w:t>C</w:t>
      </w:r>
      <w:r w:rsidRPr="00220A65">
        <w:rPr>
          <w:u w:val="single"/>
        </w:rPr>
        <w:t xml:space="preserve">omprehensive </w:t>
      </w:r>
      <w:r w:rsidRPr="00220A65">
        <w:rPr>
          <w:b/>
          <w:iCs/>
          <w:u w:val="single"/>
          <w:bdr w:val="single" w:sz="8" w:space="0" w:color="auto"/>
        </w:rPr>
        <w:t>P</w:t>
      </w:r>
      <w:r w:rsidRPr="00220A65">
        <w:rPr>
          <w:u w:val="single"/>
        </w:rPr>
        <w:t xml:space="preserve">lan </w:t>
      </w:r>
      <w:r w:rsidRPr="00220A65">
        <w:rPr>
          <w:b/>
          <w:iCs/>
          <w:u w:val="single"/>
          <w:bdr w:val="single" w:sz="8" w:space="0" w:color="auto"/>
        </w:rPr>
        <w:t>o</w:t>
      </w:r>
      <w:r w:rsidRPr="00220A65">
        <w:rPr>
          <w:u w:val="single"/>
        </w:rPr>
        <w:t xml:space="preserve">f </w:t>
      </w:r>
      <w:r w:rsidRPr="00220A65">
        <w:rPr>
          <w:b/>
          <w:iCs/>
          <w:u w:val="single"/>
          <w:bdr w:val="single" w:sz="8" w:space="0" w:color="auto"/>
        </w:rPr>
        <w:t>A</w:t>
      </w:r>
      <w:r w:rsidRPr="00220A65">
        <w:rPr>
          <w:u w:val="single"/>
        </w:rPr>
        <w:t>ction</w:t>
      </w:r>
      <w:r w:rsidRPr="00220A65">
        <w:rPr>
          <w:sz w:val="16"/>
        </w:rPr>
        <w:t xml:space="preserve">, the agreement aimed at </w:t>
      </w:r>
      <w:r w:rsidRPr="00220A65">
        <w:rPr>
          <w:u w:val="single"/>
        </w:rPr>
        <w:t>ending Iran’s nuclear program</w:t>
      </w:r>
      <w:r w:rsidRPr="00220A65">
        <w:rPr>
          <w:sz w:val="16"/>
        </w:rPr>
        <w:t xml:space="preserve">. And most recently, </w:t>
      </w:r>
      <w:r w:rsidRPr="00220A65">
        <w:rPr>
          <w:u w:val="single"/>
        </w:rPr>
        <w:t>the United States</w:t>
      </w:r>
      <w:r w:rsidRPr="00220A65">
        <w:rPr>
          <w:sz w:val="16"/>
        </w:rPr>
        <w:t xml:space="preserve"> and its allies </w:t>
      </w:r>
      <w:r w:rsidRPr="00220A65">
        <w:rPr>
          <w:u w:val="single"/>
        </w:rPr>
        <w:t>have</w:t>
      </w:r>
      <w:r w:rsidRPr="00220A65">
        <w:rPr>
          <w:sz w:val="16"/>
        </w:rPr>
        <w:t xml:space="preserve"> largely </w:t>
      </w:r>
      <w:r w:rsidRPr="00220A65">
        <w:rPr>
          <w:b/>
          <w:iCs/>
          <w:u w:val="single"/>
          <w:bdr w:val="single" w:sz="8" w:space="0" w:color="auto"/>
        </w:rPr>
        <w:t>shut Russia out of the global economic system</w:t>
      </w:r>
      <w:r w:rsidRPr="00220A65">
        <w:rPr>
          <w:u w:val="single"/>
        </w:rPr>
        <w:t xml:space="preserve"> in response to</w:t>
      </w:r>
      <w:r w:rsidRPr="00220A65">
        <w:rPr>
          <w:sz w:val="16"/>
        </w:rPr>
        <w:t xml:space="preserve"> Russia’s invasion of </w:t>
      </w:r>
      <w:r w:rsidRPr="00220A65">
        <w:rPr>
          <w:u w:val="single"/>
        </w:rPr>
        <w:t>Ukraine</w:t>
      </w:r>
      <w:r w:rsidRPr="00220A65">
        <w:rPr>
          <w:sz w:val="16"/>
        </w:rPr>
        <w:t xml:space="preserve">. </w:t>
      </w:r>
    </w:p>
    <w:p w14:paraId="777D9C73" w14:textId="77777777" w:rsidR="00923E7B" w:rsidRPr="00220A65" w:rsidRDefault="00923E7B" w:rsidP="00923E7B">
      <w:pPr>
        <w:rPr>
          <w:sz w:val="16"/>
        </w:rPr>
      </w:pPr>
      <w:r w:rsidRPr="00220A65">
        <w:rPr>
          <w:sz w:val="16"/>
        </w:rPr>
        <w:t xml:space="preserve">In the United States, the </w:t>
      </w:r>
      <w:r w:rsidRPr="00220A65">
        <w:rPr>
          <w:b/>
          <w:iCs/>
          <w:highlight w:val="cyan"/>
          <w:u w:val="single"/>
          <w:bdr w:val="single" w:sz="8" w:space="0" w:color="auto"/>
        </w:rPr>
        <w:t>exec</w:t>
      </w:r>
      <w:r w:rsidRPr="00220A65">
        <w:rPr>
          <w:u w:val="single"/>
        </w:rPr>
        <w:t xml:space="preserve">utive </w:t>
      </w:r>
      <w:r w:rsidRPr="00220A65">
        <w:rPr>
          <w:highlight w:val="cyan"/>
          <w:u w:val="single"/>
        </w:rPr>
        <w:t>power to levy</w:t>
      </w:r>
      <w:r w:rsidRPr="00220A65">
        <w:rPr>
          <w:u w:val="single"/>
        </w:rPr>
        <w:t xml:space="preserve"> economic sanctions, engage in other forms of </w:t>
      </w:r>
      <w:r w:rsidRPr="00220A65">
        <w:rPr>
          <w:highlight w:val="cyan"/>
          <w:u w:val="single"/>
        </w:rPr>
        <w:t xml:space="preserve">economic warfare, or </w:t>
      </w:r>
      <w:r w:rsidRPr="00220A65">
        <w:rPr>
          <w:b/>
          <w:iCs/>
          <w:highlight w:val="cyan"/>
          <w:u w:val="single"/>
          <w:bdr w:val="single" w:sz="8" w:space="0" w:color="auto"/>
        </w:rPr>
        <w:t>ensure U.S. resilience</w:t>
      </w:r>
      <w:r w:rsidRPr="00220A65">
        <w:rPr>
          <w:u w:val="single"/>
        </w:rPr>
        <w:t xml:space="preserve"> in the face of </w:t>
      </w:r>
      <w:r w:rsidRPr="00220A65">
        <w:rPr>
          <w:b/>
          <w:iCs/>
          <w:u w:val="single"/>
          <w:bdr w:val="single" w:sz="8" w:space="0" w:color="auto"/>
        </w:rPr>
        <w:t>global dangers</w:t>
      </w:r>
      <w:r w:rsidRPr="00220A65">
        <w:rPr>
          <w:u w:val="single"/>
        </w:rPr>
        <w:t xml:space="preserve"> </w:t>
      </w:r>
      <w:r w:rsidRPr="00220A65">
        <w:rPr>
          <w:highlight w:val="cyan"/>
          <w:u w:val="single"/>
        </w:rPr>
        <w:t>is</w:t>
      </w:r>
      <w:r w:rsidRPr="00220A65">
        <w:rPr>
          <w:u w:val="single"/>
        </w:rPr>
        <w:t xml:space="preserve"> generally </w:t>
      </w:r>
      <w:r w:rsidRPr="00220A65">
        <w:rPr>
          <w:highlight w:val="cyan"/>
          <w:u w:val="single"/>
        </w:rPr>
        <w:t>based on</w:t>
      </w:r>
      <w:r w:rsidRPr="00220A65">
        <w:rPr>
          <w:u w:val="single"/>
        </w:rPr>
        <w:t xml:space="preserve"> </w:t>
      </w:r>
      <w:r w:rsidRPr="00220A65">
        <w:rPr>
          <w:b/>
          <w:iCs/>
          <w:u w:val="single"/>
          <w:bdr w:val="single" w:sz="8" w:space="0" w:color="auto"/>
        </w:rPr>
        <w:t xml:space="preserve">extremely </w:t>
      </w:r>
      <w:r w:rsidRPr="00220A65">
        <w:rPr>
          <w:b/>
          <w:iCs/>
          <w:highlight w:val="cyan"/>
          <w:u w:val="single"/>
          <w:bdr w:val="single" w:sz="8" w:space="0" w:color="auto"/>
        </w:rPr>
        <w:t>broad delegations</w:t>
      </w:r>
      <w:r w:rsidRPr="00220A65">
        <w:rPr>
          <w:b/>
          <w:iCs/>
          <w:u w:val="single"/>
          <w:bdr w:val="single" w:sz="8" w:space="0" w:color="auto"/>
        </w:rPr>
        <w:t xml:space="preserve"> of authority</w:t>
      </w:r>
      <w:r w:rsidRPr="00220A65">
        <w:rPr>
          <w:u w:val="single"/>
        </w:rPr>
        <w:t xml:space="preserve"> from Congress</w:t>
      </w:r>
      <w:r w:rsidRPr="00220A65">
        <w:rPr>
          <w:sz w:val="16"/>
        </w:rPr>
        <w:t>. The International Emergency Economic Powers Act (IEEPA), for instance, grants the president broad authority to regulate economic transactions with foreign persons. These powers are authorized if the president declares an emergency regarding an “unusual and extraordinary threat, which has its source in whole or substantial part outside the United States, to the national security, foreign policy, or economy of the United States.” IEEPA has provided the basis for a wide range of economic sanctions that various administrations have employed, including, for example, the current import bans on Russian products in response to that nation’s invasion of Ukraine. Section 232 of the Trade Expansion Act of 1962 and Section 301 of the Trade Act of 1974 give the president expansive powers to wage trade wars—including by functionally revoking a country’s most-favored-nation (MFN) status. At a more granular level, the Defense Production Act (</w:t>
      </w:r>
      <w:r w:rsidRPr="00220A65">
        <w:rPr>
          <w:b/>
          <w:iCs/>
          <w:u w:val="single"/>
          <w:bdr w:val="single" w:sz="8" w:space="0" w:color="auto"/>
        </w:rPr>
        <w:t>DPA</w:t>
      </w:r>
      <w:r w:rsidRPr="00220A65">
        <w:rPr>
          <w:u w:val="single"/>
        </w:rPr>
        <w:t>) delegates expansive powers to the president to mobilize U.S. industry to produce goods necessary to U.S. national security</w:t>
      </w:r>
      <w:r w:rsidRPr="00220A65">
        <w:rPr>
          <w:sz w:val="16"/>
        </w:rPr>
        <w:t xml:space="preserve"> —a broad concept that can be considered either offensive (projecting U.S. interests abroad) or defensive (protecting U.S. interests). For example, the </w:t>
      </w:r>
      <w:r w:rsidRPr="00220A65">
        <w:rPr>
          <w:u w:val="single"/>
        </w:rPr>
        <w:t>Biden</w:t>
      </w:r>
      <w:r w:rsidRPr="00220A65">
        <w:rPr>
          <w:sz w:val="16"/>
        </w:rPr>
        <w:t xml:space="preserve"> administration </w:t>
      </w:r>
      <w:r w:rsidRPr="00220A65">
        <w:rPr>
          <w:b/>
          <w:iCs/>
          <w:u w:val="single"/>
          <w:bdr w:val="single" w:sz="8" w:space="0" w:color="auto"/>
        </w:rPr>
        <w:t>invoked the DPA to spur the manufacture of a range of clean-energy and energy-efficient technologies</w:t>
      </w:r>
      <w:r w:rsidRPr="00220A65">
        <w:rPr>
          <w:u w:val="single"/>
        </w:rPr>
        <w:t xml:space="preserve"> in the United States</w:t>
      </w:r>
      <w:r w:rsidRPr="00220A65">
        <w:rPr>
          <w:sz w:val="16"/>
        </w:rPr>
        <w:t xml:space="preserve">, including solar cells and heat pumps. The administration took this action </w:t>
      </w:r>
      <w:r w:rsidRPr="00220A65">
        <w:rPr>
          <w:u w:val="single"/>
        </w:rPr>
        <w:t>in the context of the conflict with Russia</w:t>
      </w:r>
      <w:r w:rsidRPr="00220A65">
        <w:rPr>
          <w:sz w:val="16"/>
        </w:rPr>
        <w:t xml:space="preserve"> (which derives significant revenue and diplomatic leverage from the fossil fuel dependence of European nations), </w:t>
      </w:r>
      <w:r w:rsidRPr="00220A65">
        <w:rPr>
          <w:u w:val="single"/>
        </w:rPr>
        <w:t>economic competition with China</w:t>
      </w:r>
      <w:r w:rsidRPr="00220A65">
        <w:rPr>
          <w:sz w:val="16"/>
        </w:rPr>
        <w:t xml:space="preserve"> (which has threatened the development of renewable energy industries in developed countries by heavily subsidizing its own export-oriented renewable energy sector), </w:t>
      </w:r>
      <w:r w:rsidRPr="00220A65">
        <w:rPr>
          <w:u w:val="single"/>
        </w:rPr>
        <w:t>and the global dangers of climate change</w:t>
      </w:r>
      <w:r w:rsidRPr="00220A65">
        <w:rPr>
          <w:sz w:val="16"/>
        </w:rPr>
        <w:t xml:space="preserve">. The administration has also invoked the DPA to spur production of COVID-19 vaccines and infant formula in response to shortfalls of both medical necessities. </w:t>
      </w:r>
    </w:p>
    <w:p w14:paraId="28E7CEF5" w14:textId="77777777" w:rsidR="00923E7B" w:rsidRPr="00220A65" w:rsidRDefault="00923E7B" w:rsidP="00923E7B">
      <w:pPr>
        <w:rPr>
          <w:sz w:val="16"/>
        </w:rPr>
      </w:pPr>
      <w:r w:rsidRPr="00220A65">
        <w:rPr>
          <w:sz w:val="16"/>
        </w:rPr>
        <w:t>The major questions doctrine (</w:t>
      </w:r>
      <w:r w:rsidRPr="00220A65">
        <w:rPr>
          <w:b/>
          <w:iCs/>
          <w:highlight w:val="cyan"/>
          <w:u w:val="single"/>
          <w:bdr w:val="single" w:sz="8" w:space="0" w:color="auto"/>
        </w:rPr>
        <w:t>MQD</w:t>
      </w:r>
      <w:r w:rsidRPr="00220A65">
        <w:rPr>
          <w:highlight w:val="cyan"/>
          <w:u w:val="single"/>
        </w:rPr>
        <w:t>) threatens</w:t>
      </w:r>
      <w:r w:rsidRPr="00220A65">
        <w:rPr>
          <w:u w:val="single"/>
        </w:rPr>
        <w:t xml:space="preserve"> the </w:t>
      </w:r>
      <w:r w:rsidRPr="00220A65">
        <w:rPr>
          <w:b/>
          <w:iCs/>
          <w:highlight w:val="cyan"/>
          <w:u w:val="single"/>
          <w:bdr w:val="single" w:sz="8" w:space="0" w:color="auto"/>
        </w:rPr>
        <w:t>ability to use these</w:t>
      </w:r>
      <w:r w:rsidRPr="00220A65">
        <w:rPr>
          <w:b/>
          <w:iCs/>
          <w:u w:val="single"/>
          <w:bdr w:val="single" w:sz="8" w:space="0" w:color="auto"/>
        </w:rPr>
        <w:t xml:space="preserve"> kinds of </w:t>
      </w:r>
      <w:r w:rsidRPr="00220A65">
        <w:rPr>
          <w:b/>
          <w:iCs/>
          <w:highlight w:val="cyan"/>
          <w:u w:val="single"/>
          <w:bdr w:val="single" w:sz="8" w:space="0" w:color="auto"/>
        </w:rPr>
        <w:t>authorities</w:t>
      </w:r>
      <w:r w:rsidRPr="00220A65">
        <w:rPr>
          <w:highlight w:val="cyan"/>
          <w:u w:val="single"/>
        </w:rPr>
        <w:t xml:space="preserve"> to fight</w:t>
      </w:r>
      <w:r w:rsidRPr="00220A65">
        <w:rPr>
          <w:u w:val="single"/>
        </w:rPr>
        <w:t xml:space="preserve"> modern </w:t>
      </w:r>
      <w:r w:rsidRPr="00220A65">
        <w:rPr>
          <w:highlight w:val="cyan"/>
          <w:u w:val="single"/>
        </w:rPr>
        <w:t>conflicts</w:t>
      </w:r>
      <w:r w:rsidRPr="00220A65">
        <w:rPr>
          <w:sz w:val="16"/>
        </w:rPr>
        <w:t xml:space="preserve"> for two reasons. First, </w:t>
      </w:r>
      <w:r w:rsidRPr="00220A65">
        <w:rPr>
          <w:u w:val="single"/>
        </w:rPr>
        <w:t>classic national-security-related conflicts</w:t>
      </w:r>
      <w:r w:rsidRPr="00220A65">
        <w:rPr>
          <w:sz w:val="16"/>
        </w:rPr>
        <w:t>—</w:t>
      </w:r>
      <w:r w:rsidRPr="00220A65">
        <w:rPr>
          <w:u w:val="single"/>
        </w:rPr>
        <w:t xml:space="preserve">such as wars of </w:t>
      </w:r>
      <w:r w:rsidRPr="00220A65">
        <w:rPr>
          <w:b/>
          <w:iCs/>
          <w:u w:val="single"/>
          <w:bdr w:val="single" w:sz="8" w:space="0" w:color="auto"/>
        </w:rPr>
        <w:t>territorial conquest</w:t>
      </w:r>
      <w:r w:rsidRPr="00220A65">
        <w:rPr>
          <w:u w:val="single"/>
        </w:rPr>
        <w:t xml:space="preserve">, </w:t>
      </w:r>
      <w:r w:rsidRPr="00220A65">
        <w:rPr>
          <w:b/>
          <w:iCs/>
          <w:u w:val="single"/>
          <w:bdr w:val="single" w:sz="8" w:space="0" w:color="auto"/>
        </w:rPr>
        <w:t>terrorism</w:t>
      </w:r>
      <w:r w:rsidRPr="00220A65">
        <w:rPr>
          <w:u w:val="single"/>
        </w:rPr>
        <w:t xml:space="preserve">, and </w:t>
      </w:r>
      <w:r w:rsidRPr="00220A65">
        <w:rPr>
          <w:b/>
          <w:iCs/>
          <w:u w:val="single"/>
          <w:bdr w:val="single" w:sz="8" w:space="0" w:color="auto"/>
        </w:rPr>
        <w:t>nuclear prolif</w:t>
      </w:r>
      <w:r w:rsidRPr="00220A65">
        <w:rPr>
          <w:u w:val="single"/>
        </w:rPr>
        <w:t>eration</w:t>
      </w:r>
      <w:r w:rsidRPr="00220A65">
        <w:rPr>
          <w:sz w:val="16"/>
        </w:rPr>
        <w:t>—</w:t>
      </w:r>
      <w:r w:rsidRPr="00220A65">
        <w:rPr>
          <w:u w:val="single"/>
        </w:rPr>
        <w:t>increasingly are met with economic measures</w:t>
      </w:r>
      <w:r w:rsidRPr="00220A65">
        <w:rPr>
          <w:sz w:val="16"/>
        </w:rPr>
        <w:t xml:space="preserve">. In a globalized economy, the </w:t>
      </w:r>
      <w:r w:rsidRPr="00220A65">
        <w:rPr>
          <w:u w:val="single"/>
        </w:rPr>
        <w:t>ability to weaponize the economic system to punish violations of international peace and security is a valuable tool. But</w:t>
      </w:r>
      <w:r w:rsidRPr="00220A65">
        <w:rPr>
          <w:sz w:val="16"/>
        </w:rPr>
        <w:t xml:space="preserve"> the </w:t>
      </w:r>
      <w:r w:rsidRPr="00220A65">
        <w:rPr>
          <w:u w:val="single"/>
        </w:rPr>
        <w:t>statutes that authorize these actions are</w:t>
      </w:r>
      <w:r w:rsidRPr="00220A65">
        <w:rPr>
          <w:sz w:val="16"/>
        </w:rPr>
        <w:t xml:space="preserve"> incredibly </w:t>
      </w:r>
      <w:r w:rsidRPr="00220A65">
        <w:rPr>
          <w:b/>
          <w:iCs/>
          <w:u w:val="single"/>
          <w:bdr w:val="single" w:sz="8" w:space="0" w:color="auto"/>
        </w:rPr>
        <w:t>broad</w:t>
      </w:r>
      <w:r w:rsidRPr="00220A65">
        <w:rPr>
          <w:u w:val="single"/>
        </w:rPr>
        <w:t xml:space="preserve"> and recent administrations have interpreted these statutes in ways that risk running </w:t>
      </w:r>
      <w:r w:rsidRPr="00220A65">
        <w:rPr>
          <w:b/>
          <w:iCs/>
          <w:u w:val="single"/>
          <w:bdr w:val="single" w:sz="8" w:space="0" w:color="auto"/>
        </w:rPr>
        <w:t>afoul of an expansive and free-form MQD</w:t>
      </w:r>
      <w:r w:rsidRPr="00220A65">
        <w:rPr>
          <w:sz w:val="16"/>
        </w:rPr>
        <w:t>. Second, “</w:t>
      </w:r>
      <w:r w:rsidRPr="00220A65">
        <w:rPr>
          <w:u w:val="single"/>
        </w:rPr>
        <w:t xml:space="preserve">foreign affairs exceptionalism,” in which the Court would </w:t>
      </w:r>
      <w:r w:rsidRPr="00220A65">
        <w:rPr>
          <w:b/>
          <w:iCs/>
          <w:u w:val="single"/>
          <w:bdr w:val="single" w:sz="8" w:space="0" w:color="auto"/>
        </w:rPr>
        <w:t>decide not to apply the MQD to statutes involving foreign affairs</w:t>
      </w:r>
      <w:r w:rsidRPr="00220A65">
        <w:rPr>
          <w:u w:val="single"/>
        </w:rPr>
        <w:t>, is unlikely to work</w:t>
      </w:r>
      <w:r w:rsidRPr="00220A65">
        <w:rPr>
          <w:sz w:val="16"/>
        </w:rPr>
        <w:t xml:space="preserve"> well as a response. The </w:t>
      </w:r>
      <w:r w:rsidRPr="00220A65">
        <w:rPr>
          <w:u w:val="single"/>
        </w:rPr>
        <w:t>line between foreign and domestic economic statutes is blurry</w:t>
      </w:r>
      <w:r w:rsidRPr="00220A65">
        <w:rPr>
          <w:sz w:val="16"/>
        </w:rPr>
        <w:t>, and “</w:t>
      </w:r>
      <w:r w:rsidRPr="00220A65">
        <w:rPr>
          <w:u w:val="single"/>
        </w:rPr>
        <w:t xml:space="preserve">foreign affairs” uses of economic powers cannot be neatly </w:t>
      </w:r>
      <w:r w:rsidRPr="00220A65">
        <w:rPr>
          <w:u w:val="single"/>
        </w:rPr>
        <w:lastRenderedPageBreak/>
        <w:t>distinguished from domestic uses</w:t>
      </w:r>
      <w:r w:rsidRPr="00220A65">
        <w:rPr>
          <w:sz w:val="16"/>
        </w:rPr>
        <w:t xml:space="preserve">. For this reason, </w:t>
      </w:r>
      <w:r w:rsidRPr="00220A65">
        <w:rPr>
          <w:u w:val="single"/>
        </w:rPr>
        <w:t xml:space="preserve">the Court may simply </w:t>
      </w:r>
      <w:r w:rsidRPr="00220A65">
        <w:rPr>
          <w:b/>
          <w:iCs/>
          <w:u w:val="single"/>
          <w:bdr w:val="single" w:sz="8" w:space="0" w:color="auto"/>
        </w:rPr>
        <w:t>apply the MQD to economic statutes, regardless</w:t>
      </w:r>
      <w:r w:rsidRPr="00220A65">
        <w:rPr>
          <w:u w:val="single"/>
        </w:rPr>
        <w:t xml:space="preserve"> of whether they implicate foreign or domestic affairs</w:t>
      </w:r>
      <w:r w:rsidRPr="00220A65">
        <w:rPr>
          <w:sz w:val="16"/>
        </w:rPr>
        <w:t>. Alternatively, deciding not to apply the MQD to statutes the Court thinks implicate economic foreign affairs will incentivize the executive branch to use such statutes to achieve domestic regulatory objectives and still require judges to make decisions about where the boundary between foreign and domestic lies—a boundary that is porous in the context of economic conflict. In the long run, such use will further undermine Congress’s role in our democracy and potentially erode congressional support for delegating the economic powers the executive branch needs to fight modern conflicts.</w:t>
      </w:r>
    </w:p>
    <w:p w14:paraId="5FFB4520" w14:textId="77777777" w:rsidR="00923E7B" w:rsidRPr="00220A65" w:rsidRDefault="00923E7B" w:rsidP="00923E7B">
      <w:pPr>
        <w:rPr>
          <w:sz w:val="16"/>
        </w:rPr>
      </w:pPr>
      <w:r w:rsidRPr="00220A65">
        <w:rPr>
          <w:sz w:val="16"/>
        </w:rPr>
        <w:t xml:space="preserve">In this Article, we show that the MQD raises serious problems for foreign affairs and national security. Part I describes the rise of economic warfare as a critical component of American national security and foreign affairs. The </w:t>
      </w:r>
      <w:r w:rsidRPr="00220A65">
        <w:rPr>
          <w:u w:val="single"/>
        </w:rPr>
        <w:t>increasing importance of economic warfare means</w:t>
      </w:r>
      <w:r w:rsidRPr="00220A65">
        <w:rPr>
          <w:sz w:val="16"/>
        </w:rPr>
        <w:t xml:space="preserve"> that </w:t>
      </w:r>
      <w:r w:rsidRPr="00220A65">
        <w:rPr>
          <w:b/>
          <w:iCs/>
          <w:u w:val="single"/>
          <w:bdr w:val="single" w:sz="8" w:space="0" w:color="auto"/>
        </w:rPr>
        <w:t>economic regulators and policymakers</w:t>
      </w:r>
      <w:r w:rsidRPr="00220A65">
        <w:rPr>
          <w:u w:val="single"/>
        </w:rPr>
        <w:t xml:space="preserve">, not just members of the military, play </w:t>
      </w:r>
      <w:r w:rsidRPr="00220A65">
        <w:rPr>
          <w:b/>
          <w:iCs/>
          <w:u w:val="single"/>
          <w:bdr w:val="single" w:sz="8" w:space="0" w:color="auto"/>
        </w:rPr>
        <w:t>critical roles during modern national security crises</w:t>
      </w:r>
      <w:r w:rsidRPr="00220A65">
        <w:rPr>
          <w:sz w:val="16"/>
        </w:rPr>
        <w:t xml:space="preserve"> and operations. In Part II, we show that </w:t>
      </w:r>
      <w:r w:rsidRPr="00220A65">
        <w:rPr>
          <w:u w:val="single"/>
        </w:rPr>
        <w:t xml:space="preserve">foreign </w:t>
      </w:r>
      <w:r w:rsidRPr="00220A65">
        <w:rPr>
          <w:highlight w:val="cyan"/>
          <w:u w:val="single"/>
        </w:rPr>
        <w:t>economic</w:t>
      </w:r>
      <w:r w:rsidRPr="00220A65">
        <w:rPr>
          <w:u w:val="single"/>
        </w:rPr>
        <w:t xml:space="preserve"> statutes and </w:t>
      </w:r>
      <w:r w:rsidRPr="00220A65">
        <w:rPr>
          <w:b/>
          <w:iCs/>
          <w:highlight w:val="cyan"/>
          <w:u w:val="single"/>
          <w:bdr w:val="single" w:sz="8" w:space="0" w:color="auto"/>
        </w:rPr>
        <w:t>reg</w:t>
      </w:r>
      <w:r w:rsidRPr="00220A65">
        <w:rPr>
          <w:u w:val="single"/>
        </w:rPr>
        <w:t>ulation</w:t>
      </w:r>
      <w:r w:rsidRPr="00220A65">
        <w:rPr>
          <w:b/>
          <w:iCs/>
          <w:highlight w:val="cyan"/>
          <w:u w:val="single"/>
          <w:bdr w:val="single" w:sz="8" w:space="0" w:color="auto"/>
        </w:rPr>
        <w:t>s</w:t>
      </w:r>
      <w:r w:rsidRPr="00220A65">
        <w:rPr>
          <w:u w:val="single"/>
        </w:rPr>
        <w:t xml:space="preserve"> are </w:t>
      </w:r>
      <w:r w:rsidRPr="00220A65">
        <w:rPr>
          <w:highlight w:val="cyan"/>
          <w:u w:val="single"/>
        </w:rPr>
        <w:t>likely</w:t>
      </w:r>
      <w:r w:rsidRPr="00220A65">
        <w:rPr>
          <w:u w:val="single"/>
        </w:rPr>
        <w:t xml:space="preserve"> to </w:t>
      </w:r>
      <w:r w:rsidRPr="00220A65">
        <w:rPr>
          <w:highlight w:val="cyan"/>
          <w:u w:val="single"/>
        </w:rPr>
        <w:t>run afoul of</w:t>
      </w:r>
      <w:r w:rsidRPr="00220A65">
        <w:rPr>
          <w:u w:val="single"/>
        </w:rPr>
        <w:t xml:space="preserve"> the </w:t>
      </w:r>
      <w:r w:rsidRPr="00220A65">
        <w:rPr>
          <w:highlight w:val="cyan"/>
          <w:u w:val="single"/>
        </w:rPr>
        <w:t>MQD</w:t>
      </w:r>
      <w:r w:rsidRPr="00220A65">
        <w:rPr>
          <w:u w:val="single"/>
        </w:rPr>
        <w:t xml:space="preserve"> when used </w:t>
      </w:r>
      <w:r w:rsidRPr="00220A65">
        <w:rPr>
          <w:highlight w:val="cyan"/>
          <w:u w:val="single"/>
        </w:rPr>
        <w:t>for national security</w:t>
      </w:r>
      <w:r w:rsidRPr="00220A65">
        <w:rPr>
          <w:u w:val="single"/>
        </w:rPr>
        <w:t xml:space="preserve"> purposes</w:t>
      </w:r>
      <w:r w:rsidRPr="00220A65">
        <w:rPr>
          <w:sz w:val="16"/>
        </w:rPr>
        <w:t xml:space="preserve">. We first describe the doctrine and discuss some of the dynamics of its application. We then show that the United States’ central economic warfare tools are based on such broad delegations of authority that they invariably implicate the MQD. Part III discusses the consequences of applying (or not applying) the MQD to foreign affairs and national security. We argue that the doctrine might preemptively chill executive branch officials from engaging in economic warfare, and that attempts to carve out exceptions to the doctrine for “national security” or “foreign affairs” will invariably fail—and in the process also have perverse consequences. Part IV looks to the future. We suggest that judicial hopes that Congress speak more clearly are unlikely to manifest, and that doctrinal retrenchment is unlikely as well. The most likely consequence, as a result, is that </w:t>
      </w:r>
      <w:r w:rsidRPr="00220A65">
        <w:rPr>
          <w:u w:val="single"/>
        </w:rPr>
        <w:t xml:space="preserve">the </w:t>
      </w:r>
      <w:r w:rsidRPr="00220A65">
        <w:rPr>
          <w:highlight w:val="cyan"/>
          <w:u w:val="single"/>
        </w:rPr>
        <w:t>Court will</w:t>
      </w:r>
      <w:r w:rsidRPr="00220A65">
        <w:rPr>
          <w:u w:val="single"/>
        </w:rPr>
        <w:t xml:space="preserve"> simply </w:t>
      </w:r>
      <w:r w:rsidRPr="00220A65">
        <w:rPr>
          <w:b/>
          <w:iCs/>
          <w:highlight w:val="cyan"/>
          <w:u w:val="single"/>
          <w:bdr w:val="single" w:sz="8" w:space="0" w:color="auto"/>
        </w:rPr>
        <w:t>pick and choose when</w:t>
      </w:r>
      <w:r w:rsidRPr="00220A65">
        <w:rPr>
          <w:b/>
          <w:iCs/>
          <w:u w:val="single"/>
          <w:bdr w:val="single" w:sz="8" w:space="0" w:color="auto"/>
        </w:rPr>
        <w:t xml:space="preserve"> the </w:t>
      </w:r>
      <w:r w:rsidRPr="00220A65">
        <w:rPr>
          <w:b/>
          <w:iCs/>
          <w:highlight w:val="cyan"/>
          <w:u w:val="single"/>
          <w:bdr w:val="single" w:sz="8" w:space="0" w:color="auto"/>
        </w:rPr>
        <w:t>doctrine applies</w:t>
      </w:r>
      <w:r w:rsidRPr="00220A65">
        <w:rPr>
          <w:u w:val="single"/>
        </w:rPr>
        <w:t xml:space="preserve"> to economic delegations that touch foreign commerce. This will turn </w:t>
      </w:r>
      <w:r w:rsidRPr="00220A65">
        <w:rPr>
          <w:b/>
          <w:iCs/>
          <w:u w:val="single"/>
          <w:bdr w:val="single" w:sz="8" w:space="0" w:color="auto"/>
        </w:rPr>
        <w:t>judges</w:t>
      </w:r>
      <w:r w:rsidRPr="00220A65">
        <w:rPr>
          <w:sz w:val="16"/>
        </w:rPr>
        <w:t xml:space="preserve">—and particularly lower court judges— </w:t>
      </w:r>
      <w:r w:rsidRPr="00220A65">
        <w:rPr>
          <w:b/>
          <w:iCs/>
          <w:u w:val="single"/>
          <w:bdr w:val="single" w:sz="8" w:space="0" w:color="auto"/>
        </w:rPr>
        <w:t>into</w:t>
      </w:r>
      <w:r w:rsidRPr="00220A65">
        <w:rPr>
          <w:sz w:val="16"/>
        </w:rPr>
        <w:t xml:space="preserve"> some of the </w:t>
      </w:r>
      <w:r w:rsidRPr="00220A65">
        <w:rPr>
          <w:b/>
          <w:iCs/>
          <w:u w:val="single"/>
          <w:bdr w:val="single" w:sz="8" w:space="0" w:color="auto"/>
        </w:rPr>
        <w:t>key policymakers in shaping the future of American foreign policy and national security</w:t>
      </w:r>
      <w:r w:rsidRPr="00220A65">
        <w:rPr>
          <w:sz w:val="16"/>
        </w:rPr>
        <w:t xml:space="preserve">. This prospect should be troubling, as </w:t>
      </w:r>
      <w:r w:rsidRPr="00220A65">
        <w:rPr>
          <w:u w:val="single"/>
        </w:rPr>
        <w:t>judges are ill-suited to be foreign policymakers and the error costs of wrong decisions are high</w:t>
      </w:r>
      <w:r w:rsidRPr="00220A65">
        <w:rPr>
          <w:sz w:val="16"/>
        </w:rPr>
        <w:t>.</w:t>
      </w:r>
    </w:p>
    <w:p w14:paraId="4597B856" w14:textId="77777777" w:rsidR="00923E7B" w:rsidRPr="00220A65" w:rsidRDefault="00923E7B" w:rsidP="00923E7B">
      <w:pPr>
        <w:rPr>
          <w:sz w:val="16"/>
        </w:rPr>
      </w:pPr>
      <w:r w:rsidRPr="00220A65">
        <w:rPr>
          <w:sz w:val="16"/>
        </w:rPr>
        <w:t>I. THE RISE OF ECONOMIC WARFARE AS A NATIONAL SECURITY STRATEGY</w:t>
      </w:r>
    </w:p>
    <w:p w14:paraId="6887A1AB" w14:textId="77777777" w:rsidR="00923E7B" w:rsidRPr="00220A65" w:rsidRDefault="00923E7B" w:rsidP="00923E7B">
      <w:pPr>
        <w:rPr>
          <w:sz w:val="16"/>
        </w:rPr>
      </w:pPr>
      <w:r w:rsidRPr="00220A65">
        <w:rPr>
          <w:sz w:val="16"/>
        </w:rPr>
        <w:t xml:space="preserve">The last century has reshaped the nature of warfare. Two trends have driven that change: the decline in direct military confrontations between the world’s leading military powers and increased economic interdependence. The two world wars demonstrated that in an industrial age, direct military conflicts among great powers are unlikely to remain limited, as wars were in the nineteenth century. Instead, twentieth-century warfare turned into civilizational conflicts that killed millions around the globe. The </w:t>
      </w:r>
      <w:r w:rsidRPr="00220A65">
        <w:rPr>
          <w:b/>
          <w:iCs/>
          <w:u w:val="single"/>
          <w:bdr w:val="single" w:sz="8" w:space="0" w:color="auto"/>
        </w:rPr>
        <w:t xml:space="preserve">spread of </w:t>
      </w:r>
      <w:r w:rsidRPr="00220A65">
        <w:rPr>
          <w:b/>
          <w:iCs/>
          <w:highlight w:val="cyan"/>
          <w:u w:val="single"/>
          <w:bdr w:val="single" w:sz="8" w:space="0" w:color="auto"/>
        </w:rPr>
        <w:t>nuclear weapons</w:t>
      </w:r>
      <w:r w:rsidRPr="00220A65">
        <w:rPr>
          <w:sz w:val="16"/>
        </w:rPr>
        <w:t xml:space="preserve"> in the years after World War II </w:t>
      </w:r>
      <w:r w:rsidRPr="00220A65">
        <w:rPr>
          <w:highlight w:val="cyan"/>
          <w:u w:val="single"/>
        </w:rPr>
        <w:t>made</w:t>
      </w:r>
      <w:r w:rsidRPr="00220A65">
        <w:rPr>
          <w:u w:val="single"/>
        </w:rPr>
        <w:t xml:space="preserve"> the prospect of a </w:t>
      </w:r>
      <w:r w:rsidRPr="00220A65">
        <w:rPr>
          <w:b/>
          <w:iCs/>
          <w:u w:val="single"/>
          <w:bdr w:val="single" w:sz="8" w:space="0" w:color="auto"/>
        </w:rPr>
        <w:t xml:space="preserve">direct </w:t>
      </w:r>
      <w:r w:rsidRPr="00220A65">
        <w:rPr>
          <w:b/>
          <w:iCs/>
          <w:highlight w:val="cyan"/>
          <w:u w:val="single"/>
          <w:bdr w:val="single" w:sz="8" w:space="0" w:color="auto"/>
        </w:rPr>
        <w:t>conflict</w:t>
      </w:r>
      <w:r w:rsidRPr="00220A65">
        <w:rPr>
          <w:b/>
          <w:iCs/>
          <w:u w:val="single"/>
          <w:bdr w:val="single" w:sz="8" w:space="0" w:color="auto"/>
        </w:rPr>
        <w:t xml:space="preserve"> between great powers even more </w:t>
      </w:r>
      <w:r w:rsidRPr="00220A65">
        <w:rPr>
          <w:b/>
          <w:iCs/>
          <w:highlight w:val="cyan"/>
          <w:u w:val="single"/>
          <w:bdr w:val="single" w:sz="8" w:space="0" w:color="auto"/>
        </w:rPr>
        <w:t>catastrophic</w:t>
      </w:r>
      <w:r w:rsidRPr="00220A65">
        <w:rPr>
          <w:u w:val="single"/>
        </w:rPr>
        <w:t>. To avoid such horrors, militarized conflicts among the great powers took the form of proxy wars</w:t>
      </w:r>
      <w:r w:rsidRPr="00220A65">
        <w:rPr>
          <w:sz w:val="16"/>
        </w:rPr>
        <w:t xml:space="preserve">. In the Vietnam War, for instance, the United States fought directly against a small nation backed by the Soviet Union and China, but without official direct involvement by either. In Afghanistan in the 1980s, the roles were reversed, with the United States backing insurgent groups against a Soviet invasion. </w:t>
      </w:r>
      <w:r w:rsidRPr="00220A65">
        <w:rPr>
          <w:u w:val="single"/>
        </w:rPr>
        <w:t>With the end of the Cold War, international conflict morphed yet again</w:t>
      </w:r>
      <w:r w:rsidRPr="00220A65">
        <w:rPr>
          <w:sz w:val="16"/>
        </w:rPr>
        <w:t xml:space="preserve">. Nonstate actors and intrastate conflicts became more prominent. The demise of the Soviet Union marked what seemed at the time to be the end of proxy wars and removed Soviet domination in Eastern Europe. This decline in interstate territorial conflicts led some to suggest that international law had succeeded in reducing armed conflict arising from territorial revisionism. </w:t>
      </w:r>
    </w:p>
    <w:p w14:paraId="36520293" w14:textId="77777777" w:rsidR="00923E7B" w:rsidRPr="00220A65" w:rsidRDefault="00923E7B" w:rsidP="00923E7B">
      <w:pPr>
        <w:rPr>
          <w:sz w:val="16"/>
        </w:rPr>
      </w:pPr>
      <w:r w:rsidRPr="00220A65">
        <w:rPr>
          <w:b/>
          <w:iCs/>
          <w:highlight w:val="cyan"/>
          <w:u w:val="single"/>
          <w:bdr w:val="single" w:sz="8" w:space="0" w:color="auto"/>
        </w:rPr>
        <w:t>Today</w:t>
      </w:r>
      <w:r w:rsidRPr="00220A65">
        <w:rPr>
          <w:sz w:val="16"/>
        </w:rPr>
        <w:t xml:space="preserve">, though, </w:t>
      </w:r>
      <w:r w:rsidRPr="00220A65">
        <w:rPr>
          <w:u w:val="single"/>
        </w:rPr>
        <w:t xml:space="preserve">the state of military conflict </w:t>
      </w:r>
      <w:r w:rsidRPr="00220A65">
        <w:rPr>
          <w:b/>
          <w:iCs/>
          <w:highlight w:val="cyan"/>
          <w:u w:val="single"/>
          <w:bdr w:val="single" w:sz="8" w:space="0" w:color="auto"/>
        </w:rPr>
        <w:t>looks</w:t>
      </w:r>
      <w:r w:rsidRPr="00220A65">
        <w:rPr>
          <w:b/>
          <w:iCs/>
          <w:u w:val="single"/>
          <w:bdr w:val="single" w:sz="8" w:space="0" w:color="auto"/>
        </w:rPr>
        <w:t xml:space="preserve"> more </w:t>
      </w:r>
      <w:r w:rsidRPr="00220A65">
        <w:rPr>
          <w:b/>
          <w:iCs/>
          <w:highlight w:val="cyan"/>
          <w:u w:val="single"/>
          <w:bdr w:val="single" w:sz="8" w:space="0" w:color="auto"/>
        </w:rPr>
        <w:t>like</w:t>
      </w:r>
      <w:r w:rsidRPr="00220A65">
        <w:rPr>
          <w:b/>
          <w:iCs/>
          <w:u w:val="single"/>
          <w:bdr w:val="single" w:sz="8" w:space="0" w:color="auto"/>
        </w:rPr>
        <w:t xml:space="preserve"> it did during </w:t>
      </w:r>
      <w:r w:rsidRPr="00220A65">
        <w:rPr>
          <w:b/>
          <w:iCs/>
          <w:highlight w:val="cyan"/>
          <w:u w:val="single"/>
          <w:bdr w:val="single" w:sz="8" w:space="0" w:color="auto"/>
        </w:rPr>
        <w:t>the Cold War</w:t>
      </w:r>
      <w:r w:rsidRPr="00220A65">
        <w:rPr>
          <w:sz w:val="16"/>
        </w:rPr>
        <w:t xml:space="preserve">. In particular, </w:t>
      </w:r>
      <w:r w:rsidRPr="00220A65">
        <w:rPr>
          <w:u w:val="single"/>
        </w:rPr>
        <w:t>China and Russia have again asserted territorial ambitions that include</w:t>
      </w:r>
      <w:r w:rsidRPr="00220A65">
        <w:rPr>
          <w:sz w:val="16"/>
        </w:rPr>
        <w:t xml:space="preserve"> the formal </w:t>
      </w:r>
      <w:r w:rsidRPr="00220A65">
        <w:rPr>
          <w:u w:val="single"/>
        </w:rPr>
        <w:t>annexation or</w:t>
      </w:r>
      <w:r w:rsidRPr="00220A65">
        <w:rPr>
          <w:sz w:val="16"/>
        </w:rPr>
        <w:t xml:space="preserve"> at least </w:t>
      </w:r>
      <w:r w:rsidRPr="00220A65">
        <w:rPr>
          <w:u w:val="single"/>
        </w:rPr>
        <w:t>domination of independent nations and territory</w:t>
      </w:r>
      <w:r w:rsidRPr="00220A65">
        <w:rPr>
          <w:sz w:val="16"/>
        </w:rPr>
        <w:t xml:space="preserve"> that those nations control or claim. </w:t>
      </w:r>
      <w:r w:rsidRPr="00220A65">
        <w:rPr>
          <w:highlight w:val="cyan"/>
          <w:u w:val="single"/>
        </w:rPr>
        <w:t>Russia</w:t>
      </w:r>
      <w:r w:rsidRPr="00220A65">
        <w:rPr>
          <w:sz w:val="16"/>
        </w:rPr>
        <w:t xml:space="preserve">, in particular, has </w:t>
      </w:r>
      <w:r w:rsidRPr="00220A65">
        <w:rPr>
          <w:u w:val="single"/>
        </w:rPr>
        <w:t xml:space="preserve">repeatedly </w:t>
      </w:r>
      <w:r w:rsidRPr="00220A65">
        <w:rPr>
          <w:highlight w:val="cyan"/>
          <w:u w:val="single"/>
        </w:rPr>
        <w:t>used</w:t>
      </w:r>
      <w:r w:rsidRPr="00220A65">
        <w:rPr>
          <w:u w:val="single"/>
        </w:rPr>
        <w:t xml:space="preserve"> military </w:t>
      </w:r>
      <w:r w:rsidRPr="00220A65">
        <w:rPr>
          <w:highlight w:val="cyan"/>
          <w:u w:val="single"/>
        </w:rPr>
        <w:t>force against</w:t>
      </w:r>
      <w:r w:rsidRPr="00220A65">
        <w:rPr>
          <w:u w:val="single"/>
        </w:rPr>
        <w:t xml:space="preserve"> its neighbors</w:t>
      </w:r>
      <w:r w:rsidRPr="00220A65">
        <w:rPr>
          <w:sz w:val="16"/>
        </w:rPr>
        <w:t>—</w:t>
      </w:r>
      <w:r w:rsidRPr="00220A65">
        <w:rPr>
          <w:b/>
          <w:iCs/>
          <w:u w:val="single"/>
          <w:bdr w:val="single" w:sz="8" w:space="0" w:color="auto"/>
        </w:rPr>
        <w:t>Georgia</w:t>
      </w:r>
      <w:r w:rsidRPr="00220A65">
        <w:rPr>
          <w:sz w:val="16"/>
        </w:rPr>
        <w:t xml:space="preserve"> in 2008, Ukraine in 2014, </w:t>
      </w:r>
      <w:r w:rsidRPr="00220A65">
        <w:rPr>
          <w:b/>
          <w:iCs/>
          <w:u w:val="single"/>
          <w:bdr w:val="single" w:sz="8" w:space="0" w:color="auto"/>
        </w:rPr>
        <w:t xml:space="preserve">and </w:t>
      </w:r>
      <w:r w:rsidRPr="00220A65">
        <w:rPr>
          <w:b/>
          <w:iCs/>
          <w:highlight w:val="cyan"/>
          <w:u w:val="single"/>
          <w:bdr w:val="single" w:sz="8" w:space="0" w:color="auto"/>
        </w:rPr>
        <w:t>Ukraine</w:t>
      </w:r>
      <w:r w:rsidRPr="00220A65">
        <w:rPr>
          <w:sz w:val="16"/>
        </w:rPr>
        <w:t xml:space="preserve"> again in 2022—in order to seize and annex territory and install friendly governments. </w:t>
      </w:r>
      <w:r w:rsidRPr="00220A65">
        <w:rPr>
          <w:highlight w:val="cyan"/>
          <w:u w:val="single"/>
        </w:rPr>
        <w:t>China</w:t>
      </w:r>
      <w:r w:rsidRPr="00220A65">
        <w:rPr>
          <w:sz w:val="16"/>
        </w:rPr>
        <w:t xml:space="preserve"> has continued to </w:t>
      </w:r>
      <w:r w:rsidRPr="00220A65">
        <w:rPr>
          <w:highlight w:val="cyan"/>
          <w:u w:val="single"/>
        </w:rPr>
        <w:t>make clear</w:t>
      </w:r>
      <w:r w:rsidRPr="00220A65">
        <w:rPr>
          <w:u w:val="single"/>
        </w:rPr>
        <w:t xml:space="preserve"> its </w:t>
      </w:r>
      <w:r w:rsidRPr="00220A65">
        <w:rPr>
          <w:highlight w:val="cyan"/>
          <w:u w:val="single"/>
        </w:rPr>
        <w:t xml:space="preserve">ambition to </w:t>
      </w:r>
      <w:r w:rsidRPr="00220A65">
        <w:rPr>
          <w:b/>
          <w:iCs/>
          <w:highlight w:val="cyan"/>
          <w:u w:val="single"/>
          <w:bdr w:val="single" w:sz="8" w:space="0" w:color="auto"/>
        </w:rPr>
        <w:t>reannex Taiwan</w:t>
      </w:r>
      <w:r w:rsidRPr="00220A65">
        <w:rPr>
          <w:u w:val="single"/>
        </w:rPr>
        <w:t xml:space="preserve">, while also advancing </w:t>
      </w:r>
      <w:r w:rsidRPr="00220A65">
        <w:rPr>
          <w:b/>
          <w:iCs/>
          <w:u w:val="single"/>
          <w:bdr w:val="single" w:sz="8" w:space="0" w:color="auto"/>
        </w:rPr>
        <w:t>territorial claims in the S</w:t>
      </w:r>
      <w:r w:rsidRPr="00220A65">
        <w:rPr>
          <w:u w:val="single"/>
        </w:rPr>
        <w:t xml:space="preserve">outh </w:t>
      </w:r>
      <w:r w:rsidRPr="00220A65">
        <w:rPr>
          <w:b/>
          <w:iCs/>
          <w:u w:val="single"/>
          <w:bdr w:val="single" w:sz="8" w:space="0" w:color="auto"/>
        </w:rPr>
        <w:t>C</w:t>
      </w:r>
      <w:r w:rsidRPr="00220A65">
        <w:rPr>
          <w:u w:val="single"/>
        </w:rPr>
        <w:t xml:space="preserve">hina </w:t>
      </w:r>
      <w:r w:rsidRPr="00220A65">
        <w:rPr>
          <w:b/>
          <w:iCs/>
          <w:u w:val="single"/>
          <w:bdr w:val="single" w:sz="8" w:space="0" w:color="auto"/>
        </w:rPr>
        <w:t>S</w:t>
      </w:r>
      <w:r w:rsidRPr="00220A65">
        <w:rPr>
          <w:u w:val="single"/>
        </w:rPr>
        <w:t>ea</w:t>
      </w:r>
      <w:r w:rsidRPr="00220A65">
        <w:rPr>
          <w:sz w:val="16"/>
        </w:rPr>
        <w:t xml:space="preserve">. The fact </w:t>
      </w:r>
      <w:r w:rsidRPr="00220A65">
        <w:rPr>
          <w:highlight w:val="cyan"/>
          <w:u w:val="single"/>
        </w:rPr>
        <w:t>that both</w:t>
      </w:r>
      <w:r w:rsidRPr="00220A65">
        <w:rPr>
          <w:u w:val="single"/>
        </w:rPr>
        <w:t xml:space="preserve"> Russia and China </w:t>
      </w:r>
      <w:r w:rsidRPr="00220A65">
        <w:rPr>
          <w:highlight w:val="cyan"/>
          <w:u w:val="single"/>
        </w:rPr>
        <w:t xml:space="preserve">are </w:t>
      </w:r>
      <w:r w:rsidRPr="00220A65">
        <w:rPr>
          <w:b/>
          <w:iCs/>
          <w:highlight w:val="cyan"/>
          <w:u w:val="single"/>
          <w:bdr w:val="single" w:sz="8" w:space="0" w:color="auto"/>
        </w:rPr>
        <w:t>nuclear</w:t>
      </w:r>
      <w:r w:rsidRPr="00220A65">
        <w:rPr>
          <w:b/>
          <w:iCs/>
          <w:u w:val="single"/>
          <w:bdr w:val="single" w:sz="8" w:space="0" w:color="auto"/>
        </w:rPr>
        <w:t>-armed powers</w:t>
      </w:r>
      <w:r w:rsidRPr="00220A65">
        <w:rPr>
          <w:u w:val="single"/>
        </w:rPr>
        <w:t xml:space="preserve"> </w:t>
      </w:r>
      <w:r w:rsidRPr="00220A65">
        <w:rPr>
          <w:highlight w:val="cyan"/>
          <w:u w:val="single"/>
        </w:rPr>
        <w:t>makes</w:t>
      </w:r>
      <w:r w:rsidRPr="00220A65">
        <w:rPr>
          <w:u w:val="single"/>
        </w:rPr>
        <w:t xml:space="preserve"> the prospect of direct military </w:t>
      </w:r>
      <w:r w:rsidRPr="00220A65">
        <w:rPr>
          <w:highlight w:val="cyan"/>
          <w:u w:val="single"/>
        </w:rPr>
        <w:t>confrontation</w:t>
      </w:r>
      <w:r w:rsidRPr="00220A65">
        <w:rPr>
          <w:u w:val="single"/>
        </w:rPr>
        <w:t xml:space="preserve"> </w:t>
      </w:r>
      <w:r w:rsidRPr="00220A65">
        <w:rPr>
          <w:b/>
          <w:iCs/>
          <w:u w:val="single"/>
          <w:bdr w:val="single" w:sz="8" w:space="0" w:color="auto"/>
        </w:rPr>
        <w:t xml:space="preserve">very </w:t>
      </w:r>
      <w:r w:rsidRPr="00220A65">
        <w:rPr>
          <w:b/>
          <w:iCs/>
          <w:highlight w:val="cyan"/>
          <w:u w:val="single"/>
          <w:bdr w:val="single" w:sz="8" w:space="0" w:color="auto"/>
        </w:rPr>
        <w:t>risky</w:t>
      </w:r>
      <w:r w:rsidRPr="00220A65">
        <w:rPr>
          <w:sz w:val="16"/>
        </w:rPr>
        <w:t>. As a result, the United States and its allies have been left searching for alternative modes of response.</w:t>
      </w:r>
    </w:p>
    <w:p w14:paraId="033998FF" w14:textId="77777777" w:rsidR="00923E7B" w:rsidRPr="00220A65" w:rsidRDefault="00923E7B" w:rsidP="00923E7B">
      <w:pPr>
        <w:rPr>
          <w:sz w:val="16"/>
        </w:rPr>
      </w:pPr>
      <w:r w:rsidRPr="00220A65">
        <w:rPr>
          <w:sz w:val="16"/>
        </w:rPr>
        <w:t xml:space="preserve">The second trend—the increased </w:t>
      </w:r>
      <w:r w:rsidRPr="00220A65">
        <w:rPr>
          <w:u w:val="single"/>
        </w:rPr>
        <w:t>economic interdependence</w:t>
      </w:r>
      <w:r w:rsidRPr="00220A65">
        <w:rPr>
          <w:sz w:val="16"/>
        </w:rPr>
        <w:t xml:space="preserve"> of nations— has </w:t>
      </w:r>
      <w:r w:rsidRPr="00220A65">
        <w:rPr>
          <w:u w:val="single"/>
        </w:rPr>
        <w:t xml:space="preserve">offered an </w:t>
      </w:r>
      <w:r w:rsidRPr="00220A65">
        <w:rPr>
          <w:highlight w:val="cyan"/>
          <w:u w:val="single"/>
        </w:rPr>
        <w:t>answer to</w:t>
      </w:r>
      <w:r w:rsidRPr="00220A65">
        <w:rPr>
          <w:u w:val="single"/>
        </w:rPr>
        <w:t xml:space="preserve"> the problem posed by the resurgence of territorial </w:t>
      </w:r>
      <w:r w:rsidRPr="00220A65">
        <w:rPr>
          <w:b/>
          <w:iCs/>
          <w:highlight w:val="cyan"/>
          <w:u w:val="single"/>
          <w:bdr w:val="single" w:sz="8" w:space="0" w:color="auto"/>
        </w:rPr>
        <w:t>revisionism by nuclear</w:t>
      </w:r>
      <w:r w:rsidRPr="00220A65">
        <w:rPr>
          <w:b/>
          <w:iCs/>
          <w:u w:val="single"/>
          <w:bdr w:val="single" w:sz="8" w:space="0" w:color="auto"/>
        </w:rPr>
        <w:t xml:space="preserve">-armed </w:t>
      </w:r>
      <w:r w:rsidRPr="00220A65">
        <w:rPr>
          <w:b/>
          <w:iCs/>
          <w:highlight w:val="cyan"/>
          <w:u w:val="single"/>
          <w:bdr w:val="single" w:sz="8" w:space="0" w:color="auto"/>
        </w:rPr>
        <w:t>countries</w:t>
      </w:r>
      <w:r w:rsidRPr="00220A65">
        <w:rPr>
          <w:sz w:val="16"/>
        </w:rPr>
        <w:t xml:space="preserve">. Globalization and economic interdependence have long been thought of as tools of economic peace and prosperity. Nations that trade together will not go to war, the </w:t>
      </w:r>
      <w:r w:rsidRPr="00220A65">
        <w:rPr>
          <w:sz w:val="16"/>
        </w:rPr>
        <w:lastRenderedPageBreak/>
        <w:t>thinking has gone. The persistence of Russia and China’s territorial ambitions, despite their integration into the global economy, suggests that this conventional wisdom is at least partly wrong.21 But there is also some truth in it, albeit in a sense not intended by globalization’s proponents.</w:t>
      </w:r>
    </w:p>
    <w:p w14:paraId="53AF2F13" w14:textId="77777777" w:rsidR="00923E7B" w:rsidRPr="00220A65" w:rsidRDefault="00923E7B" w:rsidP="00923E7B">
      <w:pPr>
        <w:rPr>
          <w:sz w:val="16"/>
        </w:rPr>
      </w:pPr>
      <w:r w:rsidRPr="00220A65">
        <w:rPr>
          <w:sz w:val="16"/>
        </w:rPr>
        <w:t xml:space="preserve">It </w:t>
      </w:r>
      <w:r w:rsidRPr="00220A65">
        <w:rPr>
          <w:highlight w:val="cyan"/>
          <w:u w:val="single"/>
        </w:rPr>
        <w:t>is</w:t>
      </w:r>
      <w:r w:rsidRPr="00220A65">
        <w:rPr>
          <w:sz w:val="16"/>
        </w:rPr>
        <w:t xml:space="preserve"> now clear that </w:t>
      </w:r>
      <w:r w:rsidRPr="00220A65">
        <w:rPr>
          <w:u w:val="single"/>
        </w:rPr>
        <w:t>the globalized economy allows for</w:t>
      </w:r>
      <w:r w:rsidRPr="00220A65">
        <w:rPr>
          <w:sz w:val="16"/>
        </w:rPr>
        <w:t xml:space="preserve"> what has been termed “</w:t>
      </w:r>
      <w:r w:rsidRPr="00220A65">
        <w:rPr>
          <w:b/>
          <w:iCs/>
          <w:highlight w:val="cyan"/>
          <w:u w:val="single"/>
          <w:bdr w:val="single" w:sz="8" w:space="0" w:color="auto"/>
        </w:rPr>
        <w:t>weaponized interdependence</w:t>
      </w:r>
      <w:r w:rsidRPr="00220A65">
        <w:rPr>
          <w:sz w:val="16"/>
        </w:rPr>
        <w:t xml:space="preserve">.”22 Economic ties between nations, the globalization of the financial system, and the dollar’s enduring status as a reserve currency all mean that </w:t>
      </w:r>
      <w:r w:rsidRPr="00220A65">
        <w:rPr>
          <w:u w:val="single"/>
        </w:rPr>
        <w:t>the United States and its allies can deploy sophisticated economic sanctions as a means of attempting to disrupt and discourage the use of force by</w:t>
      </w:r>
      <w:r w:rsidRPr="00220A65">
        <w:rPr>
          <w:sz w:val="16"/>
        </w:rPr>
        <w:t xml:space="preserve"> both </w:t>
      </w:r>
      <w:r w:rsidRPr="00220A65">
        <w:rPr>
          <w:u w:val="single"/>
        </w:rPr>
        <w:t>traditional state actors and nonstate actors. Breaches of international peace and security</w:t>
      </w:r>
      <w:r w:rsidRPr="00220A65">
        <w:rPr>
          <w:sz w:val="16"/>
        </w:rPr>
        <w:t xml:space="preserve"> and violations of international obligations that support international peace and security </w:t>
      </w:r>
      <w:r w:rsidRPr="00220A65">
        <w:rPr>
          <w:u w:val="single"/>
        </w:rPr>
        <w:t>are</w:t>
      </w:r>
      <w:r w:rsidRPr="00220A65">
        <w:rPr>
          <w:sz w:val="16"/>
        </w:rPr>
        <w:t xml:space="preserve"> thus </w:t>
      </w:r>
      <w:r w:rsidRPr="00220A65">
        <w:rPr>
          <w:b/>
          <w:iCs/>
          <w:u w:val="single"/>
          <w:bdr w:val="single" w:sz="8" w:space="0" w:color="auto"/>
        </w:rPr>
        <w:t>increasingly met with a wide range of economic measures</w:t>
      </w:r>
      <w:r w:rsidRPr="00220A65">
        <w:rPr>
          <w:sz w:val="16"/>
        </w:rPr>
        <w:t xml:space="preserve"> designed </w:t>
      </w:r>
      <w:r w:rsidRPr="00220A65">
        <w:rPr>
          <w:highlight w:val="cyan"/>
          <w:u w:val="single"/>
        </w:rPr>
        <w:t>to</w:t>
      </w:r>
      <w:r w:rsidRPr="00220A65">
        <w:rPr>
          <w:sz w:val="16"/>
        </w:rPr>
        <w:t xml:space="preserve"> punish, cripple, and </w:t>
      </w:r>
      <w:r w:rsidRPr="00220A65">
        <w:rPr>
          <w:highlight w:val="cyan"/>
          <w:u w:val="single"/>
        </w:rPr>
        <w:t>deter</w:t>
      </w:r>
      <w:r w:rsidRPr="00220A65">
        <w:rPr>
          <w:u w:val="single"/>
        </w:rPr>
        <w:t xml:space="preserve"> American </w:t>
      </w:r>
      <w:r w:rsidRPr="00220A65">
        <w:rPr>
          <w:highlight w:val="cyan"/>
          <w:u w:val="single"/>
        </w:rPr>
        <w:t>enemies</w:t>
      </w:r>
      <w:r w:rsidRPr="00220A65">
        <w:rPr>
          <w:u w:val="single"/>
        </w:rPr>
        <w:t xml:space="preserve">. Those measures include </w:t>
      </w:r>
      <w:r w:rsidRPr="00220A65">
        <w:rPr>
          <w:b/>
          <w:iCs/>
          <w:u w:val="single"/>
          <w:bdr w:val="single" w:sz="8" w:space="0" w:color="auto"/>
        </w:rPr>
        <w:t xml:space="preserve">trade </w:t>
      </w:r>
      <w:r w:rsidRPr="00220A65">
        <w:rPr>
          <w:b/>
          <w:iCs/>
          <w:highlight w:val="cyan"/>
          <w:u w:val="single"/>
          <w:bdr w:val="single" w:sz="8" w:space="0" w:color="auto"/>
        </w:rPr>
        <w:t>sanctions</w:t>
      </w:r>
      <w:r w:rsidRPr="00220A65">
        <w:rPr>
          <w:sz w:val="16"/>
        </w:rPr>
        <w:t xml:space="preserve">,23 </w:t>
      </w:r>
      <w:r w:rsidRPr="00220A65">
        <w:rPr>
          <w:b/>
          <w:iCs/>
          <w:highlight w:val="cyan"/>
          <w:u w:val="single"/>
          <w:bdr w:val="single" w:sz="8" w:space="0" w:color="auto"/>
        </w:rPr>
        <w:t>divestment</w:t>
      </w:r>
      <w:r w:rsidRPr="00220A65">
        <w:rPr>
          <w:b/>
          <w:iCs/>
          <w:u w:val="single"/>
          <w:bdr w:val="single" w:sz="8" w:space="0" w:color="auto"/>
        </w:rPr>
        <w:t xml:space="preserve"> and investment restrictions</w:t>
      </w:r>
      <w:r w:rsidRPr="00220A65">
        <w:rPr>
          <w:sz w:val="16"/>
        </w:rPr>
        <w:t xml:space="preserve">,24 </w:t>
      </w:r>
      <w:r w:rsidRPr="00220A65">
        <w:rPr>
          <w:highlight w:val="cyan"/>
          <w:u w:val="single"/>
        </w:rPr>
        <w:t xml:space="preserve">and </w:t>
      </w:r>
      <w:r w:rsidRPr="00220A65">
        <w:rPr>
          <w:b/>
          <w:iCs/>
          <w:highlight w:val="cyan"/>
          <w:u w:val="single"/>
          <w:bdr w:val="single" w:sz="8" w:space="0" w:color="auto"/>
        </w:rPr>
        <w:t>financial blockades</w:t>
      </w:r>
      <w:r w:rsidRPr="00220A65">
        <w:rPr>
          <w:sz w:val="16"/>
        </w:rPr>
        <w:t xml:space="preserve">.25 Moreover, </w:t>
      </w:r>
      <w:r w:rsidRPr="00220A65">
        <w:rPr>
          <w:u w:val="single"/>
        </w:rPr>
        <w:t xml:space="preserve">as geopolitical competition re-emerges, the </w:t>
      </w:r>
      <w:r w:rsidRPr="00220A65">
        <w:rPr>
          <w:b/>
          <w:iCs/>
          <w:u w:val="single"/>
          <w:bdr w:val="single" w:sz="8" w:space="0" w:color="auto"/>
        </w:rPr>
        <w:t>U</w:t>
      </w:r>
      <w:r w:rsidRPr="00220A65">
        <w:rPr>
          <w:sz w:val="16"/>
        </w:rPr>
        <w:t xml:space="preserve">nited </w:t>
      </w:r>
      <w:r w:rsidRPr="00220A65">
        <w:rPr>
          <w:b/>
          <w:iCs/>
          <w:u w:val="single"/>
          <w:bdr w:val="single" w:sz="8" w:space="0" w:color="auto"/>
        </w:rPr>
        <w:t>S</w:t>
      </w:r>
      <w:r w:rsidRPr="00220A65">
        <w:rPr>
          <w:sz w:val="16"/>
        </w:rPr>
        <w:t xml:space="preserve">tates </w:t>
      </w:r>
      <w:r w:rsidRPr="00220A65">
        <w:rPr>
          <w:u w:val="single"/>
        </w:rPr>
        <w:t>and its allies have</w:t>
      </w:r>
      <w:r w:rsidRPr="00220A65">
        <w:rPr>
          <w:sz w:val="16"/>
        </w:rPr>
        <w:t xml:space="preserve"> also (perhaps belatedly) </w:t>
      </w:r>
      <w:r w:rsidRPr="00220A65">
        <w:rPr>
          <w:u w:val="single"/>
        </w:rPr>
        <w:t xml:space="preserve">begun to consider how to proactively reduce their own economic dependence on geopolitical rivals. </w:t>
      </w:r>
      <w:r w:rsidRPr="00220A65">
        <w:rPr>
          <w:b/>
          <w:iCs/>
          <w:u w:val="single"/>
          <w:bdr w:val="single" w:sz="8" w:space="0" w:color="auto"/>
        </w:rPr>
        <w:t>Reducing such dependence</w:t>
      </w:r>
      <w:r w:rsidRPr="00220A65">
        <w:rPr>
          <w:sz w:val="16"/>
        </w:rPr>
        <w:t>—such as by weaning the European Union off of Russian natural gas or reducing U.S. dependence on critical minerals from China and Russia26—</w:t>
      </w:r>
      <w:r w:rsidRPr="00220A65">
        <w:rPr>
          <w:b/>
          <w:iCs/>
          <w:u w:val="single"/>
          <w:bdr w:val="single" w:sz="8" w:space="0" w:color="auto"/>
        </w:rPr>
        <w:t xml:space="preserve">is </w:t>
      </w:r>
      <w:r w:rsidRPr="00220A65">
        <w:rPr>
          <w:b/>
          <w:iCs/>
          <w:highlight w:val="cyan"/>
          <w:u w:val="single"/>
          <w:bdr w:val="single" w:sz="8" w:space="0" w:color="auto"/>
        </w:rPr>
        <w:t>critical</w:t>
      </w:r>
      <w:r w:rsidRPr="00220A65">
        <w:rPr>
          <w:highlight w:val="cyan"/>
          <w:u w:val="single"/>
        </w:rPr>
        <w:t xml:space="preserve"> to</w:t>
      </w:r>
      <w:r w:rsidRPr="00220A65">
        <w:rPr>
          <w:u w:val="single"/>
        </w:rPr>
        <w:t xml:space="preserve"> enabling a more robust </w:t>
      </w:r>
      <w:r w:rsidRPr="00220A65">
        <w:rPr>
          <w:highlight w:val="cyan"/>
          <w:u w:val="single"/>
        </w:rPr>
        <w:t>response</w:t>
      </w:r>
      <w:r w:rsidRPr="00220A65">
        <w:rPr>
          <w:u w:val="single"/>
        </w:rPr>
        <w:t xml:space="preserve"> to these nations’ aggressive territorial conduct</w:t>
      </w:r>
      <w:r w:rsidRPr="00220A65">
        <w:rPr>
          <w:sz w:val="16"/>
        </w:rPr>
        <w:t>.</w:t>
      </w:r>
    </w:p>
    <w:p w14:paraId="02ADCDD7" w14:textId="77777777" w:rsidR="00923E7B" w:rsidRPr="00220A65" w:rsidRDefault="00923E7B" w:rsidP="00923E7B">
      <w:pPr>
        <w:rPr>
          <w:sz w:val="16"/>
        </w:rPr>
      </w:pPr>
      <w:r w:rsidRPr="00220A65">
        <w:rPr>
          <w:sz w:val="16"/>
        </w:rPr>
        <w:t xml:space="preserve">In response to these two trends, the United States government has increasingly relied on tools of economic warfare in order to advance its foreign policy and national security goals. Four major developments are worth noting, one from each of the last four administrations. First, in the wake of 9/11, the Bush administration built an impressive war machine out of the Treasury Department, as part of its broader War on Terror. The Treasury Department used its legal authority on economic sanctions and banking to prevent terrorists from gaining access to global financial networks—thereby limiting their ability to fund future terror campaigns. Second, the Obama administration used economic sanctions to push Iran to join the Joint Comprehensive Plan of Action (JCPOA), an international agreement aimed at preventing Iran from developing nuclear weapons. The sanctions regime included legislatively specified sanctions, executive branch sanctions, and international sanctions from the United Nations and allied countries. Third, the Trump administration began a trade war with China, elevating a range of authorities to raise tariffs to the forefront of policymaking. It also took an aggressive posture on foreign tech platforms and foreign investment, including restricting outbound U.S. investment in China and authorizing the Commerce Department to develop rules and regulations for foreign tech platforms operating in the United States. Finally, as noted above, under the Biden administration, the federal government has used economic warfare tools in its response to the Russian invasion of Ukraine, including economic sanctions and the Defense Production Act. </w:t>
      </w:r>
    </w:p>
    <w:p w14:paraId="60BE64BB" w14:textId="77777777" w:rsidR="00923E7B" w:rsidRPr="00220A65" w:rsidRDefault="00923E7B" w:rsidP="00923E7B">
      <w:pPr>
        <w:rPr>
          <w:sz w:val="16"/>
        </w:rPr>
      </w:pPr>
      <w:r w:rsidRPr="00220A65">
        <w:rPr>
          <w:sz w:val="16"/>
        </w:rPr>
        <w:t xml:space="preserve">As these examples show, economic warfare has increasingly become a complement to, and sometimes a substitute for, direct military confrontation and the provision of military aid to proxies. This regular weaponization of economic power is not limited to the United States, and it has already sent shockwaves through the international legal system governing trade. International trade agreements, such as the General Agreement on Tariffs and Trade (GATT), and domestic trade laws, such as Section 232 of the Trade Expansion Act, contain rules governing economic measures that affect national security. In general, these rules act as exceptions. They allow governments to raise economic barriers in contravention of regularly applicable rules that establish low trade barriers.34 In international trade disputes at the World Trade Organization (WTO), countries have begun to regularly invoke national security exceptions to defend economic security measures. The United States, for instance, has done so in disputes over the Trump administration’s national security tariffs on steel and aluminum, and in disputes over trade sanctions against Hong Kong stemming from Chinese efforts to squash democracy there. Russia successfully invoked the exception against Ukraine in an economic dispute stemming from its 2014 conflict, and Saudi Arabia was partially successful in invoking the exception to justify an economic blockage of Qatar. </w:t>
      </w:r>
    </w:p>
    <w:p w14:paraId="032B398C" w14:textId="77777777" w:rsidR="00923E7B" w:rsidRPr="00220A65" w:rsidRDefault="00923E7B" w:rsidP="00923E7B">
      <w:pPr>
        <w:rPr>
          <w:sz w:val="16"/>
        </w:rPr>
      </w:pPr>
      <w:r w:rsidRPr="00220A65">
        <w:rPr>
          <w:sz w:val="16"/>
        </w:rPr>
        <w:t xml:space="preserve">As a result, the securitization of international economic affairs is well underway. This has sometimes concerned scholars and commentators, who argue for clearer lines as to when national security is a valid justification for using economic tools. But while the exceptions to international economic rules date from the Cold War and often were based on assumptions about traditional military conflicts, governments have moved effectively to repurpose these rules for modern conflicts, and to date international tribunals have generally upheld the use of national security as a justification for economic warfare. </w:t>
      </w:r>
    </w:p>
    <w:p w14:paraId="2C4B71A6" w14:textId="77777777" w:rsidR="00923E7B" w:rsidRPr="00220A65" w:rsidRDefault="00923E7B" w:rsidP="00923E7B">
      <w:pPr>
        <w:rPr>
          <w:sz w:val="16"/>
        </w:rPr>
      </w:pPr>
      <w:r w:rsidRPr="00220A65">
        <w:rPr>
          <w:sz w:val="16"/>
        </w:rPr>
        <w:t>II. ECONOMIC WARFARE AS A MAJOR QUESTION</w:t>
      </w:r>
    </w:p>
    <w:p w14:paraId="6553B337" w14:textId="77777777" w:rsidR="00923E7B" w:rsidRPr="00220A65" w:rsidRDefault="00923E7B" w:rsidP="00923E7B">
      <w:pPr>
        <w:rPr>
          <w:sz w:val="16"/>
        </w:rPr>
      </w:pPr>
      <w:r w:rsidRPr="00220A65">
        <w:rPr>
          <w:u w:val="single"/>
        </w:rPr>
        <w:t xml:space="preserve">If international economic law and practice is moving toward </w:t>
      </w:r>
      <w:r w:rsidRPr="00220A65">
        <w:rPr>
          <w:b/>
          <w:iCs/>
          <w:u w:val="single"/>
          <w:bdr w:val="single" w:sz="8" w:space="0" w:color="auto"/>
        </w:rPr>
        <w:t>greater acceptance of economic warfare</w:t>
      </w:r>
      <w:r w:rsidRPr="00220A65">
        <w:rPr>
          <w:u w:val="single"/>
        </w:rPr>
        <w:t xml:space="preserve">, </w:t>
      </w:r>
      <w:r w:rsidRPr="00220A65">
        <w:rPr>
          <w:b/>
          <w:iCs/>
          <w:u w:val="single"/>
          <w:bdr w:val="single" w:sz="8" w:space="0" w:color="auto"/>
        </w:rPr>
        <w:t>domestic law</w:t>
      </w:r>
      <w:r w:rsidRPr="00220A65">
        <w:rPr>
          <w:u w:val="single"/>
        </w:rPr>
        <w:t xml:space="preserve"> in the United States risks </w:t>
      </w:r>
      <w:r w:rsidRPr="00220A65">
        <w:rPr>
          <w:b/>
          <w:iCs/>
          <w:u w:val="single"/>
          <w:bdr w:val="single" w:sz="8" w:space="0" w:color="auto"/>
        </w:rPr>
        <w:t>moving in the other direction</w:t>
      </w:r>
      <w:r w:rsidRPr="00220A65">
        <w:rPr>
          <w:sz w:val="16"/>
        </w:rPr>
        <w:t xml:space="preserve">. The </w:t>
      </w:r>
      <w:r w:rsidRPr="00220A65">
        <w:rPr>
          <w:u w:val="single"/>
        </w:rPr>
        <w:t xml:space="preserve">importance of economic warfare to contemporary foreign policy and national security runs into </w:t>
      </w:r>
      <w:r w:rsidRPr="00220A65">
        <w:rPr>
          <w:b/>
          <w:iCs/>
          <w:u w:val="single"/>
          <w:bdr w:val="single" w:sz="8" w:space="0" w:color="auto"/>
        </w:rPr>
        <w:t>direct conflict with the m</w:t>
      </w:r>
      <w:r w:rsidRPr="00220A65">
        <w:rPr>
          <w:u w:val="single"/>
        </w:rPr>
        <w:t xml:space="preserve">ajor </w:t>
      </w:r>
      <w:r w:rsidRPr="00220A65">
        <w:rPr>
          <w:b/>
          <w:iCs/>
          <w:u w:val="single"/>
          <w:bdr w:val="single" w:sz="8" w:space="0" w:color="auto"/>
        </w:rPr>
        <w:t>q</w:t>
      </w:r>
      <w:r w:rsidRPr="00220A65">
        <w:rPr>
          <w:u w:val="single"/>
        </w:rPr>
        <w:t xml:space="preserve">uestions </w:t>
      </w:r>
      <w:r w:rsidRPr="00220A65">
        <w:rPr>
          <w:b/>
          <w:iCs/>
          <w:u w:val="single"/>
          <w:bdr w:val="single" w:sz="8" w:space="0" w:color="auto"/>
        </w:rPr>
        <w:t>d</w:t>
      </w:r>
      <w:r w:rsidRPr="00220A65">
        <w:rPr>
          <w:u w:val="single"/>
        </w:rPr>
        <w:t>octrine</w:t>
      </w:r>
      <w:r w:rsidRPr="00220A65">
        <w:rPr>
          <w:sz w:val="16"/>
        </w:rPr>
        <w:t xml:space="preserve">. The reason is that the legal structure of </w:t>
      </w:r>
      <w:r w:rsidRPr="00220A65">
        <w:rPr>
          <w:highlight w:val="cyan"/>
          <w:u w:val="single"/>
        </w:rPr>
        <w:t>economic warfare</w:t>
      </w:r>
      <w:r w:rsidRPr="00220A65">
        <w:rPr>
          <w:sz w:val="16"/>
        </w:rPr>
        <w:t xml:space="preserve"> in the United States </w:t>
      </w:r>
      <w:r w:rsidRPr="00220A65">
        <w:rPr>
          <w:b/>
          <w:iCs/>
          <w:highlight w:val="cyan"/>
          <w:u w:val="single"/>
          <w:bdr w:val="single" w:sz="8" w:space="0" w:color="auto"/>
        </w:rPr>
        <w:t xml:space="preserve">depends on statutes </w:t>
      </w:r>
      <w:r w:rsidRPr="00220A65">
        <w:rPr>
          <w:b/>
          <w:iCs/>
          <w:highlight w:val="cyan"/>
          <w:u w:val="single"/>
          <w:bdr w:val="single" w:sz="8" w:space="0" w:color="auto"/>
        </w:rPr>
        <w:lastRenderedPageBreak/>
        <w:t>that delegate</w:t>
      </w:r>
      <w:r w:rsidRPr="00220A65">
        <w:rPr>
          <w:b/>
          <w:iCs/>
          <w:u w:val="single"/>
          <w:bdr w:val="single" w:sz="8" w:space="0" w:color="auto"/>
        </w:rPr>
        <w:t xml:space="preserve"> authority </w:t>
      </w:r>
      <w:r w:rsidRPr="00220A65">
        <w:rPr>
          <w:b/>
          <w:iCs/>
          <w:highlight w:val="cyan"/>
          <w:u w:val="single"/>
          <w:bdr w:val="single" w:sz="8" w:space="0" w:color="auto"/>
        </w:rPr>
        <w:t>broadly</w:t>
      </w:r>
      <w:r w:rsidRPr="00220A65">
        <w:rPr>
          <w:u w:val="single"/>
        </w:rPr>
        <w:t xml:space="preserve"> to the executive branch in ways that cannot be neatly divided between foreign and domestic</w:t>
      </w:r>
      <w:r w:rsidRPr="00220A65">
        <w:rPr>
          <w:sz w:val="16"/>
        </w:rPr>
        <w:t>. From these vague delegations, the executive branch has fashioned economic policies that have significant political, social, and economic impacts in the United States and globally. And while many of these tools have been used for decades, some of them are quite novel—another factor that triggers application of the major questions doctrine. Here, we first provide an overview of the major questions doctrine, and then show that actions taken under critically important economic warfare statutes are likely to run afoul of the doctrine.</w:t>
      </w:r>
    </w:p>
    <w:p w14:paraId="570F2184" w14:textId="77777777" w:rsidR="00923E7B" w:rsidRPr="00220A65" w:rsidRDefault="00923E7B" w:rsidP="00923E7B">
      <w:pPr>
        <w:rPr>
          <w:sz w:val="16"/>
        </w:rPr>
      </w:pPr>
      <w:r w:rsidRPr="00220A65">
        <w:rPr>
          <w:sz w:val="16"/>
        </w:rPr>
        <w:t>A. The Major Questions Doctrine</w:t>
      </w:r>
    </w:p>
    <w:p w14:paraId="7A85AB4D" w14:textId="77777777" w:rsidR="00923E7B" w:rsidRPr="00220A65" w:rsidRDefault="00923E7B" w:rsidP="00923E7B">
      <w:pPr>
        <w:rPr>
          <w:sz w:val="16"/>
        </w:rPr>
      </w:pPr>
      <w:r w:rsidRPr="00220A65">
        <w:rPr>
          <w:sz w:val="16"/>
        </w:rPr>
        <w:t>Under the major questions doctrine, the Supreme Court “expect[s] Congress to speak clearly if it wishes to assign to an agency decisions of vast ‘economic and political significance.’ ” So stated, the doctrine has two critically important parts for thinking about national security and foreign affairs issues: the consequences of applying the doctrine and the factors that courts would use in determining a major question.</w:t>
      </w:r>
    </w:p>
    <w:p w14:paraId="7509ADD1" w14:textId="77777777" w:rsidR="00923E7B" w:rsidRPr="00220A65" w:rsidRDefault="00923E7B" w:rsidP="00923E7B">
      <w:pPr>
        <w:rPr>
          <w:sz w:val="16"/>
        </w:rPr>
      </w:pPr>
      <w:r w:rsidRPr="00220A65">
        <w:rPr>
          <w:sz w:val="16"/>
        </w:rPr>
        <w:t>For a time, it was unclear whether the Supreme Court saw the major questions doctrine as a carve-out from Chevron deference or as entailing a clear statement rule that prevented agency action without specific congressional authorization. In recent cases, it has become increasingly clear that the consequence of applying the MQD is the latter—a requirement that Congress speak clearly if it wishes for agencies to regulate in ways that have significant economic or political impacts.</w:t>
      </w:r>
    </w:p>
    <w:p w14:paraId="0F5E2D14" w14:textId="77777777" w:rsidR="00923E7B" w:rsidRPr="00220A65" w:rsidRDefault="00923E7B" w:rsidP="00923E7B">
      <w:pPr>
        <w:rPr>
          <w:sz w:val="16"/>
        </w:rPr>
      </w:pPr>
      <w:r w:rsidRPr="00220A65">
        <w:rPr>
          <w:sz w:val="16"/>
        </w:rPr>
        <w:t xml:space="preserve">Early MQD cases operated within the Chevron framework. Under that framework, a court will grant deference to agency rulemaking if Congress has delegated authority to the agency to issue rules with the force of law (Chevron Step Zero), the statute is ambiguous (Chevron Step One), and the agency’s interpretation is reasonable (Chevron Step Two). Early MQD cases operated at Chevron Step One by concluding that a statutory term was not ambiguous in light of the larger context of the policy question at issue, and thus the agency was not entitled to deference. For example, in MCI Telecommunications Corp. v. AT&amp;T Co. the Court held that the FCC could not eliminate certain tariff filings in the telecommunications sector under its authority to “modify” tariffs. The Court determined that the Communications Act of 1934 was a comprehensive regulatory system, and that the FCC could not functionally eliminate regulation by claiming that “modify” was an ambiguous term. Analyzing the meaning of “modify” in context of the statute, the Court held that the agency’s regulation failed at Chevron Step One. Similarly, in FDA v. Brown &amp; Williamson Tobacco Corp., the Court found that Congress had regulated tobacco in a variety of statutes—and had always exempted cigarettes from regulation. It therefore held that the FDA could not interpret “drug” or “device” in the Food, Drug, and Cosmetics Act to include cigarettes. The Court analogized to MCI in making this Step One decision, but in the same breath planted the seeds for a massive doctrinal shift: “As in MCI,” the Court said, “we are confident that Congress could not have intended to delegate a decision of such economic and political significance to an agency in so cryptic a fashion.” </w:t>
      </w:r>
    </w:p>
    <w:p w14:paraId="2AF41F60" w14:textId="77777777" w:rsidR="00923E7B" w:rsidRPr="00220A65" w:rsidRDefault="00923E7B" w:rsidP="00923E7B">
      <w:pPr>
        <w:rPr>
          <w:sz w:val="16"/>
        </w:rPr>
      </w:pPr>
      <w:r w:rsidRPr="00220A65">
        <w:rPr>
          <w:sz w:val="16"/>
        </w:rPr>
        <w:t>Decades later, in King v. Burwell, the MQD migrated from Chevron Step One to Step Zero, providing a reason to infer that Congress had not intended to delegate interpretive authority to the agency in the first place. There, Chief Justice John Roberts declined to apply Chevron analysis at all to an interpretation of the Affordable Care Act:</w:t>
      </w:r>
    </w:p>
    <w:p w14:paraId="726467CF" w14:textId="77777777" w:rsidR="00923E7B" w:rsidRPr="00220A65" w:rsidRDefault="00923E7B" w:rsidP="00923E7B">
      <w:pPr>
        <w:rPr>
          <w:sz w:val="16"/>
        </w:rPr>
      </w:pPr>
      <w:r w:rsidRPr="00220A65">
        <w:rPr>
          <w:sz w:val="16"/>
        </w:rPr>
        <w:t xml:space="preserve">Whether [tax] credits are available on Federal Exchanges is thus a question of deep “economic and political significance” that is central to this statutory scheme; had Congress wished to assign that question to an agency, it surely would have done so expressly. It is especially unlikely that Congress would have delegated this decision to the IRS, which has no expertise in crafting health insurance policy of this sort. </w:t>
      </w:r>
    </w:p>
    <w:p w14:paraId="10EF6A69" w14:textId="77777777" w:rsidR="00923E7B" w:rsidRPr="00220A65" w:rsidRDefault="00923E7B" w:rsidP="00923E7B">
      <w:pPr>
        <w:rPr>
          <w:sz w:val="16"/>
        </w:rPr>
      </w:pPr>
      <w:r w:rsidRPr="00220A65">
        <w:rPr>
          <w:sz w:val="16"/>
        </w:rPr>
        <w:t xml:space="preserve">In other words, the Chief Justice concluded that interpretive authority had not been delegated to the IRS, meaning that Chevron’s two-step test did not apply, and that the Court would interpret the statute itself. </w:t>
      </w:r>
    </w:p>
    <w:p w14:paraId="4BD1FB83" w14:textId="77777777" w:rsidR="00923E7B" w:rsidRPr="00220A65" w:rsidRDefault="00923E7B" w:rsidP="00923E7B">
      <w:pPr>
        <w:rPr>
          <w:sz w:val="16"/>
        </w:rPr>
      </w:pPr>
      <w:r w:rsidRPr="00220A65">
        <w:rPr>
          <w:sz w:val="16"/>
        </w:rPr>
        <w:t xml:space="preserve">Looking backwards, King appears to have been a critical pivot point. More recent cases have simply abandoned the relationship between the MQD and the Chevron framework altogether. In the seminal case establishing the contemporary MQD, West Virginia v. EPA, the Court’s opinion does not cite Chevron once. Instead, the Court made plain that it is applying a distinct mode of statutory interpretation to what it decides are major questions. As the Court put it, “in certain extraordinary cases, both separation of powers principles and a practical understanding of legislative intent make us ‘reluctant to read into ambiguous statutory text’ the delegation claimed to be lurking there.” The separation of powers concerns, presumably, sound in the key of nondelegation—a concern that broad statutes should be read narrowly to avoid constitutional concerns that Congress has given away its legislative power. The “practical understanding of legislative” history turns on the larger context in which the agency asserts delegated authority. </w:t>
      </w:r>
    </w:p>
    <w:p w14:paraId="51AAA15D" w14:textId="77777777" w:rsidR="00923E7B" w:rsidRPr="00220A65" w:rsidRDefault="00923E7B" w:rsidP="00923E7B">
      <w:pPr>
        <w:rPr>
          <w:sz w:val="16"/>
        </w:rPr>
      </w:pPr>
      <w:r w:rsidRPr="00220A65">
        <w:rPr>
          <w:sz w:val="16"/>
        </w:rPr>
        <w:t>This history and the MQD’s twin justifications in constitutional and statutory interpretation considerations could have left the doctrine’s consequences unsettled. Its roots in Chevron analysis could have suggested that the only consequence is a lack of deference to agency interpretations of ambiguous statutes, while the allusion to nondelegation concerns could have suggested that the statute (at least as applied by the agency) is unconstitutional.</w:t>
      </w:r>
    </w:p>
    <w:p w14:paraId="19FD3F49" w14:textId="77777777" w:rsidR="00923E7B" w:rsidRPr="00220A65" w:rsidRDefault="00923E7B" w:rsidP="00923E7B">
      <w:pPr>
        <w:rPr>
          <w:sz w:val="16"/>
        </w:rPr>
      </w:pPr>
      <w:r w:rsidRPr="00220A65">
        <w:rPr>
          <w:sz w:val="16"/>
        </w:rPr>
        <w:t xml:space="preserve">But the Court seems to have landed on a clear statement rule. This approach will likely result in courts setting aside executive action in a much wider range of cases than they would if the consequences of applying the MQD were merely reduced deference or even finding some agency actions unconstitutional. </w:t>
      </w:r>
      <w:r w:rsidRPr="00220A65">
        <w:rPr>
          <w:u w:val="single"/>
        </w:rPr>
        <w:t>When the MQD applies, the requirement of clear congressional authorization means</w:t>
      </w:r>
      <w:r w:rsidRPr="00220A65">
        <w:rPr>
          <w:sz w:val="16"/>
        </w:rPr>
        <w:t xml:space="preserve"> that </w:t>
      </w:r>
      <w:r w:rsidRPr="00220A65">
        <w:rPr>
          <w:b/>
          <w:iCs/>
          <w:u w:val="single"/>
          <w:bdr w:val="single" w:sz="8" w:space="0" w:color="auto"/>
        </w:rPr>
        <w:t>Congress must have spoken to the precise issue at hand</w:t>
      </w:r>
      <w:r w:rsidRPr="00220A65">
        <w:rPr>
          <w:u w:val="single"/>
        </w:rPr>
        <w:t xml:space="preserve"> for agencies to have authority to act</w:t>
      </w:r>
      <w:r w:rsidRPr="00220A65">
        <w:rPr>
          <w:sz w:val="16"/>
        </w:rPr>
        <w:t xml:space="preserve">. It is worth noting that this is a complete inversion of the Chevron rule. Under Chevron Step One, the agency gets deference unless Congress has </w:t>
      </w:r>
      <w:r w:rsidRPr="00220A65">
        <w:rPr>
          <w:sz w:val="16"/>
        </w:rPr>
        <w:lastRenderedPageBreak/>
        <w:t>spoken on the precise question; here the agency can regulate only if Congress has spoken on the precise question at issue.60 Although in theory a court could decide the MQD applies and still uphold the agency action by finding clear congressional authorization,61 in practice this clear statement rule is likely to mean that the MQD’s application results in striking down the agency’s action as exceeding the scope of its authority.</w:t>
      </w:r>
    </w:p>
    <w:p w14:paraId="23718679" w14:textId="77777777" w:rsidR="00923E7B" w:rsidRPr="00220A65" w:rsidRDefault="00923E7B" w:rsidP="00923E7B">
      <w:pPr>
        <w:rPr>
          <w:sz w:val="16"/>
        </w:rPr>
      </w:pPr>
      <w:r w:rsidRPr="00220A65">
        <w:rPr>
          <w:sz w:val="16"/>
        </w:rPr>
        <w:t xml:space="preserve">The second important feature of the doctrine is what factors determine when it applies. These factors do not focus on the text of the statute itself. The </w:t>
      </w:r>
      <w:r w:rsidRPr="00220A65">
        <w:rPr>
          <w:u w:val="single"/>
        </w:rPr>
        <w:t>main factor is whether the issue is one of “</w:t>
      </w:r>
      <w:r w:rsidRPr="00220A65">
        <w:rPr>
          <w:b/>
          <w:iCs/>
          <w:u w:val="single"/>
          <w:bdr w:val="single" w:sz="8" w:space="0" w:color="auto"/>
        </w:rPr>
        <w:t>economic and political significance</w:t>
      </w:r>
      <w:r w:rsidRPr="00220A65">
        <w:rPr>
          <w:sz w:val="16"/>
        </w:rPr>
        <w:t>.”62 This was not always so. In the early cases, it was possible to understand the doctrine as determining “majorness” with reference to the underlying statute. As Michael Coenen and Seth Davis have observed, the much-quoted analogy that Congress does not place “elephants” in “mouseholes”63 required analyzing not only the magnitude of the agency’s claim of statutory power (the elephant) but also the underlying statute from which the claimed power emerged (the mousehole).64</w:t>
      </w:r>
    </w:p>
    <w:p w14:paraId="55409736" w14:textId="77777777" w:rsidR="00923E7B" w:rsidRPr="00220A65" w:rsidRDefault="00923E7B" w:rsidP="00923E7B">
      <w:pPr>
        <w:rPr>
          <w:sz w:val="16"/>
        </w:rPr>
      </w:pPr>
      <w:r w:rsidRPr="00220A65">
        <w:rPr>
          <w:sz w:val="16"/>
        </w:rPr>
        <w:t xml:space="preserve">The </w:t>
      </w:r>
      <w:r w:rsidRPr="00220A65">
        <w:rPr>
          <w:u w:val="single"/>
        </w:rPr>
        <w:t>more recent cases</w:t>
      </w:r>
      <w:r w:rsidRPr="00220A65">
        <w:rPr>
          <w:sz w:val="16"/>
        </w:rPr>
        <w:t xml:space="preserve">, however, </w:t>
      </w:r>
      <w:r w:rsidRPr="00220A65">
        <w:rPr>
          <w:u w:val="single"/>
        </w:rPr>
        <w:t xml:space="preserve">shift the baseline reference point from the underlying statutory authority to the </w:t>
      </w:r>
      <w:r w:rsidRPr="00220A65">
        <w:rPr>
          <w:b/>
          <w:iCs/>
          <w:u w:val="single"/>
          <w:bdr w:val="single" w:sz="8" w:space="0" w:color="auto"/>
        </w:rPr>
        <w:t>societal consequences of the agency’s policy choice</w:t>
      </w:r>
      <w:r w:rsidRPr="00220A65">
        <w:rPr>
          <w:sz w:val="16"/>
        </w:rPr>
        <w:t>. As the Court put it in one recent case, it will “typically greet” an assertion of “extravagant statutory power over the national economy” with “skepticism.”65 This formulation would appear to require analyzing the relationship between the breadth of the agency’s claim of authority and society as a whole, rather than the claim of authority and the underlying statutory text or congressional purposes. If an agency action will have significant societal consequences, that is now sufficient ground for courts to require clear congressional authorization for the action.</w:t>
      </w:r>
    </w:p>
    <w:p w14:paraId="29F5E8DB" w14:textId="77777777" w:rsidR="00923E7B" w:rsidRPr="00220A65" w:rsidRDefault="00923E7B" w:rsidP="00923E7B">
      <w:pPr>
        <w:rPr>
          <w:sz w:val="16"/>
        </w:rPr>
      </w:pPr>
      <w:r w:rsidRPr="00220A65">
        <w:rPr>
          <w:sz w:val="16"/>
        </w:rPr>
        <w:t xml:space="preserve">Other contextual aspects of the statutory scheme and its relation to the claimed authority are also relevant. For example, several of the Court’s cases have focused on the novelty of the agency’s claim of authority. This suspicion of novelty is found in other strands of the Roberts Court’s constitutional decisions, and it has played a particular role in structural constitutional law cases involving appointments and removal. If traditional statutory analysis compares the claimed authority to statutory text and purpose, and the first factor of the MQD compares the claimed authority to its societal consequences, this factor compares the claimed authority to prior claims of authority. The MQD thus operates to require a clear statement of congressional authorization when an agency seeks to issue a new type of policy initiative that arguably requires a broader understanding of its delegated authority than the agency has previously adopted. </w:t>
      </w:r>
    </w:p>
    <w:p w14:paraId="59F2E529" w14:textId="77777777" w:rsidR="00923E7B" w:rsidRPr="00220A65" w:rsidRDefault="00923E7B" w:rsidP="00923E7B">
      <w:pPr>
        <w:rPr>
          <w:sz w:val="16"/>
        </w:rPr>
      </w:pPr>
      <w:r w:rsidRPr="00220A65">
        <w:rPr>
          <w:u w:val="single"/>
        </w:rPr>
        <w:t>These two elements</w:t>
      </w:r>
      <w:r w:rsidRPr="00220A65">
        <w:rPr>
          <w:sz w:val="16"/>
        </w:rPr>
        <w:t>—the consequences of the MQD’s application (the clear statement rule) and the factors that determine its application—</w:t>
      </w:r>
      <w:r w:rsidRPr="00220A65">
        <w:rPr>
          <w:u w:val="single"/>
        </w:rPr>
        <w:t xml:space="preserve">raise a </w:t>
      </w:r>
      <w:r w:rsidRPr="00220A65">
        <w:rPr>
          <w:b/>
          <w:iCs/>
          <w:u w:val="single"/>
          <w:bdr w:val="single" w:sz="8" w:space="0" w:color="auto"/>
        </w:rPr>
        <w:t>variety of serious problems</w:t>
      </w:r>
      <w:r w:rsidRPr="00220A65">
        <w:rPr>
          <w:sz w:val="16"/>
        </w:rPr>
        <w:t xml:space="preserve">. First and foremost is the question of “majorness.” </w:t>
      </w:r>
      <w:r w:rsidRPr="00220A65">
        <w:rPr>
          <w:u w:val="single"/>
        </w:rPr>
        <w:t>What constitutes a major action?</w:t>
      </w:r>
      <w:r w:rsidRPr="00220A65">
        <w:rPr>
          <w:sz w:val="16"/>
        </w:rPr>
        <w:t xml:space="preserve"> How economically or politically significant must an action be for clear congressional authorization to be necessary? If an action is economically significant but politically insignificant, or vice versa, would it still qualify? The Court has provided no clear answer to these questions. </w:t>
      </w:r>
    </w:p>
    <w:p w14:paraId="564E3A4C" w14:textId="77777777" w:rsidR="00923E7B" w:rsidRPr="00220A65" w:rsidRDefault="00923E7B" w:rsidP="00923E7B">
      <w:pPr>
        <w:rPr>
          <w:sz w:val="16"/>
        </w:rPr>
      </w:pPr>
      <w:r w:rsidRPr="00220A65">
        <w:rPr>
          <w:u w:val="single"/>
        </w:rPr>
        <w:t xml:space="preserve">Second is the question of </w:t>
      </w:r>
      <w:r w:rsidRPr="00220A65">
        <w:rPr>
          <w:b/>
          <w:iCs/>
          <w:u w:val="single"/>
          <w:bdr w:val="single" w:sz="8" w:space="0" w:color="auto"/>
        </w:rPr>
        <w:t>institutional competence</w:t>
      </w:r>
      <w:r w:rsidRPr="00220A65">
        <w:rPr>
          <w:u w:val="single"/>
        </w:rPr>
        <w:t xml:space="preserve"> and the judicial role</w:t>
      </w:r>
      <w:r w:rsidRPr="00220A65">
        <w:rPr>
          <w:sz w:val="16"/>
        </w:rPr>
        <w:t xml:space="preserve">. While </w:t>
      </w:r>
      <w:r w:rsidRPr="00220A65">
        <w:rPr>
          <w:u w:val="single"/>
        </w:rPr>
        <w:t>the MQD</w:t>
      </w:r>
      <w:r w:rsidRPr="00220A65">
        <w:rPr>
          <w:sz w:val="16"/>
        </w:rPr>
        <w:t xml:space="preserve"> claims to shift authority from agencies to Congress, in reality, it </w:t>
      </w:r>
      <w:r w:rsidRPr="00220A65">
        <w:rPr>
          <w:b/>
          <w:iCs/>
          <w:u w:val="single"/>
          <w:bdr w:val="single" w:sz="8" w:space="0" w:color="auto"/>
        </w:rPr>
        <w:t>aggrandizes the power of the courts</w:t>
      </w:r>
      <w:r w:rsidRPr="00220A65">
        <w:rPr>
          <w:sz w:val="16"/>
        </w:rPr>
        <w:t>. Under the doctrine, judges do not ask whether Congress thought an issue was major. They decide for themselves whether an agency action has “economic and political significance.” It is not clear why judges are better at making such decisions than agencies—or whether they are well-suited to make such decisions at all. Indeed, in the same term that the Court decided West Virginia v. EPA, it held in Dobbs v. Jackson Women’s Health Organization that courts are especially ill-suited to make determinations about societal impacts, and that courts should not make decisions based on assessments of politics. Dobbs’s skepticism that courts can or should evaluate societal and political consequences sits in a great deal of tension with the MQD cases that direct courts to do just that.</w:t>
      </w:r>
    </w:p>
    <w:p w14:paraId="121F5EBD" w14:textId="77777777" w:rsidR="00923E7B" w:rsidRPr="00220A65" w:rsidRDefault="00923E7B" w:rsidP="00923E7B">
      <w:pPr>
        <w:rPr>
          <w:sz w:val="16"/>
        </w:rPr>
      </w:pPr>
      <w:r w:rsidRPr="00220A65">
        <w:rPr>
          <w:sz w:val="16"/>
        </w:rPr>
        <w:t xml:space="preserve">Third, the </w:t>
      </w:r>
      <w:r w:rsidRPr="00220A65">
        <w:rPr>
          <w:highlight w:val="cyan"/>
          <w:u w:val="single"/>
        </w:rPr>
        <w:t>MQD might have</w:t>
      </w:r>
      <w:r w:rsidRPr="00220A65">
        <w:rPr>
          <w:u w:val="single"/>
        </w:rPr>
        <w:t xml:space="preserve"> a “</w:t>
      </w:r>
      <w:r w:rsidRPr="00220A65">
        <w:rPr>
          <w:b/>
          <w:iCs/>
          <w:highlight w:val="cyan"/>
          <w:u w:val="single"/>
          <w:bdr w:val="single" w:sz="8" w:space="0" w:color="auto"/>
        </w:rPr>
        <w:t>chilling effect</w:t>
      </w:r>
      <w:r w:rsidRPr="00220A65">
        <w:rPr>
          <w:highlight w:val="cyan"/>
          <w:u w:val="single"/>
        </w:rPr>
        <w:t>” on agencies</w:t>
      </w:r>
      <w:r w:rsidRPr="00220A65">
        <w:rPr>
          <w:u w:val="single"/>
        </w:rPr>
        <w:t xml:space="preserve"> that has </w:t>
      </w:r>
      <w:r w:rsidRPr="00220A65">
        <w:rPr>
          <w:b/>
          <w:iCs/>
          <w:u w:val="single"/>
          <w:bdr w:val="single" w:sz="8" w:space="0" w:color="auto"/>
        </w:rPr>
        <w:t>high error costs</w:t>
      </w:r>
      <w:r w:rsidRPr="00220A65">
        <w:rPr>
          <w:sz w:val="16"/>
        </w:rPr>
        <w:t>. Given the vagueness of the test, agencies may not promulgate valid regulations for fear of running afoul of the doctrine or simply being tied up in litigation even if courts ultimately uphold the regulation. This concern raises its own separation of powers issues. If a vague and uncertain test chills valid regulation, then both Congress’s ability to legislate and the president’s duty to take care that the laws are faithfully executed will be negatively impacted.</w:t>
      </w:r>
    </w:p>
    <w:p w14:paraId="58822611" w14:textId="77777777" w:rsidR="00923E7B" w:rsidRPr="00220A65" w:rsidRDefault="00923E7B" w:rsidP="00923E7B">
      <w:pPr>
        <w:rPr>
          <w:sz w:val="16"/>
        </w:rPr>
      </w:pPr>
      <w:r w:rsidRPr="00220A65">
        <w:rPr>
          <w:sz w:val="16"/>
        </w:rPr>
        <w:t xml:space="preserve">Fourth, and relatedly, by requiring congressional authorization for actions with “economic and political significance,” the MQD is likely to operate as a form of what Cass Sunstein and Adrian Vermeule have called “libertarian administrative law.” In other words, the doctrine is likely to operate asymmetrically, serving libertarian values by preventing or striking down regulations that impose new obligations more than it is used to strike down deregulatory action. The reason for this asymmetric effect is the current MQD’s inversion of the Chevron rule. Early MQD cases prevented agencies from unwinding regulated sectors by denying the existence of agency-empowering ambiguity in the statute. In this way, early MQD cases operated like much of administrative law, including the Chevron doctrine, applying to both regulatory and deregulatory decisions. </w:t>
      </w:r>
    </w:p>
    <w:p w14:paraId="13FB36DD" w14:textId="77777777" w:rsidR="00923E7B" w:rsidRPr="00220A65" w:rsidRDefault="00923E7B" w:rsidP="00923E7B">
      <w:pPr>
        <w:rPr>
          <w:sz w:val="16"/>
        </w:rPr>
      </w:pPr>
      <w:r w:rsidRPr="00220A65">
        <w:rPr>
          <w:sz w:val="16"/>
        </w:rPr>
        <w:t xml:space="preserve">Unlike Chevron, though, which asks whether agencies have discretion, the current free-form MQD asks whether agencies have authorization. The MQD’s framework can certainly be applied to deregulatory acts. Such acts are just as likely as regulatory acts to have great economic and political significance, triggering the MQD’s application. Moreover, in some cases Congress may have either mandated regulation or approved an </w:t>
      </w:r>
      <w:r w:rsidRPr="00220A65">
        <w:rPr>
          <w:sz w:val="16"/>
        </w:rPr>
        <w:lastRenderedPageBreak/>
        <w:t>agency’s regulatory scheme in subsequent legislation (i.e., by legislating in a way that presumes the continued existence of a specific set of agency regulations). In such situations, it may make sense to ask whether Congress, having mandated or approved of agency action, has now clearly authorized the agency to deregulate.</w:t>
      </w:r>
    </w:p>
    <w:p w14:paraId="27748A36" w14:textId="77777777" w:rsidR="00923E7B" w:rsidRPr="00220A65" w:rsidRDefault="00923E7B" w:rsidP="00923E7B">
      <w:pPr>
        <w:rPr>
          <w:sz w:val="16"/>
        </w:rPr>
      </w:pPr>
      <w:r w:rsidRPr="00220A65">
        <w:rPr>
          <w:sz w:val="16"/>
        </w:rPr>
        <w:t>In many other contexts, though, agencies will have regulated in a manner neither required by Congress nor subsequently blessed by it. In these cases, courts may find it odd to apply the MQD to ask whether Congress has clearly authorized a deregulatory act when Congress never specifically authorized the initial regulatory act being undone. Instead, they may view such cases as ones in which the agency has discretion. The MQD’s clear statement rule may thus end up applying only to a subset of economically or politically significant deregulatory actions—those in which Congress either mandated regulation or subsequently approved the agency’s regulation now sought to be undone—but it would apply to all economically or politically significant regulatory acts that are not specifically required.</w:t>
      </w:r>
    </w:p>
    <w:p w14:paraId="3CE70FDC" w14:textId="77777777" w:rsidR="00923E7B" w:rsidRPr="00220A65" w:rsidRDefault="00923E7B" w:rsidP="00923E7B">
      <w:pPr>
        <w:rPr>
          <w:sz w:val="16"/>
        </w:rPr>
      </w:pPr>
      <w:r w:rsidRPr="00220A65">
        <w:rPr>
          <w:sz w:val="16"/>
        </w:rPr>
        <w:t>Finally, the doctrine raises a number of other problems. Indeed, in a remarkable concurrence in Biden v. Nebraska, Justice Barrett conceded as much. She argued that major questions analysis involves, at bottom, a judge consulting her view of whether a particular interpretation of a delegation is “reasonable.”82 A judge should reach that judgment by consulting a range of factors ordinarily rejected or at least deemphasized by textualists, including legislative history and postenactment interpretations by agencies.83 As such, the MQD runs contrary to standard versions of textualism, in that it rules out textually plausible readings of a statute based on considerations—such as the political and economic significance of a regulatory program or its novelty—entirely outside the scope of the statutory scheme.</w:t>
      </w:r>
    </w:p>
    <w:p w14:paraId="07584763" w14:textId="77777777" w:rsidR="00923E7B" w:rsidRPr="00220A65" w:rsidRDefault="00923E7B" w:rsidP="00923E7B">
      <w:pPr>
        <w:rPr>
          <w:sz w:val="16"/>
        </w:rPr>
      </w:pPr>
      <w:r w:rsidRPr="00220A65">
        <w:rPr>
          <w:sz w:val="16"/>
        </w:rPr>
        <w:t xml:space="preserve">But perhaps </w:t>
      </w:r>
      <w:r w:rsidRPr="00220A65">
        <w:rPr>
          <w:b/>
          <w:iCs/>
          <w:u w:val="single"/>
          <w:bdr w:val="single" w:sz="8" w:space="0" w:color="auto"/>
        </w:rPr>
        <w:t>most damaging</w:t>
      </w:r>
      <w:r w:rsidRPr="00220A65">
        <w:rPr>
          <w:u w:val="single"/>
        </w:rPr>
        <w:t xml:space="preserve"> for the ability of future administrations to use economic tools to fight conflicts, the focus on novelty constrains Congress’s ability to grant the president the authority to respond to crises that may not be economic in origin but to which an economic response may be most effective. The world</w:t>
      </w:r>
      <w:r w:rsidRPr="00220A65">
        <w:rPr>
          <w:sz w:val="16"/>
        </w:rPr>
        <w:t xml:space="preserve">, after all, </w:t>
      </w:r>
      <w:r w:rsidRPr="00220A65">
        <w:rPr>
          <w:b/>
          <w:iCs/>
          <w:u w:val="single"/>
          <w:bdr w:val="single" w:sz="8" w:space="0" w:color="auto"/>
        </w:rPr>
        <w:t>changes frequently</w:t>
      </w:r>
      <w:r w:rsidRPr="00220A65">
        <w:rPr>
          <w:sz w:val="16"/>
        </w:rPr>
        <w:t xml:space="preserve"> and </w:t>
      </w:r>
      <w:r w:rsidRPr="00220A65">
        <w:rPr>
          <w:u w:val="single"/>
        </w:rPr>
        <w:t>there is little reason to think</w:t>
      </w:r>
      <w:r w:rsidRPr="00220A65">
        <w:rPr>
          <w:sz w:val="16"/>
        </w:rPr>
        <w:t xml:space="preserve"> that </w:t>
      </w:r>
      <w:r w:rsidRPr="00220A65">
        <w:rPr>
          <w:u w:val="single"/>
        </w:rPr>
        <w:t xml:space="preserve">Congress intended future administrations to be limited to early interpretations of the scope of their delegated powers. These </w:t>
      </w:r>
      <w:r w:rsidRPr="00220A65">
        <w:rPr>
          <w:highlight w:val="cyan"/>
          <w:u w:val="single"/>
        </w:rPr>
        <w:t>problems</w:t>
      </w:r>
      <w:r w:rsidRPr="00220A65">
        <w:rPr>
          <w:sz w:val="16"/>
        </w:rPr>
        <w:t xml:space="preserve">, as we shall see, </w:t>
      </w:r>
      <w:r w:rsidRPr="00220A65">
        <w:rPr>
          <w:highlight w:val="cyan"/>
          <w:u w:val="single"/>
        </w:rPr>
        <w:t>raise</w:t>
      </w:r>
      <w:r w:rsidRPr="00220A65">
        <w:rPr>
          <w:u w:val="single"/>
        </w:rPr>
        <w:t xml:space="preserve"> </w:t>
      </w:r>
      <w:r w:rsidRPr="00220A65">
        <w:rPr>
          <w:b/>
          <w:iCs/>
          <w:u w:val="single"/>
          <w:bdr w:val="single" w:sz="8" w:space="0" w:color="auto"/>
        </w:rPr>
        <w:t xml:space="preserve">serious </w:t>
      </w:r>
      <w:r w:rsidRPr="00220A65">
        <w:rPr>
          <w:b/>
          <w:iCs/>
          <w:highlight w:val="cyan"/>
          <w:u w:val="single"/>
          <w:bdr w:val="single" w:sz="8" w:space="0" w:color="auto"/>
        </w:rPr>
        <w:t>concerns</w:t>
      </w:r>
      <w:r w:rsidRPr="00220A65">
        <w:rPr>
          <w:u w:val="single"/>
        </w:rPr>
        <w:t xml:space="preserve"> about </w:t>
      </w:r>
      <w:r w:rsidRPr="00220A65">
        <w:rPr>
          <w:highlight w:val="cyan"/>
          <w:u w:val="single"/>
        </w:rPr>
        <w:t>how</w:t>
      </w:r>
      <w:r w:rsidRPr="00220A65">
        <w:rPr>
          <w:u w:val="single"/>
        </w:rPr>
        <w:t xml:space="preserve"> the </w:t>
      </w:r>
      <w:r w:rsidRPr="00220A65">
        <w:rPr>
          <w:b/>
          <w:iCs/>
          <w:highlight w:val="cyan"/>
          <w:u w:val="single"/>
          <w:bdr w:val="single" w:sz="8" w:space="0" w:color="auto"/>
        </w:rPr>
        <w:t>U</w:t>
      </w:r>
      <w:r w:rsidRPr="00220A65">
        <w:rPr>
          <w:u w:val="single"/>
        </w:rPr>
        <w:t xml:space="preserve">nited </w:t>
      </w:r>
      <w:r w:rsidRPr="00220A65">
        <w:rPr>
          <w:b/>
          <w:iCs/>
          <w:highlight w:val="cyan"/>
          <w:u w:val="single"/>
          <w:bdr w:val="single" w:sz="8" w:space="0" w:color="auto"/>
        </w:rPr>
        <w:t>S</w:t>
      </w:r>
      <w:r w:rsidRPr="00220A65">
        <w:rPr>
          <w:u w:val="single"/>
        </w:rPr>
        <w:t xml:space="preserve">tates </w:t>
      </w:r>
      <w:r w:rsidRPr="00220A65">
        <w:rPr>
          <w:highlight w:val="cyan"/>
          <w:u w:val="single"/>
        </w:rPr>
        <w:t xml:space="preserve">will </w:t>
      </w:r>
      <w:r w:rsidRPr="00220A65">
        <w:rPr>
          <w:b/>
          <w:iCs/>
          <w:highlight w:val="cyan"/>
          <w:u w:val="single"/>
          <w:bdr w:val="single" w:sz="8" w:space="0" w:color="auto"/>
        </w:rPr>
        <w:t>make</w:t>
      </w:r>
      <w:r w:rsidRPr="00220A65">
        <w:rPr>
          <w:b/>
          <w:iCs/>
          <w:u w:val="single"/>
          <w:bdr w:val="single" w:sz="8" w:space="0" w:color="auto"/>
        </w:rPr>
        <w:t xml:space="preserve"> foreign policy and national </w:t>
      </w:r>
      <w:r w:rsidRPr="00220A65">
        <w:rPr>
          <w:b/>
          <w:iCs/>
          <w:highlight w:val="cyan"/>
          <w:u w:val="single"/>
          <w:bdr w:val="single" w:sz="8" w:space="0" w:color="auto"/>
        </w:rPr>
        <w:t>security decisions</w:t>
      </w:r>
      <w:r w:rsidRPr="00220A65">
        <w:rPr>
          <w:sz w:val="16"/>
        </w:rPr>
        <w:t xml:space="preserve"> in the future.</w:t>
      </w:r>
    </w:p>
    <w:p w14:paraId="60B759FC" w14:textId="77777777" w:rsidR="00923E7B" w:rsidRPr="009E2834" w:rsidRDefault="00923E7B" w:rsidP="00923E7B"/>
    <w:p w14:paraId="7503FB26" w14:textId="77777777" w:rsidR="00923E7B" w:rsidRDefault="00923E7B" w:rsidP="00923E7B">
      <w:pPr>
        <w:pStyle w:val="Heading2"/>
      </w:pPr>
      <w:r>
        <w:lastRenderedPageBreak/>
        <w:t>1NC---Case</w:t>
      </w:r>
    </w:p>
    <w:p w14:paraId="34C6E282" w14:textId="77777777" w:rsidR="00923E7B" w:rsidRDefault="00923E7B" w:rsidP="00923E7B">
      <w:pPr>
        <w:pStyle w:val="Heading3"/>
      </w:pPr>
      <w:r>
        <w:lastRenderedPageBreak/>
        <w:t>1NC---ADV</w:t>
      </w:r>
    </w:p>
    <w:p w14:paraId="4CEC58E3" w14:textId="77777777" w:rsidR="00923E7B" w:rsidRDefault="00923E7B" w:rsidP="00923E7B">
      <w:pPr>
        <w:pStyle w:val="Heading4"/>
      </w:pPr>
      <w:r>
        <w:t xml:space="preserve">1---Labor unions distribute the wages of whiteness and create a racialized underclass that is foundational to the imperialist relations of global capital. </w:t>
      </w:r>
    </w:p>
    <w:p w14:paraId="221AD721" w14:textId="77777777" w:rsidR="00923E7B" w:rsidRDefault="00923E7B" w:rsidP="00923E7B">
      <w:r w:rsidRPr="00923EF5">
        <w:rPr>
          <w:rStyle w:val="Style13ptBold"/>
        </w:rPr>
        <w:t>Narayan</w:t>
      </w:r>
      <w:r w:rsidRPr="00035A23">
        <w:t xml:space="preserve"> 20</w:t>
      </w:r>
      <w:r w:rsidRPr="00923EF5">
        <w:rPr>
          <w:rStyle w:val="Style13ptBold"/>
        </w:rPr>
        <w:t>17</w:t>
      </w:r>
      <w:r>
        <w:t xml:space="preserve"> </w:t>
      </w:r>
      <w:r w:rsidRPr="00923EF5">
        <w:t xml:space="preserve">Narayan, John. "The wages of whiteness in the absence of wages: Racial capitalism, reactionary intercommunalism and the rise of Trumpism." </w:t>
      </w:r>
      <w:r w:rsidRPr="00923EF5">
        <w:rPr>
          <w:i/>
          <w:iCs/>
        </w:rPr>
        <w:t>Third World Quarterly</w:t>
      </w:r>
      <w:r w:rsidRPr="00923EF5">
        <w:t xml:space="preserve"> 38, no. 11 (2017): 2482-2500.</w:t>
      </w:r>
    </w:p>
    <w:p w14:paraId="7ABBDE95" w14:textId="77777777" w:rsidR="00923E7B" w:rsidRDefault="00923E7B" w:rsidP="00923E7B">
      <w:pPr>
        <w:rPr>
          <w:sz w:val="16"/>
        </w:rPr>
      </w:pPr>
      <w:r w:rsidRPr="000D51C0">
        <w:rPr>
          <w:sz w:val="16"/>
        </w:rPr>
        <w:t xml:space="preserve">In an essay entitled ‘The African Roots of the War’, published in 1915, Du Bois pre-empted many of Lenin’s core arguments about the nature of imperialism. Here Du Bois located the roots of World War One in the emergence of monopoly capitalism and liberal democracy in the West and the creation of large amounts of surplus capital, which needed outlets beyond Europe and North America. Some of this </w:t>
      </w:r>
      <w:r w:rsidRPr="009D721A">
        <w:rPr>
          <w:rStyle w:val="Emphasis"/>
          <w:highlight w:val="yellow"/>
        </w:rPr>
        <w:t>surplus capital had been used to buy off the West’s working classes, turning them into an ‘aristocracy of labour’ and aligning their material interests with imperial plunder in the ‘darker nations of the world</w:t>
      </w:r>
      <w:r w:rsidRPr="000D51C0">
        <w:rPr>
          <w:sz w:val="16"/>
        </w:rPr>
        <w:t xml:space="preserve">’. Du Bois concluded that the onset of World War One centred on the ‘jealousies engendered’ between ‘armed national associations of labour and capital’ over the ‘division of spoils of world-dominion’. These associations were now fighting, and drawing in their colonial populations into such a conflict, to enlarge ‘their respective shares’ not in Europe ‘but in Asia, and particularly in Africa’.10 However, Du Bois’ theorisation of imperialism did not merely anticipate Lenin’s work, but also offered an additional explanation of how racial identity and </w:t>
      </w:r>
      <w:r w:rsidRPr="009D721A">
        <w:rPr>
          <w:rStyle w:val="Emphasis"/>
          <w:highlight w:val="yellow"/>
        </w:rPr>
        <w:t>racism culturally under-pinned the entire imperial order</w:t>
      </w:r>
      <w:r w:rsidRPr="000D51C0">
        <w:rPr>
          <w:sz w:val="16"/>
        </w:rPr>
        <w:t xml:space="preserve">.11 Du Bois linked imperialism with </w:t>
      </w:r>
      <w:r w:rsidRPr="009D721A">
        <w:rPr>
          <w:rStyle w:val="Emphasis"/>
          <w:highlight w:val="yellow"/>
        </w:rPr>
        <w:t>the establishment of a racialised global division of labour and the emergence of the early tenets of welfare capital-ism in Europe and the US. This system divided humanity across the colour line</w:t>
      </w:r>
      <w:r w:rsidRPr="000D51C0">
        <w:rPr>
          <w:sz w:val="16"/>
        </w:rPr>
        <w:t xml:space="preserve"> and under-scored the Western nation state and its citizens with an identity of ‘whiteness’. This soul of whiteness, Du Bois argued, was a ‘modern thing’ directly related to imperial exploitation of the ‘darker nations’ across the nineteenth and early twentieth centuries. The white identity valorised everything white whilst taking ‘everything mean, bad, blundering cheating and dishonourable’ to be non-white. As Du Bois quipped, the white world was certain that ‘a bad taste was “brown”’ and that ‘the devil was “black”’.12 Western imperialism’s economic and cultural order in turn allowed its elites to provide their national populations with a ‘wage of whiteness’.13 </w:t>
      </w:r>
      <w:r w:rsidRPr="009D721A">
        <w:rPr>
          <w:rStyle w:val="Emphasis"/>
          <w:highlight w:val="yellow"/>
        </w:rPr>
        <w:t>These imperial wages of whiteness allowed the West’s capitalist elite to provide a material, public and psychological wage for the West’s working and middle classes through an imperial subdivision of labour and labour conditions</w:t>
      </w:r>
      <w:r w:rsidRPr="000D51C0">
        <w:rPr>
          <w:sz w:val="16"/>
        </w:rPr>
        <w:t xml:space="preserve">: The day of the very rich is drawing to a close, so far as individual white nations are concerned. But there is a loophole. </w:t>
      </w:r>
      <w:r w:rsidRPr="009D721A">
        <w:rPr>
          <w:rStyle w:val="Emphasis"/>
          <w:highlight w:val="yellow"/>
        </w:rPr>
        <w:t>There is a chance for exploitation on an immense scale for inordinate profit, not simply to the very rich. But to the middle class and to the labourers</w:t>
      </w:r>
      <w:r w:rsidRPr="000D51C0">
        <w:rPr>
          <w:sz w:val="16"/>
        </w:rPr>
        <w:t xml:space="preserve">. This chance lies in the exploitation of darker peoples. It is here that the golden hand beckons. </w:t>
      </w:r>
      <w:r w:rsidRPr="009D721A">
        <w:rPr>
          <w:rStyle w:val="Emphasis"/>
          <w:highlight w:val="yellow"/>
        </w:rPr>
        <w:t>Here are no labour unions or votes or questioning onlookers or inconvenient consciences. These men may be used down to the very bone, shot and maimed in ‘punitive’ expeditions when they revolt</w:t>
      </w:r>
      <w:r w:rsidRPr="000D51C0">
        <w:rPr>
          <w:sz w:val="16"/>
        </w:rPr>
        <w:t>. In these dark lands ‘industrial development’ may repeat in exaggerated form every horror of the industrial history of Europe, from slavery and rape to disease and maiming, with only one test of success, – dividends!14 Du Bois’ theorisation of imperialism pivoted on a direct link between the formation of modern racism, super-exploitation outside of the West and the founding of the democratic capitalist state in the West. Not only was labour in Africa and Asia ‘kept cheap and helpless because the white world despises darkies’, but</w:t>
      </w:r>
      <w:r w:rsidRPr="009D721A">
        <w:rPr>
          <w:rStyle w:val="Emphasis"/>
          <w:highlight w:val="yellow"/>
        </w:rPr>
        <w:t xml:space="preserve"> the ‘high wages’ of nations such as Britain and the US were the ‘skilful manipulated result of the slavery of Africa and the peonage of Asia’. These wages of </w:t>
      </w:r>
      <w:r w:rsidRPr="000D51C0">
        <w:rPr>
          <w:sz w:val="16"/>
        </w:rPr>
        <w:t>whiteness provided the ideological and material ballast for Western imperial expan-sion, but also</w:t>
      </w:r>
      <w:r w:rsidRPr="009D721A">
        <w:rPr>
          <w:rStyle w:val="Emphasis"/>
          <w:highlight w:val="yellow"/>
        </w:rPr>
        <w:t xml:space="preserve"> infected the Western labour movement</w:t>
      </w:r>
      <w:r w:rsidRPr="000D51C0">
        <w:rPr>
          <w:sz w:val="16"/>
        </w:rPr>
        <w:t xml:space="preserve">. Du Bois noted how </w:t>
      </w:r>
      <w:r w:rsidRPr="009D721A">
        <w:rPr>
          <w:rStyle w:val="Emphasis"/>
          <w:highlight w:val="yellow"/>
        </w:rPr>
        <w:t xml:space="preserve">in the face of economic and democratic concessions granted by capital </w:t>
      </w:r>
      <w:r w:rsidRPr="000D51C0">
        <w:rPr>
          <w:sz w:val="16"/>
        </w:rPr>
        <w:t>and bourgeois nation states</w:t>
      </w:r>
      <w:r w:rsidRPr="009D721A">
        <w:rPr>
          <w:rStyle w:val="Emphasis"/>
          <w:highlight w:val="yellow"/>
        </w:rPr>
        <w:t xml:space="preserve"> to</w:t>
      </w:r>
      <w:r w:rsidRPr="000D51C0">
        <w:rPr>
          <w:sz w:val="16"/>
        </w:rPr>
        <w:t xml:space="preserve"> their</w:t>
      </w:r>
      <w:r w:rsidRPr="009D721A">
        <w:rPr>
          <w:rStyle w:val="Emphasis"/>
          <w:highlight w:val="yellow"/>
        </w:rPr>
        <w:t xml:space="preserve"> working classes, the </w:t>
      </w:r>
      <w:r w:rsidRPr="000D51C0">
        <w:rPr>
          <w:sz w:val="16"/>
        </w:rPr>
        <w:t xml:space="preserve">Western </w:t>
      </w:r>
      <w:r w:rsidRPr="009D721A">
        <w:rPr>
          <w:rStyle w:val="Emphasis"/>
          <w:highlight w:val="yellow"/>
        </w:rPr>
        <w:t>labour movement’</w:t>
      </w:r>
      <w:r w:rsidRPr="000D51C0">
        <w:rPr>
          <w:sz w:val="16"/>
        </w:rPr>
        <w:t>s</w:t>
      </w:r>
      <w:r w:rsidRPr="009D721A">
        <w:rPr>
          <w:rStyle w:val="Emphasis"/>
          <w:highlight w:val="yellow"/>
        </w:rPr>
        <w:t xml:space="preserve"> </w:t>
      </w:r>
      <w:r w:rsidRPr="000D51C0">
        <w:rPr>
          <w:sz w:val="16"/>
        </w:rPr>
        <w:t>idea of socialism all but</w:t>
      </w:r>
      <w:r w:rsidRPr="009D721A">
        <w:rPr>
          <w:rStyle w:val="Emphasis"/>
          <w:highlight w:val="yellow"/>
        </w:rPr>
        <w:t xml:space="preserve"> read non- whites, </w:t>
      </w:r>
      <w:r w:rsidRPr="000D51C0">
        <w:rPr>
          <w:sz w:val="16"/>
        </w:rPr>
        <w:t>both at home and abroad</w:t>
      </w:r>
      <w:r w:rsidRPr="009D721A">
        <w:rPr>
          <w:rStyle w:val="Emphasis"/>
          <w:highlight w:val="yellow"/>
        </w:rPr>
        <w:t xml:space="preserve">, out of </w:t>
      </w:r>
      <w:r w:rsidRPr="000D51C0">
        <w:rPr>
          <w:sz w:val="16"/>
        </w:rPr>
        <w:t>the ‘kingdom of</w:t>
      </w:r>
      <w:r w:rsidRPr="009D721A">
        <w:rPr>
          <w:rStyle w:val="Emphasis"/>
          <w:highlight w:val="yellow"/>
        </w:rPr>
        <w:t xml:space="preserve"> industrial justice’.</w:t>
      </w:r>
      <w:r w:rsidRPr="000D51C0">
        <w:rPr>
          <w:sz w:val="16"/>
        </w:rPr>
        <w:t xml:space="preserve">15 Du Bois’ theo-risation of imperialism thus demanded an understanding of </w:t>
      </w:r>
      <w:r w:rsidRPr="009D721A">
        <w:rPr>
          <w:rStyle w:val="Emphasis"/>
          <w:highlight w:val="yellow"/>
        </w:rPr>
        <w:t>the cultural order</w:t>
      </w:r>
      <w:r w:rsidRPr="000D51C0">
        <w:rPr>
          <w:sz w:val="16"/>
        </w:rPr>
        <w:t xml:space="preserve"> that racialised the division of labour </w:t>
      </w:r>
      <w:r w:rsidRPr="009D721A">
        <w:rPr>
          <w:rStyle w:val="Emphasis"/>
          <w:highlight w:val="yellow"/>
        </w:rPr>
        <w:t>and allowed class justice to be tied solely to the West and its white subjects.</w:t>
      </w:r>
      <w:r w:rsidRPr="000D51C0">
        <w:rPr>
          <w:sz w:val="16"/>
        </w:rPr>
        <w:t xml:space="preserve"> The idea that </w:t>
      </w:r>
      <w:r w:rsidRPr="009D721A">
        <w:rPr>
          <w:rStyle w:val="Emphasis"/>
          <w:highlight w:val="yellow"/>
        </w:rPr>
        <w:t>democratic capitalism</w:t>
      </w:r>
      <w:r w:rsidRPr="000D51C0">
        <w:rPr>
          <w:sz w:val="16"/>
        </w:rPr>
        <w:t xml:space="preserve"> in the West, </w:t>
      </w:r>
      <w:r w:rsidRPr="009D721A">
        <w:rPr>
          <w:rStyle w:val="Emphasis"/>
          <w:highlight w:val="yellow"/>
        </w:rPr>
        <w:t>and indeed socialism i</w:t>
      </w:r>
      <w:r w:rsidRPr="000D51C0">
        <w:rPr>
          <w:sz w:val="16"/>
        </w:rPr>
        <w:t xml:space="preserve">n the West, </w:t>
      </w:r>
      <w:r w:rsidRPr="009D721A">
        <w:rPr>
          <w:rStyle w:val="Emphasis"/>
          <w:highlight w:val="yellow"/>
        </w:rPr>
        <w:t>was tied to a cultural order of racism and imperial super-exploitation</w:t>
      </w:r>
      <w:r w:rsidRPr="000D51C0">
        <w:rPr>
          <w:sz w:val="16"/>
        </w:rPr>
        <w:t xml:space="preserve"> would find resonance with mid twentieth century anti-colonial thinkers such as Frantz Fanon and dependency theory’s critique of the economic underdevelopment of the Third World.16 Swedish economist, Gunnar Myrdal, for example, argued that the Western welfare state rather than promoting international justice was actually: nationalistic, indeed very much more so than a laissez faire type of State would be. </w:t>
      </w:r>
      <w:r w:rsidRPr="0058172D">
        <w:rPr>
          <w:rStyle w:val="Emphasis"/>
          <w:highlight w:val="yellow"/>
        </w:rPr>
        <w:t>Thus, tremendous forces of vested interests, often spread out among board layers of the citizens</w:t>
      </w:r>
      <w:r w:rsidRPr="000D51C0">
        <w:rPr>
          <w:sz w:val="16"/>
        </w:rPr>
        <w:t xml:space="preserve">, are so created </w:t>
      </w:r>
      <w:r w:rsidRPr="000D51C0">
        <w:rPr>
          <w:sz w:val="16"/>
        </w:rPr>
        <w:lastRenderedPageBreak/>
        <w:t xml:space="preserve">that they can be mobilized to abstain from polices for underdeveloped countries … On this point, </w:t>
      </w:r>
      <w:r w:rsidRPr="0058172D">
        <w:rPr>
          <w:rStyle w:val="Emphasis"/>
          <w:highlight w:val="yellow"/>
        </w:rPr>
        <w:t>the people are reactionaries</w:t>
      </w:r>
      <w:r w:rsidRPr="000D51C0">
        <w:rPr>
          <w:sz w:val="16"/>
        </w:rPr>
        <w:t>.17 What united these critiques was the belief that the material benefits of imperialism, and the racialised cultural order that underpinned such a system, prevented the European and North American masses from realising Marx and Engel’s call for the workers of the world to unite. What I want to suggest in the next two sections is that Huey P. Newton’s theory of reactionary intercommunalism essentially highlights how the effects of neo-globalisation would disrupt the wages of whiteness but still end-up subdividing the humanity across racial dimensions long engrained by imperialism.</w:t>
      </w:r>
    </w:p>
    <w:p w14:paraId="3686FE35" w14:textId="23F03814" w:rsidR="005D388F" w:rsidRDefault="00923E7B" w:rsidP="00923E7B">
      <w:pPr>
        <w:pStyle w:val="Heading1"/>
      </w:pPr>
      <w:r>
        <w:lastRenderedPageBreak/>
        <w:t>2NC</w:t>
      </w:r>
    </w:p>
    <w:p w14:paraId="07E37729" w14:textId="77777777" w:rsidR="00D052A6" w:rsidRPr="00D2681E" w:rsidRDefault="00D052A6" w:rsidP="00D052A6">
      <w:pPr>
        <w:pStyle w:val="Heading4"/>
      </w:pPr>
      <w:r>
        <w:t>their model forwards and justifies academic ableist thru accomodation models---forcing debaters to ask and prove creates violent incentives to reject their requests unless legally mandated</w:t>
      </w:r>
    </w:p>
    <w:p w14:paraId="3C5F1266" w14:textId="77777777" w:rsidR="00D052A6" w:rsidRPr="00A70130" w:rsidRDefault="00D052A6" w:rsidP="00D052A6">
      <w:r w:rsidRPr="00A70130">
        <w:rPr>
          <w:rStyle w:val="Style13ptBold"/>
        </w:rPr>
        <w:t xml:space="preserve">Dolmage 17 </w:t>
      </w:r>
      <w:r w:rsidRPr="00D2681E">
        <w:rPr>
          <w:sz w:val="16"/>
          <w:szCs w:val="16"/>
        </w:rPr>
        <w:t>(Jay Timothy Dolmage, PhD from Miami University of Ohio, Professor of English at University of Waterloo, Chair of the College Composition and Communication Committee on Disability Issues, “Academic Ableism: Disability and Higher Education” 2017, University of Michigan Press, Pg. 80-81)//CB</w:t>
      </w:r>
      <w:r w:rsidRPr="00A70130">
        <w:t xml:space="preserve"> </w:t>
      </w:r>
    </w:p>
    <w:p w14:paraId="265196DE" w14:textId="77777777" w:rsidR="00D052A6" w:rsidRPr="00A70130" w:rsidRDefault="00D052A6" w:rsidP="00D052A6">
      <w:pPr>
        <w:rPr>
          <w:rStyle w:val="StyleUnderline"/>
        </w:rPr>
      </w:pPr>
      <w:r w:rsidRPr="00A70130">
        <w:rPr>
          <w:rStyle w:val="StyleUnderline"/>
        </w:rPr>
        <w:t xml:space="preserve">Clearly, another entailment of the </w:t>
      </w:r>
      <w:r w:rsidRPr="00A70130">
        <w:rPr>
          <w:rStyle w:val="StyleUnderline"/>
          <w:highlight w:val="cyan"/>
        </w:rPr>
        <w:t>accommodation model is the idea that</w:t>
      </w:r>
      <w:r w:rsidRPr="00A70130">
        <w:rPr>
          <w:rStyle w:val="StyleUnderline"/>
        </w:rPr>
        <w:t xml:space="preserve"> it is </w:t>
      </w:r>
      <w:r w:rsidRPr="00A70130">
        <w:rPr>
          <w:rStyle w:val="StyleUnderline"/>
          <w:highlight w:val="cyan"/>
        </w:rPr>
        <w:t>the student</w:t>
      </w:r>
      <w:r w:rsidRPr="00A70130">
        <w:rPr>
          <w:rStyle w:val="StyleUnderline"/>
        </w:rPr>
        <w:t xml:space="preserve"> him or herself who </w:t>
      </w:r>
      <w:r w:rsidRPr="00A70130">
        <w:rPr>
          <w:rStyle w:val="StyleUnderline"/>
          <w:highlight w:val="cyan"/>
        </w:rPr>
        <w:t>must prove</w:t>
      </w:r>
      <w:r w:rsidRPr="00A70130">
        <w:rPr>
          <w:rStyle w:val="StyleUnderline"/>
        </w:rPr>
        <w:t xml:space="preserve"> that </w:t>
      </w:r>
      <w:r w:rsidRPr="00A70130">
        <w:rPr>
          <w:rStyle w:val="StyleUnderline"/>
          <w:highlight w:val="cyan"/>
        </w:rPr>
        <w:t>they</w:t>
      </w:r>
      <w:r w:rsidRPr="00A70130">
        <w:rPr>
          <w:rStyle w:val="StyleUnderline"/>
        </w:rPr>
        <w:t xml:space="preserve"> </w:t>
      </w:r>
      <w:r w:rsidRPr="00A70130">
        <w:rPr>
          <w:rStyle w:val="StyleUnderline"/>
          <w:highlight w:val="cyan"/>
        </w:rPr>
        <w:t>need</w:t>
      </w:r>
      <w:r w:rsidRPr="00A70130">
        <w:rPr>
          <w:rStyle w:val="StyleUnderline"/>
        </w:rPr>
        <w:t xml:space="preserve"> </w:t>
      </w:r>
      <w:r w:rsidRPr="00A70130">
        <w:rPr>
          <w:rStyle w:val="StyleUnderline"/>
          <w:highlight w:val="cyan"/>
        </w:rPr>
        <w:t>accommodations</w:t>
      </w:r>
      <w:r w:rsidRPr="00A70130">
        <w:rPr>
          <w:rStyle w:val="StyleUnderline"/>
        </w:rPr>
        <w:t>, and argue for them reasonably</w:t>
      </w:r>
      <w:r w:rsidRPr="00D2681E">
        <w:rPr>
          <w:sz w:val="16"/>
        </w:rPr>
        <w:t xml:space="preserve">. As Joe Stramondo has pointed out,  in  an  article  entitled  “The  Medicalization  of  Reasonable  Accommodation,” </w:t>
      </w:r>
      <w:r w:rsidRPr="00A70130">
        <w:rPr>
          <w:rStyle w:val="StyleUnderline"/>
        </w:rPr>
        <w:t xml:space="preserve">“using medical experts as the gatekeepers” is a way to avoid “fraud”—but this amounts to a “disincentive for an already marginalized group to claim what is theirs. In effect, </w:t>
      </w:r>
      <w:r w:rsidRPr="00A70130">
        <w:rPr>
          <w:rStyle w:val="StyleUnderline"/>
          <w:highlight w:val="cyan"/>
        </w:rPr>
        <w:t>through their medicalization, the reasonable accommodations of the ADA have</w:t>
      </w:r>
      <w:r w:rsidRPr="00A70130">
        <w:rPr>
          <w:rStyle w:val="StyleUnderline"/>
        </w:rPr>
        <w:t xml:space="preserve">, at least partially, </w:t>
      </w:r>
      <w:r w:rsidRPr="00A70130">
        <w:rPr>
          <w:rStyle w:val="StyleUnderline"/>
          <w:highlight w:val="cyan"/>
        </w:rPr>
        <w:t>become barriers to</w:t>
      </w:r>
      <w:r w:rsidRPr="00A70130">
        <w:rPr>
          <w:rStyle w:val="StyleUnderline"/>
        </w:rPr>
        <w:t xml:space="preserve"> the </w:t>
      </w:r>
      <w:r w:rsidRPr="00A70130">
        <w:rPr>
          <w:rStyle w:val="StyleUnderline"/>
          <w:highlight w:val="cyan"/>
        </w:rPr>
        <w:t>inclusion of disabled people in the academy</w:t>
      </w:r>
      <w:r w:rsidRPr="00D2681E">
        <w:rPr>
          <w:sz w:val="16"/>
        </w:rPr>
        <w:t xml:space="preserve">” (n.p.).There is a clear rhetoric in this accommodation discourse as well, an attitude of indifference toward the individual, and a </w:t>
      </w:r>
      <w:r w:rsidRPr="00A70130">
        <w:rPr>
          <w:rStyle w:val="StyleUnderline"/>
          <w:highlight w:val="cyan"/>
        </w:rPr>
        <w:t>refusal to</w:t>
      </w:r>
      <w:r w:rsidRPr="00A70130">
        <w:rPr>
          <w:rStyle w:val="StyleUnderline"/>
        </w:rPr>
        <w:t xml:space="preserve"> provide </w:t>
      </w:r>
      <w:r w:rsidRPr="00A70130">
        <w:rPr>
          <w:rStyle w:val="StyleUnderline"/>
          <w:highlight w:val="cyan"/>
        </w:rPr>
        <w:t>support  until</w:t>
      </w:r>
      <w:r w:rsidRPr="00A70130">
        <w:rPr>
          <w:rStyle w:val="StyleUnderline"/>
        </w:rPr>
        <w:t xml:space="preserve">  this  support  is  </w:t>
      </w:r>
      <w:r w:rsidRPr="00A70130">
        <w:rPr>
          <w:rStyle w:val="StyleUnderline"/>
          <w:highlight w:val="cyan"/>
        </w:rPr>
        <w:t>legally  mandated</w:t>
      </w:r>
      <w:r w:rsidRPr="00D2681E">
        <w:rPr>
          <w:sz w:val="16"/>
        </w:rPr>
        <w:t xml:space="preserve">.  Following  this  process,  </w:t>
      </w:r>
      <w:r w:rsidRPr="00A70130">
        <w:rPr>
          <w:rStyle w:val="StyleUnderline"/>
        </w:rPr>
        <w:t>the accommodations offered still demand that the</w:t>
      </w:r>
      <w:r w:rsidRPr="00A70130">
        <w:rPr>
          <w:rStyle w:val="Emphasis"/>
        </w:rPr>
        <w:t xml:space="preserve"> </w:t>
      </w:r>
      <w:r w:rsidRPr="00A70130">
        <w:rPr>
          <w:rStyle w:val="Emphasis"/>
          <w:highlight w:val="cyan"/>
        </w:rPr>
        <w:t>student must accommodate</w:t>
      </w:r>
      <w:r w:rsidRPr="00A70130">
        <w:rPr>
          <w:rStyle w:val="Emphasis"/>
        </w:rPr>
        <w:t xml:space="preserve">  him  or  herself  </w:t>
      </w:r>
      <w:r w:rsidRPr="00A70130">
        <w:rPr>
          <w:rStyle w:val="Emphasis"/>
          <w:highlight w:val="cyan"/>
        </w:rPr>
        <w:t>to  the  dominant  logic  of  classroom  pedagogy</w:t>
      </w:r>
      <w:r w:rsidRPr="00A70130">
        <w:rPr>
          <w:rStyle w:val="StyleUnderline"/>
        </w:rPr>
        <w:t xml:space="preserve">.  </w:t>
      </w:r>
      <w:r w:rsidRPr="00A70130">
        <w:rPr>
          <w:rStyle w:val="Emphasis"/>
        </w:rPr>
        <w:t>Once we begin to go down the road of accommodating disability, we are also</w:t>
      </w:r>
      <w:r w:rsidRPr="00A70130">
        <w:rPr>
          <w:rStyle w:val="StyleUnderline"/>
        </w:rPr>
        <w:t xml:space="preserve"> </w:t>
      </w:r>
      <w:r w:rsidRPr="00A70130">
        <w:rPr>
          <w:rStyle w:val="Emphasis"/>
          <w:highlight w:val="cyan"/>
        </w:rPr>
        <w:t>admitting that dominant pedagogies privilege those who can most easily ignore their bodies</w:t>
      </w:r>
      <w:r w:rsidRPr="00A70130">
        <w:rPr>
          <w:rStyle w:val="StyleUnderline"/>
        </w:rPr>
        <w:t>, and those whose minds work the most like the minds  of  their  teachers  (likely  meaning,  as  well,  those  who  look  much  like  their  teachers</w:t>
      </w:r>
      <w:r w:rsidRPr="00D2681E">
        <w:rPr>
          <w:sz w:val="16"/>
        </w:rPr>
        <w:t xml:space="preserve">).  And  yet  the  keyword  of  the  retrofit  is  compliance.  </w:t>
      </w:r>
      <w:r w:rsidRPr="00A70130">
        <w:rPr>
          <w:rStyle w:val="StyleUnderline"/>
          <w:highlight w:val="cyan"/>
        </w:rPr>
        <w:t>Despite the fact that</w:t>
      </w:r>
      <w:r w:rsidRPr="00A70130">
        <w:rPr>
          <w:rStyle w:val="StyleUnderline"/>
        </w:rPr>
        <w:t xml:space="preserve"> we certainly hope none of our students is holding up “compliance” as one of their key goals for their education—</w:t>
      </w:r>
      <w:r w:rsidRPr="00A70130">
        <w:rPr>
          <w:rStyle w:val="StyleUnderline"/>
          <w:highlight w:val="cyan"/>
        </w:rPr>
        <w:t>we hope</w:t>
      </w:r>
      <w:r w:rsidRPr="00A70130">
        <w:rPr>
          <w:rStyle w:val="StyleUnderline"/>
        </w:rPr>
        <w:t xml:space="preserve"> that </w:t>
      </w:r>
      <w:r w:rsidRPr="00A70130">
        <w:rPr>
          <w:rStyle w:val="StyleUnderline"/>
          <w:highlight w:val="cyan"/>
        </w:rPr>
        <w:t>graduates won’t just be writing “I am highly compliant” on their job letters or personal profiles</w:t>
      </w:r>
      <w:r w:rsidRPr="00A70130">
        <w:rPr>
          <w:rStyle w:val="StyleUnderline"/>
        </w:rPr>
        <w:t xml:space="preserve"> postgraduation—</w:t>
      </w:r>
      <w:r w:rsidRPr="00A70130">
        <w:rPr>
          <w:rStyle w:val="StyleUnderline"/>
          <w:highlight w:val="cyan"/>
        </w:rPr>
        <w:t>compliance continues to be the key goal for accommodation and accessibility</w:t>
      </w:r>
      <w:r w:rsidRPr="00A70130">
        <w:rPr>
          <w:rStyle w:val="StyleUnderline"/>
        </w:rPr>
        <w:t xml:space="preserve">. </w:t>
      </w:r>
    </w:p>
    <w:p w14:paraId="231584E3" w14:textId="77777777" w:rsidR="00D052A6" w:rsidRPr="00A70130" w:rsidRDefault="00D052A6" w:rsidP="00D052A6">
      <w:pPr>
        <w:rPr>
          <w:u w:val="single"/>
        </w:rPr>
      </w:pPr>
      <w:r w:rsidRPr="00D2681E">
        <w:rPr>
          <w:sz w:val="16"/>
        </w:rPr>
        <w:t xml:space="preserve">What  this  </w:t>
      </w:r>
      <w:r w:rsidRPr="00A70130">
        <w:rPr>
          <w:rStyle w:val="StyleUnderline"/>
          <w:highlight w:val="cyan"/>
        </w:rPr>
        <w:t>focus  on  compliance</w:t>
      </w:r>
      <w:r w:rsidRPr="00A70130">
        <w:rPr>
          <w:rStyle w:val="StyleUnderline"/>
        </w:rPr>
        <w:t xml:space="preserve">  does,  in  the  words  of  Stephen  Kuusisto,  is  to  </w:t>
      </w:r>
      <w:r w:rsidRPr="00A70130">
        <w:rPr>
          <w:rStyle w:val="StyleUnderline"/>
          <w:highlight w:val="cyan"/>
        </w:rPr>
        <w:t>turn the request for accommodation  into  an  invitation  for  “gestural violence</w:t>
      </w:r>
      <w:r w:rsidRPr="00D2681E">
        <w:rPr>
          <w:sz w:val="16"/>
        </w:rPr>
        <w:t xml:space="preserve">”: Predicated  by  inconvenience—a  blind  graduate  student  needs  multiple  streams  of  accessible  information  if  she’s  to  succeed.  The  Dean or Associate Dean finds this request threatening for she knows nothing about the ways and means of delivering accessible information. </w:t>
      </w:r>
      <w:r w:rsidRPr="00A70130">
        <w:rPr>
          <w:rStyle w:val="StyleUnderline"/>
          <w:highlight w:val="cyan"/>
        </w:rPr>
        <w:t>It’s vexatious</w:t>
      </w:r>
      <w:r w:rsidRPr="00A70130">
        <w:rPr>
          <w:rStyle w:val="StyleUnderline"/>
        </w:rPr>
        <w:t xml:space="preserve">, the request, the ignoble “ask” </w:t>
      </w:r>
      <w:r w:rsidRPr="00A70130">
        <w:rPr>
          <w:rStyle w:val="StyleUnderline"/>
          <w:highlight w:val="cyan"/>
        </w:rPr>
        <w:t>because the system is incommodious</w:t>
      </w:r>
      <w:r w:rsidRPr="00A70130">
        <w:rPr>
          <w:rStyle w:val="StyleUnderline"/>
        </w:rPr>
        <w:t xml:space="preserve">. . . . </w:t>
      </w:r>
      <w:r w:rsidRPr="00A70130">
        <w:rPr>
          <w:rStyle w:val="StyleUnderline"/>
          <w:highlight w:val="cyan"/>
        </w:rPr>
        <w:t>It works by deflection</w:t>
      </w:r>
      <w:r w:rsidRPr="00A70130">
        <w:rPr>
          <w:rStyle w:val="StyleUnderline"/>
        </w:rPr>
        <w:t xml:space="preserve">. It works by assumptions. </w:t>
      </w:r>
      <w:r w:rsidRPr="00A70130">
        <w:rPr>
          <w:rStyle w:val="StyleUnderline"/>
          <w:highlight w:val="cyan"/>
        </w:rPr>
        <w:t>If you were a better disabled person you wouldn’t be bothering me. If you were less blind you’d be easier to deal with. If only you had a better attitude about life. Gestural violence is automatic. It is</w:t>
      </w:r>
      <w:r w:rsidRPr="00A70130">
        <w:rPr>
          <w:rStyle w:val="StyleUnderline"/>
        </w:rPr>
        <w:t xml:space="preserve"> invariably </w:t>
      </w:r>
      <w:r w:rsidRPr="00A70130">
        <w:rPr>
          <w:rStyle w:val="StyleUnderline"/>
          <w:highlight w:val="cyan"/>
        </w:rPr>
        <w:t>disgraceful</w:t>
      </w:r>
      <w:r w:rsidRPr="00A70130">
        <w:rPr>
          <w:rStyle w:val="StyleUnderline"/>
        </w:rPr>
        <w:t xml:space="preserve">, shockingly </w:t>
      </w:r>
      <w:r w:rsidRPr="00A70130">
        <w:rPr>
          <w:rStyle w:val="StyleUnderline"/>
          <w:highlight w:val="cyan"/>
        </w:rPr>
        <w:t>unacceptable</w:t>
      </w:r>
      <w:r w:rsidRPr="00A70130">
        <w:rPr>
          <w:rStyle w:val="StyleUnderline"/>
        </w:rPr>
        <w:t xml:space="preserve">, and yet, </w:t>
      </w:r>
      <w:r w:rsidRPr="00A70130">
        <w:rPr>
          <w:rStyle w:val="StyleUnderline"/>
          <w:highlight w:val="cyan"/>
        </w:rPr>
        <w:t>tied to dominance, it is widespread within higher education</w:t>
      </w:r>
      <w:r w:rsidRPr="00A70130">
        <w:rPr>
          <w:rStyle w:val="StyleUnderline"/>
        </w:rPr>
        <w:t>. (“Disability,” n.p.)</w:t>
      </w:r>
    </w:p>
    <w:p w14:paraId="0B97C1D3" w14:textId="77777777" w:rsidR="00D052A6" w:rsidRPr="00D2681E" w:rsidRDefault="00D052A6" w:rsidP="00D052A6">
      <w:pPr>
        <w:rPr>
          <w:sz w:val="16"/>
        </w:rPr>
      </w:pPr>
      <w:r w:rsidRPr="00D2681E">
        <w:rPr>
          <w:sz w:val="16"/>
        </w:rPr>
        <w:t xml:space="preserve">Another response comes from </w:t>
      </w:r>
      <w:r w:rsidRPr="00A70130">
        <w:rPr>
          <w:highlight w:val="cyan"/>
          <w:u w:val="single"/>
        </w:rPr>
        <w:t>teachers who “[find] or</w:t>
      </w:r>
      <w:r w:rsidRPr="00A70130">
        <w:rPr>
          <w:u w:val="single"/>
        </w:rPr>
        <w:t xml:space="preserve">, if neces- sary </w:t>
      </w:r>
      <w:r w:rsidRPr="00A70130">
        <w:rPr>
          <w:highlight w:val="cyan"/>
          <w:u w:val="single"/>
        </w:rPr>
        <w:t>[invent] an extreme example of [a</w:t>
      </w:r>
      <w:r w:rsidRPr="00A70130">
        <w:rPr>
          <w:u w:val="single"/>
        </w:rPr>
        <w:t xml:space="preserve"> disabled] </w:t>
      </w:r>
      <w:r w:rsidRPr="00A70130">
        <w:rPr>
          <w:highlight w:val="cyan"/>
          <w:u w:val="single"/>
        </w:rPr>
        <w:t>student’s ‘demands</w:t>
      </w:r>
      <w:r w:rsidRPr="00D2681E">
        <w:rPr>
          <w:sz w:val="16"/>
          <w:highlight w:val="cyan"/>
        </w:rPr>
        <w:t>’</w:t>
      </w:r>
      <w:r w:rsidRPr="00D2681E">
        <w:rPr>
          <w:sz w:val="16"/>
        </w:rPr>
        <w:t xml:space="preserve">” (“Becoming Visible,” 378). </w:t>
      </w:r>
      <w:r w:rsidRPr="00A70130">
        <w:rPr>
          <w:highlight w:val="cyan"/>
          <w:u w:val="single"/>
        </w:rPr>
        <w:t>The validity</w:t>
      </w:r>
      <w:r w:rsidRPr="00D2681E">
        <w:rPr>
          <w:sz w:val="16"/>
        </w:rPr>
        <w:t xml:space="preserve"> or veracity </w:t>
      </w:r>
      <w:r w:rsidRPr="00A70130">
        <w:rPr>
          <w:highlight w:val="cyan"/>
          <w:u w:val="single"/>
        </w:rPr>
        <w:t>of a</w:t>
      </w:r>
      <w:r w:rsidRPr="00A70130">
        <w:rPr>
          <w:u w:val="single"/>
        </w:rPr>
        <w:t xml:space="preserve"> student’s </w:t>
      </w:r>
      <w:r w:rsidRPr="00A70130">
        <w:rPr>
          <w:highlight w:val="cyan"/>
          <w:u w:val="single"/>
        </w:rPr>
        <w:t>claim to disability is debated by the teacher, rather than defined by the student</w:t>
      </w:r>
      <w:r w:rsidRPr="00D2681E">
        <w:rPr>
          <w:sz w:val="16"/>
        </w:rPr>
        <w:t xml:space="preserve"> or even by the legal and medical paradigm. </w:t>
      </w:r>
      <w:r w:rsidRPr="00A70130">
        <w:rPr>
          <w:rStyle w:val="StyleUnderline"/>
        </w:rPr>
        <w:t>Students with learning dis- abilities come to be seen as “jumping the queue, cutting the line,</w:t>
      </w:r>
      <w:r w:rsidRPr="00D2681E">
        <w:rPr>
          <w:sz w:val="16"/>
        </w:rPr>
        <w:t xml:space="preserve"> push- ing patient, </w:t>
      </w:r>
      <w:r w:rsidRPr="00A70130">
        <w:rPr>
          <w:u w:val="single"/>
        </w:rPr>
        <w:t>suffering ‘average’ kids out of the way and into the shadows while they, waving their label, rush to the front to grab an oversized piece of the shrinking pie</w:t>
      </w:r>
      <w:r w:rsidRPr="00D2681E">
        <w:rPr>
          <w:sz w:val="16"/>
        </w:rPr>
        <w:t>” (Brueggemann et al., 378).9</w:t>
      </w:r>
    </w:p>
    <w:p w14:paraId="57F36875" w14:textId="77777777" w:rsidR="00D052A6" w:rsidRDefault="00D052A6" w:rsidP="00D052A6"/>
    <w:p w14:paraId="0193DBA8" w14:textId="77777777" w:rsidR="00923E7B" w:rsidRDefault="00923E7B" w:rsidP="00923E7B"/>
    <w:p w14:paraId="61A0C322" w14:textId="670F8BD5" w:rsidR="00923E7B" w:rsidRDefault="00923E7B" w:rsidP="00923E7B">
      <w:pPr>
        <w:pStyle w:val="Heading1"/>
      </w:pPr>
      <w:r>
        <w:lastRenderedPageBreak/>
        <w:t>1NR</w:t>
      </w:r>
    </w:p>
    <w:p w14:paraId="410A9945" w14:textId="77777777" w:rsidR="00226EC9" w:rsidRDefault="00226EC9" w:rsidP="00226EC9">
      <w:r w:rsidRPr="00A97B6F">
        <w:rPr>
          <w:rStyle w:val="Style13ptBold"/>
        </w:rPr>
        <w:t>Lichtenstein 22,</w:t>
      </w:r>
      <w:r w:rsidRPr="00A97B6F">
        <w:t xml:space="preserve"> </w:t>
      </w:r>
      <w:r>
        <w:t>Nelson. P</w:t>
      </w:r>
      <w:r w:rsidRPr="00A97B6F">
        <w:t xml:space="preserve">rofessor of history at the University of California, Santa Barbara, and director of the Center for the Study of Work, Labor and Democracy. "Black and White Workers and Communists Built a “Civil Rights Unionism” Under Jim Crow", </w:t>
      </w:r>
      <w:r>
        <w:t>Jacobin</w:t>
      </w:r>
      <w:r w:rsidRPr="00A97B6F">
        <w:t>, https://jacobin.com/2022/10/winston-salem-tobacco-union-communists-new-deal</w:t>
      </w:r>
    </w:p>
    <w:p w14:paraId="4EA6D245" w14:textId="77777777" w:rsidR="00226EC9" w:rsidRDefault="00226EC9" w:rsidP="00226EC9">
      <w:pPr>
        <w:rPr>
          <w:rStyle w:val="StyleUnderline"/>
        </w:rPr>
      </w:pPr>
      <w:r w:rsidRPr="00626984">
        <w:rPr>
          <w:rStyle w:val="StyleUnderline"/>
        </w:rPr>
        <w:t xml:space="preserve">Today, on the other hand, </w:t>
      </w:r>
      <w:r w:rsidRPr="00EA0BEA">
        <w:rPr>
          <w:rStyle w:val="StyleUnderline"/>
          <w:highlight w:val="cyan"/>
        </w:rPr>
        <w:t xml:space="preserve">employers </w:t>
      </w:r>
      <w:r w:rsidRPr="00D12AA3">
        <w:rPr>
          <w:rStyle w:val="StyleUnderline"/>
          <w:highlight w:val="yellow"/>
        </w:rPr>
        <w:t xml:space="preserve">like </w:t>
      </w:r>
      <w:r w:rsidRPr="00D12AA3">
        <w:rPr>
          <w:rStyle w:val="Emphasis"/>
          <w:highlight w:val="yellow"/>
        </w:rPr>
        <w:t xml:space="preserve">Starbucks and Amazon </w:t>
      </w:r>
      <w:r w:rsidRPr="00EA0BEA">
        <w:rPr>
          <w:rStyle w:val="Emphasis"/>
          <w:highlight w:val="cyan"/>
        </w:rPr>
        <w:t>advertise</w:t>
      </w:r>
      <w:r w:rsidRPr="00626984">
        <w:rPr>
          <w:rStyle w:val="StyleUnderline"/>
        </w:rPr>
        <w:t xml:space="preserve"> their </w:t>
      </w:r>
      <w:r w:rsidRPr="00EA0BEA">
        <w:rPr>
          <w:rStyle w:val="Emphasis"/>
          <w:highlight w:val="cyan"/>
        </w:rPr>
        <w:t>support</w:t>
      </w:r>
      <w:r w:rsidRPr="00626984">
        <w:rPr>
          <w:rStyle w:val="StyleUnderline"/>
        </w:rPr>
        <w:t xml:space="preserve"> </w:t>
      </w:r>
      <w:r w:rsidRPr="00D12AA3">
        <w:rPr>
          <w:rStyle w:val="StyleUnderline"/>
          <w:highlight w:val="yellow"/>
        </w:rPr>
        <w:t>of B</w:t>
      </w:r>
      <w:r w:rsidRPr="00CF54C6">
        <w:rPr>
          <w:rStyle w:val="StyleUnderline"/>
        </w:rPr>
        <w:t>lack</w:t>
      </w:r>
      <w:r w:rsidRPr="00D12AA3">
        <w:rPr>
          <w:rStyle w:val="StyleUnderline"/>
          <w:highlight w:val="yellow"/>
        </w:rPr>
        <w:t xml:space="preserve"> L</w:t>
      </w:r>
      <w:r w:rsidRPr="00CF54C6">
        <w:rPr>
          <w:rStyle w:val="StyleUnderline"/>
        </w:rPr>
        <w:t>ives</w:t>
      </w:r>
      <w:r w:rsidRPr="00D12AA3">
        <w:rPr>
          <w:rStyle w:val="StyleUnderline"/>
          <w:highlight w:val="yellow"/>
        </w:rPr>
        <w:t xml:space="preserve"> M</w:t>
      </w:r>
      <w:r w:rsidRPr="00CF54C6">
        <w:rPr>
          <w:rStyle w:val="StyleUnderline"/>
        </w:rPr>
        <w:t>atter</w:t>
      </w:r>
      <w:r w:rsidRPr="00626984">
        <w:rPr>
          <w:rStyle w:val="StyleUnderline"/>
        </w:rPr>
        <w:t xml:space="preserve"> as well as their </w:t>
      </w:r>
      <w:r w:rsidRPr="00D12AA3">
        <w:rPr>
          <w:rStyle w:val="StyleUnderline"/>
          <w:highlight w:val="yellow"/>
        </w:rPr>
        <w:t xml:space="preserve">commitment to abortion and </w:t>
      </w:r>
      <w:r w:rsidRPr="00345A64">
        <w:rPr>
          <w:rStyle w:val="StyleUnderline"/>
          <w:highlight w:val="cyan"/>
        </w:rPr>
        <w:t>LGBTQ rights.</w:t>
      </w:r>
      <w:r w:rsidRPr="00626984">
        <w:rPr>
          <w:rStyle w:val="StyleUnderline"/>
        </w:rPr>
        <w:t xml:space="preserve"> </w:t>
      </w:r>
      <w:r w:rsidRPr="00D12AA3">
        <w:rPr>
          <w:rStyle w:val="Emphasis"/>
          <w:highlight w:val="yellow"/>
        </w:rPr>
        <w:t>But</w:t>
      </w:r>
      <w:r w:rsidRPr="00626984">
        <w:rPr>
          <w:rStyle w:val="StyleUnderline"/>
        </w:rPr>
        <w:t xml:space="preserve"> all that </w:t>
      </w:r>
      <w:r w:rsidRPr="00D12AA3">
        <w:rPr>
          <w:rStyle w:val="Emphasis"/>
          <w:highlight w:val="yellow"/>
        </w:rPr>
        <w:t xml:space="preserve">coexists with a </w:t>
      </w:r>
      <w:r w:rsidRPr="00CF54C6">
        <w:rPr>
          <w:rStyle w:val="Emphasis"/>
        </w:rPr>
        <w:t xml:space="preserve">managerial </w:t>
      </w:r>
      <w:r w:rsidRPr="00D12AA3">
        <w:rPr>
          <w:rStyle w:val="Emphasis"/>
          <w:highlight w:val="yellow"/>
        </w:rPr>
        <w:t>rejection of trade unionism</w:t>
      </w:r>
      <w:r w:rsidRPr="00626984">
        <w:rPr>
          <w:rStyle w:val="StyleUnderline"/>
        </w:rPr>
        <w:t xml:space="preserve"> as an alien “third party,” ineffective and divisive, </w:t>
      </w:r>
      <w:r w:rsidRPr="00D12AA3">
        <w:rPr>
          <w:rStyle w:val="StyleUnderline"/>
          <w:highlight w:val="yellow"/>
        </w:rPr>
        <w:t>even</w:t>
      </w:r>
      <w:r w:rsidRPr="00626984">
        <w:rPr>
          <w:rStyle w:val="StyleUnderline"/>
        </w:rPr>
        <w:t xml:space="preserve"> in an era </w:t>
      </w:r>
      <w:r w:rsidRPr="00D12AA3">
        <w:rPr>
          <w:rStyle w:val="StyleUnderline"/>
          <w:highlight w:val="yellow"/>
        </w:rPr>
        <w:t>when</w:t>
      </w:r>
      <w:r w:rsidRPr="00626984">
        <w:rPr>
          <w:rStyle w:val="StyleUnderline"/>
        </w:rPr>
        <w:t xml:space="preserve"> the </w:t>
      </w:r>
      <w:r w:rsidRPr="00D12AA3">
        <w:rPr>
          <w:rStyle w:val="StyleUnderline"/>
        </w:rPr>
        <w:t xml:space="preserve">polls tell us that </w:t>
      </w:r>
      <w:r w:rsidRPr="00CF54C6">
        <w:rPr>
          <w:rStyle w:val="StyleUnderline"/>
        </w:rPr>
        <w:t xml:space="preserve">trade </w:t>
      </w:r>
      <w:r w:rsidRPr="00D12AA3">
        <w:rPr>
          <w:rStyle w:val="StyleUnderline"/>
          <w:highlight w:val="yellow"/>
        </w:rPr>
        <w:t>unionism</w:t>
      </w:r>
      <w:r w:rsidRPr="00626984">
        <w:rPr>
          <w:rStyle w:val="StyleUnderline"/>
        </w:rPr>
        <w:t xml:space="preserve"> </w:t>
      </w:r>
      <w:r w:rsidRPr="00D12AA3">
        <w:rPr>
          <w:rStyle w:val="StyleUnderline"/>
          <w:highlight w:val="yellow"/>
        </w:rPr>
        <w:t>is enjoying</w:t>
      </w:r>
      <w:r w:rsidRPr="00626984">
        <w:rPr>
          <w:rStyle w:val="StyleUnderline"/>
        </w:rPr>
        <w:t xml:space="preserve"> levels of </w:t>
      </w:r>
      <w:r w:rsidRPr="00D12AA3">
        <w:rPr>
          <w:rStyle w:val="StyleUnderline"/>
          <w:highlight w:val="yellow"/>
        </w:rPr>
        <w:t xml:space="preserve">public support not seen since the </w:t>
      </w:r>
      <w:r w:rsidRPr="00CF54C6">
        <w:rPr>
          <w:rStyle w:val="StyleUnderline"/>
        </w:rPr>
        <w:t>19</w:t>
      </w:r>
      <w:r w:rsidRPr="00D12AA3">
        <w:rPr>
          <w:rStyle w:val="StyleUnderline"/>
          <w:highlight w:val="yellow"/>
        </w:rPr>
        <w:t>60s</w:t>
      </w:r>
      <w:r w:rsidRPr="00626984">
        <w:rPr>
          <w:rStyle w:val="StyleUnderline"/>
        </w:rPr>
        <w:t>.</w:t>
      </w:r>
    </w:p>
    <w:p w14:paraId="72970546" w14:textId="77777777" w:rsidR="00226EC9" w:rsidRDefault="00226EC9" w:rsidP="00226EC9">
      <w:r w:rsidRPr="0089345E">
        <w:rPr>
          <w:rStyle w:val="Style13ptBold"/>
        </w:rPr>
        <w:t>Pope et al 17,</w:t>
      </w:r>
      <w:r w:rsidRPr="0089345E">
        <w:t xml:space="preserve"> </w:t>
      </w:r>
      <w:r>
        <w:t xml:space="preserve">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 // judah</w:t>
      </w:r>
    </w:p>
    <w:p w14:paraId="26B240FF" w14:textId="77777777" w:rsidR="00226EC9" w:rsidRPr="006B0ADA" w:rsidRDefault="00226EC9" w:rsidP="00226EC9">
      <w:pPr>
        <w:rPr>
          <w:sz w:val="16"/>
        </w:rPr>
      </w:pPr>
      <w:r w:rsidRPr="006B0ADA">
        <w:rPr>
          <w:sz w:val="16"/>
        </w:rPr>
        <w:t>As Lerner diagnosed twenty years ago</w:t>
      </w:r>
      <w:r w:rsidRPr="00CF54C6">
        <w:rPr>
          <w:sz w:val="16"/>
        </w:rPr>
        <w:t xml:space="preserve">, </w:t>
      </w:r>
      <w:r w:rsidRPr="00CF54C6">
        <w:rPr>
          <w:rStyle w:val="StyleUnderline"/>
        </w:rPr>
        <w:t>U.S. labor law blocks unions and workers from effective organizing and striking.</w:t>
      </w:r>
      <w:r w:rsidRPr="006B0ADA">
        <w:rPr>
          <w:rStyle w:val="StyleUnderline"/>
        </w:rPr>
        <w:t xml:space="preserve"> </w:t>
      </w:r>
      <w:r w:rsidRPr="006B0ADA">
        <w:rPr>
          <w:sz w:val="16"/>
        </w:rPr>
        <w:t xml:space="preserve">Then as now, </w:t>
      </w:r>
      <w:r w:rsidRPr="006B0ADA">
        <w:rPr>
          <w:rStyle w:val="StyleUnderline"/>
        </w:rPr>
        <w:t xml:space="preserve">the law’s </w:t>
      </w:r>
      <w:r w:rsidRPr="00C20920">
        <w:rPr>
          <w:rStyle w:val="StyleUnderline"/>
          <w:highlight w:val="cyan"/>
        </w:rPr>
        <w:t>protections for workers’ rights</w:t>
      </w:r>
      <w:r w:rsidRPr="006B0ADA">
        <w:rPr>
          <w:rStyle w:val="StyleUnderline"/>
        </w:rPr>
        <w:t xml:space="preserve"> amount to little more than paper guarantees, while its restrictions are downright deadly.</w:t>
      </w:r>
      <w:r w:rsidRPr="006B0ADA">
        <w:rPr>
          <w:sz w:val="16"/>
        </w:rPr>
        <w:t xml:space="preserve"> Indeed the Committee on Freedom of Association of the International Labor Organization (ILO) has held that </w:t>
      </w:r>
      <w:r w:rsidRPr="006B0ADA">
        <w:rPr>
          <w:rStyle w:val="StyleUnderline"/>
        </w:rPr>
        <w:t>the United States is violating international standards by failing to protect the right to organize, by banning secondary strikes and boycotts across the board, and by allowing employers to permanently replace workers who strike.</w:t>
      </w:r>
      <w:r w:rsidRPr="006B0ADA">
        <w:rPr>
          <w:sz w:val="16"/>
        </w:rPr>
        <w:t xml:space="preserve"> </w:t>
      </w:r>
      <w:r w:rsidRPr="006B0ADA">
        <w:rPr>
          <w:rStyle w:val="StyleUnderline"/>
        </w:rPr>
        <w:t xml:space="preserve">The </w:t>
      </w:r>
      <w:r w:rsidRPr="00B51B49">
        <w:rPr>
          <w:rStyle w:val="Emphasis"/>
          <w:highlight w:val="yellow"/>
        </w:rPr>
        <w:t>ban on secondary strikes</w:t>
      </w:r>
      <w:r w:rsidRPr="00B51B49">
        <w:rPr>
          <w:rStyle w:val="Emphasis"/>
        </w:rPr>
        <w:t xml:space="preserve"> </w:t>
      </w:r>
      <w:r w:rsidRPr="00B51B49">
        <w:rPr>
          <w:rStyle w:val="StyleUnderline"/>
        </w:rPr>
        <w:t xml:space="preserve">is </w:t>
      </w:r>
      <w:r w:rsidRPr="00B51B49">
        <w:rPr>
          <w:rStyle w:val="Emphasis"/>
          <w:highlight w:val="yellow"/>
        </w:rPr>
        <w:t>especially debilitating</w:t>
      </w:r>
      <w:r w:rsidRPr="006B0ADA">
        <w:rPr>
          <w:rStyle w:val="StyleUnderline"/>
        </w:rPr>
        <w:t xml:space="preserve">, </w:t>
      </w:r>
      <w:r w:rsidRPr="00CF54C6">
        <w:rPr>
          <w:rStyle w:val="StyleUnderline"/>
        </w:rPr>
        <w:t xml:space="preserve">because </w:t>
      </w:r>
      <w:r w:rsidRPr="009425F8">
        <w:rPr>
          <w:rStyle w:val="StyleUnderline"/>
          <w:highlight w:val="yellow"/>
        </w:rPr>
        <w:t>it prevents workers who have economic power</w:t>
      </w:r>
      <w:r w:rsidRPr="006B0ADA">
        <w:rPr>
          <w:rStyle w:val="StyleUnderline"/>
        </w:rPr>
        <w:t xml:space="preserve">, </w:t>
      </w:r>
      <w:r w:rsidRPr="00B51B49">
        <w:rPr>
          <w:rStyle w:val="StyleUnderline"/>
          <w:highlight w:val="yellow"/>
        </w:rPr>
        <w:t>such as organized grocery workers,</w:t>
      </w:r>
      <w:r w:rsidRPr="006B0ADA">
        <w:rPr>
          <w:rStyle w:val="StyleUnderline"/>
        </w:rPr>
        <w:t xml:space="preserve"> </w:t>
      </w:r>
      <w:r w:rsidRPr="009425F8">
        <w:rPr>
          <w:rStyle w:val="StyleUnderline"/>
          <w:highlight w:val="yellow"/>
        </w:rPr>
        <w:t>from aiding workers who do not</w:t>
      </w:r>
      <w:r w:rsidRPr="006B0ADA">
        <w:rPr>
          <w:rStyle w:val="StyleUnderline"/>
        </w:rPr>
        <w:t xml:space="preserve">, </w:t>
      </w:r>
      <w:r w:rsidRPr="00B51B49">
        <w:rPr>
          <w:rStyle w:val="StyleUnderline"/>
          <w:highlight w:val="yellow"/>
        </w:rPr>
        <w:t>for example unorganized packing house workers</w:t>
      </w:r>
      <w:r w:rsidRPr="006B0ADA">
        <w:rPr>
          <w:rStyle w:val="StyleUnderline"/>
        </w:rPr>
        <w:t>.</w:t>
      </w:r>
      <w:r w:rsidRPr="006B0ADA">
        <w:rPr>
          <w:sz w:val="16"/>
        </w:rPr>
        <w:t xml:space="preserve"> </w:t>
      </w:r>
      <w:r w:rsidRPr="00B51B49">
        <w:rPr>
          <w:rStyle w:val="StyleUnderline"/>
        </w:rPr>
        <w:t>If</w:t>
      </w:r>
      <w:r w:rsidRPr="006B0ADA">
        <w:rPr>
          <w:rStyle w:val="StyleUnderline"/>
        </w:rPr>
        <w:t xml:space="preserve"> the grocery workers support striking packers by refusing to handle food packed by strikebreakers, they are said to be engaging in an illegal secondary strike.</w:t>
      </w:r>
    </w:p>
    <w:p w14:paraId="1F744623" w14:textId="77777777" w:rsidR="00226EC9" w:rsidRDefault="00226EC9" w:rsidP="00226EC9">
      <w:pPr>
        <w:pStyle w:val="Heading4"/>
      </w:pPr>
      <w:r>
        <w:t>Workers Rights discourse is employed within the framework of Human Rights</w:t>
      </w:r>
    </w:p>
    <w:p w14:paraId="4AB37BD7" w14:textId="77777777" w:rsidR="00226EC9" w:rsidRPr="009A0C42" w:rsidRDefault="00226EC9" w:rsidP="00226EC9">
      <w:r>
        <w:rPr>
          <w:rStyle w:val="Style13ptBold"/>
        </w:rPr>
        <w:t>Kolben 10</w:t>
      </w:r>
      <w:r w:rsidRPr="009A0C42">
        <w:t>[(rofessor Kevin Kolben is a recognized expert on transnational labor regulation and labor governance in supply chains. His work has appeared in various leading journals, including the Harvard International Law Journal, the Virginia Journal of International Law, Theoretical Inquiries in Law, and the UCLA Journal of International Law, among others.) “Labor Rights as Human Rights?” Virginia Journal of International Law 449 https://heinonline.org/HOL/Page?collection=journals&amp;handle=hein.journals/vajint50&amp;id=465&amp;men_tab=srchresults]</w:t>
      </w:r>
    </w:p>
    <w:p w14:paraId="62A2B9C0" w14:textId="77777777" w:rsidR="00226EC9" w:rsidRPr="00F3364B" w:rsidRDefault="00226EC9" w:rsidP="00226EC9">
      <w:pPr>
        <w:rPr>
          <w:sz w:val="14"/>
        </w:rPr>
      </w:pPr>
      <w:r w:rsidRPr="00F3364B">
        <w:rPr>
          <w:sz w:val="12"/>
          <w:szCs w:val="12"/>
        </w:rPr>
        <w:t>For</w:t>
      </w:r>
      <w:r w:rsidRPr="000D2A49">
        <w:t xml:space="preserve"> </w:t>
      </w:r>
      <w:r w:rsidRPr="00F3364B">
        <w:rPr>
          <w:sz w:val="14"/>
        </w:rPr>
        <w:t xml:space="preserve">the U.S. labor movement, the use of human rights discourse has been a highly pragmatic course of action. At least in good part, it is a strategic and instrumental response to the decline of union membership and to the loss of moral, political, and intellectual support for labor movements, both in the United States and abroad.67 Academic discourse in the United States, and increasingly in other nations, often frames labor unions as special, rent-seeking economic interests that work to benefit their membership to the detriment of the economy as a whole. 68 Unions also suffer from popular political and cultural perceptions of being corrupt or self-serving organizations that work in the interest of their own members rather than for the greater good.69 This </w:t>
      </w:r>
      <w:r w:rsidRPr="00221034">
        <w:rPr>
          <w:rStyle w:val="StyleUnderline"/>
        </w:rPr>
        <w:t xml:space="preserve">negative perception of unions has compelled the </w:t>
      </w:r>
      <w:r w:rsidRPr="00F3364B">
        <w:rPr>
          <w:rStyle w:val="StyleUnderline"/>
          <w:highlight w:val="cyan"/>
        </w:rPr>
        <w:t>labor movement</w:t>
      </w:r>
      <w:r w:rsidRPr="00221034">
        <w:rPr>
          <w:rStyle w:val="StyleUnderline"/>
        </w:rPr>
        <w:t xml:space="preserve"> to attempt to </w:t>
      </w:r>
      <w:r w:rsidRPr="00F3364B">
        <w:rPr>
          <w:rStyle w:val="StyleUnderline"/>
          <w:highlight w:val="cyan"/>
        </w:rPr>
        <w:t>redefine itself within a framework</w:t>
      </w:r>
      <w:r w:rsidRPr="00221034">
        <w:rPr>
          <w:rStyle w:val="StyleUnderline"/>
        </w:rPr>
        <w:t xml:space="preserve"> that has obtained widespread intellectual, cultural, moral, and political support: </w:t>
      </w:r>
      <w:r w:rsidRPr="00531578">
        <w:rPr>
          <w:rStyle w:val="StyleUnderline"/>
        </w:rPr>
        <w:t>human rights</w:t>
      </w:r>
      <w:r w:rsidRPr="00221034">
        <w:rPr>
          <w:rStyle w:val="StyleUnderline"/>
        </w:rPr>
        <w:t>. Calling a particular right a "human right," in both law and popu lar discourse, makes that right almost numinous.</w:t>
      </w:r>
      <w:r w:rsidRPr="00F3364B">
        <w:rPr>
          <w:sz w:val="14"/>
        </w:rPr>
        <w:t xml:space="preserve"> While opposing unions or requiring balancing of interests with regard to freedom of association and collective bargaining is wholly acceptable, opposing a right that has achieved </w:t>
      </w:r>
      <w:r w:rsidRPr="00F3364B">
        <w:rPr>
          <w:sz w:val="14"/>
        </w:rPr>
        <w:lastRenderedPageBreak/>
        <w:t xml:space="preserve">"human rights" status appears illegitimate. </w:t>
      </w:r>
      <w:r w:rsidRPr="00F3364B">
        <w:rPr>
          <w:rStyle w:val="StyleUnderline"/>
          <w:highlight w:val="cyan"/>
        </w:rPr>
        <w:t>Framing labor rights as human rights</w:t>
      </w:r>
      <w:r w:rsidRPr="00111CA8">
        <w:rPr>
          <w:rStyle w:val="StyleUnderline"/>
        </w:rPr>
        <w:t xml:space="preserve"> thus </w:t>
      </w:r>
      <w:r w:rsidRPr="00F3364B">
        <w:rPr>
          <w:rStyle w:val="StyleUnderline"/>
          <w:highlight w:val="cyan"/>
        </w:rPr>
        <w:t>shifts</w:t>
      </w:r>
      <w:r w:rsidRPr="00111CA8">
        <w:rPr>
          <w:rStyle w:val="StyleUnderline"/>
        </w:rPr>
        <w:t xml:space="preserve"> the labor </w:t>
      </w:r>
      <w:r w:rsidRPr="00F3364B">
        <w:rPr>
          <w:rStyle w:val="StyleUnderline"/>
          <w:highlight w:val="cyan"/>
        </w:rPr>
        <w:t>discourse</w:t>
      </w:r>
      <w:r w:rsidRPr="00111CA8">
        <w:rPr>
          <w:rStyle w:val="StyleUnderline"/>
        </w:rPr>
        <w:t xml:space="preserve"> from economics and special interest politics to ethics and morality. </w:t>
      </w:r>
      <w:r w:rsidRPr="00F3364B">
        <w:rPr>
          <w:sz w:val="14"/>
        </w:rPr>
        <w:t xml:space="preserve">In other words, activists and labor law scholars </w:t>
      </w:r>
      <w:r w:rsidRPr="00111CA8">
        <w:rPr>
          <w:rStyle w:val="StyleUnderline"/>
        </w:rPr>
        <w:t xml:space="preserve">seek to </w:t>
      </w:r>
      <w:r w:rsidRPr="00F3364B">
        <w:rPr>
          <w:rStyle w:val="StyleUnderline"/>
          <w:highlight w:val="cyan"/>
        </w:rPr>
        <w:t>harness</w:t>
      </w:r>
      <w:r w:rsidRPr="00111CA8">
        <w:rPr>
          <w:rStyle w:val="StyleUnderline"/>
        </w:rPr>
        <w:t xml:space="preserve"> the </w:t>
      </w:r>
      <w:r w:rsidRPr="00F3364B">
        <w:rPr>
          <w:rStyle w:val="StyleUnderline"/>
          <w:highlight w:val="cyan"/>
        </w:rPr>
        <w:t>hegemonic status of human rights</w:t>
      </w:r>
      <w:r w:rsidRPr="00111CA8">
        <w:rPr>
          <w:rStyle w:val="StyleUnderline"/>
        </w:rPr>
        <w:t xml:space="preserve"> discourse in order to gain public support for a number of legal, political, and strategic objectives</w:t>
      </w:r>
      <w:r w:rsidRPr="00F3364B">
        <w:rPr>
          <w:sz w:val="14"/>
        </w:rPr>
        <w:t xml:space="preserve">. 70 A. Domestic Legal Reform One of these objectives is to achieve domestic legal reform. </w:t>
      </w:r>
      <w:r w:rsidRPr="00F3364B">
        <w:rPr>
          <w:rStyle w:val="StyleUnderline"/>
          <w:highlight w:val="cyan"/>
        </w:rPr>
        <w:t xml:space="preserve">Labor law reform </w:t>
      </w:r>
      <w:r w:rsidRPr="00F3364B">
        <w:rPr>
          <w:rStyle w:val="StyleUnderline"/>
        </w:rPr>
        <w:t>has</w:t>
      </w:r>
      <w:r w:rsidRPr="00D655D1">
        <w:rPr>
          <w:rStyle w:val="StyleUnderline"/>
        </w:rPr>
        <w:t xml:space="preserve"> been a major goal not only of labor movements, but also of labor lawyers and scholars who have criticized the way courts have whittled away the National Labor Relations Act (NLRA) 71 over the years.72 These critics </w:t>
      </w:r>
      <w:r w:rsidRPr="00F3364B">
        <w:rPr>
          <w:rStyle w:val="StyleUnderline"/>
          <w:highlight w:val="cyan"/>
        </w:rPr>
        <w:t>contend</w:t>
      </w:r>
      <w:r w:rsidRPr="00D655D1">
        <w:rPr>
          <w:rStyle w:val="StyleUnderline"/>
        </w:rPr>
        <w:t xml:space="preserve"> that </w:t>
      </w:r>
      <w:r w:rsidRPr="00F3364B">
        <w:rPr>
          <w:rStyle w:val="StyleUnderline"/>
          <w:highlight w:val="cyan"/>
        </w:rPr>
        <w:t>the NLRA</w:t>
      </w:r>
      <w:r w:rsidRPr="00F3364B">
        <w:rPr>
          <w:sz w:val="14"/>
        </w:rPr>
        <w:t xml:space="preserve"> is now a mere shell of its intended form, </w:t>
      </w:r>
      <w:r w:rsidRPr="00F3364B">
        <w:rPr>
          <w:rStyle w:val="StyleUnderline"/>
          <w:highlight w:val="cyan"/>
        </w:rPr>
        <w:t xml:space="preserve">gutted </w:t>
      </w:r>
      <w:r w:rsidRPr="00F3364B">
        <w:rPr>
          <w:rStyle w:val="StyleUnderline"/>
        </w:rPr>
        <w:t xml:space="preserve">of </w:t>
      </w:r>
      <w:r w:rsidRPr="00F3364B">
        <w:rPr>
          <w:rStyle w:val="StyleUnderline"/>
          <w:highlight w:val="cyan"/>
        </w:rPr>
        <w:t>its</w:t>
      </w:r>
      <w:r w:rsidRPr="00D655D1">
        <w:rPr>
          <w:rStyle w:val="StyleUnderline"/>
        </w:rPr>
        <w:t xml:space="preserve"> core </w:t>
      </w:r>
      <w:r w:rsidRPr="00F3364B">
        <w:rPr>
          <w:rStyle w:val="StyleUnderline"/>
          <w:highlight w:val="cyan"/>
        </w:rPr>
        <w:t>human rights values</w:t>
      </w:r>
      <w:r w:rsidRPr="00F3364B">
        <w:rPr>
          <w:sz w:val="14"/>
        </w:rPr>
        <w:t xml:space="preserve">.73 These lawyers and scholars argue that: (a) labor rights are human rights; (b) U.S. labor law does not conform to international labor and human rights standards; and (c) U.S. law ought to do so. These scholars lament what Cynthia Estlund entitled the "ossification of American labor law ' 74 </w:t>
      </w:r>
      <w:r w:rsidRPr="00F3364B">
        <w:rPr>
          <w:rStyle w:val="StyleUnderline"/>
        </w:rPr>
        <w:t>and advocate greater penetration of international labor and human rights norms</w:t>
      </w:r>
      <w:r w:rsidRPr="00F3364B">
        <w:rPr>
          <w:sz w:val="14"/>
        </w:rPr>
        <w:t xml:space="preserve">. 75 Such penetration, they argue, would require that U.S. law provide for stronger rights to strike and organize, protections for agricultural and public sector workers, and effective enforcement of labor laws so that international labor law norms are respected in practice, and not just in form.7 6 Proponents also argue that international human rights law, particularly that of the ILO and its norm-generating supervisory mechanisms such as the Committee on Freedom of Association, provides "an authoritative voice and moral standing in the international community' 77 and gives "precise meaning" to international labor standards.78 </w:t>
      </w:r>
      <w:r w:rsidRPr="00F3364B">
        <w:rPr>
          <w:rStyle w:val="StyleUnderline"/>
        </w:rPr>
        <w:t>Such language could help persuade the U.S. legislature, courts, and administrative bodies to bring American labor law into conformity with international norms and help restore the human rights basis of the NLRA</w:t>
      </w:r>
      <w:r w:rsidRPr="00F3364B">
        <w:rPr>
          <w:sz w:val="14"/>
        </w:rPr>
        <w:t xml:space="preserve">.79 The American labor movement has also shown increasing interest in such international human rights instruments as the ILO's freedom of association complaint mechanisms. 80 For example, the AFL-CIO recently filed complaints before the Committee on Freedom for Association (CFA), challenging two U.S. Supreme Court decisions: one that denied back pay for immigrant workers who were fired for exercising their rights to organize under the NLRA,81 and another that expanded the definition of "supervisor" under the NLRA, thus excluding a number of workers from the right to organize afforded non-supervisor employees.82 Furthermore, the United Electrical, Radio and Machine Workers of America (UE), in conjunction with a non-union labor rights nongovernmental organization, the International Commission for Labor Rights (ICLR), also filed a successful complaint challenging North Carolina's ban on public employee collective bargaining. 83 Recently, the AFL-CIO, in response to a slew of National Labor Relations Board (NLRB) decisions that went against labor unions, filed what Compa calls a "mega-complaint" with the CFA, claiming that these decisions violate ILO jurisprudence. 84 Other examples of this phenomenon abound.85 In 2003, for example, the AFL-CIO helped launch a separate nonprofit organization called American Rights at Work (ARAW). The purpose of the organizationwhich has directors from a range of backgrounds, and only one from the labor movement (AFL-CIO president </w:t>
      </w:r>
      <w:r w:rsidRPr="00D4508D">
        <w:rPr>
          <w:sz w:val="14"/>
        </w:rPr>
        <w:t xml:space="preserve">John Sweeney)-is to bring attention to deficits in U.S. labor law, particularly with respect to organizing rights and the anti union practices of certain corporations.86 </w:t>
      </w:r>
      <w:r w:rsidRPr="00D4508D">
        <w:rPr>
          <w:rStyle w:val="StyleUnderline"/>
        </w:rPr>
        <w:t xml:space="preserve">ARAW makes </w:t>
      </w:r>
      <w:r w:rsidRPr="00F3364B">
        <w:rPr>
          <w:rStyle w:val="StyleUnderline"/>
          <w:highlight w:val="cyan"/>
        </w:rPr>
        <w:t xml:space="preserve">explicit </w:t>
      </w:r>
      <w:r w:rsidRPr="00D4508D">
        <w:rPr>
          <w:rStyle w:val="StyleUnderline"/>
        </w:rPr>
        <w:t xml:space="preserve">its </w:t>
      </w:r>
      <w:r w:rsidRPr="00F3364B">
        <w:rPr>
          <w:rStyle w:val="StyleUnderline"/>
          <w:highlight w:val="cyan"/>
        </w:rPr>
        <w:t xml:space="preserve">links with the </w:t>
      </w:r>
      <w:r w:rsidRPr="00D4508D">
        <w:rPr>
          <w:rStyle w:val="StyleUnderline"/>
          <w:highlight w:val="cyan"/>
        </w:rPr>
        <w:t>international human rights movemen</w:t>
      </w:r>
      <w:r w:rsidRPr="00F3364B">
        <w:rPr>
          <w:rStyle w:val="StyleUnderline"/>
        </w:rPr>
        <w:t>t, and Mary Robinson, the former head of the United Nations Human Rights Commission, serves as its international advisor</w:t>
      </w:r>
      <w:r w:rsidRPr="00F3364B">
        <w:rPr>
          <w:sz w:val="14"/>
        </w:rPr>
        <w:t xml:space="preserve">. 87 The organization also holds an annual Eleanor Roosevelt Awards Dinner, where it recognizes institutions and people it believes "reflect the institutions and communities outside of the labor movement that view protecting workers' rights as good for business and crucial for a vibrant democratic society.988 ARAW and its partners have also used human rights discourse to help advocate for legislative reform, including the Employee Free Choice Act, which would provide for union certification based on signatures, first contract mediation and arbitration, and stiffer penalties for NLRA violations.89 </w:t>
      </w:r>
      <w:r w:rsidRPr="00F3364B">
        <w:rPr>
          <w:rStyle w:val="StyleUnderline"/>
        </w:rPr>
        <w:t>ARAW has also tried to affect administrative and legal practice by utilizing human rights language to push the NLRB to hand down more worker-friendly decisions</w:t>
      </w:r>
      <w:r w:rsidRPr="00F3364B">
        <w:rPr>
          <w:sz w:val="14"/>
        </w:rPr>
        <w:t>. 90</w:t>
      </w:r>
    </w:p>
    <w:p w14:paraId="4B601B78" w14:textId="77777777" w:rsidR="00226EC9" w:rsidRPr="00226EC9" w:rsidRDefault="00226EC9" w:rsidP="00226EC9"/>
    <w:sectPr w:rsidR="00226EC9" w:rsidRPr="00226E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DB7AA" w14:textId="77777777" w:rsidR="00537EAD" w:rsidRDefault="00537EAD" w:rsidP="00066D2C">
      <w:pPr>
        <w:spacing w:after="0" w:line="240" w:lineRule="auto"/>
      </w:pPr>
      <w:r>
        <w:separator/>
      </w:r>
    </w:p>
  </w:endnote>
  <w:endnote w:type="continuationSeparator" w:id="0">
    <w:p w14:paraId="56A1C0C3" w14:textId="77777777" w:rsidR="00537EAD" w:rsidRDefault="00537EA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EEC90" w14:textId="77777777" w:rsidR="00537EAD" w:rsidRDefault="00537EAD" w:rsidP="00066D2C">
      <w:pPr>
        <w:spacing w:after="0" w:line="240" w:lineRule="auto"/>
      </w:pPr>
      <w:r>
        <w:separator/>
      </w:r>
    </w:p>
  </w:footnote>
  <w:footnote w:type="continuationSeparator" w:id="0">
    <w:p w14:paraId="4E05E9F5" w14:textId="77777777" w:rsidR="00537EAD" w:rsidRDefault="00537EA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5302E2"/>
    <w:multiLevelType w:val="hybridMultilevel"/>
    <w:tmpl w:val="DD606F14"/>
    <w:lvl w:ilvl="0" w:tplc="FFFFFFFF">
      <w:start w:val="1"/>
      <w:numFmt w:val="upperLetter"/>
      <w:lvlText w:val="%1."/>
      <w:lvlJc w:val="left"/>
      <w:pPr>
        <w:ind w:left="720" w:hanging="360"/>
      </w:pPr>
      <w:rPr>
        <w:rFonts w:asciiTheme="minorHAnsi" w:eastAsiaTheme="majorEastAsia" w:hAnsiTheme="minorHAnsi"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95D2988"/>
    <w:multiLevelType w:val="hybridMultilevel"/>
    <w:tmpl w:val="DD606F14"/>
    <w:lvl w:ilvl="0" w:tplc="C8EA68B2">
      <w:start w:val="1"/>
      <w:numFmt w:val="upperLetter"/>
      <w:lvlText w:val="%1."/>
      <w:lvlJc w:val="left"/>
      <w:pPr>
        <w:ind w:left="720" w:hanging="360"/>
      </w:pPr>
      <w:rPr>
        <w:rFonts w:asciiTheme="minorHAnsi" w:eastAsiaTheme="majorEastAsia" w:hAnsiTheme="minorHAns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907059437">
    <w:abstractNumId w:val="15"/>
  </w:num>
  <w:num w:numId="46" w16cid:durableId="13942815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2947657424"/>
    <w:docVar w:name="Team" w:val="Kansas State"/>
    <w:docVar w:name="VerbatimVersion" w:val="6.0.0"/>
    <w:docVar w:name="WordVersion" w:val="16.0"/>
  </w:docVars>
  <w:rsids>
    <w:rsidRoot w:val="00923E7B"/>
    <w:rsid w:val="00001C7E"/>
    <w:rsid w:val="0000487C"/>
    <w:rsid w:val="00011FEF"/>
    <w:rsid w:val="00013C8B"/>
    <w:rsid w:val="00023AEF"/>
    <w:rsid w:val="000250CA"/>
    <w:rsid w:val="00032119"/>
    <w:rsid w:val="0004066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1B1"/>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7B4"/>
    <w:rsid w:val="002152F9"/>
    <w:rsid w:val="0021530A"/>
    <w:rsid w:val="002212A9"/>
    <w:rsid w:val="002234FB"/>
    <w:rsid w:val="00225437"/>
    <w:rsid w:val="002263A1"/>
    <w:rsid w:val="00226EC9"/>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40"/>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37EAD"/>
    <w:rsid w:val="00544936"/>
    <w:rsid w:val="005449A8"/>
    <w:rsid w:val="0055242A"/>
    <w:rsid w:val="005525AE"/>
    <w:rsid w:val="005546C5"/>
    <w:rsid w:val="005558FC"/>
    <w:rsid w:val="00557B59"/>
    <w:rsid w:val="00565142"/>
    <w:rsid w:val="00567D6A"/>
    <w:rsid w:val="00567D90"/>
    <w:rsid w:val="00575723"/>
    <w:rsid w:val="00583644"/>
    <w:rsid w:val="00585F11"/>
    <w:rsid w:val="00587966"/>
    <w:rsid w:val="005906F9"/>
    <w:rsid w:val="005932B4"/>
    <w:rsid w:val="005A3550"/>
    <w:rsid w:val="005A3D3E"/>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22AD"/>
    <w:rsid w:val="00673C22"/>
    <w:rsid w:val="0067482D"/>
    <w:rsid w:val="0067732F"/>
    <w:rsid w:val="00681007"/>
    <w:rsid w:val="0068122B"/>
    <w:rsid w:val="00681DD9"/>
    <w:rsid w:val="00682252"/>
    <w:rsid w:val="00682F5C"/>
    <w:rsid w:val="00685106"/>
    <w:rsid w:val="00687555"/>
    <w:rsid w:val="006878DE"/>
    <w:rsid w:val="00690E39"/>
    <w:rsid w:val="00691FF9"/>
    <w:rsid w:val="0069285F"/>
    <w:rsid w:val="0069752C"/>
    <w:rsid w:val="006A0DE5"/>
    <w:rsid w:val="006A0F5C"/>
    <w:rsid w:val="006A3677"/>
    <w:rsid w:val="006A5B27"/>
    <w:rsid w:val="006B1653"/>
    <w:rsid w:val="006B4E4E"/>
    <w:rsid w:val="006B5952"/>
    <w:rsid w:val="006B6C5F"/>
    <w:rsid w:val="006B78B2"/>
    <w:rsid w:val="006B7E39"/>
    <w:rsid w:val="006C2072"/>
    <w:rsid w:val="006C43E7"/>
    <w:rsid w:val="006C4820"/>
    <w:rsid w:val="006C5872"/>
    <w:rsid w:val="006C60E0"/>
    <w:rsid w:val="006C676D"/>
    <w:rsid w:val="006C69E2"/>
    <w:rsid w:val="006C7825"/>
    <w:rsid w:val="006D767A"/>
    <w:rsid w:val="006E2A45"/>
    <w:rsid w:val="006E37D4"/>
    <w:rsid w:val="006F3768"/>
    <w:rsid w:val="006F6E95"/>
    <w:rsid w:val="006F71DE"/>
    <w:rsid w:val="00704573"/>
    <w:rsid w:val="007072CC"/>
    <w:rsid w:val="0071254A"/>
    <w:rsid w:val="007131D2"/>
    <w:rsid w:val="00713917"/>
    <w:rsid w:val="00717AF8"/>
    <w:rsid w:val="00720F86"/>
    <w:rsid w:val="00722E77"/>
    <w:rsid w:val="0072323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414E"/>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2AC"/>
    <w:rsid w:val="00907369"/>
    <w:rsid w:val="00910B12"/>
    <w:rsid w:val="00912404"/>
    <w:rsid w:val="00920B9A"/>
    <w:rsid w:val="00923E7B"/>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2F0"/>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AA6"/>
    <w:rsid w:val="00AB2843"/>
    <w:rsid w:val="00AB3118"/>
    <w:rsid w:val="00AB45B0"/>
    <w:rsid w:val="00AB6F32"/>
    <w:rsid w:val="00AC46C7"/>
    <w:rsid w:val="00AC5B71"/>
    <w:rsid w:val="00AC5F18"/>
    <w:rsid w:val="00AC6ED5"/>
    <w:rsid w:val="00AD13BA"/>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E38"/>
    <w:rsid w:val="00B45128"/>
    <w:rsid w:val="00B53DB3"/>
    <w:rsid w:val="00B66AF2"/>
    <w:rsid w:val="00B72848"/>
    <w:rsid w:val="00B74544"/>
    <w:rsid w:val="00B77754"/>
    <w:rsid w:val="00B81054"/>
    <w:rsid w:val="00B820DB"/>
    <w:rsid w:val="00B837F0"/>
    <w:rsid w:val="00B83896"/>
    <w:rsid w:val="00B855C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2C6"/>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46A2"/>
    <w:rsid w:val="00CA5FFF"/>
    <w:rsid w:val="00CA7F86"/>
    <w:rsid w:val="00CB32EF"/>
    <w:rsid w:val="00CC1BDF"/>
    <w:rsid w:val="00CC21EC"/>
    <w:rsid w:val="00CC25CE"/>
    <w:rsid w:val="00CC482B"/>
    <w:rsid w:val="00CD105E"/>
    <w:rsid w:val="00CD4AE6"/>
    <w:rsid w:val="00CD5211"/>
    <w:rsid w:val="00CD57F9"/>
    <w:rsid w:val="00CD5CD1"/>
    <w:rsid w:val="00CE0BB8"/>
    <w:rsid w:val="00CE54E0"/>
    <w:rsid w:val="00CE5835"/>
    <w:rsid w:val="00CE6FA1"/>
    <w:rsid w:val="00CF1938"/>
    <w:rsid w:val="00CF24CD"/>
    <w:rsid w:val="00D01F0A"/>
    <w:rsid w:val="00D052A6"/>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3CA"/>
    <w:rsid w:val="00E50C30"/>
    <w:rsid w:val="00E51410"/>
    <w:rsid w:val="00E515E7"/>
    <w:rsid w:val="00E52ED0"/>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BE5"/>
    <w:rsid w:val="00F31B7D"/>
    <w:rsid w:val="00F32A17"/>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2427F3"/>
  <w15:chartTrackingRefBased/>
  <w15:docId w15:val="{AF84AB75-DED3-5E4C-BC18-B37066C44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23E7B"/>
    <w:rPr>
      <w:rFonts w:ascii="Calibri" w:hAnsi="Calibri" w:cs="Calibri"/>
    </w:rPr>
  </w:style>
  <w:style w:type="paragraph" w:styleId="Heading1">
    <w:name w:val="heading 1"/>
    <w:aliases w:val="Pocket"/>
    <w:basedOn w:val="Normal"/>
    <w:next w:val="Normal"/>
    <w:link w:val="Heading1Char"/>
    <w:qFormat/>
    <w:rsid w:val="00923E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23E7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23E7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923E7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23E7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23E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3E7B"/>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s"/>
    <w:basedOn w:val="DefaultParagraphFont"/>
    <w:link w:val="textbold"/>
    <w:uiPriority w:val="8"/>
    <w:qFormat/>
    <w:rsid w:val="00923E7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23E7B"/>
    <w:rPr>
      <w:color w:val="auto"/>
      <w:u w:val="none"/>
    </w:rPr>
  </w:style>
  <w:style w:type="character" w:customStyle="1" w:styleId="Heading1Char">
    <w:name w:val="Heading 1 Char"/>
    <w:aliases w:val="Pocket Char"/>
    <w:basedOn w:val="DefaultParagraphFont"/>
    <w:link w:val="Heading1"/>
    <w:rsid w:val="00923E7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23E7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23E7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923E7B"/>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23E7B"/>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Bold Cite Char,Citation Char Char Char,Heading 3 Char1 Char Char Char,ci,Style,c,Bo"/>
    <w:basedOn w:val="DefaultParagraphFont"/>
    <w:uiPriority w:val="7"/>
    <w:qFormat/>
    <w:rsid w:val="00923E7B"/>
    <w:rPr>
      <w:b w:val="0"/>
      <w:sz w:val="22"/>
      <w:u w:val="single"/>
    </w:rPr>
  </w:style>
  <w:style w:type="character" w:styleId="Strong">
    <w:name w:val="Strong"/>
    <w:basedOn w:val="DefaultParagraphFont"/>
    <w:uiPriority w:val="22"/>
    <w:semiHidden/>
    <w:qFormat/>
    <w:rsid w:val="00923E7B"/>
    <w:rPr>
      <w:b/>
      <w:bCs/>
    </w:rPr>
  </w:style>
  <w:style w:type="character" w:styleId="BookTitle">
    <w:name w:val="Book Title"/>
    <w:basedOn w:val="DefaultParagraphFont"/>
    <w:uiPriority w:val="33"/>
    <w:semiHidden/>
    <w:qFormat/>
    <w:rsid w:val="00923E7B"/>
    <w:rPr>
      <w:b/>
      <w:bCs/>
      <w:i/>
      <w:iCs/>
      <w:spacing w:val="5"/>
    </w:rPr>
  </w:style>
  <w:style w:type="character" w:customStyle="1" w:styleId="Heading5Char">
    <w:name w:val="Heading 5 Char"/>
    <w:basedOn w:val="DefaultParagraphFont"/>
    <w:link w:val="Heading5"/>
    <w:uiPriority w:val="9"/>
    <w:semiHidden/>
    <w:rsid w:val="00923E7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23E7B"/>
  </w:style>
  <w:style w:type="paragraph" w:styleId="Header">
    <w:name w:val="header"/>
    <w:basedOn w:val="Normal"/>
    <w:link w:val="HeaderChar"/>
    <w:uiPriority w:val="99"/>
    <w:semiHidden/>
    <w:rsid w:val="00923E7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23E7B"/>
    <w:rPr>
      <w:rFonts w:ascii="Calibri" w:hAnsi="Calibri" w:cs="Calibri"/>
    </w:rPr>
  </w:style>
  <w:style w:type="paragraph" w:styleId="Footer">
    <w:name w:val="footer"/>
    <w:basedOn w:val="Normal"/>
    <w:link w:val="FooterChar"/>
    <w:uiPriority w:val="99"/>
    <w:semiHidden/>
    <w:rsid w:val="00923E7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23E7B"/>
    <w:rPr>
      <w:rFonts w:ascii="Calibri" w:hAnsi="Calibri" w:cs="Calibri"/>
    </w:rPr>
  </w:style>
  <w:style w:type="paragraph" w:styleId="BodyText">
    <w:name w:val="Body Text"/>
    <w:basedOn w:val="Normal"/>
    <w:link w:val="BodyTextChar"/>
    <w:uiPriority w:val="99"/>
    <w:semiHidden/>
    <w:unhideWhenUsed/>
    <w:rsid w:val="00923E7B"/>
    <w:pPr>
      <w:spacing w:after="120"/>
    </w:pPr>
  </w:style>
  <w:style w:type="character" w:customStyle="1" w:styleId="BodyTextChar">
    <w:name w:val="Body Text Char"/>
    <w:basedOn w:val="DefaultParagraphFont"/>
    <w:link w:val="BodyText"/>
    <w:uiPriority w:val="99"/>
    <w:semiHidden/>
    <w:rsid w:val="00923E7B"/>
    <w:rPr>
      <w:rFonts w:ascii="Calibri" w:hAnsi="Calibri" w:cs="Calibri"/>
    </w:rPr>
  </w:style>
  <w:style w:type="paragraph" w:styleId="NoSpacing">
    <w:name w:val="No Spacing"/>
    <w:link w:val="NoSpacingChar"/>
    <w:uiPriority w:val="99"/>
    <w:semiHidden/>
    <w:unhideWhenUsed/>
    <w:qFormat/>
    <w:rsid w:val="00923E7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23E7B"/>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uiPriority w:val="99"/>
    <w:unhideWhenUsed/>
    <w:rsid w:val="00923E7B"/>
    <w:rPr>
      <w:color w:val="0563C1" w:themeColor="hyperlink"/>
      <w:u w:val="single"/>
    </w:rPr>
  </w:style>
  <w:style w:type="character" w:styleId="UnresolvedMention">
    <w:name w:val="Unresolved Mention"/>
    <w:basedOn w:val="DefaultParagraphFont"/>
    <w:uiPriority w:val="99"/>
    <w:semiHidden/>
    <w:unhideWhenUsed/>
    <w:rsid w:val="00923E7B"/>
    <w:rPr>
      <w:color w:val="605E5C"/>
      <w:shd w:val="clear" w:color="auto" w:fill="E1DFDD"/>
    </w:rPr>
  </w:style>
  <w:style w:type="paragraph" w:customStyle="1" w:styleId="Analytic">
    <w:name w:val="Analytic"/>
    <w:basedOn w:val="Normal"/>
    <w:link w:val="AnalyticChar"/>
    <w:uiPriority w:val="5"/>
    <w:qFormat/>
    <w:rsid w:val="00923E7B"/>
    <w:rPr>
      <w:b/>
      <w:color w:val="0070C0"/>
      <w:sz w:val="26"/>
    </w:rPr>
  </w:style>
  <w:style w:type="character" w:customStyle="1" w:styleId="AnalyticChar">
    <w:name w:val="Analytic Char"/>
    <w:basedOn w:val="DefaultParagraphFont"/>
    <w:link w:val="Analytic"/>
    <w:uiPriority w:val="5"/>
    <w:rsid w:val="00923E7B"/>
    <w:rPr>
      <w:rFonts w:ascii="Calibri" w:hAnsi="Calibri" w:cs="Calibri"/>
      <w:b/>
      <w:color w:val="0070C0"/>
      <w:sz w:val="26"/>
    </w:rPr>
  </w:style>
  <w:style w:type="paragraph" w:customStyle="1" w:styleId="textbold">
    <w:name w:val="text bold"/>
    <w:basedOn w:val="Normal"/>
    <w:link w:val="Emphasis"/>
    <w:uiPriority w:val="8"/>
    <w:qFormat/>
    <w:rsid w:val="00923E7B"/>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styleId="ListParagraph">
    <w:name w:val="List Paragraph"/>
    <w:basedOn w:val="Normal"/>
    <w:uiPriority w:val="34"/>
    <w:qFormat/>
    <w:rsid w:val="00923E7B"/>
    <w:pPr>
      <w:ind w:left="720"/>
      <w:contextualSpacing/>
    </w:pPr>
  </w:style>
  <w:style w:type="paragraph" w:styleId="NormalWeb">
    <w:name w:val="Normal (Web)"/>
    <w:basedOn w:val="Normal"/>
    <w:uiPriority w:val="99"/>
    <w:unhideWhenUsed/>
    <w:rsid w:val="00923E7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923E7B"/>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215/978147802768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arynd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29</Pages>
  <Words>21494</Words>
  <Characters>122521</Characters>
  <Application>Microsoft Office Word</Application>
  <DocSecurity>0</DocSecurity>
  <Lines>1021</Lines>
  <Paragraphs>287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Taryn Day</dc:creator>
  <cp:keywords>6.0.0</cp:keywords>
  <dc:description/>
  <cp:lastModifiedBy>Taryn Day</cp:lastModifiedBy>
  <cp:revision>3</cp:revision>
  <dcterms:created xsi:type="dcterms:W3CDTF">2025-09-07T19:50:00Z</dcterms:created>
  <dcterms:modified xsi:type="dcterms:W3CDTF">2025-09-07T19:52:00Z</dcterms:modified>
</cp:coreProperties>
</file>