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B4E01" w14:textId="5E65B17C" w:rsidR="009A5EE7" w:rsidRDefault="009A5EE7" w:rsidP="009A5EE7">
      <w:pPr>
        <w:pStyle w:val="Heading1"/>
      </w:pPr>
      <w:r>
        <w:t>Disclosure---NW---r8 v Iowa WE</w:t>
      </w:r>
    </w:p>
    <w:p w14:paraId="7FB8876C" w14:textId="5C30A949" w:rsidR="009A5EE7" w:rsidRDefault="009A5EE7" w:rsidP="009A5EE7">
      <w:pPr>
        <w:pStyle w:val="Heading1"/>
      </w:pPr>
      <w:r>
        <w:t>1NC</w:t>
      </w:r>
    </w:p>
    <w:p w14:paraId="65303484" w14:textId="77777777" w:rsidR="009A5EE7" w:rsidRDefault="009A5EE7" w:rsidP="009A5EE7">
      <w:pPr>
        <w:pStyle w:val="Heading2"/>
      </w:pPr>
      <w:r>
        <w:t>1NC---Off</w:t>
      </w:r>
    </w:p>
    <w:p w14:paraId="055B9694" w14:textId="77777777" w:rsidR="009A5EE7" w:rsidRDefault="009A5EE7" w:rsidP="009A5EE7">
      <w:pPr>
        <w:pStyle w:val="Heading3"/>
      </w:pPr>
      <w:r>
        <w:t>1NC---K</w:t>
      </w:r>
    </w:p>
    <w:p w14:paraId="25AC7173" w14:textId="77777777" w:rsidR="009A5EE7" w:rsidRDefault="009A5EE7" w:rsidP="009A5EE7">
      <w:r>
        <w:t>K-Arca</w:t>
      </w:r>
    </w:p>
    <w:p w14:paraId="6F8FABDF" w14:textId="30655A2F" w:rsidR="00BC6006" w:rsidRPr="00BC6006" w:rsidRDefault="00BC6006" w:rsidP="009A5EE7">
      <w:pPr>
        <w:rPr>
          <w:u w:val="single"/>
        </w:rPr>
      </w:pPr>
      <w:r w:rsidRPr="009A6261">
        <w:t>I do what I wanna do when I wanna do it</w:t>
      </w:r>
      <w:r w:rsidRPr="009A6261">
        <w:br/>
        <w:t>Bitch, I got the bags to prove it</w:t>
      </w:r>
      <w:r w:rsidRPr="009A6261">
        <w:br/>
        <w:t>Hips to move it around and make shapes, yes</w:t>
      </w:r>
      <w:r w:rsidRPr="009A6261">
        <w:br/>
        <w:t>Trim the waste off and the waist down, girl, it's lift off</w:t>
      </w:r>
      <w:r w:rsidRPr="009A6261">
        <w:br/>
        <w:t>It's French tips wrapped 'round a dick</w:t>
      </w:r>
      <w:r w:rsidRPr="009A6261">
        <w:br/>
        <w:t>Do you want a taste?</w:t>
      </w:r>
      <w:r w:rsidRPr="009A6261">
        <w:br/>
        <w:t>I don't give a fuck what you think</w:t>
      </w:r>
      <w:r w:rsidRPr="009A6261">
        <w:br/>
        <w:t>You don't know me</w:t>
      </w:r>
      <w:r w:rsidRPr="009A6261">
        <w:br/>
        <w:t>You might owe me</w:t>
      </w:r>
      <w:r w:rsidRPr="009A6261">
        <w:br/>
        <w:t>But, bitch, you'll never know me</w:t>
      </w:r>
      <w:r w:rsidRPr="009A6261">
        <w:br/>
        <w:t>Ask me how I got here</w:t>
      </w:r>
      <w:r w:rsidRPr="009A6261">
        <w:br/>
        <w:t>Bitch, I worked hard</w:t>
      </w:r>
      <w:r w:rsidRPr="009A6261">
        <w:br/>
        <w:t>Ask me about my luck</w:t>
      </w:r>
      <w:r w:rsidRPr="009A6261">
        <w:br/>
        <w:t>Yeah, I've been lucky</w:t>
      </w:r>
      <w:r w:rsidRPr="009A6261">
        <w:br/>
        <w:t>And I've been unlucky</w:t>
      </w:r>
      <w:r w:rsidRPr="009A6261">
        <w:br/>
        <w:t>It's both</w:t>
      </w:r>
      <w:r w:rsidRPr="009A6261">
        <w:br/>
        <w:t>Don't put your shit on me</w:t>
      </w:r>
      <w:r w:rsidRPr="009A6261">
        <w:br/>
        <w:t>Bitch, I'm special, you can't tell me otherwise</w:t>
      </w:r>
      <w:r w:rsidRPr="009A6261">
        <w:br/>
        <w:t>That'd be a lie</w:t>
      </w:r>
    </w:p>
    <w:p w14:paraId="074646E9" w14:textId="58C717DB" w:rsidR="00F94C6E" w:rsidRPr="00F94C6E" w:rsidRDefault="00F94C6E" w:rsidP="009A5EE7">
      <w:pPr>
        <w:rPr>
          <w:u w:val="single"/>
        </w:rPr>
      </w:pPr>
      <w:r w:rsidRPr="000D60E3">
        <w:rPr>
          <w:rStyle w:val="Style13ptBold"/>
          <w:vertAlign w:val="superscript"/>
        </w:rPr>
        <w:t>1</w:t>
      </w:r>
      <w:r>
        <w:rPr>
          <w:rStyle w:val="Style13ptBold"/>
          <w:vertAlign w:val="superscript"/>
        </w:rPr>
        <w:t xml:space="preserve"> </w:t>
      </w:r>
      <w:r w:rsidRPr="00E633AA">
        <w:rPr>
          <w:rStyle w:val="Style13ptBold"/>
        </w:rPr>
        <w:t>Arca 20</w:t>
      </w:r>
      <w:r>
        <w:t xml:space="preserve"> (Arca</w:t>
      </w:r>
      <w:r w:rsidRPr="00E633AA">
        <w:t xml:space="preserve"> – Nonbinary. (2020). Genius. https://genius.com/Arca-nonbinary-lyrics</w:t>
      </w:r>
      <w:r>
        <w:t>)</w:t>
      </w:r>
    </w:p>
    <w:p w14:paraId="63891FC4" w14:textId="77777777" w:rsidR="009A5EE7" w:rsidRPr="009F1BDA" w:rsidRDefault="009A5EE7" w:rsidP="009A5EE7">
      <w:pPr>
        <w:pStyle w:val="Heading4"/>
        <w:rPr>
          <w:rStyle w:val="StyleUnderline"/>
        </w:rPr>
      </w:pPr>
      <w:r>
        <w:t>Trans and queer</w:t>
      </w:r>
      <w:r w:rsidRPr="009A6261">
        <w:t xml:space="preserve"> aesthetic form</w:t>
      </w:r>
      <w:r>
        <w:t>alism</w:t>
      </w:r>
      <w:r w:rsidRPr="009A6261">
        <w:t xml:space="preserve"> functions as a mode of knowledge production </w:t>
      </w:r>
      <w:r>
        <w:t xml:space="preserve">and joy </w:t>
      </w:r>
      <w:r w:rsidRPr="009A6261">
        <w:t>to create spaces of freedom to exist for queer bodies outside of forceful intelligibility.</w:t>
      </w:r>
    </w:p>
    <w:p w14:paraId="1E949DFD" w14:textId="77777777" w:rsidR="009A5EE7" w:rsidRPr="009F1BDA" w:rsidRDefault="009A5EE7" w:rsidP="009A5EE7">
      <w:pPr>
        <w:rPr>
          <w:rStyle w:val="StyleUnderline"/>
        </w:rPr>
      </w:pPr>
      <w:r w:rsidRPr="009A6261">
        <w:rPr>
          <w:rStyle w:val="Style13ptBold"/>
        </w:rPr>
        <w:t>Amin et al 17</w:t>
      </w:r>
      <w:r w:rsidRPr="009A6261">
        <w:t xml:space="preserve"> (Kadji Amin (he/him), Amber Jamilla Musser (she/her), Roy Pérez (he/him). Amin is Associate Professor of Women’s, Gender, and Sexuality Studies at Emory University and Cornell Society for the Humanities Fellow for 2023-4. Musser is a scholar of Black feminism, Queer of color critique, visual studies, and sensation as well as an English professor at the CUNY Graduate Center. Roy Pérez is an associate professor of ethnic studies at UC San Diego. Queer Form: Aesthetics, Race, and the Violences of the Social, ASAP Journal (May 2017), pp. 237-239, https://muse.jhu.edu/pub/1/article/665995/pdf) taryn</w:t>
      </w:r>
    </w:p>
    <w:p w14:paraId="467DA915" w14:textId="77777777" w:rsidR="009A5EE7" w:rsidRPr="009F1BDA" w:rsidRDefault="009A5EE7" w:rsidP="009A5EE7">
      <w:pPr>
        <w:rPr>
          <w:rStyle w:val="StyleUnderline"/>
        </w:rPr>
      </w:pPr>
      <w:r w:rsidRPr="009A6261">
        <w:rPr>
          <w:sz w:val="14"/>
        </w:rPr>
        <w:t xml:space="preserve">This special issue wagers that </w:t>
      </w:r>
      <w:r w:rsidRPr="009A6261">
        <w:rPr>
          <w:u w:val="single"/>
        </w:rPr>
        <w:t>a focus on aesthetic form need not be a turn away from the politicized concern with race and social and geopolitical inequities so critical within contemporary queer studies. In making this claim, we simultaneously reach back to early queer literary scholarship engaged with structuralism and aesthetics and reach through and around contemporary queer theory into current conversations on racialization, materiality, and sensation</w:t>
      </w:r>
      <w:r w:rsidRPr="009A6261">
        <w:rPr>
          <w:sz w:val="14"/>
        </w:rPr>
        <w:t xml:space="preserve">. In doing so, we seek to make two principal contributions to scholarship on aesthetics and social critique. </w:t>
      </w:r>
      <w:r w:rsidRPr="009A6261">
        <w:rPr>
          <w:u w:val="single"/>
        </w:rPr>
        <w:t xml:space="preserve">The first is to assert that </w:t>
      </w:r>
      <w:r w:rsidRPr="009A6261">
        <w:rPr>
          <w:highlight w:val="green"/>
          <w:u w:val="single"/>
        </w:rPr>
        <w:t xml:space="preserve">aesthetic form is crucial to the work of queer artists, artists of color, </w:t>
      </w:r>
      <w:r w:rsidRPr="009A6261">
        <w:rPr>
          <w:u w:val="single"/>
        </w:rPr>
        <w:t>and, more broadly, artists concerned with the structural conditions of social violences. Many contributors to this issue make this fundamental point in response to an interpretative violence too often visited upon artists of colors and indigenous artists in particular. These artists are often assigned the role of testifying to the sociological conditions of their own disempowerment</w:t>
      </w:r>
      <w:r w:rsidRPr="009A6261">
        <w:rPr>
          <w:sz w:val="14"/>
        </w:rPr>
        <w:t xml:space="preserve">. They are the “native informants” of the art world, tasked with producing art that transmits information rather than pushing aesthetic boundaries. </w:t>
      </w:r>
      <w:r w:rsidRPr="009A6261">
        <w:rPr>
          <w:u w:val="single"/>
        </w:rPr>
        <w:t>Such a colonial tasking undermines or even silences analysis of their aesthetic aims. Aesthetic innovation and formal manipulation are, however, the very substance of many of these artists’ engagement with legacies of social violence</w:t>
      </w:r>
      <w:r w:rsidRPr="009A6261">
        <w:rPr>
          <w:highlight w:val="green"/>
          <w:u w:val="single"/>
        </w:rPr>
        <w:t>. Aesthetic form offers resources of resistance to the violences of interpretation that prematurely fix</w:t>
      </w:r>
      <w:r w:rsidRPr="009A6261">
        <w:rPr>
          <w:u w:val="single"/>
        </w:rPr>
        <w:t xml:space="preserve"> the </w:t>
      </w:r>
      <w:r w:rsidRPr="009A6261">
        <w:rPr>
          <w:highlight w:val="green"/>
          <w:u w:val="single"/>
        </w:rPr>
        <w:t>meaning</w:t>
      </w:r>
      <w:r w:rsidRPr="009A6261">
        <w:rPr>
          <w:u w:val="single"/>
        </w:rPr>
        <w:t xml:space="preserve"> of minority artistic production within prefabricated narratives.</w:t>
      </w:r>
      <w:r w:rsidRPr="009A6261">
        <w:rPr>
          <w:sz w:val="14"/>
        </w:rPr>
        <w:t xml:space="preserve"> Secondly, </w:t>
      </w:r>
      <w:r w:rsidRPr="009A6261">
        <w:rPr>
          <w:u w:val="single"/>
        </w:rPr>
        <w:t xml:space="preserve">we seek to nudge the long history of scholarship on form and aesthetics into the terrain of new scholarly and artistic work on affect, sensation, and materiality. Envisioning form expansively, as the sum total of formal structure, artistic technique, and plasticity of medium, opens the way to an engagement with artworks in their multifaceted materiality, as a sensuous mode of relation to their audiences. </w:t>
      </w:r>
      <w:r w:rsidRPr="009A6261">
        <w:rPr>
          <w:highlight w:val="green"/>
          <w:u w:val="single"/>
        </w:rPr>
        <w:t xml:space="preserve">Approaching the sensuous materiality of artworks expansively displaces the </w:t>
      </w:r>
      <w:r w:rsidRPr="009A6261">
        <w:rPr>
          <w:u w:val="single"/>
        </w:rPr>
        <w:t xml:space="preserve">primacy of the </w:t>
      </w:r>
      <w:r w:rsidRPr="009A6261">
        <w:rPr>
          <w:highlight w:val="green"/>
          <w:u w:val="single"/>
        </w:rPr>
        <w:t>visual—the regime within which queer bodies and bodies of color have been most violently subjected to the demands of cultural legibility</w:t>
      </w:r>
      <w:r w:rsidRPr="009A6261">
        <w:rPr>
          <w:sz w:val="14"/>
        </w:rPr>
        <w:t xml:space="preserve">. The essays in this issue </w:t>
      </w:r>
      <w:r w:rsidRPr="009A6261">
        <w:rPr>
          <w:u w:val="single"/>
        </w:rPr>
        <w:t>meditate on the ways in which form often operates beneath the surface of the visual, trafficking in affective and sensuous modes of meaning-making. “ We strive to think the queer as enmeshed within—and indeed, activated and enabled by—the structures of aesthetic form, social inequality, and conceptual categorization within which the work of engaged artists takes shape. ”</w:t>
      </w:r>
    </w:p>
    <w:p w14:paraId="5DCC70FB" w14:textId="77777777" w:rsidR="009A5EE7" w:rsidRPr="009F1BDA" w:rsidRDefault="009A5EE7" w:rsidP="009A5EE7">
      <w:pPr>
        <w:rPr>
          <w:rStyle w:val="StyleUnderline"/>
        </w:rPr>
      </w:pPr>
      <w:r w:rsidRPr="009A6261">
        <w:rPr>
          <w:sz w:val="14"/>
        </w:rPr>
        <w:t xml:space="preserve">Each essay here attends to the way form is made useful to queer expression and social critique. </w:t>
      </w:r>
      <w:r w:rsidRPr="009A6261">
        <w:rPr>
          <w:u w:val="single"/>
        </w:rPr>
        <w:t>Engaging movement and oral storytelling as resistance against the “poselock” of colonial anthropology (Brewer Ball), the kinetic handling of a film camera as a means of inhabiting the city (Montez), queer sequencing in comics (Fawaz), the body as a site of excess labor and opaque expression (León), the use of adaptation to toggle between historical periods and hint at disavowed embodiments (Row), and the depressive aesthetic posture as a potential ethics of listening (Ramos), these essays highlight conscious, queer activations of form.</w:t>
      </w:r>
      <w:r w:rsidRPr="009A6261">
        <w:rPr>
          <w:sz w:val="14"/>
        </w:rPr>
        <w:t xml:space="preserve"> This special issue pairs the words “queer” and “form” as a provocation to think the ways in which form is not (or not only) something to resist and transgress in the quest for a greater queer freedom. </w:t>
      </w:r>
      <w:r w:rsidRPr="009A6261">
        <w:rPr>
          <w:u w:val="single"/>
        </w:rPr>
        <w:t>We strive to think the queer as enmeshed within—and indeed, activated and enabled by—the structures of aesthetic form, social inequality, and conceptual categorization within which the work of engaged artists takes shape. Form informs queerness, and</w:t>
      </w:r>
      <w:r w:rsidRPr="009A6261">
        <w:rPr>
          <w:highlight w:val="green"/>
          <w:u w:val="single"/>
        </w:rPr>
        <w:t xml:space="preserve"> queerness is </w:t>
      </w:r>
      <w:r w:rsidRPr="009A6261">
        <w:rPr>
          <w:u w:val="single"/>
        </w:rPr>
        <w:t xml:space="preserve">best </w:t>
      </w:r>
      <w:r w:rsidRPr="009A6261">
        <w:rPr>
          <w:highlight w:val="green"/>
          <w:u w:val="single"/>
        </w:rPr>
        <w:t xml:space="preserve">understood as a series of relations to form, </w:t>
      </w:r>
      <w:r w:rsidRPr="009A6261">
        <w:rPr>
          <w:u w:val="single"/>
        </w:rPr>
        <w:t xml:space="preserve">relations </w:t>
      </w:r>
      <w:r w:rsidRPr="009A6261">
        <w:rPr>
          <w:highlight w:val="green"/>
          <w:u w:val="single"/>
        </w:rPr>
        <w:t xml:space="preserve">not limited to binary and adversarial models of resistance </w:t>
      </w:r>
      <w:r w:rsidRPr="009A6261">
        <w:rPr>
          <w:u w:val="single"/>
        </w:rPr>
        <w:t>and opposition</w:t>
      </w:r>
      <w:r w:rsidRPr="009A6261">
        <w:rPr>
          <w:sz w:val="14"/>
        </w:rPr>
        <w:t xml:space="preserve">. Queer Activity Roland </w:t>
      </w:r>
      <w:r w:rsidRPr="009A6261">
        <w:rPr>
          <w:u w:val="single"/>
        </w:rPr>
        <w:t>Barthes describes the interpretation of form as summoning, as soothsaying, and as a “mantic activity.”</w:t>
      </w:r>
      <w:r w:rsidRPr="009A6261">
        <w:rPr>
          <w:sz w:val="14"/>
        </w:rPr>
        <w:t xml:space="preserve">1 </w:t>
      </w:r>
      <w:r w:rsidRPr="009A6261">
        <w:rPr>
          <w:u w:val="single"/>
        </w:rPr>
        <w:t>But as an interpretive activity, aesthetic criticism is never a simple or neutral process of divining structure, but of making forms do things: forms can be interpreted to fray the apparent self-evidence of social patterns, rupture historical procession, or bring ruination and possibility into view for planning our next move. In his expression of hope in the performative promise of cultural interpretation, Barthes’s proposition that “structuralism, too, is a certain form of the world, which will change with the world” diverges from the determinist, universalist notions of structure we might associate with early proponents such as Ferdinand de Saussure or Claude Lévi-Strauss.2 Laying the groundwork for deconstruction as a politically salient exercise, Barthes describes structural activity not as a cumulative empiricism, but as an interpretive social and intellectual improvisation that can be guided by a desire for change. Form is of the world, but as mediation and signification it also produces the world.</w:t>
      </w:r>
      <w:r w:rsidRPr="009A6261">
        <w:rPr>
          <w:sz w:val="14"/>
        </w:rPr>
        <w:t xml:space="preserve"> We revive Barthes briefly here to point to the ways in which </w:t>
      </w:r>
      <w:r w:rsidRPr="009A6261">
        <w:rPr>
          <w:u w:val="single"/>
        </w:rPr>
        <w:t xml:space="preserve">his vision of interpretive activity announces the methods of </w:t>
      </w:r>
      <w:r w:rsidRPr="009A6261">
        <w:rPr>
          <w:highlight w:val="green"/>
          <w:u w:val="single"/>
        </w:rPr>
        <w:t>queer cultural analysis and performance</w:t>
      </w:r>
      <w:r w:rsidRPr="009A6261">
        <w:rPr>
          <w:u w:val="single"/>
        </w:rPr>
        <w:t xml:space="preserve"> studies that influence the authors in this special issue, particularly in </w:t>
      </w:r>
      <w:r w:rsidRPr="009A6261">
        <w:rPr>
          <w:highlight w:val="green"/>
          <w:u w:val="single"/>
        </w:rPr>
        <w:t>signal</w:t>
      </w:r>
      <w:r w:rsidRPr="009A6261">
        <w:rPr>
          <w:u w:val="single"/>
        </w:rPr>
        <w:t xml:space="preserve">ing </w:t>
      </w:r>
      <w:r w:rsidRPr="009A6261">
        <w:rPr>
          <w:highlight w:val="green"/>
          <w:u w:val="single"/>
        </w:rPr>
        <w:t>how contemporary queer interpretation understands the world-making capacity of aesthetic forms</w:t>
      </w:r>
      <w:r w:rsidRPr="009A6261">
        <w:rPr>
          <w:u w:val="single"/>
        </w:rPr>
        <w:t>. The world-making ethos of contemporary queer studies is vulnerable to critique, because when it is perceived as unmoored from history it appears idealistic and facile</w:t>
      </w:r>
      <w:r w:rsidRPr="009A6261">
        <w:rPr>
          <w:sz w:val="14"/>
        </w:rPr>
        <w:t xml:space="preserve">. The essays in this volume demonstrate our view that </w:t>
      </w:r>
      <w:r w:rsidRPr="009A6261">
        <w:rPr>
          <w:highlight w:val="green"/>
          <w:u w:val="single"/>
        </w:rPr>
        <w:t xml:space="preserve">scholarly and artistic world-making </w:t>
      </w:r>
      <w:r w:rsidRPr="009A6261">
        <w:rPr>
          <w:u w:val="single"/>
        </w:rPr>
        <w:t xml:space="preserve">need not be a historically unmoored interpretative act, however, but </w:t>
      </w:r>
      <w:r w:rsidRPr="009A6261">
        <w:rPr>
          <w:highlight w:val="green"/>
          <w:u w:val="single"/>
        </w:rPr>
        <w:t>can be a creative orchestration</w:t>
      </w:r>
      <w:r w:rsidRPr="009A6261">
        <w:rPr>
          <w:u w:val="single"/>
        </w:rPr>
        <w:t xml:space="preserve"> of historical objects </w:t>
      </w:r>
      <w:r w:rsidRPr="009A6261">
        <w:rPr>
          <w:highlight w:val="green"/>
          <w:u w:val="single"/>
        </w:rPr>
        <w:t xml:space="preserve">to create assemblages that </w:t>
      </w:r>
      <w:r w:rsidRPr="009A6261">
        <w:rPr>
          <w:u w:val="single"/>
        </w:rPr>
        <w:t xml:space="preserve">expose archival ties, make critical perspectives on the past intelligible, </w:t>
      </w:r>
      <w:r w:rsidRPr="009A6261">
        <w:rPr>
          <w:highlight w:val="green"/>
          <w:u w:val="single"/>
        </w:rPr>
        <w:t>and summon possibilities that unseat political stagnation.</w:t>
      </w:r>
      <w:r w:rsidRPr="009A6261">
        <w:rPr>
          <w:u w:val="single"/>
        </w:rPr>
        <w:t xml:space="preserve"> And if form is “what keeps the contiguity of units from appearing as pure effect of chance,” then queer formal practices wrest representation from the heterosexist and racist mishandling of history.3</w:t>
      </w:r>
      <w:r w:rsidRPr="009A6261">
        <w:rPr>
          <w:sz w:val="14"/>
        </w:rPr>
        <w:t xml:space="preserve"> </w:t>
      </w:r>
      <w:r w:rsidRPr="009A6261">
        <w:rPr>
          <w:u w:val="single"/>
        </w:rPr>
        <w:t>Our understanding of queer form aims to think anew about seemingly outmoded formal movements such as structuralism, narratology, and the figural. Methods of (lower-case) structural analysis in fact lurk fundamentally in queer theory’s attention to the shuttling of meaning between the social and the aesthetic. Might an inventory of queer formal practices by artists and scholars engaged in politically engaged projects open up ways to see, or use, these methodological standbys differently? How do some of the formalist moves and methods of aesthetic analysis we regularly employ take on renewed value for interdisciplinary queer criticism? “ Queer methods of critique […] reach promiscuously and willfully across texts and time. We view these as performances of structural dissent— the refusal to be deterministically structured—that offer a rethinking of historical and formal method. ” An analytical strategy that seems to have pride of place in queer cultural studies is the intuitive combination of seemingly disparate objects whose connections emerge through the critic’s idiosyncratic style of rhetorical and archival disclosure.</w:t>
      </w:r>
      <w:r w:rsidRPr="009A6261">
        <w:rPr>
          <w:sz w:val="14"/>
        </w:rPr>
        <w:t xml:space="preserve"> Eve Sedgwick’s proposal that we be willing to set unlikely objects and ideas “beside” one another and proceed from there (rather than getting bogged down in justifying the suitability of cultural material) serves as a touchstone for a number of the essays in this issue. </w:t>
      </w:r>
      <w:r w:rsidRPr="009A6261">
        <w:rPr>
          <w:u w:val="single"/>
        </w:rPr>
        <w:t xml:space="preserve">Sedgwick’s theory gives scholars license to think together concepts and works of art that might appear inconsonant according to strictures of historical period, genre, medium, or perceived cultural context, but whose relevance and discursive imbrication become visible through the activity of the queer critic, whose expressed desires or politics then have space to become heuristic starting points. “Ideally,” she writes, “life, loves, and ideas might then sit freely, for a while, on the palm of the open hand.”4 Centering the critic’s faceted subjecthood in this way, Sedgwick allows us to unearth connections that are buried within imperatives of evidentiary method and which are never ideologically neutral, self-evident, or apolitical. When we read each other’s work, we often prompt each other to provide grounds for a particular assembly of texts and artworks, especially when those works don’t appear bound in an obvious way by historical context, medium, or subject matter. In queer analysis, </w:t>
      </w:r>
      <w:r w:rsidRPr="009A6261">
        <w:rPr>
          <w:highlight w:val="green"/>
          <w:u w:val="single"/>
        </w:rPr>
        <w:t>established categories</w:t>
      </w:r>
      <w:r w:rsidRPr="009A6261">
        <w:rPr>
          <w:u w:val="single"/>
        </w:rPr>
        <w:t xml:space="preserve"> often </w:t>
      </w:r>
      <w:r w:rsidRPr="009A6261">
        <w:rPr>
          <w:highlight w:val="green"/>
          <w:u w:val="single"/>
        </w:rPr>
        <w:t>take a back seat to affect, feel, style, or disruption</w:t>
      </w:r>
      <w:r w:rsidRPr="009A6261">
        <w:rPr>
          <w:u w:val="single"/>
        </w:rPr>
        <w:t>.</w:t>
      </w:r>
      <w:r w:rsidRPr="009A6261">
        <w:rPr>
          <w:sz w:val="14"/>
        </w:rPr>
        <w:t xml:space="preserve"> These writerly modes of critique are not automatically signs of insufficient rigor</w:t>
      </w:r>
      <w:r w:rsidRPr="009A6261">
        <w:rPr>
          <w:u w:val="single"/>
        </w:rPr>
        <w:t>; we view these permeable margins between critic and criticism as the very vehicle for emergent forms of intellectual engagement, of which we may presently have only limited visibility and approximate language</w:t>
      </w:r>
      <w:r w:rsidRPr="009A6261">
        <w:rPr>
          <w:sz w:val="14"/>
        </w:rPr>
        <w:t xml:space="preserve">. Critical race theory, for example, is founded on an intervention within legal studies that understands racism not as a cultural aberration discretely embedded within neutral institutional structures such as the law, but as the foundation on which structures like the law are built. </w:t>
      </w:r>
      <w:r w:rsidRPr="009A6261">
        <w:rPr>
          <w:u w:val="single"/>
        </w:rPr>
        <w:t>Mass ideology bears a deep structure, a structure that obfuscates, naturalizes, and decenters itself by emerging across a proliferation of seemingly disparate mediums and moments. Queer methods of critique, including forms of queer of color critique employed by many of our contributors, reach promiscuously and willfully across texts and time. We view these as performances of structural dissent—the refusal to be deterministically structured—that offer a rethinking of historical and formal method</w:t>
      </w:r>
      <w:r w:rsidRPr="009A6261">
        <w:rPr>
          <w:sz w:val="14"/>
        </w:rPr>
        <w:t xml:space="preserve">. Aesthetics as a Queer of Color Critique Intervention In Jennifer Doyle and David Getsy’s 2013 conversation on queer form in Art Journal, Getsy begins by dismissing critics who claim that “anything other than the obvious is ‘reading into’ or hopeful projective fantasy.”5 Doyle follows suit by writing, “That complaint about ‘reading into’ usually displaces a conversation about desire with a complaint about identity—it mistakes the effort to expand on how pleasure works for a taxonomical project.”6 </w:t>
      </w:r>
      <w:r w:rsidRPr="009A6261">
        <w:rPr>
          <w:u w:val="single"/>
        </w:rPr>
        <w:t>For Getsy and Doyle, the conservatism of such complaints suppresses interpretative desire in the name of authorial intent. By contrast, Getsy and Doyle’s intervention emphasizes the multiple ways one can relate with and through art, thereby displacing artistic intent with diverse frames of knowing, desiring, and seeing. In this rejection of art as transparent we see an important parallel between their understanding of queer formalism and the impulse behind queer of color critique. Emerging from a tradition of materialist analysis, queer of color critique is invested in challenging how sexuality has been framed and aims to draw attention to racialized historical foreclosures of imagination</w:t>
      </w:r>
      <w:r w:rsidRPr="009A6261">
        <w:rPr>
          <w:sz w:val="14"/>
        </w:rPr>
        <w:t>. In Aberrations in Black, Roderick Ferguson describes this project: “</w:t>
      </w:r>
      <w:r w:rsidRPr="009A6261">
        <w:rPr>
          <w:u w:val="single"/>
        </w:rPr>
        <w:t>we need a study of racial formations that will not oblige heteropatriarchy, an analysis of sexuality not severed from race and material relations, an interrogation of African American culture that keeps company with other racial formations, and an American studies not beguiled by the United States.”7 In light of Ferguson’s work, we can see that queer of color critique aims to illuminate questions of structure and epistemology. Like queer formalism, it is a politics of knowledge production. In fusing queer formalism with queer of color critique, our issue’s focus on queer form fleshes out the territory around critique to illuminate the vast sensuous modes queerness can take</w:t>
      </w:r>
      <w:r w:rsidRPr="009A6261">
        <w:rPr>
          <w:sz w:val="14"/>
        </w:rPr>
        <w:t>. Many of the essays and contributions collected in this issue foreground questions of relation vis-à-vis race.</w:t>
      </w:r>
      <w:r w:rsidRPr="009A6261">
        <w:rPr>
          <w:u w:val="single"/>
        </w:rPr>
        <w:t xml:space="preserve"> These essays’ insistence on thinking about race and sexuality in conversation with queer form makes the consideration of aesthetics important for queer of color critique. Not only does this fusion explicitly invite racialization into conversations about desire and pleasure, but it also enables us to think about aesthetics in the vein of the political. Bringing attention to </w:t>
      </w:r>
      <w:r w:rsidRPr="009A6261">
        <w:rPr>
          <w:highlight w:val="green"/>
          <w:u w:val="single"/>
        </w:rPr>
        <w:t>aesthetics as a mode of knowledge production</w:t>
      </w:r>
      <w:r w:rsidRPr="009A6261">
        <w:rPr>
          <w:u w:val="single"/>
        </w:rPr>
        <w:t>, as Caroline Levine suggests in her analysis of form</w:t>
      </w:r>
      <w:r w:rsidRPr="009A6261">
        <w:rPr>
          <w:highlight w:val="green"/>
          <w:u w:val="single"/>
        </w:rPr>
        <w:t>, allows us to think about the different ways that knowledge is produced on and through bodies</w:t>
      </w:r>
      <w:r w:rsidRPr="009A6261">
        <w:rPr>
          <w:u w:val="single"/>
        </w:rPr>
        <w:t xml:space="preserve">.8 In the following essays, </w:t>
      </w:r>
      <w:r w:rsidRPr="009A6261">
        <w:rPr>
          <w:highlight w:val="green"/>
          <w:u w:val="single"/>
        </w:rPr>
        <w:t>form focuses attention on how violence</w:t>
      </w:r>
      <w:r w:rsidRPr="009A6261">
        <w:rPr>
          <w:u w:val="single"/>
        </w:rPr>
        <w:t>—homophobia, racism, gentrification, capitalism, and colonialism, for instance</w:t>
      </w:r>
      <w:r w:rsidRPr="009A6261">
        <w:rPr>
          <w:highlight w:val="green"/>
          <w:u w:val="single"/>
        </w:rPr>
        <w:t>—has structured conditions of possibility in material and epistemological ways</w:t>
      </w:r>
      <w:r w:rsidRPr="009A6261">
        <w:rPr>
          <w:u w:val="single"/>
        </w:rPr>
        <w:t>. Violence is both what must be rejected and what must be worked through. Through their descriptions of what a turn away from the mandate of transparency looks like, Getsy and Doyle emphasize strategies of reading—queer formalisms—that focus on the relationships that artists, and works of art, produce with viewers</w:t>
      </w:r>
      <w:r w:rsidRPr="009A6261">
        <w:rPr>
          <w:sz w:val="14"/>
        </w:rPr>
        <w:t xml:space="preserve">. These relationships are sensuous, suffused with what Doyle terms the erotic, </w:t>
      </w:r>
      <w:r w:rsidRPr="009A6261">
        <w:rPr>
          <w:u w:val="single"/>
        </w:rPr>
        <w:t>“a language or a set of affects animating and inhabiting this kind of work, but also as a mode of knowing (or even being known by) the object,”</w:t>
      </w:r>
      <w:r w:rsidRPr="009A6261">
        <w:rPr>
          <w:sz w:val="14"/>
        </w:rPr>
        <w:t xml:space="preserve"> and with what Getsy often describes through the language of tactility.9 Just like queer of color critique</w:t>
      </w:r>
      <w:r w:rsidRPr="009A6261">
        <w:rPr>
          <w:sz w:val="14"/>
          <w:highlight w:val="green"/>
        </w:rPr>
        <w:t xml:space="preserve">, </w:t>
      </w:r>
      <w:r w:rsidRPr="009A6261">
        <w:rPr>
          <w:highlight w:val="green"/>
          <w:u w:val="single"/>
        </w:rPr>
        <w:t xml:space="preserve">queer formalism </w:t>
      </w:r>
      <w:r w:rsidRPr="009A6261">
        <w:rPr>
          <w:u w:val="single"/>
        </w:rPr>
        <w:t xml:space="preserve">expands the repertoire of what counts as knowledge and </w:t>
      </w:r>
      <w:r w:rsidRPr="009A6261">
        <w:rPr>
          <w:highlight w:val="green"/>
          <w:u w:val="single"/>
        </w:rPr>
        <w:t>finds pockets of existence among the crevices of the normative</w:t>
      </w:r>
      <w:r w:rsidRPr="009A6261">
        <w:rPr>
          <w:sz w:val="14"/>
        </w:rPr>
        <w:t xml:space="preserve">. For our purposes, queer form means challenging the primacy of the visual, which has too often been a site for pernicious power relations. As theorists such as Michel Foucault, Simone Browne, Nicole Fleetwood, and others have argued, visuality has long been imbricated in technologies of domination. Nicholas Mirzoeff writes: </w:t>
      </w:r>
      <w:r w:rsidRPr="009A6261">
        <w:rPr>
          <w:u w:val="single"/>
        </w:rPr>
        <w:t>[F]irst, it classifies by naming, categorizing, and defining—a process Foucault defined as “the nomination of the visible.”… Next, visuality separates the groups so classified as a means of social organization. Such</w:t>
      </w:r>
      <w:r w:rsidRPr="009A6261">
        <w:rPr>
          <w:highlight w:val="green"/>
          <w:u w:val="single"/>
        </w:rPr>
        <w:t xml:space="preserve"> visuality </w:t>
      </w:r>
      <w:r w:rsidRPr="009A6261">
        <w:rPr>
          <w:u w:val="single"/>
        </w:rPr>
        <w:t xml:space="preserve">segregated those it visualized to </w:t>
      </w:r>
      <w:r w:rsidRPr="009A6261">
        <w:rPr>
          <w:highlight w:val="green"/>
          <w:u w:val="single"/>
        </w:rPr>
        <w:t>prevent them from cohering as political subjects, such as workers,</w:t>
      </w:r>
      <w:r w:rsidRPr="009A6261">
        <w:rPr>
          <w:u w:val="single"/>
        </w:rPr>
        <w:t xml:space="preserve"> the people, or the (decolonized) nation. Finally</w:t>
      </w:r>
      <w:r w:rsidRPr="009A6261">
        <w:rPr>
          <w:highlight w:val="green"/>
          <w:u w:val="single"/>
        </w:rPr>
        <w:t xml:space="preserve">, it makes this separated classification seem </w:t>
      </w:r>
      <w:r w:rsidRPr="009A6261">
        <w:rPr>
          <w:u w:val="single"/>
        </w:rPr>
        <w:t xml:space="preserve">right and hence </w:t>
      </w:r>
      <w:r w:rsidRPr="009A6261">
        <w:rPr>
          <w:highlight w:val="green"/>
          <w:u w:val="single"/>
        </w:rPr>
        <w:t>aesthetic.</w:t>
      </w:r>
      <w:r w:rsidRPr="009A6261">
        <w:rPr>
          <w:sz w:val="14"/>
        </w:rPr>
        <w:t xml:space="preserve">10 At their base, </w:t>
      </w:r>
      <w:r w:rsidRPr="009A6261">
        <w:rPr>
          <w:u w:val="single"/>
        </w:rPr>
        <w:t xml:space="preserve">such </w:t>
      </w:r>
      <w:r w:rsidRPr="009A6261">
        <w:rPr>
          <w:highlight w:val="green"/>
          <w:u w:val="single"/>
        </w:rPr>
        <w:t>operations of surveillance</w:t>
      </w:r>
      <w:r w:rsidRPr="009A6261">
        <w:rPr>
          <w:u w:val="single"/>
        </w:rPr>
        <w:t xml:space="preserve"> and classification</w:t>
      </w:r>
      <w:r w:rsidRPr="009A6261">
        <w:rPr>
          <w:highlight w:val="green"/>
          <w:u w:val="single"/>
        </w:rPr>
        <w:t xml:space="preserve"> rely on the concept of immutable difference</w:t>
      </w:r>
      <w:r w:rsidRPr="009A6261">
        <w:rPr>
          <w:u w:val="single"/>
        </w:rPr>
        <w:t>, on sharp boundaries, and on the possibility of exhaustively knowing the other. These technologies produce, in short, what Hortense Spillers describes as the impossibility of “the one.”11 This is to say that subjects who are othered register in sociological rather than individual terms within a metric of comparison</w:t>
      </w:r>
      <w:r w:rsidRPr="009A6261">
        <w:rPr>
          <w:highlight w:val="green"/>
          <w:u w:val="single"/>
        </w:rPr>
        <w:t xml:space="preserve">. Queer form becomes </w:t>
      </w:r>
      <w:r w:rsidRPr="009A6261">
        <w:rPr>
          <w:u w:val="single"/>
        </w:rPr>
        <w:t xml:space="preserve">an </w:t>
      </w:r>
      <w:r w:rsidRPr="009A6261">
        <w:rPr>
          <w:highlight w:val="green"/>
          <w:u w:val="single"/>
        </w:rPr>
        <w:t xml:space="preserve">important </w:t>
      </w:r>
      <w:r w:rsidRPr="009A6261">
        <w:rPr>
          <w:u w:val="single"/>
        </w:rPr>
        <w:t xml:space="preserve">tool </w:t>
      </w:r>
      <w:r w:rsidRPr="009A6261">
        <w:rPr>
          <w:highlight w:val="green"/>
          <w:u w:val="single"/>
        </w:rPr>
        <w:t xml:space="preserve">for working against this flattening of subjectivity. </w:t>
      </w:r>
      <w:r w:rsidRPr="009A6261">
        <w:rPr>
          <w:u w:val="single"/>
        </w:rPr>
        <w:t xml:space="preserve">We see </w:t>
      </w:r>
      <w:r w:rsidRPr="009A6261">
        <w:rPr>
          <w:highlight w:val="green"/>
          <w:u w:val="single"/>
        </w:rPr>
        <w:t>queer form as an aesthetics that moves persistently around the visual, thereby avoiding this flattening.</w:t>
      </w:r>
      <w:r w:rsidRPr="009A6261">
        <w:rPr>
          <w:u w:val="single"/>
        </w:rPr>
        <w:t xml:space="preserve"> To the extent that form operates behind the scenes as ideological impulse and materiality, </w:t>
      </w:r>
      <w:r w:rsidRPr="009A6261">
        <w:rPr>
          <w:highlight w:val="green"/>
          <w:u w:val="single"/>
        </w:rPr>
        <w:t xml:space="preserve">queer formal practices </w:t>
      </w:r>
      <w:r w:rsidRPr="009A6261">
        <w:rPr>
          <w:u w:val="single"/>
        </w:rPr>
        <w:t xml:space="preserve">can </w:t>
      </w:r>
      <w:r w:rsidRPr="009A6261">
        <w:rPr>
          <w:highlight w:val="green"/>
          <w:u w:val="single"/>
        </w:rPr>
        <w:t xml:space="preserve">resist the dictates of transparency normally required of non-normative subjects by illuminating the unseen. </w:t>
      </w:r>
      <w:r w:rsidRPr="009A6261">
        <w:rPr>
          <w:u w:val="single"/>
        </w:rPr>
        <w:t xml:space="preserve">In this way </w:t>
      </w:r>
      <w:r w:rsidRPr="009A6261">
        <w:rPr>
          <w:highlight w:val="green"/>
          <w:u w:val="single"/>
        </w:rPr>
        <w:t xml:space="preserve">it </w:t>
      </w:r>
      <w:r w:rsidRPr="009A6261">
        <w:rPr>
          <w:u w:val="single"/>
        </w:rPr>
        <w:t xml:space="preserve">not only </w:t>
      </w:r>
      <w:r w:rsidRPr="009A6261">
        <w:rPr>
          <w:highlight w:val="green"/>
          <w:u w:val="single"/>
        </w:rPr>
        <w:t xml:space="preserve">troubles the epistemic assurances of the visual regime, </w:t>
      </w:r>
      <w:r w:rsidRPr="009A6261">
        <w:rPr>
          <w:u w:val="single"/>
        </w:rPr>
        <w:t xml:space="preserve">but it </w:t>
      </w:r>
      <w:r w:rsidRPr="009A6261">
        <w:rPr>
          <w:highlight w:val="green"/>
          <w:u w:val="single"/>
        </w:rPr>
        <w:t xml:space="preserve">also asks how shifting away from static visuality can circumnavigate questions of objectification. </w:t>
      </w:r>
      <w:r w:rsidRPr="009A6261">
        <w:rPr>
          <w:u w:val="single"/>
        </w:rPr>
        <w:t>A move toward the diffusely sensual, and away from the linearity of visual gazing, articulates difference in terms that are not about dominance or norms, but that underscore the importance of thinking with other modes of knowing, theorizing, and experiencing. Queer form is about other ways of understanding relationships to power and relationships to being. “ To the extent that form operates behind the scenes as ideological impulse and materiality, queer formal practices can resist the dictates of transparency normally required of non-normative subjects by illuminating the unseen. ” By announcing our interest in queer form as a sensual intervention in sexuality studies and aesthetics, we position this special issue alongside other recent scholarly work that mobilizes the senses.</w:t>
      </w:r>
      <w:r w:rsidRPr="009A6261">
        <w:rPr>
          <w:sz w:val="14"/>
        </w:rPr>
        <w:t xml:space="preserve"> Here, we are thinking specifically of GLQ’s double issue “On The Visceral,” edited by Sharon Patricia Holland, Marcía Ochoa, and Kyla Wazana Tompkins, and a special issue of Women and Performance on “The Haptic: Textures of Performance,” edited by Rizvana Bradley. In the former, </w:t>
      </w:r>
      <w:r w:rsidRPr="009A6261">
        <w:rPr>
          <w:u w:val="single"/>
        </w:rPr>
        <w:t>Holland, Ochoa, and Tompkins describe their interest “in the materiality of what must be cast out, and in the space of the nonproductive—what takes place in the viscera at the intersection of food studies, critical race theory, and sexuality studies</w:t>
      </w:r>
      <w:r w:rsidRPr="009A6261">
        <w:rPr>
          <w:sz w:val="14"/>
        </w:rPr>
        <w:t>.”12 Further, in their introduction to the second set of essays that comprise “On the Visceral,” Holland, Ochoa, and Tompkins echo Getsy and Doyle’s plea to move beyond the conventions of the identitarian and toward the capacity for the visceral “to signify toward forms of feeling that are not always liberatory or even eventful.”13 In this GLQ compilation</w:t>
      </w:r>
      <w:r w:rsidRPr="009A6261">
        <w:rPr>
          <w:u w:val="single"/>
        </w:rPr>
        <w:t>, the visceral enables a contemplation of materiality, the line between subject and object, affect, and the porosity of borders.</w:t>
      </w:r>
      <w:r w:rsidRPr="009A6261">
        <w:rPr>
          <w:sz w:val="14"/>
        </w:rPr>
        <w:t xml:space="preserve"> The visceral also looms large in Bradley’s discussion of the haptic, although her special issue is more invested in questions of texture and politics. The essays in the issue, Bradley writes, “consider how touching, folding, fingering, or tracing the texture of an object, offer themselves as techniques of knowing in art and performance. </w:t>
      </w:r>
      <w:r w:rsidRPr="009A6261">
        <w:rPr>
          <w:u w:val="single"/>
        </w:rPr>
        <w:t>In doing so, they expand the critical parameters of what the haptic can mean not simply in diverse contexts of art and art making, but more specifically at the crucial edges of performance and social practice</w:t>
      </w:r>
      <w:r w:rsidRPr="009A6261">
        <w:rPr>
          <w:sz w:val="14"/>
        </w:rPr>
        <w:t xml:space="preserve">.”14 In foregrounding corporeality, both “On the Visceral” and “The Haptic” draw attention to the importance of non-visual frames of knowledge. Alongside an impulse to think with the body, the essays in “Queer Form” foreground questions of relation and sensuality as modes of critique. </w:t>
      </w:r>
      <w:r w:rsidRPr="009A6261">
        <w:rPr>
          <w:u w:val="single"/>
        </w:rPr>
        <w:t>They seek to expand our conceptions of often unacknowledged norms, without necessarily staking a claim for the anti-normative. Instead, these essays ask us to consider minoritarian aesthetics as the production of queer forms of knowing, feeling, and existing. Even as they displace the objectifying regime of the visual, the essays in this issue critically interrogate the imperatives of representational content and linear narrative in order to elaborate other modes of sensuous knowing. The inseparability of “form” and “content” in the process of meaning-making is a well established doctrine across a range of critical traditions.</w:t>
      </w:r>
      <w:r w:rsidRPr="009A6261">
        <w:rPr>
          <w:sz w:val="14"/>
        </w:rPr>
        <w:t xml:space="preserve"> When the artwork in question is by a minoritarian artist or touches on political issues, however, the import of form tends to become lost for critics and audiences alike. In her contribution to this special issue, for instance, Christina León demonstrates that La Chica Boom’s campy “Spictacles” of ethnic drag were not received as camp at all. For white audiences, the artist’s performances of racialized abjection were too close to racial “fact” to be interpreted as commentary, while the literality of her brownness seemed to preempt formal mediation.</w:t>
      </w:r>
      <w:r w:rsidRPr="009A6261">
        <w:rPr>
          <w:u w:val="single"/>
        </w:rPr>
        <w:t xml:space="preserve"> As Iván Ramos explains, moreover, the desire to know the content of a work—in laypersons’ terms, what it is “about”—frequently functions as a way to avoid a more intimate engagement with difference, particularly when this difference is racialized. In sum, critics and audiences alike tend to receive work by indigenous artists and artists of color as being all content and no form—overdetermined by the artist’s biography and isomorphic with the sociopolitical. This overwhelming focus on ethnic or sociopolitical “content” is very much of a piece with the history of the visual objectification, hierarchization, and categorization of racialized peoples that functioned as a signal method of colonial modernity.</w:t>
      </w:r>
      <w:r w:rsidRPr="009A6261">
        <w:rPr>
          <w:sz w:val="14"/>
        </w:rPr>
        <w:t xml:space="preserve"> Such a focus demands, once again, that minoritarian subjects and their artistic productions yield, to the observer, the truth of their own difference. </w:t>
      </w:r>
      <w:r w:rsidRPr="009A6261">
        <w:rPr>
          <w:highlight w:val="green"/>
          <w:u w:val="single"/>
        </w:rPr>
        <w:t xml:space="preserve">“Queer form” emerges, </w:t>
      </w:r>
      <w:r w:rsidRPr="009A6261">
        <w:rPr>
          <w:u w:val="single"/>
        </w:rPr>
        <w:t>by contrast</w:t>
      </w:r>
      <w:r w:rsidRPr="009A6261">
        <w:rPr>
          <w:highlight w:val="green"/>
          <w:u w:val="single"/>
        </w:rPr>
        <w:t>, as a name for the range of formal, aesthetic, and sensuous strategies that make difference a little less knowable, visible, and digestible</w:t>
      </w:r>
      <w:r w:rsidRPr="009A6261">
        <w:rPr>
          <w:u w:val="single"/>
        </w:rPr>
        <w:t>. This special issue makes a case for the value of indirection, opacity, and withholding as queer strategies for minoritarian art producers. Linear narrative forms have their uses. They allow us to understand the significance of particular moments and settings within the arc of broader historical transformations. They may also serve to mobilize feelings of outrage and indignation at everyday experiences of loss, survival, and violence in order to drive the present to a state of crisis. By offering an originary cause—this historical injury, that devastating policy—as well as delineating a course of action that would provide redress, such narratives can convert ongoing forms of dispossession and misery into politicized mobilizations</w:t>
      </w:r>
      <w:r w:rsidRPr="009A6261">
        <w:rPr>
          <w:sz w:val="14"/>
        </w:rPr>
        <w:t xml:space="preserve">. For that reason, linear narratives have been of great significance to queer, racialized, and indigenous histories and political movements. </w:t>
      </w:r>
      <w:r w:rsidRPr="009A6261">
        <w:rPr>
          <w:u w:val="single"/>
        </w:rPr>
        <w:t>Nonetheless, our contributors call attention to the value of forms of narration, and aesthetics of time, that do not string events into arcs of historical significance or linear narratives of cause and effect, injustice and redress. Ricardo Montez argues, for instance, for a recognition of what it feels like to inhabit history. His essay attends to the “queer potentiality” of eventhood in Nelson Sullivan’s sensuous and embodied video documentation of the New York downtown scene without framing it within the retrospective historical narratives of gentrification and the AIDS crisis.</w:t>
      </w:r>
      <w:r w:rsidRPr="009A6261">
        <w:rPr>
          <w:sz w:val="14"/>
        </w:rPr>
        <w:t xml:space="preserve"> Iván Ramos notes how Chantal Ackerman’s 2002 film From the Other Side eschews documentary conventions that might prompt cathartic identification and political outrage on the part of the viewer. Instead, he demonstrates how Ackerman wields duration and distance to force the viewer to sit with the ongoingness of dispossession and loss for migrants across the U.S.-Mexico border. </w:t>
      </w:r>
      <w:r w:rsidRPr="009A6261">
        <w:rPr>
          <w:u w:val="single"/>
        </w:rPr>
        <w:t>Katherine Brewer Ball’s essay makes a case for “quiet indirectness” as a relation to the world and to others, cultivated in Alaskan indigenous practices of learning and storytelling, that sidesteps demands for recognition by the settler state. These essays analyze queer formal strategies that skirt or stretch linear narratives to accommodate other ways of inhabiting the event, sensing the everyday, and narrating communal and environmental stories. Both Katherine Brewer Ball’s essay “Queer Form, Quiet Frame: A Sense of Native Alaskan Aesthetics in Emily Johnson’s The Thank-You Bar” and Christina León’s essay “Forms of Opacity: Roaches, Blood, and Being Stuck in Xandra Ibarra’s Corpus” emphasize the embodied production of opacity as queer forms of minoritarian performance.</w:t>
      </w:r>
      <w:r w:rsidRPr="009A6261">
        <w:rPr>
          <w:sz w:val="14"/>
        </w:rPr>
        <w:t xml:space="preserve"> Brewer Ball foregrounds questions of belonging and citizenship through an analysis of Emily Johnson’s Thank-You Bar performance</w:t>
      </w:r>
      <w:r w:rsidRPr="009A6261">
        <w:rPr>
          <w:u w:val="single"/>
        </w:rPr>
        <w:t>. By using description as a performative mode of argumentation, Brewer Ball argues for an aesthetics of quiet and indirection as a way of moving beyond identity without losing sight of the powerful impact of settler colonialism.</w:t>
      </w:r>
      <w:r w:rsidRPr="009A6261">
        <w:rPr>
          <w:sz w:val="14"/>
        </w:rPr>
        <w:t xml:space="preserve"> León, in turn, analyzes Ibarra’s menstrual Rorschach tests as performances of withholding and opacity. </w:t>
      </w:r>
      <w:r w:rsidRPr="009A6261">
        <w:rPr>
          <w:u w:val="single"/>
        </w:rPr>
        <w:t>Insisting on bodily presence without presenting her body, Ibarra complicates expectations of what constitutes interiority while enabling a queer form of camp to emerge. In León’s words, she finds a way “to expose her interiority and yield it as radically opaque.”</w:t>
      </w:r>
      <w:r w:rsidRPr="009A6261">
        <w:rPr>
          <w:sz w:val="14"/>
        </w:rPr>
        <w:t xml:space="preserve"> Iván Ramos’ “Slow Encounters: Chantal Ackerman’s Encounters from the Other Side and the Queer Form of the Mexican Migrant” and Ricardo Montez’s “Virtuosic Distortion: Nelson Sullivan’s Queer Hand” focus on the deployment of cinematic techniques such as distortion and “besideness” as forms of eliciting belonging and emotion that register outside of the camera’s gaze. </w:t>
      </w:r>
      <w:r w:rsidRPr="009A6261">
        <w:rPr>
          <w:u w:val="single"/>
        </w:rPr>
        <w:t>Ramos analyzes Ackerman’s Encounters From the Other Side to theorize besideness as a formal technique that produces an aesthetic of Latinx dispossession: what is important is what is just outside the cinematic frame. This space outside invites melancholy and allows viewers to feel the traces of migration</w:t>
      </w:r>
      <w:r w:rsidRPr="009A6261">
        <w:rPr>
          <w:sz w:val="14"/>
        </w:rPr>
        <w:t xml:space="preserve">. Likewise, Montez examines Sullivan’s use of the fish-eye camera lens as a technology of strategic distortion by means of which Sullivan invites viewers into the wide panorama of downtown New York in the late 1980s, with all its layers of queerness. In this play with (cinematic) narrative, an aesthetics of movement emerges as the source of unexpected intimacies. Both Jennifer Row’s and Ramzi Fawaz’s essays focus on the processes of reading and interpretation as forms of temporal trespass that enable intimacies with the past. Row’s essay, “The Beads of Versailles: Othoniel’s Les Belles Danses,” uses Jean-Michel Othoniel’s glass sculptures to explore different modes of trans-historical belonging through the adaptation of historical, political, and aesthetic forms. Rather than presenting static sculptures, she argues, Othoniel’s beads embody the norms of seventeenth-century choreography, which lurk beneath the contemporary surface, persistently working to trouble particular norms of gentility and modernity. Similarly Fawaz’s “Stripped to the Bone: Sequencing Queerness in the Comic Strip Work of Joe Brainard and David Wojnarowicz” urges us to consider the seriality of comics as a way to rethink intimacy during the AIDS crisis. Seriality, Fawaz argues, enables us to experience the temporality of reading not as progressive, but as productive of various smaller intimacies and futures. Through its emphasis on reading as choreography, seriality troubles the fixity of the visual and invites an embodied viewer into the frame. Conclusion: Form and Longing Would that saying were doing, invoking were curing, cutting were outing, I’d have spelled myself home Spelled the ruptures’ sutures a thousand times by now. —Tommy Pico, IRL15 </w:t>
      </w:r>
      <w:r w:rsidRPr="009A6261">
        <w:rPr>
          <w:highlight w:val="green"/>
          <w:u w:val="single"/>
        </w:rPr>
        <w:t>Queers reach for aesthetic opportunity despite the failure of artistic expression to enact immediate social change.</w:t>
      </w:r>
      <w:r w:rsidRPr="009A6261">
        <w:rPr>
          <w:u w:val="single"/>
        </w:rPr>
        <w:t xml:space="preserve"> </w:t>
      </w:r>
      <w:r w:rsidRPr="009A6261">
        <w:rPr>
          <w:highlight w:val="green"/>
          <w:u w:val="single"/>
        </w:rPr>
        <w:t xml:space="preserve">Rather than impugn the appeal of aesthetics, </w:t>
      </w:r>
      <w:r w:rsidRPr="009A6261">
        <w:rPr>
          <w:u w:val="single"/>
        </w:rPr>
        <w:t xml:space="preserve">or cloister abstraction from practice, they suggest that </w:t>
      </w:r>
      <w:r w:rsidRPr="009A6261">
        <w:rPr>
          <w:highlight w:val="green"/>
          <w:u w:val="single"/>
        </w:rPr>
        <w:t>aesthetic fashioning plays an important role in activating queer politics</w:t>
      </w:r>
      <w:r w:rsidRPr="009A6261">
        <w:rPr>
          <w:sz w:val="14"/>
        </w:rPr>
        <w:t xml:space="preserve">. When the queer Kumeyaay speaker in Tommy Pico’s IRL discloses his wish—“would that saying were doing”—it is hardly an expression of surrender: the line appears at the start of the first of three book-length poems. The subjunctive wish instead reveals the paradoxical drive to narrate a resistance to modern colonized existence, in spite of the apparent incapacities of the medium. </w:t>
      </w:r>
      <w:r w:rsidRPr="009A6261">
        <w:rPr>
          <w:u w:val="single"/>
        </w:rPr>
        <w:t>In IRL, the long form enacts the protracted drag of longing for a better medium, for sex, for reparation, and for political change. The implicit acknowledgement that saying is not immediately doing—and that we might cut and cut without “outing” that which is blighted—here invokes the political limits of performativity with which some lines of queer studies have grappled in a battle against strict political pragmatism</w:t>
      </w:r>
      <w:r w:rsidRPr="009A6261">
        <w:rPr>
          <w:sz w:val="14"/>
        </w:rPr>
        <w:t xml:space="preserve">. The long poem in the digital age itself presents one such formal disavowal of what might be considered politically pragmatic today. </w:t>
      </w:r>
      <w:r w:rsidRPr="009A6261">
        <w:rPr>
          <w:u w:val="single"/>
        </w:rPr>
        <w:t>A form linked most distantly to the ancient epic, then to predominantly white and male modernists, and more recently to contemporary white women poets, the long poem enables Pico to mess with metrics of scale and taste: IRL does not present vignettes of Indigenous representation but a sustained narrative full of political critique and contradictory turns</w:t>
      </w:r>
      <w:r w:rsidRPr="009A6261">
        <w:rPr>
          <w:sz w:val="14"/>
        </w:rPr>
        <w:t xml:space="preserve">. It’s an epic that refuses to posture as high art, instead riding a wave of information-age oversharing, one-liners, and snark. Pico uses the affordances of the long-form poem to invoke the sensual proximity of disparate vectors of experience and thought, like terror and pleasure, the historical and the immediate, the obscure and the popular, the political and the sexual. Length allows IRL to activate a queer, Indigenous interpretation of empire by exhaustively sequencing sex, history, gossip, and critique into epic monumentalization. The poem does not allow the speaker to “spell his way home,” but the spell is cast anyway, and a metaphorical home of political valence and utility finds form in a public language. </w:t>
      </w:r>
      <w:r w:rsidRPr="009A6261">
        <w:rPr>
          <w:highlight w:val="green"/>
          <w:u w:val="single"/>
        </w:rPr>
        <w:t>To speak of the world-making capacity of aesthetic forms is not a willful act of naivety</w:t>
      </w:r>
      <w:r w:rsidRPr="009A6261">
        <w:rPr>
          <w:u w:val="single"/>
        </w:rPr>
        <w:t xml:space="preserve"> (though such acts of unknowing have their own value), </w:t>
      </w:r>
      <w:r w:rsidRPr="009A6261">
        <w:rPr>
          <w:highlight w:val="green"/>
          <w:u w:val="single"/>
        </w:rPr>
        <w:t>but a way to keep critical practice vital and resist the downward pull of political surrender.</w:t>
      </w:r>
      <w:r w:rsidRPr="009A6261">
        <w:rPr>
          <w:sz w:val="14"/>
        </w:rPr>
        <w:t xml:space="preserve"> Pico invokes this paradox when he bemoans that saying is not doing amid the hundred-page flow of IRL’s single column of text. </w:t>
      </w:r>
      <w:r w:rsidRPr="009A6261">
        <w:rPr>
          <w:u w:val="single"/>
        </w:rPr>
        <w:t xml:space="preserve">Invoking an emergent world is not a cure. In lieu of a cure, it performs a tear in the landscape of American memory through which new stories can gain critical traction. Pico’s wish that incantation might spell “the rupture’s sutures”— the rupture of colonial time into the fabric of what preceded it—reminds us of the irreducibility of aesthetic and social forms. </w:t>
      </w:r>
      <w:r w:rsidRPr="009A6261">
        <w:rPr>
          <w:highlight w:val="green"/>
          <w:u w:val="single"/>
        </w:rPr>
        <w:t>The wish for repair through something as ubiquitous and as plastic as language laments the limitations of the present, but it also insists simultaneously on the capacity of art to provide solace, pleasure, and possibility.</w:t>
      </w:r>
    </w:p>
    <w:p w14:paraId="07172BAC" w14:textId="77777777" w:rsidR="009A5EE7" w:rsidRPr="00706D65" w:rsidRDefault="009A5EE7" w:rsidP="009A5EE7"/>
    <w:p w14:paraId="1EF31AD6" w14:textId="77777777" w:rsidR="009A5EE7" w:rsidRDefault="009A5EE7" w:rsidP="009A5EE7">
      <w:pPr>
        <w:pStyle w:val="Heading3"/>
      </w:pPr>
      <w:r>
        <w:t>1NC---K</w:t>
      </w:r>
    </w:p>
    <w:p w14:paraId="6F5943CE" w14:textId="77777777" w:rsidR="009A5EE7" w:rsidRPr="00CD4613" w:rsidRDefault="009A5EE7" w:rsidP="009A5EE7">
      <w:pPr>
        <w:pStyle w:val="Heading4"/>
      </w:pPr>
      <w:r w:rsidRPr="00CD4613">
        <w:t>Their call for the judge to decide what is aesthetically valuable revolves around idealized notions of the body and sensory perception</w:t>
      </w:r>
    </w:p>
    <w:p w14:paraId="4E8B1B4A" w14:textId="77777777" w:rsidR="009A5EE7" w:rsidRPr="00CD4613" w:rsidRDefault="009A5EE7" w:rsidP="009A5EE7">
      <w:pPr>
        <w:rPr>
          <w:b/>
          <w:sz w:val="26"/>
        </w:rPr>
      </w:pPr>
      <w:r w:rsidRPr="00CD4613">
        <w:rPr>
          <w:rStyle w:val="Style13ptBold"/>
        </w:rPr>
        <w:t xml:space="preserve">Davidson 08 </w:t>
      </w:r>
      <w:r w:rsidRPr="00CD4613">
        <w:t>(Michael, professor of literature at the University of California, San Diego, PhD from SUNY, Buffalo, “Concerto for the left hand: disability and the defamiliar body.” University of Michigan Press, 08.Pg 3-4.  –Veeder)</w:t>
      </w:r>
    </w:p>
    <w:p w14:paraId="49A2BDA0" w14:textId="77777777" w:rsidR="009A5EE7" w:rsidRDefault="009A5EE7" w:rsidP="009A5EE7">
      <w:pPr>
        <w:rPr>
          <w:rStyle w:val="StyleUnderline"/>
        </w:rPr>
      </w:pPr>
      <w:r w:rsidRPr="00CD4613">
        <w:rPr>
          <w:sz w:val="16"/>
        </w:rPr>
        <w:t xml:space="preserve">By bringing such matters to bear on disability I want to foreground the extent to which </w:t>
      </w:r>
      <w:r w:rsidRPr="00554FDE">
        <w:rPr>
          <w:rStyle w:val="StyleUnderline"/>
          <w:highlight w:val="green"/>
        </w:rPr>
        <w:t>the aesthetic</w:t>
      </w:r>
      <w:r w:rsidRPr="00CD4613">
        <w:rPr>
          <w:rStyle w:val="StyleUnderline"/>
        </w:rPr>
        <w:t>,</w:t>
      </w:r>
      <w:r w:rsidRPr="00CD4613">
        <w:rPr>
          <w:sz w:val="16"/>
        </w:rPr>
        <w:t xml:space="preserve"> from Baumgarten and Kant to recent </w:t>
      </w:r>
      <w:r w:rsidRPr="00554FDE">
        <w:rPr>
          <w:highlight w:val="green"/>
          <w:u w:val="single"/>
        </w:rPr>
        <w:t>performance art</w:t>
      </w:r>
      <w:r w:rsidRPr="00554FDE">
        <w:rPr>
          <w:rStyle w:val="StyleUnderline"/>
          <w:highlight w:val="green"/>
        </w:rPr>
        <w:t>, is a matter of the body and of epistemological claims</w:t>
      </w:r>
      <w:r w:rsidRPr="00CD4613">
        <w:rPr>
          <w:rStyle w:val="StyleUnderline"/>
        </w:rPr>
        <w:t xml:space="preserve"> created by incorporating its limits into composition</w:t>
      </w:r>
      <w:r w:rsidRPr="00CD4613">
        <w:rPr>
          <w:sz w:val="16"/>
        </w:rPr>
        <w:t>.4 Terry Eagleton points out that "</w:t>
      </w:r>
      <w:r w:rsidRPr="00554FDE">
        <w:rPr>
          <w:rStyle w:val="StyleUnderline"/>
          <w:highlight w:val="green"/>
        </w:rPr>
        <w:t>aesthetics is born as a discourse of the body' an attempt to measure "the whole region of human perception and sensation, in con- trast to the more rarefied domain of conceptual though</w:t>
      </w:r>
      <w:r w:rsidRPr="00CD4613">
        <w:rPr>
          <w:rStyle w:val="StyleUnderline"/>
        </w:rPr>
        <w:t>t</w:t>
      </w:r>
      <w:r w:rsidRPr="00CD4613">
        <w:rPr>
          <w:sz w:val="16"/>
        </w:rPr>
        <w:t xml:space="preserve">" (13). Tobin Siebers notes that the term aesthetics is based on the Greek word for per- ception and that "[there] is no perception in the absence of the body" (Body Aesthetic 1). In some cases, as in Wincklemann, the physical body becomes the site of human perfection, an ideal that found its dystopic end in National Socialism's vaunting of the ideal Aryan body.5 In other cases, as in Kant, the body is most conspicuous by its absence, as though aes- thetics formed a cordon sanitaire against the encroachments of gross sen- sation and desire. To some extent Kant's privileging of disinterested ob- servation is the cornerstone for modernist theories of impersonality and objectivism by which the aesthetic provides an alternative to passional states as well as instrumental reason. Yet disinterestedness in Kant can only be validated when it appears to elicit a reciprocal response in others: </w:t>
      </w:r>
      <w:r w:rsidRPr="00554FDE">
        <w:rPr>
          <w:rStyle w:val="StyleUnderline"/>
          <w:highlight w:val="green"/>
        </w:rPr>
        <w:t>"A judgment of taste determines its object in respect of our liking..,</w:t>
      </w:r>
      <w:r w:rsidRPr="00CD4613">
        <w:rPr>
          <w:rStyle w:val="StyleUnderline"/>
        </w:rPr>
        <w:t xml:space="preserve"> but makes a claim to everyone's assent, as if it were an objective judgment" (16). Here, the specter of social consensus haunts the aesthetic-as though to say, "</w:t>
      </w:r>
      <w:r w:rsidRPr="00554FDE">
        <w:rPr>
          <w:rStyle w:val="StyleUnderline"/>
          <w:highlight w:val="green"/>
        </w:rPr>
        <w:t>My appreciation of that which exceeds my body depends on other bodies for confirmation</w:t>
      </w:r>
      <w:r w:rsidRPr="00CD4613">
        <w:rPr>
          <w:rStyle w:val="StyleUnderline"/>
        </w:rPr>
        <w:t>. The body I escape in my endistanced apprecia- tion</w:t>
      </w:r>
      <w:r w:rsidRPr="00CD4613">
        <w:rPr>
          <w:sz w:val="16"/>
        </w:rPr>
        <w:t xml:space="preserve"> </w:t>
      </w:r>
      <w:r w:rsidRPr="00CD4613">
        <w:rPr>
          <w:rStyle w:val="StyleUnderline"/>
        </w:rPr>
        <w:t>is reconstituted in my feeling that others must feel the same way.":' It is this spectral body of the other that disability brings to the fore, remind- ing us of the contingent, interdependent nature of bodies and their situ- ated relationship to physical ideals.</w:t>
      </w:r>
      <w:r w:rsidRPr="00CD4613">
        <w:rPr>
          <w:sz w:val="16"/>
        </w:rPr>
        <w:t xml:space="preserve"> </w:t>
      </w:r>
      <w:r w:rsidRPr="00554FDE">
        <w:rPr>
          <w:rStyle w:val="StyleUnderline"/>
          <w:highlight w:val="green"/>
        </w:rPr>
        <w:t>Disability aesthetics foregrounds the extent to which the body becomes thinkable when its totality can no longer be taken for granted, when the social meanings attached to sensory and cognitive values cannot be assumed.</w:t>
      </w:r>
      <w:r w:rsidRPr="00CD4613">
        <w:rPr>
          <w:rStyle w:val="StyleUnderline"/>
        </w:rPr>
        <w:t xml:space="preserve"> </w:t>
      </w:r>
    </w:p>
    <w:p w14:paraId="03517181" w14:textId="77777777" w:rsidR="009A5EE7" w:rsidRPr="00CD4613" w:rsidRDefault="009A5EE7" w:rsidP="009A5EE7">
      <w:pPr>
        <w:pStyle w:val="Heading4"/>
        <w:rPr>
          <w:szCs w:val="26"/>
        </w:rPr>
      </w:pPr>
      <w:r w:rsidRPr="00CD4613">
        <w:t xml:space="preserve">The aff’s insistence that emancipation through </w:t>
      </w:r>
      <w:r>
        <w:t>storytelling and imagining new futures</w:t>
      </w:r>
      <w:r w:rsidRPr="00CD4613">
        <w:t xml:space="preserve"> is possible erases the lived experience of disability</w:t>
      </w:r>
      <w:r>
        <w:t>—turns the aff</w:t>
      </w:r>
    </w:p>
    <w:p w14:paraId="667C1530" w14:textId="77777777" w:rsidR="009A5EE7" w:rsidRPr="00CD4613" w:rsidRDefault="009A5EE7" w:rsidP="009A5EE7">
      <w:pPr>
        <w:rPr>
          <w:rStyle w:val="Style13ptBold"/>
          <w:bCs w:val="0"/>
        </w:rPr>
      </w:pPr>
      <w:r w:rsidRPr="00CD4613">
        <w:rPr>
          <w:rStyle w:val="Style13ptBold"/>
        </w:rPr>
        <w:t>Siebers, Professor of Literary and Cultural Criticism at the University of Michigan, 1-22-2006</w:t>
      </w:r>
    </w:p>
    <w:p w14:paraId="4145BC8A" w14:textId="77777777" w:rsidR="009A5EE7" w:rsidRPr="00CD4613" w:rsidRDefault="009A5EE7" w:rsidP="009A5EE7">
      <w:r w:rsidRPr="00CD4613">
        <w:t>(Tobin, “Disability Studies and the Future of Identity Politics” in Identity Politics Reconsidered, p. 10-30 , LASA-IZP)</w:t>
      </w:r>
    </w:p>
    <w:p w14:paraId="2B5ECC68" w14:textId="77777777" w:rsidR="009A5EE7" w:rsidRDefault="009A5EE7" w:rsidP="009A5EE7">
      <w:pPr>
        <w:rPr>
          <w:sz w:val="12"/>
        </w:rPr>
      </w:pPr>
      <w:r w:rsidRPr="00CD4613">
        <w:rPr>
          <w:rStyle w:val="StyleUnderline"/>
        </w:rPr>
        <w:t>The attack on identity by social constructionists is designed to liberate individuals constrained by unjust stereotypes and social prejudices</w:t>
      </w:r>
      <w:r w:rsidRPr="00CD4613">
        <w:rPr>
          <w:sz w:val="12"/>
        </w:rPr>
        <w:t xml:space="preserve">. </w:t>
      </w:r>
      <w:r w:rsidRPr="00CD4613">
        <w:rPr>
          <w:rStyle w:val="StyleUnderline"/>
        </w:rPr>
        <w:t>The example of disability</w:t>
      </w:r>
      <w:r w:rsidRPr="00CD4613">
        <w:rPr>
          <w:sz w:val="12"/>
        </w:rPr>
        <w:t xml:space="preserve"> in particular </w:t>
      </w:r>
      <w:r w:rsidRPr="00CD4613">
        <w:rPr>
          <w:rStyle w:val="StyleUnderline"/>
        </w:rPr>
        <w:t>reveals</w:t>
      </w:r>
      <w:r w:rsidRPr="00CD4613">
        <w:rPr>
          <w:sz w:val="12"/>
        </w:rPr>
        <w:t xml:space="preserve"> with great vividness </w:t>
      </w:r>
      <w:r w:rsidRPr="00CD4613">
        <w:rPr>
          <w:rStyle w:val="StyleUnderline"/>
        </w:rPr>
        <w:t>the unjust stereotypes imposed on identity by cultural norms and languages as well as the violence exercised by them</w:t>
      </w:r>
      <w:r w:rsidRPr="00CD4613">
        <w:rPr>
          <w:sz w:val="12"/>
        </w:rPr>
        <w:t xml:space="preserve">. It also provides compelling evidence for the veracity of the social model. </w:t>
      </w:r>
      <w:r w:rsidRPr="00CD4613">
        <w:rPr>
          <w:rStyle w:val="StyleUnderline"/>
        </w:rPr>
        <w:t>Deafness was not</w:t>
      </w:r>
      <w:r w:rsidRPr="00CD4613">
        <w:rPr>
          <w:sz w:val="12"/>
        </w:rPr>
        <w:t xml:space="preserve">, for instance, a </w:t>
      </w:r>
      <w:r w:rsidRPr="00CD4613">
        <w:rPr>
          <w:rStyle w:val="StyleUnderline"/>
        </w:rPr>
        <w:t>disability on Martha’s Vineyard for most of the eighteenth century because 1 in 25 residents was deaf and everyone in the community knew how to sign. Deaf villagers had the same occupations and incomes as people who could hear</w:t>
      </w:r>
      <w:r w:rsidRPr="00CD4613">
        <w:rPr>
          <w:sz w:val="12"/>
        </w:rPr>
        <w:t xml:space="preserve">.3 This example shows to what extent disability is socially produced. In fact, </w:t>
      </w:r>
      <w:r w:rsidRPr="00CD4613">
        <w:rPr>
          <w:rStyle w:val="StyleUnderline"/>
        </w:rPr>
        <w:t xml:space="preserve">it is tempting to see disability exclusively as the product of a bad match between society and some human [people] bodies because it is so often the case. But </w:t>
      </w:r>
      <w:r w:rsidRPr="00554FDE">
        <w:rPr>
          <w:rStyle w:val="StyleUnderline"/>
          <w:highlight w:val="green"/>
        </w:rPr>
        <w:t>disability</w:t>
      </w:r>
      <w:r w:rsidRPr="00CD4613">
        <w:rPr>
          <w:rStyle w:val="StyleUnderline"/>
        </w:rPr>
        <w:t xml:space="preserve"> also </w:t>
      </w:r>
      <w:r w:rsidRPr="00554FDE">
        <w:rPr>
          <w:rStyle w:val="StyleUnderline"/>
          <w:highlight w:val="green"/>
        </w:rPr>
        <w:t>frustrates theorists of social construction because the disabled body and mind are not easily aligned with cultural norms and codes</w:t>
      </w:r>
      <w:r w:rsidRPr="00CD4613">
        <w:rPr>
          <w:sz w:val="12"/>
        </w:rPr>
        <w:t xml:space="preserve">. Many disability scholars have begun to insist that </w:t>
      </w:r>
      <w:r w:rsidRPr="00CD4613">
        <w:rPr>
          <w:rStyle w:val="StyleUnderline"/>
        </w:rPr>
        <w:t xml:space="preserve">the social model either fails to account for the difficult physical realities faced by people with disabilities or presents their body and mind in ways that are conventional, conformist, and unrecognizable to them. These include the habits of </w:t>
      </w:r>
      <w:r w:rsidRPr="00554FDE">
        <w:rPr>
          <w:rStyle w:val="StyleUnderline"/>
          <w:highlight w:val="green"/>
        </w:rPr>
        <w:t xml:space="preserve">privileging pleasure over pain, making work a condition of independence, favoring performativity to corporeality, and </w:t>
      </w:r>
      <w:r w:rsidRPr="00554FDE">
        <w:rPr>
          <w:rStyle w:val="Emphasis"/>
          <w:highlight w:val="green"/>
        </w:rPr>
        <w:t>describing social success in terms of intellectual achievement, bodily adaptability, and active political participation</w:t>
      </w:r>
      <w:r w:rsidRPr="00CD4613">
        <w:rPr>
          <w:sz w:val="12"/>
        </w:rPr>
        <w:t xml:space="preserve">. David Mitchell and Sharon Snyder have noticed that </w:t>
      </w:r>
      <w:r w:rsidRPr="00554FDE">
        <w:rPr>
          <w:rStyle w:val="Emphasis"/>
          <w:highlight w:val="green"/>
        </w:rPr>
        <w:t>the push to link physical difference to cultural and social constructs, especially ideological ones, has actually made disability disappear from the social model</w:t>
      </w:r>
      <w:r w:rsidRPr="00CD4613">
        <w:rPr>
          <w:rStyle w:val="StyleUnderline"/>
        </w:rPr>
        <w:t>. They</w:t>
      </w:r>
      <w:r w:rsidRPr="00CD4613">
        <w:rPr>
          <w:sz w:val="12"/>
        </w:rPr>
        <w:t xml:space="preserve"> </w:t>
      </w:r>
      <w:r w:rsidRPr="00CD4613">
        <w:rPr>
          <w:rStyle w:val="StyleUnderline"/>
        </w:rPr>
        <w:t>cite a variety of recent studies of the body that use “corporeal aberrancies” to emblematize social differences, complaining that “physical difference” within common critical methodologies “exemplifies the evidence of social deviance even as the constructed nature of physicality itself fades from view.”</w:t>
      </w:r>
      <w:r w:rsidRPr="00CD4613">
        <w:rPr>
          <w:sz w:val="12"/>
        </w:rPr>
        <w:t xml:space="preserve">4 As Davis puts it, </w:t>
      </w:r>
      <w:r w:rsidRPr="00CD4613">
        <w:rPr>
          <w:rStyle w:val="StyleUnderline"/>
        </w:rPr>
        <w:t>cultural theory abounds with “the fluids of sexuality, the gloss of lubrication, the glossary of the [person] body as text, the heteroglossia of the intertext, the glossolalia of the schizophrenic. But almost never the body of the differently abled</w:t>
      </w:r>
      <w:r w:rsidRPr="00CD4613">
        <w:rPr>
          <w:sz w:val="12"/>
        </w:rPr>
        <w:t xml:space="preserve">.”5 Recent </w:t>
      </w:r>
      <w:r w:rsidRPr="00554FDE">
        <w:rPr>
          <w:rStyle w:val="Emphasis"/>
          <w:highlight w:val="green"/>
        </w:rPr>
        <w:t>theoretical emphases on “performativity,” “</w:t>
      </w:r>
      <w:r w:rsidRPr="00310736">
        <w:rPr>
          <w:rStyle w:val="Emphasis"/>
        </w:rPr>
        <w:t xml:space="preserve">heterogeneity,” and “indeterminancy” </w:t>
      </w:r>
      <w:r w:rsidRPr="00554FDE">
        <w:rPr>
          <w:rStyle w:val="Emphasis"/>
          <w:highlight w:val="green"/>
        </w:rPr>
        <w:t xml:space="preserve">privilege a disembodied ideal of freedom, suggesting that emancipation from social codes and norms may be achieved by imagining the [person] </w:t>
      </w:r>
      <w:r w:rsidRPr="00310736">
        <w:rPr>
          <w:rStyle w:val="Emphasis"/>
        </w:rPr>
        <w:t>body</w:t>
      </w:r>
      <w:r w:rsidRPr="00554FDE">
        <w:rPr>
          <w:rStyle w:val="Emphasis"/>
          <w:highlight w:val="green"/>
        </w:rPr>
        <w:t xml:space="preserve"> as a subversive text.</w:t>
      </w:r>
      <w:r w:rsidRPr="00CD4613">
        <w:rPr>
          <w:sz w:val="12"/>
        </w:rPr>
        <w:t xml:space="preserve"> </w:t>
      </w:r>
      <w:r w:rsidRPr="00554FDE">
        <w:rPr>
          <w:rStyle w:val="Emphasis"/>
          <w:highlight w:val="green"/>
        </w:rPr>
        <w:t>These emphases</w:t>
      </w:r>
      <w:r w:rsidRPr="00310736">
        <w:rPr>
          <w:rStyle w:val="Emphasis"/>
        </w:rPr>
        <w:t xml:space="preserve"> are not only incompatible with the experiences of [disabled people] people with disabilities; they </w:t>
      </w:r>
      <w:r w:rsidRPr="00554FDE">
        <w:rPr>
          <w:rStyle w:val="Emphasis"/>
          <w:highlight w:val="green"/>
        </w:rPr>
        <w:t>mimic the fantasy</w:t>
      </w:r>
      <w:r w:rsidRPr="00310736">
        <w:rPr>
          <w:rStyle w:val="Emphasis"/>
        </w:rPr>
        <w:t xml:space="preserve">, often found in the medical model, </w:t>
      </w:r>
      <w:r w:rsidRPr="00554FDE">
        <w:rPr>
          <w:rStyle w:val="Emphasis"/>
          <w:highlight w:val="green"/>
        </w:rPr>
        <w:t>that disease and disability are immaterial as long as the imagination is free</w:t>
      </w:r>
      <w:r w:rsidRPr="00CD4613">
        <w:rPr>
          <w:sz w:val="12"/>
        </w:rPr>
        <w:t>.</w:t>
      </w:r>
      <w:r w:rsidRPr="00CD4613">
        <w:rPr>
          <w:rStyle w:val="StyleUnderline"/>
        </w:rPr>
        <w:t xml:space="preserve"> Doctors and medical professionals have the habit of coaxing sick people to cure themselves by thinking positive thoughts, and when an individual’s health does not improve the failure is ascribed to mental weakness. Sontag</w:t>
      </w:r>
      <w:r w:rsidRPr="00CD4613">
        <w:rPr>
          <w:sz w:val="12"/>
        </w:rPr>
        <w:t xml:space="preserve"> was perhaps the first to understand the debilitating effects of describing illness as a defect of imagination or will power. She </w:t>
      </w:r>
      <w:r w:rsidRPr="00CD4613">
        <w:rPr>
          <w:rStyle w:val="StyleUnderline"/>
        </w:rPr>
        <w:t>traces the notion that disease springs from individual mental weakness to Schopenhauer’s claim that “recovery from a disease depends on the will assuming ‘dictatorial power in order to subsume the rebellious forces’ of the body</w:t>
      </w:r>
      <w:r w:rsidRPr="00CD4613">
        <w:rPr>
          <w:sz w:val="12"/>
        </w:rPr>
        <w:t xml:space="preserve">” (43-44). </w:t>
      </w:r>
      <w:r w:rsidRPr="00CD4613">
        <w:rPr>
          <w:rStyle w:val="StyleUnderline"/>
        </w:rPr>
        <w:t>She also heaps scorn on the idea that the disabled or sick are responsible for their disease concluding that “</w:t>
      </w:r>
      <w:r w:rsidRPr="00310736">
        <w:rPr>
          <w:rStyle w:val="Emphasis"/>
        </w:rPr>
        <w:t>theories that diseases are caused by mental states and can be cured by will power are always an index of how much is not understood about the physical terrain of a disease</w:t>
      </w:r>
      <w:r w:rsidRPr="00CD4613">
        <w:rPr>
          <w:rStyle w:val="StyleUnderline"/>
        </w:rPr>
        <w:t>”</w:t>
      </w:r>
      <w:r w:rsidRPr="00CD4613">
        <w:rPr>
          <w:sz w:val="12"/>
        </w:rPr>
        <w:t xml:space="preserve"> (55). The rebellious forces of the body and the physical nature of disease represent a reality untouched by metaphor. Sontag insists that “the reality has to be explained” (55).  </w:t>
      </w:r>
    </w:p>
    <w:p w14:paraId="6ED47630" w14:textId="77777777" w:rsidR="009A5EE7" w:rsidRPr="00CD4613" w:rsidRDefault="009A5EE7" w:rsidP="009A5EE7">
      <w:pPr>
        <w:rPr>
          <w:rStyle w:val="StyleUnderline"/>
        </w:rPr>
      </w:pPr>
    </w:p>
    <w:p w14:paraId="67C7096B" w14:textId="77777777" w:rsidR="009A5EE7" w:rsidRPr="00CD4613" w:rsidRDefault="009A5EE7" w:rsidP="009A5EE7">
      <w:pPr>
        <w:pStyle w:val="Heading4"/>
      </w:pPr>
      <w:r w:rsidRPr="00CD4613">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59C142FC" w14:textId="77777777" w:rsidR="009A5EE7" w:rsidRPr="00CD4613" w:rsidRDefault="009A5EE7" w:rsidP="009A5EE7">
      <w:r w:rsidRPr="00CD4613">
        <w:rPr>
          <w:b/>
          <w:bCs/>
          <w:sz w:val="28"/>
          <w:szCs w:val="28"/>
        </w:rPr>
        <w:t>Scuro et al 18</w:t>
      </w:r>
      <w:r w:rsidRPr="00CD4613">
        <w:t xml:space="preserve">. Scuro, Jennifer, et al. 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r w:rsidRPr="00CD4613">
        <w:rPr>
          <w:i/>
          <w:iCs/>
        </w:rPr>
        <w:t>Adressing Ableism Philosophical Questions via Disability Studies Jennifer Scuro Aut; Joel Michael Reynolds Introd.; Devonya N. Havis Aut; Lydia X.Z. Brown Aut</w:t>
      </w:r>
      <w:r w:rsidRPr="00CD4613">
        <w:t>. Lexington Books, 2018. /CSand</w:t>
      </w:r>
    </w:p>
    <w:p w14:paraId="663393B6" w14:textId="77777777" w:rsidR="009A5EE7" w:rsidRPr="00CD4613" w:rsidRDefault="009A5EE7" w:rsidP="009A5EE7">
      <w:r w:rsidRPr="00CD4613">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activa,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554FDE">
        <w:rPr>
          <w:rStyle w:val="Emphasis"/>
          <w:highlight w:val="green"/>
        </w:rPr>
        <w:t>here is the interrogation into</w:t>
      </w:r>
      <w:r w:rsidRPr="00310736">
        <w:rPr>
          <w:rStyle w:val="Emphasis"/>
        </w:rPr>
        <w:t xml:space="preserve"> perceived, </w:t>
      </w:r>
      <w:r w:rsidRPr="00554FDE">
        <w:rPr>
          <w:rStyle w:val="Emphasis"/>
          <w:highlight w:val="green"/>
        </w:rPr>
        <w:t>promoted</w:t>
      </w:r>
      <w:r w:rsidRPr="00310736">
        <w:rPr>
          <w:rStyle w:val="Emphasis"/>
        </w:rPr>
        <w:t>, and recognized “</w:t>
      </w:r>
      <w:r w:rsidRPr="00554FDE">
        <w:rPr>
          <w:rStyle w:val="Emphasis"/>
          <w:highlight w:val="green"/>
        </w:rPr>
        <w:t>ablebodiedness” and what it does to feed the social and cultural imaginary as fundamentally ableist</w:t>
      </w:r>
      <w:r w:rsidRPr="00310736">
        <w:rPr>
          <w:rStyle w:val="Emphasis"/>
        </w:rPr>
        <w:t xml:space="preserve"> in its operations</w:t>
      </w:r>
      <w:r w:rsidRPr="00CD4613">
        <w:t xml:space="preserve">. </w:t>
      </w:r>
      <w:r w:rsidRPr="00310736">
        <w:rPr>
          <w:rStyle w:val="Emphasis"/>
        </w:rPr>
        <w:t>These dismembering operations are twofold</w:t>
      </w:r>
      <w:r w:rsidRPr="00554FDE">
        <w:rPr>
          <w:rStyle w:val="Emphasis"/>
          <w:highlight w:val="green"/>
        </w:rPr>
        <w:t>: as intergenerational</w:t>
      </w:r>
      <w:r w:rsidRPr="00CD4613">
        <w:t xml:space="preserve">, between parents/guardians and children </w:t>
      </w:r>
      <w:r w:rsidRPr="00554FDE">
        <w:rPr>
          <w:rStyle w:val="Emphasis"/>
          <w:highlight w:val="green"/>
        </w:rPr>
        <w:t>and institutional</w:t>
      </w:r>
      <w:r w:rsidRPr="00CD4613">
        <w:t>, between professionals and their patients, students, or clients. This is the rationale for why it is also important to be clear that any outlining of the scale and scope of ableism is tentative though urgent, and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310736">
        <w:rPr>
          <w:rStyle w:val="Emphasis"/>
        </w:rPr>
        <w:t xml:space="preserve">). </w:t>
      </w:r>
      <w:r w:rsidRPr="00554FDE">
        <w:rPr>
          <w:rStyle w:val="Emphasis"/>
          <w:highlight w:val="green"/>
        </w:rPr>
        <w:t>Ableism is the ideological institutionalization for the ways disability is</w:t>
      </w:r>
      <w:r w:rsidRPr="00310736">
        <w:rPr>
          <w:rStyle w:val="Emphasis"/>
        </w:rPr>
        <w:t xml:space="preserve"> tolerated and </w:t>
      </w:r>
      <w:r w:rsidRPr="00554FDE">
        <w:rPr>
          <w:rStyle w:val="Emphasis"/>
          <w:highlight w:val="green"/>
        </w:rPr>
        <w:t>not</w:t>
      </w:r>
      <w:r w:rsidRPr="00310736">
        <w:rPr>
          <w:rStyle w:val="Emphasis"/>
        </w:rPr>
        <w:t xml:space="preserve"> quite </w:t>
      </w:r>
      <w:r w:rsidRPr="00554FDE">
        <w:rPr>
          <w:rStyle w:val="Emphasis"/>
          <w:highlight w:val="green"/>
        </w:rPr>
        <w:t>tolerated</w:t>
      </w:r>
      <w:r w:rsidRPr="00310736">
        <w:rPr>
          <w:rStyle w:val="Emphasis"/>
        </w:rPr>
        <w:t xml:space="preserve">, </w:t>
      </w:r>
      <w:r w:rsidRPr="00554FDE">
        <w:rPr>
          <w:rStyle w:val="Emphasis"/>
          <w:highlight w:val="green"/>
        </w:rPr>
        <w:t>in the systemic marginalization of disabled experience</w:t>
      </w:r>
      <w:r w:rsidRPr="00310736">
        <w:rPr>
          <w:rStyle w:val="Emphasis"/>
        </w:rPr>
        <w:t xml:space="preserve"> and self-directed narratives, </w:t>
      </w:r>
      <w:r w:rsidRPr="00554FDE">
        <w:rPr>
          <w:rStyle w:val="Emphasis"/>
          <w:highlight w:val="green"/>
        </w:rPr>
        <w:t>and in the enforced silence against any interrogation into those value judgments</w:t>
      </w:r>
      <w:r w:rsidRPr="00310736">
        <w:rPr>
          <w:rStyle w:val="Emphasis"/>
        </w:rPr>
        <w:t xml:space="preserve"> that classify and distinguish the disabled from the ablebodied.</w:t>
      </w:r>
      <w:r w:rsidRPr="00CD4613">
        <w:t xml:space="preserve"> I use Levi here to remind us that </w:t>
      </w:r>
      <w:r w:rsidRPr="00554FDE">
        <w:rPr>
          <w:rStyle w:val="Emphasis"/>
          <w:highlight w:val="green"/>
        </w:rPr>
        <w:t>ableism is a thinking that can construct death camps and sustain (eu)genocides, without</w:t>
      </w:r>
      <w:r w:rsidRPr="00310736">
        <w:rPr>
          <w:rStyle w:val="Emphasis"/>
        </w:rPr>
        <w:t xml:space="preserve"> thinking and without </w:t>
      </w:r>
      <w:r w:rsidRPr="00554FDE">
        <w:rPr>
          <w:rStyle w:val="Emphasis"/>
          <w:highlight w:val="green"/>
        </w:rPr>
        <w:t>hesitation</w:t>
      </w:r>
      <w:r w:rsidRPr="00310736">
        <w:rPr>
          <w:rStyle w:val="Emphasis"/>
        </w:rPr>
        <w:t xml:space="preserve">. </w:t>
      </w:r>
      <w:r w:rsidRPr="00CD4613">
        <w:t xml:space="preserve">34 </w:t>
      </w:r>
      <w:r w:rsidRPr="00310736">
        <w:rPr>
          <w:rStyle w:val="Emphasis"/>
        </w:rPr>
        <w:t>The “value judgments about functionality, normality, and health,”</w:t>
      </w:r>
      <w:r w:rsidRPr="00CD4613">
        <w:t xml:space="preserve"> as Pfeiffer states it, </w:t>
      </w:r>
      <w:r w:rsidRPr="00310736">
        <w:rPr>
          <w:rStyle w:val="Emphasis"/>
        </w:rPr>
        <w:t>is the content</w:t>
      </w:r>
      <w:r w:rsidRPr="00CD4613">
        <w:t xml:space="preserve"> of much of this emotional and symbolic fodder </w:t>
      </w:r>
      <w:r w:rsidRPr="00310736">
        <w:rPr>
          <w:rStyle w:val="Emphasis"/>
        </w:rPr>
        <w:t>that establishes intergenerational and institutional boundaries for ablebodiedness</w:t>
      </w:r>
      <w:r w:rsidRPr="00CD4613">
        <w:t xml:space="preserve">. </w:t>
      </w:r>
      <w:r w:rsidRPr="00554FDE">
        <w:rPr>
          <w:rStyle w:val="Emphasis"/>
          <w:highlight w:val="green"/>
        </w:rPr>
        <w:t>Value judgments are communicable and can become both implicit and explicit, further establishing unrecognized dichotomies to which all are subjected: the drowned and the saved</w:t>
      </w:r>
      <w:r w:rsidRPr="00CD4613">
        <w:t xml:space="preserve">.35 In this kind of class division, there are those who submit to the ideological authority of what makes, for instance, normality and health, and those for whom the value judgments “drown” them into oblivion. This boundary between ablebodied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310736">
        <w:rPr>
          <w:rStyle w:val="Emphasis"/>
        </w:rPr>
        <w:t>the conditions in which nonableist thinking may be possible and most necessary, furthering a way that can lead to world-changing political possibilities to shape the world “anew,”</w:t>
      </w:r>
      <w:r w:rsidRPr="00CD4613">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310736">
        <w:rPr>
          <w:rStyle w:val="Emphasis"/>
        </w:rPr>
        <w:t>These unchecked biases allow clear lines of division between those “able” from those disabled, equivalent to a class division.</w:t>
      </w:r>
      <w:r w:rsidRPr="00CD4613">
        <w:t xml:space="preserve"> </w:t>
      </w:r>
      <w:r w:rsidRPr="00310736">
        <w:rPr>
          <w:rStyle w:val="Emphasis"/>
        </w:rPr>
        <w:t>Add to this ideological and material division, t</w:t>
      </w:r>
      <w:r w:rsidRPr="00554FDE">
        <w:rPr>
          <w:rStyle w:val="Emphasis"/>
          <w:highlight w:val="green"/>
        </w:rPr>
        <w:t>he license to arbitrarily add to the disabled classification, an aesthetics of disgust, aggression, and objectification by those who can pass or who can qualify as able</w:t>
      </w:r>
      <w:r w:rsidRPr="00310736">
        <w:rPr>
          <w:rStyle w:val="Emphasis"/>
        </w:rPr>
        <w:t xml:space="preserve"> (or ablebodied)</w:t>
      </w:r>
      <w:r w:rsidRPr="00CD4613">
        <w:t xml:space="preserve">. Simply stated and as prime example, </w:t>
      </w:r>
      <w:r w:rsidRPr="00310736">
        <w:rPr>
          <w:rStyle w:val="Emphasis"/>
        </w:rPr>
        <w:t>even the seemingly benign mark of being “special needs” can be reread here as just ableist-speak operating as another form of unjustified segregation and vicious discrimination</w:t>
      </w:r>
      <w:r w:rsidRPr="00CD4613">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554FDE">
        <w:rPr>
          <w:rStyle w:val="Emphasis"/>
          <w:highlight w:val="green"/>
        </w:rPr>
        <w:t>The ideological, biased divisions between the ablebodied and the disabled are not benign distinctions; they emerge from the material and educational conditions of exclusion and segregation</w:t>
      </w:r>
      <w:r w:rsidRPr="00310736">
        <w:rPr>
          <w:rStyle w:val="Emphasis"/>
        </w:rPr>
        <w:t xml:space="preserve"> and are a form of literacy</w:t>
      </w:r>
      <w:r w:rsidRPr="00CD4613">
        <w:t xml:space="preserve">—an aggregation of experiences that inscribe a reward system for “normal (read: natural) ability,” </w:t>
      </w:r>
      <w:r w:rsidRPr="00554FDE">
        <w:rPr>
          <w:rStyle w:val="Emphasis"/>
          <w:highlight w:val="green"/>
        </w:rPr>
        <w:t>functioning as semiotic currency for the ablebodied</w:t>
      </w:r>
      <w:r w:rsidRPr="00CD4613">
        <w:t xml:space="preserve"> among their own class, organizing, and solidifying it into a kind of individual, as if that other class of “special needs” is a kindred group, yet, in this ideological “un-thinking that is a doing,” as such, </w:t>
      </w:r>
      <w:r w:rsidRPr="00554FDE">
        <w:rPr>
          <w:rStyle w:val="Emphasis"/>
          <w:highlight w:val="green"/>
        </w:rPr>
        <w:t>ableist ideology marks off a category that contains nothing one can conscientiously call “kind</w:t>
      </w:r>
      <w:r w:rsidRPr="00310736">
        <w:rPr>
          <w:rStyle w:val="Emphasis"/>
        </w:rPr>
        <w:t>.”</w:t>
      </w:r>
    </w:p>
    <w:p w14:paraId="63B6A8F9" w14:textId="77777777" w:rsidR="009A5EE7" w:rsidRPr="00CD4613" w:rsidRDefault="009A5EE7" w:rsidP="009A5EE7">
      <w:pPr>
        <w:pStyle w:val="Heading4"/>
        <w:rPr>
          <w:bCs/>
        </w:rPr>
      </w:pPr>
      <w:r w:rsidRPr="00CD4613">
        <w:rPr>
          <w:bCs/>
        </w:rPr>
        <w:t>Vote negative to challenge the ableist normativity of the 1ac’s rhetorical project – challenging the logic of ableism is key to create new futures beyond the grasp of ablenormativity.</w:t>
      </w:r>
    </w:p>
    <w:p w14:paraId="717D3BF6" w14:textId="77777777" w:rsidR="009A5EE7" w:rsidRPr="00CD4613" w:rsidRDefault="009A5EE7" w:rsidP="009A5EE7">
      <w:r w:rsidRPr="00CD4613">
        <w:rPr>
          <w:rStyle w:val="Style13ptBold"/>
        </w:rPr>
        <w:t>Dolmage 2014</w:t>
      </w:r>
      <w:r w:rsidRPr="00CD4613">
        <w:t xml:space="preserve"> Jay Timothy Dolmage, Prof of English @ U Waterloo, PhD @ U of Miami Ohio, </w:t>
      </w:r>
      <w:r w:rsidRPr="00CD4613">
        <w:rPr>
          <w:i/>
          <w:iCs/>
        </w:rPr>
        <w:t xml:space="preserve">Disability Rhetoric, </w:t>
      </w:r>
      <w:r w:rsidRPr="00CD4613">
        <w:t>Syracuse U Press, 2014, 288-291</w:t>
      </w:r>
    </w:p>
    <w:p w14:paraId="6C722E99" w14:textId="77777777" w:rsidR="009A5EE7" w:rsidRDefault="009A5EE7" w:rsidP="009A5EE7">
      <w:pPr>
        <w:rPr>
          <w:sz w:val="16"/>
        </w:rPr>
      </w:pPr>
      <w:r w:rsidRPr="00CD4613">
        <w:rPr>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310736">
        <w:rPr>
          <w:rStyle w:val="Emphasis"/>
        </w:rPr>
        <w:t>rhetorical entailments of</w:t>
      </w:r>
      <w:r w:rsidRPr="00CD4613">
        <w:rPr>
          <w:sz w:val="16"/>
        </w:rPr>
        <w:t xml:space="preserve"> </w:t>
      </w:r>
      <w:r w:rsidRPr="00310736">
        <w:rPr>
          <w:rStyle w:val="Emphasis"/>
        </w:rPr>
        <w:t>these bodily transformations continue to be negotiated</w:t>
      </w:r>
      <w:r w:rsidRPr="00CD4613">
        <w:rPr>
          <w:sz w:val="16"/>
        </w:rPr>
        <w:t xml:space="preserve">. I argued, deliberatively, </w:t>
      </w:r>
      <w:r w:rsidRPr="00310736">
        <w:rPr>
          <w:rStyle w:val="Emphasis"/>
        </w:rPr>
        <w:t xml:space="preserve">that a “futuristic” </w:t>
      </w:r>
      <w:r w:rsidRPr="00554FDE">
        <w:rPr>
          <w:rStyle w:val="Emphasis"/>
          <w:highlight w:val="green"/>
        </w:rPr>
        <w:t>disability studies will not be about eradication of disability, but about new social structures and relations, made possible by new rhetorics.</w:t>
      </w:r>
      <w:r w:rsidRPr="00CD4613">
        <w:rPr>
          <w:sz w:val="16"/>
        </w:rPr>
        <w:t xml:space="preserve"> Somewhat ironically, these disability futures, I hope I have shown, can be made possible through disability historiography. Hopefully, this book has changed your view on all three of these spaces and the bodies within them. But most vitally, mētis needs to have transformed where you can go from here and how you will get there. I have argued that tension around the body exists, fi rst, because efforts to define </w:t>
      </w:r>
      <w:r w:rsidRPr="00554FDE">
        <w:rPr>
          <w:rStyle w:val="Emphasis"/>
          <w:highlight w:val="green"/>
        </w:rPr>
        <w:t>rhetoric</w:t>
      </w:r>
      <w:r w:rsidRPr="00CD4613">
        <w:rPr>
          <w:sz w:val="16"/>
        </w:rPr>
        <w:t xml:space="preserve"> have so </w:t>
      </w:r>
      <w:r w:rsidRPr="00AC26F2">
        <w:rPr>
          <w:sz w:val="16"/>
        </w:rPr>
        <w:t xml:space="preserve">often </w:t>
      </w:r>
      <w:r w:rsidRPr="00310736">
        <w:rPr>
          <w:rStyle w:val="Emphasis"/>
        </w:rPr>
        <w:t xml:space="preserve">denied and </w:t>
      </w:r>
      <w:r w:rsidRPr="00554FDE">
        <w:rPr>
          <w:rStyle w:val="Emphasis"/>
          <w:highlight w:val="green"/>
        </w:rPr>
        <w:t>denigrated the body;</w:t>
      </w:r>
      <w:r w:rsidRPr="00CD4613">
        <w:rPr>
          <w:sz w:val="16"/>
        </w:rPr>
        <w:t xml:space="preserve"> second, because this denial has always been laughably impossible; third, because modern body values and anxieties have always been mapped back across history; and fi nally because studying any culture’s attitudes and arguments about the body always connects us intimately with attitudes andarguments about rhetorical possibility. That is, </w:t>
      </w:r>
      <w:r w:rsidRPr="00554FDE">
        <w:rPr>
          <w:rStyle w:val="Emphasis"/>
          <w:highlight w:val="green"/>
        </w:rPr>
        <w:t>to care about the body is to care about how we make meaning.</w:t>
      </w:r>
      <w:r w:rsidRPr="00CD4613">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554FDE">
        <w:rPr>
          <w:rStyle w:val="Emphasis"/>
          <w:highlight w:val="green"/>
        </w:rPr>
        <w:t>The body is rhetorical</w:t>
      </w:r>
      <w:r w:rsidRPr="00310736">
        <w:rPr>
          <w:rStyle w:val="Emphasis"/>
        </w:rPr>
        <w:t>—it communicates and thinks.</w:t>
      </w:r>
      <w:r w:rsidRPr="00AC26F2">
        <w:rPr>
          <w:sz w:val="16"/>
        </w:rPr>
        <w:t xml:space="preserve"> Three</w:t>
      </w:r>
      <w:r w:rsidRPr="00CD4613">
        <w:rPr>
          <w:sz w:val="16"/>
        </w:rPr>
        <w:t xml:space="preserve">: </w:t>
      </w:r>
      <w:r w:rsidRPr="00554FDE">
        <w:rPr>
          <w:rStyle w:val="Emphasis"/>
          <w:highlight w:val="green"/>
        </w:rPr>
        <w:t>Disability shapes our available means of persuasion.</w:t>
      </w:r>
      <w:r w:rsidRPr="00CD4613">
        <w:rPr>
          <w:sz w:val="16"/>
        </w:rPr>
        <w:t xml:space="preserve"> Embodied difference can actually be read as the very possibility of meaning. These three positions then shape how we learn through the body, but also who can learn. As I conclude this book, I want to return to these points and relate them specifi cally to learning, as a gesture toward future applications of mētis. My argument, in parsing through the classical debate, was that </w:t>
      </w:r>
      <w:r w:rsidRPr="00310736">
        <w:rPr>
          <w:rStyle w:val="Emphasis"/>
        </w:rPr>
        <w:t>we have always worried about bodies, and</w:t>
      </w:r>
      <w:r w:rsidRPr="00AC26F2">
        <w:rPr>
          <w:sz w:val="16"/>
        </w:rPr>
        <w:t xml:space="preserve"> this worry always centers around and never resolves </w:t>
      </w:r>
      <w:r w:rsidRPr="00310736">
        <w:rPr>
          <w:rStyle w:val="Emphasis"/>
        </w:rPr>
        <w:t>the desire to exclude difference and thus to create categories of disability.</w:t>
      </w:r>
      <w:r w:rsidRPr="00AC26F2">
        <w:rPr>
          <w:sz w:val="16"/>
        </w:rPr>
        <w:t xml:space="preserve"> Unfortunately,</w:t>
      </w:r>
      <w:r w:rsidRPr="00CD4613">
        <w:rPr>
          <w:sz w:val="16"/>
        </w:rPr>
        <w:t xml:space="preserve"> debates about education have also always utilized logics of exnomination—an obsession about who cannot learn, a cataloging of deficiencies. Underneath these explorations is always the notion that differences in aptitude are “natural.” I believe that, fi nally, </w:t>
      </w:r>
      <w:r w:rsidRPr="00554FDE">
        <w:rPr>
          <w:rStyle w:val="Emphasis"/>
          <w:highlight w:val="green"/>
        </w:rPr>
        <w:t xml:space="preserve">the </w:t>
      </w:r>
      <w:r w:rsidRPr="00310736">
        <w:rPr>
          <w:rStyle w:val="Emphasis"/>
        </w:rPr>
        <w:t xml:space="preserve">great </w:t>
      </w:r>
      <w:r w:rsidRPr="00554FDE">
        <w:rPr>
          <w:rStyle w:val="Emphasis"/>
          <w:highlight w:val="green"/>
        </w:rPr>
        <w:t>potential</w:t>
      </w:r>
      <w:r w:rsidRPr="00CD4613">
        <w:rPr>
          <w:sz w:val="16"/>
        </w:rPr>
        <w:t xml:space="preserve"> of mētis rhetoric </w:t>
      </w:r>
      <w:r w:rsidRPr="00554FDE">
        <w:rPr>
          <w:rStyle w:val="Emphasis"/>
          <w:highlight w:val="green"/>
        </w:rPr>
        <w:t xml:space="preserve">is to challenge these beliefs </w:t>
      </w:r>
      <w:r w:rsidRPr="00310736">
        <w:rPr>
          <w:rStyle w:val="Emphasis"/>
        </w:rPr>
        <w:t>about how we learn and about who can learn</w:t>
      </w:r>
      <w:r w:rsidRPr="00AC26F2">
        <w:rPr>
          <w:sz w:val="16"/>
        </w:rPr>
        <w:t xml:space="preserve">. A mētis epistemology holds that </w:t>
      </w:r>
      <w:r w:rsidRPr="00310736">
        <w:rPr>
          <w:rStyle w:val="Emphasis"/>
        </w:rPr>
        <w:t>we all, intercorporeally, shape realities.</w:t>
      </w:r>
      <w:r w:rsidRPr="00AC26F2">
        <w:rPr>
          <w:sz w:val="16"/>
        </w:rPr>
        <w:t xml:space="preserve"> This</w:t>
      </w:r>
      <w:r w:rsidRPr="00CD4613">
        <w:rPr>
          <w:sz w:val="16"/>
        </w:rPr>
        <w:t xml:space="preserve"> is </w:t>
      </w:r>
      <w:r w:rsidRPr="00554FDE">
        <w:rPr>
          <w:rStyle w:val="Emphasis"/>
          <w:highlight w:val="green"/>
        </w:rPr>
        <w:t>the inverse of an educational scheme in which bodies are containers for information,</w:t>
      </w:r>
      <w:r w:rsidRPr="00CD4613">
        <w:rPr>
          <w:sz w:val="16"/>
        </w:rPr>
        <w:t xml:space="preserve"> with some bodies better adapted to hold these contents than others. Mētis is </w:t>
      </w:r>
      <w:r w:rsidRPr="00554FDE">
        <w:rPr>
          <w:rStyle w:val="Emphasis"/>
          <w:highlight w:val="green"/>
        </w:rPr>
        <w:t xml:space="preserve">a model for </w:t>
      </w:r>
      <w:r w:rsidRPr="00310736">
        <w:rPr>
          <w:rStyle w:val="Emphasis"/>
        </w:rPr>
        <w:t>adaptation</w:t>
      </w:r>
      <w:r w:rsidRPr="00554FDE">
        <w:rPr>
          <w:rStyle w:val="Emphasis"/>
          <w:highlight w:val="green"/>
        </w:rPr>
        <w:t xml:space="preserve">, change, critique, </w:t>
      </w:r>
      <w:r w:rsidRPr="00310736">
        <w:rPr>
          <w:rStyle w:val="Emphasis"/>
        </w:rPr>
        <w:t xml:space="preserve">uniqueness, prosthesis, recursivity, </w:t>
      </w:r>
      <w:r w:rsidRPr="00554FDE">
        <w:rPr>
          <w:rStyle w:val="Emphasis"/>
          <w:highlight w:val="green"/>
        </w:rPr>
        <w:t>invention</w:t>
      </w:r>
      <w:r w:rsidRPr="00310736">
        <w:rPr>
          <w:rStyle w:val="Emphasis"/>
        </w:rPr>
        <w:t>, intercorporeality, ambiguity, and abstraction</w:t>
      </w:r>
      <w:r w:rsidRPr="00CD4613">
        <w:rPr>
          <w:sz w:val="16"/>
        </w:rPr>
        <w:t xml:space="preserve">. </w:t>
      </w:r>
      <w:r w:rsidRPr="00310736">
        <w:rPr>
          <w:rStyle w:val="Emphasis"/>
        </w:rPr>
        <w:t>What</w:t>
      </w:r>
      <w:r w:rsidRPr="00554FDE">
        <w:rPr>
          <w:rStyle w:val="Emphasis"/>
          <w:highlight w:val="green"/>
        </w:rPr>
        <w:t xml:space="preserve"> if these were our central </w:t>
      </w:r>
      <w:r w:rsidRPr="00310736">
        <w:rPr>
          <w:rStyle w:val="Emphasis"/>
        </w:rPr>
        <w:t xml:space="preserve">educational </w:t>
      </w:r>
      <w:r w:rsidRPr="00554FDE">
        <w:rPr>
          <w:rStyle w:val="Emphasis"/>
          <w:highlight w:val="green"/>
        </w:rPr>
        <w:t>values (instead of accumulation,</w:t>
      </w:r>
      <w:r w:rsidRPr="00CD4613">
        <w:rPr>
          <w:sz w:val="16"/>
        </w:rPr>
        <w:t xml:space="preserve"> retention, comprehension</w:t>
      </w:r>
      <w:r w:rsidRPr="00AC26F2">
        <w:rPr>
          <w:sz w:val="16"/>
        </w:rPr>
        <w:t xml:space="preserve">, </w:t>
      </w:r>
      <w:r w:rsidRPr="00310736">
        <w:rPr>
          <w:rStyle w:val="Emphasis"/>
        </w:rPr>
        <w:t>compliance reproduction)</w:t>
      </w:r>
      <w:r w:rsidRPr="00AC26F2">
        <w:rPr>
          <w:sz w:val="16"/>
        </w:rPr>
        <w:t>?</w:t>
      </w:r>
      <w:r w:rsidRPr="00CD4613">
        <w:rPr>
          <w:sz w:val="16"/>
        </w:rPr>
        <w:t xml:space="preserve"> </w:t>
      </w:r>
      <w:r w:rsidRPr="00310736">
        <w:rPr>
          <w:rStyle w:val="Emphasis"/>
        </w:rPr>
        <w:t xml:space="preserve">Mētis should also offer </w:t>
      </w:r>
      <w:r w:rsidRPr="00554FDE">
        <w:rPr>
          <w:rStyle w:val="Emphasis"/>
          <w:highlight w:val="green"/>
        </w:rPr>
        <w:t xml:space="preserve">a constant reminder of </w:t>
      </w:r>
      <w:r w:rsidRPr="00310736">
        <w:rPr>
          <w:rStyle w:val="Emphasis"/>
        </w:rPr>
        <w:t xml:space="preserve">the </w:t>
      </w:r>
      <w:r w:rsidRPr="00554FDE">
        <w:rPr>
          <w:rStyle w:val="Emphasis"/>
          <w:highlight w:val="green"/>
        </w:rPr>
        <w:t xml:space="preserve">exclusions </w:t>
      </w:r>
      <w:r w:rsidRPr="00310736">
        <w:rPr>
          <w:rStyle w:val="Emphasis"/>
        </w:rPr>
        <w:t xml:space="preserve">(and consumptions) of the past and present, a machine </w:t>
      </w:r>
      <w:r w:rsidRPr="00554FDE">
        <w:rPr>
          <w:rStyle w:val="Emphasis"/>
          <w:highlight w:val="green"/>
        </w:rPr>
        <w:t xml:space="preserve">for interrogating the </w:t>
      </w:r>
      <w:r w:rsidRPr="00310736">
        <w:rPr>
          <w:rStyle w:val="Emphasis"/>
        </w:rPr>
        <w:t xml:space="preserve">interests and </w:t>
      </w:r>
      <w:r w:rsidRPr="00554FDE">
        <w:rPr>
          <w:rStyle w:val="Emphasis"/>
          <w:highlight w:val="green"/>
        </w:rPr>
        <w:t>investments of the normative</w:t>
      </w:r>
      <w:r w:rsidRPr="00CD4613">
        <w:rPr>
          <w:sz w:val="16"/>
        </w:rPr>
        <w:t>. Taking this rhetoric seriously in the modern classroom</w:t>
      </w:r>
      <w:r w:rsidRPr="00310736">
        <w:rPr>
          <w:rStyle w:val="Emphasis"/>
        </w:rPr>
        <w:t xml:space="preserve">, we would create </w:t>
      </w:r>
      <w:r w:rsidRPr="00554FDE">
        <w:rPr>
          <w:rStyle w:val="Emphasis"/>
          <w:highlight w:val="green"/>
        </w:rPr>
        <w:t>space for embodied knowing</w:t>
      </w:r>
      <w:r w:rsidRPr="00CD4613">
        <w:rPr>
          <w:sz w:val="16"/>
        </w:rPr>
        <w:t>, advocate a heightened respect for all bodies, and perhaps even seek to endorse and enhance bodily difference—</w:t>
      </w:r>
      <w:r w:rsidRPr="00310736">
        <w:rPr>
          <w:rStyle w:val="Emphasis"/>
        </w:rPr>
        <w:t xml:space="preserve">creating educational exchanges </w:t>
      </w:r>
      <w:r w:rsidRPr="00554FDE">
        <w:rPr>
          <w:rStyle w:val="Emphasis"/>
          <w:highlight w:val="green"/>
        </w:rPr>
        <w:t>against the grain of the normative</w:t>
      </w:r>
      <w:r w:rsidRPr="00CD4613">
        <w:rPr>
          <w:sz w:val="16"/>
        </w:rPr>
        <w:t xml:space="preserve">. How exactly </w:t>
      </w:r>
      <w:r w:rsidRPr="00554FDE">
        <w:rPr>
          <w:rStyle w:val="Emphasis"/>
          <w:highlight w:val="green"/>
        </w:rPr>
        <w:t>this</w:t>
      </w:r>
      <w:r w:rsidRPr="00CD4613">
        <w:rPr>
          <w:sz w:val="16"/>
        </w:rPr>
        <w:t xml:space="preserve"> can be </w:t>
      </w:r>
      <w:r w:rsidRPr="00554FDE">
        <w:rPr>
          <w:rStyle w:val="Emphasis"/>
          <w:highlight w:val="green"/>
        </w:rPr>
        <w:t>achieved is a matter for debate</w:t>
      </w:r>
      <w:r w:rsidRPr="00CD4613">
        <w:rPr>
          <w:sz w:val="16"/>
        </w:rPr>
        <w:t xml:space="preserve">. But the possibilities and potentialities are exciting to consider. </w:t>
      </w:r>
      <w:r w:rsidRPr="00310736">
        <w:rPr>
          <w:rStyle w:val="Emphasis"/>
        </w:rPr>
        <w:t xml:space="preserve">There is much work to be done. </w:t>
      </w:r>
      <w:r w:rsidRPr="00AC26F2">
        <w:rPr>
          <w:sz w:val="16"/>
        </w:rPr>
        <w:t>The</w:t>
      </w:r>
      <w:r w:rsidRPr="00CD4613">
        <w:rPr>
          <w:sz w:val="16"/>
        </w:rPr>
        <w:t xml:space="preserve"> future of disability rhetoric (and perhaps also all of disability studies and rhetoric) lies not just in </w:t>
      </w:r>
      <w:r w:rsidRPr="00554FDE">
        <w:rPr>
          <w:rStyle w:val="Emphasis"/>
          <w:highlight w:val="green"/>
        </w:rPr>
        <w:t>developing tools for reinterpretations of culture,</w:t>
      </w:r>
      <w:r w:rsidRPr="00CD4613">
        <w:rPr>
          <w:sz w:val="16"/>
        </w:rPr>
        <w:t xml:space="preserve"> but in developing new </w:t>
      </w:r>
      <w:r w:rsidRPr="00554FDE">
        <w:rPr>
          <w:rStyle w:val="Emphasis"/>
          <w:highlight w:val="green"/>
        </w:rPr>
        <w:t>cultures and new social relations.</w:t>
      </w:r>
      <w:r w:rsidRPr="00CD4613">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mētis, fi ttingly, disallows a clear understanding of mētis. In this way, for many readers, the book may seem to be a failure, fi nally—an attempt to fi t an evasive concept into a historical and theoretical world that most believe can and should be ordered and schematized. But as Letiche and Statler suggest, the only way to “learn” mētis is “through a willingness to be open to unexpected ideas and a sensitivity for unforeseen possibilities . . . a positive attitude towards serendipity. . . . [M]ētis thus assumes a partial abandonment of control” (2005, 5). So, fi nally, the true test of a book about mētis is not how often it is read, but how useful it becomes, and the fi nal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nitely not stories that can be easily confi ned to these pages. In fact, these bodies and ideas hopefully have the momentum, power, and multiplicity to exceed the restraint of being written. In locating spaces and moments in which tension around the body is most pronounced, mydesire has been to amplify and recirculate this tension. My deliberations, hopefully, point us toward a desire for disability. My hope is that </w:t>
      </w:r>
      <w:r w:rsidRPr="00554FDE">
        <w:rPr>
          <w:rStyle w:val="Emphasis"/>
          <w:highlight w:val="green"/>
        </w:rPr>
        <w:t>the method</w:t>
      </w:r>
      <w:r w:rsidRPr="00CD4613">
        <w:rPr>
          <w:sz w:val="16"/>
        </w:rPr>
        <w:t xml:space="preserve"> of writing this book—</w:t>
      </w:r>
      <w:r w:rsidRPr="00310736">
        <w:rPr>
          <w:rStyle w:val="Emphasis"/>
        </w:rPr>
        <w:t xml:space="preserve">layering myths and </w:t>
      </w:r>
      <w:r w:rsidRPr="00554FDE">
        <w:rPr>
          <w:rStyle w:val="Emphasis"/>
          <w:highlight w:val="green"/>
        </w:rPr>
        <w:t xml:space="preserve">proposing interpretations, troubling </w:t>
      </w:r>
      <w:r w:rsidRPr="00310736">
        <w:rPr>
          <w:rStyle w:val="Emphasis"/>
        </w:rPr>
        <w:t xml:space="preserve">accepted </w:t>
      </w:r>
      <w:r w:rsidRPr="00554FDE">
        <w:rPr>
          <w:rStyle w:val="Emphasis"/>
          <w:highlight w:val="green"/>
        </w:rPr>
        <w:t xml:space="preserve">stories, and proposing new ones—allows </w:t>
      </w:r>
      <w:r w:rsidRPr="00310736">
        <w:rPr>
          <w:rStyle w:val="Emphasis"/>
        </w:rPr>
        <w:t xml:space="preserve">and invites further and </w:t>
      </w:r>
      <w:r w:rsidRPr="00554FDE">
        <w:rPr>
          <w:rStyle w:val="Emphasis"/>
          <w:highlight w:val="green"/>
        </w:rPr>
        <w:t>unforeseen uses and beginnings.</w:t>
      </w:r>
      <w:r w:rsidRPr="00CD4613">
        <w:rPr>
          <w:sz w:val="16"/>
        </w:rPr>
        <w:t xml:space="preserve"> This book, like the “even fl ame” of Hephaestus’s metallurgy, might offer some illumination and heat. But it is up to you to forge and to adapt your own tools.</w:t>
      </w:r>
    </w:p>
    <w:p w14:paraId="73728283" w14:textId="77777777" w:rsidR="009A5EE7" w:rsidRDefault="009A5EE7" w:rsidP="009A5EE7">
      <w:pPr>
        <w:pStyle w:val="Heading3"/>
      </w:pPr>
      <w:r>
        <w:t>1NC---P</w:t>
      </w:r>
    </w:p>
    <w:p w14:paraId="0B05E131" w14:textId="77777777" w:rsidR="009A5EE7" w:rsidRPr="00011DFE" w:rsidRDefault="009A5EE7" w:rsidP="009A5EE7">
      <w:r>
        <w:t>P-Parametrics</w:t>
      </w:r>
    </w:p>
    <w:p w14:paraId="7B9CC32E" w14:textId="77777777" w:rsidR="009A5EE7" w:rsidRDefault="009A5EE7" w:rsidP="009A5EE7">
      <w:pPr>
        <w:pStyle w:val="Heading4"/>
      </w:pPr>
      <w:r>
        <w:t>Interp: The aff must</w:t>
      </w:r>
      <w:r>
        <w:br/>
        <w:t xml:space="preserve">1. Specify their </w:t>
      </w:r>
      <w:r w:rsidRPr="001830AB">
        <w:rPr>
          <w:u w:val="single"/>
        </w:rPr>
        <w:t>relation</w:t>
      </w:r>
      <w:r>
        <w:t xml:space="preserve"> to the </w:t>
      </w:r>
      <w:r w:rsidRPr="001830AB">
        <w:rPr>
          <w:u w:val="single"/>
        </w:rPr>
        <w:t>resolution</w:t>
      </w:r>
      <w:r>
        <w:t>.</w:t>
      </w:r>
    </w:p>
    <w:p w14:paraId="47F8A642" w14:textId="77777777" w:rsidR="009A5EE7" w:rsidRDefault="009A5EE7" w:rsidP="009A5EE7">
      <w:pPr>
        <w:pStyle w:val="Heading4"/>
      </w:pPr>
      <w:r>
        <w:t xml:space="preserve">2. Specify their </w:t>
      </w:r>
      <w:r>
        <w:rPr>
          <w:u w:val="single"/>
        </w:rPr>
        <w:t>theory</w:t>
      </w:r>
      <w:r>
        <w:t xml:space="preserve"> of </w:t>
      </w:r>
      <w:r>
        <w:rPr>
          <w:u w:val="single"/>
        </w:rPr>
        <w:t>ontology</w:t>
      </w:r>
      <w:r>
        <w:t xml:space="preserve">, </w:t>
      </w:r>
      <w:r>
        <w:rPr>
          <w:u w:val="single"/>
        </w:rPr>
        <w:t>epistemology</w:t>
      </w:r>
      <w:r>
        <w:t xml:space="preserve">, and/or </w:t>
      </w:r>
      <w:r>
        <w:rPr>
          <w:u w:val="single"/>
        </w:rPr>
        <w:t>cosmology</w:t>
      </w:r>
      <w:r>
        <w:t>.</w:t>
      </w:r>
    </w:p>
    <w:p w14:paraId="290F1735" w14:textId="77777777" w:rsidR="009A5EE7" w:rsidRPr="00CF4925" w:rsidRDefault="009A5EE7" w:rsidP="009A5EE7">
      <w:pPr>
        <w:pStyle w:val="Heading4"/>
      </w:pPr>
      <w:r>
        <w:t xml:space="preserve">3. Delineate their </w:t>
      </w:r>
      <w:r>
        <w:rPr>
          <w:u w:val="single"/>
        </w:rPr>
        <w:t>method</w:t>
      </w:r>
      <w:r>
        <w:t xml:space="preserve"> that </w:t>
      </w:r>
      <w:r>
        <w:rPr>
          <w:u w:val="single"/>
        </w:rPr>
        <w:t>departs</w:t>
      </w:r>
      <w:r>
        <w:t xml:space="preserve"> from the </w:t>
      </w:r>
      <w:r>
        <w:rPr>
          <w:u w:val="single"/>
        </w:rPr>
        <w:t>status quo</w:t>
      </w:r>
      <w:r>
        <w:t>.</w:t>
      </w:r>
    </w:p>
    <w:p w14:paraId="42FA0EF1" w14:textId="77777777" w:rsidR="009A5EE7" w:rsidRPr="00C3523B" w:rsidRDefault="009A5EE7" w:rsidP="009A5EE7">
      <w:r w:rsidRPr="00C3523B">
        <w:rPr>
          <w:rStyle w:val="Style13ptBold"/>
        </w:rPr>
        <w:t>Smith ’21</w:t>
      </w:r>
      <w:r>
        <w:t xml:space="preserve">, Rutgers University-Newark, Elijah J. “The Kritik-Focus Model of Debate.” Proceedings of the Tokyo Conference on Argumentation, Volume 6, December 4, 2021 </w:t>
      </w:r>
      <w:hyperlink r:id="rId8" w:history="1">
        <w:r w:rsidRPr="009E2C01">
          <w:rPr>
            <w:rStyle w:val="Hyperlink"/>
          </w:rPr>
          <w:t>https://japan-debate-association.org/wp-content/uploads/2021/12/6thTCA2020_Proceedingspp.137-145_Smith.rev_..pdf</w:t>
        </w:r>
      </w:hyperlink>
      <w:r>
        <w:t xml:space="preserve"> CHO</w:t>
      </w:r>
    </w:p>
    <w:p w14:paraId="0E1C005B" w14:textId="77777777" w:rsidR="009A5EE7" w:rsidRDefault="009A5EE7" w:rsidP="009A5EE7">
      <w:pPr>
        <w:rPr>
          <w:rStyle w:val="StyleUnderline"/>
        </w:rPr>
      </w:pPr>
      <w:r w:rsidRPr="00390C42">
        <w:rPr>
          <w:sz w:val="16"/>
        </w:rPr>
        <w:t xml:space="preserve">The </w:t>
      </w:r>
      <w:r w:rsidRPr="00B11216">
        <w:rPr>
          <w:rStyle w:val="Emphasis"/>
        </w:rPr>
        <w:t>Kritik-Focus Model</w:t>
      </w:r>
      <w:r w:rsidRPr="00390C42">
        <w:rPr>
          <w:rStyle w:val="StyleUnderline"/>
        </w:rPr>
        <w:t xml:space="preserve"> starts</w:t>
      </w:r>
      <w:r w:rsidRPr="00390C42">
        <w:rPr>
          <w:sz w:val="16"/>
        </w:rPr>
        <w:t xml:space="preserve"> with the </w:t>
      </w:r>
      <w:r w:rsidRPr="00390C42">
        <w:rPr>
          <w:rStyle w:val="Emphasis"/>
          <w:highlight w:val="cyan"/>
        </w:rPr>
        <w:t>Affirmative team</w:t>
      </w:r>
      <w:r w:rsidRPr="00390C42">
        <w:rPr>
          <w:sz w:val="16"/>
        </w:rPr>
        <w:t>. It is their</w:t>
      </w:r>
      <w:r w:rsidRPr="00280B81">
        <w:t xml:space="preserve"> </w:t>
      </w:r>
      <w:r w:rsidRPr="00390C42">
        <w:rPr>
          <w:rStyle w:val="Emphasis"/>
          <w:highlight w:val="cyan"/>
        </w:rPr>
        <w:t>burden</w:t>
      </w:r>
      <w:r w:rsidRPr="00390C42">
        <w:rPr>
          <w:rStyle w:val="StyleUnderline"/>
          <w:highlight w:val="cyan"/>
        </w:rPr>
        <w:t xml:space="preserve"> to choose a</w:t>
      </w:r>
      <w:r w:rsidRPr="00390C42">
        <w:rPr>
          <w:rStyle w:val="StyleUnderline"/>
        </w:rPr>
        <w:t xml:space="preserve"> </w:t>
      </w:r>
      <w:r w:rsidRPr="00390C42">
        <w:rPr>
          <w:rStyle w:val="StyleUnderline"/>
          <w:highlight w:val="cyan"/>
        </w:rPr>
        <w:t>critical/cultural</w:t>
      </w:r>
      <w:r w:rsidRPr="00390C42">
        <w:rPr>
          <w:rStyle w:val="Emphasis"/>
          <w:highlight w:val="cyan"/>
        </w:rPr>
        <w:t xml:space="preserve"> perspective</w:t>
      </w:r>
      <w:r w:rsidRPr="00390C42">
        <w:rPr>
          <w:rStyle w:val="StyleUnderline"/>
        </w:rPr>
        <w:t xml:space="preserve"> based</w:t>
      </w:r>
      <w:r w:rsidRPr="00390C42">
        <w:rPr>
          <w:sz w:val="16"/>
        </w:rPr>
        <w:t xml:space="preserve">, at least partially, on academic research and apply it to the Resolution. Perspectives run the gamut from </w:t>
      </w:r>
      <w:r w:rsidRPr="00390C42">
        <w:rPr>
          <w:rStyle w:val="StyleUnderline"/>
        </w:rPr>
        <w:t xml:space="preserve">Critical Race Theory, Womanism, Latinx, and Marxist perspectives </w:t>
      </w:r>
      <w:r w:rsidRPr="00390C42">
        <w:rPr>
          <w:sz w:val="16"/>
        </w:rPr>
        <w:t xml:space="preserve">to broader </w:t>
      </w:r>
      <w:r w:rsidRPr="00687531">
        <w:rPr>
          <w:rStyle w:val="StyleUnderline"/>
          <w:highlight w:val="cyan"/>
        </w:rPr>
        <w:t>theories of</w:t>
      </w:r>
      <w:r w:rsidRPr="00390C42">
        <w:rPr>
          <w:sz w:val="16"/>
        </w:rPr>
        <w:t xml:space="preserve"> </w:t>
      </w:r>
      <w:r w:rsidRPr="00390C42">
        <w:rPr>
          <w:rStyle w:val="Emphasis"/>
          <w:highlight w:val="cyan"/>
        </w:rPr>
        <w:t>Ontology</w:t>
      </w:r>
      <w:r w:rsidRPr="00390C42">
        <w:rPr>
          <w:rStyle w:val="StyleUnderline"/>
        </w:rPr>
        <w:t xml:space="preserve">, </w:t>
      </w:r>
      <w:r w:rsidRPr="00390C42">
        <w:rPr>
          <w:rStyle w:val="Emphasis"/>
          <w:highlight w:val="cyan"/>
        </w:rPr>
        <w:t>Epistemology</w:t>
      </w:r>
      <w:r w:rsidRPr="00390C42">
        <w:rPr>
          <w:rStyle w:val="StyleUnderline"/>
          <w:highlight w:val="cyan"/>
        </w:rPr>
        <w:t xml:space="preserve">, and </w:t>
      </w:r>
      <w:r w:rsidRPr="00390C42">
        <w:rPr>
          <w:rStyle w:val="Emphasis"/>
          <w:highlight w:val="cyan"/>
        </w:rPr>
        <w:t>Cosmology</w:t>
      </w:r>
      <w:r w:rsidRPr="00390C42">
        <w:rPr>
          <w:sz w:val="16"/>
        </w:rPr>
        <w:t xml:space="preserve">. From their critical/cultural understanding of the Resolution, the </w:t>
      </w:r>
      <w:r w:rsidRPr="00CF4925">
        <w:rPr>
          <w:rStyle w:val="StyleUnderline"/>
          <w:highlight w:val="cyan"/>
        </w:rPr>
        <w:t xml:space="preserve">Affirmative must </w:t>
      </w:r>
      <w:r w:rsidRPr="00CF4925">
        <w:rPr>
          <w:rStyle w:val="Emphasis"/>
          <w:highlight w:val="cyan"/>
        </w:rPr>
        <w:t>advocate</w:t>
      </w:r>
      <w:r w:rsidRPr="00CF4925">
        <w:rPr>
          <w:rStyle w:val="StyleUnderline"/>
          <w:highlight w:val="cyan"/>
        </w:rPr>
        <w:t xml:space="preserve"> a </w:t>
      </w:r>
      <w:r w:rsidRPr="00CF4925">
        <w:rPr>
          <w:rStyle w:val="Emphasis"/>
          <w:highlight w:val="cyan"/>
        </w:rPr>
        <w:t>Method</w:t>
      </w:r>
      <w:r w:rsidRPr="00CF4925">
        <w:rPr>
          <w:rStyle w:val="StyleUnderline"/>
          <w:highlight w:val="cyan"/>
        </w:rPr>
        <w:t xml:space="preserve"> of </w:t>
      </w:r>
      <w:r w:rsidRPr="00CF4925">
        <w:rPr>
          <w:rStyle w:val="Emphasis"/>
          <w:highlight w:val="cyan"/>
        </w:rPr>
        <w:t>change</w:t>
      </w:r>
      <w:r w:rsidRPr="00CF4925">
        <w:rPr>
          <w:rStyle w:val="StyleUnderline"/>
          <w:highlight w:val="cyan"/>
        </w:rPr>
        <w:t xml:space="preserve"> that </w:t>
      </w:r>
      <w:r w:rsidRPr="00CF4925">
        <w:rPr>
          <w:rStyle w:val="Emphasis"/>
          <w:highlight w:val="cyan"/>
        </w:rPr>
        <w:t>departs</w:t>
      </w:r>
      <w:r w:rsidRPr="00CF4925">
        <w:rPr>
          <w:rStyle w:val="StyleUnderline"/>
          <w:highlight w:val="cyan"/>
        </w:rPr>
        <w:t xml:space="preserve"> from the </w:t>
      </w:r>
      <w:r w:rsidRPr="00CF4925">
        <w:rPr>
          <w:rStyle w:val="Emphasis"/>
          <w:highlight w:val="cyan"/>
        </w:rPr>
        <w:t>status quo.</w:t>
      </w:r>
      <w:r w:rsidRPr="00390C42">
        <w:rPr>
          <w:sz w:val="16"/>
        </w:rPr>
        <w:t xml:space="preserve"> </w:t>
      </w:r>
      <w:r w:rsidRPr="00390C42">
        <w:rPr>
          <w:rStyle w:val="StyleUnderline"/>
        </w:rPr>
        <w:t xml:space="preserve">The Negative team has the burden of rejoinder—they must prove that the Affirmative Method is not desirable. To prove that the Affirmative is not desirable, the </w:t>
      </w:r>
      <w:r w:rsidRPr="00390C42">
        <w:rPr>
          <w:rStyle w:val="StyleUnderline"/>
          <w:highlight w:val="cyan"/>
        </w:rPr>
        <w:t>Neg</w:t>
      </w:r>
      <w:r w:rsidRPr="00390C42">
        <w:rPr>
          <w:rStyle w:val="StyleUnderline"/>
        </w:rPr>
        <w:t xml:space="preserve">ative must </w:t>
      </w:r>
      <w:r w:rsidRPr="00390C42">
        <w:rPr>
          <w:rStyle w:val="StyleUnderline"/>
          <w:highlight w:val="cyan"/>
        </w:rPr>
        <w:t>choose a</w:t>
      </w:r>
      <w:r w:rsidRPr="00390C42">
        <w:rPr>
          <w:rStyle w:val="StyleUnderline"/>
        </w:rPr>
        <w:t xml:space="preserve"> critical/cultural </w:t>
      </w:r>
      <w:r w:rsidRPr="00390C42">
        <w:rPr>
          <w:rStyle w:val="StyleUnderline"/>
          <w:highlight w:val="cyan"/>
        </w:rPr>
        <w:t>perspective,</w:t>
      </w:r>
      <w:r w:rsidRPr="00390C42">
        <w:rPr>
          <w:rStyle w:val="StyleUnderline"/>
        </w:rPr>
        <w:t xml:space="preserve"> evaluate the Affirmative, and respond</w:t>
      </w:r>
      <w:r w:rsidRPr="00F652BE">
        <w:rPr>
          <w:rStyle w:val="StyleUnderline"/>
        </w:rPr>
        <w:t>. After a year of Kritikal debates on the Resolution, a single student would have been exposed to dozens of critical perspectives and would have a deep understanding of forgotten or sublimated histories that they do not learn anywhere else</w:t>
      </w:r>
      <w:r w:rsidRPr="00390C42">
        <w:rPr>
          <w:sz w:val="16"/>
        </w:rPr>
        <w:t xml:space="preserve">. By the end of a debate career, </w:t>
      </w:r>
      <w:r w:rsidRPr="00390C42">
        <w:rPr>
          <w:rStyle w:val="StyleUnderline"/>
        </w:rPr>
        <w:t xml:space="preserve">competitors would be </w:t>
      </w:r>
      <w:r w:rsidRPr="00687531">
        <w:rPr>
          <w:rStyle w:val="StyleUnderline"/>
          <w:highlight w:val="cyan"/>
        </w:rPr>
        <w:t xml:space="preserve">incentivized to be </w:t>
      </w:r>
      <w:r w:rsidRPr="00687531">
        <w:rPr>
          <w:rStyle w:val="Emphasis"/>
          <w:highlight w:val="cyan"/>
        </w:rPr>
        <w:t>proficient</w:t>
      </w:r>
      <w:r w:rsidRPr="00687531">
        <w:rPr>
          <w:rStyle w:val="StyleUnderline"/>
          <w:highlight w:val="cyan"/>
        </w:rPr>
        <w:t xml:space="preserve"> and </w:t>
      </w:r>
      <w:r w:rsidRPr="00687531">
        <w:rPr>
          <w:rStyle w:val="Emphasis"/>
          <w:highlight w:val="cyan"/>
        </w:rPr>
        <w:t>well-read</w:t>
      </w:r>
      <w:r w:rsidRPr="00390C42">
        <w:rPr>
          <w:rStyle w:val="StyleUnderline"/>
        </w:rPr>
        <w:t xml:space="preserve"> across all parts of the academy. The NDT champion, CEDA, or TOC champion would represent the team with the best </w:t>
      </w:r>
      <w:r w:rsidRPr="00687531">
        <w:rPr>
          <w:rStyle w:val="StyleUnderline"/>
          <w:highlight w:val="cyan"/>
        </w:rPr>
        <w:t xml:space="preserve">ability to </w:t>
      </w:r>
      <w:r w:rsidRPr="008D2B4F">
        <w:rPr>
          <w:rStyle w:val="Emphasis"/>
          <w:highlight w:val="cyan"/>
        </w:rPr>
        <w:t>evaluate</w:t>
      </w:r>
      <w:r w:rsidRPr="00687531">
        <w:rPr>
          <w:rStyle w:val="StyleUnderline"/>
          <w:highlight w:val="cyan"/>
        </w:rPr>
        <w:t xml:space="preserve">, </w:t>
      </w:r>
      <w:r w:rsidRPr="008D2B4F">
        <w:rPr>
          <w:rStyle w:val="Emphasis"/>
          <w:highlight w:val="cyan"/>
        </w:rPr>
        <w:t>apply</w:t>
      </w:r>
      <w:r w:rsidRPr="00687531">
        <w:rPr>
          <w:rStyle w:val="StyleUnderline"/>
          <w:highlight w:val="cyan"/>
        </w:rPr>
        <w:t xml:space="preserve">, and </w:t>
      </w:r>
      <w:r w:rsidRPr="008D2B4F">
        <w:rPr>
          <w:rStyle w:val="Emphasis"/>
          <w:highlight w:val="cyan"/>
        </w:rPr>
        <w:t>articulate</w:t>
      </w:r>
      <w:r w:rsidRPr="00687531">
        <w:rPr>
          <w:rStyle w:val="StyleUnderline"/>
          <w:highlight w:val="cyan"/>
        </w:rPr>
        <w:t xml:space="preserve"> </w:t>
      </w:r>
      <w:r w:rsidRPr="00687531">
        <w:rPr>
          <w:rStyle w:val="StyleUnderline"/>
        </w:rPr>
        <w:t xml:space="preserve">critical/cultural </w:t>
      </w:r>
      <w:r w:rsidRPr="00687531">
        <w:rPr>
          <w:rStyle w:val="StyleUnderline"/>
          <w:highlight w:val="cyan"/>
        </w:rPr>
        <w:t xml:space="preserve">theories and methods to </w:t>
      </w:r>
      <w:r w:rsidRPr="00687531">
        <w:rPr>
          <w:rStyle w:val="Emphasis"/>
          <w:highlight w:val="cyan"/>
        </w:rPr>
        <w:t>global problems.</w:t>
      </w:r>
    </w:p>
    <w:p w14:paraId="63465D80" w14:textId="77777777" w:rsidR="009A5EE7" w:rsidRDefault="009A5EE7" w:rsidP="009A5EE7">
      <w:pPr>
        <w:pStyle w:val="Heading4"/>
      </w:pPr>
      <w:r>
        <w:rPr>
          <w:u w:val="single"/>
        </w:rPr>
        <w:t>Commitments</w:t>
      </w:r>
      <w:r>
        <w:t xml:space="preserve"> reward </w:t>
      </w:r>
      <w:r>
        <w:rPr>
          <w:u w:val="single"/>
        </w:rPr>
        <w:t>depth</w:t>
      </w:r>
      <w:r>
        <w:t xml:space="preserve"> and checks against 2AC pivots. Literature serves as a </w:t>
      </w:r>
      <w:r w:rsidRPr="00687531">
        <w:rPr>
          <w:u w:val="single"/>
        </w:rPr>
        <w:t>functional limit</w:t>
      </w:r>
      <w:r>
        <w:t xml:space="preserve"> and trains </w:t>
      </w:r>
      <w:r>
        <w:rPr>
          <w:u w:val="single"/>
        </w:rPr>
        <w:t>theoretical skills</w:t>
      </w:r>
      <w:r>
        <w:t xml:space="preserve">. Signaling encourages </w:t>
      </w:r>
      <w:r>
        <w:rPr>
          <w:u w:val="single"/>
        </w:rPr>
        <w:t>engagement,</w:t>
      </w:r>
      <w:r>
        <w:t xml:space="preserve"> strengthens </w:t>
      </w:r>
      <w:r>
        <w:rPr>
          <w:u w:val="single"/>
        </w:rPr>
        <w:t>solidarity</w:t>
      </w:r>
      <w:r>
        <w:t xml:space="preserve"> and </w:t>
      </w:r>
      <w:r w:rsidRPr="00F652BE">
        <w:rPr>
          <w:u w:val="single"/>
        </w:rPr>
        <w:t>dissuades</w:t>
      </w:r>
      <w:r>
        <w:t xml:space="preserve"> framework. </w:t>
      </w:r>
    </w:p>
    <w:p w14:paraId="1D7DEB6B" w14:textId="77777777" w:rsidR="009A5EE7" w:rsidRDefault="009A5EE7" w:rsidP="009A5EE7">
      <w:pPr>
        <w:pStyle w:val="Heading2"/>
      </w:pPr>
      <w:r>
        <w:t>1NC---Case</w:t>
      </w:r>
    </w:p>
    <w:p w14:paraId="02BD1B47" w14:textId="77777777" w:rsidR="009A5EE7" w:rsidRPr="00646B2C" w:rsidRDefault="009A5EE7" w:rsidP="009A5EE7">
      <w:pPr>
        <w:pStyle w:val="Heading3"/>
      </w:pPr>
      <w:r>
        <w:t>1NC---Presumption</w:t>
      </w:r>
    </w:p>
    <w:p w14:paraId="2BCC1722" w14:textId="77777777" w:rsidR="009A5EE7" w:rsidRDefault="009A5EE7" w:rsidP="009A5EE7">
      <w:pPr>
        <w:pStyle w:val="Heading4"/>
        <w:rPr>
          <w:rFonts w:cs="Arial"/>
          <w:u w:val="single"/>
        </w:rPr>
      </w:pPr>
      <w:r>
        <w:t xml:space="preserve">Tying </w:t>
      </w:r>
      <w:r>
        <w:rPr>
          <w:u w:val="single"/>
        </w:rPr>
        <w:t>violence</w:t>
      </w:r>
      <w:r>
        <w:t xml:space="preserve"> in the debate space to the </w:t>
      </w:r>
      <w:r>
        <w:rPr>
          <w:u w:val="single"/>
        </w:rPr>
        <w:t>ballot</w:t>
      </w:r>
      <w:r>
        <w:t xml:space="preserve"> is bad. Ballots </w:t>
      </w:r>
      <w:r>
        <w:rPr>
          <w:u w:val="single"/>
        </w:rPr>
        <w:t>given</w:t>
      </w:r>
      <w:r>
        <w:t xml:space="preserve"> based on </w:t>
      </w:r>
      <w:r>
        <w:rPr>
          <w:u w:val="single"/>
        </w:rPr>
        <w:t>competitive merit</w:t>
      </w:r>
      <w:r>
        <w:t xml:space="preserve"> cannot </w:t>
      </w:r>
      <w:r>
        <w:rPr>
          <w:u w:val="single"/>
        </w:rPr>
        <w:t>resolve</w:t>
      </w:r>
      <w:r>
        <w:t xml:space="preserve"> malpractice in the debate space. But, </w:t>
      </w:r>
      <w:r>
        <w:rPr>
          <w:u w:val="single"/>
        </w:rPr>
        <w:t>assigning</w:t>
      </w:r>
      <w:r>
        <w:t xml:space="preserve"> them that capability allows violent actors to </w:t>
      </w:r>
      <w:r>
        <w:rPr>
          <w:u w:val="single"/>
        </w:rPr>
        <w:t>avoid</w:t>
      </w:r>
      <w:r>
        <w:t xml:space="preserve"> responsibility and </w:t>
      </w:r>
      <w:r>
        <w:rPr>
          <w:u w:val="single"/>
        </w:rPr>
        <w:t>waters down</w:t>
      </w:r>
      <w:r>
        <w:t xml:space="preserve"> the weight of violence to a </w:t>
      </w:r>
      <w:r>
        <w:rPr>
          <w:u w:val="single"/>
        </w:rPr>
        <w:t>30 minute decision</w:t>
      </w:r>
      <w:r>
        <w:t xml:space="preserve">. </w:t>
      </w:r>
      <w:r w:rsidRPr="008D0772">
        <w:rPr>
          <w:rFonts w:cs="Arial"/>
        </w:rPr>
        <w:t xml:space="preserve">Our argument is </w:t>
      </w:r>
      <w:r w:rsidRPr="008D0772">
        <w:rPr>
          <w:rFonts w:cs="Arial"/>
          <w:u w:val="single"/>
        </w:rPr>
        <w:t>not</w:t>
      </w:r>
      <w:r w:rsidRPr="008D0772">
        <w:rPr>
          <w:rFonts w:cs="Arial"/>
        </w:rPr>
        <w:t xml:space="preserve"> that these things should never be talked about, but rather that </w:t>
      </w:r>
      <w:r w:rsidRPr="008D0772">
        <w:rPr>
          <w:rFonts w:cs="Arial"/>
          <w:u w:val="single"/>
        </w:rPr>
        <w:t>tying them</w:t>
      </w:r>
      <w:r w:rsidRPr="008D0772">
        <w:rPr>
          <w:rFonts w:cs="Arial"/>
        </w:rPr>
        <w:t xml:space="preserve"> to the ballot is </w:t>
      </w:r>
      <w:r w:rsidRPr="008D0772">
        <w:rPr>
          <w:rFonts w:cs="Arial"/>
          <w:u w:val="single"/>
        </w:rPr>
        <w:t>counter-productive</w:t>
      </w:r>
      <w:r w:rsidRPr="008D0772">
        <w:rPr>
          <w:rFonts w:cs="Arial"/>
        </w:rPr>
        <w:t xml:space="preserve"> and obfuscates a </w:t>
      </w:r>
      <w:r w:rsidRPr="008D0772">
        <w:rPr>
          <w:rFonts w:cs="Arial"/>
          <w:u w:val="single"/>
        </w:rPr>
        <w:t xml:space="preserve">role for the </w:t>
      </w:r>
      <w:r>
        <w:rPr>
          <w:rFonts w:cs="Arial"/>
          <w:u w:val="single"/>
        </w:rPr>
        <w:t>neg</w:t>
      </w:r>
      <w:r w:rsidRPr="008D0772">
        <w:rPr>
          <w:rFonts w:cs="Arial"/>
          <w:u w:val="single"/>
        </w:rPr>
        <w:t>.</w:t>
      </w:r>
    </w:p>
    <w:p w14:paraId="4FA050DD" w14:textId="77777777" w:rsidR="009A5EE7" w:rsidRPr="00646B2C" w:rsidRDefault="009A5EE7" w:rsidP="009A5EE7">
      <w:pPr>
        <w:pStyle w:val="Heading3"/>
      </w:pPr>
      <w:r>
        <w:t>1NC---Ballot Bad</w:t>
      </w:r>
    </w:p>
    <w:p w14:paraId="544B1323" w14:textId="77777777" w:rsidR="009A5EE7" w:rsidRPr="00934B6D" w:rsidRDefault="009A5EE7" w:rsidP="009A5EE7">
      <w:pPr>
        <w:pStyle w:val="Heading4"/>
        <w:rPr>
          <w:rFonts w:asciiTheme="minorHAnsi" w:hAnsiTheme="minorHAnsi" w:cstheme="minorHAnsi"/>
        </w:rPr>
      </w:pPr>
      <w:r>
        <w:rPr>
          <w:rFonts w:asciiTheme="minorHAnsi" w:hAnsiTheme="minorHAnsi" w:cstheme="minorHAnsi"/>
        </w:rPr>
        <w:t>T</w:t>
      </w:r>
      <w:r w:rsidRPr="00934B6D">
        <w:rPr>
          <w:rFonts w:asciiTheme="minorHAnsi" w:hAnsiTheme="minorHAnsi" w:cstheme="minorHAnsi"/>
        </w:rPr>
        <w:t>he aff’s call for the ballot turns the case</w:t>
      </w:r>
      <w:r>
        <w:rPr>
          <w:rFonts w:asciiTheme="minorHAnsi" w:hAnsiTheme="minorHAnsi" w:cstheme="minorHAnsi"/>
        </w:rPr>
        <w:t>---</w:t>
      </w:r>
      <w:r w:rsidRPr="00934B6D">
        <w:rPr>
          <w:rFonts w:asciiTheme="minorHAnsi" w:hAnsiTheme="minorHAnsi" w:cstheme="minorHAnsi"/>
        </w:rPr>
        <w:t xml:space="preserve">it turns the 1ac into a photographic object and reproduces the judge as an authorized academic voyeur that reifies the logics of self-possession. </w:t>
      </w:r>
    </w:p>
    <w:p w14:paraId="5F2A1249" w14:textId="77777777" w:rsidR="009A5EE7" w:rsidRPr="00934B6D" w:rsidRDefault="009A5EE7" w:rsidP="009A5EE7">
      <w:pPr>
        <w:rPr>
          <w:rFonts w:asciiTheme="minorHAnsi" w:hAnsiTheme="minorHAnsi" w:cstheme="minorHAnsi"/>
          <w:b/>
          <w:bCs/>
          <w:sz w:val="26"/>
        </w:rPr>
      </w:pPr>
      <w:r w:rsidRPr="00934B6D">
        <w:rPr>
          <w:rStyle w:val="Style13ptBold"/>
          <w:rFonts w:asciiTheme="minorHAnsi" w:hAnsiTheme="minorHAnsi" w:cstheme="minorHAnsi"/>
        </w:rPr>
        <w:t xml:space="preserve">Harney and Moten 2021 </w:t>
      </w:r>
      <w:r w:rsidRPr="00934B6D">
        <w:rPr>
          <w:rFonts w:asciiTheme="minorHAnsi" w:hAnsiTheme="minorHAnsi" w:cstheme="minorHAnsi"/>
        </w:rPr>
        <w:t xml:space="preserve">Harney, Stefano, and Fred Moten. </w:t>
      </w:r>
      <w:r w:rsidRPr="00934B6D">
        <w:rPr>
          <w:rFonts w:asciiTheme="minorHAnsi" w:hAnsiTheme="minorHAnsi" w:cstheme="minorHAnsi"/>
          <w:i/>
          <w:iCs/>
        </w:rPr>
        <w:t>All incomplete</w:t>
      </w:r>
      <w:r w:rsidRPr="00934B6D">
        <w:rPr>
          <w:rFonts w:asciiTheme="minorHAnsi" w:hAnsiTheme="minorHAnsi" w:cstheme="minorHAnsi"/>
        </w:rPr>
        <w:t>. Minor Compositions, 2021. Pp 171</w:t>
      </w:r>
    </w:p>
    <w:p w14:paraId="6C0C5BED" w14:textId="77777777" w:rsidR="009A5EE7" w:rsidRDefault="009A5EE7" w:rsidP="009A5EE7">
      <w:pPr>
        <w:rPr>
          <w:rFonts w:asciiTheme="minorHAnsi" w:hAnsiTheme="minorHAnsi" w:cstheme="minorHAnsi"/>
          <w:sz w:val="14"/>
        </w:rPr>
      </w:pPr>
      <w:r w:rsidRPr="00856794">
        <w:rPr>
          <w:rStyle w:val="Emphasis"/>
          <w:rFonts w:asciiTheme="minorHAnsi" w:hAnsiTheme="minorHAnsi" w:cstheme="minorHAnsi"/>
          <w:highlight w:val="cyan"/>
        </w:rPr>
        <w:t>What institutions</w:t>
      </w:r>
      <w:r w:rsidRPr="00934B6D">
        <w:rPr>
          <w:rStyle w:val="Emphasis"/>
          <w:rFonts w:asciiTheme="minorHAnsi" w:hAnsiTheme="minorHAnsi" w:cstheme="minorHAnsi"/>
        </w:rPr>
        <w:t xml:space="preserve"> </w:t>
      </w:r>
      <w:r w:rsidRPr="00856794">
        <w:rPr>
          <w:rFonts w:asciiTheme="minorHAnsi" w:hAnsiTheme="minorHAnsi" w:cstheme="minorHAnsi"/>
          <w:sz w:val="14"/>
        </w:rPr>
        <w:t xml:space="preserve">(art </w:t>
      </w:r>
      <w:r w:rsidRPr="00856794">
        <w:rPr>
          <w:rStyle w:val="Emphasis"/>
          <w:rFonts w:asciiTheme="minorHAnsi" w:hAnsiTheme="minorHAnsi" w:cstheme="minorHAnsi"/>
          <w:highlight w:val="cyan"/>
        </w:rPr>
        <w:t>schools,</w:t>
      </w:r>
      <w:r w:rsidRPr="00856794">
        <w:rPr>
          <w:rFonts w:asciiTheme="minorHAnsi" w:hAnsiTheme="minorHAnsi" w:cstheme="minorHAnsi"/>
          <w:sz w:val="14"/>
        </w:rPr>
        <w:t xml:space="preserve"> museums, galleries, publishers, </w:t>
      </w:r>
      <w:r w:rsidRPr="00856794">
        <w:rPr>
          <w:rStyle w:val="Emphasis"/>
          <w:rFonts w:asciiTheme="minorHAnsi" w:hAnsiTheme="minorHAnsi" w:cstheme="minorHAnsi"/>
          <w:highlight w:val="cyan"/>
        </w:rPr>
        <w:t>curators, artists</w:t>
      </w:r>
      <w:r w:rsidRPr="00856794">
        <w:rPr>
          <w:rFonts w:asciiTheme="minorHAnsi" w:hAnsiTheme="minorHAnsi" w:cstheme="minorHAnsi"/>
          <w:sz w:val="14"/>
        </w:rPr>
        <w:t xml:space="preserve">) </w:t>
      </w:r>
      <w:r w:rsidRPr="00856794">
        <w:rPr>
          <w:rStyle w:val="Emphasis"/>
          <w:rFonts w:asciiTheme="minorHAnsi" w:hAnsiTheme="minorHAnsi" w:cstheme="minorHAnsi"/>
          <w:highlight w:val="cyan"/>
        </w:rPr>
        <w:t>seek to freeze</w:t>
      </w:r>
      <w:r w:rsidRPr="00856794">
        <w:rPr>
          <w:rFonts w:asciiTheme="minorHAnsi" w:hAnsiTheme="minorHAnsi" w:cstheme="minorHAnsi"/>
          <w:sz w:val="14"/>
        </w:rPr>
        <w:t xml:space="preserve">, however, </w:t>
      </w:r>
      <w:r w:rsidRPr="00856794">
        <w:rPr>
          <w:rStyle w:val="Emphasis"/>
          <w:rFonts w:asciiTheme="minorHAnsi" w:hAnsiTheme="minorHAnsi" w:cstheme="minorHAnsi"/>
          <w:highlight w:val="cyan"/>
        </w:rPr>
        <w:t>is a subject reaction that separates an individuated photographic object from its equally individuated and shameful ‘voyeurs,’ producing a never-ending need to credentialize our legitimacy</w:t>
      </w:r>
      <w:r w:rsidRPr="00856794">
        <w:rPr>
          <w:rFonts w:asciiTheme="minorHAnsi" w:hAnsiTheme="minorHAnsi" w:cstheme="minorHAnsi"/>
          <w:sz w:val="14"/>
        </w:rPr>
        <w:t xml:space="preserve"> to make, show and talk about images: </w:t>
      </w:r>
      <w:r w:rsidRPr="00856794">
        <w:rPr>
          <w:rStyle w:val="Emphasis"/>
          <w:rFonts w:asciiTheme="minorHAnsi" w:hAnsiTheme="minorHAnsi" w:cstheme="minorHAnsi"/>
          <w:highlight w:val="cyan"/>
        </w:rPr>
        <w:t>Since our own knowledge about us is never deemed enough</w:t>
      </w:r>
      <w:r w:rsidRPr="00856794">
        <w:rPr>
          <w:rFonts w:asciiTheme="minorHAnsi" w:hAnsiTheme="minorHAnsi" w:cstheme="minorHAnsi"/>
          <w:sz w:val="14"/>
        </w:rPr>
        <w:t xml:space="preserve"> to describe what a photograph means or what a good photograph is, </w:t>
      </w:r>
      <w:r w:rsidRPr="00856794">
        <w:rPr>
          <w:rStyle w:val="Emphasis"/>
          <w:rFonts w:asciiTheme="minorHAnsi" w:hAnsiTheme="minorHAnsi" w:cstheme="minorHAnsi"/>
          <w:highlight w:val="cyan"/>
        </w:rPr>
        <w:t>we must subject ourselves to be straightened by institutions that proclaim to know better than us.</w:t>
      </w:r>
      <w:r w:rsidRPr="00934B6D">
        <w:rPr>
          <w:rStyle w:val="Emphasis"/>
          <w:rFonts w:asciiTheme="minorHAnsi" w:hAnsiTheme="minorHAnsi" w:cstheme="minorHAnsi"/>
        </w:rPr>
        <w:t xml:space="preserve"> </w:t>
      </w:r>
      <w:r w:rsidRPr="00856794">
        <w:rPr>
          <w:rFonts w:asciiTheme="minorHAnsi" w:hAnsiTheme="minorHAnsi" w:cstheme="minorHAnsi"/>
          <w:sz w:val="14"/>
        </w:rPr>
        <w:t xml:space="preserve">But </w:t>
      </w:r>
      <w:r w:rsidRPr="00856794">
        <w:rPr>
          <w:rStyle w:val="Emphasis"/>
          <w:rFonts w:asciiTheme="minorHAnsi" w:hAnsiTheme="minorHAnsi" w:cstheme="minorHAnsi"/>
          <w:highlight w:val="cyan"/>
        </w:rPr>
        <w:t>what if,</w:t>
      </w:r>
      <w:r w:rsidRPr="00934B6D">
        <w:rPr>
          <w:rStyle w:val="Emphasis"/>
          <w:rFonts w:asciiTheme="minorHAnsi" w:hAnsiTheme="minorHAnsi" w:cstheme="minorHAnsi"/>
        </w:rPr>
        <w:t xml:space="preserve"> </w:t>
      </w:r>
      <w:r w:rsidRPr="00856794">
        <w:rPr>
          <w:rFonts w:asciiTheme="minorHAnsi" w:hAnsiTheme="minorHAnsi" w:cstheme="minorHAnsi"/>
          <w:sz w:val="14"/>
        </w:rPr>
        <w:t xml:space="preserve">through our entangled, incomplete sociality, </w:t>
      </w:r>
      <w:r w:rsidRPr="00856794">
        <w:rPr>
          <w:rStyle w:val="Emphasis"/>
          <w:rFonts w:asciiTheme="minorHAnsi" w:hAnsiTheme="minorHAnsi" w:cstheme="minorHAnsi"/>
          <w:highlight w:val="cyan"/>
        </w:rPr>
        <w:t>we could</w:t>
      </w:r>
      <w:r w:rsidRPr="00856794">
        <w:rPr>
          <w:rFonts w:asciiTheme="minorHAnsi" w:hAnsiTheme="minorHAnsi" w:cstheme="minorHAnsi"/>
          <w:sz w:val="14"/>
        </w:rPr>
        <w:t xml:space="preserve"> engender this blur of/as ‘always forming but never completing’ to </w:t>
      </w:r>
      <w:r w:rsidRPr="00856794">
        <w:rPr>
          <w:rStyle w:val="Emphasis"/>
          <w:rFonts w:asciiTheme="minorHAnsi" w:hAnsiTheme="minorHAnsi" w:cstheme="minorHAnsi"/>
          <w:highlight w:val="cyan"/>
        </w:rPr>
        <w:t>dissolve the imposition of photographic subjectivities particularized into the distinct perspectives of the maker, sitter, viewer,</w:t>
      </w:r>
      <w:r w:rsidRPr="00856794">
        <w:rPr>
          <w:rFonts w:asciiTheme="minorHAnsi" w:hAnsiTheme="minorHAnsi" w:cstheme="minorHAnsi"/>
          <w:sz w:val="14"/>
        </w:rPr>
        <w:t xml:space="preserve"> seller, buyer, teacher, </w:t>
      </w:r>
      <w:r w:rsidRPr="00856794">
        <w:rPr>
          <w:rStyle w:val="Emphasis"/>
          <w:rFonts w:asciiTheme="minorHAnsi" w:hAnsiTheme="minorHAnsi" w:cstheme="minorHAnsi"/>
          <w:highlight w:val="cyan"/>
        </w:rPr>
        <w:t>critic?</w:t>
      </w:r>
      <w:r w:rsidRPr="00856794">
        <w:rPr>
          <w:rFonts w:asciiTheme="minorHAnsi" w:hAnsiTheme="minorHAnsi" w:cstheme="minorHAnsi"/>
          <w:sz w:val="14"/>
        </w:rPr>
        <w:t xml:space="preserve"> </w:t>
      </w:r>
      <w:r w:rsidRPr="00856794">
        <w:rPr>
          <w:rStyle w:val="Emphasis"/>
          <w:rFonts w:asciiTheme="minorHAnsi" w:hAnsiTheme="minorHAnsi" w:cstheme="minorHAnsi"/>
          <w:highlight w:val="cyan"/>
        </w:rPr>
        <w:t>Can we dodge and blur an algorithmic syntax that straightjackets and atomizes us into total access,</w:t>
      </w:r>
      <w:r w:rsidRPr="00856794">
        <w:rPr>
          <w:rFonts w:asciiTheme="minorHAnsi" w:hAnsiTheme="minorHAnsi" w:cstheme="minorHAnsi"/>
          <w:sz w:val="14"/>
        </w:rPr>
        <w:t xml:space="preserve"> so we can get back to rebuilding our atrophied habits of assembly? Can we do all of this in homeless homefulness, </w:t>
      </w:r>
      <w:r w:rsidRPr="00856794">
        <w:rPr>
          <w:rStyle w:val="Emphasis"/>
          <w:rFonts w:asciiTheme="minorHAnsi" w:hAnsiTheme="minorHAnsi" w:cstheme="minorHAnsi"/>
          <w:highlight w:val="cyan"/>
        </w:rPr>
        <w:t>a perpetual displacement arising from undercommon generosity in shared spaces that belong to no one in no time, that we can only inhabit by constantly dislocating ourselves</w:t>
      </w:r>
      <w:r w:rsidRPr="00856794">
        <w:rPr>
          <w:rFonts w:asciiTheme="minorHAnsi" w:hAnsiTheme="minorHAnsi" w:cstheme="minorHAnsi"/>
          <w:sz w:val="14"/>
        </w:rPr>
        <w:t>?</w:t>
      </w:r>
    </w:p>
    <w:p w14:paraId="312F7208" w14:textId="77777777" w:rsidR="009A5EE7" w:rsidRPr="00856794" w:rsidRDefault="009A5EE7" w:rsidP="009A5EE7">
      <w:pPr>
        <w:pStyle w:val="Heading3"/>
      </w:pPr>
      <w:r>
        <w:t>1NC---Debate Bad</w:t>
      </w:r>
    </w:p>
    <w:p w14:paraId="04367C25" w14:textId="77777777" w:rsidR="009A5EE7" w:rsidRPr="007B6345" w:rsidRDefault="009A5EE7" w:rsidP="009A5EE7">
      <w:pPr>
        <w:pStyle w:val="Heading4"/>
      </w:pPr>
      <w:r>
        <w:t xml:space="preserve">The 1AC’s method gets filtered through the desire to win. That </w:t>
      </w:r>
      <w:r w:rsidRPr="007B6345">
        <w:rPr>
          <w:u w:val="single"/>
        </w:rPr>
        <w:t>decimates</w:t>
      </w:r>
      <w:r>
        <w:t xml:space="preserve"> solvency. Debaters don’t believe their arguments, and assigning value to political claims within competitive activities ensures </w:t>
      </w:r>
      <w:r w:rsidRPr="007B6345">
        <w:rPr>
          <w:u w:val="single"/>
        </w:rPr>
        <w:t>false positi</w:t>
      </w:r>
      <w:r>
        <w:rPr>
          <w:u w:val="single"/>
        </w:rPr>
        <w:t xml:space="preserve">ves. </w:t>
      </w:r>
      <w:r>
        <w:t xml:space="preserve"> </w:t>
      </w:r>
    </w:p>
    <w:p w14:paraId="394545BF" w14:textId="77777777" w:rsidR="009A5EE7" w:rsidRDefault="009A5EE7" w:rsidP="009A5EE7">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319193F8" w14:textId="77777777" w:rsidR="009A5EE7" w:rsidRPr="002E231D" w:rsidRDefault="009A5EE7" w:rsidP="009A5EE7">
      <w:pPr>
        <w:rPr>
          <w:sz w:val="16"/>
        </w:rPr>
      </w:pPr>
      <w:r w:rsidRPr="002E231D">
        <w:rPr>
          <w:sz w:val="16"/>
        </w:rPr>
        <w:t xml:space="preserve">Let me be clear: </w:t>
      </w:r>
      <w:r w:rsidRPr="009F31B3">
        <w:rPr>
          <w:rStyle w:val="StyleUnderline"/>
          <w:highlight w:val="cyan"/>
        </w:rPr>
        <w:t>Debate</w:t>
      </w:r>
      <w:r w:rsidRPr="002E231D">
        <w:rPr>
          <w:rStyle w:val="StyleUnderline"/>
        </w:rPr>
        <w:t xml:space="preserve"> can be an </w:t>
      </w:r>
      <w:r w:rsidRPr="009F31B3">
        <w:rPr>
          <w:rStyle w:val="Emphasis"/>
          <w:highlight w:val="cyan"/>
        </w:rPr>
        <w:t>immensely rewarding</w:t>
      </w:r>
      <w:r w:rsidRPr="009F31B3">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9F31B3">
        <w:rPr>
          <w:rStyle w:val="StyleUnderline"/>
          <w:highlight w:val="cyan"/>
        </w:rPr>
        <w:t>Few activities provide</w:t>
      </w:r>
      <w:r w:rsidRPr="002E231D">
        <w:rPr>
          <w:rStyle w:val="StyleUnderline"/>
        </w:rPr>
        <w:t xml:space="preserve"> young people with an </w:t>
      </w:r>
      <w:r w:rsidRPr="009F31B3">
        <w:rPr>
          <w:rStyle w:val="StyleUnderline"/>
          <w:highlight w:val="cyan"/>
        </w:rPr>
        <w:t xml:space="preserve">opportunity to </w:t>
      </w:r>
      <w:r w:rsidRPr="009F31B3">
        <w:rPr>
          <w:rStyle w:val="Emphasis"/>
          <w:highlight w:val="cyan"/>
        </w:rPr>
        <w:t>research</w:t>
      </w:r>
      <w:r w:rsidRPr="009F31B3">
        <w:rPr>
          <w:rStyle w:val="StyleUnderline"/>
          <w:highlight w:val="cyan"/>
        </w:rPr>
        <w:t xml:space="preserve"> as </w:t>
      </w:r>
      <w:r w:rsidRPr="009F31B3">
        <w:rPr>
          <w:rStyle w:val="Emphasis"/>
          <w:highlight w:val="cyan"/>
        </w:rPr>
        <w:t xml:space="preserve">widely </w:t>
      </w:r>
      <w:r w:rsidRPr="009F31B3">
        <w:rPr>
          <w:rStyle w:val="StyleUnderline"/>
          <w:highlight w:val="cyan"/>
        </w:rPr>
        <w:t xml:space="preserve">and as </w:t>
      </w:r>
      <w:r w:rsidRPr="009F31B3">
        <w:rPr>
          <w:rStyle w:val="Emphasis"/>
          <w:highlight w:val="cyan"/>
        </w:rPr>
        <w:t xml:space="preserve">deeply </w:t>
      </w:r>
      <w:r w:rsidRPr="009F31B3">
        <w:rPr>
          <w:rStyle w:val="StyleUnderline"/>
          <w:highlight w:val="cyan"/>
        </w:rPr>
        <w:t>as</w:t>
      </w:r>
      <w:r w:rsidRPr="002E231D">
        <w:rPr>
          <w:rStyle w:val="StyleUnderline"/>
        </w:rPr>
        <w:t xml:space="preserve"> </w:t>
      </w:r>
      <w:r w:rsidRPr="009F31B3">
        <w:rPr>
          <w:rStyle w:val="Emphasis"/>
          <w:highlight w:val="cyan"/>
        </w:rPr>
        <w:t>competitive debate</w:t>
      </w:r>
      <w:r w:rsidRPr="009F31B3">
        <w:rPr>
          <w:rStyle w:val="StyleUnderline"/>
          <w:highlight w:val="cyan"/>
        </w:rPr>
        <w:t>.</w:t>
      </w:r>
      <w:r w:rsidRPr="009F31B3">
        <w:rPr>
          <w:sz w:val="16"/>
          <w:highlight w:val="cyan"/>
        </w:rPr>
        <w:t xml:space="preserve"> </w:t>
      </w:r>
      <w:r w:rsidRPr="009F31B3">
        <w:rPr>
          <w:rStyle w:val="StyleUnderline"/>
          <w:highlight w:val="cyan"/>
        </w:rPr>
        <w:t>Given</w:t>
      </w:r>
      <w:r w:rsidRPr="002E231D">
        <w:rPr>
          <w:rStyle w:val="StyleUnderline"/>
        </w:rPr>
        <w:t xml:space="preserve"> our </w:t>
      </w:r>
      <w:r w:rsidRPr="009F31B3">
        <w:rPr>
          <w:rStyle w:val="StyleUnderline"/>
          <w:highlight w:val="cyan"/>
        </w:rPr>
        <w:t>educational system’s focus on</w:t>
      </w:r>
      <w:r w:rsidRPr="002E231D">
        <w:rPr>
          <w:rStyle w:val="StyleUnderline"/>
        </w:rPr>
        <w:t xml:space="preserve"> rote compliance and </w:t>
      </w:r>
      <w:r w:rsidRPr="009F31B3">
        <w:rPr>
          <w:rStyle w:val="StyleUnderline"/>
          <w:highlight w:val="cyan"/>
        </w:rPr>
        <w:t>test-taking</w:t>
      </w:r>
      <w:r w:rsidRPr="009F31B3">
        <w:rPr>
          <w:sz w:val="16"/>
          <w:highlight w:val="cyan"/>
        </w:rPr>
        <w:t xml:space="preserve">, </w:t>
      </w:r>
      <w:r w:rsidRPr="009F31B3">
        <w:rPr>
          <w:rStyle w:val="StyleUnderline"/>
          <w:highlight w:val="cyan"/>
        </w:rPr>
        <w:t>students rarely</w:t>
      </w:r>
      <w:r w:rsidRPr="002E231D">
        <w:rPr>
          <w:rStyle w:val="StyleUnderline"/>
        </w:rPr>
        <w:t xml:space="preserve"> have an opportunity to </w:t>
      </w:r>
      <w:r w:rsidRPr="009F31B3">
        <w:rPr>
          <w:rStyle w:val="Emphasis"/>
          <w:highlight w:val="cyan"/>
        </w:rPr>
        <w:t>develop</w:t>
      </w:r>
      <w:r w:rsidRPr="009F31B3">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9F31B3">
        <w:rPr>
          <w:rStyle w:val="Emphasis"/>
          <w:highlight w:val="cyan"/>
        </w:rPr>
        <w:t>defending them</w:t>
      </w:r>
      <w:r w:rsidRPr="002E231D">
        <w:rPr>
          <w:sz w:val="16"/>
        </w:rPr>
        <w:t>.</w:t>
      </w:r>
    </w:p>
    <w:p w14:paraId="38E653EE" w14:textId="77777777" w:rsidR="009A5EE7" w:rsidRPr="002E231D" w:rsidRDefault="009A5EE7" w:rsidP="009A5EE7">
      <w:pPr>
        <w:rPr>
          <w:sz w:val="16"/>
        </w:rPr>
      </w:pPr>
      <w:r w:rsidRPr="002E231D">
        <w:rPr>
          <w:sz w:val="16"/>
        </w:rPr>
        <w:t xml:space="preserve">But </w:t>
      </w:r>
      <w:r w:rsidRPr="009F31B3">
        <w:rPr>
          <w:rStyle w:val="Emphasis"/>
          <w:highlight w:val="cyan"/>
        </w:rPr>
        <w:t>debate is a deeply unreliable activity for getting closer to the truth</w:t>
      </w:r>
      <w:r w:rsidRPr="002E231D">
        <w:rPr>
          <w:sz w:val="16"/>
        </w:rPr>
        <w:t xml:space="preserve">. At bottom, debate is </w:t>
      </w:r>
      <w:r w:rsidRPr="009F31B3">
        <w:rPr>
          <w:rStyle w:val="StyleUnderline"/>
          <w:highlight w:val="cyan"/>
        </w:rPr>
        <w:t>gamified conversation</w:t>
      </w:r>
      <w:r w:rsidRPr="002E231D">
        <w:rPr>
          <w:sz w:val="16"/>
        </w:rPr>
        <w:t xml:space="preserve">: We </w:t>
      </w:r>
      <w:r w:rsidRPr="009F31B3">
        <w:rPr>
          <w:rStyle w:val="StyleUnderline"/>
          <w:highlight w:val="cyan"/>
        </w:rPr>
        <w:t>append special rules to</w:t>
      </w:r>
      <w:r w:rsidRPr="002E231D">
        <w:rPr>
          <w:rStyle w:val="StyleUnderline"/>
        </w:rPr>
        <w:t xml:space="preserve"> the otherwise </w:t>
      </w:r>
      <w:r w:rsidRPr="009F31B3">
        <w:rPr>
          <w:rStyle w:val="StyleUnderline"/>
          <w:highlight w:val="cyan"/>
        </w:rPr>
        <w:t>ordinary</w:t>
      </w:r>
      <w:r w:rsidRPr="002E231D">
        <w:rPr>
          <w:rStyle w:val="StyleUnderline"/>
        </w:rPr>
        <w:t xml:space="preserve"> phenomenon of </w:t>
      </w:r>
      <w:r w:rsidRPr="009F31B3">
        <w:rPr>
          <w:rStyle w:val="StyleUnderline"/>
          <w:highlight w:val="cyan"/>
        </w:rPr>
        <w:t>exchanging ideas</w:t>
      </w:r>
      <w:r w:rsidRPr="002E231D">
        <w:rPr>
          <w:sz w:val="16"/>
        </w:rPr>
        <w:t xml:space="preserve"> and use </w:t>
      </w:r>
      <w:r w:rsidRPr="009F31B3">
        <w:rPr>
          <w:rStyle w:val="StyleUnderline"/>
          <w:highlight w:val="cyan"/>
        </w:rPr>
        <w:t>that conversation</w:t>
      </w:r>
      <w:r w:rsidRPr="002E231D">
        <w:rPr>
          <w:sz w:val="16"/>
        </w:rPr>
        <w:t xml:space="preserve"> as a </w:t>
      </w:r>
      <w:r w:rsidRPr="009F31B3">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9F31B3">
        <w:rPr>
          <w:rStyle w:val="StyleUnderline"/>
          <w:highlight w:val="cyan"/>
        </w:rPr>
        <w:t>engaging in debate doesn’t</w:t>
      </w:r>
      <w:r w:rsidRPr="002E231D">
        <w:rPr>
          <w:rStyle w:val="StyleUnderline"/>
        </w:rPr>
        <w:t xml:space="preserve"> only </w:t>
      </w:r>
      <w:r w:rsidRPr="009F31B3">
        <w:rPr>
          <w:rStyle w:val="StyleUnderline"/>
          <w:highlight w:val="cyan"/>
        </w:rPr>
        <w:t xml:space="preserve">change how </w:t>
      </w:r>
      <w:r w:rsidRPr="009F31B3">
        <w:rPr>
          <w:rStyle w:val="Emphasis"/>
          <w:highlight w:val="cyan"/>
        </w:rPr>
        <w:t>motivated</w:t>
      </w:r>
      <w:r w:rsidRPr="009F31B3">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9F31B3">
        <w:rPr>
          <w:rStyle w:val="Emphasis"/>
          <w:highlight w:val="cyan"/>
        </w:rPr>
        <w:t>the point of a game is not to educate, inform or empower; the point of a game is to win</w:t>
      </w:r>
      <w:r w:rsidRPr="002E231D">
        <w:rPr>
          <w:sz w:val="16"/>
        </w:rPr>
        <w:t>.</w:t>
      </w:r>
    </w:p>
    <w:p w14:paraId="772EAC32" w14:textId="77777777" w:rsidR="009A5EE7" w:rsidRPr="002E231D" w:rsidRDefault="009A5EE7" w:rsidP="009A5EE7">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9F31B3">
        <w:rPr>
          <w:rStyle w:val="StyleUnderline"/>
          <w:highlight w:val="cyan"/>
        </w:rPr>
        <w:t>the truth</w:t>
      </w:r>
      <w:r w:rsidRPr="002E231D">
        <w:rPr>
          <w:rStyle w:val="StyleUnderline"/>
        </w:rPr>
        <w:t xml:space="preserve"> is at best </w:t>
      </w:r>
      <w:r w:rsidRPr="009F31B3">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5490F917" w14:textId="77777777" w:rsidR="009A5EE7" w:rsidRDefault="009A5EE7" w:rsidP="009A5EE7">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9F31B3">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9F31B3">
        <w:rPr>
          <w:rStyle w:val="StyleUnderline"/>
          <w:highlight w:val="cyan"/>
        </w:rPr>
        <w:t>defined winners and losers</w:t>
      </w:r>
      <w:r w:rsidRPr="002E231D">
        <w:rPr>
          <w:rStyle w:val="StyleUnderline"/>
        </w:rPr>
        <w:t xml:space="preserve"> is </w:t>
      </w:r>
      <w:r w:rsidRPr="009F31B3">
        <w:rPr>
          <w:rStyle w:val="StyleUnderline"/>
          <w:highlight w:val="cyan"/>
        </w:rPr>
        <w:t>part of their appeal</w:t>
      </w:r>
      <w:r w:rsidRPr="002E231D">
        <w:rPr>
          <w:sz w:val="16"/>
        </w:rPr>
        <w:t xml:space="preserve">. </w:t>
      </w:r>
      <w:r w:rsidRPr="002E231D">
        <w:rPr>
          <w:rStyle w:val="StyleUnderline"/>
        </w:rPr>
        <w:t xml:space="preserve">Combined with the </w:t>
      </w:r>
      <w:r w:rsidRPr="009F31B3">
        <w:rPr>
          <w:rStyle w:val="Emphasis"/>
          <w:highlight w:val="cyan"/>
        </w:rPr>
        <w:t>time pressures</w:t>
      </w:r>
      <w:r w:rsidRPr="002E231D">
        <w:rPr>
          <w:sz w:val="16"/>
        </w:rPr>
        <w:t xml:space="preserve"> of televised debates and the fact that the voting public cannot have deep expertise on every issue, the setup is a </w:t>
      </w:r>
      <w:r w:rsidRPr="009F31B3">
        <w:rPr>
          <w:rStyle w:val="StyleUnderline"/>
          <w:highlight w:val="cyan"/>
        </w:rPr>
        <w:t>recipe for disaster</w:t>
      </w:r>
      <w:r w:rsidRPr="002E231D">
        <w:rPr>
          <w:sz w:val="16"/>
        </w:rPr>
        <w:t xml:space="preserve">. </w:t>
      </w:r>
      <w:r w:rsidRPr="002E231D">
        <w:rPr>
          <w:rStyle w:val="StyleUnderline"/>
        </w:rPr>
        <w:t xml:space="preserve">Any </w:t>
      </w:r>
      <w:r w:rsidRPr="009F31B3">
        <w:rPr>
          <w:rStyle w:val="StyleUnderline"/>
          <w:highlight w:val="cyan"/>
        </w:rPr>
        <w:t xml:space="preserve">complex </w:t>
      </w:r>
      <w:r w:rsidRPr="009F31B3">
        <w:rPr>
          <w:rStyle w:val="Emphasis"/>
          <w:highlight w:val="cyan"/>
        </w:rPr>
        <w:t>political truth</w:t>
      </w:r>
      <w:r w:rsidRPr="002E231D">
        <w:rPr>
          <w:sz w:val="16"/>
        </w:rPr>
        <w:t xml:space="preserve"> that cannot be reduced to a 30-second sound bite can be </w:t>
      </w:r>
      <w:r w:rsidRPr="009F31B3">
        <w:rPr>
          <w:rStyle w:val="Emphasis"/>
          <w:highlight w:val="cyan"/>
        </w:rPr>
        <w:t>twisted</w:t>
      </w:r>
      <w:r w:rsidRPr="009F31B3">
        <w:rPr>
          <w:rStyle w:val="StyleUnderline"/>
          <w:highlight w:val="cyan"/>
        </w:rPr>
        <w:t xml:space="preserve"> to the opposing</w:t>
      </w:r>
      <w:r w:rsidRPr="002E231D">
        <w:rPr>
          <w:rStyle w:val="StyleUnderline"/>
        </w:rPr>
        <w:t xml:space="preserve"> candidate’s </w:t>
      </w:r>
      <w:r w:rsidRPr="009F31B3">
        <w:rPr>
          <w:rStyle w:val="StyleUnderline"/>
          <w:highlight w:val="cyan"/>
        </w:rPr>
        <w:t>disadvantage</w:t>
      </w:r>
      <w:r w:rsidRPr="009F31B3">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7E0313E6" w14:textId="0F5924A3" w:rsidR="009A5EE7" w:rsidRDefault="00EF58C4" w:rsidP="00D820A9">
      <w:pPr>
        <w:pStyle w:val="Heading1"/>
      </w:pPr>
      <w:r>
        <w:t>2NC</w:t>
      </w:r>
    </w:p>
    <w:p w14:paraId="72F47D51" w14:textId="240B13EA" w:rsidR="00EF58C4" w:rsidRDefault="007E4585" w:rsidP="007E4585">
      <w:pPr>
        <w:pStyle w:val="Heading1"/>
      </w:pPr>
      <w:r>
        <w:t>1NR</w:t>
      </w:r>
    </w:p>
    <w:p w14:paraId="146274A1" w14:textId="00D45050" w:rsidR="007B408B" w:rsidRDefault="007B408B" w:rsidP="007B408B">
      <w:pPr>
        <w:pStyle w:val="Heading2"/>
      </w:pPr>
      <w:r>
        <w:t>Case</w:t>
      </w:r>
    </w:p>
    <w:p w14:paraId="3401D40A" w14:textId="7DF2E4AD" w:rsidR="007B408B" w:rsidRPr="007B408B" w:rsidRDefault="007B408B" w:rsidP="007B408B">
      <w:pPr>
        <w:pStyle w:val="Heading3"/>
      </w:pPr>
      <w:r>
        <w:t>1NC2</w:t>
      </w:r>
    </w:p>
    <w:p w14:paraId="3E55B657" w14:textId="77777777" w:rsidR="00A753EF" w:rsidRDefault="00A753EF" w:rsidP="00A753EF">
      <w:pPr>
        <w:pStyle w:val="Heading4"/>
      </w:pPr>
      <w:r>
        <w:t>That functionally turns the 1ACs performance---even if they don’t claim out of round solvency, their performance saps the radical energy out of their authorship.</w:t>
      </w:r>
    </w:p>
    <w:p w14:paraId="7940FE25" w14:textId="77777777" w:rsidR="00A753EF" w:rsidRPr="00022061" w:rsidRDefault="00A753EF" w:rsidP="00A753EF">
      <w:pPr>
        <w:rPr>
          <w:rFonts w:asciiTheme="minorHAnsi" w:hAnsiTheme="minorHAnsi" w:cstheme="minorHAnsi"/>
        </w:rPr>
      </w:pPr>
      <w:r w:rsidRPr="00022061">
        <w:rPr>
          <w:rStyle w:val="Style13ptBold"/>
          <w:rFonts w:asciiTheme="minorHAnsi" w:hAnsiTheme="minorHAnsi" w:cstheme="minorHAnsi"/>
        </w:rPr>
        <w:t xml:space="preserve">Phillips 99 </w:t>
      </w:r>
      <w:r w:rsidRPr="00022061">
        <w:rPr>
          <w:rFonts w:asciiTheme="minorHAnsi" w:hAnsiTheme="minorHAnsi" w:cstheme="minorHAnsi"/>
        </w:rPr>
        <w:t xml:space="preserve">– Dr. Kendall R. Phillips, Professor of Communication at Central Missouri State University, PhD in Speech Communication from Pennsylvania State University, MA in Speech Communication from Central Missouri State University, BS in Psychology and Sociology from Southwest Baptist </w:t>
      </w:r>
      <w:r w:rsidRPr="00856794">
        <w:rPr>
          <w:rStyle w:val="StyleUnderline"/>
        </w:rPr>
        <w:t>University</w:t>
      </w:r>
      <w:r w:rsidRPr="00022061">
        <w:rPr>
          <w:rFonts w:asciiTheme="minorHAnsi" w:hAnsiTheme="minorHAnsi" w:cstheme="minorHAnsi"/>
        </w:rPr>
        <w:t>, “Rhetoric, Resistance, and Criticism: A Response to Sloop and Ono”, Philosophy &amp; Rhetoric, Volume 32, Number 1, p. 96-101</w:t>
      </w:r>
    </w:p>
    <w:p w14:paraId="4D62C9C7" w14:textId="77777777" w:rsidR="00A753EF" w:rsidRDefault="00A753EF" w:rsidP="00A753EF">
      <w:pPr>
        <w:rPr>
          <w:rFonts w:asciiTheme="minorHAnsi" w:hAnsiTheme="minorHAnsi" w:cstheme="minorHAnsi"/>
          <w:sz w:val="14"/>
        </w:rPr>
      </w:pPr>
      <w:r w:rsidRPr="00022061">
        <w:rPr>
          <w:rStyle w:val="StyleUnderline"/>
          <w:rFonts w:asciiTheme="minorHAnsi" w:hAnsiTheme="minorHAnsi" w:cstheme="minorHAnsi"/>
        </w:rPr>
        <w:t xml:space="preserve">My </w:t>
      </w:r>
      <w:r w:rsidRPr="00856794">
        <w:rPr>
          <w:rStyle w:val="StyleUnderline"/>
          <w:rFonts w:asciiTheme="minorHAnsi" w:hAnsiTheme="minorHAnsi" w:cstheme="minorHAnsi"/>
          <w:highlight w:val="cyan"/>
        </w:rPr>
        <w:t>concern</w:t>
      </w:r>
      <w:r w:rsidRPr="00022061">
        <w:rPr>
          <w:rFonts w:asciiTheme="minorHAnsi" w:hAnsiTheme="minorHAnsi" w:cstheme="minorHAnsi"/>
          <w:sz w:val="14"/>
        </w:rPr>
        <w:t xml:space="preserve"> with this movement </w:t>
      </w:r>
      <w:r w:rsidRPr="00856794">
        <w:rPr>
          <w:rStyle w:val="StyleUnderline"/>
          <w:rFonts w:asciiTheme="minorHAnsi" w:hAnsiTheme="minorHAnsi" w:cstheme="minorHAnsi"/>
          <w:highlight w:val="cyan"/>
        </w:rPr>
        <w:t>centers around</w:t>
      </w:r>
      <w:r w:rsidRPr="00022061">
        <w:rPr>
          <w:rStyle w:val="StyleUnderline"/>
          <w:rFonts w:asciiTheme="minorHAnsi" w:hAnsiTheme="minorHAnsi" w:cstheme="minorHAnsi"/>
        </w:rPr>
        <w:t xml:space="preserve"> an issue that</w:t>
      </w:r>
      <w:r w:rsidRPr="00022061">
        <w:rPr>
          <w:rFonts w:asciiTheme="minorHAnsi" w:hAnsiTheme="minorHAnsi" w:cstheme="minorHAnsi"/>
          <w:sz w:val="14"/>
        </w:rPr>
        <w:t xml:space="preserve"> Sloop and Ono </w:t>
      </w:r>
      <w:r w:rsidRPr="00022061">
        <w:rPr>
          <w:rStyle w:val="StyleUnderline"/>
          <w:rFonts w:asciiTheme="minorHAnsi" w:hAnsiTheme="minorHAnsi" w:cstheme="minorHAnsi"/>
        </w:rPr>
        <w:t xml:space="preserve">seem to take as a given, namely, </w:t>
      </w:r>
      <w:r w:rsidRPr="00856794">
        <w:rPr>
          <w:rStyle w:val="StyleUnderline"/>
          <w:rFonts w:asciiTheme="minorHAnsi" w:hAnsiTheme="minorHAnsi" w:cstheme="minorHAnsi"/>
          <w:highlight w:val="cyan"/>
        </w:rPr>
        <w:t xml:space="preserve">the </w:t>
      </w:r>
      <w:r w:rsidRPr="00856794">
        <w:rPr>
          <w:rStyle w:val="Emphasis"/>
          <w:rFonts w:asciiTheme="minorHAnsi" w:hAnsiTheme="minorHAnsi" w:cstheme="minorHAnsi"/>
          <w:highlight w:val="cyan"/>
        </w:rPr>
        <w:t>role of the critic</w:t>
      </w:r>
      <w:r w:rsidRPr="00022061">
        <w:rPr>
          <w:rFonts w:asciiTheme="minorHAnsi" w:hAnsiTheme="minorHAnsi" w:cstheme="minorHAnsi"/>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022061">
        <w:rPr>
          <w:rStyle w:val="StyleUnderline"/>
          <w:rFonts w:asciiTheme="minorHAnsi" w:hAnsiTheme="minorHAnsi" w:cstheme="minorHAnsi"/>
        </w:rPr>
        <w:t>the ease of transition from criticism in the service of resistance to criticism of resistance may obscure the need to address some fundamental issues regarding the general function of rhetorical criticism in an uncertain and contentious world</w:t>
      </w:r>
      <w:r w:rsidRPr="00022061">
        <w:rPr>
          <w:rFonts w:asciiTheme="minorHAnsi" w:hAnsiTheme="minorHAnsi" w:cstheme="minorHAnsi"/>
          <w:sz w:val="14"/>
        </w:rPr>
        <w:t xml:space="preserve">. Beyond </w:t>
      </w:r>
      <w:r w:rsidRPr="00022061">
        <w:rPr>
          <w:rStyle w:val="StyleUnderline"/>
          <w:rFonts w:asciiTheme="minorHAnsi" w:hAnsiTheme="minorHAnsi" w:cstheme="minorHAnsi"/>
        </w:rPr>
        <w:t>licensing the critic to engage in political struggle</w:t>
      </w:r>
      <w:r w:rsidRPr="00022061">
        <w:rPr>
          <w:rFonts w:asciiTheme="minorHAnsi" w:hAnsiTheme="minorHAnsi" w:cstheme="minorHAnsi"/>
          <w:sz w:val="14"/>
        </w:rPr>
        <w:t xml:space="preserve">, Sloop and Ono advocate the pursuit of covert resistant discourses. Such a move not </w:t>
      </w:r>
      <w:r w:rsidRPr="00022061">
        <w:rPr>
          <w:rStyle w:val="StyleUnderline"/>
          <w:rFonts w:asciiTheme="minorHAnsi" w:hAnsiTheme="minorHAnsi" w:cstheme="minorHAnsi"/>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856794">
        <w:rPr>
          <w:rStyle w:val="StyleUnderline"/>
          <w:rFonts w:asciiTheme="minorHAnsi" w:hAnsiTheme="minorHAnsi" w:cstheme="minorHAnsi"/>
          <w:highlight w:val="cyan"/>
        </w:rPr>
        <w:t>positioning</w:t>
      </w:r>
      <w:r w:rsidRPr="00022061">
        <w:rPr>
          <w:rStyle w:val="StyleUnderline"/>
          <w:rFonts w:asciiTheme="minorHAnsi" w:hAnsiTheme="minorHAnsi" w:cstheme="minorHAnsi"/>
        </w:rPr>
        <w:t xml:space="preserve"> covert out- law </w:t>
      </w:r>
      <w:r w:rsidRPr="00856794">
        <w:rPr>
          <w:rStyle w:val="StyleUnderline"/>
          <w:rFonts w:asciiTheme="minorHAnsi" w:hAnsiTheme="minorHAnsi" w:cstheme="minorHAnsi"/>
          <w:highlight w:val="cyan"/>
        </w:rPr>
        <w:t xml:space="preserve">communities as </w:t>
      </w:r>
      <w:r w:rsidRPr="00856794">
        <w:rPr>
          <w:rStyle w:val="Emphasis"/>
          <w:rFonts w:asciiTheme="minorHAnsi" w:hAnsiTheme="minorHAnsi" w:cstheme="minorHAnsi"/>
          <w:highlight w:val="cyan"/>
        </w:rPr>
        <w:t>objects of investigation</w:t>
      </w:r>
      <w:r w:rsidRPr="00022061">
        <w:rPr>
          <w:rStyle w:val="StyleUnderline"/>
          <w:rFonts w:asciiTheme="minorHAnsi" w:hAnsiTheme="minorHAnsi" w:cstheme="minorHAnsi"/>
        </w:rPr>
        <w:t xml:space="preserve">. Invited to seek out subversive discourses, </w:t>
      </w:r>
      <w:r w:rsidRPr="00856794">
        <w:rPr>
          <w:rStyle w:val="Emphasis"/>
          <w:rFonts w:asciiTheme="minorHAnsi" w:hAnsiTheme="minorHAnsi" w:cstheme="minorHAnsi"/>
          <w:highlight w:val="cyan"/>
        </w:rPr>
        <w:t>the critic</w:t>
      </w:r>
      <w:r w:rsidRPr="00856794">
        <w:rPr>
          <w:rStyle w:val="StyleUnderline"/>
          <w:rFonts w:asciiTheme="minorHAnsi" w:hAnsiTheme="minorHAnsi" w:cstheme="minorHAnsi"/>
          <w:highlight w:val="cyan"/>
        </w:rPr>
        <w:t xml:space="preserve"> is</w:t>
      </w:r>
      <w:r w:rsidRPr="00022061">
        <w:rPr>
          <w:rStyle w:val="StyleUnderline"/>
          <w:rFonts w:asciiTheme="minorHAnsi" w:hAnsiTheme="minorHAnsi" w:cstheme="minorHAnsi"/>
        </w:rPr>
        <w:t xml:space="preserve"> positioned as </w:t>
      </w:r>
      <w:r w:rsidRPr="00856794">
        <w:rPr>
          <w:rStyle w:val="StyleUnderline"/>
          <w:rFonts w:asciiTheme="minorHAnsi" w:hAnsiTheme="minorHAnsi" w:cstheme="minorHAnsi"/>
          <w:highlight w:val="cyan"/>
        </w:rPr>
        <w:t xml:space="preserve">the </w:t>
      </w:r>
      <w:r w:rsidRPr="00856794">
        <w:rPr>
          <w:rStyle w:val="Emphasis"/>
          <w:rFonts w:asciiTheme="minorHAnsi" w:hAnsiTheme="minorHAnsi" w:cstheme="minorHAnsi"/>
          <w:highlight w:val="cyan"/>
        </w:rPr>
        <w:t>active agent of change</w:t>
      </w:r>
      <w:r w:rsidRPr="00856794">
        <w:rPr>
          <w:rStyle w:val="StyleUnderline"/>
          <w:rFonts w:asciiTheme="minorHAnsi" w:hAnsiTheme="minorHAnsi" w:cstheme="minorHAnsi"/>
          <w:highlight w:val="cyan"/>
        </w:rPr>
        <w:t xml:space="preserve"> and</w:t>
      </w:r>
      <w:r w:rsidRPr="00022061">
        <w:rPr>
          <w:rStyle w:val="StyleUnderline"/>
          <w:rFonts w:asciiTheme="minorHAnsi" w:hAnsiTheme="minorHAnsi" w:cstheme="minorHAnsi"/>
        </w:rPr>
        <w:t xml:space="preserve"> the out-law </w:t>
      </w:r>
      <w:r w:rsidRPr="00856794">
        <w:rPr>
          <w:rStyle w:val="StyleUnderline"/>
          <w:rFonts w:asciiTheme="minorHAnsi" w:hAnsiTheme="minorHAnsi" w:cstheme="minorHAnsi"/>
          <w:highlight w:val="cyan"/>
        </w:rPr>
        <w:t>discourse becomes</w:t>
      </w:r>
      <w:r w:rsidRPr="00022061">
        <w:rPr>
          <w:rStyle w:val="StyleUnderline"/>
          <w:rFonts w:asciiTheme="minorHAnsi" w:hAnsiTheme="minorHAnsi" w:cstheme="minorHAnsi"/>
        </w:rPr>
        <w:t xml:space="preserve"> </w:t>
      </w:r>
      <w:r w:rsidRPr="00022061">
        <w:rPr>
          <w:rStyle w:val="Emphasis"/>
          <w:rFonts w:asciiTheme="minorHAnsi" w:hAnsiTheme="minorHAnsi" w:cstheme="minorHAnsi"/>
        </w:rPr>
        <w:t xml:space="preserve">merely </w:t>
      </w:r>
      <w:r w:rsidRPr="00856794">
        <w:rPr>
          <w:rStyle w:val="Emphasis"/>
          <w:rFonts w:asciiTheme="minorHAnsi" w:hAnsiTheme="minorHAnsi" w:cstheme="minorHAnsi"/>
          <w:highlight w:val="cyan"/>
        </w:rPr>
        <w:t>instrumental</w:t>
      </w:r>
      <w:r w:rsidRPr="00022061">
        <w:rPr>
          <w:rStyle w:val="StyleUnderline"/>
          <w:rFonts w:asciiTheme="minorHAnsi" w:hAnsiTheme="minorHAnsi" w:cstheme="minorHAnsi"/>
        </w:rPr>
        <w:t xml:space="preserve">. Rather than academic criticism acting in service of everyday acts of resistance, everyday acts of resistance are put into the service of academic criticism. </w:t>
      </w:r>
      <w:r w:rsidRPr="00022061">
        <w:rPr>
          <w:rFonts w:asciiTheme="minorHAnsi" w:hAnsiTheme="minorHAnsi" w:cstheme="minorHAnsi"/>
          <w:sz w:val="14"/>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856794">
        <w:rPr>
          <w:rStyle w:val="StyleUnderline"/>
          <w:rFonts w:asciiTheme="minorHAnsi" w:hAnsiTheme="minorHAnsi" w:cstheme="minorHAnsi"/>
          <w:highlight w:val="cyan"/>
        </w:rPr>
        <w:t>Their suggestion that out-law communities</w:t>
      </w:r>
      <w:r w:rsidRPr="00022061">
        <w:rPr>
          <w:rStyle w:val="StyleUnderline"/>
          <w:rFonts w:asciiTheme="minorHAnsi" w:hAnsiTheme="minorHAnsi" w:cstheme="minorHAnsi"/>
        </w:rPr>
        <w:t xml:space="preserve"> are in </w:t>
      </w:r>
      <w:r w:rsidRPr="00856794">
        <w:rPr>
          <w:rStyle w:val="StyleUnderline"/>
          <w:rFonts w:asciiTheme="minorHAnsi" w:hAnsiTheme="minorHAnsi" w:cstheme="minorHAnsi"/>
          <w:highlight w:val="cyan"/>
        </w:rPr>
        <w:t>need</w:t>
      </w:r>
      <w:r w:rsidRPr="00022061">
        <w:rPr>
          <w:rStyle w:val="StyleUnderline"/>
          <w:rFonts w:asciiTheme="minorHAnsi" w:hAnsiTheme="minorHAnsi" w:cstheme="minorHAnsi"/>
        </w:rPr>
        <w:t xml:space="preserve"> of </w:t>
      </w:r>
      <w:r w:rsidRPr="00856794">
        <w:rPr>
          <w:rStyle w:val="StyleUnderline"/>
          <w:rFonts w:asciiTheme="minorHAnsi" w:hAnsiTheme="minorHAnsi" w:cstheme="minorHAnsi"/>
          <w:highlight w:val="cyan"/>
        </w:rPr>
        <w:t xml:space="preserve">the academic critic </w:t>
      </w:r>
      <w:r w:rsidRPr="00856794">
        <w:rPr>
          <w:rStyle w:val="Emphasis"/>
          <w:rFonts w:asciiTheme="minorHAnsi" w:hAnsiTheme="minorHAnsi" w:cstheme="minorHAnsi"/>
          <w:highlight w:val="cyan"/>
        </w:rPr>
        <w:t>contradicts</w:t>
      </w:r>
      <w:r w:rsidRPr="00022061">
        <w:rPr>
          <w:rFonts w:asciiTheme="minorHAnsi" w:hAnsiTheme="minorHAnsi" w:cstheme="minorHAnsi"/>
          <w:sz w:val="14"/>
        </w:rPr>
        <w:t xml:space="preserve"> not only </w:t>
      </w:r>
      <w:r w:rsidRPr="00856794">
        <w:rPr>
          <w:rStyle w:val="StyleUnderline"/>
          <w:rFonts w:asciiTheme="minorHAnsi" w:hAnsiTheme="minorHAnsi" w:cstheme="minorHAnsi"/>
          <w:highlight w:val="cyan"/>
        </w:rPr>
        <w:t>the</w:t>
      </w:r>
      <w:r w:rsidRPr="00022061">
        <w:rPr>
          <w:rStyle w:val="StyleUnderline"/>
          <w:rFonts w:asciiTheme="minorHAnsi" w:hAnsiTheme="minorHAnsi" w:cstheme="minorHAnsi"/>
        </w:rPr>
        <w:t xml:space="preserve"> already </w:t>
      </w:r>
      <w:r w:rsidRPr="00856794">
        <w:rPr>
          <w:rStyle w:val="StyleUnderline"/>
          <w:rFonts w:asciiTheme="minorHAnsi" w:hAnsiTheme="minorHAnsi" w:cstheme="minorHAnsi"/>
          <w:highlight w:val="cyan"/>
        </w:rPr>
        <w:t>disruptive nature</w:t>
      </w:r>
      <w:r w:rsidRPr="00022061">
        <w:rPr>
          <w:rStyle w:val="StyleUnderline"/>
          <w:rFonts w:asciiTheme="minorHAnsi" w:hAnsiTheme="minorHAnsi" w:cstheme="minorHAnsi"/>
        </w:rPr>
        <w:t xml:space="preserve"> of existing out-law discourses</w:t>
      </w:r>
      <w:r w:rsidRPr="00022061">
        <w:rPr>
          <w:rFonts w:asciiTheme="minorHAnsi" w:hAnsiTheme="minorHAnsi" w:cstheme="minorHAnsi"/>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022061">
        <w:rPr>
          <w:rStyle w:val="StyleUnderline"/>
          <w:rFonts w:asciiTheme="minorHAnsi" w:hAnsiTheme="minorHAnsi" w:cstheme="minorHAnsi"/>
        </w:rPr>
        <w:t>Sloop and Ono</w:t>
      </w:r>
      <w:r w:rsidRPr="00856794">
        <w:rPr>
          <w:rStyle w:val="StyleUnderline"/>
          <w:rFonts w:asciiTheme="minorHAnsi" w:hAnsiTheme="minorHAnsi" w:cstheme="minorHAnsi"/>
          <w:highlight w:val="cyan"/>
        </w:rPr>
        <w:t xml:space="preserve"> fail to offer</w:t>
      </w:r>
      <w:r w:rsidRPr="00022061">
        <w:rPr>
          <w:rFonts w:asciiTheme="minorHAnsi" w:hAnsiTheme="minorHAnsi" w:cstheme="minorHAnsi"/>
          <w:sz w:val="14"/>
        </w:rPr>
        <w:t xml:space="preserve"> is </w:t>
      </w:r>
      <w:r w:rsidRPr="00856794">
        <w:rPr>
          <w:rStyle w:val="StyleUnderline"/>
          <w:rFonts w:asciiTheme="minorHAnsi" w:hAnsiTheme="minorHAnsi" w:cstheme="minorHAnsi"/>
          <w:highlight w:val="cyan"/>
        </w:rPr>
        <w:t>an adequate argument for "</w:t>
      </w:r>
      <w:r w:rsidRPr="00856794">
        <w:rPr>
          <w:rStyle w:val="Emphasis"/>
          <w:rFonts w:asciiTheme="minorHAnsi" w:hAnsiTheme="minorHAnsi" w:cstheme="minorHAnsi"/>
          <w:highlight w:val="cyan"/>
        </w:rPr>
        <w:t>taking</w:t>
      </w:r>
      <w:r w:rsidRPr="00022061">
        <w:rPr>
          <w:rStyle w:val="Emphasis"/>
          <w:rFonts w:asciiTheme="minorHAnsi" w:hAnsiTheme="minorHAnsi" w:cstheme="minorHAnsi"/>
        </w:rPr>
        <w:t xml:space="preserve"> public </w:t>
      </w:r>
      <w:r w:rsidRPr="00856794">
        <w:rPr>
          <w:rStyle w:val="Emphasis"/>
          <w:rFonts w:asciiTheme="minorHAnsi" w:hAnsiTheme="minorHAnsi" w:cstheme="minorHAnsi"/>
          <w:highlight w:val="cyan"/>
        </w:rPr>
        <w:t>speaking out of the streets</w:t>
      </w:r>
      <w:r w:rsidRPr="00856794">
        <w:rPr>
          <w:rStyle w:val="StyleUnderline"/>
          <w:rFonts w:asciiTheme="minorHAnsi" w:hAnsiTheme="minorHAnsi" w:cstheme="minorHAnsi"/>
          <w:highlight w:val="cyan"/>
        </w:rPr>
        <w:t xml:space="preserve"> and </w:t>
      </w:r>
      <w:r w:rsidRPr="00856794">
        <w:rPr>
          <w:rStyle w:val="Emphasis"/>
          <w:rFonts w:asciiTheme="minorHAnsi" w:hAnsiTheme="minorHAnsi" w:cstheme="minorHAnsi"/>
          <w:highlight w:val="cyan"/>
        </w:rPr>
        <w:t>studying it in the classroom</w:t>
      </w:r>
      <w:r w:rsidRPr="00022061">
        <w:rPr>
          <w:rStyle w:val="StyleUnderline"/>
          <w:rFonts w:asciiTheme="minorHAnsi" w:hAnsiTheme="minorHAnsi" w:cstheme="minorHAnsi"/>
        </w:rPr>
        <w:t xml:space="preserve">, for </w:t>
      </w:r>
      <w:r w:rsidRPr="00856794">
        <w:rPr>
          <w:rStyle w:val="StyleUnderline"/>
          <w:rFonts w:asciiTheme="minorHAnsi" w:hAnsiTheme="minorHAnsi" w:cstheme="minorHAnsi"/>
          <w:highlight w:val="cyan"/>
        </w:rPr>
        <w:t>treating it less as</w:t>
      </w:r>
      <w:r w:rsidRPr="00022061">
        <w:rPr>
          <w:rStyle w:val="StyleUnderline"/>
          <w:rFonts w:asciiTheme="minorHAnsi" w:hAnsiTheme="minorHAnsi" w:cstheme="minorHAnsi"/>
        </w:rPr>
        <w:t xml:space="preserve"> an </w:t>
      </w:r>
      <w:r w:rsidRPr="00022061">
        <w:rPr>
          <w:rStyle w:val="Emphasis"/>
          <w:rFonts w:asciiTheme="minorHAnsi" w:hAnsiTheme="minorHAnsi" w:cstheme="minorHAnsi"/>
        </w:rPr>
        <w:t xml:space="preserve">expression of </w:t>
      </w:r>
      <w:r w:rsidRPr="00856794">
        <w:rPr>
          <w:rStyle w:val="Emphasis"/>
          <w:rFonts w:asciiTheme="minorHAnsi" w:hAnsiTheme="minorHAnsi" w:cstheme="minorHAnsi"/>
          <w:highlight w:val="cyan"/>
        </w:rPr>
        <w:t>protest</w:t>
      </w:r>
      <w:r w:rsidRPr="00856794">
        <w:rPr>
          <w:rStyle w:val="StyleUnderline"/>
          <w:rFonts w:asciiTheme="minorHAnsi" w:hAnsiTheme="minorHAnsi" w:cstheme="minorHAnsi"/>
          <w:highlight w:val="cyan"/>
        </w:rPr>
        <w:t>"</w:t>
      </w:r>
      <w:r w:rsidRPr="00022061">
        <w:rPr>
          <w:rFonts w:asciiTheme="minorHAnsi" w:hAnsiTheme="minorHAnsi" w:cstheme="minorHAnsi"/>
          <w:sz w:val="14"/>
        </w:rPr>
        <w:t xml:space="preserve"> (Wander 1983, 3) </w:t>
      </w:r>
      <w:r w:rsidRPr="00856794">
        <w:rPr>
          <w:rStyle w:val="StyleUnderline"/>
          <w:rFonts w:asciiTheme="minorHAnsi" w:hAnsiTheme="minorHAnsi" w:cstheme="minorHAnsi"/>
          <w:highlight w:val="cyan"/>
        </w:rPr>
        <w:t>and</w:t>
      </w:r>
      <w:r w:rsidRPr="00022061">
        <w:rPr>
          <w:rStyle w:val="StyleUnderline"/>
          <w:rFonts w:asciiTheme="minorHAnsi" w:hAnsiTheme="minorHAnsi" w:cstheme="minorHAnsi"/>
        </w:rPr>
        <w:t xml:space="preserve"> more </w:t>
      </w:r>
      <w:r w:rsidRPr="00856794">
        <w:rPr>
          <w:rStyle w:val="StyleUnderline"/>
          <w:rFonts w:asciiTheme="minorHAnsi" w:hAnsiTheme="minorHAnsi" w:cstheme="minorHAnsi"/>
          <w:highlight w:val="cyan"/>
        </w:rPr>
        <w:t xml:space="preserve">as an </w:t>
      </w:r>
      <w:r w:rsidRPr="00856794">
        <w:rPr>
          <w:rStyle w:val="Emphasis"/>
          <w:rFonts w:asciiTheme="minorHAnsi" w:hAnsiTheme="minorHAnsi" w:cstheme="minorHAnsi"/>
          <w:sz w:val="24"/>
          <w:highlight w:val="cyan"/>
        </w:rPr>
        <w:t>object for analysis</w:t>
      </w:r>
      <w:r w:rsidRPr="00022061">
        <w:rPr>
          <w:rStyle w:val="StyleUnderline"/>
          <w:rFonts w:asciiTheme="minorHAnsi" w:hAnsiTheme="minorHAnsi" w:cstheme="minorHAnsi"/>
          <w:sz w:val="24"/>
        </w:rPr>
        <w:t xml:space="preserve"> </w:t>
      </w:r>
      <w:r w:rsidRPr="00022061">
        <w:rPr>
          <w:rStyle w:val="StyleUnderline"/>
          <w:rFonts w:asciiTheme="minorHAnsi" w:hAnsiTheme="minorHAnsi" w:cstheme="minorHAnsi"/>
        </w:rPr>
        <w:t xml:space="preserve">and </w:t>
      </w:r>
      <w:r w:rsidRPr="00022061">
        <w:rPr>
          <w:rStyle w:val="Emphasis"/>
          <w:rFonts w:asciiTheme="minorHAnsi" w:hAnsiTheme="minorHAnsi" w:cstheme="minorHAnsi"/>
        </w:rPr>
        <w:t>reproduction</w:t>
      </w:r>
      <w:r w:rsidRPr="00022061">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within the</w:t>
      </w:r>
      <w:r w:rsidRPr="00022061">
        <w:rPr>
          <w:rStyle w:val="StyleUnderline"/>
          <w:rFonts w:asciiTheme="minorHAnsi" w:hAnsiTheme="minorHAnsi" w:cstheme="minorHAnsi"/>
        </w:rPr>
        <w:t xml:space="preserve"> </w:t>
      </w:r>
      <w:r w:rsidRPr="00022061">
        <w:rPr>
          <w:rStyle w:val="Emphasis"/>
          <w:rFonts w:asciiTheme="minorHAnsi" w:hAnsiTheme="minorHAnsi" w:cstheme="minorHAnsi"/>
        </w:rPr>
        <w:t xml:space="preserve">political economy of the </w:t>
      </w:r>
      <w:r w:rsidRPr="00856794">
        <w:rPr>
          <w:rStyle w:val="Emphasis"/>
          <w:rFonts w:asciiTheme="minorHAnsi" w:hAnsiTheme="minorHAnsi" w:cstheme="minorHAnsi"/>
          <w:highlight w:val="cyan"/>
        </w:rPr>
        <w:t>academy</w:t>
      </w:r>
      <w:r w:rsidRPr="00022061">
        <w:rPr>
          <w:rFonts w:asciiTheme="minorHAnsi" w:hAnsiTheme="minorHAnsi" w:cstheme="minorHAnsi"/>
          <w:sz w:val="14"/>
        </w:rPr>
        <w:t xml:space="preserve">. Philip Wander made a similar charge against Herbert Wicheln's early critical project, and this concern should remain at the forefront of any discussion aimed at expanding the scope and function of criticism. </w:t>
      </w:r>
      <w:r w:rsidRPr="00022061">
        <w:rPr>
          <w:rStyle w:val="StyleUnderline"/>
          <w:rFonts w:asciiTheme="minorHAnsi" w:hAnsiTheme="minorHAnsi" w:cstheme="minorHAnsi"/>
        </w:rPr>
        <w:t xml:space="preserve">Sloop and Ono offer </w:t>
      </w:r>
      <w:r w:rsidRPr="00856794">
        <w:rPr>
          <w:rStyle w:val="StyleUnderline"/>
          <w:rFonts w:asciiTheme="minorHAnsi" w:hAnsiTheme="minorHAnsi" w:cstheme="minorHAnsi"/>
          <w:highlight w:val="cyan"/>
        </w:rPr>
        <w:t>numerous directives for the critic</w:t>
      </w:r>
      <w:r w:rsidRPr="00022061">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 xml:space="preserve">without addressing </w:t>
      </w:r>
      <w:r w:rsidRPr="00856794">
        <w:rPr>
          <w:rStyle w:val="Emphasis"/>
          <w:rFonts w:asciiTheme="minorHAnsi" w:hAnsiTheme="minorHAnsi" w:cstheme="minorHAnsi"/>
          <w:sz w:val="24"/>
          <w:highlight w:val="cyan"/>
        </w:rPr>
        <w:t>whether the critic should be examining</w:t>
      </w:r>
      <w:r w:rsidRPr="00022061">
        <w:rPr>
          <w:rStyle w:val="Emphasis"/>
          <w:rFonts w:asciiTheme="minorHAnsi" w:hAnsiTheme="minorHAnsi" w:cstheme="minorHAnsi"/>
          <w:sz w:val="24"/>
        </w:rPr>
        <w:t xml:space="preserve"> out-law </w:t>
      </w:r>
      <w:r w:rsidRPr="00856794">
        <w:rPr>
          <w:rStyle w:val="Emphasis"/>
          <w:rFonts w:asciiTheme="minorHAnsi" w:hAnsiTheme="minorHAnsi" w:cstheme="minorHAnsi"/>
          <w:sz w:val="24"/>
          <w:highlight w:val="cyan"/>
        </w:rPr>
        <w:t>discourses in the first place</w:t>
      </w:r>
      <w:r w:rsidRPr="00022061">
        <w:rPr>
          <w:rFonts w:asciiTheme="minorHAnsi" w:hAnsiTheme="minorHAnsi" w:cstheme="minorHAnsi"/>
          <w:sz w:val="14"/>
        </w:rPr>
        <w:t xml:space="preserve">. While it is too early to suggest any definitive answer to the question of criticism of resistance, some preliminary arguments as to why critics should not pursue out-law discourses can be offered: (1) </w:t>
      </w:r>
      <w:r w:rsidRPr="00022061">
        <w:rPr>
          <w:rStyle w:val="StyleUnderline"/>
          <w:rFonts w:asciiTheme="minorHAnsi" w:hAnsiTheme="minorHAnsi" w:cstheme="minorHAnsi"/>
        </w:rPr>
        <w:t xml:space="preserve">Hidden out-law discourses may have </w:t>
      </w:r>
      <w:r w:rsidRPr="00022061">
        <w:rPr>
          <w:rStyle w:val="Emphasis"/>
          <w:rFonts w:asciiTheme="minorHAnsi" w:hAnsiTheme="minorHAnsi" w:cstheme="minorHAnsi"/>
        </w:rPr>
        <w:t>good reasons to stay hidden</w:t>
      </w:r>
      <w:r w:rsidRPr="00022061">
        <w:rPr>
          <w:rFonts w:asciiTheme="minorHAnsi" w:hAnsiTheme="minorHAnsi" w:cstheme="minorHAnsi"/>
          <w:sz w:val="14"/>
        </w:rPr>
        <w:t xml:space="preserve">. Sloop and Ono specifically instruct us that "the logic of the out-law must constantly be searched for, brought forth" (66) and used to disrupt dominant practices. But </w:t>
      </w:r>
      <w:r w:rsidRPr="00856794">
        <w:rPr>
          <w:rStyle w:val="StyleUnderline"/>
          <w:rFonts w:asciiTheme="minorHAnsi" w:hAnsiTheme="minorHAnsi" w:cstheme="minorHAnsi"/>
          <w:highlight w:val="cyan"/>
        </w:rPr>
        <w:t>are we to believe</w:t>
      </w:r>
      <w:r w:rsidRPr="00022061">
        <w:rPr>
          <w:rStyle w:val="StyleUnderline"/>
          <w:rFonts w:asciiTheme="minorHAnsi" w:hAnsiTheme="minorHAnsi" w:cstheme="minorHAnsi"/>
        </w:rPr>
        <w:t xml:space="preserve"> that</w:t>
      </w:r>
      <w:r w:rsidRPr="00022061">
        <w:rPr>
          <w:rFonts w:asciiTheme="minorHAnsi" w:hAnsiTheme="minorHAnsi" w:cstheme="minorHAnsi"/>
          <w:sz w:val="14"/>
        </w:rPr>
        <w:t xml:space="preserve"> all out-law discourses are prepared to mount such a challenge to the dominant cultural logic? Or, indeed, that the </w:t>
      </w:r>
      <w:r w:rsidRPr="00856794">
        <w:rPr>
          <w:rStyle w:val="StyleUnderline"/>
          <w:rFonts w:asciiTheme="minorHAnsi" w:hAnsiTheme="minorHAnsi" w:cstheme="minorHAnsi"/>
          <w:highlight w:val="cyan"/>
        </w:rPr>
        <w:t>members</w:t>
      </w:r>
      <w:r w:rsidRPr="00022061">
        <w:rPr>
          <w:rStyle w:val="StyleUnderline"/>
          <w:rFonts w:asciiTheme="minorHAnsi" w:hAnsiTheme="minorHAnsi" w:cstheme="minorHAnsi"/>
        </w:rPr>
        <w:t xml:space="preserve"> of out-law communities </w:t>
      </w:r>
      <w:r w:rsidRPr="00856794">
        <w:rPr>
          <w:rStyle w:val="StyleUnderline"/>
          <w:rFonts w:asciiTheme="minorHAnsi" w:hAnsiTheme="minorHAnsi" w:cstheme="minorHAnsi"/>
          <w:highlight w:val="cyan"/>
        </w:rPr>
        <w:t xml:space="preserve">are prepared to be </w:t>
      </w:r>
      <w:r w:rsidRPr="00856794">
        <w:rPr>
          <w:rStyle w:val="Emphasis"/>
          <w:rFonts w:asciiTheme="minorHAnsi" w:hAnsiTheme="minorHAnsi" w:cstheme="minorHAnsi"/>
          <w:highlight w:val="cyan"/>
        </w:rPr>
        <w:t>brought into the arena of</w:t>
      </w:r>
      <w:r w:rsidRPr="00022061">
        <w:rPr>
          <w:rStyle w:val="Emphasis"/>
          <w:rFonts w:asciiTheme="minorHAnsi" w:hAnsiTheme="minorHAnsi" w:cstheme="minorHAnsi"/>
        </w:rPr>
        <w:t xml:space="preserve"> public </w:t>
      </w:r>
      <w:r w:rsidRPr="00856794">
        <w:rPr>
          <w:rStyle w:val="Emphasis"/>
          <w:rFonts w:asciiTheme="minorHAnsi" w:hAnsiTheme="minorHAnsi" w:cstheme="minorHAnsi"/>
          <w:highlight w:val="cyan"/>
        </w:rPr>
        <w:t>surveillance</w:t>
      </w:r>
      <w:r w:rsidRPr="00022061">
        <w:rPr>
          <w:rFonts w:asciiTheme="minorHAnsi" w:hAnsiTheme="minorHAnsi" w:cstheme="minorHAnsi"/>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022061">
        <w:rPr>
          <w:rStyle w:val="StyleUnderline"/>
          <w:rFonts w:asciiTheme="minorHAnsi" w:hAnsiTheme="minorHAnsi" w:cstheme="minorHAnsi"/>
        </w:rPr>
        <w:t xml:space="preserve">perhaps the re-presentation of out-law logic within the academic community will bestow a degree of </w:t>
      </w:r>
      <w:r w:rsidRPr="00022061">
        <w:rPr>
          <w:rStyle w:val="Emphasis"/>
          <w:rFonts w:asciiTheme="minorHAnsi" w:hAnsiTheme="minorHAnsi" w:cstheme="minorHAnsi"/>
        </w:rPr>
        <w:t>legitimacy</w:t>
      </w:r>
      <w:r w:rsidRPr="00022061">
        <w:rPr>
          <w:rStyle w:val="StyleUnderline"/>
          <w:rFonts w:asciiTheme="minorHAnsi" w:hAnsiTheme="minorHAnsi" w:cstheme="minorHAnsi"/>
        </w:rPr>
        <w:t xml:space="preserve"> on the out-law community. </w:t>
      </w:r>
      <w:r w:rsidRPr="00856794">
        <w:rPr>
          <w:rStyle w:val="Emphasis"/>
          <w:rFonts w:asciiTheme="minorHAnsi" w:hAnsiTheme="minorHAnsi" w:cstheme="minorHAnsi"/>
          <w:highlight w:val="cyan"/>
        </w:rPr>
        <w:t>Nonetheless</w:t>
      </w:r>
      <w:r w:rsidRPr="00856794">
        <w:rPr>
          <w:rStyle w:val="StyleUnderline"/>
          <w:rFonts w:asciiTheme="minorHAnsi" w:hAnsiTheme="minorHAnsi" w:cstheme="minorHAnsi"/>
          <w:highlight w:val="cyan"/>
        </w:rPr>
        <w:t>, the effect</w:t>
      </w:r>
      <w:r w:rsidRPr="00022061">
        <w:rPr>
          <w:rStyle w:val="StyleUnderline"/>
          <w:rFonts w:asciiTheme="minorHAnsi" w:hAnsiTheme="minorHAnsi" w:cstheme="minorHAnsi"/>
        </w:rPr>
        <w:t xml:space="preserve"> of legitimizing out-law discourse </w:t>
      </w:r>
      <w:r w:rsidRPr="00856794">
        <w:rPr>
          <w:rStyle w:val="StyleUnderline"/>
          <w:rFonts w:asciiTheme="minorHAnsi" w:hAnsiTheme="minorHAnsi" w:cstheme="minorHAnsi"/>
          <w:highlight w:val="cyan"/>
        </w:rPr>
        <w:t>is</w:t>
      </w:r>
      <w:r w:rsidRPr="00022061">
        <w:rPr>
          <w:rStyle w:val="StyleUnderline"/>
          <w:rFonts w:asciiTheme="minorHAnsi" w:hAnsiTheme="minorHAnsi" w:cstheme="minorHAnsi"/>
        </w:rPr>
        <w:t xml:space="preserve"> unknown and potentially </w:t>
      </w:r>
      <w:r w:rsidRPr="00856794">
        <w:rPr>
          <w:rStyle w:val="Emphasis"/>
          <w:rFonts w:asciiTheme="minorHAnsi" w:hAnsiTheme="minorHAnsi" w:cstheme="minorHAnsi"/>
          <w:highlight w:val="cyan"/>
        </w:rPr>
        <w:t>destructive</w:t>
      </w:r>
      <w:r w:rsidRPr="00022061">
        <w:rPr>
          <w:rStyle w:val="StyleUnderline"/>
          <w:rFonts w:asciiTheme="minorHAnsi" w:hAnsiTheme="minorHAnsi" w:cstheme="minorHAnsi"/>
        </w:rPr>
        <w:t xml:space="preserve">. In an effort </w:t>
      </w:r>
      <w:r w:rsidRPr="00856794">
        <w:rPr>
          <w:rStyle w:val="StyleUnderline"/>
          <w:rFonts w:asciiTheme="minorHAnsi" w:hAnsiTheme="minorHAnsi" w:cstheme="minorHAnsi"/>
          <w:highlight w:val="cyan"/>
        </w:rPr>
        <w:t xml:space="preserve">to </w:t>
      </w:r>
      <w:r w:rsidRPr="00856794">
        <w:rPr>
          <w:rStyle w:val="Emphasis"/>
          <w:rFonts w:asciiTheme="minorHAnsi" w:hAnsiTheme="minorHAnsi" w:cstheme="minorHAnsi"/>
          <w:highlight w:val="cyan"/>
        </w:rPr>
        <w:t>siphon</w:t>
      </w:r>
      <w:r w:rsidRPr="00022061">
        <w:rPr>
          <w:rStyle w:val="Emphasis"/>
          <w:rFonts w:asciiTheme="minorHAnsi" w:hAnsiTheme="minorHAnsi" w:cstheme="minorHAnsi"/>
        </w:rPr>
        <w:t xml:space="preserve"> the political </w:t>
      </w:r>
      <w:r w:rsidRPr="00856794">
        <w:rPr>
          <w:rStyle w:val="Emphasis"/>
          <w:rFonts w:asciiTheme="minorHAnsi" w:hAnsiTheme="minorHAnsi" w:cstheme="minorHAnsi"/>
          <w:highlight w:val="cyan"/>
        </w:rPr>
        <w:t>energy</w:t>
      </w:r>
      <w:r w:rsidRPr="00022061">
        <w:rPr>
          <w:rStyle w:val="StyleUnderline"/>
          <w:rFonts w:asciiTheme="minorHAnsi" w:hAnsiTheme="minorHAnsi" w:cstheme="minorHAnsi"/>
        </w:rPr>
        <w:t xml:space="preserve"> of out-law discourse </w:t>
      </w:r>
      <w:r w:rsidRPr="00856794">
        <w:rPr>
          <w:rStyle w:val="StyleUnderline"/>
          <w:rFonts w:asciiTheme="minorHAnsi" w:hAnsiTheme="minorHAnsi" w:cstheme="minorHAnsi"/>
          <w:highlight w:val="cyan"/>
        </w:rPr>
        <w:t>into academic practice, we</w:t>
      </w:r>
      <w:r w:rsidRPr="00022061">
        <w:rPr>
          <w:rStyle w:val="StyleUnderline"/>
          <w:rFonts w:asciiTheme="minorHAnsi" w:hAnsiTheme="minorHAnsi" w:cstheme="minorHAnsi"/>
        </w:rPr>
        <w:t xml:space="preserve"> may ultimately </w:t>
      </w:r>
      <w:r w:rsidRPr="00856794">
        <w:rPr>
          <w:rStyle w:val="Emphasis"/>
          <w:rFonts w:asciiTheme="minorHAnsi" w:hAnsiTheme="minorHAnsi" w:cstheme="minorHAnsi"/>
          <w:highlight w:val="cyan"/>
        </w:rPr>
        <w:t>destroy</w:t>
      </w:r>
      <w:r w:rsidRPr="00022061">
        <w:rPr>
          <w:rStyle w:val="StyleUnderline"/>
          <w:rFonts w:asciiTheme="minorHAnsi" w:hAnsiTheme="minorHAnsi" w:cstheme="minorHAnsi"/>
        </w:rPr>
        <w:t xml:space="preserve"> the dissatisfaction that serves as </w:t>
      </w:r>
      <w:r w:rsidRPr="00856794">
        <w:rPr>
          <w:rStyle w:val="StyleUnderline"/>
          <w:rFonts w:asciiTheme="minorHAnsi" w:hAnsiTheme="minorHAnsi" w:cstheme="minorHAnsi"/>
          <w:highlight w:val="cyan"/>
        </w:rPr>
        <w:t xml:space="preserve">a </w:t>
      </w:r>
      <w:r w:rsidRPr="00856794">
        <w:rPr>
          <w:rStyle w:val="Emphasis"/>
          <w:rFonts w:asciiTheme="minorHAnsi" w:hAnsiTheme="minorHAnsi" w:cstheme="minorHAnsi"/>
          <w:highlight w:val="cyan"/>
        </w:rPr>
        <w:t>cathexis</w:t>
      </w:r>
      <w:r w:rsidRPr="00022061">
        <w:rPr>
          <w:rStyle w:val="StyleUnderline"/>
          <w:rFonts w:asciiTheme="minorHAnsi" w:hAnsiTheme="minorHAnsi" w:cstheme="minorHAnsi"/>
        </w:rPr>
        <w:t xml:space="preserve"> for these out-law discourses</w:t>
      </w:r>
      <w:r w:rsidRPr="00022061">
        <w:rPr>
          <w:rFonts w:asciiTheme="minorHAnsi" w:hAnsiTheme="minorHAnsi" w:cstheme="minorHAnsi"/>
          <w:sz w:val="14"/>
        </w:rPr>
        <w:t xml:space="preserve">. It seems possible that </w:t>
      </w:r>
      <w:r w:rsidRPr="00022061">
        <w:rPr>
          <w:rStyle w:val="StyleUnderline"/>
          <w:rFonts w:asciiTheme="minorHAnsi" w:hAnsiTheme="minorHAnsi" w:cstheme="minorHAnsi"/>
        </w:rPr>
        <w:t xml:space="preserve">academic </w:t>
      </w:r>
      <w:r w:rsidRPr="00856794">
        <w:rPr>
          <w:rStyle w:val="StyleUnderline"/>
          <w:rFonts w:asciiTheme="minorHAnsi" w:hAnsiTheme="minorHAnsi" w:cstheme="minorHAnsi"/>
          <w:highlight w:val="cyan"/>
        </w:rPr>
        <w:t>recognition</w:t>
      </w:r>
      <w:r w:rsidRPr="00022061">
        <w:rPr>
          <w:rStyle w:val="StyleUnderline"/>
          <w:rFonts w:asciiTheme="minorHAnsi" w:hAnsiTheme="minorHAnsi" w:cstheme="minorHAnsi"/>
        </w:rPr>
        <w:t xml:space="preserve"> might </w:t>
      </w:r>
      <w:r w:rsidRPr="00856794">
        <w:rPr>
          <w:rStyle w:val="Emphasis"/>
          <w:rFonts w:asciiTheme="minorHAnsi" w:hAnsiTheme="minorHAnsi" w:cstheme="minorHAnsi"/>
          <w:highlight w:val="cyan"/>
        </w:rPr>
        <w:t>take the place</w:t>
      </w:r>
      <w:r w:rsidRPr="00856794">
        <w:rPr>
          <w:rStyle w:val="StyleUnderline"/>
          <w:rFonts w:asciiTheme="minorHAnsi" w:hAnsiTheme="minorHAnsi" w:cstheme="minorHAnsi"/>
          <w:highlight w:val="cyan"/>
        </w:rPr>
        <w:t xml:space="preserve"> of</w:t>
      </w:r>
      <w:r w:rsidRPr="00022061">
        <w:rPr>
          <w:rStyle w:val="StyleUnderline"/>
          <w:rFonts w:asciiTheme="minorHAnsi" w:hAnsiTheme="minorHAnsi" w:cstheme="minorHAnsi"/>
        </w:rPr>
        <w:t xml:space="preserve"> struggle for </w:t>
      </w:r>
      <w:r w:rsidRPr="00856794">
        <w:rPr>
          <w:rStyle w:val="StyleUnderline"/>
          <w:rFonts w:asciiTheme="minorHAnsi" w:hAnsiTheme="minorHAnsi" w:cstheme="minorHAnsi"/>
          <w:highlight w:val="cyan"/>
        </w:rPr>
        <w:t>material opportunities</w:t>
      </w:r>
      <w:r w:rsidRPr="00022061">
        <w:rPr>
          <w:rFonts w:asciiTheme="minorHAnsi" w:hAnsiTheme="minorHAnsi" w:cstheme="minorHAnsi"/>
          <w:sz w:val="14"/>
        </w:rPr>
        <w:t xml:space="preserve"> (see Fraser 1997). </w:t>
      </w:r>
      <w:r w:rsidRPr="00856794">
        <w:rPr>
          <w:rStyle w:val="StyleUnderline"/>
          <w:rFonts w:asciiTheme="minorHAnsi" w:hAnsiTheme="minorHAnsi" w:cstheme="minorHAnsi"/>
          <w:highlight w:val="cyan"/>
        </w:rPr>
        <w:t>But, will</w:t>
      </w:r>
      <w:r w:rsidRPr="00022061">
        <w:rPr>
          <w:rStyle w:val="StyleUnderline"/>
          <w:rFonts w:asciiTheme="minorHAnsi" w:hAnsiTheme="minorHAnsi" w:cstheme="minorHAnsi"/>
        </w:rPr>
        <w:t xml:space="preserve"> academic </w:t>
      </w:r>
      <w:r w:rsidRPr="00856794">
        <w:rPr>
          <w:rStyle w:val="StyleUnderline"/>
          <w:rFonts w:asciiTheme="minorHAnsi" w:hAnsiTheme="minorHAnsi" w:cstheme="minorHAnsi"/>
          <w:highlight w:val="cyan"/>
        </w:rPr>
        <w:t xml:space="preserve">legitimation create </w:t>
      </w:r>
      <w:r w:rsidRPr="00856794">
        <w:rPr>
          <w:rStyle w:val="Emphasis"/>
          <w:rFonts w:asciiTheme="minorHAnsi" w:hAnsiTheme="minorHAnsi" w:cstheme="minorHAnsi"/>
          <w:highlight w:val="cyan"/>
        </w:rPr>
        <w:t>any</w:t>
      </w:r>
      <w:r w:rsidRPr="00022061">
        <w:rPr>
          <w:rStyle w:val="Emphasis"/>
          <w:rFonts w:asciiTheme="minorHAnsi" w:hAnsiTheme="minorHAnsi" w:cstheme="minorHAnsi"/>
        </w:rPr>
        <w:t xml:space="preserve"> material </w:t>
      </w:r>
      <w:r w:rsidRPr="00856794">
        <w:rPr>
          <w:rStyle w:val="Emphasis"/>
          <w:rFonts w:asciiTheme="minorHAnsi" w:hAnsiTheme="minorHAnsi" w:cstheme="minorHAnsi"/>
          <w:highlight w:val="cyan"/>
        </w:rPr>
        <w:t>changes</w:t>
      </w:r>
      <w:r w:rsidRPr="00856794">
        <w:rPr>
          <w:rStyle w:val="StyleUnderline"/>
          <w:rFonts w:asciiTheme="minorHAnsi" w:hAnsiTheme="minorHAnsi" w:cstheme="minorHAnsi"/>
          <w:highlight w:val="cyan"/>
        </w:rPr>
        <w:t xml:space="preserve"> in</w:t>
      </w:r>
      <w:r w:rsidRPr="00022061">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conditions</w:t>
      </w:r>
      <w:r w:rsidRPr="00022061">
        <w:rPr>
          <w:rStyle w:val="StyleUnderline"/>
          <w:rFonts w:asciiTheme="minorHAnsi" w:hAnsiTheme="minorHAnsi" w:cstheme="minorHAnsi"/>
        </w:rPr>
        <w:t xml:space="preserve"> of out-law communities?</w:t>
      </w:r>
      <w:r w:rsidRPr="00022061">
        <w:rPr>
          <w:rFonts w:asciiTheme="minorHAnsi" w:hAnsiTheme="minorHAnsi" w:cstheme="minorHAnsi"/>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022061">
        <w:rPr>
          <w:rStyle w:val="StyleUnderline"/>
          <w:rFonts w:asciiTheme="minorHAnsi" w:hAnsiTheme="minorHAnsi" w:cstheme="minorHAnsi"/>
        </w:rPr>
        <w:t xml:space="preserve">For Sloop and Ono, the critic is an </w:t>
      </w:r>
      <w:r w:rsidRPr="00022061">
        <w:rPr>
          <w:rStyle w:val="Emphasis"/>
          <w:rFonts w:asciiTheme="minorHAnsi" w:hAnsiTheme="minorHAnsi" w:cstheme="minorHAnsi"/>
        </w:rPr>
        <w:t>interested party</w:t>
      </w:r>
      <w:r w:rsidRPr="00022061">
        <w:rPr>
          <w:rStyle w:val="StyleUnderline"/>
          <w:rFonts w:asciiTheme="minorHAnsi" w:hAnsiTheme="minorHAnsi" w:cstheme="minorHAnsi"/>
        </w:rPr>
        <w:t>, discerning</w:t>
      </w:r>
      <w:r w:rsidRPr="00022061">
        <w:rPr>
          <w:rFonts w:asciiTheme="minorHAnsi" w:hAnsiTheme="minorHAnsi" w:cstheme="minorHAnsi"/>
          <w:sz w:val="14"/>
        </w:rPr>
        <w:t xml:space="preserve"> (and at times disputing) </w:t>
      </w:r>
      <w:r w:rsidRPr="00022061">
        <w:rPr>
          <w:rStyle w:val="StyleUnderline"/>
          <w:rFonts w:asciiTheme="minorHAnsi" w:hAnsiTheme="minorHAnsi" w:cstheme="minorHAnsi"/>
        </w:rPr>
        <w:t xml:space="preserve">the underlying values and forces contained within a discourse. Additionally, however, </w:t>
      </w:r>
      <w:r w:rsidRPr="00856794">
        <w:rPr>
          <w:rStyle w:val="StyleUnderline"/>
          <w:rFonts w:asciiTheme="minorHAnsi" w:hAnsiTheme="minorHAnsi" w:cstheme="minorHAnsi"/>
          <w:highlight w:val="cyan"/>
        </w:rPr>
        <w:t>the</w:t>
      </w:r>
      <w:r w:rsidRPr="00022061">
        <w:rPr>
          <w:rStyle w:val="StyleUnderline"/>
          <w:rFonts w:asciiTheme="minorHAnsi" w:hAnsiTheme="minorHAnsi" w:cstheme="minorHAnsi"/>
        </w:rPr>
        <w:t xml:space="preserve"> out-law discourse </w:t>
      </w:r>
      <w:r w:rsidRPr="00856794">
        <w:rPr>
          <w:rStyle w:val="StyleUnderline"/>
          <w:rFonts w:asciiTheme="minorHAnsi" w:hAnsiTheme="minorHAnsi" w:cstheme="minorHAnsi"/>
          <w:highlight w:val="cyan"/>
        </w:rPr>
        <w:t>critic is</w:t>
      </w:r>
      <w:r w:rsidRPr="00022061">
        <w:rPr>
          <w:rStyle w:val="StyleUnderline"/>
          <w:rFonts w:asciiTheme="minorHAnsi" w:hAnsiTheme="minorHAnsi" w:cstheme="minorHAnsi"/>
        </w:rPr>
        <w:t xml:space="preserve"> an analyst </w:t>
      </w:r>
      <w:r w:rsidRPr="00856794">
        <w:rPr>
          <w:rStyle w:val="StyleUnderline"/>
          <w:rFonts w:asciiTheme="minorHAnsi" w:hAnsiTheme="minorHAnsi" w:cstheme="minorHAnsi"/>
          <w:highlight w:val="cyan"/>
        </w:rPr>
        <w:t>focusing on</w:t>
      </w:r>
      <w:r w:rsidRPr="00022061">
        <w:rPr>
          <w:rStyle w:val="StyleUnderline"/>
          <w:rFonts w:asciiTheme="minorHAnsi" w:hAnsiTheme="minorHAnsi" w:cstheme="minorHAnsi"/>
        </w:rPr>
        <w:t xml:space="preserve"> the </w:t>
      </w:r>
      <w:r w:rsidRPr="00856794">
        <w:rPr>
          <w:rStyle w:val="Emphasis"/>
          <w:rFonts w:asciiTheme="minorHAnsi" w:hAnsiTheme="minorHAnsi" w:cstheme="minorHAnsi"/>
          <w:highlight w:val="cyan"/>
        </w:rPr>
        <w:t>hidden</w:t>
      </w:r>
      <w:r w:rsidRPr="00022061">
        <w:rPr>
          <w:rFonts w:asciiTheme="minorHAnsi" w:hAnsiTheme="minorHAnsi" w:cstheme="minorHAnsi"/>
          <w:sz w:val="14"/>
        </w:rPr>
        <w:t xml:space="preserve">, aberrant </w:t>
      </w:r>
      <w:r w:rsidRPr="00856794">
        <w:rPr>
          <w:rStyle w:val="StyleUnderline"/>
          <w:rFonts w:asciiTheme="minorHAnsi" w:hAnsiTheme="minorHAnsi" w:cstheme="minorHAnsi"/>
          <w:highlight w:val="cyan"/>
        </w:rPr>
        <w:t>texts</w:t>
      </w:r>
      <w:r w:rsidRPr="00022061">
        <w:rPr>
          <w:rFonts w:asciiTheme="minorHAnsi" w:hAnsiTheme="minorHAnsi" w:cstheme="minorHAnsi"/>
          <w:sz w:val="14"/>
        </w:rPr>
        <w:t xml:space="preserve"> of the out-law </w:t>
      </w:r>
      <w:r w:rsidRPr="00856794">
        <w:rPr>
          <w:rStyle w:val="StyleUnderline"/>
          <w:rFonts w:asciiTheme="minorHAnsi" w:hAnsiTheme="minorHAnsi" w:cstheme="minorHAnsi"/>
          <w:highlight w:val="cyan"/>
        </w:rPr>
        <w:t xml:space="preserve">and </w:t>
      </w:r>
      <w:r w:rsidRPr="00856794">
        <w:rPr>
          <w:rStyle w:val="Emphasis"/>
          <w:rFonts w:asciiTheme="minorHAnsi" w:hAnsiTheme="minorHAnsi" w:cstheme="minorHAnsi"/>
          <w:highlight w:val="cyan"/>
        </w:rPr>
        <w:t>"rendering]</w:t>
      </w:r>
      <w:r w:rsidRPr="00022061">
        <w:rPr>
          <w:rStyle w:val="Emphasis"/>
          <w:rFonts w:asciiTheme="minorHAnsi" w:hAnsiTheme="minorHAnsi" w:cstheme="minorHAnsi"/>
        </w:rPr>
        <w:t xml:space="preserve"> an incoherent or esoteric text </w:t>
      </w:r>
      <w:r w:rsidRPr="00856794">
        <w:rPr>
          <w:rStyle w:val="Emphasis"/>
          <w:rFonts w:asciiTheme="minorHAnsi" w:hAnsiTheme="minorHAnsi" w:cstheme="minorHAnsi"/>
          <w:highlight w:val="cyan"/>
        </w:rPr>
        <w:t>comprehensible"</w:t>
      </w:r>
      <w:r w:rsidRPr="00022061">
        <w:rPr>
          <w:rFonts w:asciiTheme="minorHAnsi" w:hAnsiTheme="minorHAnsi" w:cstheme="minorHAnsi"/>
          <w:sz w:val="14"/>
        </w:rPr>
        <w:t xml:space="preserve"> (Warnick 1992, 233). Now, I am not suggesting that a critic must serve only one function or that the roles of advocate and analyst are mutually exclusive; rather, </w:t>
      </w:r>
      <w:r w:rsidRPr="00022061">
        <w:rPr>
          <w:rStyle w:val="StyleUnderline"/>
          <w:rFonts w:asciiTheme="minorHAnsi" w:hAnsiTheme="minorHAnsi" w:cstheme="minorHAnsi"/>
        </w:rPr>
        <w:t>these entanglings of power</w:t>
      </w:r>
      <w:r w:rsidRPr="00022061">
        <w:rPr>
          <w:rFonts w:asciiTheme="minorHAnsi" w:hAnsiTheme="minorHAnsi" w:cstheme="minorHAnsi"/>
          <w:sz w:val="14"/>
        </w:rPr>
        <w:t xml:space="preserve"> (political ends) </w:t>
      </w:r>
      <w:r w:rsidRPr="00022061">
        <w:rPr>
          <w:rStyle w:val="StyleUnderline"/>
          <w:rFonts w:asciiTheme="minorHAnsi" w:hAnsiTheme="minorHAnsi" w:cstheme="minorHAnsi"/>
        </w:rPr>
        <w:t>and knowledge</w:t>
      </w:r>
      <w:r w:rsidRPr="00022061">
        <w:rPr>
          <w:rFonts w:asciiTheme="minorHAnsi" w:hAnsiTheme="minorHAnsi" w:cstheme="minorHAnsi"/>
          <w:sz w:val="14"/>
        </w:rPr>
        <w:t xml:space="preserve"> (epistemic ends) </w:t>
      </w:r>
      <w:r w:rsidRPr="00022061">
        <w:rPr>
          <w:rStyle w:val="StyleUnderline"/>
          <w:rFonts w:asciiTheme="minorHAnsi" w:hAnsiTheme="minorHAnsi" w:cstheme="minorHAnsi"/>
        </w:rPr>
        <w:t>are inevitable</w:t>
      </w:r>
      <w:r w:rsidRPr="00022061">
        <w:rPr>
          <w:rFonts w:asciiTheme="minorHAnsi" w:hAnsiTheme="minorHAnsi" w:cstheme="minorHAnsi"/>
          <w:sz w:val="14"/>
        </w:rPr>
        <w:t xml:space="preserve">. My concern is that we not neglect the complexity of these entanglements. </w:t>
      </w:r>
      <w:r w:rsidRPr="00856794">
        <w:rPr>
          <w:rStyle w:val="Emphasis"/>
          <w:rFonts w:asciiTheme="minorHAnsi" w:hAnsiTheme="minorHAnsi" w:cstheme="minorHAnsi"/>
          <w:highlight w:val="cyan"/>
        </w:rPr>
        <w:t>Turning covert</w:t>
      </w:r>
      <w:r w:rsidRPr="00022061">
        <w:rPr>
          <w:rStyle w:val="Emphasis"/>
          <w:rFonts w:asciiTheme="minorHAnsi" w:hAnsiTheme="minorHAnsi" w:cstheme="minorHAnsi"/>
        </w:rPr>
        <w:t xml:space="preserve"> out-law </w:t>
      </w:r>
      <w:r w:rsidRPr="00856794">
        <w:rPr>
          <w:rStyle w:val="Emphasis"/>
          <w:rFonts w:asciiTheme="minorHAnsi" w:hAnsiTheme="minorHAnsi" w:cstheme="minorHAnsi"/>
          <w:highlight w:val="cyan"/>
        </w:rPr>
        <w:t>discourses into objects of</w:t>
      </w:r>
      <w:r w:rsidRPr="00022061">
        <w:rPr>
          <w:rStyle w:val="Emphasis"/>
          <w:rFonts w:asciiTheme="minorHAnsi" w:hAnsiTheme="minorHAnsi" w:cstheme="minorHAnsi"/>
        </w:rPr>
        <w:t xml:space="preserve"> our </w:t>
      </w:r>
      <w:r w:rsidRPr="00856794">
        <w:rPr>
          <w:rStyle w:val="Emphasis"/>
          <w:rFonts w:asciiTheme="minorHAnsi" w:hAnsiTheme="minorHAnsi" w:cstheme="minorHAnsi"/>
          <w:highlight w:val="cyan"/>
        </w:rPr>
        <w:t>analyses</w:t>
      </w:r>
      <w:r w:rsidRPr="00022061">
        <w:rPr>
          <w:rStyle w:val="Emphasis"/>
          <w:rFonts w:asciiTheme="minorHAnsi" w:hAnsiTheme="minorHAnsi" w:cstheme="minorHAnsi"/>
        </w:rPr>
        <w:t xml:space="preserve"> runs the </w:t>
      </w:r>
      <w:r w:rsidRPr="00856794">
        <w:rPr>
          <w:rStyle w:val="Emphasis"/>
          <w:rFonts w:asciiTheme="minorHAnsi" w:hAnsiTheme="minorHAnsi" w:cstheme="minorHAnsi"/>
          <w:highlight w:val="cyan"/>
        </w:rPr>
        <w:t>risk</w:t>
      </w:r>
      <w:r w:rsidRPr="00022061">
        <w:rPr>
          <w:rStyle w:val="Emphasis"/>
          <w:rFonts w:asciiTheme="minorHAnsi" w:hAnsiTheme="minorHAnsi" w:cstheme="minorHAnsi"/>
        </w:rPr>
        <w:t xml:space="preserve"> of </w:t>
      </w:r>
      <w:r w:rsidRPr="00856794">
        <w:rPr>
          <w:rStyle w:val="Emphasis"/>
          <w:rFonts w:asciiTheme="minorHAnsi" w:hAnsiTheme="minorHAnsi" w:cstheme="minorHAnsi"/>
          <w:highlight w:val="cyan"/>
        </w:rPr>
        <w:t>subjecting them</w:t>
      </w:r>
      <w:r w:rsidRPr="00022061">
        <w:rPr>
          <w:rStyle w:val="Emphasis"/>
          <w:rFonts w:asciiTheme="minorHAnsi" w:hAnsiTheme="minorHAnsi" w:cstheme="minorHAnsi"/>
        </w:rPr>
        <w:t xml:space="preserve"> both </w:t>
      </w:r>
      <w:r w:rsidRPr="00856794">
        <w:rPr>
          <w:rStyle w:val="Emphasis"/>
          <w:rFonts w:asciiTheme="minorHAnsi" w:hAnsiTheme="minorHAnsi" w:cstheme="minorHAnsi"/>
          <w:highlight w:val="cyan"/>
        </w:rPr>
        <w:t>to the gaze of the dominant and</w:t>
      </w:r>
      <w:r w:rsidRPr="00022061">
        <w:rPr>
          <w:rStyle w:val="Emphasis"/>
          <w:rFonts w:asciiTheme="minorHAnsi" w:hAnsiTheme="minorHAnsi" w:cstheme="minorHAnsi"/>
        </w:rPr>
        <w:t xml:space="preserve"> to </w:t>
      </w:r>
      <w:r w:rsidRPr="00856794">
        <w:rPr>
          <w:rStyle w:val="Emphasis"/>
          <w:rFonts w:asciiTheme="minorHAnsi" w:hAnsiTheme="minorHAnsi" w:cstheme="minorHAnsi"/>
          <w:highlight w:val="cyan"/>
        </w:rPr>
        <w:t>the power relations of the academy</w:t>
      </w:r>
      <w:r w:rsidRPr="00022061">
        <w:rPr>
          <w:rFonts w:asciiTheme="minorHAnsi" w:hAnsiTheme="minorHAnsi" w:cstheme="minorHAnsi"/>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1E3A657" w14:textId="77777777" w:rsidR="00A753EF" w:rsidRDefault="00A753EF" w:rsidP="00A753EF"/>
    <w:p w14:paraId="757149A5" w14:textId="77777777" w:rsidR="00A753EF" w:rsidRPr="008D0772" w:rsidRDefault="00A753EF" w:rsidP="00A753EF">
      <w:pPr>
        <w:pStyle w:val="Heading4"/>
        <w:rPr>
          <w:rFonts w:cs="Arial"/>
        </w:rPr>
      </w:pPr>
      <w:r>
        <w:rPr>
          <w:rFonts w:cs="Arial"/>
        </w:rPr>
        <w:t>AND if they truly just submit the 1AC for you to judge if its good or bad, y</w:t>
      </w:r>
      <w:r w:rsidRPr="008D0772">
        <w:rPr>
          <w:rFonts w:cs="Arial"/>
        </w:rPr>
        <w:t xml:space="preserve">ou shouldn’t vote aff </w:t>
      </w:r>
      <w:r w:rsidRPr="008D0772">
        <w:rPr>
          <w:rFonts w:cs="Arial"/>
          <w:u w:val="single"/>
        </w:rPr>
        <w:t>simply</w:t>
      </w:r>
      <w:r w:rsidRPr="008D0772">
        <w:rPr>
          <w:rFonts w:cs="Arial"/>
        </w:rPr>
        <w:t xml:space="preserve"> because the 1AC </w:t>
      </w:r>
      <w:r w:rsidRPr="008D0772">
        <w:rPr>
          <w:rFonts w:cs="Arial"/>
          <w:u w:val="single"/>
        </w:rPr>
        <w:t>observed</w:t>
      </w:r>
      <w:r w:rsidRPr="008D0772">
        <w:rPr>
          <w:rFonts w:cs="Arial"/>
        </w:rPr>
        <w:t xml:space="preserve"> violence in the world </w:t>
      </w:r>
      <w:r>
        <w:rPr>
          <w:rFonts w:cs="Arial"/>
        </w:rPr>
        <w:t>and proposed a re-a</w:t>
      </w:r>
      <w:r w:rsidRPr="00731F28">
        <w:rPr>
          <w:rFonts w:cs="Arial"/>
        </w:rPr>
        <w:t>rticulati</w:t>
      </w:r>
      <w:r>
        <w:rPr>
          <w:rFonts w:cs="Arial"/>
        </w:rPr>
        <w:t>on</w:t>
      </w:r>
      <w:r w:rsidRPr="00731F28">
        <w:rPr>
          <w:rFonts w:cs="Arial"/>
        </w:rPr>
        <w:t xml:space="preserve"> </w:t>
      </w:r>
      <w:r>
        <w:rPr>
          <w:rFonts w:cs="Arial"/>
        </w:rPr>
        <w:t>of</w:t>
      </w:r>
      <w:r w:rsidRPr="00731F28">
        <w:rPr>
          <w:rFonts w:cs="Arial"/>
        </w:rPr>
        <w:t xml:space="preserve"> </w:t>
      </w:r>
      <w:r>
        <w:rPr>
          <w:rFonts w:cs="Arial"/>
        </w:rPr>
        <w:t>revolutionary</w:t>
      </w:r>
      <w:r w:rsidRPr="00731F28">
        <w:rPr>
          <w:rFonts w:cs="Arial"/>
        </w:rPr>
        <w:t xml:space="preserve"> maps </w:t>
      </w:r>
      <w:r w:rsidRPr="008D0772">
        <w:rPr>
          <w:rFonts w:cs="Arial"/>
        </w:rPr>
        <w:t xml:space="preserve">without specifying methods for </w:t>
      </w:r>
      <w:r w:rsidRPr="008D0772">
        <w:rPr>
          <w:rFonts w:cs="Arial"/>
          <w:u w:val="single"/>
        </w:rPr>
        <w:t>radical change</w:t>
      </w:r>
      <w:r w:rsidRPr="008D0772">
        <w:rPr>
          <w:rFonts w:cs="Arial"/>
        </w:rPr>
        <w:t xml:space="preserve"> and </w:t>
      </w:r>
      <w:r w:rsidRPr="008D0772">
        <w:rPr>
          <w:rFonts w:cs="Arial"/>
          <w:u w:val="single"/>
        </w:rPr>
        <w:t>political mobilization</w:t>
      </w:r>
      <w:r w:rsidRPr="008D0772">
        <w:rPr>
          <w:rFonts w:cs="Arial"/>
        </w:rPr>
        <w:t xml:space="preserve">. It </w:t>
      </w:r>
      <w:r w:rsidRPr="008D0772">
        <w:rPr>
          <w:rFonts w:cs="Arial"/>
          <w:u w:val="single"/>
        </w:rPr>
        <w:t>maximizes</w:t>
      </w:r>
      <w:r w:rsidRPr="008D0772">
        <w:rPr>
          <w:rFonts w:cs="Arial"/>
        </w:rPr>
        <w:t xml:space="preserve"> our internal links to </w:t>
      </w:r>
      <w:r w:rsidRPr="008D0772">
        <w:rPr>
          <w:rFonts w:cs="Arial"/>
          <w:u w:val="single"/>
        </w:rPr>
        <w:t>clash</w:t>
      </w:r>
      <w:r w:rsidRPr="008D0772">
        <w:rPr>
          <w:rFonts w:cs="Arial"/>
        </w:rPr>
        <w:t xml:space="preserve">, AND reinscribes </w:t>
      </w:r>
      <w:r w:rsidRPr="008D0772">
        <w:rPr>
          <w:rFonts w:cs="Arial"/>
          <w:u w:val="single"/>
        </w:rPr>
        <w:t>white liberalism</w:t>
      </w:r>
      <w:r w:rsidRPr="008D0772">
        <w:rPr>
          <w:rFonts w:cs="Arial"/>
        </w:rPr>
        <w:t xml:space="preserve">. </w:t>
      </w:r>
    </w:p>
    <w:p w14:paraId="16232A51" w14:textId="77777777" w:rsidR="00A753EF" w:rsidRPr="008D0772" w:rsidRDefault="00A753EF" w:rsidP="00A753EF">
      <w:r w:rsidRPr="008D0772">
        <w:t xml:space="preserve">Gary </w:t>
      </w:r>
      <w:r w:rsidRPr="008D0772">
        <w:rPr>
          <w:rStyle w:val="Style13ptBold"/>
        </w:rPr>
        <w:t>Wilder 22</w:t>
      </w:r>
      <w:r w:rsidRPr="008D0772">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5E1B2424" w14:textId="77777777" w:rsidR="00A753EF" w:rsidRPr="008D0772" w:rsidRDefault="00A753EF" w:rsidP="00A753EF">
      <w:pPr>
        <w:rPr>
          <w:rStyle w:val="StyleUnderline"/>
        </w:rPr>
      </w:pPr>
      <w:r w:rsidRPr="008D0772">
        <w:rPr>
          <w:rStyle w:val="StyleUnderline"/>
        </w:rPr>
        <w:t>Against Left Melancholy</w:t>
      </w:r>
    </w:p>
    <w:p w14:paraId="52465431" w14:textId="77777777" w:rsidR="00A753EF" w:rsidRPr="008D0772" w:rsidRDefault="00A753EF" w:rsidP="00A753EF">
      <w:pPr>
        <w:rPr>
          <w:sz w:val="16"/>
        </w:rPr>
      </w:pPr>
      <w:r w:rsidRPr="008D0772">
        <w:rPr>
          <w:sz w:val="16"/>
        </w:rPr>
        <w:t xml:space="preserve">In a widely read 1999 essay, political theorist </w:t>
      </w:r>
      <w:r w:rsidRPr="008D0772">
        <w:rPr>
          <w:rStyle w:val="StyleUnderline"/>
        </w:rPr>
        <w:t xml:space="preserve">Wendy </w:t>
      </w:r>
      <w:r w:rsidRPr="009F31B3">
        <w:rPr>
          <w:rStyle w:val="StyleUnderline"/>
          <w:highlight w:val="cyan"/>
        </w:rPr>
        <w:t>Brown regrets "the Left's</w:t>
      </w:r>
      <w:r w:rsidRPr="009F31B3">
        <w:rPr>
          <w:sz w:val="16"/>
          <w:highlight w:val="cyan"/>
        </w:rPr>
        <w:t xml:space="preserve"> </w:t>
      </w:r>
      <w:r w:rsidRPr="008D0772">
        <w:rPr>
          <w:sz w:val="16"/>
        </w:rPr>
        <w:t xml:space="preserve">. . . </w:t>
      </w:r>
      <w:r w:rsidRPr="009F31B3">
        <w:rPr>
          <w:rStyle w:val="StyleUnderline"/>
          <w:highlight w:val="cyan"/>
        </w:rPr>
        <w:t>failure to</w:t>
      </w:r>
      <w:r w:rsidRPr="009F31B3">
        <w:rPr>
          <w:sz w:val="16"/>
          <w:highlight w:val="cyan"/>
        </w:rPr>
        <w:t xml:space="preserve"> </w:t>
      </w:r>
      <w:r w:rsidRPr="008D0772">
        <w:rPr>
          <w:sz w:val="16"/>
        </w:rPr>
        <w:t xml:space="preserve">apprehend the character of the age and to </w:t>
      </w:r>
      <w:r w:rsidRPr="009F31B3">
        <w:rPr>
          <w:rStyle w:val="StyleUnderline"/>
          <w:highlight w:val="cyan"/>
        </w:rPr>
        <w:t xml:space="preserve">develop </w:t>
      </w:r>
      <w:r w:rsidRPr="008D0772">
        <w:rPr>
          <w:rStyle w:val="StyleUnderline"/>
        </w:rPr>
        <w:t>a political critique and a moral-</w:t>
      </w:r>
      <w:r w:rsidRPr="009F31B3">
        <w:rPr>
          <w:rStyle w:val="StyleUnderline"/>
          <w:highlight w:val="cyan"/>
        </w:rPr>
        <w:t xml:space="preserve">political vision </w:t>
      </w:r>
      <w:r w:rsidRPr="008D0772">
        <w:rPr>
          <w:rStyle w:val="StyleUnderline"/>
        </w:rPr>
        <w:t>appropriate to this character</w:t>
      </w:r>
      <w:r w:rsidRPr="008D0772">
        <w:rPr>
          <w:sz w:val="16"/>
        </w:rPr>
        <w:t xml:space="preserve">."84 </w:t>
      </w:r>
      <w:r w:rsidRPr="008D0772">
        <w:rPr>
          <w:rStyle w:val="StyleUnderline"/>
        </w:rPr>
        <w:t>She ascribes this failure to an attitude of "Left melancholy" in which "</w:t>
      </w:r>
      <w:r w:rsidRPr="009F31B3">
        <w:rPr>
          <w:rStyle w:val="StyleUnderline"/>
          <w:highlight w:val="cyan"/>
        </w:rPr>
        <w:t xml:space="preserve">the </w:t>
      </w:r>
      <w:r w:rsidRPr="009F31B3">
        <w:rPr>
          <w:rStyle w:val="Emphasis"/>
          <w:highlight w:val="cyan"/>
        </w:rPr>
        <w:t>revolutionary hack</w:t>
      </w:r>
      <w:r w:rsidRPr="009F31B3">
        <w:rPr>
          <w:sz w:val="16"/>
          <w:highlight w:val="cyan"/>
        </w:rPr>
        <w:t xml:space="preserve"> </w:t>
      </w:r>
      <w:r w:rsidRPr="008D0772">
        <w:rPr>
          <w:sz w:val="16"/>
        </w:rPr>
        <w:t xml:space="preserve">. . . </w:t>
      </w:r>
      <w:r w:rsidRPr="009F31B3">
        <w:rPr>
          <w:rStyle w:val="Emphasis"/>
          <w:highlight w:val="cyan"/>
        </w:rPr>
        <w:t>is</w:t>
      </w:r>
      <w:r w:rsidRPr="008D0772">
        <w:rPr>
          <w:sz w:val="16"/>
        </w:rPr>
        <w:t xml:space="preserve">, finally, </w:t>
      </w:r>
      <w:r w:rsidRPr="009F31B3">
        <w:rPr>
          <w:rStyle w:val="Emphasis"/>
          <w:highlight w:val="cyan"/>
        </w:rPr>
        <w:t xml:space="preserve">attached more to </w:t>
      </w:r>
      <w:r w:rsidRPr="008D0772">
        <w:rPr>
          <w:rStyle w:val="Emphasis"/>
        </w:rPr>
        <w:t xml:space="preserve">a particular </w:t>
      </w:r>
      <w:r w:rsidRPr="009F31B3">
        <w:rPr>
          <w:rStyle w:val="Emphasis"/>
          <w:highlight w:val="cyan"/>
        </w:rPr>
        <w:t>political analysis</w:t>
      </w:r>
      <w:r w:rsidRPr="009F31B3">
        <w:rPr>
          <w:sz w:val="16"/>
          <w:highlight w:val="cyan"/>
        </w:rPr>
        <w:t xml:space="preserve"> </w:t>
      </w:r>
      <w:r w:rsidRPr="008D0772">
        <w:rPr>
          <w:sz w:val="16"/>
        </w:rPr>
        <w:t>or ideal—</w:t>
      </w:r>
      <w:r w:rsidRPr="008D0772">
        <w:rPr>
          <w:rStyle w:val="StyleUnderline"/>
        </w:rPr>
        <w:t>even to the failure of that ideal</w:t>
      </w:r>
      <w:r w:rsidRPr="008D0772">
        <w:rPr>
          <w:sz w:val="16"/>
        </w:rPr>
        <w:t>—</w:t>
      </w:r>
      <w:r w:rsidRPr="009F31B3">
        <w:rPr>
          <w:rStyle w:val="Emphasis"/>
          <w:highlight w:val="cyan"/>
        </w:rPr>
        <w:t xml:space="preserve">than to seizing possibilities for radical change </w:t>
      </w:r>
      <w:r w:rsidRPr="008D0772">
        <w:rPr>
          <w:rStyle w:val="Emphasis"/>
        </w:rPr>
        <w:t>in the present</w:t>
      </w:r>
      <w:r w:rsidRPr="008D0772">
        <w:rPr>
          <w:sz w:val="16"/>
        </w:rPr>
        <w:t xml:space="preserve">."" </w:t>
      </w:r>
      <w:r w:rsidRPr="00A83273">
        <w:rPr>
          <w:sz w:val="16"/>
          <w:szCs w:val="16"/>
        </w:rPr>
        <w:t>This "narcissism with regard t</w:t>
      </w:r>
      <w:r w:rsidRPr="008D0772">
        <w:rPr>
          <w:sz w:val="16"/>
        </w:rPr>
        <w:t xml:space="preserve">o one's past political attachments . . . </w:t>
      </w:r>
      <w:r w:rsidRPr="009F31B3">
        <w:rPr>
          <w:rStyle w:val="StyleUnderline"/>
          <w:highlight w:val="cyan"/>
        </w:rPr>
        <w:t xml:space="preserve">exceeds </w:t>
      </w:r>
      <w:r w:rsidRPr="008D0772">
        <w:rPr>
          <w:rStyle w:val="StyleUnderline"/>
        </w:rPr>
        <w:t xml:space="preserve">any contemporary </w:t>
      </w:r>
      <w:r w:rsidRPr="009F31B3">
        <w:rPr>
          <w:rStyle w:val="StyleUnderline"/>
          <w:highlight w:val="cyan"/>
        </w:rPr>
        <w:t xml:space="preserve">investment in </w:t>
      </w:r>
      <w:r w:rsidRPr="009F31B3">
        <w:rPr>
          <w:rStyle w:val="Emphasis"/>
          <w:highlight w:val="cyan"/>
        </w:rPr>
        <w:t>political mobilization</w:t>
      </w:r>
      <w:r w:rsidRPr="008D0772">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9F31B3">
        <w:rPr>
          <w:rStyle w:val="StyleUnderline"/>
          <w:highlight w:val="cyan"/>
        </w:rPr>
        <w:t xml:space="preserve">a rigid attachment </w:t>
      </w:r>
      <w:r w:rsidRPr="00461147">
        <w:rPr>
          <w:rStyle w:val="StyleUnderline"/>
        </w:rPr>
        <w:t xml:space="preserve">to outmoded ideals </w:t>
      </w:r>
      <w:r w:rsidRPr="009F31B3">
        <w:rPr>
          <w:rStyle w:val="StyleUnderline"/>
          <w:highlight w:val="cyan"/>
        </w:rPr>
        <w:t xml:space="preserve">prevented </w:t>
      </w:r>
      <w:r w:rsidRPr="00461147">
        <w:rPr>
          <w:rStyle w:val="StyleUnderline"/>
        </w:rPr>
        <w:t xml:space="preserve">Left actors </w:t>
      </w:r>
      <w:r w:rsidRPr="009F31B3">
        <w:rPr>
          <w:rStyle w:val="StyleUnderline"/>
          <w:highlight w:val="cyan"/>
        </w:rPr>
        <w:t xml:space="preserve">from </w:t>
      </w:r>
      <w:r w:rsidRPr="008D0772">
        <w:rPr>
          <w:rStyle w:val="StyleUnderline"/>
        </w:rPr>
        <w:t xml:space="preserve">recognizing new conditions and </w:t>
      </w:r>
      <w:r w:rsidRPr="009F31B3">
        <w:rPr>
          <w:rStyle w:val="Emphasis"/>
          <w:highlight w:val="cyan"/>
        </w:rPr>
        <w:t>responding</w:t>
      </w:r>
      <w:r w:rsidRPr="009F31B3">
        <w:rPr>
          <w:sz w:val="16"/>
          <w:highlight w:val="cyan"/>
        </w:rPr>
        <w:t xml:space="preserve"> </w:t>
      </w:r>
      <w:r w:rsidRPr="008D0772">
        <w:rPr>
          <w:sz w:val="16"/>
        </w:rPr>
        <w:t xml:space="preserve">adequately </w:t>
      </w:r>
      <w:r w:rsidRPr="009F31B3">
        <w:rPr>
          <w:rStyle w:val="Emphasis"/>
          <w:highlight w:val="cyan"/>
        </w:rPr>
        <w:t xml:space="preserve">to </w:t>
      </w:r>
      <w:r w:rsidRPr="008D0772">
        <w:rPr>
          <w:rStyle w:val="Emphasis"/>
        </w:rPr>
        <w:t xml:space="preserve">new </w:t>
      </w:r>
      <w:r w:rsidRPr="009F31B3">
        <w:rPr>
          <w:rStyle w:val="Emphasis"/>
          <w:highlight w:val="cyan"/>
        </w:rPr>
        <w:t>challenges</w:t>
      </w:r>
      <w:r w:rsidRPr="008D0772">
        <w:rPr>
          <w:sz w:val="16"/>
        </w:rPr>
        <w:t xml:space="preserve">. </w:t>
      </w:r>
      <w:r w:rsidRPr="008D0772">
        <w:rPr>
          <w:rStyle w:val="StyleUnderline"/>
        </w:rPr>
        <w:t>She relates this</w:t>
      </w:r>
      <w:r w:rsidRPr="008D0772">
        <w:rPr>
          <w:sz w:val="16"/>
        </w:rPr>
        <w:t xml:space="preserve"> blindness and paralysis </w:t>
      </w:r>
      <w:r w:rsidRPr="008D0772">
        <w:rPr>
          <w:rStyle w:val="StyleUnderline"/>
        </w:rPr>
        <w:t xml:space="preserve">to the overwhelming sense of </w:t>
      </w:r>
      <w:r w:rsidRPr="008D0772">
        <w:rPr>
          <w:rStyle w:val="Emphasis"/>
        </w:rPr>
        <w:t>loss</w:t>
      </w:r>
      <w:r w:rsidRPr="008D0772">
        <w:rPr>
          <w:rStyle w:val="StyleUnderline"/>
        </w:rPr>
        <w:t xml:space="preserve"> following </w:t>
      </w:r>
      <w:r w:rsidRPr="008D0772">
        <w:rPr>
          <w:rStyle w:val="Emphasis"/>
        </w:rPr>
        <w:t>great political defeats</w:t>
      </w:r>
      <w:r w:rsidRPr="008D0772">
        <w:rPr>
          <w:sz w:val="16"/>
        </w:rPr>
        <w:t>.</w:t>
      </w:r>
    </w:p>
    <w:p w14:paraId="6F18B0D8" w14:textId="77777777" w:rsidR="00A753EF" w:rsidRDefault="00A753EF" w:rsidP="00A753EF">
      <w:pPr>
        <w:rPr>
          <w:sz w:val="16"/>
        </w:rPr>
      </w:pPr>
      <w:r w:rsidRPr="008D0772">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9F31B3">
        <w:rPr>
          <w:rStyle w:val="StyleUnderline"/>
          <w:highlight w:val="cyan"/>
        </w:rPr>
        <w:t xml:space="preserve">The result was an impoverished "Left </w:t>
      </w:r>
      <w:r w:rsidRPr="008D0772">
        <w:rPr>
          <w:rStyle w:val="StyleUnderline"/>
        </w:rPr>
        <w:t xml:space="preserve">traditionalism" </w:t>
      </w:r>
      <w:r w:rsidRPr="009F31B3">
        <w:rPr>
          <w:rStyle w:val="StyleUnderline"/>
          <w:highlight w:val="cyan"/>
        </w:rPr>
        <w:t xml:space="preserve">that operates </w:t>
      </w:r>
      <w:r w:rsidRPr="009F31B3">
        <w:rPr>
          <w:rStyle w:val="Emphasis"/>
          <w:highlight w:val="cyan"/>
        </w:rPr>
        <w:t>without</w:t>
      </w:r>
      <w:r w:rsidRPr="009F31B3">
        <w:rPr>
          <w:sz w:val="16"/>
          <w:highlight w:val="cyan"/>
        </w:rPr>
        <w:t xml:space="preserve"> </w:t>
      </w:r>
      <w:r w:rsidRPr="008D0772">
        <w:rPr>
          <w:sz w:val="16"/>
        </w:rPr>
        <w:t xml:space="preserve">either a deep and radical critique of the status quo or a </w:t>
      </w:r>
      <w:r w:rsidRPr="008D0772">
        <w:rPr>
          <w:rStyle w:val="Emphasis"/>
        </w:rPr>
        <w:t xml:space="preserve">compelling </w:t>
      </w:r>
      <w:r w:rsidRPr="009F31B3">
        <w:rPr>
          <w:rStyle w:val="Emphasis"/>
          <w:highlight w:val="cyan"/>
        </w:rPr>
        <w:t xml:space="preserve">alternative </w:t>
      </w:r>
      <w:r w:rsidRPr="008D0772">
        <w:rPr>
          <w:rStyle w:val="Emphasis"/>
        </w:rPr>
        <w:t xml:space="preserve">to the existing order of </w:t>
      </w:r>
      <w:r w:rsidRPr="00461147">
        <w:rPr>
          <w:rStyle w:val="Emphasis"/>
        </w:rPr>
        <w:t>things</w:t>
      </w:r>
      <w:r w:rsidRPr="00461147">
        <w:rPr>
          <w:sz w:val="16"/>
        </w:rPr>
        <w:t xml:space="preserve"> . . . </w:t>
      </w:r>
      <w:r w:rsidRPr="00461147">
        <w:rPr>
          <w:rStyle w:val="StyleUnderline"/>
        </w:rPr>
        <w:t>a Left that has</w:t>
      </w:r>
      <w:r w:rsidRPr="008D0772">
        <w:rPr>
          <w:rStyle w:val="StyleUnderline"/>
        </w:rPr>
        <w:t xml:space="preserve"> become </w:t>
      </w:r>
      <w:r w:rsidRPr="009F31B3">
        <w:rPr>
          <w:rStyle w:val="Emphasis"/>
          <w:highlight w:val="cyan"/>
        </w:rPr>
        <w:t xml:space="preserve">more attached to </w:t>
      </w:r>
      <w:r w:rsidRPr="008D0772">
        <w:rPr>
          <w:rStyle w:val="Emphasis"/>
        </w:rPr>
        <w:t xml:space="preserve">its </w:t>
      </w:r>
      <w:r w:rsidRPr="009F31B3">
        <w:rPr>
          <w:rStyle w:val="Emphasis"/>
          <w:highlight w:val="cyan"/>
        </w:rPr>
        <w:t xml:space="preserve">impossibility than </w:t>
      </w:r>
      <w:r w:rsidRPr="008D0772">
        <w:rPr>
          <w:rStyle w:val="Emphasis"/>
        </w:rPr>
        <w:t xml:space="preserve">to its potential </w:t>
      </w:r>
      <w:r w:rsidRPr="009F31B3">
        <w:rPr>
          <w:rStyle w:val="Emphasis"/>
          <w:highlight w:val="cyan"/>
        </w:rPr>
        <w:t>fruitfulness</w:t>
      </w:r>
      <w:r w:rsidRPr="009F31B3">
        <w:rPr>
          <w:sz w:val="16"/>
          <w:highlight w:val="cyan"/>
        </w:rPr>
        <w:t xml:space="preserve"> </w:t>
      </w:r>
      <w:r w:rsidRPr="008D0772">
        <w:rPr>
          <w:sz w:val="16"/>
        </w:rPr>
        <w:t xml:space="preserve">. . . </w:t>
      </w:r>
      <w:r w:rsidRPr="008D0772">
        <w:rPr>
          <w:rStyle w:val="StyleUnderline"/>
        </w:rPr>
        <w:t xml:space="preserve">a </w:t>
      </w:r>
      <w:r w:rsidRPr="00214AF3">
        <w:rPr>
          <w:rStyle w:val="StyleUnderline"/>
        </w:rPr>
        <w:t xml:space="preserve">Left that is thus caught in a structure of </w:t>
      </w:r>
      <w:r w:rsidRPr="00214AF3">
        <w:rPr>
          <w:rStyle w:val="Emphasis"/>
        </w:rPr>
        <w:t>melancholic attachment</w:t>
      </w:r>
      <w:r w:rsidRPr="00214AF3">
        <w:rPr>
          <w:sz w:val="16"/>
        </w:rPr>
        <w:t xml:space="preserve"> to a certain strain of its own dead past."' In contrast, s</w:t>
      </w:r>
      <w:r w:rsidRPr="008D0772">
        <w:rPr>
          <w:sz w:val="16"/>
        </w:rPr>
        <w:t xml:space="preserve">he calls for "the Left to invigorate [itself] with a radical . . . critical and visionary spirit . . . that embraces the notion of deep and indeed unsettling </w:t>
      </w:r>
      <w:r w:rsidRPr="00214AF3">
        <w:rPr>
          <w:sz w:val="16"/>
        </w:rPr>
        <w:t xml:space="preserve">transformation of society." </w:t>
      </w:r>
      <w:r w:rsidRPr="00214AF3">
        <w:rPr>
          <w:rStyle w:val="StyleUnderline"/>
        </w:rPr>
        <w:t>She asks, in terms that should still reverberate today, "How might we draw creative sustenance</w:t>
      </w:r>
      <w:r w:rsidRPr="00214AF3">
        <w:rPr>
          <w:sz w:val="16"/>
        </w:rPr>
        <w:t xml:space="preserve"> from socialist ideals of dignity, equality, and freedom, </w:t>
      </w:r>
      <w:r w:rsidRPr="00214AF3">
        <w:rPr>
          <w:rStyle w:val="StyleUnderline"/>
        </w:rPr>
        <w:t>while recognizing that these ideals were conjured from historical conditions and prospects that are not those of the present?"</w:t>
      </w:r>
      <w:r w:rsidRPr="00214AF3">
        <w:rPr>
          <w:sz w:val="16"/>
        </w:rPr>
        <w:t xml:space="preserve">' </w:t>
      </w:r>
      <w:r w:rsidRPr="00214AF3">
        <w:rPr>
          <w:rStyle w:val="StyleUnderline"/>
        </w:rPr>
        <w:t>Here then is a response to</w:t>
      </w:r>
      <w:r w:rsidRPr="00214AF3">
        <w:rPr>
          <w:sz w:val="16"/>
        </w:rPr>
        <w:t xml:space="preserve"> Traverso's </w:t>
      </w:r>
      <w:r w:rsidRPr="00214AF3">
        <w:rPr>
          <w:rStyle w:val="StyleUnderline"/>
        </w:rPr>
        <w:t>dilemma</w:t>
      </w:r>
      <w:r w:rsidRPr="00214AF3">
        <w:rPr>
          <w:sz w:val="16"/>
        </w:rPr>
        <w:t xml:space="preserve"> that </w:t>
      </w:r>
      <w:r w:rsidRPr="00214AF3">
        <w:rPr>
          <w:rStyle w:val="Emphasis"/>
        </w:rPr>
        <w:t>rejects</w:t>
      </w:r>
      <w:r w:rsidRPr="00214AF3">
        <w:rPr>
          <w:sz w:val="16"/>
        </w:rPr>
        <w:t xml:space="preserve"> rather than revives </w:t>
      </w:r>
      <w:r w:rsidRPr="00214AF3">
        <w:rPr>
          <w:rStyle w:val="Emphasis"/>
        </w:rPr>
        <w:t>melancholic attachments to</w:t>
      </w:r>
      <w:r w:rsidRPr="00214AF3">
        <w:rPr>
          <w:sz w:val="16"/>
        </w:rPr>
        <w:t xml:space="preserve"> past </w:t>
      </w:r>
      <w:r w:rsidRPr="00214AF3">
        <w:rPr>
          <w:rStyle w:val="Emphasis"/>
        </w:rPr>
        <w:t>defeats</w:t>
      </w:r>
      <w:r w:rsidRPr="00214AF3">
        <w:rPr>
          <w:sz w:val="16"/>
        </w:rPr>
        <w:t xml:space="preserve"> and convictions.</w:t>
      </w:r>
    </w:p>
    <w:p w14:paraId="21452E87" w14:textId="77777777" w:rsidR="00A753EF" w:rsidRDefault="00A753EF" w:rsidP="00A753EF"/>
    <w:p w14:paraId="7616C5C9" w14:textId="77777777" w:rsidR="00A753EF" w:rsidRDefault="00A753EF" w:rsidP="00A753EF">
      <w:pPr>
        <w:pStyle w:val="Heading4"/>
        <w:rPr>
          <w:rFonts w:eastAsia="Calibri"/>
        </w:rPr>
      </w:pPr>
      <w:r>
        <w:rPr>
          <w:rFonts w:eastAsia="Calibri"/>
        </w:rPr>
        <w:t>Poetry peters out at best and gets coopted at worst---it trades off with our capacity to use debate to generate utopian imaginaries of concrete alternatives that mobilize systemic change outside the university.</w:t>
      </w:r>
    </w:p>
    <w:p w14:paraId="62AE9A91" w14:textId="77777777" w:rsidR="00A753EF" w:rsidRDefault="00A753EF" w:rsidP="00A753EF">
      <w:pPr>
        <w:spacing w:line="256" w:lineRule="auto"/>
        <w:rPr>
          <w:rFonts w:eastAsia="Calibri"/>
          <w:sz w:val="16"/>
          <w:szCs w:val="16"/>
        </w:rPr>
      </w:pPr>
      <w:r>
        <w:rPr>
          <w:rFonts w:eastAsia="Calibri"/>
          <w:b/>
          <w:sz w:val="26"/>
          <w:szCs w:val="26"/>
        </w:rPr>
        <w:t>Webb 18</w:t>
      </w:r>
      <w:r>
        <w:rPr>
          <w:rFonts w:eastAsia="Calibri"/>
          <w:sz w:val="16"/>
          <w:szCs w:val="16"/>
        </w:rPr>
        <w:t>—Senior Lecturer in Education at the University of Sheffield (Darren, “Bolt-holes and breathing spaces in the system: On forms of academic resistance (or, can the university be a site of utopian possibility?),” Review of Education, Pedagogy, and Cultural Studies, 40:2, 96-118, dml)</w:t>
      </w:r>
    </w:p>
    <w:p w14:paraId="5F6C91E7" w14:textId="77777777" w:rsidR="00A753EF" w:rsidRDefault="00A753EF" w:rsidP="00A753EF">
      <w:pPr>
        <w:spacing w:line="256" w:lineRule="auto"/>
        <w:rPr>
          <w:rFonts w:eastAsia="Calibri"/>
          <w:u w:val="single"/>
        </w:rPr>
      </w:pPr>
      <w:r>
        <w:rPr>
          <w:rFonts w:eastAsia="Calibri"/>
          <w:highlight w:val="cyan"/>
          <w:u w:val="single"/>
        </w:rPr>
        <w:t xml:space="preserve">It is </w:t>
      </w:r>
      <w:r>
        <w:rPr>
          <w:rFonts w:eastAsia="Calibri"/>
          <w:b/>
          <w:highlight w:val="cyan"/>
          <w:u w:val="single"/>
        </w:rPr>
        <w:t>easy to be seduced</w:t>
      </w:r>
      <w:r>
        <w:rPr>
          <w:rFonts w:eastAsia="Calibri"/>
          <w:highlight w:val="cyan"/>
          <w:u w:val="single"/>
        </w:rPr>
        <w:t xml:space="preserve"> by the</w:t>
      </w:r>
      <w:r>
        <w:rPr>
          <w:rFonts w:eastAsia="Calibri"/>
          <w:u w:val="single"/>
        </w:rPr>
        <w:t xml:space="preserve"> language of the </w:t>
      </w:r>
      <w:r>
        <w:rPr>
          <w:rFonts w:eastAsia="Calibri"/>
          <w:highlight w:val="cyan"/>
          <w:u w:val="single"/>
        </w:rPr>
        <w:t>undercommons</w:t>
      </w:r>
      <w:r>
        <w:rPr>
          <w:rFonts w:eastAsia="Calibri"/>
          <w:u w:val="single"/>
        </w:rPr>
        <w:t xml:space="preserve">. </w:t>
      </w:r>
      <w:r>
        <w:rPr>
          <w:rFonts w:eastAsia="Calibri"/>
          <w:b/>
          <w:highlight w:val="cyan"/>
          <w:u w:val="single"/>
        </w:rPr>
        <w:t>Embodying</w:t>
      </w:r>
      <w:r>
        <w:rPr>
          <w:rFonts w:eastAsia="Calibri"/>
          <w:u w:val="single"/>
        </w:rPr>
        <w:t xml:space="preserve"> and </w:t>
      </w:r>
      <w:r>
        <w:rPr>
          <w:rFonts w:eastAsia="Calibri"/>
          <w:b/>
          <w:u w:val="single"/>
        </w:rPr>
        <w:t xml:space="preserve">enacting </w:t>
      </w:r>
      <w:r>
        <w:rPr>
          <w:rFonts w:eastAsia="Calibri"/>
          <w:b/>
          <w:highlight w:val="cyan"/>
          <w:u w:val="single"/>
        </w:rPr>
        <w:t>it</w:t>
      </w:r>
      <w:r>
        <w:rPr>
          <w:rFonts w:eastAsia="Calibri"/>
          <w:highlight w:val="cyan"/>
          <w:u w:val="single"/>
        </w:rPr>
        <w:t>,</w:t>
      </w:r>
      <w:r>
        <w:rPr>
          <w:rFonts w:eastAsia="Calibri"/>
          <w:u w:val="single"/>
        </w:rPr>
        <w:t xml:space="preserve"> however, </w:t>
      </w:r>
      <w:r>
        <w:rPr>
          <w:rFonts w:eastAsia="Calibri"/>
          <w:highlight w:val="cyan"/>
          <w:u w:val="single"/>
        </w:rPr>
        <w:t xml:space="preserve">is </w:t>
      </w:r>
      <w:r>
        <w:rPr>
          <w:rFonts w:eastAsia="Calibri"/>
          <w:b/>
          <w:highlight w:val="cyan"/>
          <w:u w:val="single"/>
        </w:rPr>
        <w:t>difficult</w:t>
      </w:r>
      <w:r>
        <w:rPr>
          <w:rFonts w:eastAsia="Calibri"/>
          <w:b/>
          <w:u w:val="single"/>
        </w:rPr>
        <w:t xml:space="preserve"> indeed</w:t>
      </w:r>
      <w:r>
        <w:rPr>
          <w:rFonts w:eastAsia="Calibri"/>
          <w:u w:val="single"/>
        </w:rPr>
        <w:t xml:space="preserve">. </w:t>
      </w:r>
      <w:r>
        <w:rPr>
          <w:rFonts w:eastAsia="Calibri"/>
          <w:highlight w:val="cyan"/>
          <w:u w:val="single"/>
        </w:rPr>
        <w:t>Being within and against the university</w:t>
      </w:r>
      <w:r>
        <w:rPr>
          <w:rFonts w:eastAsia="Calibri"/>
          <w:u w:val="single"/>
        </w:rPr>
        <w:t xml:space="preserve">, refusing the call to order through insolent obstructive unprofessionalism, </w:t>
      </w:r>
      <w:r>
        <w:rPr>
          <w:rFonts w:eastAsia="Calibri"/>
          <w:highlight w:val="cyan"/>
          <w:u w:val="single"/>
        </w:rPr>
        <w:t>is</w:t>
      </w:r>
      <w:r>
        <w:rPr>
          <w:rFonts w:eastAsia="Calibri"/>
          <w:u w:val="single"/>
        </w:rPr>
        <w:t xml:space="preserve"> </w:t>
      </w:r>
      <w:r>
        <w:rPr>
          <w:rFonts w:eastAsia="Calibri"/>
          <w:b/>
          <w:u w:val="single"/>
        </w:rPr>
        <w:t xml:space="preserve">almost </w:t>
      </w:r>
      <w:r>
        <w:rPr>
          <w:rFonts w:eastAsia="Calibri"/>
          <w:b/>
          <w:highlight w:val="cyan"/>
          <w:u w:val="single"/>
        </w:rPr>
        <w:t>impossible to sustain</w:t>
      </w:r>
      <w:r>
        <w:rPr>
          <w:rFonts w:eastAsia="Calibri"/>
          <w:sz w:val="12"/>
          <w:szCs w:val="12"/>
          <w:highlight w:val="cyan"/>
        </w:rPr>
        <w:t>.</w:t>
      </w:r>
      <w:r>
        <w:rPr>
          <w:rFonts w:eastAsia="Calibri"/>
          <w:sz w:val="12"/>
          <w:szCs w:val="12"/>
        </w:rPr>
        <w:t xml:space="preserve"> Halberstam (2009, 45) describes the undercommons as “a marooned community of outcast thinkers who refuse, resist, and renege on the demands of rigor, excellence, and productivity.” </w:t>
      </w:r>
      <w:r>
        <w:rPr>
          <w:rFonts w:eastAsia="Calibri"/>
          <w:highlight w:val="cyan"/>
          <w:u w:val="single"/>
        </w:rPr>
        <w:t xml:space="preserve">A </w:t>
      </w:r>
      <w:r>
        <w:rPr>
          <w:rFonts w:eastAsia="Calibri"/>
          <w:b/>
          <w:highlight w:val="cyan"/>
          <w:u w:val="single"/>
        </w:rPr>
        <w:t>romantic</w:t>
      </w:r>
      <w:r>
        <w:rPr>
          <w:rFonts w:eastAsia="Calibri"/>
          <w:u w:val="single"/>
        </w:rPr>
        <w:t xml:space="preserve"> and </w:t>
      </w:r>
      <w:r>
        <w:rPr>
          <w:rFonts w:eastAsia="Calibri"/>
          <w:b/>
          <w:u w:val="single"/>
        </w:rPr>
        <w:t xml:space="preserve">appealing </w:t>
      </w:r>
      <w:r>
        <w:rPr>
          <w:rFonts w:eastAsia="Calibri"/>
          <w:b/>
          <w:highlight w:val="cyan"/>
          <w:u w:val="single"/>
        </w:rPr>
        <w:t>notion</w:t>
      </w:r>
      <w:r>
        <w:rPr>
          <w:rFonts w:eastAsia="Calibri"/>
          <w:b/>
          <w:u w:val="single"/>
        </w:rPr>
        <w:t xml:space="preserve"> for sure</w:t>
      </w:r>
      <w:r>
        <w:rPr>
          <w:rFonts w:eastAsia="Calibri"/>
          <w:u w:val="single"/>
        </w:rPr>
        <w:t xml:space="preserve"> </w:t>
      </w:r>
      <w:r>
        <w:rPr>
          <w:rFonts w:eastAsia="Calibri"/>
          <w:highlight w:val="cyan"/>
          <w:u w:val="single"/>
        </w:rPr>
        <w:t>but refusing</w:t>
      </w:r>
      <w:r>
        <w:rPr>
          <w:rFonts w:eastAsia="Calibri"/>
          <w:u w:val="single"/>
        </w:rPr>
        <w:t xml:space="preserve"> and reneging on “the university of </w:t>
      </w:r>
      <w:r>
        <w:rPr>
          <w:rFonts w:eastAsia="Calibri"/>
          <w:highlight w:val="cyan"/>
          <w:u w:val="single"/>
        </w:rPr>
        <w:t xml:space="preserve">excellence” will </w:t>
      </w:r>
      <w:r>
        <w:rPr>
          <w:rFonts w:eastAsia="Calibri"/>
          <w:b/>
          <w:highlight w:val="cyan"/>
          <w:u w:val="single"/>
        </w:rPr>
        <w:t>cost you your job</w:t>
      </w:r>
      <w:r>
        <w:rPr>
          <w:rFonts w:eastAsia="Calibri"/>
          <w:sz w:val="12"/>
          <w:szCs w:val="12"/>
        </w:rPr>
        <w:t xml:space="preserve">.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 Being with and for the maroon community is difficult too. First of all, </w:t>
      </w:r>
      <w:r>
        <w:rPr>
          <w:rFonts w:eastAsia="Calibri"/>
          <w:u w:val="single"/>
        </w:rPr>
        <w:t>“Where and how can we find/see the Undercommons at work?”</w:t>
      </w:r>
      <w:r>
        <w:rPr>
          <w:rFonts w:eastAsia="Calibri"/>
          <w:sz w:val="12"/>
          <w:szCs w:val="12"/>
        </w:rPr>
        <w:t xml:space="preserve"> (Ĉiĉigoj, Apostolou-Hölscher, and Rusham 2015, 265). </w:t>
      </w:r>
      <w:r>
        <w:rPr>
          <w:rFonts w:eastAsia="Calibri"/>
          <w:u w:val="single"/>
        </w:rPr>
        <w:t>Where and how can one find those liminal spaces of sabotage and subversion, and how does one occupy them</w:t>
      </w:r>
      <w:r>
        <w:rPr>
          <w:rFonts w:eastAsia="Calibri"/>
          <w:sz w:val="12"/>
          <w:szCs w:val="12"/>
        </w:rPr>
        <w:t xml:space="preserve"> in a spirit of hapticality, study, and militant arrhythmia that brings the utopic underground to the surface of the fierce and urgent now? </w:t>
      </w:r>
      <w:r>
        <w:rPr>
          <w:rFonts w:eastAsia="Calibri"/>
          <w:u w:val="single"/>
        </w:rPr>
        <w:t xml:space="preserve">Beautiful language, but </w:t>
      </w:r>
      <w:r>
        <w:rPr>
          <w:rFonts w:eastAsia="Calibri"/>
          <w:b/>
          <w:highlight w:val="cyan"/>
          <w:u w:val="single"/>
        </w:rPr>
        <w:t>how does one live it</w:t>
      </w:r>
      <w:r>
        <w:rPr>
          <w:rFonts w:eastAsia="Calibri"/>
          <w:u w:val="single"/>
        </w:rPr>
        <w:t>? Networks do, of course, exist</w:t>
      </w:r>
      <w:r>
        <w:rPr>
          <w:rFonts w:eastAsia="Calibri"/>
          <w:sz w:val="12"/>
          <w:szCs w:val="12"/>
        </w:rPr>
        <w:t xml:space="preserve">—the Undercommoning Collective, the Edu-Factory Collective, the International Network for Alternative Academia, to name but a few. </w:t>
      </w:r>
      <w:r>
        <w:rPr>
          <w:rFonts w:eastAsia="Calibri"/>
          <w:u w:val="single"/>
        </w:rPr>
        <w:t xml:space="preserve">These are promising spaces for bringing together and harboring the maroons and the fugitives. But </w:t>
      </w:r>
      <w:r>
        <w:rPr>
          <w:rFonts w:eastAsia="Calibri"/>
          <w:highlight w:val="cyan"/>
          <w:u w:val="single"/>
        </w:rPr>
        <w:t>networks are</w:t>
      </w:r>
      <w:r>
        <w:rPr>
          <w:rFonts w:eastAsia="Calibri"/>
          <w:u w:val="single"/>
        </w:rPr>
        <w:t xml:space="preserve"> </w:t>
      </w:r>
      <w:r>
        <w:rPr>
          <w:rFonts w:eastAsia="Calibri"/>
          <w:b/>
          <w:u w:val="single"/>
        </w:rPr>
        <w:t xml:space="preserve">typically </w:t>
      </w:r>
      <w:r>
        <w:rPr>
          <w:rFonts w:eastAsia="Calibri"/>
          <w:b/>
          <w:highlight w:val="cyan"/>
          <w:u w:val="single"/>
        </w:rPr>
        <w:t>short-lived</w:t>
      </w:r>
      <w:r>
        <w:rPr>
          <w:rFonts w:eastAsia="Calibri"/>
          <w:u w:val="single"/>
        </w:rPr>
        <w:t>, and</w:t>
      </w:r>
      <w:r>
        <w:rPr>
          <w:rFonts w:eastAsia="Calibri"/>
          <w:sz w:val="12"/>
          <w:szCs w:val="12"/>
        </w:rPr>
        <w:t>—as Harney and Moten warned—</w:t>
      </w:r>
      <w:r>
        <w:rPr>
          <w:rFonts w:eastAsia="Calibri"/>
          <w:u w:val="single"/>
        </w:rPr>
        <w:t xml:space="preserve">there is a danger of </w:t>
      </w:r>
      <w:r>
        <w:rPr>
          <w:rFonts w:eastAsia="Calibri"/>
          <w:b/>
          <w:u w:val="single"/>
        </w:rPr>
        <w:t>institutionalization</w:t>
      </w:r>
      <w:r>
        <w:rPr>
          <w:rFonts w:eastAsia="Calibri"/>
          <w:u w:val="single"/>
        </w:rPr>
        <w:t xml:space="preserve">, of </w:t>
      </w:r>
      <w:r>
        <w:rPr>
          <w:rFonts w:eastAsia="Calibri"/>
          <w:b/>
          <w:u w:val="single"/>
        </w:rPr>
        <w:t>taking institutional practices with you</w:t>
      </w:r>
      <w:r>
        <w:rPr>
          <w:rFonts w:eastAsia="Calibri"/>
          <w:u w:val="single"/>
        </w:rPr>
        <w:t xml:space="preserve"> into alternative spaces “because we’ve </w:t>
      </w:r>
      <w:r>
        <w:rPr>
          <w:rFonts w:eastAsia="Calibri"/>
          <w:b/>
          <w:u w:val="single"/>
        </w:rPr>
        <w:t>been inside so much</w:t>
      </w:r>
      <w:r>
        <w:rPr>
          <w:rFonts w:eastAsia="Calibri"/>
          <w:u w:val="single"/>
        </w:rPr>
        <w:t>”</w:t>
      </w:r>
      <w:r>
        <w:rPr>
          <w:rFonts w:eastAsia="Calibri"/>
          <w:sz w:val="12"/>
          <w:szCs w:val="12"/>
        </w:rPr>
        <w:t xml:space="preserve"> (Harney and Moten 2013, 148). </w:t>
      </w:r>
      <w:r>
        <w:rPr>
          <w:rFonts w:eastAsia="Calibri"/>
          <w:u w:val="single"/>
        </w:rPr>
        <w:t xml:space="preserve">And so, </w:t>
      </w:r>
      <w:r>
        <w:rPr>
          <w:rFonts w:eastAsia="Calibri"/>
          <w:b/>
          <w:u w:val="single"/>
        </w:rPr>
        <w:t>predictably</w:t>
      </w:r>
      <w:r>
        <w:rPr>
          <w:rFonts w:eastAsia="Calibri"/>
          <w:u w:val="single"/>
        </w:rPr>
        <w:t xml:space="preserve">, </w:t>
      </w:r>
      <w:r>
        <w:rPr>
          <w:rFonts w:eastAsia="Calibri"/>
          <w:highlight w:val="cyan"/>
          <w:u w:val="single"/>
        </w:rPr>
        <w:t>meetings</w:t>
      </w:r>
      <w:r>
        <w:rPr>
          <w:rFonts w:eastAsia="Calibri"/>
          <w:u w:val="single"/>
        </w:rPr>
        <w:t xml:space="preserve"> of the fugitives come </w:t>
      </w:r>
      <w:r>
        <w:rPr>
          <w:rFonts w:eastAsia="Calibri"/>
          <w:highlight w:val="cyan"/>
          <w:u w:val="single"/>
        </w:rPr>
        <w:t xml:space="preserve">with </w:t>
      </w:r>
      <w:r>
        <w:rPr>
          <w:rFonts w:eastAsia="Calibri"/>
          <w:b/>
          <w:highlight w:val="cyan"/>
          <w:u w:val="single"/>
        </w:rPr>
        <w:t>structure</w:t>
      </w:r>
      <w:r>
        <w:rPr>
          <w:rFonts w:eastAsia="Calibri"/>
          <w:highlight w:val="cyan"/>
          <w:u w:val="single"/>
        </w:rPr>
        <w:t xml:space="preserve">, </w:t>
      </w:r>
      <w:r>
        <w:rPr>
          <w:rFonts w:eastAsia="Calibri"/>
          <w:b/>
          <w:highlight w:val="cyan"/>
          <w:u w:val="single"/>
        </w:rPr>
        <w:t>order</w:t>
      </w:r>
      <w:r>
        <w:rPr>
          <w:rFonts w:eastAsia="Calibri"/>
          <w:sz w:val="12"/>
          <w:szCs w:val="12"/>
        </w:rPr>
        <w:t xml:space="preserve">, an official agenda, and circulated minutes. The outcasts convene in conventional academic conferences, with parallel sessions, panels of papers, lunch breaks, wine and nibbles (e.g., Edu-Factory 2012). </w:t>
      </w:r>
      <w:r>
        <w:rPr>
          <w:rFonts w:eastAsia="Calibri"/>
          <w:u w:val="single"/>
        </w:rPr>
        <w:t xml:space="preserve">These spaces </w:t>
      </w:r>
      <w:r>
        <w:rPr>
          <w:rFonts w:eastAsia="Calibri"/>
          <w:highlight w:val="cyan"/>
          <w:u w:val="single"/>
        </w:rPr>
        <w:t xml:space="preserve">offer </w:t>
      </w:r>
      <w:r>
        <w:rPr>
          <w:rFonts w:eastAsia="Calibri"/>
          <w:b/>
          <w:highlight w:val="cyan"/>
          <w:u w:val="single"/>
        </w:rPr>
        <w:t>time out</w:t>
      </w:r>
      <w:r>
        <w:rPr>
          <w:rFonts w:eastAsia="Calibri"/>
          <w:u w:val="single"/>
        </w:rPr>
        <w:t xml:space="preserve">, </w:t>
      </w:r>
      <w:r>
        <w:rPr>
          <w:rFonts w:eastAsia="Calibri"/>
          <w:b/>
          <w:u w:val="single"/>
        </w:rPr>
        <w:t>welcome respite</w:t>
      </w:r>
      <w:r>
        <w:rPr>
          <w:rFonts w:eastAsia="Calibri"/>
          <w:sz w:val="12"/>
          <w:szCs w:val="12"/>
        </w:rPr>
        <w:t xml:space="preserve">, a breathing space, a trip abroad, </w:t>
      </w:r>
      <w:r>
        <w:rPr>
          <w:rFonts w:eastAsia="Calibri"/>
          <w:highlight w:val="cyan"/>
          <w:u w:val="single"/>
        </w:rPr>
        <w:t xml:space="preserve">and then one </w:t>
      </w:r>
      <w:r>
        <w:rPr>
          <w:rFonts w:eastAsia="Calibri"/>
          <w:b/>
          <w:highlight w:val="cyan"/>
          <w:u w:val="single"/>
        </w:rPr>
        <w:t>returns to work</w:t>
      </w:r>
      <w:r>
        <w:rPr>
          <w:rFonts w:eastAsia="Calibri"/>
          <w:sz w:val="12"/>
          <w:szCs w:val="12"/>
          <w:highlight w:val="cyan"/>
        </w:rPr>
        <w:t>.</w:t>
      </w:r>
      <w:r>
        <w:rPr>
          <w:rFonts w:eastAsia="Calibri"/>
          <w:sz w:val="12"/>
          <w:szCs w:val="12"/>
        </w:rPr>
        <w:t xml:space="preserve"> </w:t>
      </w:r>
      <w:r>
        <w:rPr>
          <w:rFonts w:eastAsia="Calibri"/>
          <w:u w:val="single"/>
        </w:rPr>
        <w:t xml:space="preserve">If hapticality, the touch of the undercommons, is “a </w:t>
      </w:r>
      <w:r>
        <w:rPr>
          <w:rFonts w:eastAsia="Calibri"/>
          <w:b/>
          <w:u w:val="single"/>
        </w:rPr>
        <w:t>visceral register of experience</w:t>
      </w:r>
      <w:r>
        <w:rPr>
          <w:rFonts w:eastAsia="Calibri"/>
          <w:sz w:val="12"/>
          <w:szCs w:val="12"/>
        </w:rPr>
        <w:t xml:space="preserve"> … the feel that what is to come is here” (Bradley 2014, 129–130), </w:t>
      </w:r>
      <w:r>
        <w:rPr>
          <w:rFonts w:eastAsia="Calibri"/>
          <w:u w:val="single"/>
        </w:rPr>
        <w:t xml:space="preserve">then this seems </w:t>
      </w:r>
      <w:r>
        <w:rPr>
          <w:rFonts w:eastAsia="Calibri"/>
          <w:b/>
          <w:u w:val="single"/>
        </w:rPr>
        <w:t>elusive</w:t>
      </w:r>
      <w:r>
        <w:rPr>
          <w:rFonts w:eastAsia="Calibri"/>
          <w:sz w:val="12"/>
          <w:szCs w:val="12"/>
        </w:rPr>
        <w:t xml:space="preserve">. It is hard to detect a sense of the utopic undercommons rising to the surface of the corporate-imperial university. </w:t>
      </w:r>
      <w:r>
        <w:rPr>
          <w:rFonts w:eastAsia="Calibri"/>
          <w:u w:val="single"/>
        </w:rPr>
        <w:t>Moten describes the call to disorder and to study as a way to “excavate new aesthetic, political, and economic dispositions”</w:t>
      </w:r>
      <w:r>
        <w:rPr>
          <w:rFonts w:eastAsia="Calibri"/>
          <w:sz w:val="12"/>
          <w:szCs w:val="12"/>
        </w:rPr>
        <w:t xml:space="preserve"> (Moten 2008, 1745). </w:t>
      </w:r>
      <w:r>
        <w:rPr>
          <w:rFonts w:eastAsia="Calibri"/>
          <w:u w:val="single"/>
        </w:rPr>
        <w:t xml:space="preserve">But </w:t>
      </w:r>
      <w:r>
        <w:rPr>
          <w:rFonts w:eastAsia="Calibri"/>
          <w:highlight w:val="cyan"/>
          <w:u w:val="single"/>
        </w:rPr>
        <w:t>this notion</w:t>
      </w:r>
      <w:r>
        <w:rPr>
          <w:rFonts w:eastAsia="Calibri"/>
          <w:u w:val="single"/>
        </w:rPr>
        <w:t xml:space="preserve"> of excavating </w:t>
      </w:r>
      <w:r>
        <w:rPr>
          <w:rFonts w:eastAsia="Calibri"/>
          <w:highlight w:val="cyan"/>
          <w:u w:val="single"/>
        </w:rPr>
        <w:t xml:space="preserve">is </w:t>
      </w:r>
      <w:r>
        <w:rPr>
          <w:rFonts w:eastAsia="Calibri"/>
          <w:b/>
          <w:highlight w:val="cyan"/>
          <w:u w:val="single"/>
        </w:rPr>
        <w:t>highly problematic</w:t>
      </w:r>
      <w:r>
        <w:rPr>
          <w:rFonts w:eastAsia="Calibri"/>
          <w:u w:val="single"/>
        </w:rPr>
        <w:t>. It is common within the discourse of “everyday utopianism”</w:t>
      </w:r>
      <w:r>
        <w:rPr>
          <w:rFonts w:eastAsia="Calibri"/>
          <w:sz w:val="12"/>
          <w:szCs w:val="12"/>
        </w:rPr>
        <w:t>—finding utopia in the everyday, recovering lost or repressed transcendence in “everydayness” (Gardiner 2006)—</w:t>
      </w:r>
      <w:r>
        <w:rPr>
          <w:rFonts w:eastAsia="Calibri"/>
          <w:u w:val="single"/>
        </w:rPr>
        <w:t xml:space="preserve">to describe the process of utopian recovery in terms of </w:t>
      </w:r>
      <w:r>
        <w:rPr>
          <w:rFonts w:eastAsia="Calibri"/>
          <w:b/>
          <w:u w:val="single"/>
        </w:rPr>
        <w:t>excavating</w:t>
      </w:r>
      <w:r>
        <w:rPr>
          <w:rFonts w:eastAsia="Calibri"/>
          <w:u w:val="single"/>
        </w:rPr>
        <w:t xml:space="preserve">: excavating repressed desires, submerged longings, suppressed histories, untapped possibilities. But </w:t>
      </w:r>
      <w:r>
        <w:rPr>
          <w:rFonts w:eastAsia="Calibri"/>
          <w:highlight w:val="cyan"/>
          <w:u w:val="single"/>
        </w:rPr>
        <w:t xml:space="preserve">the </w:t>
      </w:r>
      <w:r>
        <w:rPr>
          <w:rFonts w:eastAsia="Calibri"/>
          <w:b/>
          <w:highlight w:val="cyan"/>
          <w:u w:val="single"/>
        </w:rPr>
        <w:t>fundamental questions of where to dig</w:t>
      </w:r>
      <w:r>
        <w:rPr>
          <w:rFonts w:eastAsia="Calibri"/>
          <w:highlight w:val="cyan"/>
          <w:u w:val="single"/>
        </w:rPr>
        <w:t xml:space="preserve"> and </w:t>
      </w:r>
      <w:r>
        <w:rPr>
          <w:rFonts w:eastAsia="Calibri"/>
          <w:b/>
          <w:highlight w:val="cyan"/>
          <w:u w:val="single"/>
        </w:rPr>
        <w:t>how to identify</w:t>
      </w:r>
      <w:r>
        <w:rPr>
          <w:rFonts w:eastAsia="Calibri"/>
          <w:highlight w:val="cyan"/>
          <w:u w:val="single"/>
        </w:rPr>
        <w:t xml:space="preserve"> a utopian “find” are </w:t>
      </w:r>
      <w:r>
        <w:rPr>
          <w:rFonts w:eastAsia="Calibri"/>
          <w:b/>
          <w:highlight w:val="cyan"/>
          <w:u w:val="single"/>
        </w:rPr>
        <w:t>never adequately addressed</w:t>
      </w:r>
      <w:r>
        <w:rPr>
          <w:rFonts w:eastAsia="Calibri"/>
          <w:sz w:val="12"/>
          <w:szCs w:val="12"/>
        </w:rPr>
        <w:t xml:space="preserve"> (see Webb 2017). </w:t>
      </w:r>
      <w:r>
        <w:rPr>
          <w:rFonts w:eastAsia="Calibri"/>
          <w:u w:val="single"/>
        </w:rPr>
        <w:t>Gardiner defines utopia as “a series of forces, tendencies and possibilities that are immanent in the here and now, in the pragmatic activities of everyday life”</w:t>
      </w:r>
      <w:r>
        <w:rPr>
          <w:rFonts w:eastAsia="Calibri"/>
          <w:sz w:val="12"/>
          <w:szCs w:val="12"/>
        </w:rPr>
        <w:t xml:space="preserve"> (2006, 2). </w:t>
      </w:r>
      <w:r>
        <w:rPr>
          <w:rFonts w:eastAsia="Calibri"/>
          <w:u w:val="single"/>
        </w:rPr>
        <w:t xml:space="preserve">But how are these forces, tendencies and possibilities to be </w:t>
      </w:r>
      <w:r>
        <w:rPr>
          <w:rFonts w:eastAsia="Calibri"/>
          <w:b/>
          <w:u w:val="single"/>
        </w:rPr>
        <w:t>identified</w:t>
      </w:r>
      <w:r>
        <w:rPr>
          <w:rFonts w:eastAsia="Calibri"/>
          <w:u w:val="single"/>
        </w:rPr>
        <w:t xml:space="preserve"> and </w:t>
      </w:r>
      <w:r>
        <w:rPr>
          <w:rFonts w:eastAsia="Calibri"/>
          <w:b/>
          <w:u w:val="single"/>
        </w:rPr>
        <w:t>recovered</w:t>
      </w:r>
      <w:r>
        <w:rPr>
          <w:rFonts w:eastAsia="Calibri"/>
          <w:u w:val="single"/>
        </w:rPr>
        <w:t>?</w:t>
      </w:r>
      <w:r>
        <w:rPr>
          <w:rFonts w:eastAsia="Calibri"/>
          <w:sz w:val="12"/>
          <w:szCs w:val="12"/>
        </w:rPr>
        <w:t xml:space="preserve"> </w:t>
      </w:r>
      <w:r>
        <w:rPr>
          <w:rFonts w:eastAsia="Calibri"/>
          <w:u w:val="single"/>
        </w:rPr>
        <w:t xml:space="preserve">For Harney and Moten, it is through </w:t>
      </w:r>
      <w:r>
        <w:rPr>
          <w:rFonts w:eastAsia="Calibri"/>
          <w:b/>
          <w:highlight w:val="cyan"/>
          <w:u w:val="single"/>
        </w:rPr>
        <w:t>study</w:t>
      </w:r>
      <w:r>
        <w:rPr>
          <w:rFonts w:eastAsia="Calibri"/>
          <w:u w:val="single"/>
        </w:rPr>
        <w:t xml:space="preserve">, </w:t>
      </w:r>
      <w:r>
        <w:rPr>
          <w:rFonts w:eastAsia="Calibri"/>
          <w:b/>
          <w:u w:val="single"/>
        </w:rPr>
        <w:t>hapticality</w:t>
      </w:r>
      <w:r>
        <w:rPr>
          <w:rFonts w:eastAsia="Calibri"/>
          <w:u w:val="single"/>
        </w:rPr>
        <w:t xml:space="preserve"> </w:t>
      </w:r>
      <w:r>
        <w:rPr>
          <w:rFonts w:eastAsia="Calibri"/>
          <w:highlight w:val="cyan"/>
          <w:u w:val="single"/>
        </w:rPr>
        <w:t>and</w:t>
      </w:r>
      <w:r>
        <w:rPr>
          <w:rFonts w:eastAsia="Calibri"/>
          <w:u w:val="single"/>
        </w:rPr>
        <w:t xml:space="preserve"> </w:t>
      </w:r>
      <w:r>
        <w:rPr>
          <w:rFonts w:eastAsia="Calibri"/>
          <w:b/>
          <w:highlight w:val="cyan"/>
          <w:u w:val="single"/>
        </w:rPr>
        <w:t>militant arrhythmia</w:t>
      </w:r>
      <w:r>
        <w:rPr>
          <w:rFonts w:eastAsia="Calibri"/>
          <w:u w:val="single"/>
        </w:rPr>
        <w:t xml:space="preserve">. These </w:t>
      </w:r>
      <w:r>
        <w:rPr>
          <w:rFonts w:eastAsia="Calibri"/>
          <w:highlight w:val="cyan"/>
          <w:u w:val="single"/>
        </w:rPr>
        <w:t xml:space="preserve">are </w:t>
      </w:r>
      <w:r>
        <w:rPr>
          <w:rFonts w:eastAsia="Calibri"/>
          <w:b/>
          <w:highlight w:val="cyan"/>
          <w:u w:val="single"/>
        </w:rPr>
        <w:t>slippy concepts</w:t>
      </w:r>
      <w:r>
        <w:rPr>
          <w:rFonts w:eastAsia="Calibri"/>
          <w:u w:val="single"/>
        </w:rPr>
        <w:t xml:space="preserve">, however, </w:t>
      </w:r>
      <w:r>
        <w:rPr>
          <w:rFonts w:eastAsia="Calibri"/>
          <w:b/>
          <w:highlight w:val="cyan"/>
          <w:u w:val="single"/>
        </w:rPr>
        <w:t>evading concrete material referents</w:t>
      </w:r>
      <w:r>
        <w:rPr>
          <w:rFonts w:eastAsia="Calibri"/>
          <w:sz w:val="12"/>
          <w:szCs w:val="12"/>
          <w:highlight w:val="cyan"/>
        </w:rPr>
        <w:t xml:space="preserve">. </w:t>
      </w:r>
      <w:r>
        <w:rPr>
          <w:rFonts w:eastAsia="Calibri"/>
          <w:sz w:val="12"/>
          <w:szCs w:val="12"/>
        </w:rPr>
        <w:t xml:space="preserve">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Pr>
          <w:rFonts w:eastAsia="Calibri"/>
          <w:u w:val="single"/>
        </w:rPr>
        <w:t xml:space="preserve">We may </w:t>
      </w:r>
      <w:r>
        <w:rPr>
          <w:rFonts w:eastAsia="Calibri"/>
          <w:b/>
          <w:u w:val="single"/>
        </w:rPr>
        <w:t>gain satisfaction from small acts of marronage</w:t>
      </w:r>
      <w:r>
        <w:rPr>
          <w:rFonts w:eastAsia="Calibri"/>
          <w:u w:val="single"/>
        </w:rPr>
        <w:t>, but this is less about bringing the utopic common underground to the surface as it is a form of “</w:t>
      </w:r>
      <w:r>
        <w:rPr>
          <w:rFonts w:eastAsia="Calibri"/>
          <w:b/>
          <w:u w:val="single"/>
        </w:rPr>
        <w:t>radical escapism</w:t>
      </w:r>
      <w:r>
        <w:rPr>
          <w:rFonts w:eastAsia="Calibri"/>
          <w:u w:val="single"/>
        </w:rPr>
        <w:t>”</w:t>
      </w:r>
      <w:r>
        <w:rPr>
          <w:rFonts w:eastAsia="Calibri"/>
          <w:sz w:val="12"/>
          <w:szCs w:val="12"/>
        </w:rPr>
        <w:t xml:space="preserve"> (Adusei-Poku 2015, 4). Benveniste (2015, v) tells us that: “The undercommons has no set location and no return address. There is no map for entering and no guide for staying. The only condition is a living appetite. Listen to its hunger for difference.” </w:t>
      </w:r>
      <w:r>
        <w:rPr>
          <w:rFonts w:eastAsia="Calibri"/>
          <w:highlight w:val="cyan"/>
          <w:u w:val="single"/>
        </w:rPr>
        <w:t xml:space="preserve">We need </w:t>
      </w:r>
      <w:r>
        <w:rPr>
          <w:rFonts w:eastAsia="Calibri"/>
          <w:b/>
          <w:highlight w:val="cyan"/>
          <w:u w:val="single"/>
        </w:rPr>
        <w:t>more than poetry</w:t>
      </w:r>
      <w:r>
        <w:rPr>
          <w:rFonts w:eastAsia="Calibri"/>
          <w:sz w:val="12"/>
          <w:szCs w:val="12"/>
        </w:rPr>
        <w:t xml:space="preserve">, however. </w:t>
      </w:r>
      <w:r>
        <w:rPr>
          <w:rFonts w:eastAsia="Calibri"/>
          <w:u w:val="single"/>
        </w:rPr>
        <w:t>And we need more than a series of minor acts of resistance</w:t>
      </w:r>
      <w:r>
        <w:rPr>
          <w:rFonts w:eastAsia="Calibri"/>
          <w:sz w:val="12"/>
          <w:szCs w:val="12"/>
        </w:rPr>
        <w:t xml:space="preserve">. As Srnicek and Williams rightly emphasize, </w:t>
      </w:r>
      <w:r>
        <w:rPr>
          <w:rFonts w:eastAsia="Calibri"/>
          <w:u w:val="single"/>
        </w:rPr>
        <w:t xml:space="preserve">resistance is a </w:t>
      </w:r>
      <w:r>
        <w:rPr>
          <w:rFonts w:eastAsia="Calibri"/>
          <w:b/>
          <w:u w:val="single"/>
        </w:rPr>
        <w:t>defensive</w:t>
      </w:r>
      <w:r>
        <w:rPr>
          <w:rFonts w:eastAsia="Calibri"/>
          <w:u w:val="single"/>
        </w:rPr>
        <w:t xml:space="preserve">, </w:t>
      </w:r>
      <w:r>
        <w:rPr>
          <w:rFonts w:eastAsia="Calibri"/>
          <w:b/>
          <w:u w:val="single"/>
        </w:rPr>
        <w:t>reactive gesture</w:t>
      </w:r>
      <w:r>
        <w:rPr>
          <w:rFonts w:eastAsia="Calibri"/>
          <w:u w:val="single"/>
        </w:rPr>
        <w:t xml:space="preserve">, </w:t>
      </w:r>
      <w:r>
        <w:rPr>
          <w:rFonts w:eastAsia="Calibri"/>
          <w:b/>
          <w:u w:val="single"/>
        </w:rPr>
        <w:t>resisting against</w:t>
      </w:r>
      <w:r>
        <w:rPr>
          <w:rFonts w:eastAsia="Calibri"/>
          <w:u w:val="single"/>
        </w:rPr>
        <w:t xml:space="preserve">. Resistance is </w:t>
      </w:r>
      <w:r>
        <w:rPr>
          <w:rFonts w:eastAsia="Calibri"/>
          <w:b/>
          <w:u w:val="single"/>
        </w:rPr>
        <w:t>not a utopian endeavour</w:t>
      </w:r>
      <w:r>
        <w:rPr>
          <w:rFonts w:eastAsia="Calibri"/>
          <w:u w:val="single"/>
        </w:rPr>
        <w:t>: “</w:t>
      </w:r>
      <w:r>
        <w:rPr>
          <w:rFonts w:eastAsia="Calibri"/>
          <w:highlight w:val="cyan"/>
          <w:u w:val="single"/>
        </w:rPr>
        <w:t xml:space="preserve">We </w:t>
      </w:r>
      <w:r>
        <w:rPr>
          <w:rFonts w:eastAsia="Calibri"/>
          <w:b/>
          <w:highlight w:val="cyan"/>
          <w:u w:val="single"/>
        </w:rPr>
        <w:t>do not resist a new world into being</w:t>
      </w:r>
      <w:r>
        <w:rPr>
          <w:rFonts w:eastAsia="Calibri"/>
          <w:highlight w:val="cyan"/>
          <w:u w:val="single"/>
        </w:rPr>
        <w:t>”</w:t>
      </w:r>
      <w:r>
        <w:rPr>
          <w:rFonts w:eastAsia="Calibri"/>
          <w:sz w:val="12"/>
          <w:szCs w:val="12"/>
        </w:rPr>
        <w:t xml:space="preserve"> (Srnicek and Williams 2016, 47). </w:t>
      </w:r>
      <w:r>
        <w:rPr>
          <w:rFonts w:eastAsia="Calibri"/>
          <w:u w:val="single"/>
        </w:rPr>
        <w:t xml:space="preserve">The undercommons, when one can find it, is a </w:t>
      </w:r>
      <w:r>
        <w:rPr>
          <w:rFonts w:eastAsia="Calibri"/>
          <w:b/>
          <w:u w:val="single"/>
        </w:rPr>
        <w:t>bolt hole</w:t>
      </w:r>
      <w:r>
        <w:rPr>
          <w:rFonts w:eastAsia="Calibri"/>
          <w:u w:val="single"/>
        </w:rPr>
        <w:t xml:space="preserve">, a </w:t>
      </w:r>
      <w:r>
        <w:rPr>
          <w:rFonts w:eastAsia="Calibri"/>
          <w:b/>
          <w:u w:val="single"/>
        </w:rPr>
        <w:t>place of refuge</w:t>
      </w:r>
      <w:r>
        <w:rPr>
          <w:rFonts w:eastAsia="Calibri"/>
          <w:u w:val="single"/>
        </w:rPr>
        <w:t xml:space="preserve">, a </w:t>
      </w:r>
      <w:r>
        <w:rPr>
          <w:rFonts w:eastAsia="Calibri"/>
          <w:b/>
          <w:u w:val="single"/>
        </w:rPr>
        <w:t>breathing space</w:t>
      </w:r>
      <w:r>
        <w:rPr>
          <w:rFonts w:eastAsia="Calibri"/>
          <w:u w:val="single"/>
        </w:rPr>
        <w:t xml:space="preserve"> in the system. We need </w:t>
      </w:r>
      <w:r>
        <w:rPr>
          <w:rFonts w:eastAsia="Calibri"/>
          <w:b/>
          <w:u w:val="single"/>
        </w:rPr>
        <w:t>something more</w:t>
      </w:r>
      <w:r>
        <w:rPr>
          <w:rFonts w:eastAsia="Calibri"/>
          <w:u w:val="single"/>
        </w:rPr>
        <w:t xml:space="preserve">. </w:t>
      </w:r>
      <w:r>
        <w:rPr>
          <w:rFonts w:eastAsia="Calibri"/>
          <w:sz w:val="12"/>
          <w:szCs w:val="12"/>
        </w:rPr>
        <w:t xml:space="preserve">The occupation Can the occupied building operate as a site of utopian possibility within the corporate-imperial university? Reflections on, and theorizations of, two recent waves of occupation—“Occupied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w:t>
      </w:r>
      <w:r>
        <w:rPr>
          <w:rFonts w:eastAsia="Calibri"/>
          <w:sz w:val="8"/>
          <w:szCs w:val="8"/>
        </w:rPr>
        <w:t xml:space="preserve">“the graduate without a future” (Schwarz-WeinStein 2015, 11), the importance of faculty support for the occupations was emphasized on both sides of the Atlantic (Research and Destroy 2010, 11; Dawson 2011, 112; Holmes and R&amp;D and Dead Labour 2011, 14; Ismail 2011, 128; Newfield and EduFactory 2011, 26). Long before Occupy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 but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and also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Shukaitis and Graeber 2007, 37)—and “contaminationism,” that is, spreading by means of example (Graeber 2009, 211). It may well have been the case that communism was realized on the campuses of Berkeley and UCL, that a momentary opening in capitalist space/time appeared through which another world could be glimpsed. The occupation, however—whether California, London, or anywhere else—is likely always to remain a localized temporary disruptive practice. A practice with utopian potency, for sure, in terms of suspending normalized forms of discipline and opening new egalitarian discursive spaces (Rheingans and Hollands 2013; Nişancioğlu and Pal 2016). In terms of wider systemic change, however, “small interventions consisting of relatively non-scalable actions are highly unlikely to ever be able to reorganise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the university is not just another institution subject to sovereign and governmental controls, but a crucial site in which wider social struggles are won and lost. (Caffentzis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Haiven and Khasnabish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Labour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(Jemielniak and Greenwood 2015, 77). If the university is a sinister 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bolt-hole, a breathing space. As with the utopian classroom and the undercommons, what the occupation suggests is that “defending small bunkers of autonomy against the onslaught of capitalism is the best that can be hoped for” (Srnicek and Williams 2016, 48). Conclusion Zaslove was right to characterize utopian pedagogy within the corporateimperial university as the search for bolt-holes and breathing spaces in the system. He himself suggests that, “All university classes should become dialogic-experiential models that educate by expanding the zones of contact with wider communities” (2007, 102). Like so many others, Zaslove sees dialogic-experiential models of education beginning in the classroom then expanding outward. The literature is full of references to “exceeding the limits of the university classroom” (Coté, Day, and de Peuter 2007a, 325), “extend [ing] beyond the boundaries of the campus” (Ruben 2000, 211), and </w:t>
      </w:r>
      <w:r>
        <w:rPr>
          <w:rFonts w:eastAsia="Calibri"/>
          <w:sz w:val="12"/>
          <w:szCs w:val="12"/>
        </w:rPr>
        <w:t xml:space="preserve">“breeching the walls of the university compounds and spilling into the streets” (Research and Destroy 2010, 10). This all brings to mind Giroux’s notion of academics as border crossers (Giroux 1992), but it also paints a picture of academics taking as their starting point the university and from there crossing the border into the community and the street. </w:t>
      </w:r>
      <w:r>
        <w:rPr>
          <w:rFonts w:eastAsia="Calibri"/>
          <w:highlight w:val="cyan"/>
          <w:u w:val="single"/>
        </w:rPr>
        <w:t>The University</w:t>
      </w:r>
      <w:r>
        <w:rPr>
          <w:rFonts w:eastAsia="Calibri"/>
          <w:u w:val="single"/>
        </w:rPr>
        <w:t xml:space="preserve"> can be the site for </w:t>
      </w:r>
      <w:r>
        <w:rPr>
          <w:rFonts w:eastAsia="Calibri"/>
          <w:b/>
          <w:u w:val="single"/>
        </w:rPr>
        <w:t>fleeting</w:t>
      </w:r>
      <w:r>
        <w:rPr>
          <w:rFonts w:eastAsia="Calibri"/>
          <w:u w:val="single"/>
        </w:rPr>
        <w:t xml:space="preserve">, </w:t>
      </w:r>
      <w:r>
        <w:rPr>
          <w:rFonts w:eastAsia="Calibri"/>
          <w:b/>
          <w:u w:val="single"/>
        </w:rPr>
        <w:t>transitory</w:t>
      </w:r>
      <w:r>
        <w:rPr>
          <w:rFonts w:eastAsia="Calibri"/>
          <w:u w:val="single"/>
        </w:rPr>
        <w:t xml:space="preserve">, </w:t>
      </w:r>
      <w:r>
        <w:rPr>
          <w:rFonts w:eastAsia="Calibri"/>
          <w:b/>
          <w:u w:val="single"/>
        </w:rPr>
        <w:t>small-scale experiences</w:t>
      </w:r>
      <w:r>
        <w:rPr>
          <w:rFonts w:eastAsia="Calibri"/>
          <w:u w:val="single"/>
        </w:rPr>
        <w:t xml:space="preserve"> of utopian possibility</w:t>
      </w:r>
      <w:r>
        <w:rPr>
          <w:rFonts w:eastAsia="Calibri"/>
          <w:sz w:val="12"/>
          <w:szCs w:val="12"/>
        </w:rPr>
        <w:t xml:space="preserve">—in the classroom, the undercommons, the occupation. </w:t>
      </w:r>
      <w:r>
        <w:rPr>
          <w:rFonts w:eastAsia="Calibri"/>
          <w:u w:val="single"/>
        </w:rPr>
        <w:t xml:space="preserve">It </w:t>
      </w:r>
      <w:r>
        <w:rPr>
          <w:rFonts w:eastAsia="Calibri"/>
          <w:b/>
          <w:highlight w:val="cyan"/>
          <w:u w:val="single"/>
        </w:rPr>
        <w:t>cannot be the site for transformative utopian politics</w:t>
      </w:r>
      <w:r>
        <w:rPr>
          <w:rFonts w:eastAsia="Calibri"/>
          <w:highlight w:val="cyan"/>
          <w:u w:val="single"/>
        </w:rPr>
        <w:t xml:space="preserve">. It </w:t>
      </w:r>
      <w:r>
        <w:rPr>
          <w:rFonts w:eastAsia="Calibri"/>
          <w:b/>
          <w:highlight w:val="cyan"/>
          <w:u w:val="single"/>
        </w:rPr>
        <w:t>cannot even be the starting point for this</w:t>
      </w:r>
      <w:r>
        <w:rPr>
          <w:rFonts w:eastAsia="Calibri"/>
          <w:sz w:val="12"/>
          <w:szCs w:val="12"/>
        </w:rPr>
        <w:t xml:space="preserve">. Given the corporatization and militarization of the university, academics are increasingly becoming “functionaries of elite interests” inhabiting a culture which serves to reproduce these interests (Shear 2008, 56). </w:t>
      </w:r>
      <w:r>
        <w:rPr>
          <w:rFonts w:eastAsia="Calibri"/>
          <w:highlight w:val="cyan"/>
          <w:u w:val="single"/>
        </w:rPr>
        <w:t>Within the university</w:t>
      </w:r>
      <w:r>
        <w:rPr>
          <w:rFonts w:eastAsia="Calibri"/>
          <w:u w:val="single"/>
        </w:rPr>
        <w:t xml:space="preserve">, “radical” initiatives or </w:t>
      </w:r>
      <w:r>
        <w:rPr>
          <w:rFonts w:eastAsia="Calibri"/>
          <w:highlight w:val="cyan"/>
          <w:u w:val="single"/>
        </w:rPr>
        <w:t xml:space="preserve">movements will </w:t>
      </w:r>
      <w:r>
        <w:rPr>
          <w:rFonts w:eastAsia="Calibri"/>
          <w:b/>
          <w:highlight w:val="cyan"/>
          <w:u w:val="single"/>
        </w:rPr>
        <w:t>soon be co</w:t>
      </w:r>
      <w:r>
        <w:rPr>
          <w:rFonts w:eastAsia="Calibri"/>
          <w:b/>
          <w:u w:val="single"/>
        </w:rPr>
        <w:t>-</w:t>
      </w:r>
      <w:r>
        <w:rPr>
          <w:rFonts w:eastAsia="Calibri"/>
          <w:b/>
          <w:highlight w:val="cyan"/>
          <w:u w:val="single"/>
        </w:rPr>
        <w:t>opted</w:t>
      </w:r>
      <w:r>
        <w:rPr>
          <w:rFonts w:eastAsia="Calibri"/>
          <w:u w:val="single"/>
        </w:rPr>
        <w:t xml:space="preserve">, </w:t>
      </w:r>
      <w:r>
        <w:rPr>
          <w:rFonts w:eastAsia="Calibri"/>
          <w:b/>
          <w:u w:val="single"/>
        </w:rPr>
        <w:t>recuperated</w:t>
      </w:r>
      <w:r>
        <w:rPr>
          <w:rFonts w:eastAsia="Calibri"/>
          <w:u w:val="single"/>
        </w:rPr>
        <w:t xml:space="preserve">, </w:t>
      </w:r>
      <w:r>
        <w:rPr>
          <w:rFonts w:eastAsia="Calibri"/>
          <w:b/>
          <w:u w:val="single"/>
        </w:rPr>
        <w:t>commodified</w:t>
      </w:r>
      <w:r>
        <w:rPr>
          <w:rFonts w:eastAsia="Calibri"/>
          <w:u w:val="single"/>
        </w:rPr>
        <w:t xml:space="preserve">, </w:t>
      </w:r>
      <w:r>
        <w:rPr>
          <w:rFonts w:eastAsia="Calibri"/>
          <w:highlight w:val="cyan"/>
          <w:u w:val="single"/>
        </w:rPr>
        <w:t xml:space="preserve">and </w:t>
      </w:r>
      <w:r>
        <w:rPr>
          <w:rFonts w:eastAsia="Calibri"/>
          <w:b/>
          <w:highlight w:val="cyan"/>
          <w:u w:val="single"/>
        </w:rPr>
        <w:t>neutralized</w:t>
      </w:r>
      <w:r>
        <w:rPr>
          <w:rFonts w:eastAsia="Calibri"/>
          <w:sz w:val="12"/>
          <w:szCs w:val="12"/>
        </w:rPr>
        <w:t xml:space="preserve"> (Gibson-Graham 2006, xxvi; Seybold 2008, 123; Neary 2012b, 249; Rolfe 2013, 21). </w:t>
      </w:r>
      <w:r>
        <w:rPr>
          <w:rFonts w:eastAsia="Calibri"/>
          <w:highlight w:val="cyan"/>
          <w:u w:val="single"/>
        </w:rPr>
        <w:t xml:space="preserve">Institutional habitus </w:t>
      </w:r>
      <w:r>
        <w:rPr>
          <w:rFonts w:eastAsia="Calibri"/>
          <w:b/>
          <w:highlight w:val="cyan"/>
          <w:u w:val="single"/>
        </w:rPr>
        <w:t>weights so heavily</w:t>
      </w:r>
      <w:r>
        <w:rPr>
          <w:rFonts w:eastAsia="Calibri"/>
          <w:highlight w:val="cyan"/>
          <w:u w:val="single"/>
        </w:rPr>
        <w:t xml:space="preserve"> that projects</w:t>
      </w:r>
      <w:r>
        <w:rPr>
          <w:rFonts w:eastAsia="Calibri"/>
          <w:u w:val="single"/>
        </w:rPr>
        <w:t xml:space="preserve"> born in the university </w:t>
      </w:r>
      <w:r>
        <w:rPr>
          <w:rFonts w:eastAsia="Calibri"/>
          <w:highlight w:val="cyan"/>
          <w:u w:val="single"/>
        </w:rPr>
        <w:t xml:space="preserve">will be </w:t>
      </w:r>
      <w:r>
        <w:rPr>
          <w:rFonts w:eastAsia="Calibri"/>
          <w:b/>
          <w:highlight w:val="cyan"/>
          <w:u w:val="single"/>
        </w:rPr>
        <w:t>scarred from the outset</w:t>
      </w:r>
      <w:r>
        <w:rPr>
          <w:rFonts w:eastAsia="Calibri"/>
          <w:highlight w:val="cyan"/>
          <w:u w:val="single"/>
        </w:rPr>
        <w:t xml:space="preserve"> by</w:t>
      </w:r>
      <w:r>
        <w:rPr>
          <w:rFonts w:eastAsia="Calibri"/>
          <w:u w:val="single"/>
        </w:rPr>
        <w:t xml:space="preserve"> a certain </w:t>
      </w:r>
      <w:r>
        <w:rPr>
          <w:rFonts w:eastAsia="Calibri"/>
          <w:highlight w:val="cyan"/>
          <w:u w:val="single"/>
        </w:rPr>
        <w:t>colonizing “</w:t>
      </w:r>
      <w:r>
        <w:rPr>
          <w:rFonts w:eastAsia="Calibri"/>
          <w:b/>
          <w:highlight w:val="cyan"/>
          <w:u w:val="single"/>
        </w:rPr>
        <w:t>imaginary of education</w:t>
      </w:r>
      <w:r>
        <w:rPr>
          <w:rFonts w:eastAsia="Calibri"/>
          <w:u w:val="single"/>
        </w:rPr>
        <w:t>”</w:t>
      </w:r>
      <w:r>
        <w:rPr>
          <w:rFonts w:eastAsia="Calibri"/>
          <w:sz w:val="12"/>
          <w:szCs w:val="12"/>
        </w:rPr>
        <w:t xml:space="preserve"> (Burdick and Sandlin 2010, 117). </w:t>
      </w:r>
      <w:r>
        <w:rPr>
          <w:rFonts w:eastAsia="Calibri"/>
          <w:u w:val="single"/>
        </w:rPr>
        <w:t>And</w:t>
      </w:r>
      <w:r>
        <w:rPr>
          <w:rFonts w:eastAsia="Calibri"/>
          <w:sz w:val="12"/>
          <w:szCs w:val="12"/>
        </w:rPr>
        <w:t xml:space="preserve"> we have long known that </w:t>
      </w:r>
      <w:r>
        <w:rPr>
          <w:rFonts w:eastAsia="Calibri"/>
          <w:highlight w:val="cyan"/>
          <w:u w:val="single"/>
        </w:rPr>
        <w:t xml:space="preserve">the university is </w:t>
      </w:r>
      <w:r>
        <w:rPr>
          <w:rFonts w:eastAsia="Calibri"/>
          <w:b/>
          <w:highlight w:val="cyan"/>
          <w:u w:val="single"/>
        </w:rPr>
        <w:t>but one space of learning</w:t>
      </w:r>
      <w:r>
        <w:rPr>
          <w:rFonts w:eastAsia="Calibri"/>
          <w:u w:val="single"/>
        </w:rPr>
        <w:t xml:space="preserve">, and perhaps </w:t>
      </w:r>
      <w:r>
        <w:rPr>
          <w:rFonts w:eastAsia="Calibri"/>
          <w:b/>
          <w:u w:val="single"/>
        </w:rPr>
        <w:t>not a very important one</w:t>
      </w:r>
      <w:r>
        <w:rPr>
          <w:rFonts w:eastAsia="Calibri"/>
          <w:u w:val="single"/>
        </w:rPr>
        <w:t xml:space="preserve"> at that. Identifying the academy as the </w:t>
      </w:r>
      <w:r>
        <w:rPr>
          <w:rFonts w:eastAsia="Calibri"/>
          <w:b/>
          <w:u w:val="single"/>
        </w:rPr>
        <w:t>starting point</w:t>
      </w:r>
      <w:r>
        <w:rPr>
          <w:rFonts w:eastAsia="Calibri"/>
          <w:u w:val="single"/>
        </w:rPr>
        <w:t xml:space="preserve"> for a utopian pedagogy </w:t>
      </w:r>
      <w:r>
        <w:rPr>
          <w:rFonts w:eastAsia="Calibri"/>
          <w:b/>
          <w:u w:val="single"/>
        </w:rPr>
        <w:t>privileges this arcane space</w:t>
      </w:r>
      <w:r>
        <w:rPr>
          <w:rFonts w:eastAsia="Calibri"/>
          <w:u w:val="single"/>
        </w:rPr>
        <w:t xml:space="preserve"> over sites of </w:t>
      </w:r>
      <w:r>
        <w:rPr>
          <w:rFonts w:eastAsia="Calibri"/>
          <w:b/>
          <w:u w:val="single"/>
        </w:rPr>
        <w:t>public pedagogy</w:t>
      </w:r>
      <w:r>
        <w:rPr>
          <w:rFonts w:eastAsia="Calibri"/>
          <w:sz w:val="12"/>
          <w:szCs w:val="12"/>
        </w:rPr>
        <w:t xml:space="preserve"> such as film, television, literature, sport, advertising, architecture, media in its various forms, political organizations, religious institutions, and the workplace (Todd 1997). Perhaps </w:t>
      </w:r>
      <w:r>
        <w:rPr>
          <w:rFonts w:eastAsia="Calibri"/>
          <w:u w:val="single"/>
        </w:rPr>
        <w:t xml:space="preserve">the emphasis on </w:t>
      </w:r>
      <w:r>
        <w:rPr>
          <w:rFonts w:eastAsia="Calibri"/>
          <w:b/>
          <w:highlight w:val="cyan"/>
          <w:u w:val="single"/>
        </w:rPr>
        <w:t>creating radical experimental spaces</w:t>
      </w:r>
      <w:r>
        <w:rPr>
          <w:rFonts w:eastAsia="Calibri"/>
          <w:u w:val="single"/>
        </w:rPr>
        <w:t xml:space="preserve"> within the academy </w:t>
      </w:r>
      <w:r>
        <w:rPr>
          <w:rFonts w:eastAsia="Calibri"/>
          <w:highlight w:val="cyan"/>
          <w:u w:val="single"/>
        </w:rPr>
        <w:t xml:space="preserve">needs to </w:t>
      </w:r>
      <w:r>
        <w:rPr>
          <w:rFonts w:eastAsia="Calibri"/>
          <w:b/>
          <w:highlight w:val="cyan"/>
          <w:u w:val="single"/>
        </w:rPr>
        <w:t>shift</w:t>
      </w:r>
      <w:r>
        <w:rPr>
          <w:rFonts w:eastAsia="Calibri"/>
          <w:highlight w:val="cyan"/>
          <w:u w:val="single"/>
        </w:rPr>
        <w:t xml:space="preserve"> toward operating in</w:t>
      </w:r>
      <w:r>
        <w:rPr>
          <w:rFonts w:eastAsia="Calibri"/>
          <w:u w:val="single"/>
        </w:rPr>
        <w:t xml:space="preserve"> </w:t>
      </w:r>
      <w:r>
        <w:rPr>
          <w:rFonts w:eastAsia="Calibri"/>
          <w:b/>
          <w:u w:val="single"/>
        </w:rPr>
        <w:t xml:space="preserve">existing spaces of resistance </w:t>
      </w:r>
      <w:r>
        <w:rPr>
          <w:rFonts w:eastAsia="Calibri"/>
          <w:b/>
          <w:highlight w:val="cyan"/>
          <w:u w:val="single"/>
        </w:rPr>
        <w:t>outside it</w:t>
      </w:r>
      <w:r>
        <w:rPr>
          <w:rFonts w:eastAsia="Calibri"/>
          <w:sz w:val="12"/>
          <w:szCs w:val="12"/>
        </w:rPr>
        <w:t xml:space="preserve">. Haiven and Khasnabish argue that </w:t>
      </w:r>
      <w:r>
        <w:rPr>
          <w:rFonts w:eastAsia="Calibri"/>
          <w:u w:val="single"/>
        </w:rPr>
        <w:t xml:space="preserve">many social </w:t>
      </w:r>
      <w:r>
        <w:rPr>
          <w:rFonts w:eastAsia="Calibri"/>
          <w:highlight w:val="cyan"/>
          <w:u w:val="single"/>
        </w:rPr>
        <w:t xml:space="preserve">movements </w:t>
      </w:r>
      <w:r>
        <w:rPr>
          <w:rFonts w:eastAsia="Calibri"/>
          <w:b/>
          <w:highlight w:val="cyan"/>
          <w:u w:val="single"/>
        </w:rPr>
        <w:t>function</w:t>
      </w:r>
      <w:r>
        <w:rPr>
          <w:rFonts w:eastAsia="Calibri"/>
          <w:b/>
          <w:u w:val="single"/>
        </w:rPr>
        <w:t xml:space="preserve"> already</w:t>
      </w:r>
      <w:r>
        <w:rPr>
          <w:rFonts w:eastAsia="Calibri"/>
          <w:u w:val="single"/>
        </w:rPr>
        <w:t xml:space="preserve"> </w:t>
      </w:r>
      <w:r>
        <w:rPr>
          <w:rFonts w:eastAsia="Calibri"/>
          <w:highlight w:val="cyan"/>
          <w:u w:val="single"/>
        </w:rPr>
        <w:t>as</w:t>
      </w:r>
      <w:r>
        <w:rPr>
          <w:rFonts w:eastAsia="Calibri"/>
          <w:u w:val="single"/>
        </w:rPr>
        <w:t xml:space="preserve"> “</w:t>
      </w:r>
      <w:r>
        <w:rPr>
          <w:rFonts w:eastAsia="Calibri"/>
          <w:b/>
          <w:u w:val="single"/>
        </w:rPr>
        <w:t xml:space="preserve">social </w:t>
      </w:r>
      <w:r>
        <w:rPr>
          <w:rFonts w:eastAsia="Calibri"/>
          <w:b/>
          <w:highlight w:val="cyan"/>
          <w:u w:val="single"/>
        </w:rPr>
        <w:t>lab</w:t>
      </w:r>
      <w:r>
        <w:rPr>
          <w:rFonts w:eastAsia="Calibri"/>
          <w:b/>
          <w:u w:val="single"/>
        </w:rPr>
        <w:t>oratorie</w:t>
      </w:r>
      <w:r>
        <w:rPr>
          <w:rFonts w:eastAsia="Calibri"/>
          <w:b/>
          <w:highlight w:val="cyan"/>
          <w:u w:val="single"/>
        </w:rPr>
        <w:t>s</w:t>
      </w:r>
      <w:r>
        <w:rPr>
          <w:rFonts w:eastAsia="Calibri"/>
          <w:highlight w:val="cyan"/>
          <w:u w:val="single"/>
        </w:rPr>
        <w:t xml:space="preserve"> for</w:t>
      </w:r>
      <w:r>
        <w:rPr>
          <w:rFonts w:eastAsia="Calibri"/>
          <w:u w:val="single"/>
        </w:rPr>
        <w:t xml:space="preserve"> the generation of </w:t>
      </w:r>
      <w:r>
        <w:rPr>
          <w:rFonts w:eastAsia="Calibri"/>
          <w:b/>
          <w:highlight w:val="cyan"/>
          <w:u w:val="single"/>
        </w:rPr>
        <w:t>alternative relationships</w:t>
      </w:r>
      <w:r>
        <w:rPr>
          <w:rFonts w:eastAsia="Calibri"/>
          <w:u w:val="single"/>
        </w:rPr>
        <w:t xml:space="preserve">, </w:t>
      </w:r>
      <w:r>
        <w:rPr>
          <w:rFonts w:eastAsia="Calibri"/>
          <w:b/>
          <w:u w:val="single"/>
        </w:rPr>
        <w:t>subjectivities</w:t>
      </w:r>
      <w:r>
        <w:rPr>
          <w:rFonts w:eastAsia="Calibri"/>
          <w:u w:val="single"/>
        </w:rPr>
        <w:t xml:space="preserve">, </w:t>
      </w:r>
      <w:r>
        <w:rPr>
          <w:rFonts w:eastAsia="Calibri"/>
          <w:b/>
          <w:u w:val="single"/>
        </w:rPr>
        <w:t>institutions</w:t>
      </w:r>
      <w:r>
        <w:rPr>
          <w:rFonts w:eastAsia="Calibri"/>
          <w:u w:val="single"/>
        </w:rPr>
        <w:t xml:space="preserve"> and </w:t>
      </w:r>
      <w:r>
        <w:rPr>
          <w:rFonts w:eastAsia="Calibri"/>
          <w:b/>
          <w:u w:val="single"/>
        </w:rPr>
        <w:t>practices</w:t>
      </w:r>
      <w:r>
        <w:rPr>
          <w:rFonts w:eastAsia="Calibri"/>
          <w:u w:val="single"/>
        </w:rPr>
        <w:t>”</w:t>
      </w:r>
      <w:r>
        <w:rPr>
          <w:rFonts w:eastAsia="Calibri"/>
          <w:sz w:val="12"/>
          <w:szCs w:val="12"/>
        </w:rPr>
        <w:t xml:space="preserve"> (2014, 62), </w:t>
      </w:r>
      <w:r>
        <w:rPr>
          <w:rFonts w:eastAsia="Calibri"/>
          <w:u w:val="single"/>
        </w:rPr>
        <w:t xml:space="preserve">providing “a </w:t>
      </w:r>
      <w:r>
        <w:rPr>
          <w:rFonts w:eastAsia="Calibri"/>
          <w:b/>
          <w:u w:val="single"/>
        </w:rPr>
        <w:t>space for experiments</w:t>
      </w:r>
      <w:r>
        <w:rPr>
          <w:rFonts w:eastAsia="Calibri"/>
          <w:u w:val="single"/>
        </w:rPr>
        <w:t xml:space="preserve"> in</w:t>
      </w:r>
      <w:r>
        <w:rPr>
          <w:rFonts w:eastAsia="Calibri"/>
          <w:sz w:val="12"/>
          <w:szCs w:val="12"/>
        </w:rPr>
        <w:t xml:space="preserve"> knowledge production, </w:t>
      </w:r>
      <w:r>
        <w:rPr>
          <w:rFonts w:eastAsia="Calibri"/>
          <w:b/>
          <w:u w:val="single"/>
        </w:rPr>
        <w:t>radical imagination</w:t>
      </w:r>
      <w:r>
        <w:rPr>
          <w:rFonts w:eastAsia="Calibri"/>
          <w:sz w:val="12"/>
          <w:szCs w:val="12"/>
        </w:rPr>
        <w:t xml:space="preserve">, subjectification, </w:t>
      </w:r>
      <w:r>
        <w:rPr>
          <w:rFonts w:eastAsia="Calibri"/>
          <w:u w:val="single"/>
        </w:rPr>
        <w:t xml:space="preserve">and </w:t>
      </w:r>
      <w:r>
        <w:rPr>
          <w:rFonts w:eastAsia="Calibri"/>
          <w:b/>
          <w:u w:val="single"/>
        </w:rPr>
        <w:t>concrete alternative-building</w:t>
      </w:r>
      <w:r>
        <w:rPr>
          <w:rFonts w:eastAsia="Calibri"/>
          <w:u w:val="single"/>
        </w:rPr>
        <w:t>”</w:t>
      </w:r>
      <w:r>
        <w:rPr>
          <w:rFonts w:eastAsia="Calibri"/>
          <w:sz w:val="12"/>
          <w:szCs w:val="12"/>
        </w:rPr>
        <w:t xml:space="preserve"> (Khasnabish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Amsler 2015; Dallyn, Marinetto, and Cederstrom 2015)? </w:t>
      </w:r>
      <w:r>
        <w:rPr>
          <w:rFonts w:eastAsia="Calibri"/>
          <w:u w:val="single"/>
        </w:rPr>
        <w:t xml:space="preserve">Moving </w:t>
      </w:r>
      <w:r>
        <w:rPr>
          <w:rFonts w:eastAsia="Calibri"/>
          <w:b/>
          <w:u w:val="single"/>
        </w:rPr>
        <w:t>beyond short-term</w:t>
      </w:r>
      <w:r>
        <w:rPr>
          <w:rFonts w:eastAsia="Calibri"/>
          <w:u w:val="single"/>
        </w:rPr>
        <w:t xml:space="preserve">, </w:t>
      </w:r>
      <w:r>
        <w:rPr>
          <w:rFonts w:eastAsia="Calibri"/>
          <w:b/>
          <w:u w:val="single"/>
        </w:rPr>
        <w:t>localized</w:t>
      </w:r>
      <w:r>
        <w:rPr>
          <w:rFonts w:eastAsia="Calibri"/>
          <w:u w:val="single"/>
        </w:rPr>
        <w:t xml:space="preserve">, </w:t>
      </w:r>
      <w:r>
        <w:rPr>
          <w:rFonts w:eastAsia="Calibri"/>
          <w:b/>
          <w:u w:val="single"/>
        </w:rPr>
        <w:t>temporary modes</w:t>
      </w:r>
      <w:r>
        <w:rPr>
          <w:rFonts w:eastAsia="Calibri"/>
          <w:u w:val="single"/>
        </w:rPr>
        <w:t xml:space="preserve"> of resistance, utopian pedagogy would </w:t>
      </w:r>
      <w:r>
        <w:rPr>
          <w:rFonts w:eastAsia="Calibri"/>
          <w:b/>
          <w:u w:val="single"/>
        </w:rPr>
        <w:t>work across these sites</w:t>
      </w:r>
      <w:r>
        <w:rPr>
          <w:rFonts w:eastAsia="Calibri"/>
          <w:u w:val="single"/>
        </w:rPr>
        <w:t xml:space="preserve"> to develop a </w:t>
      </w:r>
      <w:r>
        <w:rPr>
          <w:rFonts w:eastAsia="Calibri"/>
          <w:b/>
          <w:u w:val="single"/>
        </w:rPr>
        <w:t>long-term strategy</w:t>
      </w:r>
      <w:r>
        <w:rPr>
          <w:rFonts w:eastAsia="Calibri"/>
          <w:u w:val="single"/>
        </w:rPr>
        <w:t xml:space="preserve"> and </w:t>
      </w:r>
      <w:r>
        <w:rPr>
          <w:rFonts w:eastAsia="Calibri"/>
          <w:b/>
          <w:u w:val="single"/>
        </w:rPr>
        <w:t>vision</w:t>
      </w:r>
      <w:r>
        <w:rPr>
          <w:rFonts w:eastAsia="Calibri"/>
          <w:u w:val="single"/>
        </w:rPr>
        <w:t xml:space="preserve">. There is a </w:t>
      </w:r>
      <w:r>
        <w:rPr>
          <w:rFonts w:eastAsia="Calibri"/>
          <w:b/>
          <w:u w:val="single"/>
        </w:rPr>
        <w:t>role for the academic</w:t>
      </w:r>
      <w:r>
        <w:rPr>
          <w:rFonts w:eastAsia="Calibri"/>
          <w:u w:val="single"/>
        </w:rPr>
        <w:t xml:space="preserve"> in utopian politics, but </w:t>
      </w:r>
      <w:r>
        <w:rPr>
          <w:rFonts w:eastAsia="Calibri"/>
          <w:b/>
          <w:u w:val="single"/>
        </w:rPr>
        <w:t>not in the university-as-such</w:t>
      </w:r>
      <w:r>
        <w:rPr>
          <w:rFonts w:eastAsia="Calibri"/>
          <w:u w:val="single"/>
        </w:rPr>
        <w:t xml:space="preserve">. The utopian pedagogue has a </w:t>
      </w:r>
      <w:r>
        <w:rPr>
          <w:rFonts w:eastAsia="Calibri"/>
          <w:b/>
          <w:u w:val="single"/>
        </w:rPr>
        <w:t>responsibility</w:t>
      </w:r>
      <w:r>
        <w:rPr>
          <w:rFonts w:eastAsia="Calibri"/>
          <w:u w:val="single"/>
        </w:rPr>
        <w:t xml:space="preserve"> to</w:t>
      </w:r>
      <w:r>
        <w:rPr>
          <w:rFonts w:eastAsia="Calibri"/>
          <w:sz w:val="12"/>
          <w:szCs w:val="12"/>
        </w:rPr>
        <w:t xml:space="preserve"> exploit their own privilege and to </w:t>
      </w:r>
      <w:r>
        <w:rPr>
          <w:rFonts w:eastAsia="Calibri"/>
          <w:u w:val="single"/>
        </w:rPr>
        <w:t>work with</w:t>
      </w:r>
      <w:r>
        <w:rPr>
          <w:rFonts w:eastAsia="Calibri"/>
          <w:sz w:val="12"/>
          <w:szCs w:val="12"/>
        </w:rPr>
        <w:t xml:space="preserve"> students, communities and </w:t>
      </w:r>
      <w:r>
        <w:rPr>
          <w:rFonts w:eastAsia="Calibri"/>
          <w:u w:val="single"/>
        </w:rPr>
        <w:t xml:space="preserve">movements </w:t>
      </w:r>
      <w:r>
        <w:rPr>
          <w:rFonts w:eastAsia="Calibri"/>
          <w:b/>
          <w:u w:val="single"/>
        </w:rPr>
        <w:t>outside</w:t>
      </w:r>
      <w:r>
        <w:rPr>
          <w:rFonts w:eastAsia="Calibri"/>
          <w:u w:val="single"/>
        </w:rPr>
        <w:t xml:space="preserve"> and </w:t>
      </w:r>
      <w:r>
        <w:rPr>
          <w:rFonts w:eastAsia="Calibri"/>
          <w:b/>
          <w:u w:val="single"/>
        </w:rPr>
        <w:t>divorced from the university</w:t>
      </w:r>
      <w:r>
        <w:rPr>
          <w:rFonts w:eastAsia="Calibri"/>
          <w:sz w:val="12"/>
          <w:szCs w:val="12"/>
        </w:rPr>
        <w:t xml:space="preserve">. As Shear rightly notes, academics (and especially those working in the humanities and social sciences) “inhabit a privileged space in which </w:t>
      </w:r>
      <w:r>
        <w:rPr>
          <w:rFonts w:eastAsia="Calibri"/>
          <w:u w:val="single"/>
        </w:rPr>
        <w:t>critical inquiry</w:t>
      </w:r>
      <w:r>
        <w:rPr>
          <w:rFonts w:eastAsia="Calibri"/>
          <w:sz w:val="12"/>
          <w:szCs w:val="12"/>
        </w:rPr>
        <w:t xml:space="preserve"> concerning social hegemony and political-economic domination” </w:t>
      </w:r>
      <w:r>
        <w:rPr>
          <w:rFonts w:eastAsia="Calibri"/>
          <w:u w:val="single"/>
        </w:rPr>
        <w:t xml:space="preserve">is </w:t>
      </w:r>
      <w:r>
        <w:rPr>
          <w:rFonts w:eastAsia="Calibri"/>
          <w:b/>
          <w:u w:val="single"/>
        </w:rPr>
        <w:t>possible</w:t>
      </w:r>
      <w:r>
        <w:rPr>
          <w:rFonts w:eastAsia="Calibri"/>
          <w:sz w:val="12"/>
          <w:szCs w:val="12"/>
        </w:rPr>
        <w:t xml:space="preserve"> (Shear 2008, 56). </w:t>
      </w:r>
      <w:r>
        <w:rPr>
          <w:rFonts w:eastAsia="Calibri"/>
          <w:u w:val="single"/>
        </w:rPr>
        <w:t xml:space="preserve">Within the university, however, spaces for </w:t>
      </w:r>
      <w:r>
        <w:rPr>
          <w:rFonts w:eastAsia="Calibri"/>
          <w:b/>
          <w:u w:val="single"/>
        </w:rPr>
        <w:t>embodying</w:t>
      </w:r>
      <w:r>
        <w:rPr>
          <w:rFonts w:eastAsia="Calibri"/>
          <w:u w:val="single"/>
        </w:rPr>
        <w:t xml:space="preserve"> and </w:t>
      </w:r>
      <w:r>
        <w:rPr>
          <w:rFonts w:eastAsia="Calibri"/>
          <w:b/>
          <w:u w:val="single"/>
        </w:rPr>
        <w:t>enacting</w:t>
      </w:r>
      <w:r>
        <w:rPr>
          <w:rFonts w:eastAsia="Calibri"/>
          <w:u w:val="single"/>
        </w:rPr>
        <w:t xml:space="preserve"> this kind of inquiry have become </w:t>
      </w:r>
      <w:r>
        <w:rPr>
          <w:rFonts w:eastAsia="Calibri"/>
          <w:b/>
          <w:u w:val="single"/>
        </w:rPr>
        <w:t>constrained</w:t>
      </w:r>
      <w:r>
        <w:rPr>
          <w:rFonts w:eastAsia="Calibri"/>
          <w:u w:val="single"/>
        </w:rPr>
        <w:t xml:space="preserve">, </w:t>
      </w:r>
      <w:r>
        <w:rPr>
          <w:rFonts w:eastAsia="Calibri"/>
          <w:b/>
          <w:u w:val="single"/>
        </w:rPr>
        <w:t>compromised</w:t>
      </w:r>
      <w:r>
        <w:rPr>
          <w:rFonts w:eastAsia="Calibri"/>
          <w:u w:val="single"/>
        </w:rPr>
        <w:t xml:space="preserve">, </w:t>
      </w:r>
      <w:r>
        <w:rPr>
          <w:rFonts w:eastAsia="Calibri"/>
          <w:b/>
          <w:u w:val="single"/>
        </w:rPr>
        <w:t>monitored</w:t>
      </w:r>
      <w:r>
        <w:rPr>
          <w:rFonts w:eastAsia="Calibri"/>
          <w:u w:val="single"/>
        </w:rPr>
        <w:t xml:space="preserve">, </w:t>
      </w:r>
      <w:r>
        <w:rPr>
          <w:rFonts w:eastAsia="Calibri"/>
          <w:b/>
          <w:u w:val="single"/>
        </w:rPr>
        <w:t>surveilled</w:t>
      </w:r>
      <w:r>
        <w:rPr>
          <w:rFonts w:eastAsia="Calibri"/>
          <w:u w:val="single"/>
        </w:rPr>
        <w:t xml:space="preserve">, </w:t>
      </w:r>
      <w:r>
        <w:rPr>
          <w:rFonts w:eastAsia="Calibri"/>
          <w:b/>
          <w:u w:val="single"/>
        </w:rPr>
        <w:t>co-opted</w:t>
      </w:r>
      <w:r>
        <w:rPr>
          <w:rFonts w:eastAsia="Calibri"/>
          <w:u w:val="single"/>
        </w:rPr>
        <w:t xml:space="preserve">, and </w:t>
      </w:r>
      <w:r>
        <w:rPr>
          <w:rFonts w:eastAsia="Calibri"/>
          <w:b/>
          <w:u w:val="single"/>
        </w:rPr>
        <w:t>recuperated</w:t>
      </w:r>
      <w:r>
        <w:rPr>
          <w:rFonts w:eastAsia="Calibri"/>
          <w:sz w:val="12"/>
          <w:szCs w:val="12"/>
        </w:rPr>
        <w:t xml:space="preserve">. As I have argued throughout this article, </w:t>
      </w:r>
      <w:r>
        <w:rPr>
          <w:rFonts w:eastAsia="Calibri"/>
          <w:u w:val="single"/>
        </w:rPr>
        <w:t xml:space="preserve">utopian pedagogy has become a </w:t>
      </w:r>
      <w:r>
        <w:rPr>
          <w:rFonts w:eastAsia="Calibri"/>
          <w:b/>
          <w:u w:val="single"/>
        </w:rPr>
        <w:t>search for bolt-holes</w:t>
      </w:r>
      <w:r>
        <w:rPr>
          <w:rFonts w:eastAsia="Calibri"/>
          <w:u w:val="single"/>
        </w:rPr>
        <w:t xml:space="preserve"> and </w:t>
      </w:r>
      <w:r>
        <w:rPr>
          <w:rFonts w:eastAsia="Calibri"/>
          <w:b/>
          <w:u w:val="single"/>
        </w:rPr>
        <w:t>breathing spaces</w:t>
      </w:r>
      <w:r>
        <w:rPr>
          <w:rFonts w:eastAsia="Calibri"/>
          <w:u w:val="single"/>
        </w:rPr>
        <w:t xml:space="preserve"> in the system. </w:t>
      </w:r>
      <w:r>
        <w:rPr>
          <w:rFonts w:eastAsia="Calibri"/>
          <w:b/>
          <w:highlight w:val="cyan"/>
          <w:u w:val="single"/>
        </w:rPr>
        <w:t>Beyond the academy</w:t>
      </w:r>
      <w:r>
        <w:rPr>
          <w:rFonts w:eastAsia="Calibri"/>
          <w:u w:val="single"/>
        </w:rPr>
        <w:t xml:space="preserve">, however, there is a </w:t>
      </w:r>
      <w:r>
        <w:rPr>
          <w:rFonts w:eastAsia="Calibri"/>
          <w:b/>
          <w:u w:val="single"/>
        </w:rPr>
        <w:t>role to play</w:t>
      </w:r>
      <w:r>
        <w:rPr>
          <w:rFonts w:eastAsia="Calibri"/>
          <w:sz w:val="12"/>
          <w:szCs w:val="12"/>
        </w:rPr>
        <w:t xml:space="preserve">. As Chomsky (2010) tells us, </w:t>
      </w:r>
      <w:r>
        <w:rPr>
          <w:rFonts w:eastAsia="Calibri"/>
          <w:u w:val="single"/>
        </w:rPr>
        <w:t>with privilege comes responsibility</w:t>
      </w:r>
      <w:r>
        <w:rPr>
          <w:rFonts w:eastAsia="Calibri"/>
          <w:sz w:val="12"/>
          <w:szCs w:val="12"/>
        </w:rPr>
        <w:t xml:space="preserve">. And as Giroux frames it, </w:t>
      </w:r>
      <w:r>
        <w:rPr>
          <w:rFonts w:eastAsia="Calibri"/>
          <w:u w:val="single"/>
        </w:rPr>
        <w:t xml:space="preserve">this is </w:t>
      </w:r>
      <w:r>
        <w:rPr>
          <w:rFonts w:eastAsia="Calibri"/>
          <w:highlight w:val="cyan"/>
          <w:u w:val="single"/>
        </w:rPr>
        <w:t xml:space="preserve">an </w:t>
      </w:r>
      <w:r>
        <w:rPr>
          <w:rFonts w:eastAsia="Calibri"/>
          <w:b/>
          <w:highlight w:val="cyan"/>
          <w:u w:val="single"/>
        </w:rPr>
        <w:t>ethical</w:t>
      </w:r>
      <w:r>
        <w:rPr>
          <w:rFonts w:eastAsia="Calibri"/>
          <w:highlight w:val="cyan"/>
          <w:u w:val="single"/>
        </w:rPr>
        <w:t xml:space="preserve"> and </w:t>
      </w:r>
      <w:r>
        <w:rPr>
          <w:rFonts w:eastAsia="Calibri"/>
          <w:b/>
          <w:highlight w:val="cyan"/>
          <w:u w:val="single"/>
        </w:rPr>
        <w:t>political responsibility</w:t>
      </w:r>
      <w:r>
        <w:rPr>
          <w:rFonts w:eastAsia="Calibri"/>
          <w:highlight w:val="cyan"/>
          <w:u w:val="single"/>
        </w:rPr>
        <w:t xml:space="preserve"> to provide “</w:t>
      </w:r>
      <w:r>
        <w:rPr>
          <w:rFonts w:eastAsia="Calibri"/>
          <w:b/>
          <w:highlight w:val="cyan"/>
          <w:u w:val="single"/>
        </w:rPr>
        <w:t>theoretical</w:t>
      </w:r>
      <w:r>
        <w:rPr>
          <w:rFonts w:eastAsia="Calibri"/>
          <w:b/>
          <w:u w:val="single"/>
        </w:rPr>
        <w:t xml:space="preserve"> resources</w:t>
      </w:r>
      <w:r>
        <w:rPr>
          <w:rFonts w:eastAsia="Calibri"/>
          <w:u w:val="single"/>
        </w:rPr>
        <w:t xml:space="preserve"> and </w:t>
      </w:r>
      <w:r>
        <w:rPr>
          <w:rFonts w:eastAsia="Calibri"/>
          <w:b/>
          <w:u w:val="single"/>
        </w:rPr>
        <w:t xml:space="preserve">modes of </w:t>
      </w:r>
      <w:r>
        <w:rPr>
          <w:rFonts w:eastAsia="Calibri"/>
          <w:b/>
          <w:highlight w:val="cyan"/>
          <w:u w:val="single"/>
        </w:rPr>
        <w:t>analysis</w:t>
      </w:r>
      <w:r>
        <w:rPr>
          <w:rFonts w:eastAsia="Calibri"/>
          <w:highlight w:val="cyan"/>
          <w:u w:val="single"/>
        </w:rPr>
        <w:t xml:space="preserve">” to help forge “a </w:t>
      </w:r>
      <w:r>
        <w:rPr>
          <w:rFonts w:eastAsia="Calibri"/>
          <w:b/>
          <w:highlight w:val="cyan"/>
          <w:u w:val="single"/>
        </w:rPr>
        <w:t>utopian imaginary</w:t>
      </w:r>
      <w:r>
        <w:rPr>
          <w:rFonts w:eastAsia="Calibri"/>
          <w:u w:val="single"/>
        </w:rPr>
        <w:t>”</w:t>
      </w:r>
      <w:r>
        <w:rPr>
          <w:rFonts w:eastAsia="Calibri"/>
          <w:sz w:val="12"/>
          <w:szCs w:val="12"/>
        </w:rPr>
        <w:t xml:space="preserve"> (Giroux 2014a; 153; 2014b, 200). </w:t>
      </w:r>
      <w:r>
        <w:rPr>
          <w:rFonts w:eastAsia="Calibri"/>
          <w:u w:val="single"/>
        </w:rPr>
        <w:t xml:space="preserve">This </w:t>
      </w:r>
      <w:r>
        <w:rPr>
          <w:rFonts w:eastAsia="Calibri"/>
          <w:highlight w:val="cyan"/>
          <w:u w:val="single"/>
        </w:rPr>
        <w:t xml:space="preserve">means </w:t>
      </w:r>
      <w:r>
        <w:rPr>
          <w:rFonts w:eastAsia="Calibri"/>
          <w:b/>
          <w:highlight w:val="cyan"/>
          <w:u w:val="single"/>
        </w:rPr>
        <w:t>putting</w:t>
      </w:r>
      <w:r>
        <w:rPr>
          <w:rFonts w:eastAsia="Calibri"/>
          <w:b/>
          <w:u w:val="single"/>
        </w:rPr>
        <w:t xml:space="preserve"> one’s </w:t>
      </w:r>
      <w:r>
        <w:rPr>
          <w:rFonts w:eastAsia="Calibri"/>
          <w:b/>
          <w:highlight w:val="cyan"/>
          <w:u w:val="single"/>
        </w:rPr>
        <w:t>knowledge</w:t>
      </w:r>
      <w:r>
        <w:rPr>
          <w:rFonts w:eastAsia="Calibri"/>
          <w:highlight w:val="cyan"/>
          <w:u w:val="single"/>
        </w:rPr>
        <w:t xml:space="preserve"> and </w:t>
      </w:r>
      <w:r>
        <w:rPr>
          <w:rFonts w:eastAsia="Calibri"/>
          <w:b/>
          <w:highlight w:val="cyan"/>
          <w:u w:val="single"/>
        </w:rPr>
        <w:t>resources to use</w:t>
      </w:r>
      <w:r>
        <w:rPr>
          <w:rFonts w:eastAsia="Calibri"/>
          <w:highlight w:val="cyan"/>
          <w:u w:val="single"/>
        </w:rPr>
        <w:t xml:space="preserve"> in the service of a </w:t>
      </w:r>
      <w:r>
        <w:rPr>
          <w:rFonts w:eastAsia="Calibri"/>
          <w:b/>
          <w:highlight w:val="cyan"/>
          <w:u w:val="single"/>
        </w:rPr>
        <w:t>collaborative process</w:t>
      </w:r>
      <w:r>
        <w:rPr>
          <w:rFonts w:eastAsia="Calibri"/>
          <w:sz w:val="12"/>
          <w:szCs w:val="12"/>
        </w:rPr>
        <w:t xml:space="preserve"> of memory- and story-making, pulling together disparate inchoate dreams and yearnings in order </w:t>
      </w:r>
      <w:r>
        <w:rPr>
          <w:rFonts w:eastAsia="Calibri"/>
          <w:highlight w:val="cyan"/>
          <w:u w:val="single"/>
        </w:rPr>
        <w:t xml:space="preserve">to </w:t>
      </w:r>
      <w:r>
        <w:rPr>
          <w:rFonts w:eastAsia="Calibri"/>
          <w:b/>
          <w:highlight w:val="cyan"/>
          <w:u w:val="single"/>
        </w:rPr>
        <w:t>generate a utopian vision</w:t>
      </w:r>
      <w:r>
        <w:rPr>
          <w:rFonts w:eastAsia="Calibri"/>
          <w:highlight w:val="cyan"/>
          <w:u w:val="single"/>
        </w:rPr>
        <w:t xml:space="preserve"> that can help </w:t>
      </w:r>
      <w:r>
        <w:rPr>
          <w:rFonts w:eastAsia="Calibri"/>
          <w:b/>
          <w:highlight w:val="cyan"/>
          <w:u w:val="single"/>
        </w:rPr>
        <w:t>inform</w:t>
      </w:r>
      <w:r>
        <w:rPr>
          <w:rFonts w:eastAsia="Calibri"/>
          <w:highlight w:val="cyan"/>
          <w:u w:val="single"/>
        </w:rPr>
        <w:t xml:space="preserve">, </w:t>
      </w:r>
      <w:r>
        <w:rPr>
          <w:rFonts w:eastAsia="Calibri"/>
          <w:b/>
          <w:highlight w:val="cyan"/>
          <w:u w:val="single"/>
        </w:rPr>
        <w:t>guide</w:t>
      </w:r>
      <w:r>
        <w:rPr>
          <w:rFonts w:eastAsia="Calibri"/>
          <w:highlight w:val="cyan"/>
          <w:u w:val="single"/>
        </w:rPr>
        <w:t xml:space="preserve">, and </w:t>
      </w:r>
      <w:r>
        <w:rPr>
          <w:rFonts w:eastAsia="Calibri"/>
          <w:b/>
          <w:highlight w:val="cyan"/>
          <w:u w:val="single"/>
        </w:rPr>
        <w:t>mobilize long-term collective action for systemic change</w:t>
      </w:r>
      <w:r>
        <w:rPr>
          <w:rFonts w:eastAsia="Calibri"/>
          <w:u w:val="single"/>
        </w:rPr>
        <w:t>.</w:t>
      </w:r>
    </w:p>
    <w:p w14:paraId="3B0531CE" w14:textId="77777777" w:rsidR="007E4585" w:rsidRPr="007E4585" w:rsidRDefault="007E4585" w:rsidP="007E4585"/>
    <w:sectPr w:rsidR="007E4585" w:rsidRPr="007E45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FFC38" w14:textId="77777777" w:rsidR="00D535D7" w:rsidRDefault="00D535D7" w:rsidP="00066D2C">
      <w:pPr>
        <w:spacing w:after="0" w:line="240" w:lineRule="auto"/>
      </w:pPr>
      <w:r>
        <w:separator/>
      </w:r>
    </w:p>
  </w:endnote>
  <w:endnote w:type="continuationSeparator" w:id="0">
    <w:p w14:paraId="017F58AC" w14:textId="77777777" w:rsidR="00D535D7" w:rsidRDefault="00D535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9AB5D" w14:textId="77777777" w:rsidR="00D535D7" w:rsidRDefault="00D535D7" w:rsidP="00066D2C">
      <w:pPr>
        <w:spacing w:after="0" w:line="240" w:lineRule="auto"/>
      </w:pPr>
      <w:r>
        <w:separator/>
      </w:r>
    </w:p>
  </w:footnote>
  <w:footnote w:type="continuationSeparator" w:id="0">
    <w:p w14:paraId="6F706EF4" w14:textId="77777777" w:rsidR="00D535D7" w:rsidRDefault="00D535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D535D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3B3"/>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120A"/>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08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58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EE7"/>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3EF"/>
    <w:rsid w:val="00A81524"/>
    <w:rsid w:val="00A81D60"/>
    <w:rsid w:val="00A90163"/>
    <w:rsid w:val="00AA1AC0"/>
    <w:rsid w:val="00AA3B66"/>
    <w:rsid w:val="00AA5803"/>
    <w:rsid w:val="00AA584F"/>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00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5FFF"/>
    <w:rsid w:val="00CA7F86"/>
    <w:rsid w:val="00CB32EF"/>
    <w:rsid w:val="00CC0A05"/>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5D7"/>
    <w:rsid w:val="00D53B1C"/>
    <w:rsid w:val="00D55A7A"/>
    <w:rsid w:val="00D568D5"/>
    <w:rsid w:val="00D56B6F"/>
    <w:rsid w:val="00D57878"/>
    <w:rsid w:val="00D60AB7"/>
    <w:rsid w:val="00D6226F"/>
    <w:rsid w:val="00D70E15"/>
    <w:rsid w:val="00D714E5"/>
    <w:rsid w:val="00D7546D"/>
    <w:rsid w:val="00D75C54"/>
    <w:rsid w:val="00D820A9"/>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BC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8C4"/>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4C6E"/>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8F1AC5"/>
  <w15:chartTrackingRefBased/>
  <w15:docId w15:val="{671FBAFE-A869-4D3C-BB58-1CC3D858F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5EE7"/>
    <w:rPr>
      <w:rFonts w:ascii="Calibri" w:hAnsi="Calibri" w:cs="Calibri"/>
    </w:rPr>
  </w:style>
  <w:style w:type="paragraph" w:styleId="Heading1">
    <w:name w:val="heading 1"/>
    <w:aliases w:val="Pocket"/>
    <w:basedOn w:val="Normal"/>
    <w:next w:val="Normal"/>
    <w:link w:val="Heading1Char"/>
    <w:qFormat/>
    <w:rsid w:val="00D535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35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535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D535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35D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535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35D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D535D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535D7"/>
    <w:rPr>
      <w:color w:val="auto"/>
      <w:u w:val="none"/>
    </w:rPr>
  </w:style>
  <w:style w:type="character" w:customStyle="1" w:styleId="Heading1Char">
    <w:name w:val="Heading 1 Char"/>
    <w:aliases w:val="Pocket Char"/>
    <w:basedOn w:val="DefaultParagraphFont"/>
    <w:link w:val="Heading1"/>
    <w:rsid w:val="00D535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35D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535D7"/>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t Cha"/>
    <w:basedOn w:val="DefaultParagraphFont"/>
    <w:link w:val="Heading4"/>
    <w:uiPriority w:val="3"/>
    <w:rsid w:val="00D535D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535D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D535D7"/>
    <w:rPr>
      <w:b w:val="0"/>
      <w:sz w:val="22"/>
      <w:u w:val="single"/>
    </w:rPr>
  </w:style>
  <w:style w:type="character" w:styleId="Strong">
    <w:name w:val="Strong"/>
    <w:basedOn w:val="DefaultParagraphFont"/>
    <w:uiPriority w:val="22"/>
    <w:semiHidden/>
    <w:qFormat/>
    <w:rsid w:val="00D535D7"/>
    <w:rPr>
      <w:b/>
      <w:bCs/>
    </w:rPr>
  </w:style>
  <w:style w:type="character" w:styleId="BookTitle">
    <w:name w:val="Book Title"/>
    <w:basedOn w:val="DefaultParagraphFont"/>
    <w:uiPriority w:val="33"/>
    <w:semiHidden/>
    <w:qFormat/>
    <w:rsid w:val="00D535D7"/>
    <w:rPr>
      <w:b/>
      <w:bCs/>
      <w:i/>
      <w:iCs/>
      <w:spacing w:val="5"/>
    </w:rPr>
  </w:style>
  <w:style w:type="character" w:customStyle="1" w:styleId="Heading5Char">
    <w:name w:val="Heading 5 Char"/>
    <w:basedOn w:val="DefaultParagraphFont"/>
    <w:link w:val="Heading5"/>
    <w:uiPriority w:val="9"/>
    <w:semiHidden/>
    <w:rsid w:val="00D535D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35D7"/>
  </w:style>
  <w:style w:type="paragraph" w:styleId="Header">
    <w:name w:val="header"/>
    <w:basedOn w:val="Normal"/>
    <w:link w:val="HeaderChar"/>
    <w:uiPriority w:val="99"/>
    <w:semiHidden/>
    <w:rsid w:val="00D535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35D7"/>
    <w:rPr>
      <w:rFonts w:ascii="Calibri" w:hAnsi="Calibri" w:cs="Calibri"/>
    </w:rPr>
  </w:style>
  <w:style w:type="paragraph" w:styleId="Footer">
    <w:name w:val="footer"/>
    <w:basedOn w:val="Normal"/>
    <w:link w:val="FooterChar"/>
    <w:uiPriority w:val="99"/>
    <w:semiHidden/>
    <w:rsid w:val="00D535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35D7"/>
    <w:rPr>
      <w:rFonts w:ascii="Calibri" w:hAnsi="Calibri" w:cs="Calibri"/>
    </w:rPr>
  </w:style>
  <w:style w:type="paragraph" w:styleId="BodyText">
    <w:name w:val="Body Text"/>
    <w:basedOn w:val="Normal"/>
    <w:link w:val="BodyTextChar"/>
    <w:uiPriority w:val="99"/>
    <w:semiHidden/>
    <w:unhideWhenUsed/>
    <w:rsid w:val="00D535D7"/>
    <w:pPr>
      <w:spacing w:after="120"/>
    </w:pPr>
  </w:style>
  <w:style w:type="character" w:customStyle="1" w:styleId="BodyTextChar">
    <w:name w:val="Body Text Char"/>
    <w:basedOn w:val="DefaultParagraphFont"/>
    <w:link w:val="BodyText"/>
    <w:uiPriority w:val="99"/>
    <w:semiHidden/>
    <w:rsid w:val="00D535D7"/>
    <w:rPr>
      <w:rFonts w:ascii="Calibri" w:hAnsi="Calibri" w:cs="Calibri"/>
    </w:rPr>
  </w:style>
  <w:style w:type="paragraph" w:styleId="NoSpacing">
    <w:name w:val="No Spacing"/>
    <w:link w:val="NoSpacingChar"/>
    <w:uiPriority w:val="99"/>
    <w:semiHidden/>
    <w:unhideWhenUsed/>
    <w:qFormat/>
    <w:rsid w:val="00D535D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535D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D535D7"/>
    <w:rPr>
      <w:color w:val="0563C1" w:themeColor="hyperlink"/>
      <w:u w:val="single"/>
    </w:rPr>
  </w:style>
  <w:style w:type="character" w:styleId="UnresolvedMention">
    <w:name w:val="Unresolved Mention"/>
    <w:basedOn w:val="DefaultParagraphFont"/>
    <w:uiPriority w:val="99"/>
    <w:semiHidden/>
    <w:unhideWhenUsed/>
    <w:rsid w:val="00D535D7"/>
    <w:rPr>
      <w:color w:val="605E5C"/>
      <w:shd w:val="clear" w:color="auto" w:fill="E1DFDD"/>
    </w:rPr>
  </w:style>
  <w:style w:type="paragraph" w:customStyle="1" w:styleId="Analytic">
    <w:name w:val="Analytic"/>
    <w:basedOn w:val="Normal"/>
    <w:link w:val="AnalyticChar"/>
    <w:uiPriority w:val="5"/>
    <w:qFormat/>
    <w:rsid w:val="00D535D7"/>
    <w:rPr>
      <w:b/>
      <w:color w:val="0070C0"/>
      <w:sz w:val="26"/>
    </w:rPr>
  </w:style>
  <w:style w:type="character" w:customStyle="1" w:styleId="AnalyticChar">
    <w:name w:val="Analytic Char"/>
    <w:basedOn w:val="DefaultParagraphFont"/>
    <w:link w:val="Analytic"/>
    <w:uiPriority w:val="5"/>
    <w:rsid w:val="00D535D7"/>
    <w:rPr>
      <w:rFonts w:ascii="Calibri" w:hAnsi="Calibri" w:cs="Calibri"/>
      <w:b/>
      <w:color w:val="0070C0"/>
      <w:sz w:val="26"/>
    </w:rPr>
  </w:style>
  <w:style w:type="paragraph" w:customStyle="1" w:styleId="textbold">
    <w:name w:val="text bold"/>
    <w:basedOn w:val="Normal"/>
    <w:link w:val="Emphasis"/>
    <w:uiPriority w:val="8"/>
    <w:qFormat/>
    <w:rsid w:val="009A5EE7"/>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pan-debate-association.org/wp-content/uploads/2021/12/6thTCA2020_Proceedingspp.137-145_Smith.rev_..pdf" TargetMode="Externa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0A67D5F6-36A2-41D4-AF17-94FE1C282511}"/>
</file>

<file path=customXml/itemProps3.xml><?xml version="1.0" encoding="utf-8"?>
<ds:datastoreItem xmlns:ds="http://schemas.openxmlformats.org/officeDocument/2006/customXml" ds:itemID="{213EE4D0-CBCD-4A74-B9F8-9EFD09D0CD43}"/>
</file>

<file path=customXml/itemProps4.xml><?xml version="1.0" encoding="utf-8"?>
<ds:datastoreItem xmlns:ds="http://schemas.openxmlformats.org/officeDocument/2006/customXml" ds:itemID="{DB3D7C1D-FDAB-479A-8983-F3E74EE5E5CA}"/>
</file>

<file path=docProps/app.xml><?xml version="1.0" encoding="utf-8"?>
<Properties xmlns="http://schemas.openxmlformats.org/officeDocument/2006/extended-properties" xmlns:vt="http://schemas.openxmlformats.org/officeDocument/2006/docPropsVTypes">
  <Template>Debate</Template>
  <TotalTime>9</TotalTime>
  <Pages>1</Pages>
  <Words>14541</Words>
  <Characters>80179</Characters>
  <Application>Microsoft Office Word</Application>
  <DocSecurity>0</DocSecurity>
  <Lines>668</Lines>
  <Paragraphs>189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Jace Raines</dc:creator>
  <cp:keywords>6.0.0</cp:keywords>
  <dc:description/>
  <cp:lastModifiedBy>Jace Raines</cp:lastModifiedBy>
  <cp:revision>12</cp:revision>
  <dcterms:created xsi:type="dcterms:W3CDTF">2025-09-08T01:45:00Z</dcterms:created>
  <dcterms:modified xsi:type="dcterms:W3CDTF">2025-09-08T01:55:00Z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ies>
</file>