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204CA0" w14:textId="2A82E2E3" w:rsidR="005D388F" w:rsidRDefault="00BF37F0" w:rsidP="00BF37F0">
      <w:pPr>
        <w:pStyle w:val="Heading1"/>
      </w:pPr>
      <w:r>
        <w:t>K</w:t>
      </w:r>
    </w:p>
    <w:p w14:paraId="0DE1CED5" w14:textId="77777777" w:rsidR="00BF37F0" w:rsidRDefault="00BF37F0" w:rsidP="00BF37F0"/>
    <w:p w14:paraId="0F12D2AD" w14:textId="77777777" w:rsidR="00BF37F0" w:rsidRDefault="00BF37F0" w:rsidP="00BF37F0">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028DF9B" w14:textId="77777777" w:rsidR="00BF37F0" w:rsidRPr="009A289F" w:rsidRDefault="00BF37F0" w:rsidP="00BF37F0">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1B173652" w14:textId="77777777" w:rsidR="00BF37F0" w:rsidRPr="00DA55D4" w:rsidRDefault="00BF37F0" w:rsidP="00BF37F0">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48BA8AD" w14:textId="77777777" w:rsidR="00BF37F0" w:rsidRPr="00DA55D4" w:rsidRDefault="00BF37F0" w:rsidP="00BF37F0">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5CD2DA39" w14:textId="77777777" w:rsidR="00BF37F0" w:rsidRPr="00DA55D4" w:rsidRDefault="00BF37F0" w:rsidP="00BF37F0">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200AB3B2" w14:textId="77777777" w:rsidR="00BF37F0" w:rsidRDefault="00BF37F0" w:rsidP="00BF37F0">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22656F8A" w14:textId="77777777" w:rsidR="00BF37F0" w:rsidRDefault="00BF37F0" w:rsidP="00BF37F0">
      <w:pPr>
        <w:pStyle w:val="Heading4"/>
      </w:pPr>
      <w:r>
        <w:t>Any transition from capitalism requires secondary strikes to be effective.</w:t>
      </w:r>
    </w:p>
    <w:p w14:paraId="2874CED6" w14:textId="77777777" w:rsidR="00BF37F0" w:rsidRPr="006050D7" w:rsidRDefault="00BF37F0" w:rsidP="00BF37F0">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242FA915" w14:textId="77777777" w:rsidR="00BF37F0" w:rsidRPr="006050D7" w:rsidRDefault="00BF37F0" w:rsidP="00BF37F0">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53764D17" w14:textId="77777777" w:rsidR="00BF37F0" w:rsidRPr="006050D7" w:rsidRDefault="00BF37F0" w:rsidP="00BF37F0">
      <w:pPr>
        <w:rPr>
          <w:sz w:val="16"/>
        </w:rPr>
      </w:pPr>
      <w:r w:rsidRPr="006050D7">
        <w:rPr>
          <w:sz w:val="16"/>
        </w:rPr>
        <w:t>Striking for Life: Protect the Front-line, Not the Bottom Line.</w:t>
      </w:r>
    </w:p>
    <w:p w14:paraId="7C78499D" w14:textId="77777777" w:rsidR="00BF37F0" w:rsidRPr="006050D7" w:rsidRDefault="00BF37F0" w:rsidP="00BF37F0">
      <w:pPr>
        <w:rPr>
          <w:sz w:val="16"/>
        </w:rPr>
      </w:pPr>
      <w:r w:rsidRPr="006050D7">
        <w:rPr>
          <w:sz w:val="16"/>
        </w:rPr>
        <w:lastRenderedPageBreak/>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2DACF935" w14:textId="77777777" w:rsidR="00BF37F0" w:rsidRPr="006050D7" w:rsidRDefault="00BF37F0" w:rsidP="00BF37F0">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5FE132C1" w14:textId="77777777" w:rsidR="00BF37F0" w:rsidRPr="006050D7" w:rsidRDefault="00BF37F0" w:rsidP="00BF37F0">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5D650169" w14:textId="77777777" w:rsidR="00BF37F0" w:rsidRDefault="00BF37F0" w:rsidP="00BF37F0">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09E87B41" w14:textId="77777777" w:rsidR="00BF37F0" w:rsidRPr="003101BB" w:rsidRDefault="00BF37F0" w:rsidP="00BF37F0">
      <w:pPr>
        <w:pStyle w:val="Heading4"/>
      </w:pPr>
      <w:r>
        <w:t xml:space="preserve">The mere </w:t>
      </w:r>
      <w:r>
        <w:rPr>
          <w:u w:val="single"/>
        </w:rPr>
        <w:t>existence</w:t>
      </w:r>
      <w:r>
        <w:t xml:space="preserve"> of strong unions is liberatory, </w:t>
      </w:r>
      <w:r>
        <w:rPr>
          <w:u w:val="single"/>
        </w:rPr>
        <w:t>even if</w:t>
      </w:r>
      <w:r>
        <w:t xml:space="preserve"> they’re never used.</w:t>
      </w:r>
    </w:p>
    <w:p w14:paraId="36CD2842" w14:textId="77777777" w:rsidR="00BF37F0" w:rsidRPr="00D05176" w:rsidRDefault="00BF37F0" w:rsidP="00BF37F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778E35ED" w14:textId="77777777" w:rsidR="00BF37F0" w:rsidRPr="00E355C3" w:rsidRDefault="00BF37F0" w:rsidP="00BF37F0">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25B7D004" w14:textId="77777777" w:rsidR="00BF37F0" w:rsidRPr="00836133" w:rsidRDefault="00BF37F0" w:rsidP="00BF37F0"/>
    <w:p w14:paraId="1DFD60E9" w14:textId="77777777" w:rsidR="00BF37F0" w:rsidRPr="00D97531" w:rsidRDefault="00BF37F0" w:rsidP="00BF37F0">
      <w:pPr>
        <w:pStyle w:val="Heading4"/>
      </w:pPr>
      <w:r>
        <w:lastRenderedPageBreak/>
        <w:t xml:space="preserve">Rights struggles catalyze social transformations and future movements </w:t>
      </w:r>
      <w:r>
        <w:rPr>
          <w:u w:val="single"/>
        </w:rPr>
        <w:t>even when they fail</w:t>
      </w:r>
      <w:r>
        <w:t>.</w:t>
      </w:r>
    </w:p>
    <w:p w14:paraId="1C7B88FD" w14:textId="77777777" w:rsidR="00BF37F0" w:rsidRDefault="00BF37F0" w:rsidP="00BF37F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4A430A2E" w14:textId="77777777" w:rsidR="00BF37F0" w:rsidRPr="00D97531" w:rsidRDefault="00BF37F0" w:rsidP="00BF37F0">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08EA705D" w14:textId="77777777" w:rsidR="00BF37F0" w:rsidRPr="00D97531" w:rsidRDefault="00BF37F0" w:rsidP="00BF37F0">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xml:space="preserve">. This is especially true in the types of struggles over citizenship, civil rights, civil liberties, and fundamental social relations that we have addressed in this book. Documenting this </w:t>
      </w:r>
      <w:r w:rsidRPr="00D97531">
        <w:rPr>
          <w:sz w:val="14"/>
        </w:rPr>
        <w:lastRenderedPageBreak/>
        <w:t>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2DEFCFB9" w14:textId="77777777" w:rsidR="00BF37F0" w:rsidRPr="004D335B" w:rsidRDefault="00BF37F0" w:rsidP="00BF37F0">
      <w:pPr>
        <w:pStyle w:val="Heading4"/>
      </w:pPr>
      <w:r w:rsidRPr="004D335B">
        <w:t>Psychoanalysis isn’t universal and scaling it up to political conclusions is colonialist</w:t>
      </w:r>
    </w:p>
    <w:p w14:paraId="6400B33D" w14:textId="77777777" w:rsidR="00BF37F0" w:rsidRPr="004D335B" w:rsidRDefault="00BF37F0" w:rsidP="00BF37F0">
      <w:r w:rsidRPr="004D335B">
        <w:rPr>
          <w:rStyle w:val="Style13ptBold"/>
        </w:rPr>
        <w:t>Rogers, 17</w:t>
      </w:r>
      <w:r w:rsidRPr="004D335B">
        <w:t>—Senior Lecturer in Criminology in the School of Political Sciences at the University of Melbourne and Adjunct Professor at Griffith Law School, Queensland (Juliet, “Is Psychoanalysis Universal? Politics, Desire, and Law in Colonial Contexts,” Political Psychology, Vol. 38, No. 4, 2017, dml)</w:t>
      </w:r>
    </w:p>
    <w:p w14:paraId="09E90C7F" w14:textId="77777777" w:rsidR="00BF37F0" w:rsidRPr="004D335B" w:rsidRDefault="00BF37F0" w:rsidP="00BF37F0"/>
    <w:p w14:paraId="4C9115BD" w14:textId="77777777" w:rsidR="00BF37F0" w:rsidRPr="004D335B" w:rsidRDefault="00BF37F0" w:rsidP="00BF37F0">
      <w:pPr>
        <w:rPr>
          <w:sz w:val="16"/>
        </w:rPr>
      </w:pPr>
      <w:r w:rsidRPr="004D335B">
        <w:rPr>
          <w:rStyle w:val="StyleUnderline"/>
          <w:highlight w:val="cyan"/>
        </w:rPr>
        <w:t xml:space="preserve">The </w:t>
      </w:r>
      <w:r w:rsidRPr="004D335B">
        <w:rPr>
          <w:rStyle w:val="Emphasis"/>
          <w:highlight w:val="cyan"/>
        </w:rPr>
        <w:t>presumption of</w:t>
      </w:r>
      <w:r w:rsidRPr="004D335B">
        <w:rPr>
          <w:rStyle w:val="Emphasis"/>
        </w:rPr>
        <w:t xml:space="preserve"> a </w:t>
      </w:r>
      <w:r w:rsidRPr="004D335B">
        <w:rPr>
          <w:rStyle w:val="Emphasis"/>
          <w:highlight w:val="cyan"/>
        </w:rPr>
        <w:t>universal</w:t>
      </w:r>
      <w:r w:rsidRPr="004D335B">
        <w:rPr>
          <w:rStyle w:val="Emphasis"/>
        </w:rPr>
        <w:t xml:space="preserve"> form of </w:t>
      </w:r>
      <w:r w:rsidRPr="004D335B">
        <w:rPr>
          <w:rStyle w:val="Emphasis"/>
          <w:highlight w:val="cyan"/>
        </w:rPr>
        <w:t>desire</w:t>
      </w:r>
      <w:r w:rsidRPr="004D335B">
        <w:rPr>
          <w:rStyle w:val="StyleUnderline"/>
          <w:highlight w:val="cyan"/>
        </w:rPr>
        <w:t xml:space="preserve"> is an important starting point</w:t>
      </w:r>
      <w:r w:rsidRPr="004D335B">
        <w:rPr>
          <w:rStyle w:val="StyleUnderline"/>
        </w:rPr>
        <w:t xml:space="preserve"> for the analyst</w:t>
      </w:r>
      <w:r w:rsidRPr="004D335B">
        <w:rPr>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4D335B">
        <w:rPr>
          <w:rStyle w:val="StyleUnderline"/>
        </w:rPr>
        <w:t xml:space="preserve">when the desires of subjects are </w:t>
      </w:r>
      <w:r w:rsidRPr="004D335B">
        <w:rPr>
          <w:rStyle w:val="Emphasis"/>
        </w:rPr>
        <w:t>extended into the political realm</w:t>
      </w:r>
      <w:r w:rsidRPr="004D335B">
        <w:rPr>
          <w:rStyle w:val="StyleUnderline"/>
        </w:rPr>
        <w:t xml:space="preserve">, when the wants and needs of every subject are </w:t>
      </w:r>
      <w:r w:rsidRPr="004D335B">
        <w:rPr>
          <w:rStyle w:val="Emphasis"/>
        </w:rPr>
        <w:t>presumed to articulate</w:t>
      </w:r>
      <w:r w:rsidRPr="004D335B">
        <w:rPr>
          <w:rStyle w:val="StyleUnderline"/>
        </w:rPr>
        <w:t xml:space="preserve"> with a </w:t>
      </w:r>
      <w:r w:rsidRPr="004D335B">
        <w:rPr>
          <w:rStyle w:val="Emphasis"/>
        </w:rPr>
        <w:t>psychoanalytic notion of universal desire</w:t>
      </w:r>
      <w:r w:rsidRPr="004D335B">
        <w:rPr>
          <w:rStyle w:val="StyleUnderline"/>
        </w:rPr>
        <w:t xml:space="preserve">, then </w:t>
      </w:r>
      <w:r w:rsidRPr="004D335B">
        <w:rPr>
          <w:rStyle w:val="Emphasis"/>
        </w:rPr>
        <w:t>something is lost</w:t>
      </w:r>
      <w:r w:rsidRPr="004D335B">
        <w:rPr>
          <w:sz w:val="16"/>
        </w:rPr>
        <w:t xml:space="preserve">. That something might be called the desire of the other, or it might not be called desire at all. </w:t>
      </w:r>
    </w:p>
    <w:p w14:paraId="74FBD6F0" w14:textId="77777777" w:rsidR="00BF37F0" w:rsidRPr="004D335B" w:rsidRDefault="00BF37F0" w:rsidP="00BF37F0">
      <w:pPr>
        <w:rPr>
          <w:sz w:val="16"/>
        </w:rPr>
      </w:pPr>
      <w:r w:rsidRPr="004D335B">
        <w:rPr>
          <w:sz w:val="16"/>
        </w:rPr>
        <w:t xml:space="preserve">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4D335B">
        <w:rPr>
          <w:rStyle w:val="StyleUnderline"/>
          <w:highlight w:val="cyan"/>
        </w:rPr>
        <w:t xml:space="preserve">there is </w:t>
      </w:r>
      <w:r w:rsidRPr="004D335B">
        <w:rPr>
          <w:rStyle w:val="Emphasis"/>
          <w:highlight w:val="cyan"/>
        </w:rPr>
        <w:t>little space</w:t>
      </w:r>
      <w:r w:rsidRPr="004D335B">
        <w:rPr>
          <w:rStyle w:val="StyleUnderline"/>
          <w:highlight w:val="cyan"/>
        </w:rPr>
        <w:t xml:space="preserve"> for a </w:t>
      </w:r>
      <w:r w:rsidRPr="004D335B">
        <w:rPr>
          <w:rStyle w:val="Emphasis"/>
          <w:highlight w:val="cyan"/>
        </w:rPr>
        <w:t>radically other</w:t>
      </w:r>
      <w:r w:rsidRPr="004D335B">
        <w:rPr>
          <w:rStyle w:val="Emphasis"/>
        </w:rPr>
        <w:t xml:space="preserve"> performance</w:t>
      </w:r>
      <w:r w:rsidRPr="004D335B">
        <w:rPr>
          <w:rStyle w:val="StyleUnderline"/>
        </w:rPr>
        <w:t xml:space="preserve"> of </w:t>
      </w:r>
      <w:r w:rsidRPr="004D335B">
        <w:rPr>
          <w:rStyle w:val="StyleUnderline"/>
          <w:highlight w:val="cyan"/>
        </w:rPr>
        <w:t>politics</w:t>
      </w:r>
      <w:r w:rsidRPr="004D335B">
        <w:rPr>
          <w:rStyle w:val="StyleUnderline"/>
        </w:rPr>
        <w:t xml:space="preserve"> as action or imagination </w:t>
      </w:r>
      <w:r w:rsidRPr="004D335B">
        <w:rPr>
          <w:rStyle w:val="StyleUnderline"/>
          <w:highlight w:val="cyan"/>
        </w:rPr>
        <w:t>to appear</w:t>
      </w:r>
      <w:r w:rsidRPr="004D335B">
        <w:rPr>
          <w:rStyle w:val="StyleUnderline"/>
        </w:rPr>
        <w:t xml:space="preserve">. </w:t>
      </w:r>
      <w:r w:rsidRPr="004D335B">
        <w:rPr>
          <w:rStyle w:val="StyleUnderline"/>
          <w:highlight w:val="cyan"/>
        </w:rPr>
        <w:t>The subject</w:t>
      </w:r>
      <w:r w:rsidRPr="004D335B">
        <w:rPr>
          <w:rStyle w:val="StyleUnderline"/>
        </w:rPr>
        <w:t xml:space="preserve"> who is subsumed into this imagination</w:t>
      </w:r>
      <w:r w:rsidRPr="004D335B">
        <w:rPr>
          <w:sz w:val="16"/>
        </w:rPr>
        <w:t>—the subject Gayatri Spivak (1996)1 describes as “the Other of Europe”—</w:t>
      </w:r>
      <w:r w:rsidRPr="004D335B">
        <w:rPr>
          <w:rStyle w:val="StyleUnderline"/>
          <w:highlight w:val="cyan"/>
        </w:rPr>
        <w:t xml:space="preserve">has </w:t>
      </w:r>
      <w:r w:rsidRPr="004D335B">
        <w:rPr>
          <w:rStyle w:val="Emphasis"/>
          <w:highlight w:val="cyan"/>
        </w:rPr>
        <w:t>little opportunity to do more</w:t>
      </w:r>
      <w:r w:rsidRPr="004D335B">
        <w:rPr>
          <w:rStyle w:val="StyleUnderline"/>
          <w:highlight w:val="cyan"/>
        </w:rPr>
        <w:t xml:space="preserve"> than “</w:t>
      </w:r>
      <w:r w:rsidRPr="004D335B">
        <w:rPr>
          <w:rStyle w:val="Emphasis"/>
          <w:highlight w:val="cyan"/>
        </w:rPr>
        <w:t>utter</w:t>
      </w:r>
      <w:r w:rsidRPr="004D335B">
        <w:rPr>
          <w:rStyle w:val="StyleUnderline"/>
          <w:highlight w:val="cyan"/>
        </w:rPr>
        <w:t>” under the weight of its imagined subjectivity</w:t>
      </w:r>
      <w:r w:rsidRPr="004D335B">
        <w:rPr>
          <w:sz w:val="16"/>
        </w:rPr>
        <w:t xml:space="preserve">. As Spivak (1999) says: </w:t>
      </w:r>
    </w:p>
    <w:p w14:paraId="7C71A8E0" w14:textId="77777777" w:rsidR="00BF37F0" w:rsidRPr="004D335B" w:rsidRDefault="00BF37F0" w:rsidP="00BF37F0">
      <w:pPr>
        <w:rPr>
          <w:sz w:val="16"/>
        </w:rPr>
      </w:pPr>
      <w:r w:rsidRPr="004D335B">
        <w:rPr>
          <w:rStyle w:val="StyleUnderline"/>
        </w:rPr>
        <w:t xml:space="preserve">[I]n the constitution of that Other of Europe, </w:t>
      </w:r>
      <w:r w:rsidRPr="004D335B">
        <w:rPr>
          <w:rStyle w:val="Emphasis"/>
        </w:rPr>
        <w:t>great care</w:t>
      </w:r>
      <w:r w:rsidRPr="004D335B">
        <w:rPr>
          <w:rStyle w:val="StyleUnderline"/>
        </w:rPr>
        <w:t xml:space="preserve"> was taken to </w:t>
      </w:r>
      <w:r w:rsidRPr="004D335B">
        <w:rPr>
          <w:rStyle w:val="Emphasis"/>
        </w:rPr>
        <w:t>obliterate the textual ingredients</w:t>
      </w:r>
      <w:r w:rsidRPr="004D335B">
        <w:rPr>
          <w:rStyle w:val="StyleUnderline"/>
        </w:rPr>
        <w:t xml:space="preserve"> with which such a subject could cathect, could occupy (invest?) its itinerary</w:t>
      </w:r>
      <w:r w:rsidRPr="004D335B">
        <w:rPr>
          <w:sz w:val="16"/>
        </w:rPr>
        <w:t xml:space="preserve">—not only by ideological and scientific production, but also by the institution of the law. (p. 266) </w:t>
      </w:r>
    </w:p>
    <w:p w14:paraId="2F688499" w14:textId="77777777" w:rsidR="00BF37F0" w:rsidRPr="004D335B" w:rsidRDefault="00BF37F0" w:rsidP="00BF37F0">
      <w:pPr>
        <w:rPr>
          <w:sz w:val="16"/>
        </w:rPr>
      </w:pPr>
      <w:r w:rsidRPr="004D335B">
        <w:rPr>
          <w:rStyle w:val="StyleUnderline"/>
        </w:rPr>
        <w:t xml:space="preserve">Psychoanalysis is </w:t>
      </w:r>
      <w:r w:rsidRPr="004D335B">
        <w:rPr>
          <w:rStyle w:val="Emphasis"/>
        </w:rPr>
        <w:t>as guilty</w:t>
      </w:r>
      <w:r w:rsidRPr="004D335B">
        <w:rPr>
          <w:rStyle w:val="StyleUnderline"/>
        </w:rPr>
        <w:t xml:space="preserve"> of exercising such a form of “</w:t>
      </w:r>
      <w:r w:rsidRPr="004D335B">
        <w:rPr>
          <w:rStyle w:val="Emphasis"/>
        </w:rPr>
        <w:t>great care</w:t>
      </w:r>
      <w:r w:rsidRPr="004D335B">
        <w:rPr>
          <w:rStyle w:val="StyleUnderline"/>
        </w:rPr>
        <w:t>”</w:t>
      </w:r>
      <w:r w:rsidRPr="004D335B">
        <w:rPr>
          <w:sz w:val="16"/>
        </w:rPr>
        <w:t xml:space="preserve"> as many of the occupations of French intellectuals that Spivak has criticized for doing so. </w:t>
      </w:r>
      <w:r w:rsidRPr="004D335B">
        <w:rPr>
          <w:rStyle w:val="StyleUnderline"/>
          <w:highlight w:val="cyan"/>
        </w:rPr>
        <w:t>Psychoanalysis</w:t>
      </w:r>
      <w:r w:rsidRPr="004D335B">
        <w:rPr>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4D335B">
        <w:rPr>
          <w:rStyle w:val="StyleUnderline"/>
        </w:rPr>
        <w:t xml:space="preserve">is </w:t>
      </w:r>
      <w:r w:rsidRPr="004D335B">
        <w:rPr>
          <w:rStyle w:val="Emphasis"/>
        </w:rPr>
        <w:t>already constituted</w:t>
      </w:r>
      <w:r w:rsidRPr="004D335B">
        <w:rPr>
          <w:rStyle w:val="StyleUnderline"/>
        </w:rPr>
        <w:t xml:space="preserve"> by an imagination of a subject who wants, who needs, who desires objects, things, rights, in a mode which </w:t>
      </w:r>
      <w:r w:rsidRPr="004D335B">
        <w:rPr>
          <w:rStyle w:val="Emphasis"/>
          <w:highlight w:val="cyan"/>
        </w:rPr>
        <w:t>cannot not start from</w:t>
      </w:r>
      <w:r w:rsidRPr="004D335B">
        <w:rPr>
          <w:rStyle w:val="Emphasis"/>
        </w:rPr>
        <w:t xml:space="preserve"> a point of origin</w:t>
      </w:r>
      <w:r w:rsidRPr="004D335B">
        <w:rPr>
          <w:rStyle w:val="StyleUnderline"/>
        </w:rPr>
        <w:t xml:space="preserve">, and </w:t>
      </w:r>
      <w:r w:rsidRPr="004D335B">
        <w:rPr>
          <w:rStyle w:val="StyleUnderline"/>
          <w:highlight w:val="cyan"/>
        </w:rPr>
        <w:t xml:space="preserve">a </w:t>
      </w:r>
      <w:r w:rsidRPr="004D335B">
        <w:rPr>
          <w:rStyle w:val="Emphasis"/>
          <w:highlight w:val="cyan"/>
        </w:rPr>
        <w:t>particular political form of origin</w:t>
      </w:r>
      <w:r w:rsidRPr="004D335B">
        <w:rPr>
          <w:rStyle w:val="StyleUnderline"/>
          <w:highlight w:val="cyan"/>
        </w:rPr>
        <w:t xml:space="preserve"> which then </w:t>
      </w:r>
      <w:r w:rsidRPr="004D335B">
        <w:rPr>
          <w:rStyle w:val="Emphasis"/>
          <w:highlight w:val="cyan"/>
        </w:rPr>
        <w:t>precludes the recognition</w:t>
      </w:r>
      <w:r w:rsidRPr="004D335B">
        <w:rPr>
          <w:sz w:val="16"/>
        </w:rPr>
        <w:t>—in both the clinic and in political analysis2 —</w:t>
      </w:r>
      <w:r w:rsidRPr="004D335B">
        <w:rPr>
          <w:rStyle w:val="StyleUnderline"/>
          <w:highlight w:val="cyan"/>
        </w:rPr>
        <w:t xml:space="preserve">of </w:t>
      </w:r>
      <w:r w:rsidRPr="004D335B">
        <w:rPr>
          <w:rStyle w:val="Emphasis"/>
          <w:highlight w:val="cyan"/>
        </w:rPr>
        <w:t>other forms of desire</w:t>
      </w:r>
      <w:r w:rsidRPr="004D335B">
        <w:rPr>
          <w:sz w:val="16"/>
        </w:rPr>
        <w:t xml:space="preserve">, “with which such a subject could cathect, could occupy (invest?) its itinerary.” </w:t>
      </w:r>
      <w:r w:rsidRPr="004D335B">
        <w:rPr>
          <w:rStyle w:val="StyleUnderline"/>
        </w:rPr>
        <w:t xml:space="preserve">When practices such as political psychoanalysis </w:t>
      </w:r>
      <w:r w:rsidRPr="004D335B">
        <w:rPr>
          <w:rStyle w:val="Emphasis"/>
        </w:rPr>
        <w:t>presume a particular form of desire</w:t>
      </w:r>
      <w:r w:rsidRPr="004D335B">
        <w:rPr>
          <w:rStyle w:val="StyleUnderline"/>
        </w:rPr>
        <w:t xml:space="preserve">, </w:t>
      </w:r>
      <w:r w:rsidRPr="004D335B">
        <w:rPr>
          <w:rStyle w:val="StyleUnderline"/>
          <w:highlight w:val="cyan"/>
        </w:rPr>
        <w:t>what is at stake</w:t>
      </w:r>
      <w:r w:rsidRPr="004D335B">
        <w:rPr>
          <w:rStyle w:val="StyleUnderline"/>
        </w:rPr>
        <w:t xml:space="preserve"> in this constitution of desire </w:t>
      </w:r>
      <w:r w:rsidRPr="004D335B">
        <w:rPr>
          <w:rStyle w:val="StyleUnderline"/>
          <w:highlight w:val="cyan"/>
        </w:rPr>
        <w:t xml:space="preserve">is the </w:t>
      </w:r>
      <w:r w:rsidRPr="004D335B">
        <w:rPr>
          <w:rStyle w:val="Emphasis"/>
          <w:highlight w:val="cyan"/>
        </w:rPr>
        <w:t>political subject</w:t>
      </w:r>
      <w:r w:rsidRPr="004D335B">
        <w:rPr>
          <w:rStyle w:val="StyleUnderline"/>
        </w:rPr>
        <w:t xml:space="preserve"> or </w:t>
      </w:r>
      <w:r w:rsidRPr="004D335B">
        <w:rPr>
          <w:rStyle w:val="StyleUnderline"/>
          <w:highlight w:val="cyan"/>
        </w:rPr>
        <w:t xml:space="preserve">the </w:t>
      </w:r>
      <w:r w:rsidRPr="004D335B">
        <w:rPr>
          <w:rStyle w:val="Emphasis"/>
          <w:highlight w:val="cyan"/>
        </w:rPr>
        <w:t>Other</w:t>
      </w:r>
      <w:r w:rsidRPr="004D335B">
        <w:rPr>
          <w:rStyle w:val="Emphasis"/>
        </w:rPr>
        <w:t xml:space="preserve"> of Europe</w:t>
      </w:r>
      <w:r w:rsidRPr="004D335B">
        <w:rPr>
          <w:rStyle w:val="StyleUnderline"/>
        </w:rPr>
        <w:t xml:space="preserve"> </w:t>
      </w:r>
      <w:r w:rsidRPr="004D335B">
        <w:rPr>
          <w:rStyle w:val="StyleUnderline"/>
          <w:highlight w:val="cyan"/>
        </w:rPr>
        <w:t>who cannot “speak,”</w:t>
      </w:r>
      <w:r w:rsidRPr="004D335B">
        <w:rPr>
          <w:sz w:val="16"/>
        </w:rPr>
        <w:t xml:space="preserve"> in Spivak’s terms. </w:t>
      </w:r>
      <w:r w:rsidRPr="004D335B">
        <w:rPr>
          <w:rStyle w:val="StyleUnderline"/>
          <w:highlight w:val="cyan"/>
        </w:rPr>
        <w:t>What is lost</w:t>
      </w:r>
      <w:r w:rsidRPr="004D335B">
        <w:rPr>
          <w:rStyle w:val="StyleUnderline"/>
        </w:rPr>
        <w:t xml:space="preserve"> might be called </w:t>
      </w:r>
      <w:r w:rsidRPr="004D335B">
        <w:rPr>
          <w:rStyle w:val="Emphasis"/>
        </w:rPr>
        <w:t>radical desire</w:t>
      </w:r>
      <w:r w:rsidRPr="004D335B">
        <w:rPr>
          <w:rStyle w:val="StyleUnderline"/>
        </w:rPr>
        <w:t xml:space="preserve">; it might be an </w:t>
      </w:r>
      <w:r w:rsidRPr="004D335B">
        <w:rPr>
          <w:rStyle w:val="Emphasis"/>
        </w:rPr>
        <w:t>itinerary which is cathected</w:t>
      </w:r>
      <w:r w:rsidRPr="004D335B">
        <w:rPr>
          <w:rStyle w:val="StyleUnderline"/>
        </w:rPr>
        <w:t xml:space="preserve"> or </w:t>
      </w:r>
      <w:r w:rsidRPr="004D335B">
        <w:rPr>
          <w:rStyle w:val="Emphasis"/>
        </w:rPr>
        <w:t>invested otherwise</w:t>
      </w:r>
      <w:r w:rsidRPr="004D335B">
        <w:rPr>
          <w:rStyle w:val="StyleUnderline"/>
        </w:rPr>
        <w:t>, and</w:t>
      </w:r>
      <w:r w:rsidRPr="004D335B">
        <w:rPr>
          <w:sz w:val="16"/>
        </w:rPr>
        <w:t xml:space="preserve">, as such, </w:t>
      </w:r>
      <w:r w:rsidRPr="004D335B">
        <w:rPr>
          <w:rStyle w:val="StyleUnderline"/>
        </w:rPr>
        <w:t xml:space="preserve">it </w:t>
      </w:r>
      <w:r w:rsidRPr="004D335B">
        <w:rPr>
          <w:rStyle w:val="Emphasis"/>
          <w:highlight w:val="cyan"/>
        </w:rPr>
        <w:t>might not be recognizable</w:t>
      </w:r>
      <w:r w:rsidRPr="004D335B">
        <w:rPr>
          <w:rStyle w:val="StyleUnderline"/>
          <w:highlight w:val="cyan"/>
        </w:rPr>
        <w:t xml:space="preserve"> in psychoanalysis</w:t>
      </w:r>
      <w:r w:rsidRPr="004D335B">
        <w:rPr>
          <w:rStyle w:val="StyleUnderline"/>
        </w:rPr>
        <w:t xml:space="preserve"> or in contemporary political psychology at all</w:t>
      </w:r>
      <w:r w:rsidRPr="004D335B">
        <w:rPr>
          <w:sz w:val="16"/>
        </w:rPr>
        <w:t xml:space="preserve">. </w:t>
      </w:r>
    </w:p>
    <w:p w14:paraId="57B3B8B9" w14:textId="77777777" w:rsidR="00BF37F0" w:rsidRPr="004D335B" w:rsidRDefault="00BF37F0" w:rsidP="00BF37F0">
      <w:pPr>
        <w:rPr>
          <w:sz w:val="16"/>
        </w:rPr>
      </w:pPr>
      <w:r w:rsidRPr="004D335B">
        <w:rPr>
          <w:rStyle w:val="StyleUnderline"/>
        </w:rPr>
        <w:t xml:space="preserve">The nonrecognition of the Other of Europe, in her many forms, is a </w:t>
      </w:r>
      <w:r w:rsidRPr="004D335B">
        <w:rPr>
          <w:rStyle w:val="Emphasis"/>
        </w:rPr>
        <w:t>consistent political problem</w:t>
      </w:r>
      <w:r w:rsidRPr="004D335B">
        <w:rPr>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4D335B">
        <w:rPr>
          <w:rStyle w:val="StyleUnderline"/>
        </w:rPr>
        <w:t>Such nonrecognition</w:t>
      </w:r>
      <w:r w:rsidRPr="004D335B">
        <w:rPr>
          <w:sz w:val="16"/>
        </w:rPr>
        <w:t xml:space="preserve">, however, </w:t>
      </w:r>
      <w:r w:rsidRPr="004D335B">
        <w:rPr>
          <w:rStyle w:val="StyleUnderline"/>
        </w:rPr>
        <w:lastRenderedPageBreak/>
        <w:t xml:space="preserve">when </w:t>
      </w:r>
      <w:r w:rsidRPr="004D335B">
        <w:rPr>
          <w:rStyle w:val="Emphasis"/>
        </w:rPr>
        <w:t>repostulated in political psychoanalysis</w:t>
      </w:r>
      <w:r w:rsidRPr="004D335B">
        <w:rPr>
          <w:rStyle w:val="StyleUnderline"/>
        </w:rPr>
        <w:t xml:space="preserve"> has another effect. The trajectory of the symptoms of political practice</w:t>
      </w:r>
      <w:r w:rsidRPr="004D335B">
        <w:rPr>
          <w:sz w:val="16"/>
        </w:rPr>
        <w:t xml:space="preserve">—including desires for law, justice, particular election outcomes, rights, socioeconomic configurations, or even for the formation of political structures themselves (democracy being only one)— </w:t>
      </w:r>
      <w:r w:rsidRPr="004D335B">
        <w:rPr>
          <w:rStyle w:val="StyleUnderline"/>
        </w:rPr>
        <w:t xml:space="preserve">presume a form of desire that </w:t>
      </w:r>
      <w:r w:rsidRPr="004D335B">
        <w:rPr>
          <w:rStyle w:val="Emphasis"/>
        </w:rPr>
        <w:t>refers to</w:t>
      </w:r>
      <w:r w:rsidRPr="004D335B">
        <w:rPr>
          <w:rStyle w:val="StyleUnderline"/>
        </w:rPr>
        <w:t xml:space="preserve">, and </w:t>
      </w:r>
      <w:r w:rsidRPr="004D335B">
        <w:rPr>
          <w:rStyle w:val="Emphasis"/>
        </w:rPr>
        <w:t>endures in</w:t>
      </w:r>
      <w:r w:rsidRPr="004D335B">
        <w:rPr>
          <w:rStyle w:val="StyleUnderline"/>
        </w:rPr>
        <w:t>, its constitution</w:t>
      </w:r>
      <w:r w:rsidRPr="004D335B">
        <w:rPr>
          <w:sz w:val="16"/>
        </w:rPr>
        <w:t xml:space="preserve">. As Spivak (1999) notes in her critique of power and desire as universal: </w:t>
      </w:r>
    </w:p>
    <w:p w14:paraId="24C27490" w14:textId="77777777" w:rsidR="00BF37F0" w:rsidRPr="004D335B" w:rsidRDefault="00BF37F0" w:rsidP="00BF37F0">
      <w:pPr>
        <w:rPr>
          <w:sz w:val="16"/>
        </w:rPr>
      </w:pPr>
      <w:r w:rsidRPr="004D335B">
        <w:rPr>
          <w:sz w:val="16"/>
        </w:rPr>
        <w:t xml:space="preserve">[S]o is “desire” misleading because of its paleonomic burden of an originary phenomenal passion—from philosophical intentionality on the one hand to psychoanalytic definitive lack on the other. (p. 107) </w:t>
      </w:r>
    </w:p>
    <w:p w14:paraId="52FE8C9B" w14:textId="77777777" w:rsidR="00BF37F0" w:rsidRPr="004D335B" w:rsidRDefault="00BF37F0" w:rsidP="00BF37F0">
      <w:pPr>
        <w:rPr>
          <w:sz w:val="16"/>
        </w:rPr>
      </w:pPr>
      <w:r w:rsidRPr="004D335B">
        <w:rPr>
          <w:sz w:val="16"/>
        </w:rPr>
        <w:t xml:space="preserve">The psychoanalytic definitive lack she speaks of refers to the Lacanian configuration of desire as always attempting to recover, to master, to instantiate an identity that is supposedly interminably lost as soon as language acts upon the subject. </w:t>
      </w:r>
      <w:r w:rsidRPr="004D335B">
        <w:rPr>
          <w:rStyle w:val="StyleUnderline"/>
        </w:rPr>
        <w:t xml:space="preserve">This </w:t>
      </w:r>
      <w:r w:rsidRPr="004D335B">
        <w:rPr>
          <w:rStyle w:val="Emphasis"/>
          <w:highlight w:val="cyan"/>
        </w:rPr>
        <w:t>lack</w:t>
      </w:r>
      <w:r w:rsidRPr="004D335B">
        <w:rPr>
          <w:rStyle w:val="StyleUnderline"/>
        </w:rPr>
        <w:t xml:space="preserve"> is inaugurated through the subjects relation to what it cannot have</w:t>
      </w:r>
      <w:r w:rsidRPr="004D335B">
        <w:rPr>
          <w:sz w:val="16"/>
        </w:rPr>
        <w:t xml:space="preserve">, or, in Spivak’s terms, the “originary phenomenal passion” referring to the oedipal scene, </w:t>
      </w:r>
      <w:r w:rsidRPr="004D335B">
        <w:rPr>
          <w:rStyle w:val="StyleUnderline"/>
        </w:rPr>
        <w:t xml:space="preserve">which </w:t>
      </w:r>
      <w:r w:rsidRPr="004D335B">
        <w:rPr>
          <w:rStyle w:val="StyleUnderline"/>
          <w:highlight w:val="cyan"/>
        </w:rPr>
        <w:t xml:space="preserve">is </w:t>
      </w:r>
      <w:r w:rsidRPr="004D335B">
        <w:rPr>
          <w:rStyle w:val="Emphasis"/>
          <w:highlight w:val="cyan"/>
        </w:rPr>
        <w:t>presumed</w:t>
      </w:r>
      <w:r w:rsidRPr="004D335B">
        <w:rPr>
          <w:rStyle w:val="Emphasis"/>
        </w:rPr>
        <w:t xml:space="preserve"> to be </w:t>
      </w:r>
      <w:r w:rsidRPr="004D335B">
        <w:rPr>
          <w:rStyle w:val="Emphasis"/>
          <w:highlight w:val="cyan"/>
        </w:rPr>
        <w:t>the origin of desire for all</w:t>
      </w:r>
      <w:r w:rsidRPr="004D335B">
        <w:rPr>
          <w:rStyle w:val="StyleUnderline"/>
          <w:highlight w:val="cyan"/>
        </w:rPr>
        <w:t>. This</w:t>
      </w:r>
      <w:r w:rsidRPr="004D335B">
        <w:rPr>
          <w:rStyle w:val="StyleUnderline"/>
        </w:rPr>
        <w:t xml:space="preserve"> configuration of desire </w:t>
      </w:r>
      <w:r w:rsidRPr="004D335B">
        <w:rPr>
          <w:rStyle w:val="Emphasis"/>
        </w:rPr>
        <w:t>renders all subjects</w:t>
      </w:r>
      <w:r w:rsidRPr="004D335B">
        <w:rPr>
          <w:rStyle w:val="StyleUnderline"/>
        </w:rPr>
        <w:t xml:space="preserve"> desiring of overcoming that lack. But it </w:t>
      </w:r>
      <w:r w:rsidRPr="004D335B">
        <w:rPr>
          <w:rStyle w:val="StyleUnderline"/>
          <w:highlight w:val="cyan"/>
        </w:rPr>
        <w:t xml:space="preserve">is a </w:t>
      </w:r>
      <w:r w:rsidRPr="004D335B">
        <w:rPr>
          <w:rStyle w:val="Emphasis"/>
          <w:highlight w:val="cyan"/>
        </w:rPr>
        <w:t>particular form of desire</w:t>
      </w:r>
      <w:r w:rsidRPr="004D335B">
        <w:rPr>
          <w:rStyle w:val="StyleUnderline"/>
          <w:highlight w:val="cyan"/>
        </w:rPr>
        <w:t xml:space="preserve"> and</w:t>
      </w:r>
      <w:r w:rsidRPr="004D335B">
        <w:rPr>
          <w:rStyle w:val="StyleUnderline"/>
        </w:rPr>
        <w:t xml:space="preserve"> a </w:t>
      </w:r>
      <w:r w:rsidRPr="004D335B">
        <w:rPr>
          <w:rStyle w:val="Emphasis"/>
        </w:rPr>
        <w:t xml:space="preserve">particular quality of </w:t>
      </w:r>
      <w:r w:rsidRPr="004D335B">
        <w:rPr>
          <w:rStyle w:val="Emphasis"/>
          <w:highlight w:val="cyan"/>
        </w:rPr>
        <w:t>lack</w:t>
      </w:r>
      <w:r w:rsidRPr="004D335B">
        <w:rPr>
          <w:rStyle w:val="StyleUnderline"/>
          <w:highlight w:val="cyan"/>
        </w:rPr>
        <w:t>. The presumption of this quality</w:t>
      </w:r>
      <w:r w:rsidRPr="004D335B">
        <w:rPr>
          <w:sz w:val="16"/>
        </w:rPr>
        <w:t xml:space="preserve">—the presumption about what and how people desire—I argue here, </w:t>
      </w:r>
      <w:r w:rsidRPr="004D335B">
        <w:rPr>
          <w:rStyle w:val="Emphasis"/>
          <w:highlight w:val="cyan"/>
        </w:rPr>
        <w:t>must be accountable</w:t>
      </w:r>
      <w:r w:rsidRPr="004D335B">
        <w:rPr>
          <w:rStyle w:val="StyleUnderline"/>
          <w:highlight w:val="cyan"/>
        </w:rPr>
        <w:t xml:space="preserve"> to</w:t>
      </w:r>
      <w:r w:rsidRPr="004D335B">
        <w:rPr>
          <w:rStyle w:val="StyleUnderline"/>
        </w:rPr>
        <w:t xml:space="preserve"> the </w:t>
      </w:r>
      <w:r w:rsidRPr="004D335B">
        <w:rPr>
          <w:rStyle w:val="Emphasis"/>
          <w:highlight w:val="cyan"/>
        </w:rPr>
        <w:t>politico-historical configurations</w:t>
      </w:r>
      <w:r w:rsidRPr="004D335B">
        <w:rPr>
          <w:rStyle w:val="StyleUnderline"/>
          <w:highlight w:val="cyan"/>
        </w:rPr>
        <w:t xml:space="preserve"> which</w:t>
      </w:r>
      <w:r w:rsidRPr="004D335B">
        <w:rPr>
          <w:rStyle w:val="StyleUnderline"/>
        </w:rPr>
        <w:t xml:space="preserve"> have produced it</w:t>
      </w:r>
      <w:r w:rsidRPr="004D335B">
        <w:rPr>
          <w:sz w:val="16"/>
        </w:rPr>
        <w:t>.</w:t>
      </w:r>
    </w:p>
    <w:p w14:paraId="61D7C6BB" w14:textId="2C48DA6B" w:rsidR="00BF37F0" w:rsidRPr="00BF37F0" w:rsidRDefault="00BF37F0" w:rsidP="00BF37F0">
      <w:pPr>
        <w:rPr>
          <w:sz w:val="16"/>
        </w:rPr>
      </w:pPr>
      <w:r w:rsidRPr="004D335B">
        <w:rPr>
          <w:rStyle w:val="StyleUnderline"/>
        </w:rPr>
        <w:t xml:space="preserve">Politico-historical configurations, </w:t>
      </w:r>
      <w:r w:rsidRPr="004D335B">
        <w:rPr>
          <w:rStyle w:val="Emphasis"/>
          <w:highlight w:val="cyan"/>
        </w:rPr>
        <w:t>by definition</w:t>
      </w:r>
      <w:r w:rsidRPr="004D335B">
        <w:rPr>
          <w:rStyle w:val="StyleUnderline"/>
          <w:highlight w:val="cyan"/>
        </w:rPr>
        <w:t xml:space="preserve">, are </w:t>
      </w:r>
      <w:r w:rsidRPr="004D335B">
        <w:rPr>
          <w:rStyle w:val="Emphasis"/>
          <w:highlight w:val="cyan"/>
        </w:rPr>
        <w:t>not universal</w:t>
      </w:r>
      <w:r w:rsidRPr="004D335B">
        <w:rPr>
          <w:sz w:val="16"/>
        </w:rPr>
        <w:t xml:space="preserve">. That is, contra Zizek (2006), I argue that </w:t>
      </w:r>
      <w:r w:rsidRPr="004D335B">
        <w:rPr>
          <w:rStyle w:val="Emphasis"/>
          <w:highlight w:val="cyan"/>
        </w:rPr>
        <w:t>not all the world is a symptom</w:t>
      </w:r>
      <w:r w:rsidRPr="004D335B">
        <w:rPr>
          <w:rStyle w:val="StyleUnderline"/>
          <w:highlight w:val="cyan"/>
        </w:rPr>
        <w:t>, but</w:t>
      </w:r>
      <w:r w:rsidRPr="004D335B">
        <w:rPr>
          <w:sz w:val="16"/>
        </w:rPr>
        <w:t xml:space="preserve"> that </w:t>
      </w:r>
      <w:r w:rsidRPr="004D335B">
        <w:rPr>
          <w:rStyle w:val="StyleUnderline"/>
          <w:highlight w:val="cyan"/>
        </w:rPr>
        <w:t xml:space="preserve">any psychoanalysis of a </w:t>
      </w:r>
      <w:r w:rsidRPr="004D335B">
        <w:rPr>
          <w:rStyle w:val="Emphasis"/>
          <w:highlight w:val="cyan"/>
        </w:rPr>
        <w:t>political symptom</w:t>
      </w:r>
      <w:r w:rsidRPr="004D335B">
        <w:rPr>
          <w:rStyle w:val="StyleUnderline"/>
        </w:rPr>
        <w:t xml:space="preserve">, of a </w:t>
      </w:r>
      <w:r w:rsidRPr="004D335B">
        <w:rPr>
          <w:rStyle w:val="Emphasis"/>
        </w:rPr>
        <w:t xml:space="preserve">political </w:t>
      </w:r>
      <w:r w:rsidRPr="004D335B">
        <w:rPr>
          <w:rStyle w:val="Emphasis"/>
          <w:highlight w:val="cyan"/>
        </w:rPr>
        <w:t>subject</w:t>
      </w:r>
      <w:r w:rsidRPr="004D335B">
        <w:rPr>
          <w:rStyle w:val="StyleUnderline"/>
          <w:highlight w:val="cyan"/>
        </w:rPr>
        <w:t>, or</w:t>
      </w:r>
      <w:r w:rsidRPr="004D335B">
        <w:rPr>
          <w:rStyle w:val="StyleUnderline"/>
        </w:rPr>
        <w:t xml:space="preserve"> of the </w:t>
      </w:r>
      <w:r w:rsidRPr="004D335B">
        <w:rPr>
          <w:rStyle w:val="StyleUnderline"/>
          <w:highlight w:val="cyan"/>
        </w:rPr>
        <w:t>desires</w:t>
      </w:r>
      <w:r w:rsidRPr="004D335B">
        <w:rPr>
          <w:rStyle w:val="StyleUnderline"/>
        </w:rPr>
        <w:t xml:space="preserve"> examined through psychoanalysis as they </w:t>
      </w:r>
      <w:r w:rsidRPr="004D335B">
        <w:rPr>
          <w:rStyle w:val="Emphasis"/>
        </w:rPr>
        <w:t xml:space="preserve">emerge </w:t>
      </w:r>
      <w:r w:rsidRPr="004D335B">
        <w:rPr>
          <w:rStyle w:val="Emphasis"/>
          <w:highlight w:val="cyan"/>
        </w:rPr>
        <w:t>in a political arena</w:t>
      </w:r>
      <w:r w:rsidRPr="004D335B">
        <w:rPr>
          <w:rStyle w:val="StyleUnderline"/>
          <w:highlight w:val="cyan"/>
        </w:rPr>
        <w:t xml:space="preserve">, assume a </w:t>
      </w:r>
      <w:r w:rsidRPr="004D335B">
        <w:rPr>
          <w:rStyle w:val="Emphasis"/>
          <w:highlight w:val="cyan"/>
        </w:rPr>
        <w:t>particular formation</w:t>
      </w:r>
      <w:r w:rsidRPr="004D335B">
        <w:rPr>
          <w:rStyle w:val="Emphasis"/>
        </w:rPr>
        <w:t xml:space="preserve"> of desire</w:t>
      </w:r>
      <w:r w:rsidRPr="004D335B">
        <w:rPr>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4D335B">
        <w:rPr>
          <w:rStyle w:val="StyleUnderline"/>
        </w:rPr>
        <w:t xml:space="preserve">this split subjectivity </w:t>
      </w:r>
      <w:r w:rsidRPr="004D335B">
        <w:rPr>
          <w:rStyle w:val="Emphasis"/>
        </w:rPr>
        <w:t>may appear to be universal</w:t>
      </w:r>
      <w:r w:rsidRPr="004D335B">
        <w:rPr>
          <w:sz w:val="16"/>
        </w:rPr>
        <w:t xml:space="preserve">—and is convincingly employed as such by psychoanalytic and political theorists, and often philosophers (Butler, 1997; Epstein, 2013; Zevnik, 2016; Zizek, 2006), </w:t>
      </w:r>
      <w:r w:rsidRPr="004D335B">
        <w:rPr>
          <w:rStyle w:val="StyleUnderline"/>
        </w:rPr>
        <w:t>this</w:t>
      </w:r>
      <w:r w:rsidRPr="004D335B">
        <w:rPr>
          <w:sz w:val="16"/>
        </w:rPr>
        <w:t xml:space="preserve"> splitting </w:t>
      </w:r>
      <w:r w:rsidRPr="004D335B">
        <w:rPr>
          <w:rStyle w:val="Emphasis"/>
        </w:rPr>
        <w:t>refers specifically</w:t>
      </w:r>
      <w:r w:rsidRPr="004D335B">
        <w:rPr>
          <w:rStyle w:val="StyleUnderline"/>
        </w:rPr>
        <w:t xml:space="preserve"> to</w:t>
      </w:r>
      <w:r w:rsidRPr="004D335B">
        <w:rPr>
          <w:sz w:val="16"/>
        </w:rPr>
        <w:t xml:space="preserve"> an oedipal lineage, </w:t>
      </w:r>
      <w:r w:rsidRPr="004D335B">
        <w:rPr>
          <w:rStyle w:val="StyleUnderline"/>
        </w:rPr>
        <w:t xml:space="preserve">as a </w:t>
      </w:r>
      <w:r w:rsidRPr="004D335B">
        <w:rPr>
          <w:rStyle w:val="Emphasis"/>
        </w:rPr>
        <w:t>particular instantiation</w:t>
      </w:r>
      <w:r w:rsidRPr="004D335B">
        <w:rPr>
          <w:rStyle w:val="StyleUnderline"/>
        </w:rPr>
        <w:t xml:space="preserve"> of</w:t>
      </w:r>
      <w:r w:rsidRPr="004D335B">
        <w:rPr>
          <w:sz w:val="16"/>
        </w:rPr>
        <w:t xml:space="preserve"> Oedipal Law, and, as I argue positive law as </w:t>
      </w:r>
      <w:r w:rsidRPr="004D335B">
        <w:rPr>
          <w:rStyle w:val="StyleUnderline"/>
        </w:rPr>
        <w:t>a liberal law concerned with rights and with what once can or cannot have from the polis</w:t>
      </w:r>
      <w:r w:rsidRPr="004D335B">
        <w:rPr>
          <w:sz w:val="16"/>
        </w:rPr>
        <w:t xml:space="preserve"> as much as what one can take from the father. </w:t>
      </w:r>
      <w:r w:rsidRPr="004D335B">
        <w:rPr>
          <w:sz w:val="16"/>
          <w:szCs w:val="16"/>
        </w:rPr>
        <w:t>Thus the “originary phenomenal passion,” which a psychoanalysis of the political engages</w:t>
      </w:r>
      <w:r w:rsidRPr="004D335B">
        <w:rPr>
          <w:sz w:val="16"/>
        </w:rPr>
        <w:t xml:space="preserve">, always refers back as I will explain, to a (primal) father as a sovereign in a wrangle with his sons, a scene which itself cannot not be understood without its resonances to the French Revolution. </w:t>
      </w:r>
    </w:p>
    <w:p w14:paraId="02D32425" w14:textId="3AB7567D" w:rsidR="00BF37F0" w:rsidRDefault="00BF37F0" w:rsidP="00BF37F0">
      <w:pPr>
        <w:pStyle w:val="Heading2"/>
      </w:pPr>
      <w:r>
        <w:lastRenderedPageBreak/>
        <w:t>1AR</w:t>
      </w:r>
    </w:p>
    <w:p w14:paraId="37AB70D3" w14:textId="77777777" w:rsidR="00BF37F0" w:rsidRDefault="00BF37F0" w:rsidP="00BF37F0">
      <w:pPr>
        <w:pStyle w:val="Heading4"/>
      </w:pPr>
      <w:r>
        <w:t xml:space="preserve">Collective Bargaining </w:t>
      </w:r>
      <w:r w:rsidRPr="002C48AD">
        <w:rPr>
          <w:u w:val="single"/>
        </w:rPr>
        <w:t>policy</w:t>
      </w:r>
      <w:r>
        <w:t xml:space="preserve"> debates are </w:t>
      </w:r>
      <w:r w:rsidRPr="002C48AD">
        <w:rPr>
          <w:u w:val="single"/>
        </w:rPr>
        <w:t>inevitable</w:t>
      </w:r>
      <w:r>
        <w:rPr>
          <w:u w:val="single"/>
        </w:rPr>
        <w:t xml:space="preserve"> </w:t>
      </w:r>
      <w:r>
        <w:t xml:space="preserve">but low-quality; refusing to partake in debate at all </w:t>
      </w:r>
      <w:r w:rsidRPr="002C48AD">
        <w:rPr>
          <w:u w:val="single"/>
        </w:rPr>
        <w:t>cedes</w:t>
      </w:r>
      <w:r>
        <w:t xml:space="preserve"> political discourse to the </w:t>
      </w:r>
      <w:r w:rsidRPr="002C48AD">
        <w:rPr>
          <w:u w:val="single"/>
        </w:rPr>
        <w:t>far-right</w:t>
      </w:r>
      <w:r>
        <w:t xml:space="preserve">. </w:t>
      </w:r>
    </w:p>
    <w:p w14:paraId="47141B74" w14:textId="77777777" w:rsidR="00BF37F0" w:rsidRPr="00FF7D23" w:rsidRDefault="00BF37F0" w:rsidP="00BF37F0">
      <w:r w:rsidRPr="00FF7D23">
        <w:rPr>
          <w:rStyle w:val="Style13ptBold"/>
        </w:rPr>
        <w:t>Lewin</w:t>
      </w:r>
      <w:r w:rsidRPr="00AA4101">
        <w:rPr>
          <w:rStyle w:val="Style13ptBold"/>
        </w:rPr>
        <w:t xml:space="preserve"> ’12</w:t>
      </w:r>
      <w:r>
        <w:t xml:space="preserve"> [David</w:t>
      </w:r>
      <w:r w:rsidRPr="00FF7D23">
        <w:t xml:space="preserve">, </w:t>
      </w:r>
      <w:r>
        <w:t xml:space="preserve">Jeffery </w:t>
      </w:r>
      <w:r w:rsidRPr="00FF7D23">
        <w:t xml:space="preserve">Keefe, </w:t>
      </w:r>
      <w:r>
        <w:t>and Thomas</w:t>
      </w:r>
      <w:r w:rsidRPr="00FF7D23">
        <w:t xml:space="preserve"> Kochan</w:t>
      </w:r>
      <w:r>
        <w:t xml:space="preserve">; September; </w:t>
      </w:r>
      <w:r w:rsidRPr="00AA4101">
        <w:t>Professor in the UCLA Anderson School of Management</w:t>
      </w:r>
      <w:r>
        <w:t xml:space="preserve">; </w:t>
      </w:r>
      <w:r w:rsidRPr="00AA4101">
        <w:t>Associate Professor in the Rutgers University School of Management and Labor Relations</w:t>
      </w:r>
      <w:r>
        <w:t xml:space="preserve">; </w:t>
      </w:r>
      <w:r w:rsidRPr="00AA4101">
        <w:t>Professor in the Sloan School of Management at MIT</w:t>
      </w:r>
      <w:r>
        <w:t>;</w:t>
      </w:r>
      <w:r w:rsidRPr="00FF7D23">
        <w:t xml:space="preserve"> </w:t>
      </w:r>
      <w:r>
        <w:t>“</w:t>
      </w:r>
      <w:r w:rsidRPr="00FF7D23">
        <w:t>The New Great Debate about Unionism and Collective Bargaining in U.S. State and Local Governments</w:t>
      </w:r>
      <w:r>
        <w:t>”,</w:t>
      </w:r>
      <w:r w:rsidRPr="00FF7D23">
        <w:t xml:space="preserve"> </w:t>
      </w:r>
      <w:r w:rsidRPr="00FF7D23">
        <w:rPr>
          <w:i/>
          <w:iCs/>
        </w:rPr>
        <w:t>ILR Review</w:t>
      </w:r>
      <w:r w:rsidRPr="00FF7D23">
        <w:t xml:space="preserve">, </w:t>
      </w:r>
      <w:r w:rsidRPr="00FF7D23">
        <w:rPr>
          <w:i/>
          <w:iCs/>
        </w:rPr>
        <w:t>65</w:t>
      </w:r>
      <w:r w:rsidRPr="00FF7D23">
        <w:t xml:space="preserve">(4), 749-778. </w:t>
      </w:r>
      <w:hyperlink r:id="rId8" w:history="1">
        <w:r w:rsidRPr="00FF7D23">
          <w:rPr>
            <w:rStyle w:val="Hyperlink"/>
          </w:rPr>
          <w:t>https://doi.org/10.1177/001979391206500401</w:t>
        </w:r>
      </w:hyperlink>
      <w:r>
        <w:t>]</w:t>
      </w:r>
    </w:p>
    <w:p w14:paraId="032FF2C9" w14:textId="234A591C" w:rsidR="00BF37F0" w:rsidRPr="00BF37F0" w:rsidRDefault="00BF37F0" w:rsidP="00BF37F0">
      <w:r w:rsidRPr="00ED6366">
        <w:rPr>
          <w:rStyle w:val="StyleUnderline"/>
          <w:highlight w:val="cyan"/>
        </w:rPr>
        <w:t>The</w:t>
      </w:r>
      <w:r w:rsidRPr="004E153C">
        <w:rPr>
          <w:sz w:val="16"/>
        </w:rPr>
        <w:t xml:space="preserve"> </w:t>
      </w:r>
      <w:r w:rsidRPr="00ED6366">
        <w:rPr>
          <w:rStyle w:val="Emphasis"/>
          <w:highlight w:val="cyan"/>
        </w:rPr>
        <w:t>U</w:t>
      </w:r>
      <w:r w:rsidRPr="004E153C">
        <w:rPr>
          <w:sz w:val="16"/>
        </w:rPr>
        <w:t xml:space="preserve">nited </w:t>
      </w:r>
      <w:r w:rsidRPr="00ED6366">
        <w:rPr>
          <w:rStyle w:val="Emphasis"/>
          <w:highlight w:val="cyan"/>
        </w:rPr>
        <w:t>S</w:t>
      </w:r>
      <w:r w:rsidRPr="004E153C">
        <w:rPr>
          <w:sz w:val="16"/>
        </w:rPr>
        <w:t xml:space="preserve">tates </w:t>
      </w:r>
      <w:r w:rsidRPr="00ED6366">
        <w:rPr>
          <w:rStyle w:val="StyleUnderline"/>
          <w:highlight w:val="cyan"/>
        </w:rPr>
        <w:t>is in the throes of the most intense</w:t>
      </w:r>
      <w:r w:rsidRPr="004E153C">
        <w:rPr>
          <w:sz w:val="16"/>
        </w:rPr>
        <w:t xml:space="preserve">, widespread public </w:t>
      </w:r>
      <w:r w:rsidRPr="00ED6366">
        <w:rPr>
          <w:rStyle w:val="Emphasis"/>
          <w:highlight w:val="cyan"/>
        </w:rPr>
        <w:t>policy debate</w:t>
      </w:r>
      <w:r w:rsidRPr="004E153C">
        <w:rPr>
          <w:sz w:val="16"/>
        </w:rPr>
        <w:t xml:space="preserve"> </w:t>
      </w:r>
      <w:r w:rsidRPr="00ED6366">
        <w:rPr>
          <w:rStyle w:val="StyleUnderline"/>
          <w:highlight w:val="cyan"/>
        </w:rPr>
        <w:t>about</w:t>
      </w:r>
      <w:r w:rsidRPr="004E153C">
        <w:rPr>
          <w:sz w:val="16"/>
        </w:rPr>
        <w:t xml:space="preserve"> state and local government employee unionism and </w:t>
      </w:r>
      <w:r w:rsidRPr="00ED6366">
        <w:rPr>
          <w:rStyle w:val="Emphasis"/>
          <w:highlight w:val="cyan"/>
        </w:rPr>
        <w:t>collective bargaining</w:t>
      </w:r>
      <w:r w:rsidRPr="004E153C">
        <w:rPr>
          <w:sz w:val="16"/>
        </w:rPr>
        <w:t xml:space="preserve"> </w:t>
      </w:r>
      <w:r w:rsidRPr="00ED6366">
        <w:rPr>
          <w:rStyle w:val="StyleUnderline"/>
          <w:highlight w:val="cyan"/>
        </w:rPr>
        <w:t>since</w:t>
      </w:r>
      <w:r w:rsidRPr="004E153C">
        <w:rPr>
          <w:sz w:val="16"/>
        </w:rPr>
        <w:t xml:space="preserve"> the enactment more than a </w:t>
      </w:r>
      <w:r w:rsidRPr="00ED6366">
        <w:rPr>
          <w:rStyle w:val="StyleUnderline"/>
          <w:highlight w:val="cyan"/>
        </w:rPr>
        <w:t>half-century ago</w:t>
      </w:r>
      <w:r w:rsidRPr="004E153C">
        <w:rPr>
          <w:sz w:val="16"/>
        </w:rPr>
        <w:t xml:space="preserve"> of the initial state laws authorizing such unionism and bargaining. Like then, much of the current political debate has occurred in the absence of empirical evidence about how collective bargaining actually functions or the results it generates. That was understandable in the 1960s because there was little if any record to draw on from state and local government unionism and bargaining. Hence, much theoretical speculation occurred about how private sector collective bargaining practices would work if transferred to the public sector generally and state and local government in particular. It is less defensible now, when there is a half-century of experience and empirical evidence about how public and private sector collective bargaining affect outcomes at the core of the contemporary policy debate. Our purpose here is to summarize the critical arguments in debate then and now and draw on evidence from state and local government bargaining as well as private sector bargaining as it bears on this debate. </w:t>
      </w:r>
      <w:r w:rsidRPr="004E153C">
        <w:rPr>
          <w:rStyle w:val="StyleUnderline"/>
          <w:highlight w:val="cyan"/>
        </w:rPr>
        <w:t>We</w:t>
      </w:r>
      <w:r w:rsidRPr="004E153C">
        <w:rPr>
          <w:sz w:val="16"/>
        </w:rPr>
        <w:t xml:space="preserve"> then </w:t>
      </w:r>
      <w:r w:rsidRPr="004E153C">
        <w:rPr>
          <w:rStyle w:val="StyleUnderline"/>
          <w:highlight w:val="cyan"/>
        </w:rPr>
        <w:t xml:space="preserve">call for a </w:t>
      </w:r>
      <w:r w:rsidRPr="004E153C">
        <w:rPr>
          <w:rStyle w:val="Emphasis"/>
          <w:highlight w:val="cyan"/>
        </w:rPr>
        <w:t>new generation</w:t>
      </w:r>
      <w:r w:rsidRPr="004E153C">
        <w:rPr>
          <w:rStyle w:val="StyleUnderline"/>
          <w:highlight w:val="cyan"/>
        </w:rPr>
        <w:t xml:space="preserve"> of </w:t>
      </w:r>
      <w:r w:rsidRPr="004E153C">
        <w:rPr>
          <w:rStyle w:val="Emphasis"/>
          <w:highlight w:val="cyan"/>
        </w:rPr>
        <w:t>empirical research</w:t>
      </w:r>
      <w:r w:rsidRPr="004E153C">
        <w:rPr>
          <w:rStyle w:val="StyleUnderline"/>
          <w:highlight w:val="cyan"/>
        </w:rPr>
        <w:t xml:space="preserve"> that can assist in </w:t>
      </w:r>
      <w:r w:rsidRPr="004E153C">
        <w:rPr>
          <w:rStyle w:val="Emphasis"/>
          <w:highlight w:val="cyan"/>
        </w:rPr>
        <w:t>evaluating</w:t>
      </w:r>
      <w:r w:rsidRPr="004E153C">
        <w:rPr>
          <w:rStyle w:val="StyleUnderline"/>
          <w:highlight w:val="cyan"/>
        </w:rPr>
        <w:t xml:space="preserve"> the </w:t>
      </w:r>
      <w:r w:rsidRPr="004E153C">
        <w:rPr>
          <w:rStyle w:val="Emphasis"/>
          <w:highlight w:val="cyan"/>
        </w:rPr>
        <w:t>policy options</w:t>
      </w:r>
      <w:r w:rsidRPr="004E153C">
        <w:rPr>
          <w:sz w:val="16"/>
        </w:rPr>
        <w:t xml:space="preserve"> </w:t>
      </w:r>
      <w:r w:rsidRPr="004E153C">
        <w:rPr>
          <w:rStyle w:val="StyleUnderline"/>
          <w:highlight w:val="cyan"/>
        </w:rPr>
        <w:t>currently in play</w:t>
      </w:r>
      <w:r w:rsidRPr="004E153C">
        <w:rPr>
          <w:sz w:val="16"/>
        </w:rPr>
        <w:t xml:space="preserve">, research </w:t>
      </w:r>
      <w:r w:rsidRPr="004E153C">
        <w:rPr>
          <w:rStyle w:val="Emphasis"/>
          <w:highlight w:val="cyan"/>
        </w:rPr>
        <w:t>similar</w:t>
      </w:r>
      <w:r w:rsidRPr="004E153C">
        <w:rPr>
          <w:rStyle w:val="StyleUnderline"/>
          <w:highlight w:val="cyan"/>
        </w:rPr>
        <w:t xml:space="preserve"> to the </w:t>
      </w:r>
      <w:r w:rsidRPr="004E153C">
        <w:rPr>
          <w:rStyle w:val="Emphasis"/>
          <w:highlight w:val="cyan"/>
        </w:rPr>
        <w:t>efforts</w:t>
      </w:r>
      <w:r w:rsidRPr="004E153C">
        <w:rPr>
          <w:rStyle w:val="StyleUnderline"/>
          <w:highlight w:val="cyan"/>
        </w:rPr>
        <w:t xml:space="preserve"> that followed the </w:t>
      </w:r>
      <w:r w:rsidRPr="004E153C">
        <w:rPr>
          <w:rStyle w:val="Emphasis"/>
          <w:highlight w:val="cyan"/>
        </w:rPr>
        <w:t>passage</w:t>
      </w:r>
      <w:r w:rsidRPr="004E153C">
        <w:rPr>
          <w:rStyle w:val="StyleUnderline"/>
          <w:highlight w:val="cyan"/>
        </w:rPr>
        <w:t xml:space="preserve"> of the </w:t>
      </w:r>
      <w:r w:rsidRPr="004E153C">
        <w:rPr>
          <w:rStyle w:val="Emphasis"/>
          <w:highlight w:val="cyan"/>
        </w:rPr>
        <w:t>first generation</w:t>
      </w:r>
      <w:r w:rsidRPr="004E153C">
        <w:rPr>
          <w:rStyle w:val="StyleUnderline"/>
          <w:highlight w:val="cyan"/>
        </w:rPr>
        <w:t xml:space="preserve"> of </w:t>
      </w:r>
      <w:r w:rsidRPr="004E153C">
        <w:rPr>
          <w:rStyle w:val="StyleUnderline"/>
        </w:rPr>
        <w:t xml:space="preserve">state and </w:t>
      </w:r>
      <w:r w:rsidRPr="004E153C">
        <w:rPr>
          <w:rStyle w:val="Emphasis"/>
          <w:highlight w:val="cyan"/>
        </w:rPr>
        <w:t>local</w:t>
      </w:r>
      <w:r w:rsidRPr="004E153C">
        <w:rPr>
          <w:rStyle w:val="StyleUnderline"/>
          <w:highlight w:val="cyan"/>
        </w:rPr>
        <w:t xml:space="preserve"> </w:t>
      </w:r>
      <w:r w:rsidRPr="004E153C">
        <w:rPr>
          <w:rStyle w:val="StyleUnderline"/>
        </w:rPr>
        <w:t xml:space="preserve">government unionism and </w:t>
      </w:r>
      <w:r w:rsidRPr="004E153C">
        <w:rPr>
          <w:rStyle w:val="StyleUnderline"/>
          <w:highlight w:val="cyan"/>
        </w:rPr>
        <w:t>bargaining laws</w:t>
      </w:r>
      <w:r w:rsidRPr="004E153C">
        <w:rPr>
          <w:sz w:val="16"/>
        </w:rPr>
        <w:t>.</w:t>
      </w:r>
    </w:p>
    <w:p w14:paraId="6181AD5C" w14:textId="77777777" w:rsidR="00BF37F0" w:rsidRPr="00482FA7" w:rsidRDefault="00BF37F0" w:rsidP="00BF37F0">
      <w:pPr>
        <w:rPr>
          <w:sz w:val="14"/>
          <w:szCs w:val="14"/>
        </w:rPr>
      </w:pPr>
      <w:r w:rsidRPr="00482FA7">
        <w:rPr>
          <w:sz w:val="14"/>
          <w:szCs w:val="14"/>
        </w:rPr>
        <w:t xml:space="preserve">Conceptual and Policy Debate: Then and Now </w:t>
      </w:r>
    </w:p>
    <w:p w14:paraId="46E47FEF" w14:textId="77777777" w:rsidR="00BF37F0" w:rsidRPr="00E926C9" w:rsidRDefault="00BF37F0" w:rsidP="00BF37F0">
      <w:pPr>
        <w:rPr>
          <w:sz w:val="16"/>
        </w:rPr>
      </w:pPr>
      <w:r w:rsidRPr="00E926C9">
        <w:rPr>
          <w:sz w:val="16"/>
        </w:rPr>
        <w:t xml:space="preserve">The debate that emerged </w:t>
      </w:r>
      <w:r w:rsidRPr="00482FA7">
        <w:rPr>
          <w:rStyle w:val="StyleUnderline"/>
          <w:highlight w:val="cyan"/>
        </w:rPr>
        <w:t>in</w:t>
      </w:r>
      <w:r w:rsidRPr="00E926C9">
        <w:rPr>
          <w:sz w:val="16"/>
        </w:rPr>
        <w:t xml:space="preserve"> </w:t>
      </w:r>
      <w:r w:rsidRPr="00E926C9">
        <w:rPr>
          <w:rStyle w:val="StyleUnderline"/>
          <w:highlight w:val="cyan"/>
        </w:rPr>
        <w:t xml:space="preserve">the </w:t>
      </w:r>
      <w:r w:rsidRPr="00482FA7">
        <w:rPr>
          <w:rStyle w:val="StyleUnderline"/>
        </w:rPr>
        <w:t>19</w:t>
      </w:r>
      <w:r w:rsidRPr="00482FA7">
        <w:rPr>
          <w:rStyle w:val="Emphasis"/>
          <w:highlight w:val="cyan"/>
        </w:rPr>
        <w:t>60s</w:t>
      </w:r>
      <w:r w:rsidRPr="00E926C9">
        <w:rPr>
          <w:sz w:val="16"/>
        </w:rPr>
        <w:t xml:space="preserve"> was spurred by calls from elected officials, citizens, and scholars for federal and state-level actions to provide public sector employees with legal rights to unionize and engage in collective bargaining. The underlying rationale for these calls was equity-based, that is, a widespread belief that public employees should no longer be deprived of unionism and bargaining rights of the type that had been exercised by private sector employees since the mid-1930s. Wisconsin passed the first state-level public sector collective bargaining statute in 1959; in 1962 President Kennedy signed Executive Order 10988, which provided bargaining rights on a limited scope of issues for federal employees; and between 1960 and 1975, more than two-thirds of the states enacted similar laws to cover various occupational groups in state and local government. Union membership among public sector employees nationwide expanded in tandem with these laws (partly as a result and partly as a cause of these legislative actions), from less than 10% then to approximately 36% today.</w:t>
      </w:r>
    </w:p>
    <w:p w14:paraId="470CD8AD" w14:textId="77777777" w:rsidR="00BF37F0" w:rsidRPr="00E926C9" w:rsidRDefault="00BF37F0" w:rsidP="00BF37F0">
      <w:pPr>
        <w:rPr>
          <w:sz w:val="16"/>
        </w:rPr>
      </w:pPr>
      <w:r w:rsidRPr="00E926C9">
        <w:rPr>
          <w:sz w:val="16"/>
        </w:rPr>
        <w:t xml:space="preserve">During this early legislative activity and growth of public sector unions and </w:t>
      </w:r>
      <w:r w:rsidRPr="00482FA7">
        <w:rPr>
          <w:rStyle w:val="Emphasis"/>
          <w:highlight w:val="cyan"/>
        </w:rPr>
        <w:t>collective bargaining</w:t>
      </w:r>
      <w:r w:rsidRPr="00E926C9">
        <w:rPr>
          <w:sz w:val="16"/>
        </w:rPr>
        <w:t>, the opposition to this trend raised three theoretical arguments against it. The first argument was that the demand for public sector workers was inelastic because public employers could not shut down or move operations. Therefore, public sector unions would exploit this source of power, and wages (or total compensation) would inevitably be pushed up beyond that available to private sector workers (Marshall 1920). The second argument was based on a political theory that collective bargaining was incompatible with democratic government because it gave public employee unions special access to influence decisions of elected leaders, some of whom these unions helped put in office through their electoral support (Downs 1957; Wellington and Winter 1971).1 This too would result in excessively higher wages and other outcomes that would harm the public interest. The third argument reflected specific concerns about how collective bargaining worked in the private sector, with the threat of a strike regarded as the primary force for motivating negotiated agreements in that sector. Strikes by public sector employees, however, would not only inappropriately challenge democratic government but they could disrupt the flow of essential services and thereby threaten public health and safety (Taylor 1967). Yet the alternatives to strikes—mediation, fact-finding, arbitration or bargaining without some final resolution mechanism—would risk overdependence on third parties in shaping the process and outcomes of bargaining (Wirtz 1963; Northrup 1966).</w:t>
      </w:r>
    </w:p>
    <w:p w14:paraId="52E1516B" w14:textId="77777777" w:rsidR="00BF37F0" w:rsidRPr="00E926C9" w:rsidRDefault="00BF37F0" w:rsidP="00BF37F0">
      <w:pPr>
        <w:rPr>
          <w:sz w:val="16"/>
        </w:rPr>
      </w:pPr>
      <w:r w:rsidRPr="00E926C9">
        <w:rPr>
          <w:sz w:val="16"/>
        </w:rPr>
        <w:t xml:space="preserve">Given that there was little if any empirical evidence to assess these arguments and </w:t>
      </w:r>
      <w:r w:rsidRPr="00E926C9">
        <w:rPr>
          <w:rStyle w:val="StyleUnderline"/>
          <w:highlight w:val="cyan"/>
        </w:rPr>
        <w:t>issues</w:t>
      </w:r>
      <w:r w:rsidRPr="00E926C9">
        <w:rPr>
          <w:sz w:val="16"/>
        </w:rPr>
        <w:t xml:space="preserve">, they </w:t>
      </w:r>
      <w:r w:rsidRPr="00E926C9">
        <w:rPr>
          <w:rStyle w:val="StyleUnderline"/>
          <w:highlight w:val="cyan"/>
        </w:rPr>
        <w:t xml:space="preserve">were </w:t>
      </w:r>
      <w:r w:rsidRPr="00482FA7">
        <w:rPr>
          <w:rStyle w:val="Emphasis"/>
          <w:highlight w:val="cyan"/>
        </w:rPr>
        <w:t>debated</w:t>
      </w:r>
      <w:r w:rsidRPr="00E926C9">
        <w:rPr>
          <w:rStyle w:val="StyleUnderline"/>
          <w:highlight w:val="cyan"/>
        </w:rPr>
        <w:t xml:space="preserve"> largely on</w:t>
      </w:r>
      <w:r w:rsidRPr="00E926C9">
        <w:rPr>
          <w:sz w:val="16"/>
        </w:rPr>
        <w:t xml:space="preserve"> </w:t>
      </w:r>
      <w:r w:rsidRPr="00AC77B6">
        <w:rPr>
          <w:rStyle w:val="StyleUnderline"/>
        </w:rPr>
        <w:t>theoretical</w:t>
      </w:r>
      <w:r w:rsidRPr="00E926C9">
        <w:rPr>
          <w:sz w:val="16"/>
        </w:rPr>
        <w:t xml:space="preserve">, </w:t>
      </w:r>
      <w:r w:rsidRPr="00E926C9">
        <w:rPr>
          <w:rStyle w:val="Emphasis"/>
          <w:highlight w:val="cyan"/>
        </w:rPr>
        <w:t>ideological</w:t>
      </w:r>
      <w:r w:rsidRPr="00E926C9">
        <w:rPr>
          <w:sz w:val="16"/>
        </w:rPr>
        <w:t xml:space="preserve">, </w:t>
      </w:r>
      <w:r w:rsidRPr="00AC77B6">
        <w:rPr>
          <w:rStyle w:val="StyleUnderline"/>
        </w:rPr>
        <w:t xml:space="preserve">and </w:t>
      </w:r>
      <w:r w:rsidRPr="00AC77B6">
        <w:rPr>
          <w:rStyle w:val="Emphasis"/>
          <w:highlight w:val="cyan"/>
        </w:rPr>
        <w:t>partisan</w:t>
      </w:r>
      <w:r w:rsidRPr="00E926C9">
        <w:rPr>
          <w:sz w:val="16"/>
        </w:rPr>
        <w:t xml:space="preserve"> </w:t>
      </w:r>
      <w:r w:rsidRPr="00E926C9">
        <w:rPr>
          <w:rStyle w:val="Emphasis"/>
          <w:highlight w:val="cyan"/>
        </w:rPr>
        <w:t>grounds</w:t>
      </w:r>
      <w:r w:rsidRPr="00E926C9">
        <w:rPr>
          <w:sz w:val="16"/>
        </w:rPr>
        <w:t xml:space="preserve"> (Lewin 1973). </w:t>
      </w:r>
      <w:r w:rsidRPr="00E926C9">
        <w:rPr>
          <w:highlight w:val="cyan"/>
          <w:u w:val="single"/>
        </w:rPr>
        <w:t>The result was</w:t>
      </w:r>
      <w:r w:rsidRPr="00E926C9">
        <w:rPr>
          <w:sz w:val="16"/>
        </w:rPr>
        <w:t xml:space="preserve"> a pattern of political outcomes in which states with relatively high levels of private sector union density, traditions of enacting progressive reforms in other areas of public policy, and high and rising per capita incomes were especially likely to enact public sector bargaining laws (Kochan 1973). </w:t>
      </w:r>
      <w:r w:rsidRPr="00E926C9">
        <w:rPr>
          <w:highlight w:val="cyan"/>
          <w:u w:val="single"/>
        </w:rPr>
        <w:t xml:space="preserve">The </w:t>
      </w:r>
      <w:r w:rsidRPr="003F32AF">
        <w:rPr>
          <w:rStyle w:val="Emphasis"/>
          <w:szCs w:val="32"/>
          <w:highlight w:val="cyan"/>
        </w:rPr>
        <w:t>more specific technical</w:t>
      </w:r>
      <w:r w:rsidRPr="00E926C9">
        <w:rPr>
          <w:highlight w:val="cyan"/>
          <w:u w:val="single"/>
        </w:rPr>
        <w:t xml:space="preserve"> </w:t>
      </w:r>
      <w:r w:rsidRPr="003F32AF">
        <w:rPr>
          <w:rStyle w:val="Emphasis"/>
          <w:szCs w:val="32"/>
          <w:highlight w:val="cyan"/>
        </w:rPr>
        <w:t>debates</w:t>
      </w:r>
      <w:r w:rsidRPr="00E926C9">
        <w:rPr>
          <w:sz w:val="16"/>
        </w:rPr>
        <w:t xml:space="preserve"> over the right to strike </w:t>
      </w:r>
      <w:r w:rsidRPr="00E926C9">
        <w:rPr>
          <w:highlight w:val="cyan"/>
          <w:u w:val="single"/>
        </w:rPr>
        <w:t xml:space="preserve">were </w:t>
      </w:r>
      <w:r w:rsidRPr="00E926C9">
        <w:rPr>
          <w:u w:val="single"/>
        </w:rPr>
        <w:t xml:space="preserve">largely </w:t>
      </w:r>
      <w:r w:rsidRPr="00E926C9">
        <w:rPr>
          <w:rStyle w:val="Emphasis"/>
          <w:highlight w:val="cyan"/>
        </w:rPr>
        <w:t>resolved</w:t>
      </w:r>
      <w:r w:rsidRPr="00E926C9">
        <w:rPr>
          <w:sz w:val="16"/>
        </w:rPr>
        <w:t xml:space="preserve"> </w:t>
      </w:r>
      <w:r w:rsidRPr="00E926C9">
        <w:rPr>
          <w:highlight w:val="cyan"/>
          <w:u w:val="single"/>
        </w:rPr>
        <w:t xml:space="preserve">through recommendations of </w:t>
      </w:r>
      <w:r w:rsidRPr="00E926C9">
        <w:rPr>
          <w:rStyle w:val="Emphasis"/>
          <w:highlight w:val="cyan"/>
        </w:rPr>
        <w:t xml:space="preserve">advisory </w:t>
      </w:r>
      <w:r w:rsidRPr="00E926C9">
        <w:rPr>
          <w:rStyle w:val="Emphasis"/>
          <w:highlight w:val="cyan"/>
        </w:rPr>
        <w:lastRenderedPageBreak/>
        <w:t>commissions</w:t>
      </w:r>
      <w:r w:rsidRPr="00E926C9">
        <w:rPr>
          <w:sz w:val="16"/>
        </w:rPr>
        <w:t xml:space="preserve"> composed of scholars and professionals with considerable experience in private sector bargaining. While several states allowed strikes for nonessential services, </w:t>
      </w:r>
      <w:r w:rsidRPr="00E926C9">
        <w:rPr>
          <w:rStyle w:val="StyleUnderline"/>
          <w:highlight w:val="cyan"/>
        </w:rPr>
        <w:t xml:space="preserve">the </w:t>
      </w:r>
      <w:r w:rsidRPr="00E926C9">
        <w:rPr>
          <w:rStyle w:val="Emphasis"/>
          <w:highlight w:val="cyan"/>
        </w:rPr>
        <w:t>dominant</w:t>
      </w:r>
      <w:r w:rsidRPr="00E926C9">
        <w:rPr>
          <w:rStyle w:val="StyleUnderline"/>
          <w:highlight w:val="cyan"/>
        </w:rPr>
        <w:t xml:space="preserve"> </w:t>
      </w:r>
      <w:r w:rsidRPr="00E926C9">
        <w:rPr>
          <w:rStyle w:val="StyleUnderline"/>
        </w:rPr>
        <w:t xml:space="preserve">initial </w:t>
      </w:r>
      <w:r w:rsidRPr="00E926C9">
        <w:rPr>
          <w:rStyle w:val="StyleUnderline"/>
          <w:highlight w:val="cyan"/>
        </w:rPr>
        <w:t xml:space="preserve">pattern was to </w:t>
      </w:r>
      <w:r w:rsidRPr="00E926C9">
        <w:rPr>
          <w:rStyle w:val="Emphasis"/>
          <w:highlight w:val="cyan"/>
        </w:rPr>
        <w:t>outlaw strikes</w:t>
      </w:r>
      <w:r w:rsidRPr="00E926C9">
        <w:rPr>
          <w:sz w:val="16"/>
        </w:rPr>
        <w:t xml:space="preserve"> and provide various substitute dispute resolution processes, such as mediation and fact-finding. In subsequent years, a number of these statutes were amended to provide for the arbitration of public sector bargaining disputes, mainly in essential services such as police and fire. Some states also adopted or extended arbitration to cover teachers, nurses, and other local government employees.</w:t>
      </w:r>
    </w:p>
    <w:p w14:paraId="28FD5748" w14:textId="77777777" w:rsidR="00BF37F0" w:rsidRPr="00E926C9" w:rsidRDefault="00BF37F0" w:rsidP="00BF37F0">
      <w:pPr>
        <w:rPr>
          <w:sz w:val="14"/>
          <w:szCs w:val="14"/>
        </w:rPr>
      </w:pPr>
      <w:r w:rsidRPr="00E926C9">
        <w:rPr>
          <w:sz w:val="14"/>
          <w:szCs w:val="14"/>
        </w:rPr>
        <w:t>These legal and institutional innovations spurred a generation of new empirical research evaluating the effects of collective bargaining and dispute resolution on decision-making processes and outcomes, especially fiscal and operational outcomes, of state and local governments. We review the results of this work in the empirical section of this article.</w:t>
      </w:r>
    </w:p>
    <w:p w14:paraId="1A0A1DBB" w14:textId="77777777" w:rsidR="00BF37F0" w:rsidRPr="00C21B15" w:rsidRDefault="00BF37F0" w:rsidP="00BF37F0">
      <w:pPr>
        <w:rPr>
          <w:sz w:val="16"/>
        </w:rPr>
      </w:pPr>
      <w:r w:rsidRPr="00C21B15">
        <w:rPr>
          <w:sz w:val="16"/>
        </w:rPr>
        <w:t xml:space="preserve">The proximate triggers of </w:t>
      </w:r>
      <w:r w:rsidRPr="00E926C9">
        <w:rPr>
          <w:rStyle w:val="StyleUnderline"/>
          <w:highlight w:val="cyan"/>
        </w:rPr>
        <w:t xml:space="preserve">the </w:t>
      </w:r>
      <w:r w:rsidRPr="00035D81">
        <w:rPr>
          <w:rStyle w:val="Emphasis"/>
          <w:highlight w:val="cyan"/>
        </w:rPr>
        <w:t>current debate</w:t>
      </w:r>
      <w:r w:rsidRPr="00C21B15">
        <w:rPr>
          <w:sz w:val="16"/>
        </w:rPr>
        <w:t xml:space="preserve"> </w:t>
      </w:r>
      <w:r w:rsidRPr="00D032ED">
        <w:rPr>
          <w:rStyle w:val="Emphasis"/>
          <w:highlight w:val="cyan"/>
        </w:rPr>
        <w:t>once again</w:t>
      </w:r>
      <w:r w:rsidRPr="00C21B15">
        <w:rPr>
          <w:sz w:val="16"/>
        </w:rPr>
        <w:t xml:space="preserve"> </w:t>
      </w:r>
      <w:r w:rsidRPr="00E926C9">
        <w:rPr>
          <w:rStyle w:val="StyleUnderline"/>
          <w:highlight w:val="cyan"/>
        </w:rPr>
        <w:t>reflect</w:t>
      </w:r>
      <w:r w:rsidRPr="00C21B15">
        <w:rPr>
          <w:sz w:val="16"/>
        </w:rPr>
        <w:t xml:space="preserve"> a mixture of economic and </w:t>
      </w:r>
      <w:r w:rsidRPr="00D032ED">
        <w:rPr>
          <w:rStyle w:val="Emphasis"/>
          <w:highlight w:val="cyan"/>
        </w:rPr>
        <w:t>political forces</w:t>
      </w:r>
      <w:r w:rsidRPr="00C21B15">
        <w:rPr>
          <w:sz w:val="16"/>
        </w:rPr>
        <w:t xml:space="preserve">. The economic trigger was the fiscal crisis that state and local governments have been experiencing since 2008 as the effects of the Great Recession began to impact these governments’ budgets. The debate largely centers on the extent to which public employee unions have contributed to this crisis through excessive pay and benefits they may have negotiated for their members. The proximate political trigger was </w:t>
      </w:r>
      <w:r w:rsidRPr="00E926C9">
        <w:rPr>
          <w:rStyle w:val="StyleUnderline"/>
          <w:highlight w:val="cyan"/>
        </w:rPr>
        <w:t>the election of</w:t>
      </w:r>
      <w:r w:rsidRPr="00C21B15">
        <w:rPr>
          <w:sz w:val="16"/>
        </w:rPr>
        <w:t xml:space="preserve"> a new group of </w:t>
      </w:r>
      <w:r w:rsidRPr="00E926C9">
        <w:rPr>
          <w:rStyle w:val="Emphasis"/>
          <w:highlight w:val="cyan"/>
        </w:rPr>
        <w:t>Republican governors</w:t>
      </w:r>
      <w:r w:rsidRPr="00C21B15">
        <w:rPr>
          <w:sz w:val="16"/>
        </w:rPr>
        <w:t xml:space="preserve"> </w:t>
      </w:r>
      <w:r w:rsidRPr="00E926C9">
        <w:rPr>
          <w:rStyle w:val="StyleUnderline"/>
          <w:highlight w:val="cyan"/>
        </w:rPr>
        <w:t>who pressed for</w:t>
      </w:r>
      <w:r w:rsidRPr="00C21B15">
        <w:rPr>
          <w:sz w:val="16"/>
        </w:rPr>
        <w:t xml:space="preserve"> legislative </w:t>
      </w:r>
      <w:r w:rsidRPr="00E926C9">
        <w:rPr>
          <w:rStyle w:val="StyleUnderline"/>
          <w:highlight w:val="cyan"/>
        </w:rPr>
        <w:t>reforms that</w:t>
      </w:r>
      <w:r w:rsidRPr="00C21B15">
        <w:rPr>
          <w:sz w:val="16"/>
        </w:rPr>
        <w:t xml:space="preserve"> </w:t>
      </w:r>
      <w:r w:rsidRPr="00035D81">
        <w:rPr>
          <w:rStyle w:val="StyleUnderline"/>
          <w:highlight w:val="cyan"/>
        </w:rPr>
        <w:t>would</w:t>
      </w:r>
      <w:r w:rsidRPr="00C21B15">
        <w:rPr>
          <w:sz w:val="16"/>
        </w:rPr>
        <w:t xml:space="preserve"> either </w:t>
      </w:r>
      <w:r w:rsidRPr="00E926C9">
        <w:rPr>
          <w:rStyle w:val="Emphasis"/>
          <w:highlight w:val="cyan"/>
        </w:rPr>
        <w:t>eliminate</w:t>
      </w:r>
      <w:r w:rsidRPr="00C21B15">
        <w:rPr>
          <w:sz w:val="16"/>
        </w:rPr>
        <w:t xml:space="preserve"> or </w:t>
      </w:r>
      <w:r w:rsidRPr="00E926C9">
        <w:rPr>
          <w:rStyle w:val="StyleUnderline"/>
        </w:rPr>
        <w:t>drastically limit</w:t>
      </w:r>
      <w:r w:rsidRPr="00C21B15">
        <w:rPr>
          <w:sz w:val="16"/>
        </w:rPr>
        <w:t xml:space="preserve"> </w:t>
      </w:r>
      <w:r w:rsidRPr="00E926C9">
        <w:rPr>
          <w:rStyle w:val="Emphasis"/>
          <w:highlight w:val="cyan"/>
        </w:rPr>
        <w:t>collective bargaining</w:t>
      </w:r>
      <w:r w:rsidRPr="00C21B15">
        <w:rPr>
          <w:sz w:val="16"/>
        </w:rPr>
        <w:t xml:space="preserve"> for state and local government employees in their respective jurisdictions and thereby significantly reduce the power of public employee unions. Substantial evidence of this position is provided in speeches by Governor </w:t>
      </w:r>
      <w:r w:rsidRPr="00C21B15">
        <w:rPr>
          <w:rStyle w:val="Emphasis"/>
        </w:rPr>
        <w:t>Chris Christie</w:t>
      </w:r>
      <w:r w:rsidRPr="00C21B15">
        <w:rPr>
          <w:sz w:val="16"/>
        </w:rPr>
        <w:t xml:space="preserve"> of New Jersey, Governor Mitch Daniels of Indiana, former governor Tim Pawlenty of Minnesota, and former governor </w:t>
      </w:r>
      <w:r w:rsidRPr="00C21B15">
        <w:rPr>
          <w:rStyle w:val="Emphasis"/>
        </w:rPr>
        <w:t>Mitt Romney</w:t>
      </w:r>
      <w:r w:rsidRPr="00C21B15">
        <w:rPr>
          <w:sz w:val="16"/>
        </w:rPr>
        <w:t xml:space="preserve"> of Massachusetts, as well as in an op-ed written by Governor </w:t>
      </w:r>
      <w:r w:rsidRPr="00C21B15">
        <w:rPr>
          <w:rStyle w:val="Emphasis"/>
        </w:rPr>
        <w:t>Scott Walker</w:t>
      </w:r>
      <w:r w:rsidRPr="00C21B15">
        <w:rPr>
          <w:sz w:val="16"/>
        </w:rPr>
        <w:t xml:space="preserve"> of Wisconsin and in Michigan Governor Rick Snyder’s report on the financial health of Michigan.2</w:t>
      </w:r>
    </w:p>
    <w:p w14:paraId="112347BC" w14:textId="77777777" w:rsidR="00BF37F0" w:rsidRPr="00C21B15" w:rsidRDefault="00BF37F0" w:rsidP="00BF37F0">
      <w:pPr>
        <w:rPr>
          <w:sz w:val="16"/>
        </w:rPr>
      </w:pPr>
      <w:r w:rsidRPr="00C21B15">
        <w:rPr>
          <w:sz w:val="16"/>
          <w:szCs w:val="14"/>
        </w:rPr>
        <w:t>As Lewin (2012) has shown, approximately 20 U.S. state legislatures have recently enacted or amended laws reducing the retirement (pension) benefits of state and local government employees, and about a dozen state legislatures have enacted or amended laws reducing health care benefits or increasing the cost of health care for state and local government employees. In this regard, the governors and legislatures were somewhat but not entirely out in front of citizens and voters. Various public opinion polls indicate that substantial proportions of such citizens and voters perceive public employees to be overpaid, especially in terms of retirement and health care benefits.3 Concrete manifestations of these voter perceptions were recently demonstrated by citizens in San Jose and San Diego, California, who voted in favor of ballot measures calling for cutbacks in pension benefits for employees—current and new employees—of these municipal governments.4 Just as it had served as an early adopter of public sector bargaining, the state of Wisconsin became the early new-era battleground for taking away public employee bargaining rights, which had been granted and sustained for more than a half-century.</w:t>
      </w:r>
      <w:r w:rsidRPr="00C21B15">
        <w:rPr>
          <w:sz w:val="16"/>
        </w:rPr>
        <w:t xml:space="preserve"> Unfortunately, once again </w:t>
      </w:r>
      <w:r w:rsidRPr="00C21B15">
        <w:rPr>
          <w:rStyle w:val="StyleUnderline"/>
        </w:rPr>
        <w:t>the political battles that led to scaling back</w:t>
      </w:r>
      <w:r w:rsidRPr="00C21B15">
        <w:rPr>
          <w:sz w:val="16"/>
        </w:rPr>
        <w:t xml:space="preserve"> public employee </w:t>
      </w:r>
      <w:r w:rsidRPr="00C21B15">
        <w:rPr>
          <w:rStyle w:val="StyleUnderline"/>
        </w:rPr>
        <w:t>bargaining rights</w:t>
      </w:r>
      <w:r w:rsidRPr="00C21B15">
        <w:rPr>
          <w:sz w:val="16"/>
        </w:rPr>
        <w:t xml:space="preserve"> </w:t>
      </w:r>
      <w:r w:rsidRPr="00C21B15">
        <w:rPr>
          <w:rStyle w:val="StyleUnderline"/>
        </w:rPr>
        <w:t xml:space="preserve">were </w:t>
      </w:r>
      <w:r w:rsidRPr="00D032ED">
        <w:rPr>
          <w:rStyle w:val="StyleUnderline"/>
        </w:rPr>
        <w:t xml:space="preserve">largely </w:t>
      </w:r>
      <w:r w:rsidRPr="00D032ED">
        <w:rPr>
          <w:rStyle w:val="Emphasis"/>
          <w:highlight w:val="cyan"/>
        </w:rPr>
        <w:t>driven</w:t>
      </w:r>
      <w:r w:rsidRPr="00D032ED">
        <w:rPr>
          <w:rStyle w:val="StyleUnderline"/>
          <w:highlight w:val="cyan"/>
        </w:rPr>
        <w:t xml:space="preserve"> by </w:t>
      </w:r>
      <w:r w:rsidRPr="00D032ED">
        <w:rPr>
          <w:rStyle w:val="Emphasis"/>
          <w:highlight w:val="cyan"/>
        </w:rPr>
        <w:t>ideology</w:t>
      </w:r>
      <w:r w:rsidRPr="00C21B15">
        <w:rPr>
          <w:sz w:val="16"/>
        </w:rPr>
        <w:t xml:space="preserve"> and the outcomes were driven by the balance of political power, </w:t>
      </w:r>
      <w:r w:rsidRPr="00C21B15">
        <w:rPr>
          <w:rStyle w:val="StyleUnderline"/>
          <w:highlight w:val="cyan"/>
        </w:rPr>
        <w:t>even though</w:t>
      </w:r>
      <w:r w:rsidRPr="00C21B15">
        <w:rPr>
          <w:sz w:val="16"/>
        </w:rPr>
        <w:t xml:space="preserve"> a significant body of </w:t>
      </w:r>
      <w:r w:rsidRPr="00C21B15">
        <w:rPr>
          <w:rStyle w:val="Emphasis"/>
          <w:highlight w:val="cyan"/>
        </w:rPr>
        <w:t>empirical research</w:t>
      </w:r>
      <w:r w:rsidRPr="00C21B15">
        <w:rPr>
          <w:sz w:val="16"/>
        </w:rPr>
        <w:t xml:space="preserve"> on both public sector and private sector collective bargaining from earlier decades </w:t>
      </w:r>
      <w:r w:rsidRPr="00C21B15">
        <w:rPr>
          <w:rStyle w:val="StyleUnderline"/>
          <w:highlight w:val="cyan"/>
        </w:rPr>
        <w:t xml:space="preserve">was available to </w:t>
      </w:r>
      <w:r w:rsidRPr="00C21B15">
        <w:rPr>
          <w:rStyle w:val="Emphasis"/>
          <w:highlight w:val="cyan"/>
        </w:rPr>
        <w:t>inform</w:t>
      </w:r>
      <w:r w:rsidRPr="00C21B15">
        <w:rPr>
          <w:rStyle w:val="StyleUnderline"/>
          <w:highlight w:val="cyan"/>
        </w:rPr>
        <w:t xml:space="preserve"> these debates</w:t>
      </w:r>
      <w:r w:rsidRPr="00C21B15">
        <w:rPr>
          <w:sz w:val="16"/>
          <w:highlight w:val="cyan"/>
        </w:rPr>
        <w:t>.</w:t>
      </w:r>
    </w:p>
    <w:p w14:paraId="11839EA3" w14:textId="77777777" w:rsidR="00BF37F0" w:rsidRPr="00C21B15" w:rsidRDefault="00BF37F0" w:rsidP="00BF37F0">
      <w:pPr>
        <w:rPr>
          <w:sz w:val="14"/>
          <w:szCs w:val="14"/>
        </w:rPr>
      </w:pPr>
      <w:r w:rsidRPr="00C21B15">
        <w:rPr>
          <w:sz w:val="14"/>
          <w:szCs w:val="14"/>
        </w:rPr>
        <w:t>Hence, our primary objectives in this article are to bring empirical evidence to bear on the contemporary debate about state and local government employee unionization and collective bargaining by summarizing what is known from past and current research and to encourage a new wave</w:t>
      </w:r>
    </w:p>
    <w:p w14:paraId="0169948E" w14:textId="77777777" w:rsidR="00BF37F0" w:rsidRPr="00C21B15" w:rsidRDefault="00BF37F0" w:rsidP="00BF37F0">
      <w:pPr>
        <w:rPr>
          <w:sz w:val="14"/>
          <w:szCs w:val="14"/>
        </w:rPr>
      </w:pPr>
      <w:r w:rsidRPr="00C21B15">
        <w:rPr>
          <w:sz w:val="14"/>
          <w:szCs w:val="14"/>
        </w:rPr>
        <w:t xml:space="preserve">of empirical research that can support future policy choices. In particular, we address four questions: </w:t>
      </w:r>
    </w:p>
    <w:p w14:paraId="4A74CE0C" w14:textId="77777777" w:rsidR="00BF37F0" w:rsidRPr="00C21B15" w:rsidRDefault="00BF37F0" w:rsidP="00BF37F0">
      <w:pPr>
        <w:rPr>
          <w:sz w:val="14"/>
          <w:szCs w:val="14"/>
        </w:rPr>
      </w:pPr>
      <w:r w:rsidRPr="00C21B15">
        <w:rPr>
          <w:sz w:val="14"/>
          <w:szCs w:val="14"/>
        </w:rPr>
        <w:t xml:space="preserve">1. How does state and local government employee compensation compare to the private sector? Have state and local government employees benefited from unions and collective bargaining in ways that now make them over-compensated relative to comparable private sector employees? </w:t>
      </w:r>
    </w:p>
    <w:p w14:paraId="7E11809E" w14:textId="77777777" w:rsidR="00BF37F0" w:rsidRPr="00C21B15" w:rsidRDefault="00BF37F0" w:rsidP="00BF37F0">
      <w:pPr>
        <w:rPr>
          <w:sz w:val="14"/>
          <w:szCs w:val="14"/>
        </w:rPr>
      </w:pPr>
      <w:r w:rsidRPr="00C21B15">
        <w:rPr>
          <w:sz w:val="14"/>
          <w:szCs w:val="14"/>
        </w:rPr>
        <w:t xml:space="preserve">2. How have dispute resolution processes enacted in lieu of the right to strike performed in terms of achieving agreements, avoiding work stoppages, and affecting bargaining outcomes in state and local government? </w:t>
      </w:r>
    </w:p>
    <w:p w14:paraId="0080260A" w14:textId="77777777" w:rsidR="00BF37F0" w:rsidRPr="00C21B15" w:rsidRDefault="00BF37F0" w:rsidP="00BF37F0">
      <w:pPr>
        <w:rPr>
          <w:sz w:val="14"/>
          <w:szCs w:val="14"/>
        </w:rPr>
      </w:pPr>
      <w:r w:rsidRPr="00C21B15">
        <w:rPr>
          <w:sz w:val="14"/>
          <w:szCs w:val="14"/>
        </w:rPr>
        <w:t xml:space="preserve">3. How have the parties to state and local government labor-management relations responded to periodic financial crises that have arisen in their settings? That is, are these parties unable to adjust practices when conditions require or, alternatively, are they capable of negotiating adjustments that are responsive to problems and challenges affecting vital public interests? </w:t>
      </w:r>
    </w:p>
    <w:p w14:paraId="4F3FEBAE" w14:textId="77777777" w:rsidR="00BF37F0" w:rsidRPr="00C21B15" w:rsidRDefault="00BF37F0" w:rsidP="00BF37F0">
      <w:pPr>
        <w:rPr>
          <w:sz w:val="14"/>
          <w:szCs w:val="14"/>
        </w:rPr>
      </w:pPr>
      <w:r w:rsidRPr="00C21B15">
        <w:rPr>
          <w:sz w:val="14"/>
          <w:szCs w:val="14"/>
        </w:rPr>
        <w:t>4. In the shaping of future state and local government labor-management relations, what lessons should be considered from the results of innovations in private sector labor-management relations in the years since public sector statutes were first enacted?</w:t>
      </w:r>
    </w:p>
    <w:p w14:paraId="624145D5" w14:textId="77777777" w:rsidR="00BF37F0" w:rsidRPr="00346FB9" w:rsidRDefault="00BF37F0" w:rsidP="00BF37F0">
      <w:r>
        <w:t>&lt;&lt;&lt;</w:t>
      </w:r>
      <w:r w:rsidRPr="00346FB9">
        <w:t>Text</w:t>
      </w:r>
      <w:r>
        <w:t xml:space="preserve"> Condensed None Omitted&gt;&gt;&gt;</w:t>
      </w:r>
    </w:p>
    <w:p w14:paraId="7D20D697" w14:textId="77777777" w:rsidR="00BF37F0" w:rsidRDefault="00BF37F0" w:rsidP="00BF37F0">
      <w:pPr>
        <w:rPr>
          <w:sz w:val="2"/>
          <w:szCs w:val="2"/>
        </w:rPr>
      </w:pPr>
    </w:p>
    <w:p w14:paraId="6FD5535E" w14:textId="77777777" w:rsidR="00BF37F0" w:rsidRDefault="00BF37F0" w:rsidP="00BF37F0">
      <w:pPr>
        <w:rPr>
          <w:sz w:val="2"/>
          <w:szCs w:val="2"/>
        </w:rPr>
      </w:pPr>
    </w:p>
    <w:p w14:paraId="65EC285E" w14:textId="77777777" w:rsidR="00BF37F0" w:rsidRDefault="00BF37F0" w:rsidP="00BF37F0">
      <w:pPr>
        <w:rPr>
          <w:sz w:val="2"/>
          <w:szCs w:val="2"/>
        </w:rPr>
      </w:pPr>
    </w:p>
    <w:p w14:paraId="2FD59BA8" w14:textId="77777777" w:rsidR="00BF37F0" w:rsidRDefault="00BF37F0" w:rsidP="00BF37F0">
      <w:pPr>
        <w:rPr>
          <w:sz w:val="2"/>
          <w:szCs w:val="2"/>
        </w:rPr>
      </w:pPr>
      <w:r w:rsidRPr="00346FB9">
        <w:rPr>
          <w:sz w:val="2"/>
          <w:szCs w:val="2"/>
        </w:rPr>
        <w:t>How Does Public Employee Compensation Compare to the Private Sector? Proponents of scaling back or eliminating public sector collective bargaining have argued that public sector employees are overpaid relative to their private sector counterparts. We evaluate this claim by drawing on multiple data sets and our own research as well as other recent studies. We use three data series that compare public and private employee compensation and alternative wage equation specifications to explore the robustness of the overpayment argument: (1) the U.S. Bureau of the Census: Integrated Public Use Microdata Series (IPUMS) of the March Current Population Survey—CPS (Ruggles et al. 2009); (2) the Current Population Survey Merged Outgoing Rotation Groups—CPS-MORG (U.S. Department of Commerce, Census Bureau, various years); and (3) the American Community Survey Public Use Microdata Area—ACS-PUMA. To compare total compensation in the public and private sectors, fringe benefit data are also required. There is only one reliable source of such benefit information in the United States: the Employer Costs for Employee Compensation survey—ECEC—which is administered by the U.S. Department of Labor, Bureau of Labor Statistics (2010). The ECEC includes data from private industry and state and local governments, but provides information on size of organization only for private employers. Larger employers, that is, those with more than 100 employees, are significantly more likely to provide employees with benefits, in part, because they can spread administrative costs over a larger group and, for insurance purposes, can more readily diversify risk and self-insure. State and local governments resemble larger size private employers. Therefore, benefit costs will be used to mark up CPS-IPUMS wage data by sector, occupation, and private employer size. Because the CPS-MORG and ACS-PUMA data do not contain a measure of employer size, the benefit costs will be used to mark up wages in these data sets by sector and occupation. The CPS-IPUMS data reveal substantially different approaches to staffing and compensation as between the private and public sectors. For example, on average, state and local public sector workers are more highly educated than the private sector workforce; 54% of full-time state and local public sector workers hold at least a four-year college degree compared to 35% of full-time private sector workers. Further, wages and benefits are allocated differently between private and public sector full-time workers in the United States (see Table 1). State and local government employees receive a higher portion of their compensation in the form of employer-provided benefits, and the mix of benefits is different from that in the private sector. The key question when considering both employer-provided benefits and direct pay, however, is whether state and local government employees have a total compensation package that costs about the same as they would receive if they were employed in the private sector. In other words, it is the total cost of the compensation package rather than the mix of pay and benefits that is important in making public sector-private sector comparisons. In our analysis, the ECEC data are used to mark up wages for benefit costs. On average, public employers contribute 34.1% of employee compensation to benefits whereas private employers contribute between 26.1% and 33.1% of compensation to benefits, depending on organization size. Public employers provide relatively greater health insurance and pension benefits. Health insurance accounts for between 6.3% and 8.3% of private sector employee compensation compared to 11.2% of state and local government employee compensation. Retirement benefits also account for a substantially greater share of public employee compensation, 8.1% compared to between 2.8% and 4.8% in the private sector.5 Most public employees also continue to participate in defined-benefit retirement plans managed by the state, while most large private sector employers have switched to defined-contribution plans, especially 401(k) plans.6 By contrast, public employees receive considerably less supplemental pay and vacation time than private employees, and public employers contribute significantly less than private employers to legally mandated benefits.</w:t>
      </w:r>
      <w:r>
        <w:rPr>
          <w:sz w:val="2"/>
          <w:szCs w:val="2"/>
        </w:rPr>
        <w:t xml:space="preserve"> </w:t>
      </w:r>
      <w:r w:rsidRPr="00346FB9">
        <w:rPr>
          <w:sz w:val="2"/>
          <w:szCs w:val="2"/>
        </w:rPr>
        <w:t>[Table Omitted]</w:t>
      </w:r>
      <w:r>
        <w:rPr>
          <w:sz w:val="2"/>
          <w:szCs w:val="2"/>
        </w:rPr>
        <w:t xml:space="preserve"> </w:t>
      </w:r>
      <w:r w:rsidRPr="00346FB9">
        <w:rPr>
          <w:sz w:val="2"/>
          <w:szCs w:val="2"/>
        </w:rPr>
        <w:t>Specification of Compensation Equations: A Human Capital Approach Ideally, compensation research would compare employees performing similar work across the labor market while controlling for variations in their performance. There are, however, numerous public sector occupations, such as police, fire, and corrections, which lack appropriate private sector counterparts. Even apparently similar jobs may differ significantly between the public and private sectors. Teaching is one example of this; public schools accept all students whereas private schools are sometimes highly selective and may exclude or remove poor performers, special needs students, or disruptive students. Therefore, comparing workers of similar human capital or personal characteristics and labor market skills is most suitable to making public-private total compensation comparisons. We follow this approach, but also (in Appendix A) compare it to one study (Gittleman and Pierce 2011) that has attempted to introduce occupational controls into this type of comparison. Prior research shows that education level is the single most important earnings predictor (Card 1999). Most occupations also reward experience because experience is associated with (or a proxy for) competency development and performance enhancement arising from on-the-job learning. Other factors widely found to affect compensation include gender, race, ethnicity, and disability, although productivity-related human capital differences arising in these respects are intermingled with labor market disadvantages stemming from historical patterns of discrimination (Katz and Autor 1998). Table 2 presents estimates of standard earnings and total compensation equations for the period from 2007 to 2010 using the three data sets mentioned earlier. Panel A of the table shows that, on average, state and local government employees earn approximately between 9% and 10% lower (annual or weekly) wages than private employees. Also on average, public employees work fewer (weekly and annual) hours than their private sector counterparts. Panel B of Table 2 adjusts the equations for this difference, which results in estimated public employee wages that are between 5.8% and 8.5% lower than those of comparable private employees.7 Do these findings change when total compensation rather than wages is considered? The answer is no in terms of sign (or direction) and yes in terms of magnitude. To illustrate, panel A of Table 2 shows that state and local public employees earn 8.7% less than comparable private sector employees based on analysis of the CPS-IPUMS data set (which incorporates adjustments for employer-provided benefits by organization size, major occupation, and sector), and approximately between 3% and 4% less based on analyses of the CPS-MORG and ACS-PUMS data sets. When inter-sector differences in work hours are taken into account, as shown in panel B of Table 2, state and local public employees are estimated to earn 5.6% less than comparable private sector employees based on analysis of the CPS-IPUMS data, and between approximately 1% and 2.5% less based on analysis using the two other data sets (which are not adjusted for private sector employer</w:t>
      </w:r>
      <w:r>
        <w:rPr>
          <w:sz w:val="2"/>
          <w:szCs w:val="2"/>
        </w:rPr>
        <w:t xml:space="preserve"> </w:t>
      </w:r>
      <w:r w:rsidRPr="00346FB9">
        <w:rPr>
          <w:sz w:val="2"/>
          <w:szCs w:val="2"/>
        </w:rPr>
        <w:t>[Table Omitted]</w:t>
      </w:r>
      <w:r>
        <w:rPr>
          <w:sz w:val="2"/>
          <w:szCs w:val="2"/>
        </w:rPr>
        <w:t xml:space="preserve"> </w:t>
      </w:r>
      <w:r w:rsidRPr="00346FB9">
        <w:rPr>
          <w:sz w:val="2"/>
          <w:szCs w:val="2"/>
        </w:rPr>
        <w:t>size). In all these estimates, the relative underpayment is considerably greater for state government employees than for local government employees. (See Appendix A for full estimates.) These pay and total compensation estimates indicate that state and local government employees are not overpaid, and, in fact, are somewhat undercompensated relative to their private sector counterparts. Controlling for education, experience, hours of work, gender, race, ethnicity, and disability in these inter-sector comparisons, the overall public employment compensation underpayment or penalty is a relatively small 5% (though with considerable variation by level of government and data set). This finding is closely consistent with, indeed replicates, the main finding reported in other recent estimates of public sectorprivate sector pay and total compensation differentials that also use human capital models that control for education, experience, work hours, and other demographic variables (see Keefe 2012). While there is a broad scholarly consensus about public employee undercompensation, there is disagreement about the appropriate wage (or total compensation) equation specification. One question at issue is whether or not to include union membership, employer size, or occupation in human capital–type wage equations. Bender and Heywood (2010) include unionization in their specification, but they appear to be alone among researchers in doing so. Gittleman and Pierce (2011) reflect the dominant view of this matter, arguing that unionization does not account for unobserved labor quality in a human capital–type wage equation. Nonetheless, higher union wages should allow employers to recruit higher quality employees, and union voice might make them more productive. Moreover, any spillover effects of unions on the wages of nonunion employees further complicate measurement of union effects. To test these competing views, we estimated wage equations that include private and public sector union membership. The results show that while unions have positive effects on wages in both sectors, the public sector union wage effect (3.7%) is markedly smaller than the private sector union wage effect (14.1%). This finding appears directly to contradict those who predicted that public sector unions would have a major bargaining power advantage due to the inelasticity of demand for public services or public employee insider access to, or block voting for supportive elected officials. Unlike the apparent consensus among researchers to omit unionization from human capital–based studies of public sector versus private sector compensation, there is much disagreement about employer size. Allegretto and Keefe (2010), Keefe (2010, 2012), Biggs and Richwine (2011), Richwine and Biggs (2011a), and Munnell et al. (2012) include employer size in their estimating equations, while Schmitt (2010), Bender and Heywood (2010), and Gittleman and Pierce (2011) exclude employer size. Once again to test competing views, we estimated the wage and total compensation equations using the CPS-IPUMS data set that includes employer size as well as the CPS-MORG and ACS-PUMS data sets that do not include employer size. (See Appendix A for full estimates.) Our estimates show a public employee hourly pay (i.e., wage) underpayment of 5.8% when employer size is taken into account compared to a 4.7% underpayment when it is not taken into account. More telling is the finding that the public employee hourly total compensation underpayment is 5.6% when employer size is taken into account compared to 1.2% when it is not taken into account. Nonetheless, with or without employer size in the estimating equations, these studies find a public pay penalty for state and local government employees. Our study, like most others, finds that on a total compensation basis public employees are undercompensated relative to their private sector counterparts. This overall finding is composed of under-compensation with respect to pay that is larger than overcompensation with respect to benefits.</w:t>
      </w:r>
      <w:r>
        <w:rPr>
          <w:sz w:val="2"/>
          <w:szCs w:val="2"/>
        </w:rPr>
        <w:t xml:space="preserve"> </w:t>
      </w:r>
      <w:r w:rsidRPr="00346FB9">
        <w:rPr>
          <w:sz w:val="2"/>
          <w:szCs w:val="2"/>
        </w:rPr>
        <w:t>There are critics of this majority view, however, most notably Biggs and Richwine (2011) and Richwine and Biggs (2011a, 2011b), who argue that the ECEC does not adequately account for the costs of state and local government retiree health benefits, the guaranteed nature of public sector pensions, and the value of public sector job security. When adjusting for these alleged omissions, they report that public employees are overcompensated by 30% in California and 43% in Ohio when compared with similar private sector employees. The ECEC does not account for retiree health care expenditures if they are not prefunded and reflected in current employer costs. The U.S. Government Accountability Office (2007) estimates that retiree health benefits costs incurred by state governments constitute approximately 2% of salary and 1.5% of total compensation. The basic premise of the Richwine and Biggs (2011a) criticism is that retiree health insurance is an irrevocable, unalterable right that is mandated to be funded by a state irrespective of any changes in the labor force or the state’s finances. This premise, however, is incorrect. In most states, public employee retiree health care is not a guaranteed benefit. Instead, an accurate assessment of public or private employee health care benefits requires an upward cost adjustment where a government jurisdiction or private employer provides retiree health benefits on a pay-as-you-go-retiree health insurance basis. Further, numerous states have recently altered public employee health care benefits and costs by cutting benefits for retirees and eliminating benefits for some current and prospective employees, increasing co-payments and deductibles, reducing the scope of illnesses covered by health insurance plans, and placing more stringent limits on catastrophic illness payments (Lewin 2012). Another criticism offered by Biggs and Richwine (2011) involves the overstatement of public pension funding ratios. In this regard, Munnell et al. (2011) observe the following: Comparing ECEC pension data across the public and private sectors involves two problems. First, the ECEC contributions to defined benefit pension plans do not separate the normal cost and the amortization payment to reduce unfunded liabilities. As the employee only earns the normal cost, including the amortization payment overstates public sector compensation. Second, contributions to private sector 401(k) plans and public sector defined benefit plans are not comparable. The public sector contribution guarantees a return of about 8 percent, whereas no such guarantee exists for 401(k)s. Thus, the public sector contribution understates public sector compensation. (p. 5) After making the appropriate adjustments to the ECEC for the proper valuation of pensions and retiree health insurance, Munnell et al. (2011) report that the two roughly balance out. Their estimated difference nationwide for total compensation is a 4% premium in favor of private sector employees. Finally, regarding job stability, Munnell et al. (2011) and Keefe (2010) conclude that there is not a compensating job stability differential in the public sector compared to the private sector, as alleged by Biggs and Richwine (2011) and Richwine and Biggs (2011a, 2011b). Rather, the observed greater job stability in the public sector is largely due to and consistent with the higher levels of education of the public relative to the private sector workforce. Stated differently, higher levels of education are associated with significantly lower unemployment rates in U.S. labor markets as a whole. Relative Wage Compression in the Public Sector Since 1970, there has been a significant relative compression of the wage distribution in the public sector (Borjas 2002). It has also long been known that public sector earnings show less dispersion than private sector earnings (Fogel and Lewin 1974). Therefore, individual earnings differentials apparently favor public employees at the bottom of the earnings distribution and private employees at the top of the distribution (Belman and Heywood 2004). To more fully examine this matter, we estimate quantile regression equations (Angrist and Pishke 2008) using the CPS-</w:t>
      </w:r>
      <w:r w:rsidRPr="00346FB9">
        <w:rPr>
          <w:sz w:val="2"/>
          <w:szCs w:val="2"/>
        </w:rPr>
        <w:lastRenderedPageBreak/>
        <w:t>IPUMS data on the distribution of public versus private employee hourly wages and total compensation. These equations include human capital variables and a control for employer size; the results are reported in Table 3. The quantile regressions allow us to examine compensation relationships between state and local government employment and private sector employment at various points in the distribution, while controlling for the varying influences of human capital on earnings. At the lowest decile, wages for local government employees are slightly higher (1.7%) and wages for state government employees are lower (3.1%) than for private sector employees. At the median, public employees earn wages 9.4% less than private sector employees and at the 90th percentile the public wage underpayment rises to 18.5%. Next, we examine the distribution of total compensation of public versus private sector employ</w:t>
      </w:r>
      <w:r>
        <w:rPr>
          <w:sz w:val="2"/>
          <w:szCs w:val="2"/>
        </w:rPr>
        <w:t xml:space="preserve"> </w:t>
      </w:r>
      <w:r w:rsidRPr="00346FB9">
        <w:rPr>
          <w:sz w:val="2"/>
          <w:szCs w:val="2"/>
        </w:rPr>
        <w:t>[Table Ommitted]</w:t>
      </w:r>
      <w:r>
        <w:rPr>
          <w:sz w:val="2"/>
          <w:szCs w:val="2"/>
        </w:rPr>
        <w:t xml:space="preserve"> </w:t>
      </w:r>
      <w:r w:rsidRPr="00346FB9">
        <w:rPr>
          <w:sz w:val="2"/>
          <w:szCs w:val="2"/>
        </w:rPr>
        <w:t>ees. The quantile regression results show a total compensation premium (3.3%) for public employees at the first decile, which persists for local government employees (3.4%) at the 20th percentile but turns to a slight underpayment for state government employees (–1.6%). At the median, local government employee total compensation is not statistically different from similar private sector employee total compensation; however, state government employees are 6.9% undercompensated relative to similar private sector employees. At the 80th percentile, the public employee compensation under-payment is 6.8% (4% local and 12% state) and at the top decile the under-payment is 8.4% (6.2% local and 13% state). Hence, lower skilled, less educated public sector employees are compensated slightly higher than their private sector counterparts, whereas more skilled, better-educated employees are significantly more highly compensated in the private than in the public sector. The preponderance of evidence from our analysis (and that of other researchers) of employee compensation costs on a per-hour basis shows that when controlling for education, experience, work hours, gender, race, ethnicity, and disability, public employees are undercompensated when compared to similar private employees. We estimate that, on average, full-time state and local government employees are relatively undercompensated by 5.6%, with the underpayment being substantially smaller for local government employees (4.1%) than for state government employees (8.3%). We also find significant differences in the distribution of wages between state and local government and private sector employee groups. Lower skilled, less educated public sector employees have significant wage and total compensation advantages over their private sector counterparts, while higher skilled, more educated public sector employees have significant wage and total compensation disadvantages relative to their private sector counterparts.</w:t>
      </w:r>
      <w:r>
        <w:rPr>
          <w:sz w:val="2"/>
          <w:szCs w:val="2"/>
        </w:rPr>
        <w:t xml:space="preserve"> </w:t>
      </w:r>
      <w:r w:rsidRPr="00346FB9">
        <w:rPr>
          <w:sz w:val="2"/>
          <w:szCs w:val="2"/>
        </w:rPr>
        <w:t>How Have State and Local Government Employment Dispute Resolution Procedures Performed? The public sector bargaining laws enacted during the 1960s and 1970s were closely patterned after the private sector National Labor Relations Act (the Wagner Act), with the exception that public employee strikes were partially or totally banned and substitute procedures were often allowed or required. These procedures include mediation, fact-finding with recommendations, arbitration, or a mix thereof. Because there was little prior experience with these procedures, much debate and considerable research aimed at documenting and evaluating their effects ensued. The key findings from this research are summarized here. Strikes Most of the research on public sector strikes was carried out in the 1970s and early 1980s when public sector collective bargaining and the statutes governing bargaining were still in their formative years. Strike rates in both the private and public sectors have declined considerably since that time. The evidence we draw on here comes mainly from those earlier studies. Olson’s (1988) review of the accumulated evidence on public sector strikes concluded that Interest arbitration provides the most effective deterrence of strikes. The most systematic analysis of this issue was carried out by Ichniowski (1982). He compared the rate of police strikes under no bargaining law, a law providing meet and confer rights only, laws providing bargaining without arbitration, and laws providing bargaining with arbitration. He found that strikes were most likely to occur in states without a bargaining law and least likely to occur in states with a bargaining law that provided for binding arbitration. He also looked at the effects of changes in these statutes in selected jurisdictions and found that changing from a bargaining law without arbitration to one with arbitration reduced the probability of a strike from 0.084 to 0.005. These results were consistent with Olson’s findings from an earlier study of Wisconsin, Illinois, Indiana, New York, Ohio, and Pennsylvania. Next, Olson found that strike penalties, when enforced, deter strikes. This finding comes from studies comparing the low strike rates of teachers in New York, where employees lose two days’ pay for every day on strike, to strike rates in Pennsylvania, Ohio, Illinois, and Indiana, where strikes were either legal (Pennsylvania) or illegal but penalties were weak or not enforced. He also found that policies outside of collective bargaining can affect strikes, such as whether days lost to strikes are made up at the end of the previously scheduled school year. Ability to Reach Agreements Early on, that is, during the 1970s and 1980s, there was considerable concern that the lack of the discipline of a strike deadline or the existence of a third-party process, such as fact-finding or arbitration, would reduce the parties’ incentive to reach negotiated agreements. A specific aspect of this concern was that there would be what some called a narcotic effect such that once arbitration or fact-finding was invoked in a particular negotiation, the parties would continue to rely on it in future negotiations. The evidence suggests, however, that over the long haul of public sector bargaining these worries were overstated (see Kochan et al. 2010). 1. The rate of reliance on arbitration (where it exists) has declined from between 10% and 30% in the early years of public sector bargaining to below 10% in most states today. In New York State, for example, 31% of police units went to arbitration between 1974 and 1976, the initial years of the arbitration statute, compared with 9% between 1995 and 2007. Similar declines occurred for firefighter bargaining units during this time. In most cases, the parties appear to have learned how to predict what an arbitrator will award and, with this understanding in mind, have been able to negotiate agreements on their own (or with the help of mediators) without having to go through the formal arbitration process. There are notable exceptions to this, however. Some jurisdictions, particularly large, politically complex jurisdictions, are heavier users of arbitration than smaller jurisdictions. 2. Mediation has proved to be remarkably effective in assisting the parties in reaching negotiated agreements. Although evidence is limited in this regard, more than 70% of the cases referred to mediation in New York State police and firefighter negotiations were resolved voluntarily during the mediation process. Effects on Outcomes One of the most hotly debated yet least understood aspects of public employee bargaining concerns the effects of arbitration on pay outcomes. A recent nationwide study examined the effects of arbitration on police and firefighter wages using Census data from 1990 and 2000 (Kochan et al. 2010). The findings comport closely with the results of studies conducted during earlier decades, namely: 1. Wages of police and firefighters covered by arbitration statutes are not significantly different from wages for police and firefighters in states in which collective bargaining does not include arbitration but typically includes mediation, fact-finding, or both. 2. Wage growth for police and firefighters in states with bargaining laws that include arbitration did not differ from wage growth in states with bargaining laws that do not include arbitration. 3. There were no significant differences between wage increases awarded to police and firefighters in arbitration and wage increases resulting from negotiations without the use of arbitration. These results are not surprising because most arbitration statutes require arbitrators to compare wages and other terms of employment together with cost of living, ability to pay, and other objective factors among comparable jurisdictions in shaping their awards.8 Nevertheless, arbitration is not a panacea for all public sector labor problems. Specific limitations of arbitration include, first, that arbitrators tend to be very conservative. There is a strong norm in the labor relations profession (shared by arbitrators as well as management and labor representatives) that arbitrators should not break new ground or award new benefits (or take away benefits) that they believe might be warranted but that the parties were unable to negotiate on their own. The norm is grounded in the belief that the parties to negotiations know their unique needs better than arbitrators. If the parties want to introduce a new concept into negotiations or bring about a major restructuring of pay, benefits, or other terms of em ployment, they should negotiate over them directly rather than leave such potentially complicated changes to an outside arbitrator. Consequently, arbitration tends toward a status quo bias. It is therefore not a tool for introducing major changes in employment practices and outcomes in times of fiscal adversity, let alone deep crisis, when the environment has changed or when new employment practices are being developed for other reasons. Second, the time required to complete negotiations when arbitration is invoked appears to have increased significantly over the years. While systematic data are not available across all states that provide for the arbitration of public sector labor disputes, in New York State the median length of time from contract expiration to an arbitration award increased from 300 days during the period from 1974 to 1976 to 790 days during the period from 2001 to 2006. Delays of this magnitude pose three serious problems: (1) economic conditions may have changed considerably such that what may have appeared to be a fair, affordable pay or benefit increase at the time of contract expiration looks out of line with prevailing economic conditions when an arbitration award is issued; (2) employees may suffer economic hardship and become dissatisfied with the arbitration process; and (3) negotiations on a successor agreement may have begun before an arbitration award is issued, and thus the parties find themselves engaged in perpetual negotiations. How Have State and Local Government Labor and Management Responded to Financial Crises and Other Pressures for Change? Coalition Bargaining Although the structure of public sector bargaining is typically based on specific occupations (police, firefighters, teachers, etc.) or other relatively narrow criteria, in times of financial or other crises various unions and state and local governments have had to respond in more coordinated fashion. A compelling example is provided by the mid-1970s fiscal crisis in New York City municipal government, which was able to avoid bankruptcy through negotiation with a coalition consisting of several major and some smaller municipal employee unions that collectively enrolled about 80 separate bargaining units representing more than a quarter-million city employees (Lewin and McCormick 1981). Those negotiations, which occurred over a series of bargaining rounds, resulted in new agreements that included multiyear wage freezes, deferrals and cuts, fringe benefit givebacks, and productivity enhancements. Most important and notable, these negotiations</w:t>
      </w:r>
      <w:r>
        <w:rPr>
          <w:sz w:val="2"/>
          <w:szCs w:val="2"/>
        </w:rPr>
        <w:t xml:space="preserve"> </w:t>
      </w:r>
      <w:r w:rsidRPr="00346FB9">
        <w:rPr>
          <w:sz w:val="2"/>
          <w:szCs w:val="2"/>
        </w:rPr>
        <w:t>also resulted in substantial new investments and a multiyear rollover of prior investments of municipal employees’ pension funds in New York City bonds and notes. It is no exaggeration to say that New York City was saved by these agreements, though it is also fair to say that certain prior collective bargaining agreements between the city and municipal employee unions contributed to the fiscal crisis. More recently, in 2009, the Massachusetts legislature merged the state’s multiple transportation agencies, workforces, and unions into a single integrated department of transportation. To address the myriad of issues involved in merging disparate wage structures, contracts, and work systems, a new union coalition was formed and sought to bargain as a single entity. Management agreed to negotiate with the coalition in return for full freedom to integrate the workforce without regard to traditional jurisdictional boundaries and work rules. This multiparty negotiation process produced an agreement that red-circled, that is, froze in place, the wages of the higher paid employees in return for the right to hire new employees at the lower state salary schedule. The agreement also created an operations improvement program in which 10% of the workforce savings achieved will be placed in an equity fund to help close wage gaps among employees doing similar work. Joint labor-management committees were created and chartered to address the myriad issues that would inevitably arise as the integration process moved forward and to further rationalize and modernize the job structures inherited from the state system. In short, this coalition negotiation process established the structures, processes, and alignment of interests needed to build a model public transportation system and organization (Kochan 2011). Similar public employee coalitions have come together in San Francisco to negotiate major pension reforms, in Boston to negotiate major health care reforms, in Los Angeles to negotiate increased employee contributions to health care and pension plans, and in the state of Connecticut to negotiate benefit reforms and reductions in return for employment security guarantees. These examples indicate that during times of fiscal crisis, strong public sector management and union leadership can come together to make significant, necessary adjustments to existing agreements. Other examples, such as in sanitation service, that is, refuse pickup and disposal (Lewin 1987), similarly illustrate how municipal governments and public employee unions have been able to negotiate productivity improvements through adaptation to technological changes. Education Reform It is now widely recognized that the U.S. public education system is in need of improvement and reform. The Obama Administration has taken steps to achieve reform by providing Race to the Top and other school improvement grants, each of which requires active plans to improve the quality of teaching by holding districts and teachers accountable for improving student achievement. These programs, which build upon the No Child Left</w:t>
      </w:r>
      <w:r>
        <w:rPr>
          <w:sz w:val="2"/>
          <w:szCs w:val="2"/>
        </w:rPr>
        <w:t xml:space="preserve"> </w:t>
      </w:r>
      <w:r w:rsidRPr="00346FB9">
        <w:rPr>
          <w:sz w:val="2"/>
          <w:szCs w:val="2"/>
        </w:rPr>
        <w:t>Behind initiative of the George W. Bush Administration, call for significant changes in teacher contract provisions regarding performance evaluation, seniority, pay for performance, continuing education, and professional development. A key question about these programs is whether teacher unions and public school officials and managers will be partners or impediments to reform. Examples of both resistance and partnership can be found around the country. For example, when faced with the difficult choice of whether to accept pay and benefit cuts or layoffs, teachers in some New Jersey school districts and in the Los Angeles Unified School District chose layoffs. These decisions resulted in larger class sizes, which angered parents in the respective communities. In contrast, reform-minded union-management partnerships have been fostered in other public school districts, which in some cases occurred well before recent national education policy initiatives were adopted. In a recent study of six school districts in which teachers are represented by the American Federation of Teachers (AFT)—Cerritos, California; Toledo, Ohio; Hills borough, Florida; Plattsburgh, New York; Norfolk, Virginia; and St. Francis, Minnesota—Rubinstein and McCarthy (2012) analyzed long-term collaborative partnerships between school administrators and local teachers’ unions that focused on school improvement, student achievement, and teacher quality. They found that in these school districts, a culture of collaboration has been established that promotes trust and individual integrity, values union leadership, and respects teacher professionalism. Each district has established a district-level joint planning and decision-making forum in which union officials and school administrators work together to develop joint understanding and alignment of the strategic priorities of the district. The forums are complemented with school-specific building-level teams, improvement committees, and steering committees or advisory councils that meet regularly. Improving the quality of teaching is a core goal of collaborative labor-management reform efforts in these school districts, as manifested in new initiatives involving professional development, teacher evaluation, teaching academies, peer-to-peer assistance and mentoring programs, and provisions for dismissal of ineffective teachers. Most of these districts have also negotiated contract language, or memorandums of understanding, that support their collaborative efforts. By using concrete language, these districts integrate real change into collective bargaining and institutionalize such change. In some cases, the contracts call for collaboration in district-level decision-making by requiring union representation on key committees. In other cases, contractual provisions have resulted in expanded opportunities for union involvement in decisionmaking through school board policy. Beyond these local school district examples are numerous national and state-level efforts to support collaborative approaches to education innovation. For instance, the U.S. Department of Education in partnership with the Federal Mediation and Conciliation Service, national teacher unions, and school superintendents’ groups have held two national conferences to discuss how labor-management relationships can improve student achievement and school performance. Appendix C contains an excerpt of a joint statement from the group that calls for collaborative efforts to improve student performance. In Massachusetts, a new statewide Public Sector Labor Management Relations Collaborative has been created to facilitate locallevel collaborative approaches to educational innovation (Bluestone and Kochan 2011). These and related efforts throughout the United States will provide data that are useful for assessing whether collective bargaining is a positive or negative force in education reform and improvement. Lessons from Innovations in Private Sector Labor-Management Relations Just as the first generation of public sector collective bargaining statutes was heavily influenced by prior private sector bargaining practices and experiences, so too should the next generation of public sector labor management relations take into account innovations in private sector practices that have demonstrated their value in the intervening years. Indeed, the last thirty years have witnessed considerable innovation and, in some cases, transformation in the nature, quality, and performance of private sector labor-management relations. Most of these innovations began in the 1980s in response to increased pressures from international and domestic nonunion competitors (Kochan, Katz, and McKersie 1986). Studies ranging from automobile, steel, and apparel manufacturing to airlines, health care, and telecommunications found positive performance effects for work systems innovations that bundle investments in workforce training and development with workplace processes that engage worker ideas and skills, encourage teamwork, and coordinate efforts across occupations (Appelbaum, Gittell, and Leana 2011). The broadest study of the effects of these initiatives in manufacturing industries found, for example, that transformed nonunion work systems were 10% more productive than traditional nonunion workplaces, transformed unionized work systems were 15% more productive than traditional nonunion workplaces, and traditional unionized workplaces were 10% less productive than traditional nonunion workplaces (Black and Lynch 1997). A survey of a nationally representative sample of private sector union-management relationships conducted for the Federal Mediation and Conciliation Service in 2003 found that negotiation processes that used interest-based problem-solving techniques achieved more flexible work rules, more employee involvement in decision-making, and higher satisfaction with their labor-management relationships by both employer and union representatives. Yet, these innovations and transformations occurred in less than 10% of this national sample of private sector union-management relationships (Cutcher-Gershenfeld and Kochan 2004). Thus, instead of seeing diffusion of these innovative examples to the point where they might have become the new standard model for labor management relations, the pace of innovation stalled and private sector union membership continued its long-term decline. What lessons does this experience offer for current state and local government management and labor leaders? First, the patterns of innovation appear to apply to public sector employment settings. Indeed, the early adopters of innovative labor management relations in education reviewed here appear to have implemented many of the workplace, negotiations, and consultative reforms first introduced in the private sector. In fact, some of these early adopters did so explicitly after visiting well-known examples of private sector innovation, such as Saturn, or by working with mediators and consultants who had assisted private sector parties with these innovations (Foreberger 2011; Rubinstein and McCarthy 2012). Second, just as the flurry of private sector innovations begun in the 1980s was motivated by intense competition from abroad and from nonunion workplaces, contemporary public sector innovation and reform efforts are arising out of the confluence of the political and fiscal pressures we mentioned at the outset of this article and by competition from nonunion charter schools, threats of privatization and outsourcing of unionized public sector jobs, or both. Thus, the time is right for researchers to take an active role in proposing experiments and changes in practices that are informed by evidence of what has worked in other settings and then carrying out the research needed to document the results achieved. Third, these innovations, as with prior private sector initiatives, are taking place in the absence of explicit state- or national-level institutional and public policy support. The implication we draw from the private sector history is that even though well-designed and well-implemented innovations may produce performance improvements, they are not likely to spread and may not even survive on their own in the absence of government (in this case, state government) and related institutional support. In this respect, the endorsements of the national institutions listed in Appendix C and their state-level equivalents working together in Massachusetts are positive examples of the type of support that should increase the rate of diffusion and the chances of having lasting effects. If, however, the private sector pattern of isolated innovations is replicated, traditional arms-length or adversarial relationships will likely dominate and public sector union membership will decline, as it did in the private sector. Research Needs and Opportunities The decades of relative stability in public sector bargaining policy and practice have now given way to demands for transformational changes. The fiscal pressures on state and local government budgets and the nationally recognized need for improving elementary and secondary education outcomes will continue to challenge public sector labor and management leaders to find ways to improve the performance and control the costs of public services. Moreover, calls for change will likely continue to take two different directions: Some will argue for the further rolling back of public employee wages, benefit and collective bargaining rights, while others will press public employee unions and public employers to work together in new ways to address fiscal and performance challenges. These different approaches are now once again creating a laboratory for experimentation, research, and learning akin to the variation in policies and practices that accompanied passage of the first generation of public sector collective bargaining legislation. There are several ways researchers can contribute to the learning process and help move toward more evidence-based public policy making and collective bargaining practice. The policy research that followed passage of the initial wave of public sector bargaining statutes employed a wide variety of research methods, including intensive case studies, survey research, laboratory experiments (of dispute resolution methods), quasi-experimental field studies of changes in policies, and quantitative analyses of secondary databases and sources. We encourage the same diverse mix of research designs and methods now. It will be important, for example, to have rich case studies of how the diverse, multiple stakeholders and interest groups that make up the public sector labor management landscape engage in the process of reform. Early research on public sector bargaining stressed the multilateral nature of these relationships and processes (Kochan 1974). The multilateral mix of interests is present both in specific employment relationships and in the state and national sponsors of collaborative efforts. Examining whether and how these multiple groups, each with their specific political interests, work together and sustain a coalition long enough to achieve performance improvements will help inform later adopters. Similarly, just as the early years of public sector bargaining witnessed broad-scale experimentation with mediation, fact-finding, and arbitration as alternatives to strikes, we may now need to adapt these dispute resolution techniques not just to avoid work stoppages but also to facilitate innovation and reform. Understanding the potential changing roles of third-party facilitators, mediators, arbitrators, and state agencies responsible for public service reforms will help inform the education and training of the next generation of public sector “neutrals.” Much was learned from cross-state comparisons of collective bargaining laws and dispute resolution systems once these had sufficient years of experience to evaluate; however, in order to make such comparisons, each of those studies had to devote significant resources to collecting the necessary data. Few state agencies collected the data needed to track the performance of their laws. The lesson is clear: State and federal officials need to think ahead now about the data that will be required to evaluate whether more or less progress is made in meeting the challenges facing government officials, management, and employees through collaborative forms of innovation or through cutbacks in wages, benefits, and unionism and collective bargain-ing rights. This will be the dominant question of interest in the years ahead. Now is the time to put resources into ensuring that data are collected to track systematically the outcomes of critical concern to the different stakeholders and the processes used to produce them.</w:t>
      </w:r>
      <w:r>
        <w:rPr>
          <w:sz w:val="2"/>
          <w:szCs w:val="2"/>
        </w:rPr>
        <w:t xml:space="preserve"> </w:t>
      </w:r>
    </w:p>
    <w:p w14:paraId="30C13906" w14:textId="77777777" w:rsidR="00BF37F0" w:rsidRDefault="00BF37F0" w:rsidP="00BF37F0">
      <w:pPr>
        <w:rPr>
          <w:sz w:val="2"/>
          <w:szCs w:val="2"/>
        </w:rPr>
      </w:pPr>
    </w:p>
    <w:p w14:paraId="7FB56F78" w14:textId="77777777" w:rsidR="00BF37F0" w:rsidRDefault="00BF37F0" w:rsidP="00BF37F0">
      <w:r>
        <w:t>&lt;&lt;&lt;</w:t>
      </w:r>
      <w:r w:rsidRPr="00346FB9">
        <w:t>Text</w:t>
      </w:r>
      <w:r>
        <w:t xml:space="preserve"> Condensed None Omitted&gt;&gt;&gt;</w:t>
      </w:r>
    </w:p>
    <w:p w14:paraId="6E825C0E" w14:textId="77777777" w:rsidR="00BF37F0" w:rsidRPr="0086058B" w:rsidRDefault="00BF37F0" w:rsidP="00BF37F0">
      <w:pPr>
        <w:rPr>
          <w:sz w:val="16"/>
        </w:rPr>
      </w:pPr>
      <w:r w:rsidRPr="0086058B">
        <w:rPr>
          <w:sz w:val="16"/>
        </w:rPr>
        <w:t xml:space="preserve">Finally, </w:t>
      </w:r>
      <w:r w:rsidRPr="00E23AEF">
        <w:rPr>
          <w:rStyle w:val="StyleUnderline"/>
          <w:highlight w:val="cyan"/>
        </w:rPr>
        <w:t>we need to</w:t>
      </w:r>
      <w:r w:rsidRPr="00C21B15">
        <w:rPr>
          <w:rStyle w:val="StyleUnderline"/>
        </w:rPr>
        <w:t xml:space="preserve"> take actions </w:t>
      </w:r>
      <w:r w:rsidRPr="00E23AEF">
        <w:rPr>
          <w:rStyle w:val="Emphasis"/>
          <w:highlight w:val="cyan"/>
        </w:rPr>
        <w:t>now</w:t>
      </w:r>
      <w:r w:rsidRPr="0086058B">
        <w:rPr>
          <w:sz w:val="16"/>
        </w:rPr>
        <w:t xml:space="preserve"> </w:t>
      </w:r>
      <w:r w:rsidRPr="00C21B15">
        <w:rPr>
          <w:rStyle w:val="StyleUnderline"/>
        </w:rPr>
        <w:t>to</w:t>
      </w:r>
      <w:r w:rsidRPr="0086058B">
        <w:rPr>
          <w:sz w:val="16"/>
        </w:rPr>
        <w:t xml:space="preserve"> build and </w:t>
      </w:r>
      <w:r w:rsidRPr="00C21B15">
        <w:rPr>
          <w:rStyle w:val="Emphasis"/>
          <w:highlight w:val="cyan"/>
        </w:rPr>
        <w:t>evaluate</w:t>
      </w:r>
      <w:r w:rsidRPr="0086058B">
        <w:rPr>
          <w:sz w:val="16"/>
        </w:rPr>
        <w:t xml:space="preserve"> statewide institutions and </w:t>
      </w:r>
      <w:r w:rsidRPr="00C21B15">
        <w:rPr>
          <w:rStyle w:val="Emphasis"/>
          <w:highlight w:val="cyan"/>
        </w:rPr>
        <w:t>policies</w:t>
      </w:r>
      <w:r w:rsidRPr="0086058B">
        <w:rPr>
          <w:sz w:val="16"/>
        </w:rPr>
        <w:t xml:space="preserve"> needed to diffuse and sustain innovative initiatives in state and local government labor-management relationships. </w:t>
      </w:r>
      <w:r w:rsidRPr="0086058B">
        <w:rPr>
          <w:rStyle w:val="StyleUnderline"/>
          <w:highlight w:val="cyan"/>
        </w:rPr>
        <w:t>Comparing</w:t>
      </w:r>
      <w:r w:rsidRPr="0086058B">
        <w:rPr>
          <w:sz w:val="16"/>
        </w:rPr>
        <w:t xml:space="preserve"> diffusion rates across states that provide institutional or </w:t>
      </w:r>
      <w:r w:rsidRPr="0086058B">
        <w:rPr>
          <w:rStyle w:val="StyleUnderline"/>
          <w:highlight w:val="cyan"/>
        </w:rPr>
        <w:t>policy</w:t>
      </w:r>
      <w:r w:rsidRPr="0086058B">
        <w:rPr>
          <w:sz w:val="16"/>
        </w:rPr>
        <w:t xml:space="preserve"> supports for collaboration with states that take either a laissez-faire or an oppositional approach to collaboration will not only be of benefit to informing the future of public sector labor management policies, it </w:t>
      </w:r>
      <w:r w:rsidRPr="0086058B">
        <w:rPr>
          <w:rStyle w:val="StyleUnderline"/>
          <w:highlight w:val="cyan"/>
        </w:rPr>
        <w:t>might</w:t>
      </w:r>
      <w:r w:rsidRPr="0086058B">
        <w:rPr>
          <w:sz w:val="16"/>
        </w:rPr>
        <w:t xml:space="preserve"> also </w:t>
      </w:r>
      <w:r w:rsidRPr="0086058B">
        <w:rPr>
          <w:rStyle w:val="Emphasis"/>
          <w:highlight w:val="cyan"/>
        </w:rPr>
        <w:t>have implications</w:t>
      </w:r>
      <w:r w:rsidRPr="0086058B">
        <w:rPr>
          <w:sz w:val="16"/>
        </w:rPr>
        <w:t xml:space="preserve"> </w:t>
      </w:r>
      <w:r w:rsidRPr="0086058B">
        <w:rPr>
          <w:rStyle w:val="StyleUnderline"/>
          <w:highlight w:val="cyan"/>
        </w:rPr>
        <w:t>for</w:t>
      </w:r>
      <w:r w:rsidRPr="0086058B">
        <w:rPr>
          <w:sz w:val="16"/>
        </w:rPr>
        <w:t xml:space="preserve"> </w:t>
      </w:r>
      <w:r w:rsidRPr="0086058B">
        <w:rPr>
          <w:rStyle w:val="StyleUnderline"/>
          <w:highlight w:val="cyan"/>
        </w:rPr>
        <w:t xml:space="preserve">the </w:t>
      </w:r>
      <w:r w:rsidRPr="0086058B">
        <w:rPr>
          <w:rStyle w:val="Emphasis"/>
          <w:highlight w:val="cyan"/>
        </w:rPr>
        <w:t>future</w:t>
      </w:r>
      <w:r w:rsidRPr="0086058B">
        <w:rPr>
          <w:sz w:val="16"/>
        </w:rPr>
        <w:t xml:space="preserve"> </w:t>
      </w:r>
      <w:r w:rsidRPr="00DE12DD">
        <w:rPr>
          <w:rStyle w:val="StyleUnderline"/>
          <w:highlight w:val="cyan"/>
        </w:rPr>
        <w:t>of</w:t>
      </w:r>
      <w:r w:rsidRPr="0086058B">
        <w:rPr>
          <w:sz w:val="16"/>
        </w:rPr>
        <w:t xml:space="preserve"> private sector </w:t>
      </w:r>
      <w:r w:rsidRPr="0086058B">
        <w:rPr>
          <w:rStyle w:val="Emphasis"/>
          <w:highlight w:val="cyan"/>
        </w:rPr>
        <w:t>labor</w:t>
      </w:r>
      <w:r w:rsidRPr="0086058B">
        <w:rPr>
          <w:rStyle w:val="StyleUnderline"/>
          <w:highlight w:val="cyan"/>
        </w:rPr>
        <w:t xml:space="preserve"> policy</w:t>
      </w:r>
    </w:p>
    <w:p w14:paraId="1A1282E5" w14:textId="77777777" w:rsidR="00BF37F0" w:rsidRPr="0086058B" w:rsidRDefault="00BF37F0" w:rsidP="00BF37F0">
      <w:pPr>
        <w:rPr>
          <w:sz w:val="14"/>
          <w:szCs w:val="14"/>
        </w:rPr>
      </w:pPr>
      <w:r w:rsidRPr="0086058B">
        <w:rPr>
          <w:sz w:val="14"/>
          <w:szCs w:val="14"/>
        </w:rPr>
        <w:t xml:space="preserve">Conclusions </w:t>
      </w:r>
    </w:p>
    <w:p w14:paraId="53343DC4" w14:textId="77777777" w:rsidR="00BF37F0" w:rsidRPr="0086058B" w:rsidRDefault="00BF37F0" w:rsidP="00BF37F0">
      <w:pPr>
        <w:rPr>
          <w:sz w:val="14"/>
          <w:szCs w:val="14"/>
        </w:rPr>
      </w:pPr>
      <w:r w:rsidRPr="0086058B">
        <w:rPr>
          <w:sz w:val="14"/>
          <w:szCs w:val="14"/>
        </w:rPr>
        <w:t xml:space="preserve">After a considerable hiatus, public sector unionism and collective bargaining are once again in the spotlight. At center stage is an ideological battle in which short- and long-term outcomes are highly uncertain. Less visible, but no less important, is direct empirical evidence on public sector labor management relations. In sorting through the accumulated evidence, we find that when compared to private sector employees matched by education, organization size, and other relevant variables, state and local government employees on the whole are undercompensated rather than overcompensated. This overall conclusion takes into account relatively modest overpayment at lower occupational and skill levels and relatively substantial underpayment at higher occupational and skill levels. </w:t>
      </w:r>
    </w:p>
    <w:p w14:paraId="16327959" w14:textId="77777777" w:rsidR="00BF37F0" w:rsidRPr="0086058B" w:rsidRDefault="00BF37F0" w:rsidP="00BF37F0">
      <w:pPr>
        <w:rPr>
          <w:sz w:val="14"/>
          <w:szCs w:val="14"/>
        </w:rPr>
      </w:pPr>
      <w:r w:rsidRPr="0086058B">
        <w:rPr>
          <w:sz w:val="14"/>
          <w:szCs w:val="14"/>
        </w:rPr>
        <w:t xml:space="preserve">Regarding dispute resolution procedures (i.e., mediation, fact-finding, and arbitration) variously included in state and local government collective bargaining laws, we conclude that they have worked well in terms of reducing the incidence of public employee strikes and achieving equitable outcomes. In certain instances, however, the time required to reach arbitrated settlements of public sector labor disputes has increased to the point where it imposes hardships on employees and excessive uncertainty on public employers and citizens. Consideration should therefore be given to setting time limits on arbitration decisions or otherwise reforming the arbitration process. </w:t>
      </w:r>
    </w:p>
    <w:p w14:paraId="29660973" w14:textId="77777777" w:rsidR="00BF37F0" w:rsidRPr="0086058B" w:rsidRDefault="00BF37F0" w:rsidP="00BF37F0">
      <w:pPr>
        <w:rPr>
          <w:sz w:val="14"/>
          <w:szCs w:val="14"/>
        </w:rPr>
      </w:pPr>
      <w:r w:rsidRPr="0086058B">
        <w:rPr>
          <w:sz w:val="14"/>
          <w:szCs w:val="14"/>
        </w:rPr>
        <w:t xml:space="preserve">When it comes to the ability of state and local government labor and management to respond to fiscal crisis, the available evidence provides substantial historical and several contemporary examples of interest-based mutual gains negotiations and workplace innovations variously featuring coalition bargaining, joint partnerships, and multiparty arrangements that have been effective in enhancing performance outcomes and reducing the costs of public services. Some municipal governments and school districts have been especially successful in such efforts. The private sector offers similar historical and contemporary experiences, especially in certain industries and firms. The key challenge in this regard (both in the public and private sectors) is to sustain and diffuse mutual gains negotiations and innovative workplace practices, which in turn requires supportive public policies. In the absence of such policies or in the presence of opposite policies, state and local government labor and management will likely regress to the mean of adversarial, win-lose type negotiations and relationships. </w:t>
      </w:r>
    </w:p>
    <w:p w14:paraId="4A854A82" w14:textId="77777777" w:rsidR="00BF37F0" w:rsidRPr="00E23AEF" w:rsidRDefault="00BF37F0" w:rsidP="00BF37F0">
      <w:pPr>
        <w:rPr>
          <w:sz w:val="16"/>
        </w:rPr>
      </w:pPr>
      <w:r w:rsidRPr="00E23AEF">
        <w:rPr>
          <w:rStyle w:val="StyleUnderline"/>
          <w:highlight w:val="cyan"/>
        </w:rPr>
        <w:t xml:space="preserve">The </w:t>
      </w:r>
      <w:r w:rsidRPr="00E23AEF">
        <w:rPr>
          <w:rStyle w:val="Emphasis"/>
          <w:highlight w:val="cyan"/>
        </w:rPr>
        <w:t>research community</w:t>
      </w:r>
      <w:r w:rsidRPr="00E23AEF">
        <w:rPr>
          <w:sz w:val="16"/>
        </w:rPr>
        <w:t xml:space="preserve"> </w:t>
      </w:r>
      <w:r w:rsidRPr="0079217F">
        <w:rPr>
          <w:rStyle w:val="StyleUnderline"/>
        </w:rPr>
        <w:t>has an important role to play in helping to shape</w:t>
      </w:r>
      <w:r w:rsidRPr="00E23AEF">
        <w:rPr>
          <w:sz w:val="16"/>
        </w:rPr>
        <w:t xml:space="preserve"> changing public sector </w:t>
      </w:r>
      <w:r w:rsidRPr="0079217F">
        <w:rPr>
          <w:rStyle w:val="Emphasis"/>
        </w:rPr>
        <w:t>labor</w:t>
      </w:r>
      <w:r w:rsidRPr="00E23AEF">
        <w:rPr>
          <w:sz w:val="16"/>
        </w:rPr>
        <w:t xml:space="preserve">-management </w:t>
      </w:r>
      <w:r w:rsidRPr="0079217F">
        <w:rPr>
          <w:rStyle w:val="Emphasis"/>
        </w:rPr>
        <w:t>policy</w:t>
      </w:r>
      <w:r w:rsidRPr="00E23AEF">
        <w:rPr>
          <w:sz w:val="16"/>
        </w:rPr>
        <w:t xml:space="preserve"> and practice, in particular by providing a new wave of theoretical and empirical studies of direct relevance to the key issues in debate. By doing so, this generation of researchers will follow in the footsteps of their predecessors, whose studies </w:t>
      </w:r>
      <w:r w:rsidRPr="00E23AEF">
        <w:rPr>
          <w:rStyle w:val="StyleUnderline"/>
          <w:highlight w:val="cyan"/>
        </w:rPr>
        <w:t xml:space="preserve">have </w:t>
      </w:r>
      <w:r w:rsidRPr="00E23AEF">
        <w:rPr>
          <w:rStyle w:val="Emphasis"/>
          <w:highlight w:val="cyan"/>
        </w:rPr>
        <w:t>influenced</w:t>
      </w:r>
      <w:r w:rsidRPr="00E23AEF">
        <w:rPr>
          <w:sz w:val="16"/>
        </w:rPr>
        <w:t xml:space="preserve"> the evolution of public sector </w:t>
      </w:r>
      <w:r w:rsidRPr="00E23AEF">
        <w:rPr>
          <w:rStyle w:val="Emphasis"/>
          <w:highlight w:val="cyan"/>
        </w:rPr>
        <w:t>bargaining policy</w:t>
      </w:r>
      <w:r w:rsidRPr="00E23AEF">
        <w:rPr>
          <w:sz w:val="16"/>
        </w:rPr>
        <w:t xml:space="preserve"> and practice </w:t>
      </w:r>
      <w:r w:rsidRPr="00E23AEF">
        <w:rPr>
          <w:rStyle w:val="StyleUnderline"/>
          <w:highlight w:val="cyan"/>
        </w:rPr>
        <w:t xml:space="preserve">over the last </w:t>
      </w:r>
      <w:r w:rsidRPr="00E23AEF">
        <w:rPr>
          <w:rStyle w:val="Emphasis"/>
          <w:highlight w:val="cyan"/>
        </w:rPr>
        <w:t>half-century</w:t>
      </w:r>
      <w:r w:rsidRPr="00E23AEF">
        <w:rPr>
          <w:sz w:val="16"/>
        </w:rPr>
        <w:t xml:space="preserve"> (Lewin et al. 1988).</w:t>
      </w:r>
    </w:p>
    <w:p w14:paraId="76882CDF" w14:textId="77777777" w:rsidR="00BF37F0" w:rsidRPr="00175704" w:rsidRDefault="00BF37F0" w:rsidP="00BF37F0">
      <w:pPr>
        <w:rPr>
          <w:sz w:val="16"/>
        </w:rPr>
      </w:pPr>
      <w:r w:rsidRPr="0079217F">
        <w:rPr>
          <w:sz w:val="16"/>
        </w:rPr>
        <w:t xml:space="preserve">In sum, </w:t>
      </w:r>
      <w:r w:rsidRPr="0079217F">
        <w:rPr>
          <w:rStyle w:val="StyleUnderline"/>
          <w:highlight w:val="cyan"/>
        </w:rPr>
        <w:t xml:space="preserve">we are at a moment of </w:t>
      </w:r>
      <w:r w:rsidRPr="0079217F">
        <w:rPr>
          <w:rStyle w:val="Emphasis"/>
        </w:rPr>
        <w:t>challenge</w:t>
      </w:r>
      <w:r w:rsidRPr="0079217F">
        <w:rPr>
          <w:rStyle w:val="StyleUnderline"/>
        </w:rPr>
        <w:t xml:space="preserve"> and </w:t>
      </w:r>
      <w:r w:rsidRPr="00E23AEF">
        <w:rPr>
          <w:rStyle w:val="Emphasis"/>
          <w:highlight w:val="cyan"/>
        </w:rPr>
        <w:t>opportunity</w:t>
      </w:r>
      <w:r w:rsidRPr="0079217F">
        <w:rPr>
          <w:sz w:val="16"/>
        </w:rPr>
        <w:t xml:space="preserve"> </w:t>
      </w:r>
      <w:r w:rsidRPr="00337543">
        <w:rPr>
          <w:rStyle w:val="StyleUnderline"/>
          <w:highlight w:val="cyan"/>
        </w:rPr>
        <w:t>in</w:t>
      </w:r>
      <w:r w:rsidRPr="0079217F">
        <w:rPr>
          <w:sz w:val="16"/>
        </w:rPr>
        <w:t xml:space="preserve"> which the future of the public sector is at stake. While the current </w:t>
      </w:r>
      <w:r w:rsidRPr="0079217F">
        <w:rPr>
          <w:rStyle w:val="Emphasis"/>
          <w:highlight w:val="cyan"/>
        </w:rPr>
        <w:t>crisis</w:t>
      </w:r>
      <w:r w:rsidRPr="0079217F">
        <w:rPr>
          <w:sz w:val="16"/>
        </w:rPr>
        <w:t xml:space="preserve"> </w:t>
      </w:r>
      <w:r w:rsidRPr="00DE12DD">
        <w:rPr>
          <w:rStyle w:val="StyleUnderline"/>
        </w:rPr>
        <w:t>in</w:t>
      </w:r>
      <w:r w:rsidRPr="00DE12DD">
        <w:rPr>
          <w:sz w:val="16"/>
        </w:rPr>
        <w:t xml:space="preserve"> state and </w:t>
      </w:r>
      <w:r w:rsidRPr="00DE12DD">
        <w:rPr>
          <w:rStyle w:val="Emphasis"/>
        </w:rPr>
        <w:t>local</w:t>
      </w:r>
      <w:r w:rsidRPr="00DE12DD">
        <w:rPr>
          <w:sz w:val="16"/>
        </w:rPr>
        <w:t xml:space="preserve"> government </w:t>
      </w:r>
      <w:r w:rsidRPr="00DE12DD">
        <w:rPr>
          <w:rStyle w:val="Emphasis"/>
        </w:rPr>
        <w:t>bargaining</w:t>
      </w:r>
      <w:r w:rsidRPr="00DE12DD">
        <w:rPr>
          <w:sz w:val="16"/>
        </w:rPr>
        <w:t xml:space="preserve"> is</w:t>
      </w:r>
      <w:r w:rsidRPr="0079217F">
        <w:rPr>
          <w:sz w:val="16"/>
        </w:rPr>
        <w:t xml:space="preserve"> in some ways </w:t>
      </w:r>
      <w:r w:rsidRPr="00337543">
        <w:rPr>
          <w:rStyle w:val="StyleUnderline"/>
          <w:highlight w:val="cyan"/>
        </w:rPr>
        <w:t>equivalent to the crisis</w:t>
      </w:r>
      <w:r w:rsidRPr="0079217F">
        <w:rPr>
          <w:sz w:val="16"/>
        </w:rPr>
        <w:t xml:space="preserve"> that faced private sector collective bargaining </w:t>
      </w:r>
      <w:r w:rsidRPr="0079217F">
        <w:rPr>
          <w:rStyle w:val="StyleUnderline"/>
          <w:highlight w:val="cyan"/>
        </w:rPr>
        <w:t>during the</w:t>
      </w:r>
      <w:r w:rsidRPr="0079217F">
        <w:rPr>
          <w:sz w:val="16"/>
        </w:rPr>
        <w:t xml:space="preserve"> 19</w:t>
      </w:r>
      <w:r w:rsidRPr="0079217F">
        <w:rPr>
          <w:rStyle w:val="Emphasis"/>
          <w:highlight w:val="cyan"/>
        </w:rPr>
        <w:t>80s</w:t>
      </w:r>
      <w:r w:rsidRPr="0079217F">
        <w:rPr>
          <w:sz w:val="16"/>
        </w:rPr>
        <w:t xml:space="preserve">, state and local governments have fewer degrees of freedom than private sector firms in dealing with the present crisis. These governments cannot shut down operations or move production abroad or, except in rare circumstances, engage in mergers, acquisitions, or bankruptcies. Therefore, unless elected officials, management, and union leaders step up to the challenge and accelerate the process of reform and improvement by working together, learning from experiences of the type reviewed here, and building on successful examples of jointly led innovation, we will likely encounter a period of protracted labor-management conflict that will further erode employee voice and precipitate a decline in the quality of public services. Education reform in particular will suffer from public conflict, and the public school environment will be characterized by high levels of stress and pent-up tensions, splitting local communities and setting back hopes for collaboration and innovation. Beyond education, however, all state and local public services, agencies, and functions are at a similar crossroad, with challenges to collective bargaining potentially resulting in prolonged conflict or, alternatively, new workplace, organizational, and labor-management innovations. </w:t>
      </w:r>
      <w:r w:rsidRPr="0079217F">
        <w:rPr>
          <w:rStyle w:val="StyleUnderline"/>
          <w:highlight w:val="cyan"/>
        </w:rPr>
        <w:t>It is</w:t>
      </w:r>
      <w:r w:rsidRPr="0079217F">
        <w:rPr>
          <w:sz w:val="16"/>
        </w:rPr>
        <w:t xml:space="preserve"> therefore </w:t>
      </w:r>
      <w:r w:rsidRPr="0079217F">
        <w:rPr>
          <w:rStyle w:val="StyleUnderline"/>
          <w:highlight w:val="cyan"/>
        </w:rPr>
        <w:t>time</w:t>
      </w:r>
      <w:r w:rsidRPr="0079217F">
        <w:rPr>
          <w:sz w:val="16"/>
        </w:rPr>
        <w:t xml:space="preserve"> </w:t>
      </w:r>
      <w:r w:rsidRPr="0079217F">
        <w:rPr>
          <w:rStyle w:val="StyleUnderline"/>
          <w:highlight w:val="cyan"/>
        </w:rPr>
        <w:t xml:space="preserve">for the </w:t>
      </w:r>
      <w:r w:rsidRPr="0079217F">
        <w:rPr>
          <w:rStyle w:val="Emphasis"/>
          <w:highlight w:val="cyan"/>
        </w:rPr>
        <w:t>research community</w:t>
      </w:r>
      <w:r w:rsidRPr="0079217F">
        <w:rPr>
          <w:rStyle w:val="StyleUnderline"/>
        </w:rPr>
        <w:t xml:space="preserve"> </w:t>
      </w:r>
      <w:r w:rsidRPr="0079217F">
        <w:rPr>
          <w:rStyle w:val="StyleUnderline"/>
          <w:highlight w:val="cyan"/>
        </w:rPr>
        <w:t xml:space="preserve">to </w:t>
      </w:r>
      <w:r w:rsidRPr="007812B1">
        <w:rPr>
          <w:rStyle w:val="StyleUnderline"/>
        </w:rPr>
        <w:t>do its work—</w:t>
      </w:r>
      <w:r w:rsidRPr="007812B1">
        <w:rPr>
          <w:rStyle w:val="Emphasis"/>
        </w:rPr>
        <w:t>new work</w:t>
      </w:r>
      <w:r w:rsidRPr="007812B1">
        <w:rPr>
          <w:rStyle w:val="StyleUnderline"/>
        </w:rPr>
        <w:t xml:space="preserve">—in </w:t>
      </w:r>
      <w:r w:rsidRPr="007812B1">
        <w:rPr>
          <w:rStyle w:val="Emphasis"/>
          <w:highlight w:val="cyan"/>
        </w:rPr>
        <w:t>help</w:t>
      </w:r>
      <w:r w:rsidRPr="007812B1">
        <w:rPr>
          <w:sz w:val="14"/>
          <w:szCs w:val="14"/>
        </w:rPr>
        <w:t xml:space="preserve">ing </w:t>
      </w:r>
      <w:r w:rsidRPr="0079217F">
        <w:rPr>
          <w:rStyle w:val="Emphasis"/>
          <w:highlight w:val="cyan"/>
        </w:rPr>
        <w:t>policy makers</w:t>
      </w:r>
      <w:r w:rsidRPr="0079217F">
        <w:rPr>
          <w:rStyle w:val="StyleUnderline"/>
          <w:highlight w:val="cyan"/>
        </w:rPr>
        <w:t xml:space="preserve"> determine the </w:t>
      </w:r>
      <w:r w:rsidRPr="007812B1">
        <w:rPr>
          <w:rStyle w:val="Emphasis"/>
        </w:rPr>
        <w:t xml:space="preserve">key </w:t>
      </w:r>
      <w:r w:rsidRPr="0079217F">
        <w:rPr>
          <w:rStyle w:val="Emphasis"/>
          <w:highlight w:val="cyan"/>
        </w:rPr>
        <w:t>choices</w:t>
      </w:r>
      <w:r w:rsidRPr="0079217F">
        <w:rPr>
          <w:rStyle w:val="StyleUnderline"/>
          <w:highlight w:val="cyan"/>
        </w:rPr>
        <w:t xml:space="preserve"> they will </w:t>
      </w:r>
      <w:r w:rsidRPr="0079217F">
        <w:rPr>
          <w:rStyle w:val="Emphasis"/>
          <w:highlight w:val="cyan"/>
        </w:rPr>
        <w:t>make</w:t>
      </w:r>
      <w:r w:rsidRPr="0079217F">
        <w:rPr>
          <w:rStyle w:val="StyleUnderline"/>
          <w:highlight w:val="cyan"/>
        </w:rPr>
        <w:t xml:space="preserve"> </w:t>
      </w:r>
      <w:r w:rsidRPr="0079217F">
        <w:rPr>
          <w:rStyle w:val="StyleUnderline"/>
        </w:rPr>
        <w:t xml:space="preserve">in dealing with </w:t>
      </w:r>
      <w:r w:rsidRPr="0079217F">
        <w:rPr>
          <w:sz w:val="14"/>
          <w:szCs w:val="14"/>
        </w:rPr>
        <w:t>these</w:t>
      </w:r>
      <w:r w:rsidRPr="0079217F">
        <w:rPr>
          <w:rStyle w:val="StyleUnderline"/>
        </w:rPr>
        <w:t xml:space="preserve"> </w:t>
      </w:r>
      <w:r w:rsidRPr="0079217F">
        <w:rPr>
          <w:rStyle w:val="Emphasis"/>
        </w:rPr>
        <w:t>high stakes</w:t>
      </w:r>
      <w:r w:rsidRPr="0079217F">
        <w:rPr>
          <w:rStyle w:val="StyleUnderline"/>
        </w:rPr>
        <w:t xml:space="preserve"> issues</w:t>
      </w:r>
      <w:r w:rsidRPr="0079217F">
        <w:rPr>
          <w:sz w:val="16"/>
        </w:rPr>
        <w:t>.</w:t>
      </w:r>
    </w:p>
    <w:p w14:paraId="006C66CA" w14:textId="77777777" w:rsidR="00BF37F0" w:rsidRPr="009D6E8B" w:rsidRDefault="00BF37F0" w:rsidP="00BF37F0">
      <w:pPr>
        <w:pStyle w:val="Heading4"/>
        <w:rPr>
          <w:rFonts w:asciiTheme="minorHAnsi" w:hAnsiTheme="minorHAnsi" w:cstheme="minorHAnsi"/>
        </w:rPr>
      </w:pPr>
      <w:r w:rsidRPr="009D6E8B">
        <w:rPr>
          <w:rFonts w:asciiTheme="minorHAnsi" w:hAnsiTheme="minorHAnsi" w:cstheme="minorHAnsi"/>
        </w:rPr>
        <w:lastRenderedPageBreak/>
        <w:t>Fiat k2 empathy</w:t>
      </w:r>
    </w:p>
    <w:p w14:paraId="59AFFC24" w14:textId="77777777" w:rsidR="00BF37F0" w:rsidRPr="009D6E8B" w:rsidRDefault="00BF37F0" w:rsidP="00BF37F0">
      <w:pPr>
        <w:rPr>
          <w:rFonts w:asciiTheme="minorHAnsi" w:hAnsiTheme="minorHAnsi" w:cstheme="minorHAnsi"/>
        </w:rPr>
      </w:pPr>
      <w:r w:rsidRPr="009D6E8B">
        <w:rPr>
          <w:rStyle w:val="Style13ptBold"/>
          <w:rFonts w:asciiTheme="minorHAnsi" w:hAnsiTheme="minorHAnsi" w:cstheme="minorHAnsi"/>
        </w:rPr>
        <w:t xml:space="preserve">Wiblom ‘21 </w:t>
      </w:r>
      <w:r w:rsidRPr="009D6E8B">
        <w:rPr>
          <w:rFonts w:asciiTheme="minorHAnsi" w:hAnsiTheme="minorHAnsi" w:cstheme="minorHAnsi"/>
        </w:rPr>
        <w:t>[Jonna; June; Department of Mathematics and Science Education at Stockholm University, Maria Andrée, Department of Mathematics and Science Education at Stockholm University; Carl-Johan Rundgren, Professor in the Department of Teaching and Learning at Stockholm University; Citing Martha Nussbaum, Ernst Freund Distinguished Service Professor of Law and Ethics at the University of Chicago, "Self-examination, compassion and narrative imagination in students' critical examination in science education," Learning, Culture and Social Interaction, vol. 29] christian</w:t>
      </w:r>
    </w:p>
    <w:p w14:paraId="4F68EA16" w14:textId="77777777" w:rsidR="00BF37F0" w:rsidRPr="009D6E8B" w:rsidRDefault="00BF37F0" w:rsidP="00BF37F0">
      <w:pPr>
        <w:rPr>
          <w:rFonts w:asciiTheme="minorHAnsi" w:hAnsiTheme="minorHAnsi" w:cstheme="minorHAnsi"/>
          <w:sz w:val="16"/>
        </w:rPr>
      </w:pPr>
      <w:r w:rsidRPr="009D6E8B">
        <w:rPr>
          <w:rFonts w:asciiTheme="minorHAnsi" w:hAnsiTheme="minorHAnsi" w:cstheme="minorHAnsi"/>
          <w:sz w:val="16"/>
        </w:rPr>
        <w:t xml:space="preserve">The second </w:t>
      </w:r>
      <w:r w:rsidRPr="009D6E8B">
        <w:rPr>
          <w:rStyle w:val="StyleUnderline"/>
          <w:rFonts w:asciiTheme="minorHAnsi" w:hAnsiTheme="minorHAnsi" w:cstheme="minorHAnsi"/>
        </w:rPr>
        <w:t>ability</w:t>
      </w:r>
      <w:r w:rsidRPr="009D6E8B">
        <w:rPr>
          <w:rFonts w:asciiTheme="minorHAnsi" w:hAnsiTheme="minorHAnsi" w:cstheme="minorHAnsi"/>
          <w:sz w:val="16"/>
        </w:rPr>
        <w:t xml:space="preserve"> that </w:t>
      </w:r>
      <w:r w:rsidRPr="009D6E8B">
        <w:rPr>
          <w:rStyle w:val="StyleUnderline"/>
          <w:rFonts w:asciiTheme="minorHAnsi" w:hAnsiTheme="minorHAnsi" w:cstheme="minorHAnsi"/>
        </w:rPr>
        <w:t>Nussbaum</w:t>
      </w:r>
      <w:r w:rsidRPr="009D6E8B">
        <w:rPr>
          <w:rFonts w:asciiTheme="minorHAnsi" w:hAnsiTheme="minorHAnsi" w:cstheme="minorHAnsi"/>
          <w:sz w:val="16"/>
        </w:rPr>
        <w:t xml:space="preserve"> </w:t>
      </w:r>
      <w:r w:rsidRPr="009D6E8B">
        <w:rPr>
          <w:rStyle w:val="StyleUnderline"/>
          <w:rFonts w:asciiTheme="minorHAnsi" w:hAnsiTheme="minorHAnsi" w:cstheme="minorHAnsi"/>
        </w:rPr>
        <w:t>describes as</w:t>
      </w:r>
      <w:r w:rsidRPr="009D6E8B">
        <w:rPr>
          <w:rFonts w:asciiTheme="minorHAnsi" w:hAnsiTheme="minorHAnsi" w:cstheme="minorHAnsi"/>
          <w:sz w:val="16"/>
        </w:rPr>
        <w:t xml:space="preserve"> </w:t>
      </w:r>
      <w:r w:rsidRPr="009D6E8B">
        <w:rPr>
          <w:rStyle w:val="Emphasis"/>
          <w:rFonts w:asciiTheme="minorHAnsi" w:hAnsiTheme="minorHAnsi" w:cstheme="minorHAnsi"/>
        </w:rPr>
        <w:t>essential</w:t>
      </w:r>
      <w:r w:rsidRPr="009D6E8B">
        <w:rPr>
          <w:rFonts w:asciiTheme="minorHAnsi" w:hAnsiTheme="minorHAnsi" w:cstheme="minorHAnsi"/>
          <w:sz w:val="16"/>
        </w:rPr>
        <w:t xml:space="preserve"> for cultivating humanity </w:t>
      </w:r>
      <w:r w:rsidRPr="009D6E8B">
        <w:rPr>
          <w:rStyle w:val="StyleUnderline"/>
          <w:rFonts w:asciiTheme="minorHAnsi" w:hAnsiTheme="minorHAnsi" w:cstheme="minorHAnsi"/>
        </w:rPr>
        <w:t xml:space="preserve">encompasses </w:t>
      </w:r>
      <w:r w:rsidRPr="009D6E8B">
        <w:rPr>
          <w:rStyle w:val="StyleUnderline"/>
          <w:rFonts w:asciiTheme="minorHAnsi" w:hAnsiTheme="minorHAnsi" w:cstheme="minorHAnsi"/>
          <w:highlight w:val="cyan"/>
        </w:rPr>
        <w:t>seeing ourselves</w:t>
      </w:r>
      <w:r w:rsidRPr="009D6E8B">
        <w:rPr>
          <w:rFonts w:asciiTheme="minorHAnsi" w:hAnsiTheme="minorHAnsi" w:cstheme="minorHAnsi"/>
          <w:sz w:val="16"/>
        </w:rPr>
        <w:t xml:space="preserve"> as “</w:t>
      </w:r>
      <w:r w:rsidRPr="009D6E8B">
        <w:rPr>
          <w:rStyle w:val="StyleUnderline"/>
          <w:rFonts w:asciiTheme="minorHAnsi" w:hAnsiTheme="minorHAnsi" w:cstheme="minorHAnsi"/>
          <w:highlight w:val="cyan"/>
        </w:rPr>
        <w:t>not simply a citizen</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of</w:t>
      </w:r>
      <w:r w:rsidRPr="009D6E8B">
        <w:rPr>
          <w:rStyle w:val="StyleUnderline"/>
          <w:rFonts w:asciiTheme="minorHAnsi" w:hAnsiTheme="minorHAnsi" w:cstheme="minorHAnsi"/>
        </w:rPr>
        <w:t xml:space="preserve"> some </w:t>
      </w:r>
      <w:r w:rsidRPr="009D6E8B">
        <w:rPr>
          <w:rStyle w:val="StyleUnderline"/>
          <w:rFonts w:asciiTheme="minorHAnsi" w:hAnsiTheme="minorHAnsi" w:cstheme="minorHAnsi"/>
          <w:highlight w:val="cyan"/>
        </w:rPr>
        <w:t>local</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region</w:t>
      </w:r>
      <w:r w:rsidRPr="009D6E8B">
        <w:rPr>
          <w:rStyle w:val="StyleUnderline"/>
          <w:rFonts w:asciiTheme="minorHAnsi" w:hAnsiTheme="minorHAnsi" w:cstheme="minorHAnsi"/>
        </w:rPr>
        <w:t xml:space="preserve"> or group</w:t>
      </w:r>
      <w:r w:rsidRPr="009D6E8B">
        <w:rPr>
          <w:rFonts w:asciiTheme="minorHAnsi" w:hAnsiTheme="minorHAnsi" w:cstheme="minorHAnsi"/>
          <w:sz w:val="16"/>
        </w:rPr>
        <w:t xml:space="preserve"> but also, and above all, as human beings </w:t>
      </w:r>
      <w:r w:rsidRPr="009D6E8B">
        <w:rPr>
          <w:rStyle w:val="StyleUnderline"/>
          <w:rFonts w:asciiTheme="minorHAnsi" w:hAnsiTheme="minorHAnsi" w:cstheme="minorHAnsi"/>
        </w:rPr>
        <w:t>bound</w:t>
      </w:r>
      <w:r w:rsidRPr="009D6E8B">
        <w:rPr>
          <w:rFonts w:asciiTheme="minorHAnsi" w:hAnsiTheme="minorHAnsi" w:cstheme="minorHAnsi"/>
          <w:sz w:val="16"/>
        </w:rPr>
        <w:t xml:space="preserve"> to </w:t>
      </w:r>
      <w:r w:rsidRPr="009D6E8B">
        <w:rPr>
          <w:rStyle w:val="StyleUnderline"/>
          <w:rFonts w:asciiTheme="minorHAnsi" w:hAnsiTheme="minorHAnsi" w:cstheme="minorHAnsi"/>
        </w:rPr>
        <w:t>all other</w:t>
      </w:r>
      <w:r w:rsidRPr="009D6E8B">
        <w:rPr>
          <w:rFonts w:asciiTheme="minorHAnsi" w:hAnsiTheme="minorHAnsi" w:cstheme="minorHAnsi"/>
          <w:sz w:val="16"/>
        </w:rPr>
        <w:t xml:space="preserve"> human </w:t>
      </w:r>
      <w:r w:rsidRPr="009D6E8B">
        <w:rPr>
          <w:rStyle w:val="StyleUnderline"/>
          <w:rFonts w:asciiTheme="minorHAnsi" w:hAnsiTheme="minorHAnsi" w:cstheme="minorHAnsi"/>
        </w:rPr>
        <w:t>beings by ties of recognition and concern</w:t>
      </w:r>
      <w:r w:rsidRPr="009D6E8B">
        <w:rPr>
          <w:rFonts w:asciiTheme="minorHAnsi" w:hAnsiTheme="minorHAnsi" w:cstheme="minorHAnsi"/>
          <w:sz w:val="16"/>
        </w:rPr>
        <w:t xml:space="preserve">” (p. 10). Nussbaum proposes a meaning for world citizenship that </w:t>
      </w:r>
      <w:r w:rsidRPr="009D6E8B">
        <w:rPr>
          <w:rStyle w:val="StyleUnderline"/>
          <w:rFonts w:asciiTheme="minorHAnsi" w:hAnsiTheme="minorHAnsi" w:cstheme="minorHAnsi"/>
        </w:rPr>
        <w:t>encompasses acting</w:t>
      </w:r>
      <w:r w:rsidRPr="009D6E8B">
        <w:rPr>
          <w:rFonts w:asciiTheme="minorHAnsi" w:hAnsiTheme="minorHAnsi" w:cstheme="minorHAnsi"/>
          <w:sz w:val="16"/>
        </w:rPr>
        <w:t xml:space="preserve"> and managing one's life </w:t>
      </w:r>
      <w:r w:rsidRPr="009D6E8B">
        <w:rPr>
          <w:rStyle w:val="StyleUnderline"/>
          <w:rFonts w:asciiTheme="minorHAnsi" w:hAnsiTheme="minorHAnsi" w:cstheme="minorHAnsi"/>
        </w:rPr>
        <w:t xml:space="preserve">in ways </w:t>
      </w:r>
      <w:r w:rsidRPr="009D6E8B">
        <w:rPr>
          <w:rStyle w:val="StyleUnderline"/>
          <w:rFonts w:asciiTheme="minorHAnsi" w:hAnsiTheme="minorHAnsi" w:cstheme="minorHAnsi"/>
          <w:highlight w:val="cyan"/>
        </w:rPr>
        <w:t xml:space="preserve">sensitive to </w:t>
      </w:r>
      <w:r w:rsidRPr="009D6E8B">
        <w:rPr>
          <w:rStyle w:val="StyleUnderline"/>
          <w:rFonts w:asciiTheme="minorHAnsi" w:hAnsiTheme="minorHAnsi" w:cstheme="minorHAnsi"/>
        </w:rPr>
        <w:t xml:space="preserve">the </w:t>
      </w:r>
      <w:r w:rsidRPr="009D6E8B">
        <w:rPr>
          <w:rStyle w:val="Emphasis"/>
          <w:rFonts w:asciiTheme="minorHAnsi" w:hAnsiTheme="minorHAnsi" w:cstheme="minorHAnsi"/>
          <w:highlight w:val="cyan"/>
        </w:rPr>
        <w:t>situations</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 xml:space="preserve">and </w:t>
      </w:r>
      <w:r w:rsidRPr="009D6E8B">
        <w:rPr>
          <w:rStyle w:val="Emphasis"/>
          <w:rFonts w:asciiTheme="minorHAnsi" w:hAnsiTheme="minorHAnsi" w:cstheme="minorHAnsi"/>
          <w:highlight w:val="cyan"/>
        </w:rPr>
        <w:t>desires of fellow</w:t>
      </w:r>
      <w:r w:rsidRPr="009D6E8B">
        <w:rPr>
          <w:rStyle w:val="Emphasis"/>
          <w:rFonts w:asciiTheme="minorHAnsi" w:hAnsiTheme="minorHAnsi" w:cstheme="minorHAnsi"/>
        </w:rPr>
        <w:t xml:space="preserve"> citizen</w:t>
      </w:r>
      <w:r w:rsidRPr="009D6E8B">
        <w:rPr>
          <w:rStyle w:val="Emphasis"/>
          <w:rFonts w:asciiTheme="minorHAnsi" w:hAnsiTheme="minorHAnsi" w:cstheme="minorHAnsi"/>
          <w:highlight w:val="cyan"/>
        </w:rPr>
        <w:t>s</w:t>
      </w:r>
      <w:r w:rsidRPr="009D6E8B">
        <w:rPr>
          <w:rFonts w:asciiTheme="minorHAnsi" w:hAnsiTheme="minorHAnsi" w:cstheme="minorHAnsi"/>
          <w:sz w:val="16"/>
        </w:rPr>
        <w:t xml:space="preserve">. She points out that </w:t>
      </w:r>
      <w:r w:rsidRPr="009D6E8B">
        <w:rPr>
          <w:rStyle w:val="StyleUnderline"/>
          <w:rFonts w:asciiTheme="minorHAnsi" w:hAnsiTheme="minorHAnsi" w:cstheme="minorHAnsi"/>
        </w:rPr>
        <w:t>empathy and compassion</w:t>
      </w:r>
      <w:r w:rsidRPr="009D6E8B">
        <w:rPr>
          <w:rFonts w:asciiTheme="minorHAnsi" w:hAnsiTheme="minorHAnsi" w:cstheme="minorHAnsi"/>
          <w:sz w:val="16"/>
        </w:rPr>
        <w:t xml:space="preserve">, rather than facts or knowledge, are what </w:t>
      </w:r>
      <w:r w:rsidRPr="009D6E8B">
        <w:rPr>
          <w:rStyle w:val="StyleUnderline"/>
          <w:rFonts w:asciiTheme="minorHAnsi" w:hAnsiTheme="minorHAnsi" w:cstheme="minorHAnsi"/>
        </w:rPr>
        <w:t>genuinely bring different people together</w:t>
      </w:r>
      <w:r w:rsidRPr="009D6E8B">
        <w:rPr>
          <w:rFonts w:asciiTheme="minorHAnsi" w:hAnsiTheme="minorHAnsi" w:cstheme="minorHAnsi"/>
          <w:sz w:val="16"/>
        </w:rPr>
        <w:t xml:space="preserve">. Her emphasis on “common needs and aims” is </w:t>
      </w:r>
      <w:r w:rsidRPr="009D6E8B">
        <w:rPr>
          <w:rStyle w:val="StyleUnderline"/>
          <w:rFonts w:asciiTheme="minorHAnsi" w:hAnsiTheme="minorHAnsi" w:cstheme="minorHAnsi"/>
          <w:highlight w:val="cyan"/>
        </w:rPr>
        <w:t>tied</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to</w:t>
      </w:r>
      <w:r w:rsidRPr="009D6E8B">
        <w:rPr>
          <w:rStyle w:val="StyleUnderline"/>
          <w:rFonts w:asciiTheme="minorHAnsi" w:hAnsiTheme="minorHAnsi" w:cstheme="minorHAnsi"/>
        </w:rPr>
        <w:t xml:space="preserve"> our </w:t>
      </w:r>
      <w:r w:rsidRPr="009D6E8B">
        <w:rPr>
          <w:rStyle w:val="StyleUnderline"/>
          <w:rFonts w:asciiTheme="minorHAnsi" w:hAnsiTheme="minorHAnsi" w:cstheme="minorHAnsi"/>
          <w:highlight w:val="cyan"/>
        </w:rPr>
        <w:t xml:space="preserve">ability to accept differences in </w:t>
      </w:r>
      <w:r w:rsidRPr="009D6E8B">
        <w:rPr>
          <w:rStyle w:val="Emphasis"/>
          <w:rFonts w:asciiTheme="minorHAnsi" w:hAnsiTheme="minorHAnsi" w:cstheme="minorHAnsi"/>
          <w:highlight w:val="cyan"/>
        </w:rPr>
        <w:t>how</w:t>
      </w:r>
      <w:r w:rsidRPr="009D6E8B">
        <w:rPr>
          <w:rStyle w:val="StyleUnderline"/>
          <w:rFonts w:asciiTheme="minorHAnsi" w:hAnsiTheme="minorHAnsi" w:cstheme="minorHAnsi"/>
        </w:rPr>
        <w:t xml:space="preserve"> such </w:t>
      </w:r>
      <w:r w:rsidRPr="009D6E8B">
        <w:rPr>
          <w:rStyle w:val="Emphasis"/>
          <w:rFonts w:asciiTheme="minorHAnsi" w:hAnsiTheme="minorHAnsi" w:cstheme="minorHAnsi"/>
        </w:rPr>
        <w:t>aims</w:t>
      </w:r>
      <w:r w:rsidRPr="009D6E8B">
        <w:rPr>
          <w:rStyle w:val="StyleUnderline"/>
          <w:rFonts w:asciiTheme="minorHAnsi" w:hAnsiTheme="minorHAnsi" w:cstheme="minorHAnsi"/>
        </w:rPr>
        <w:t xml:space="preserve"> and </w:t>
      </w:r>
      <w:r w:rsidRPr="009D6E8B">
        <w:rPr>
          <w:rStyle w:val="StyleUnderline"/>
          <w:rFonts w:asciiTheme="minorHAnsi" w:hAnsiTheme="minorHAnsi" w:cstheme="minorHAnsi"/>
          <w:highlight w:val="cyan"/>
        </w:rPr>
        <w:t>needs</w:t>
      </w:r>
      <w:r w:rsidRPr="009D6E8B">
        <w:rPr>
          <w:rStyle w:val="StyleUnderline"/>
          <w:rFonts w:asciiTheme="minorHAnsi" w:hAnsiTheme="minorHAnsi" w:cstheme="minorHAnsi"/>
        </w:rPr>
        <w:t xml:space="preserve"> </w:t>
      </w:r>
      <w:r w:rsidRPr="009D6E8B">
        <w:rPr>
          <w:rStyle w:val="Emphasis"/>
          <w:rFonts w:asciiTheme="minorHAnsi" w:hAnsiTheme="minorHAnsi" w:cstheme="minorHAnsi"/>
          <w:highlight w:val="cyan"/>
        </w:rPr>
        <w:t>may</w:t>
      </w:r>
      <w:r w:rsidRPr="009D6E8B">
        <w:rPr>
          <w:rStyle w:val="Emphasis"/>
          <w:rFonts w:asciiTheme="minorHAnsi" w:hAnsiTheme="minorHAnsi" w:cstheme="minorHAnsi"/>
        </w:rPr>
        <w:t xml:space="preserve"> </w:t>
      </w:r>
      <w:r w:rsidRPr="009D6E8B">
        <w:rPr>
          <w:rStyle w:val="Emphasis"/>
          <w:rFonts w:asciiTheme="minorHAnsi" w:hAnsiTheme="minorHAnsi" w:cstheme="minorHAnsi"/>
          <w:highlight w:val="cyan"/>
        </w:rPr>
        <w:t>be</w:t>
      </w:r>
      <w:r w:rsidRPr="009D6E8B">
        <w:rPr>
          <w:rStyle w:val="StyleUnderline"/>
          <w:rFonts w:asciiTheme="minorHAnsi" w:hAnsiTheme="minorHAnsi" w:cstheme="minorHAnsi"/>
        </w:rPr>
        <w:t xml:space="preserve"> articulated and </w:t>
      </w:r>
      <w:r w:rsidRPr="009D6E8B">
        <w:rPr>
          <w:rStyle w:val="Emphasis"/>
          <w:rFonts w:asciiTheme="minorHAnsi" w:hAnsiTheme="minorHAnsi" w:cstheme="minorHAnsi"/>
          <w:highlight w:val="cyan"/>
        </w:rPr>
        <w:t>enacted</w:t>
      </w:r>
      <w:r w:rsidRPr="009D6E8B">
        <w:rPr>
          <w:rFonts w:asciiTheme="minorHAnsi" w:hAnsiTheme="minorHAnsi" w:cstheme="minorHAnsi"/>
          <w:sz w:val="16"/>
        </w:rPr>
        <w:t xml:space="preserve">, </w:t>
      </w:r>
      <w:r w:rsidRPr="009D6E8B">
        <w:rPr>
          <w:rStyle w:val="Emphasis"/>
          <w:rFonts w:asciiTheme="minorHAnsi" w:hAnsiTheme="minorHAnsi" w:cstheme="minorHAnsi"/>
          <w:highlight w:val="cyan"/>
        </w:rPr>
        <w:t>rather than</w:t>
      </w:r>
      <w:r w:rsidRPr="009D6E8B">
        <w:rPr>
          <w:rStyle w:val="StyleUnderline"/>
          <w:rFonts w:asciiTheme="minorHAnsi" w:hAnsiTheme="minorHAnsi" w:cstheme="minorHAnsi"/>
        </w:rPr>
        <w:t xml:space="preserve"> striving for </w:t>
      </w:r>
      <w:r w:rsidRPr="009D6E8B">
        <w:rPr>
          <w:rStyle w:val="StyleUnderline"/>
          <w:rFonts w:asciiTheme="minorHAnsi" w:hAnsiTheme="minorHAnsi" w:cstheme="minorHAnsi"/>
          <w:highlight w:val="cyan"/>
        </w:rPr>
        <w:t>consensus on one “right” way to live</w:t>
      </w:r>
      <w:r w:rsidRPr="009D6E8B">
        <w:rPr>
          <w:rFonts w:asciiTheme="minorHAnsi" w:hAnsiTheme="minorHAnsi" w:cstheme="minorHAnsi"/>
          <w:sz w:val="16"/>
          <w:highlight w:val="cyan"/>
        </w:rPr>
        <w:t>.</w:t>
      </w:r>
      <w:r w:rsidRPr="009D6E8B">
        <w:rPr>
          <w:rFonts w:asciiTheme="minorHAnsi" w:hAnsiTheme="minorHAnsi" w:cstheme="minorHAnsi"/>
          <w:sz w:val="16"/>
        </w:rPr>
        <w:t xml:space="preserve"> </w:t>
      </w:r>
      <w:r w:rsidRPr="009D6E8B">
        <w:rPr>
          <w:rStyle w:val="StyleUnderline"/>
          <w:rFonts w:asciiTheme="minorHAnsi" w:hAnsiTheme="minorHAnsi" w:cstheme="minorHAnsi"/>
        </w:rPr>
        <w:t xml:space="preserve">Nussbaum argues that </w:t>
      </w:r>
      <w:r w:rsidRPr="009D6E8B">
        <w:rPr>
          <w:rStyle w:val="StyleUnderline"/>
          <w:rFonts w:asciiTheme="minorHAnsi" w:hAnsiTheme="minorHAnsi" w:cstheme="minorHAnsi"/>
          <w:highlight w:val="cyan"/>
        </w:rPr>
        <w:t>compassion and empathy</w:t>
      </w:r>
      <w:r w:rsidRPr="009D6E8B">
        <w:rPr>
          <w:rStyle w:val="StyleUnderline"/>
          <w:rFonts w:asciiTheme="minorHAnsi" w:hAnsiTheme="minorHAnsi" w:cstheme="minorHAnsi"/>
        </w:rPr>
        <w:t xml:space="preserve"> may be developed </w:t>
      </w:r>
      <w:r w:rsidRPr="009D6E8B">
        <w:rPr>
          <w:rStyle w:val="StyleUnderline"/>
          <w:rFonts w:asciiTheme="minorHAnsi" w:hAnsiTheme="minorHAnsi" w:cstheme="minorHAnsi"/>
          <w:highlight w:val="cyan"/>
        </w:rPr>
        <w:t>in</w:t>
      </w:r>
      <w:r w:rsidRPr="009D6E8B">
        <w:rPr>
          <w:rStyle w:val="StyleUnderline"/>
          <w:rFonts w:asciiTheme="minorHAnsi" w:hAnsiTheme="minorHAnsi" w:cstheme="minorHAnsi"/>
        </w:rPr>
        <w:t xml:space="preserve"> an </w:t>
      </w:r>
      <w:r w:rsidRPr="009D6E8B">
        <w:rPr>
          <w:rStyle w:val="Emphasis"/>
          <w:rFonts w:asciiTheme="minorHAnsi" w:hAnsiTheme="minorHAnsi" w:cstheme="minorHAnsi"/>
          <w:highlight w:val="cyan"/>
        </w:rPr>
        <w:t>education</w:t>
      </w:r>
      <w:r w:rsidRPr="009D6E8B">
        <w:rPr>
          <w:rFonts w:asciiTheme="minorHAnsi" w:hAnsiTheme="minorHAnsi" w:cstheme="minorHAnsi"/>
          <w:sz w:val="16"/>
        </w:rPr>
        <w:t xml:space="preserve"> that </w:t>
      </w:r>
      <w:r w:rsidRPr="009D6E8B">
        <w:rPr>
          <w:rStyle w:val="StyleUnderline"/>
          <w:rFonts w:asciiTheme="minorHAnsi" w:hAnsiTheme="minorHAnsi" w:cstheme="minorHAnsi"/>
          <w:highlight w:val="cyan"/>
        </w:rPr>
        <w:t>focus</w:t>
      </w:r>
      <w:r w:rsidRPr="009D6E8B">
        <w:rPr>
          <w:rStyle w:val="StyleUnderline"/>
          <w:rFonts w:asciiTheme="minorHAnsi" w:hAnsiTheme="minorHAnsi" w:cstheme="minorHAnsi"/>
        </w:rPr>
        <w:t xml:space="preserve">es </w:t>
      </w:r>
      <w:r w:rsidRPr="009D6E8B">
        <w:rPr>
          <w:rStyle w:val="StyleUnderline"/>
          <w:rFonts w:asciiTheme="minorHAnsi" w:hAnsiTheme="minorHAnsi" w:cstheme="minorHAnsi"/>
          <w:highlight w:val="cyan"/>
        </w:rPr>
        <w:t>on</w:t>
      </w:r>
      <w:r w:rsidRPr="009D6E8B">
        <w:rPr>
          <w:rStyle w:val="StyleUnderline"/>
          <w:rFonts w:asciiTheme="minorHAnsi" w:hAnsiTheme="minorHAnsi" w:cstheme="minorHAnsi"/>
        </w:rPr>
        <w:t xml:space="preserve"> </w:t>
      </w:r>
      <w:r w:rsidRPr="009D6E8B">
        <w:rPr>
          <w:rStyle w:val="Emphasis"/>
          <w:rFonts w:asciiTheme="minorHAnsi" w:hAnsiTheme="minorHAnsi" w:cstheme="minorHAnsi"/>
          <w:highlight w:val="cyan"/>
        </w:rPr>
        <w:t>pluralism</w:t>
      </w:r>
      <w:r w:rsidRPr="009D6E8B">
        <w:rPr>
          <w:rFonts w:asciiTheme="minorHAnsi" w:hAnsiTheme="minorHAnsi" w:cstheme="minorHAnsi"/>
          <w:sz w:val="16"/>
        </w:rPr>
        <w:t xml:space="preserve"> in the sense that it </w:t>
      </w:r>
      <w:r w:rsidRPr="009D6E8B">
        <w:rPr>
          <w:rStyle w:val="StyleUnderline"/>
          <w:rFonts w:asciiTheme="minorHAnsi" w:hAnsiTheme="minorHAnsi" w:cstheme="minorHAnsi"/>
        </w:rPr>
        <w:t xml:space="preserve">allows students to </w:t>
      </w:r>
      <w:r w:rsidRPr="009D6E8B">
        <w:rPr>
          <w:rStyle w:val="StyleUnderline"/>
          <w:rFonts w:asciiTheme="minorHAnsi" w:hAnsiTheme="minorHAnsi" w:cstheme="minorHAnsi"/>
          <w:highlight w:val="cyan"/>
        </w:rPr>
        <w:t xml:space="preserve">discern </w:t>
      </w:r>
      <w:r w:rsidRPr="009D6E8B">
        <w:rPr>
          <w:rStyle w:val="Emphasis"/>
          <w:rFonts w:asciiTheme="minorHAnsi" w:hAnsiTheme="minorHAnsi" w:cstheme="minorHAnsi"/>
          <w:highlight w:val="cyan"/>
        </w:rPr>
        <w:t>alternative ways</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of</w:t>
      </w:r>
      <w:r w:rsidRPr="009D6E8B">
        <w:rPr>
          <w:rStyle w:val="StyleUnderline"/>
          <w:rFonts w:asciiTheme="minorHAnsi" w:hAnsiTheme="minorHAnsi" w:cstheme="minorHAnsi"/>
        </w:rPr>
        <w:t xml:space="preserve"> being and </w:t>
      </w:r>
      <w:r w:rsidRPr="009D6E8B">
        <w:rPr>
          <w:rStyle w:val="Emphasis"/>
          <w:rFonts w:asciiTheme="minorHAnsi" w:hAnsiTheme="minorHAnsi" w:cstheme="minorHAnsi"/>
          <w:highlight w:val="cyan"/>
        </w:rPr>
        <w:t>doing in the world</w:t>
      </w:r>
      <w:r w:rsidRPr="009D6E8B">
        <w:rPr>
          <w:rFonts w:asciiTheme="minorHAnsi" w:hAnsiTheme="minorHAnsi" w:cstheme="minorHAnsi"/>
          <w:sz w:val="16"/>
          <w:highlight w:val="cyan"/>
        </w:rPr>
        <w:t>.</w:t>
      </w:r>
      <w:r w:rsidRPr="009D6E8B">
        <w:rPr>
          <w:rFonts w:asciiTheme="minorHAnsi" w:hAnsiTheme="minorHAnsi" w:cstheme="minorHAnsi"/>
          <w:sz w:val="16"/>
        </w:rPr>
        <w:t xml:space="preserve"> One possibility is to </w:t>
      </w:r>
      <w:r w:rsidRPr="009D6E8B">
        <w:rPr>
          <w:rStyle w:val="StyleUnderline"/>
          <w:rFonts w:asciiTheme="minorHAnsi" w:hAnsiTheme="minorHAnsi" w:cstheme="minorHAnsi"/>
        </w:rPr>
        <w:t>raise students' awareness of cultural difference</w:t>
      </w:r>
      <w:r w:rsidRPr="009D6E8B">
        <w:rPr>
          <w:rFonts w:asciiTheme="minorHAnsi" w:hAnsiTheme="minorHAnsi" w:cstheme="minorHAnsi"/>
          <w:sz w:val="16"/>
        </w:rPr>
        <w:t xml:space="preserve">, which “is </w:t>
      </w:r>
      <w:r w:rsidRPr="009D6E8B">
        <w:rPr>
          <w:rStyle w:val="StyleUnderline"/>
          <w:rFonts w:asciiTheme="minorHAnsi" w:hAnsiTheme="minorHAnsi" w:cstheme="minorHAnsi"/>
        </w:rPr>
        <w:t>essential in order to promote the respect for another</w:t>
      </w:r>
      <w:r w:rsidRPr="009D6E8B">
        <w:rPr>
          <w:rFonts w:asciiTheme="minorHAnsi" w:hAnsiTheme="minorHAnsi" w:cstheme="minorHAnsi"/>
          <w:sz w:val="16"/>
        </w:rPr>
        <w:t xml:space="preserve"> that is the essential underpinning for dialogue” (p. 68). Any living condition is in itself diverse and encompasses resistance, criticism and controversy.</w:t>
      </w:r>
    </w:p>
    <w:p w14:paraId="22B1FCA3" w14:textId="77777777" w:rsidR="00BF37F0" w:rsidRPr="009D6E8B" w:rsidRDefault="00BF37F0" w:rsidP="00BF37F0">
      <w:pPr>
        <w:pStyle w:val="Heading4"/>
        <w:rPr>
          <w:rFonts w:asciiTheme="minorHAnsi" w:hAnsiTheme="minorHAnsi" w:cstheme="minorHAnsi"/>
        </w:rPr>
      </w:pPr>
      <w:r w:rsidRPr="009D6E8B">
        <w:rPr>
          <w:rFonts w:asciiTheme="minorHAnsi" w:hAnsiTheme="minorHAnsi" w:cstheme="minorHAnsi"/>
        </w:rPr>
        <w:t>The impact is a right wing takeover</w:t>
      </w:r>
    </w:p>
    <w:p w14:paraId="2135C040" w14:textId="77777777" w:rsidR="00BF37F0" w:rsidRPr="009D6E8B" w:rsidRDefault="00BF37F0" w:rsidP="00BF37F0">
      <w:pPr>
        <w:rPr>
          <w:rFonts w:asciiTheme="minorHAnsi" w:hAnsiTheme="minorHAnsi" w:cstheme="minorHAnsi"/>
        </w:rPr>
      </w:pPr>
      <w:r w:rsidRPr="009D6E8B">
        <w:rPr>
          <w:rStyle w:val="Style13ptBold"/>
          <w:rFonts w:asciiTheme="minorHAnsi" w:hAnsiTheme="minorHAnsi" w:cstheme="minorHAnsi"/>
        </w:rPr>
        <w:t xml:space="preserve">Reed ‘1 </w:t>
      </w:r>
      <w:r w:rsidRPr="009D6E8B">
        <w:rPr>
          <w:rFonts w:asciiTheme="minorHAnsi" w:hAnsiTheme="minorHAnsi" w:cstheme="minorHAnsi"/>
        </w:rPr>
        <w:t>[Adolph; professor of political science at the New School for Social Research, a member of the Interim National Council of the Labor Party, and serves on the board of Public Citizen, Inc, “A GI Bill For Everybody .” Dissent, vol. 48, no. 4] *edits for ableist language denoted by [brackets]</w:t>
      </w:r>
    </w:p>
    <w:p w14:paraId="261D1238" w14:textId="77777777" w:rsidR="00BF37F0" w:rsidRPr="00175704" w:rsidRDefault="00BF37F0" w:rsidP="00BF37F0">
      <w:pPr>
        <w:rPr>
          <w:rFonts w:asciiTheme="minorHAnsi" w:hAnsiTheme="minorHAnsi" w:cstheme="minorHAnsi"/>
          <w:sz w:val="14"/>
        </w:rPr>
      </w:pPr>
      <w:r w:rsidRPr="009D6E8B">
        <w:rPr>
          <w:rFonts w:asciiTheme="minorHAnsi" w:hAnsiTheme="minorHAnsi" w:cstheme="minorHAnsi"/>
          <w:sz w:val="14"/>
        </w:rPr>
        <w:t xml:space="preserve">One of the most regrettable and self-defeating developments within progressive policy circles during the last two decades has been an atrophy of practical, programmatic vision [goals]. This is especially true with respect to those policy areas that lie in the domain of social wage provision-for example, health care, education, affordable housing, income support, old-age security, civil rights, and labor rights. This has been one of Reaganism's subtler, but more far-reaching victories. By seizing the political initiative and setting the terms of public debate, the right has so demoralized us and put us so completely on the defensive politically that we often seem capable of struggling only to minimize losses or, at best, to press for minimally incremental, often concessionary reforms. The result is that we have been unable effectively to counter the right wing's fundamental proposition that government has little or no responsibility for securing the general welfare and providing access to opportunities for the enhancement of the lives of the general population. We seem to have lost the ability or the will to articulate policies for making the society as just and democratic as it should be; instead, we have become increasingly focused on trying to secure what we think might actually be attainable within a policy universe dominated by the right's denial of the efficacy of public action. This failure of progressive policy vision is understandable. Activist and advocacy groups that have faced the brunt of the endlessly escalating right-wing assault are necessarily forced into a defensive mode as their often already precariously situated constituencies have been its prime targets. </w:t>
      </w:r>
      <w:r w:rsidRPr="009D6E8B">
        <w:rPr>
          <w:rStyle w:val="StyleUnderline"/>
          <w:rFonts w:asciiTheme="minorHAnsi" w:hAnsiTheme="minorHAnsi" w:cstheme="minorHAnsi"/>
        </w:rPr>
        <w:t xml:space="preserve">However, </w:t>
      </w:r>
      <w:r w:rsidRPr="009D6E8B">
        <w:rPr>
          <w:rStyle w:val="StyleUnderline"/>
          <w:rFonts w:asciiTheme="minorHAnsi" w:hAnsiTheme="minorHAnsi" w:cstheme="minorHAnsi"/>
          <w:highlight w:val="cyan"/>
        </w:rPr>
        <w:t>the only way to turn</w:t>
      </w:r>
      <w:r w:rsidRPr="009D6E8B">
        <w:rPr>
          <w:rStyle w:val="StyleUnderline"/>
          <w:rFonts w:asciiTheme="minorHAnsi" w:hAnsiTheme="minorHAnsi" w:cstheme="minorHAnsi"/>
        </w:rPr>
        <w:t xml:space="preserve"> the tide of </w:t>
      </w:r>
      <w:r w:rsidRPr="009D6E8B">
        <w:rPr>
          <w:rStyle w:val="StyleUnderline"/>
          <w:rFonts w:asciiTheme="minorHAnsi" w:hAnsiTheme="minorHAnsi" w:cstheme="minorHAnsi"/>
          <w:highlight w:val="cyan"/>
        </w:rPr>
        <w:t xml:space="preserve">the right's </w:t>
      </w:r>
      <w:r w:rsidRPr="009D6E8B">
        <w:rPr>
          <w:rStyle w:val="Emphasis"/>
          <w:rFonts w:asciiTheme="minorHAnsi" w:hAnsiTheme="minorHAnsi" w:cstheme="minorHAnsi"/>
          <w:highlight w:val="cyan"/>
        </w:rPr>
        <w:t>war against</w:t>
      </w:r>
      <w:r w:rsidRPr="009D6E8B">
        <w:rPr>
          <w:rStyle w:val="Emphasis"/>
          <w:rFonts w:asciiTheme="minorHAnsi" w:hAnsiTheme="minorHAnsi" w:cstheme="minorHAnsi"/>
        </w:rPr>
        <w:t xml:space="preserve"> </w:t>
      </w:r>
      <w:r w:rsidRPr="009D6E8B">
        <w:rPr>
          <w:rStyle w:val="StyleUnderline"/>
          <w:rFonts w:asciiTheme="minorHAnsi" w:hAnsiTheme="minorHAnsi" w:cstheme="minorHAnsi"/>
        </w:rPr>
        <w:t xml:space="preserve">the </w:t>
      </w:r>
      <w:r w:rsidRPr="009D6E8B">
        <w:rPr>
          <w:rStyle w:val="Emphasis"/>
          <w:rFonts w:asciiTheme="minorHAnsi" w:hAnsiTheme="minorHAnsi" w:cstheme="minorHAnsi"/>
          <w:highlight w:val="cyan"/>
        </w:rPr>
        <w:t>social gains</w:t>
      </w:r>
      <w:r w:rsidRPr="009D6E8B">
        <w:rPr>
          <w:rStyle w:val="StyleUnderline"/>
          <w:rFonts w:asciiTheme="minorHAnsi" w:hAnsiTheme="minorHAnsi" w:cstheme="minorHAnsi"/>
        </w:rPr>
        <w:t xml:space="preserve"> won in the middle half of the twentieth century </w:t>
      </w:r>
      <w:r w:rsidRPr="009D6E8B">
        <w:rPr>
          <w:rStyle w:val="StyleUnderline"/>
          <w:rFonts w:asciiTheme="minorHAnsi" w:hAnsiTheme="minorHAnsi" w:cstheme="minorHAnsi"/>
          <w:highlight w:val="cyan"/>
        </w:rPr>
        <w:t xml:space="preserve">is to </w:t>
      </w:r>
      <w:r w:rsidRPr="009D6E8B">
        <w:rPr>
          <w:rStyle w:val="StyleUnderline"/>
          <w:rFonts w:asciiTheme="minorHAnsi" w:hAnsiTheme="minorHAnsi" w:cstheme="minorHAnsi"/>
        </w:rPr>
        <w:t xml:space="preserve">present clearly-and </w:t>
      </w:r>
      <w:r w:rsidRPr="009D6E8B">
        <w:rPr>
          <w:rStyle w:val="StyleUnderline"/>
          <w:rFonts w:asciiTheme="minorHAnsi" w:hAnsiTheme="minorHAnsi" w:cstheme="minorHAnsi"/>
          <w:highlight w:val="cyan"/>
        </w:rPr>
        <w:t xml:space="preserve">generate </w:t>
      </w:r>
      <w:r w:rsidRPr="009D6E8B">
        <w:rPr>
          <w:rStyle w:val="Emphasis"/>
          <w:rFonts w:asciiTheme="minorHAnsi" w:hAnsiTheme="minorHAnsi" w:cstheme="minorHAnsi"/>
          <w:highlight w:val="cyan"/>
        </w:rPr>
        <w:t>public discussion</w:t>
      </w:r>
      <w:r w:rsidRPr="009D6E8B">
        <w:rPr>
          <w:rStyle w:val="StyleUnderline"/>
          <w:rFonts w:asciiTheme="minorHAnsi" w:hAnsiTheme="minorHAnsi" w:cstheme="minorHAnsi"/>
          <w:highlight w:val="cyan"/>
        </w:rPr>
        <w:t xml:space="preserve"> around-an </w:t>
      </w:r>
      <w:r w:rsidRPr="009D6E8B">
        <w:rPr>
          <w:rStyle w:val="Emphasis"/>
          <w:rFonts w:asciiTheme="minorHAnsi" w:hAnsiTheme="minorHAnsi" w:cstheme="minorHAnsi"/>
          <w:highlight w:val="cyan"/>
        </w:rPr>
        <w:t>affirmative policy</w:t>
      </w:r>
      <w:r w:rsidRPr="009D6E8B">
        <w:rPr>
          <w:rStyle w:val="StyleUnderline"/>
          <w:rFonts w:asciiTheme="minorHAnsi" w:hAnsiTheme="minorHAnsi" w:cstheme="minorHAnsi"/>
        </w:rPr>
        <w:t xml:space="preserve"> agenda </w:t>
      </w:r>
      <w:r w:rsidRPr="009D6E8B">
        <w:rPr>
          <w:rStyle w:val="StyleUnderline"/>
          <w:rFonts w:asciiTheme="minorHAnsi" w:hAnsiTheme="minorHAnsi" w:cstheme="minorHAnsi"/>
          <w:highlight w:val="cyan"/>
        </w:rPr>
        <w:t>that addresses</w:t>
      </w:r>
      <w:r w:rsidRPr="009D6E8B">
        <w:rPr>
          <w:rStyle w:val="StyleUnderline"/>
          <w:rFonts w:asciiTheme="minorHAnsi" w:hAnsiTheme="minorHAnsi" w:cstheme="minorHAnsi"/>
        </w:rPr>
        <w:t xml:space="preserve"> people's most basic concerns and is a practical expression of a different view of </w:t>
      </w:r>
      <w:r w:rsidRPr="009D6E8B">
        <w:rPr>
          <w:rStyle w:val="Emphasis"/>
          <w:rFonts w:asciiTheme="minorHAnsi" w:hAnsiTheme="minorHAnsi" w:cstheme="minorHAnsi"/>
          <w:highlight w:val="cyan"/>
        </w:rPr>
        <w:t>public responsibility</w:t>
      </w:r>
      <w:r w:rsidRPr="009D6E8B">
        <w:rPr>
          <w:rStyle w:val="StyleUnderline"/>
          <w:rFonts w:asciiTheme="minorHAnsi" w:hAnsiTheme="minorHAnsi" w:cstheme="minorHAnsi"/>
          <w:highlight w:val="cyan"/>
        </w:rPr>
        <w:t xml:space="preserve"> and </w:t>
      </w:r>
      <w:r w:rsidRPr="009D6E8B">
        <w:rPr>
          <w:rStyle w:val="Emphasis"/>
          <w:rFonts w:asciiTheme="minorHAnsi" w:hAnsiTheme="minorHAnsi" w:cstheme="minorHAnsi"/>
          <w:highlight w:val="cyan"/>
        </w:rPr>
        <w:t>governmental capacity</w:t>
      </w:r>
      <w:r w:rsidRPr="009D6E8B">
        <w:rPr>
          <w:rFonts w:asciiTheme="minorHAnsi" w:hAnsiTheme="minorHAnsi" w:cstheme="minorHAnsi"/>
          <w:sz w:val="14"/>
          <w:highlight w:val="cyan"/>
        </w:rPr>
        <w:t xml:space="preserve">. </w:t>
      </w:r>
      <w:r w:rsidRPr="009D6E8B">
        <w:rPr>
          <w:rStyle w:val="StyleUnderline"/>
          <w:rFonts w:asciiTheme="minorHAnsi" w:hAnsiTheme="minorHAnsi" w:cstheme="minorHAnsi"/>
          <w:highlight w:val="cyan"/>
        </w:rPr>
        <w:t xml:space="preserve">We need to </w:t>
      </w:r>
      <w:r w:rsidRPr="009D6E8B">
        <w:rPr>
          <w:rStyle w:val="Emphasis"/>
          <w:rFonts w:asciiTheme="minorHAnsi" w:hAnsiTheme="minorHAnsi" w:cstheme="minorHAnsi"/>
          <w:highlight w:val="cyan"/>
        </w:rPr>
        <w:t>shift the terms of public debate</w:t>
      </w:r>
      <w:r w:rsidRPr="009D6E8B">
        <w:rPr>
          <w:rFonts w:asciiTheme="minorHAnsi" w:hAnsiTheme="minorHAnsi" w:cstheme="minorHAnsi"/>
          <w:sz w:val="14"/>
        </w:rPr>
        <w:t xml:space="preserve">, to break the stranglehold of Margaret Thatcher's right-wing mantra that the late Daniel Singer summed up pithily as TINA-There Is No Alternative-to the unrestrained action of market forces. </w:t>
      </w:r>
      <w:r w:rsidRPr="009D6E8B">
        <w:rPr>
          <w:rStyle w:val="StyleUnderline"/>
          <w:rFonts w:asciiTheme="minorHAnsi" w:hAnsiTheme="minorHAnsi" w:cstheme="minorHAnsi"/>
          <w:highlight w:val="cyan"/>
        </w:rPr>
        <w:t>This</w:t>
      </w:r>
      <w:r w:rsidRPr="009D6E8B">
        <w:rPr>
          <w:rStyle w:val="StyleUnderline"/>
          <w:rFonts w:asciiTheme="minorHAnsi" w:hAnsiTheme="minorHAnsi" w:cstheme="minorHAnsi"/>
        </w:rPr>
        <w:t xml:space="preserve"> task </w:t>
      </w:r>
      <w:r w:rsidRPr="009D6E8B">
        <w:rPr>
          <w:rStyle w:val="StyleUnderline"/>
          <w:rFonts w:asciiTheme="minorHAnsi" w:hAnsiTheme="minorHAnsi" w:cstheme="minorHAnsi"/>
          <w:highlight w:val="cyan"/>
        </w:rPr>
        <w:t xml:space="preserve">does not </w:t>
      </w:r>
      <w:r w:rsidRPr="009D6E8B">
        <w:rPr>
          <w:rStyle w:val="Emphasis"/>
          <w:rFonts w:asciiTheme="minorHAnsi" w:hAnsiTheme="minorHAnsi" w:cstheme="minorHAnsi"/>
        </w:rPr>
        <w:t>contradict</w:t>
      </w:r>
      <w:r w:rsidRPr="009D6E8B">
        <w:rPr>
          <w:rStyle w:val="StyleUnderline"/>
          <w:rFonts w:asciiTheme="minorHAnsi" w:hAnsiTheme="minorHAnsi" w:cstheme="minorHAnsi"/>
        </w:rPr>
        <w:t xml:space="preserve"> or </w:t>
      </w:r>
      <w:r w:rsidRPr="009D6E8B">
        <w:rPr>
          <w:rStyle w:val="Emphasis"/>
          <w:rFonts w:asciiTheme="minorHAnsi" w:hAnsiTheme="minorHAnsi" w:cstheme="minorHAnsi"/>
          <w:highlight w:val="cyan"/>
        </w:rPr>
        <w:t>override</w:t>
      </w:r>
      <w:r w:rsidRPr="009D6E8B">
        <w:rPr>
          <w:rStyle w:val="StyleUnderline"/>
          <w:rFonts w:asciiTheme="minorHAnsi" w:hAnsiTheme="minorHAnsi" w:cstheme="minorHAnsi"/>
        </w:rPr>
        <w:t xml:space="preserve"> the more </w:t>
      </w:r>
      <w:r w:rsidRPr="009D6E8B">
        <w:rPr>
          <w:rStyle w:val="Emphasis"/>
          <w:rFonts w:asciiTheme="minorHAnsi" w:hAnsiTheme="minorHAnsi" w:cstheme="minorHAnsi"/>
        </w:rPr>
        <w:t>immediate struggles</w:t>
      </w:r>
      <w:r w:rsidRPr="009D6E8B">
        <w:rPr>
          <w:rStyle w:val="StyleUnderline"/>
          <w:rFonts w:asciiTheme="minorHAnsi" w:hAnsiTheme="minorHAnsi" w:cstheme="minorHAnsi"/>
        </w:rPr>
        <w:t xml:space="preserve"> to preserve past gains that have been under concerted attack, such as </w:t>
      </w:r>
      <w:r w:rsidRPr="009D6E8B">
        <w:rPr>
          <w:rStyle w:val="StyleUnderline"/>
          <w:rFonts w:asciiTheme="minorHAnsi" w:hAnsiTheme="minorHAnsi" w:cstheme="minorHAnsi"/>
          <w:highlight w:val="cyan"/>
        </w:rPr>
        <w:t xml:space="preserve">commitments to </w:t>
      </w:r>
      <w:r w:rsidRPr="009D6E8B">
        <w:rPr>
          <w:rStyle w:val="Emphasis"/>
          <w:rFonts w:asciiTheme="minorHAnsi" w:hAnsiTheme="minorHAnsi" w:cstheme="minorHAnsi"/>
          <w:highlight w:val="cyan"/>
        </w:rPr>
        <w:t>racial</w:t>
      </w:r>
      <w:r w:rsidRPr="009D6E8B">
        <w:rPr>
          <w:rStyle w:val="StyleUnderline"/>
          <w:rFonts w:asciiTheme="minorHAnsi" w:hAnsiTheme="minorHAnsi" w:cstheme="minorHAnsi"/>
        </w:rPr>
        <w:t xml:space="preserve"> and </w:t>
      </w:r>
      <w:r w:rsidRPr="009D6E8B">
        <w:rPr>
          <w:rStyle w:val="Emphasis"/>
          <w:rFonts w:asciiTheme="minorHAnsi" w:hAnsiTheme="minorHAnsi" w:cstheme="minorHAnsi"/>
        </w:rPr>
        <w:t>gender</w:t>
      </w:r>
      <w:r w:rsidRPr="009D6E8B">
        <w:rPr>
          <w:rStyle w:val="StyleUnderline"/>
          <w:rFonts w:asciiTheme="minorHAnsi" w:hAnsiTheme="minorHAnsi" w:cstheme="minorHAnsi"/>
        </w:rPr>
        <w:t xml:space="preserve"> </w:t>
      </w:r>
      <w:r w:rsidRPr="009D6E8B">
        <w:rPr>
          <w:rStyle w:val="StyleUnderline"/>
          <w:rFonts w:asciiTheme="minorHAnsi" w:hAnsiTheme="minorHAnsi" w:cstheme="minorHAnsi"/>
          <w:highlight w:val="cyan"/>
        </w:rPr>
        <w:t>justice</w:t>
      </w:r>
      <w:r w:rsidRPr="009D6E8B">
        <w:rPr>
          <w:rStyle w:val="StyleUnderline"/>
          <w:rFonts w:asciiTheme="minorHAnsi" w:hAnsiTheme="minorHAnsi" w:cstheme="minorHAnsi"/>
        </w:rPr>
        <w:t xml:space="preserve">, social security for the elderly, and </w:t>
      </w:r>
      <w:r w:rsidRPr="009D6E8B">
        <w:rPr>
          <w:rStyle w:val="Emphasis"/>
          <w:rFonts w:asciiTheme="minorHAnsi" w:hAnsiTheme="minorHAnsi" w:cstheme="minorHAnsi"/>
        </w:rPr>
        <w:t>governmental</w:t>
      </w:r>
      <w:r w:rsidRPr="009D6E8B">
        <w:rPr>
          <w:rStyle w:val="StyleUnderline"/>
          <w:rFonts w:asciiTheme="minorHAnsi" w:hAnsiTheme="minorHAnsi" w:cstheme="minorHAnsi"/>
        </w:rPr>
        <w:t xml:space="preserve"> provision of quality public </w:t>
      </w:r>
      <w:r w:rsidRPr="009D6E8B">
        <w:rPr>
          <w:rStyle w:val="Emphasis"/>
          <w:rFonts w:asciiTheme="minorHAnsi" w:hAnsiTheme="minorHAnsi" w:cstheme="minorHAnsi"/>
        </w:rPr>
        <w:t>services</w:t>
      </w:r>
      <w:r w:rsidRPr="009D6E8B">
        <w:rPr>
          <w:rStyle w:val="StyleUnderline"/>
          <w:rFonts w:asciiTheme="minorHAnsi" w:hAnsiTheme="minorHAnsi" w:cstheme="minorHAnsi"/>
        </w:rPr>
        <w:t>.</w:t>
      </w:r>
      <w:r w:rsidRPr="009D6E8B">
        <w:rPr>
          <w:rFonts w:asciiTheme="minorHAnsi" w:hAnsiTheme="minorHAnsi" w:cstheme="minorHAnsi"/>
          <w:sz w:val="14"/>
        </w:rPr>
        <w:t xml:space="preserve"> Indeed, </w:t>
      </w:r>
      <w:r w:rsidRPr="009D6E8B">
        <w:rPr>
          <w:rStyle w:val="StyleUnderline"/>
          <w:rFonts w:asciiTheme="minorHAnsi" w:hAnsiTheme="minorHAnsi" w:cstheme="minorHAnsi"/>
          <w:highlight w:val="cyan"/>
        </w:rPr>
        <w:t xml:space="preserve">it is a </w:t>
      </w:r>
      <w:r w:rsidRPr="009D6E8B">
        <w:rPr>
          <w:rStyle w:val="Emphasis"/>
          <w:rFonts w:asciiTheme="minorHAnsi" w:hAnsiTheme="minorHAnsi" w:cstheme="minorHAnsi"/>
          <w:highlight w:val="cyan"/>
        </w:rPr>
        <w:t>necessary complement</w:t>
      </w:r>
      <w:r w:rsidRPr="009D6E8B">
        <w:rPr>
          <w:rStyle w:val="StyleUnderline"/>
          <w:rFonts w:asciiTheme="minorHAnsi" w:hAnsiTheme="minorHAnsi" w:cstheme="minorHAnsi"/>
        </w:rPr>
        <w:t xml:space="preserve"> to them</w:t>
      </w:r>
      <w:r w:rsidRPr="009D6E8B">
        <w:rPr>
          <w:rFonts w:asciiTheme="minorHAnsi" w:hAnsiTheme="minorHAnsi" w:cstheme="minorHAnsi"/>
          <w:sz w:val="14"/>
        </w:rPr>
        <w:t xml:space="preserve">. The only way to preserve those gains is to challenge the arguments used in attacking them. </w:t>
      </w:r>
      <w:r w:rsidRPr="009D6E8B">
        <w:rPr>
          <w:rStyle w:val="StyleUnderline"/>
          <w:rFonts w:asciiTheme="minorHAnsi" w:hAnsiTheme="minorHAnsi" w:cstheme="minorHAnsi"/>
        </w:rPr>
        <w:t xml:space="preserve">We need a clear voice that seeks to shift the terms of public debate by reasserting the principles of </w:t>
      </w:r>
      <w:r w:rsidRPr="009D6E8B">
        <w:rPr>
          <w:rStyle w:val="Emphasis"/>
          <w:rFonts w:asciiTheme="minorHAnsi" w:hAnsiTheme="minorHAnsi" w:cstheme="minorHAnsi"/>
        </w:rPr>
        <w:t>social solidarity</w:t>
      </w:r>
      <w:r w:rsidRPr="009D6E8B">
        <w:rPr>
          <w:rStyle w:val="StyleUnderline"/>
          <w:rFonts w:asciiTheme="minorHAnsi" w:hAnsiTheme="minorHAnsi" w:cstheme="minorHAnsi"/>
        </w:rPr>
        <w:t xml:space="preserve"> and </w:t>
      </w:r>
      <w:r w:rsidRPr="009D6E8B">
        <w:rPr>
          <w:rStyle w:val="Emphasis"/>
          <w:rFonts w:asciiTheme="minorHAnsi" w:hAnsiTheme="minorHAnsi" w:cstheme="minorHAnsi"/>
        </w:rPr>
        <w:t>public responsibility</w:t>
      </w:r>
      <w:r w:rsidRPr="009D6E8B">
        <w:rPr>
          <w:rStyle w:val="StyleUnderline"/>
          <w:rFonts w:asciiTheme="minorHAnsi" w:hAnsiTheme="minorHAnsi" w:cstheme="minorHAnsi"/>
        </w:rPr>
        <w:t xml:space="preserve"> that have </w:t>
      </w:r>
      <w:r w:rsidRPr="009D6E8B">
        <w:rPr>
          <w:rStyle w:val="StyleUnderline"/>
          <w:rFonts w:asciiTheme="minorHAnsi" w:hAnsiTheme="minorHAnsi" w:cstheme="minorHAnsi"/>
        </w:rPr>
        <w:lastRenderedPageBreak/>
        <w:t>become increasingly marginalized during the past two decades.</w:t>
      </w:r>
      <w:r w:rsidRPr="009D6E8B">
        <w:rPr>
          <w:rFonts w:asciiTheme="minorHAnsi" w:hAnsiTheme="minorHAnsi" w:cstheme="minorHAnsi"/>
          <w:sz w:val="14"/>
        </w:rPr>
        <w:t xml:space="preserve"> </w:t>
      </w:r>
      <w:r w:rsidRPr="009D6E8B">
        <w:rPr>
          <w:rStyle w:val="StyleUnderline"/>
          <w:rFonts w:asciiTheme="minorHAnsi" w:hAnsiTheme="minorHAnsi" w:cstheme="minorHAnsi"/>
        </w:rPr>
        <w:t xml:space="preserve">This means focusing on objectives that speak to people's </w:t>
      </w:r>
      <w:r w:rsidRPr="009D6E8B">
        <w:rPr>
          <w:rStyle w:val="Emphasis"/>
          <w:rFonts w:asciiTheme="minorHAnsi" w:hAnsiTheme="minorHAnsi" w:cstheme="minorHAnsi"/>
        </w:rPr>
        <w:t>immediate</w:t>
      </w:r>
      <w:r w:rsidRPr="009D6E8B">
        <w:rPr>
          <w:rStyle w:val="StyleUnderline"/>
          <w:rFonts w:asciiTheme="minorHAnsi" w:hAnsiTheme="minorHAnsi" w:cstheme="minorHAnsi"/>
        </w:rPr>
        <w:t xml:space="preserve">, everyday concerns-even if these lie </w:t>
      </w:r>
      <w:r w:rsidRPr="009D6E8B">
        <w:rPr>
          <w:rStyle w:val="Emphasis"/>
          <w:rFonts w:asciiTheme="minorHAnsi" w:hAnsiTheme="minorHAnsi" w:cstheme="minorHAnsi"/>
        </w:rPr>
        <w:t>beyond today's political horizon</w:t>
      </w:r>
      <w:r w:rsidRPr="009D6E8B">
        <w:rPr>
          <w:rStyle w:val="StyleUnderline"/>
          <w:rFonts w:asciiTheme="minorHAnsi" w:hAnsiTheme="minorHAnsi" w:cstheme="minorHAnsi"/>
        </w:rPr>
        <w:t xml:space="preserve"> and cannot reasonably be expected to bear fruit within less than several election cycles</w:t>
      </w:r>
      <w:r w:rsidRPr="009D6E8B">
        <w:rPr>
          <w:rFonts w:asciiTheme="minorHAnsi" w:hAnsiTheme="minorHAnsi" w:cstheme="minorHAnsi"/>
          <w:sz w:val="14"/>
        </w:rPr>
        <w:t xml:space="preserve">. </w:t>
      </w:r>
      <w:r w:rsidRPr="009D6E8B">
        <w:rPr>
          <w:rStyle w:val="StyleUnderline"/>
          <w:rFonts w:asciiTheme="minorHAnsi" w:hAnsiTheme="minorHAnsi" w:cstheme="minorHAnsi"/>
        </w:rPr>
        <w:t>Objectives such as</w:t>
      </w:r>
      <w:r w:rsidRPr="009D6E8B">
        <w:rPr>
          <w:rFonts w:asciiTheme="minorHAnsi" w:hAnsiTheme="minorHAnsi" w:cstheme="minorHAnsi"/>
          <w:sz w:val="14"/>
        </w:rPr>
        <w:t xml:space="preserve"> universal </w:t>
      </w:r>
      <w:r w:rsidRPr="009D6E8B">
        <w:rPr>
          <w:rStyle w:val="Emphasis"/>
          <w:rFonts w:asciiTheme="minorHAnsi" w:hAnsiTheme="minorHAnsi" w:cstheme="minorHAnsi"/>
        </w:rPr>
        <w:t>health care</w:t>
      </w:r>
      <w:r w:rsidRPr="009D6E8B">
        <w:rPr>
          <w:rFonts w:asciiTheme="minorHAnsi" w:hAnsiTheme="minorHAnsi" w:cstheme="minorHAnsi"/>
          <w:sz w:val="14"/>
        </w:rPr>
        <w:t xml:space="preserve"> </w:t>
      </w:r>
      <w:r w:rsidRPr="009D6E8B">
        <w:rPr>
          <w:rStyle w:val="StyleUnderline"/>
          <w:rFonts w:asciiTheme="minorHAnsi" w:hAnsiTheme="minorHAnsi" w:cstheme="minorHAnsi"/>
        </w:rPr>
        <w:t>and</w:t>
      </w:r>
      <w:r w:rsidRPr="009D6E8B">
        <w:rPr>
          <w:rFonts w:asciiTheme="minorHAnsi" w:hAnsiTheme="minorHAnsi" w:cstheme="minorHAnsi"/>
          <w:sz w:val="14"/>
        </w:rPr>
        <w:t xml:space="preserve"> universal access to higher </w:t>
      </w:r>
      <w:r w:rsidRPr="009D6E8B">
        <w:rPr>
          <w:rStyle w:val="Emphasis"/>
          <w:rFonts w:asciiTheme="minorHAnsi" w:hAnsiTheme="minorHAnsi" w:cstheme="minorHAnsi"/>
        </w:rPr>
        <w:t>education</w:t>
      </w:r>
      <w:r w:rsidRPr="009D6E8B">
        <w:rPr>
          <w:rFonts w:asciiTheme="minorHAnsi" w:hAnsiTheme="minorHAnsi" w:cstheme="minorHAnsi"/>
          <w:sz w:val="14"/>
        </w:rPr>
        <w:t xml:space="preserve"> </w:t>
      </w:r>
      <w:r w:rsidRPr="009D6E8B">
        <w:rPr>
          <w:rStyle w:val="StyleUnderline"/>
          <w:rFonts w:asciiTheme="minorHAnsi" w:hAnsiTheme="minorHAnsi" w:cstheme="minorHAnsi"/>
        </w:rPr>
        <w:t xml:space="preserve">are practically realizable if </w:t>
      </w:r>
      <w:r w:rsidRPr="009D6E8B">
        <w:rPr>
          <w:rStyle w:val="Emphasis"/>
          <w:rFonts w:asciiTheme="minorHAnsi" w:hAnsiTheme="minorHAnsi" w:cstheme="minorHAnsi"/>
        </w:rPr>
        <w:t>political will</w:t>
      </w:r>
      <w:r w:rsidRPr="009D6E8B">
        <w:rPr>
          <w:rStyle w:val="StyleUnderline"/>
          <w:rFonts w:asciiTheme="minorHAnsi" w:hAnsiTheme="minorHAnsi" w:cstheme="minorHAnsi"/>
        </w:rPr>
        <w:t xml:space="preserve"> can be generated to implement them. </w:t>
      </w:r>
      <w:r w:rsidRPr="009D6E8B">
        <w:rPr>
          <w:rFonts w:asciiTheme="minorHAnsi" w:hAnsiTheme="minorHAnsi" w:cstheme="minorHAnsi"/>
          <w:sz w:val="14"/>
        </w:rPr>
        <w:t xml:space="preserve">How can we generate that will? </w:t>
      </w:r>
      <w:r w:rsidRPr="009D6E8B">
        <w:rPr>
          <w:rStyle w:val="StyleUnderline"/>
          <w:rFonts w:asciiTheme="minorHAnsi" w:hAnsiTheme="minorHAnsi" w:cstheme="minorHAnsi"/>
          <w:highlight w:val="cyan"/>
        </w:rPr>
        <w:t xml:space="preserve">We have to open a </w:t>
      </w:r>
      <w:r w:rsidRPr="009D6E8B">
        <w:rPr>
          <w:rStyle w:val="Emphasis"/>
          <w:rFonts w:asciiTheme="minorHAnsi" w:hAnsiTheme="minorHAnsi" w:cstheme="minorHAnsi"/>
          <w:highlight w:val="cyan"/>
        </w:rPr>
        <w:t>broad policy discussion</w:t>
      </w:r>
      <w:r w:rsidRPr="009D6E8B">
        <w:rPr>
          <w:rStyle w:val="StyleUnderline"/>
          <w:rFonts w:asciiTheme="minorHAnsi" w:hAnsiTheme="minorHAnsi" w:cstheme="minorHAnsi"/>
          <w:highlight w:val="cyan"/>
        </w:rPr>
        <w:t xml:space="preserve"> that begins with</w:t>
      </w:r>
      <w:r w:rsidRPr="009D6E8B">
        <w:rPr>
          <w:rStyle w:val="StyleUnderline"/>
          <w:rFonts w:asciiTheme="minorHAnsi" w:hAnsiTheme="minorHAnsi" w:cstheme="minorHAnsi"/>
        </w:rPr>
        <w:t xml:space="preserve"> the question, What would </w:t>
      </w:r>
      <w:r w:rsidRPr="009D6E8B">
        <w:rPr>
          <w:rStyle w:val="Emphasis"/>
          <w:rFonts w:asciiTheme="minorHAnsi" w:hAnsiTheme="minorHAnsi" w:cstheme="minorHAnsi"/>
          <w:highlight w:val="cyan"/>
        </w:rPr>
        <w:t>American public policy</w:t>
      </w:r>
      <w:r w:rsidRPr="009D6E8B">
        <w:rPr>
          <w:rStyle w:val="StyleUnderline"/>
          <w:rFonts w:asciiTheme="minorHAnsi" w:hAnsiTheme="minorHAnsi" w:cstheme="minorHAnsi"/>
        </w:rPr>
        <w:t xml:space="preserve"> look like </w:t>
      </w:r>
      <w:r w:rsidRPr="009D6E8B">
        <w:rPr>
          <w:rStyle w:val="StyleUnderline"/>
          <w:rFonts w:asciiTheme="minorHAnsi" w:hAnsiTheme="minorHAnsi" w:cstheme="minorHAnsi"/>
          <w:highlight w:val="cyan"/>
        </w:rPr>
        <w:t>and</w:t>
      </w:r>
      <w:r w:rsidRPr="009D6E8B">
        <w:rPr>
          <w:rStyle w:val="StyleUnderline"/>
          <w:rFonts w:asciiTheme="minorHAnsi" w:hAnsiTheme="minorHAnsi" w:cstheme="minorHAnsi"/>
        </w:rPr>
        <w:t xml:space="preserve"> how would our </w:t>
      </w:r>
      <w:r w:rsidRPr="009D6E8B">
        <w:rPr>
          <w:rStyle w:val="Emphasis"/>
          <w:rFonts w:asciiTheme="minorHAnsi" w:hAnsiTheme="minorHAnsi" w:cstheme="minorHAnsi"/>
        </w:rPr>
        <w:t>institutions</w:t>
      </w:r>
      <w:r w:rsidRPr="009D6E8B">
        <w:rPr>
          <w:rStyle w:val="StyleUnderline"/>
          <w:rFonts w:asciiTheme="minorHAnsi" w:hAnsiTheme="minorHAnsi" w:cstheme="minorHAnsi"/>
        </w:rPr>
        <w:t xml:space="preserve"> operate if their first priority were to meet </w:t>
      </w:r>
      <w:r w:rsidRPr="009D6E8B">
        <w:rPr>
          <w:rStyle w:val="StyleUnderline"/>
          <w:rFonts w:asciiTheme="minorHAnsi" w:hAnsiTheme="minorHAnsi" w:cstheme="minorHAnsi"/>
          <w:highlight w:val="cyan"/>
        </w:rPr>
        <w:t xml:space="preserve">the most </w:t>
      </w:r>
      <w:r w:rsidRPr="009D6E8B">
        <w:rPr>
          <w:rStyle w:val="Emphasis"/>
          <w:rFonts w:asciiTheme="minorHAnsi" w:hAnsiTheme="minorHAnsi" w:cstheme="minorHAnsi"/>
          <w:highlight w:val="cyan"/>
        </w:rPr>
        <w:t>important concerns</w:t>
      </w:r>
      <w:r w:rsidRPr="009D6E8B">
        <w:rPr>
          <w:rStyle w:val="StyleUnderline"/>
          <w:rFonts w:asciiTheme="minorHAnsi" w:hAnsiTheme="minorHAnsi" w:cstheme="minorHAnsi"/>
          <w:highlight w:val="cyan"/>
        </w:rPr>
        <w:t xml:space="preserve"> of the</w:t>
      </w:r>
      <w:r w:rsidRPr="009D6E8B">
        <w:rPr>
          <w:rStyle w:val="StyleUnderline"/>
          <w:rFonts w:asciiTheme="minorHAnsi" w:hAnsiTheme="minorHAnsi" w:cstheme="minorHAnsi"/>
        </w:rPr>
        <w:t xml:space="preserve"> vast majority of the </w:t>
      </w:r>
      <w:r w:rsidRPr="009D6E8B">
        <w:rPr>
          <w:rStyle w:val="Emphasis"/>
          <w:rFonts w:asciiTheme="minorHAnsi" w:hAnsiTheme="minorHAnsi" w:cstheme="minorHAnsi"/>
          <w:highlight w:val="cyan"/>
        </w:rPr>
        <w:t>population</w:t>
      </w:r>
      <w:r w:rsidRPr="009D6E8B">
        <w:rPr>
          <w:rStyle w:val="StyleUnderline"/>
          <w:rFonts w:asciiTheme="minorHAnsi" w:hAnsiTheme="minorHAnsi" w:cstheme="minorHAnsi"/>
        </w:rPr>
        <w:t>?</w:t>
      </w:r>
      <w:r w:rsidRPr="009D6E8B">
        <w:rPr>
          <w:rFonts w:asciiTheme="minorHAnsi" w:hAnsiTheme="minorHAnsi" w:cstheme="minorHAnsi"/>
          <w:sz w:val="14"/>
        </w:rPr>
        <w:t xml:space="preserve"> This majority is not currently included among those that define </w:t>
      </w:r>
      <w:r w:rsidRPr="009D6E8B">
        <w:rPr>
          <w:rStyle w:val="Emphasis"/>
          <w:rFonts w:asciiTheme="minorHAnsi" w:hAnsiTheme="minorHAnsi" w:cstheme="minorHAnsi"/>
          <w:sz w:val="30"/>
          <w:szCs w:val="30"/>
          <w:highlight w:val="cyan"/>
        </w:rPr>
        <w:t>the parameters</w:t>
      </w:r>
      <w:r w:rsidRPr="009D6E8B">
        <w:rPr>
          <w:rStyle w:val="StyleUnderline"/>
          <w:rFonts w:asciiTheme="minorHAnsi" w:hAnsiTheme="minorHAnsi" w:cstheme="minorHAnsi"/>
          <w:sz w:val="30"/>
          <w:szCs w:val="30"/>
          <w:highlight w:val="cyan"/>
        </w:rPr>
        <w:t xml:space="preserve"> of </w:t>
      </w:r>
      <w:r w:rsidRPr="009D6E8B">
        <w:rPr>
          <w:rStyle w:val="Emphasis"/>
          <w:rFonts w:asciiTheme="minorHAnsi" w:hAnsiTheme="minorHAnsi" w:cstheme="minorHAnsi"/>
          <w:sz w:val="30"/>
          <w:szCs w:val="30"/>
          <w:highlight w:val="cyan"/>
        </w:rPr>
        <w:t>policy debate</w:t>
      </w:r>
      <w:r w:rsidRPr="009D6E8B">
        <w:rPr>
          <w:rFonts w:asciiTheme="minorHAnsi" w:hAnsiTheme="minorHAnsi" w:cstheme="minorHAnsi"/>
          <w:sz w:val="14"/>
        </w:rPr>
        <w:t xml:space="preserve">; they </w:t>
      </w:r>
      <w:r w:rsidRPr="009D6E8B">
        <w:rPr>
          <w:rStyle w:val="StyleUnderline"/>
          <w:rFonts w:asciiTheme="minorHAnsi" w:hAnsiTheme="minorHAnsi" w:cstheme="minorHAnsi"/>
        </w:rPr>
        <w:t xml:space="preserve">have not participated in calculating the supposed limits of </w:t>
      </w:r>
      <w:r w:rsidRPr="009D6E8B">
        <w:rPr>
          <w:rStyle w:val="Emphasis"/>
          <w:rFonts w:asciiTheme="minorHAnsi" w:hAnsiTheme="minorHAnsi" w:cstheme="minorHAnsi"/>
        </w:rPr>
        <w:t>feasibility</w:t>
      </w:r>
      <w:r w:rsidRPr="009D6E8B">
        <w:rPr>
          <w:rStyle w:val="StyleUnderline"/>
          <w:rFonts w:asciiTheme="minorHAnsi" w:hAnsiTheme="minorHAnsi" w:cstheme="minorHAnsi"/>
        </w:rPr>
        <w:t xml:space="preserve"> and </w:t>
      </w:r>
      <w:r w:rsidRPr="009D6E8B">
        <w:rPr>
          <w:rStyle w:val="Emphasis"/>
          <w:rFonts w:asciiTheme="minorHAnsi" w:hAnsiTheme="minorHAnsi" w:cstheme="minorHAnsi"/>
        </w:rPr>
        <w:t>practicality</w:t>
      </w:r>
      <w:r w:rsidRPr="009D6E8B">
        <w:rPr>
          <w:rStyle w:val="StyleUnderline"/>
          <w:rFonts w:asciiTheme="minorHAnsi" w:hAnsiTheme="minorHAnsi" w:cstheme="minorHAnsi"/>
        </w:rPr>
        <w:t xml:space="preserve"> that narrow the political horizon</w:t>
      </w:r>
      <w:r w:rsidRPr="009D6E8B">
        <w:rPr>
          <w:rFonts w:asciiTheme="minorHAnsi" w:hAnsiTheme="minorHAnsi" w:cstheme="minorHAnsi"/>
          <w:sz w:val="14"/>
        </w:rPr>
        <w:t xml:space="preserve">. Yet, as Michael Zweig has argued persuasively in The Working Class Majority: America's Best Kept Secret, they are the American demos, the democratic base. The left's most vital task, therefore, is to encourage a truly popular discussion about national priorities and the means to fulfill them. Not only do poll data indicate that education is already a broadly shared concern; in our own lives and in our interactions with others, we all recognize the strain that paying for higher education imposes throughout the population. So it makes sense to argue that </w:t>
      </w:r>
      <w:r w:rsidRPr="009D6E8B">
        <w:rPr>
          <w:rStyle w:val="StyleUnderline"/>
          <w:rFonts w:asciiTheme="minorHAnsi" w:hAnsiTheme="minorHAnsi" w:cstheme="minorHAnsi"/>
        </w:rPr>
        <w:t xml:space="preserve">significant </w:t>
      </w:r>
      <w:r w:rsidRPr="009D6E8B">
        <w:rPr>
          <w:rStyle w:val="StyleUnderline"/>
          <w:rFonts w:asciiTheme="minorHAnsi" w:hAnsiTheme="minorHAnsi" w:cstheme="minorHAnsi"/>
          <w:highlight w:val="cyan"/>
        </w:rPr>
        <w:t xml:space="preserve">potential exists for building </w:t>
      </w:r>
      <w:r w:rsidRPr="009D6E8B">
        <w:rPr>
          <w:rStyle w:val="Emphasis"/>
          <w:rFonts w:asciiTheme="minorHAnsi" w:hAnsiTheme="minorHAnsi" w:cstheme="minorHAnsi"/>
          <w:highlight w:val="cyan"/>
        </w:rPr>
        <w:t>grassroots support</w:t>
      </w:r>
      <w:r w:rsidRPr="009D6E8B">
        <w:rPr>
          <w:rStyle w:val="StyleUnderline"/>
          <w:rFonts w:asciiTheme="minorHAnsi" w:hAnsiTheme="minorHAnsi" w:cstheme="minorHAnsi"/>
          <w:highlight w:val="cyan"/>
        </w:rPr>
        <w:t xml:space="preserve"> for </w:t>
      </w:r>
      <w:r w:rsidRPr="009D6E8B">
        <w:rPr>
          <w:rStyle w:val="Emphasis"/>
          <w:rFonts w:asciiTheme="minorHAnsi" w:hAnsiTheme="minorHAnsi" w:cstheme="minorHAnsi"/>
          <w:highlight w:val="cyan"/>
        </w:rPr>
        <w:t>realistic strategies</w:t>
      </w:r>
      <w:r w:rsidRPr="009D6E8B">
        <w:rPr>
          <w:rFonts w:asciiTheme="minorHAnsi" w:hAnsiTheme="minorHAnsi" w:cstheme="minorHAnsi"/>
          <w:sz w:val="14"/>
        </w:rPr>
        <w:t xml:space="preserve"> that would make access to higher education available to all Americans, so far as interest and ability can take them. In the comparably critical area of health care, the Maine legislature's passage of a single-payer bill, signed into law by the governor, is the most dramatic recent indication of openness within the public to policy strategies that break sharply with neoliberal orthodoxy. In last year's elections, single-payer ballot initiatives won by at least 60 percent majorities in non-binding referenda in six legislative districts across Massachusetts and in Alachua County, Florida (where the initiative received more votes than any presidential candidate). These are admittedly modest victories, but they at least reinforce a suspicion that popular sentiment can be cultivated in support of policies that address broadly shared needs in just and egalitarian ways, without subordinating them to market theology. </w:t>
      </w:r>
      <w:r w:rsidRPr="009D6E8B">
        <w:rPr>
          <w:rStyle w:val="StyleUnderline"/>
          <w:rFonts w:asciiTheme="minorHAnsi" w:hAnsiTheme="minorHAnsi" w:cstheme="minorHAnsi"/>
          <w:highlight w:val="cyan"/>
        </w:rPr>
        <w:t xml:space="preserve">The </w:t>
      </w:r>
      <w:r w:rsidRPr="009D6E8B">
        <w:rPr>
          <w:rStyle w:val="Emphasis"/>
          <w:rFonts w:asciiTheme="minorHAnsi" w:hAnsiTheme="minorHAnsi" w:cstheme="minorHAnsi"/>
          <w:highlight w:val="cyan"/>
        </w:rPr>
        <w:t>key ingredient</w:t>
      </w:r>
      <w:r w:rsidRPr="009D6E8B">
        <w:rPr>
          <w:rStyle w:val="StyleUnderline"/>
          <w:rFonts w:asciiTheme="minorHAnsi" w:hAnsiTheme="minorHAnsi" w:cstheme="minorHAnsi"/>
        </w:rPr>
        <w:t xml:space="preserve"> missing from left politics at this juncture in the United States </w:t>
      </w:r>
      <w:r w:rsidRPr="009D6E8B">
        <w:rPr>
          <w:rStyle w:val="StyleUnderline"/>
          <w:rFonts w:asciiTheme="minorHAnsi" w:hAnsiTheme="minorHAnsi" w:cstheme="minorHAnsi"/>
          <w:highlight w:val="cyan"/>
        </w:rPr>
        <w:t>is</w:t>
      </w:r>
      <w:r w:rsidRPr="009D6E8B">
        <w:rPr>
          <w:rStyle w:val="StyleUnderline"/>
          <w:rFonts w:asciiTheme="minorHAnsi" w:hAnsiTheme="minorHAnsi" w:cstheme="minorHAnsi"/>
        </w:rPr>
        <w:t xml:space="preserve"> a concerted strategy for building popular constituencies to pursue objectives that resonate with people's concerns and harnessing those objectives to a </w:t>
      </w:r>
      <w:r w:rsidRPr="009D6E8B">
        <w:rPr>
          <w:rStyle w:val="Emphasis"/>
          <w:rFonts w:asciiTheme="minorHAnsi" w:hAnsiTheme="minorHAnsi" w:cstheme="minorHAnsi"/>
          <w:highlight w:val="cyan"/>
        </w:rPr>
        <w:t xml:space="preserve">social </w:t>
      </w:r>
      <w:r w:rsidRPr="009D6E8B">
        <w:rPr>
          <w:rStyle w:val="Emphasis"/>
          <w:rFonts w:asciiTheme="minorHAnsi" w:hAnsiTheme="minorHAnsi" w:cstheme="minorHAnsi"/>
          <w:strike/>
        </w:rPr>
        <w:t>vision</w:t>
      </w:r>
      <w:r w:rsidRPr="009D6E8B">
        <w:rPr>
          <w:rStyle w:val="Emphasis"/>
          <w:rFonts w:asciiTheme="minorHAnsi" w:hAnsiTheme="minorHAnsi" w:cstheme="minorHAnsi"/>
        </w:rPr>
        <w:t xml:space="preserve"> [</w:t>
      </w:r>
      <w:r w:rsidRPr="009D6E8B">
        <w:rPr>
          <w:rStyle w:val="Emphasis"/>
          <w:rFonts w:asciiTheme="minorHAnsi" w:hAnsiTheme="minorHAnsi" w:cstheme="minorHAnsi"/>
          <w:highlight w:val="cyan"/>
        </w:rPr>
        <w:t>agenda</w:t>
      </w:r>
      <w:r w:rsidRPr="009D6E8B">
        <w:rPr>
          <w:rStyle w:val="Emphasis"/>
          <w:rFonts w:asciiTheme="minorHAnsi" w:hAnsiTheme="minorHAnsi" w:cstheme="minorHAnsi"/>
        </w:rPr>
        <w:t>]</w:t>
      </w:r>
      <w:r w:rsidRPr="009D6E8B">
        <w:rPr>
          <w:rStyle w:val="StyleUnderline"/>
          <w:rFonts w:asciiTheme="minorHAnsi" w:hAnsiTheme="minorHAnsi" w:cstheme="minorHAnsi"/>
        </w:rPr>
        <w:t xml:space="preserve"> that lies </w:t>
      </w:r>
      <w:r w:rsidRPr="009D6E8B">
        <w:rPr>
          <w:rStyle w:val="Emphasis"/>
          <w:rFonts w:asciiTheme="minorHAnsi" w:hAnsiTheme="minorHAnsi" w:cstheme="minorHAnsi"/>
          <w:highlight w:val="cyan"/>
        </w:rPr>
        <w:t>outside the limits</w:t>
      </w:r>
      <w:r w:rsidRPr="009D6E8B">
        <w:rPr>
          <w:rStyle w:val="StyleUnderline"/>
          <w:rFonts w:asciiTheme="minorHAnsi" w:hAnsiTheme="minorHAnsi" w:cstheme="minorHAnsi"/>
          <w:highlight w:val="cyan"/>
        </w:rPr>
        <w:t xml:space="preserve"> defined by current elite consensus</w:t>
      </w:r>
      <w:r w:rsidRPr="009D6E8B">
        <w:rPr>
          <w:rStyle w:val="StyleUnderline"/>
          <w:rFonts w:asciiTheme="minorHAnsi" w:hAnsiTheme="minorHAnsi" w:cstheme="minorHAnsi"/>
        </w:rPr>
        <w:t>.</w:t>
      </w:r>
      <w:r w:rsidRPr="009D6E8B">
        <w:rPr>
          <w:rFonts w:asciiTheme="minorHAnsi" w:hAnsiTheme="minorHAnsi" w:cstheme="minorHAnsi"/>
          <w:sz w:val="14"/>
        </w:rPr>
        <w:t xml:space="preserve"> That is in large measure how the right was able to change the terms of political debate in the first place, though the vision around which it articulates those concerns is largely a scam. After Barry Goldwater was swamped by Lyndon Johnson in 1964, militants of the right embarked on a strategic, long-term campaign that was largely grassroots-based. They realized that their push had been premature; the Johnson landslide showed them that it was necessary to take a step back and try to create a popular constituency for their political agenda. They pursued this objective by doing several things that we have consistently failed to do since the high period of civil rights and antiwar activism in the 1960s. They mobilized activists at the local level around issue-based campaigns that challenged the prevailing axes of incrementalist policy debate-for instance, for school prayer and tax cuts, against abortion, affirmative action, the Equal Rights Amendment, and school busing. They identified and cultivated bases of support around each of these issues and worked to knit them together into a coherent movement. This is the stuff of social-movement building. For too long now progressives have operated as if we already have the mobilized constituencies that we need. The governing consensus in national politics indicates that we don't. This is one of the strategic limitations of the domestic mobilization to challenge the World Trade Organization and other neoliberal globalization initiatives. While a focus on mounting highly visible international protests is understandable and perhaps necessary, by themselves those actions do little to deepen popular awareness of the dynamics and dangers that activists wish to combat. To that extent, these mobilizations may be self-limiting in scope and effectiveness. </w:t>
      </w:r>
      <w:r w:rsidRPr="009D6E8B">
        <w:rPr>
          <w:rStyle w:val="StyleUnderline"/>
          <w:rFonts w:asciiTheme="minorHAnsi" w:hAnsiTheme="minorHAnsi" w:cstheme="minorHAnsi"/>
        </w:rPr>
        <w:t xml:space="preserve">Their continued success requires </w:t>
      </w:r>
      <w:r w:rsidRPr="009D6E8B">
        <w:rPr>
          <w:rStyle w:val="Emphasis"/>
          <w:rFonts w:asciiTheme="minorHAnsi" w:hAnsiTheme="minorHAnsi" w:cstheme="minorHAnsi"/>
        </w:rPr>
        <w:t>planting roots</w:t>
      </w:r>
      <w:r w:rsidRPr="009D6E8B">
        <w:rPr>
          <w:rStyle w:val="StyleUnderline"/>
          <w:rFonts w:asciiTheme="minorHAnsi" w:hAnsiTheme="minorHAnsi" w:cstheme="minorHAnsi"/>
        </w:rPr>
        <w:t xml:space="preserve"> within the </w:t>
      </w:r>
      <w:r w:rsidRPr="009D6E8B">
        <w:rPr>
          <w:rStyle w:val="Emphasis"/>
          <w:rFonts w:asciiTheme="minorHAnsi" w:hAnsiTheme="minorHAnsi" w:cstheme="minorHAnsi"/>
        </w:rPr>
        <w:t>broader population</w:t>
      </w:r>
      <w:r w:rsidRPr="009D6E8B">
        <w:rPr>
          <w:rFonts w:asciiTheme="minorHAnsi" w:hAnsiTheme="minorHAnsi" w:cstheme="minorHAnsi"/>
          <w:sz w:val="14"/>
        </w:rPr>
        <w:t xml:space="preserve">. </w:t>
      </w:r>
      <w:r w:rsidRPr="009D6E8B">
        <w:rPr>
          <w:rStyle w:val="StyleUnderline"/>
          <w:rFonts w:asciiTheme="minorHAnsi" w:hAnsiTheme="minorHAnsi" w:cstheme="minorHAnsi"/>
        </w:rPr>
        <w:t>Most Americans</w:t>
      </w:r>
      <w:r w:rsidRPr="009D6E8B">
        <w:rPr>
          <w:rFonts w:asciiTheme="minorHAnsi" w:hAnsiTheme="minorHAnsi" w:cstheme="minorHAnsi"/>
          <w:sz w:val="14"/>
        </w:rPr>
        <w:t xml:space="preserve">, however, </w:t>
      </w:r>
      <w:r w:rsidRPr="009D6E8B">
        <w:rPr>
          <w:rStyle w:val="StyleUnderline"/>
          <w:rFonts w:asciiTheme="minorHAnsi" w:hAnsiTheme="minorHAnsi" w:cstheme="minorHAnsi"/>
        </w:rPr>
        <w:t xml:space="preserve">have at most </w:t>
      </w:r>
      <w:r w:rsidRPr="009D6E8B">
        <w:rPr>
          <w:rStyle w:val="Emphasis"/>
          <w:rFonts w:asciiTheme="minorHAnsi" w:hAnsiTheme="minorHAnsi" w:cstheme="minorHAnsi"/>
        </w:rPr>
        <w:t>inchoate</w:t>
      </w:r>
      <w:r w:rsidRPr="009D6E8B">
        <w:rPr>
          <w:rStyle w:val="StyleUnderline"/>
          <w:rFonts w:asciiTheme="minorHAnsi" w:hAnsiTheme="minorHAnsi" w:cstheme="minorHAnsi"/>
        </w:rPr>
        <w:t xml:space="preserve"> and </w:t>
      </w:r>
      <w:r w:rsidRPr="009D6E8B">
        <w:rPr>
          <w:rStyle w:val="Emphasis"/>
          <w:rFonts w:asciiTheme="minorHAnsi" w:hAnsiTheme="minorHAnsi" w:cstheme="minorHAnsi"/>
        </w:rPr>
        <w:t>incoherent</w:t>
      </w:r>
      <w:r w:rsidRPr="009D6E8B">
        <w:rPr>
          <w:rStyle w:val="StyleUnderline"/>
          <w:rFonts w:asciiTheme="minorHAnsi" w:hAnsiTheme="minorHAnsi" w:cstheme="minorHAnsi"/>
        </w:rPr>
        <w:t xml:space="preserve"> views of the stakes of economic globalization</w:t>
      </w:r>
      <w:r w:rsidRPr="009D6E8B">
        <w:rPr>
          <w:rFonts w:asciiTheme="minorHAnsi" w:hAnsiTheme="minorHAnsi" w:cstheme="minorHAnsi"/>
          <w:sz w:val="14"/>
        </w:rPr>
        <w:t xml:space="preserve">; the interpretation of this process for popular discourse remains-at least outside the ranks of already committed progressives and attentive union members-the province of corporate media and its sound-bite analyses. It is past time for us to learn the same lesson that the right learned after Goldwater's defeat. A common objection to this comparison is that the right succeeded because it plays to people's fears, which are supposedly easier to mobilize around than more abstract, less emotionally charged political programs. </w:t>
      </w:r>
      <w:r w:rsidRPr="009D6E8B">
        <w:rPr>
          <w:rStyle w:val="StyleUnderline"/>
          <w:rFonts w:asciiTheme="minorHAnsi" w:hAnsiTheme="minorHAnsi" w:cstheme="minorHAnsi"/>
        </w:rPr>
        <w:t xml:space="preserve">But the </w:t>
      </w:r>
      <w:r w:rsidRPr="009D6E8B">
        <w:rPr>
          <w:rStyle w:val="Emphasis"/>
          <w:rFonts w:asciiTheme="minorHAnsi" w:hAnsiTheme="minorHAnsi" w:cstheme="minorHAnsi"/>
          <w:highlight w:val="cyan"/>
        </w:rPr>
        <w:t>concrete fears</w:t>
      </w:r>
      <w:r w:rsidRPr="009D6E8B">
        <w:rPr>
          <w:rStyle w:val="StyleUnderline"/>
          <w:rFonts w:asciiTheme="minorHAnsi" w:hAnsiTheme="minorHAnsi" w:cstheme="minorHAnsi"/>
        </w:rPr>
        <w:t xml:space="preserve"> that most people experience most acutely </w:t>
      </w:r>
      <w:r w:rsidRPr="009D6E8B">
        <w:rPr>
          <w:rStyle w:val="StyleUnderline"/>
          <w:rFonts w:asciiTheme="minorHAnsi" w:hAnsiTheme="minorHAnsi" w:cstheme="minorHAnsi"/>
          <w:highlight w:val="cyan"/>
        </w:rPr>
        <w:t>connect</w:t>
      </w:r>
      <w:r w:rsidRPr="009D6E8B">
        <w:rPr>
          <w:rStyle w:val="StyleUnderline"/>
          <w:rFonts w:asciiTheme="minorHAnsi" w:hAnsiTheme="minorHAnsi" w:cstheme="minorHAnsi"/>
        </w:rPr>
        <w:t xml:space="preserve"> much more immediately </w:t>
      </w:r>
      <w:r w:rsidRPr="009D6E8B">
        <w:rPr>
          <w:rStyle w:val="StyleUnderline"/>
          <w:rFonts w:asciiTheme="minorHAnsi" w:hAnsiTheme="minorHAnsi" w:cstheme="minorHAnsi"/>
          <w:highlight w:val="cyan"/>
        </w:rPr>
        <w:t>with the</w:t>
      </w:r>
      <w:r w:rsidRPr="009D6E8B">
        <w:rPr>
          <w:rStyle w:val="StyleUnderline"/>
          <w:rFonts w:asciiTheme="minorHAnsi" w:hAnsiTheme="minorHAnsi" w:cstheme="minorHAnsi"/>
        </w:rPr>
        <w:t xml:space="preserve"> programs of the </w:t>
      </w:r>
      <w:r w:rsidRPr="009D6E8B">
        <w:rPr>
          <w:rStyle w:val="Emphasis"/>
          <w:rFonts w:asciiTheme="minorHAnsi" w:hAnsiTheme="minorHAnsi" w:cstheme="minorHAnsi"/>
          <w:highlight w:val="cyan"/>
        </w:rPr>
        <w:t>left</w:t>
      </w:r>
      <w:r w:rsidRPr="009D6E8B">
        <w:rPr>
          <w:rFonts w:asciiTheme="minorHAnsi" w:hAnsiTheme="minorHAnsi" w:cstheme="minorHAnsi"/>
          <w:sz w:val="14"/>
        </w:rPr>
        <w:t xml:space="preserve">: for example, </w:t>
      </w:r>
      <w:r w:rsidRPr="009D6E8B">
        <w:rPr>
          <w:rStyle w:val="StyleUnderline"/>
          <w:rFonts w:asciiTheme="minorHAnsi" w:hAnsiTheme="minorHAnsi" w:cstheme="minorHAnsi"/>
        </w:rPr>
        <w:t xml:space="preserve">fear of </w:t>
      </w:r>
      <w:r w:rsidRPr="009D6E8B">
        <w:rPr>
          <w:rStyle w:val="Emphasis"/>
          <w:rFonts w:asciiTheme="minorHAnsi" w:hAnsiTheme="minorHAnsi" w:cstheme="minorHAnsi"/>
          <w:highlight w:val="cyan"/>
        </w:rPr>
        <w:t>job loss</w:t>
      </w:r>
      <w:r w:rsidRPr="009D6E8B">
        <w:rPr>
          <w:rStyle w:val="StyleUnderline"/>
          <w:rFonts w:asciiTheme="minorHAnsi" w:hAnsiTheme="minorHAnsi" w:cstheme="minorHAnsi"/>
        </w:rPr>
        <w:t xml:space="preserve"> and declining living standards</w:t>
      </w:r>
      <w:r w:rsidRPr="009D6E8B">
        <w:rPr>
          <w:rFonts w:asciiTheme="minorHAnsi" w:hAnsiTheme="minorHAnsi" w:cstheme="minorHAnsi"/>
          <w:sz w:val="14"/>
        </w:rPr>
        <w:t xml:space="preserve">, </w:t>
      </w:r>
      <w:r w:rsidRPr="009D6E8B">
        <w:rPr>
          <w:rStyle w:val="StyleUnderline"/>
          <w:rFonts w:asciiTheme="minorHAnsi" w:hAnsiTheme="minorHAnsi" w:cstheme="minorHAnsi"/>
        </w:rPr>
        <w:t xml:space="preserve">lack of access to adequate </w:t>
      </w:r>
      <w:r w:rsidRPr="009D6E8B">
        <w:rPr>
          <w:rStyle w:val="Emphasis"/>
          <w:rFonts w:asciiTheme="minorHAnsi" w:hAnsiTheme="minorHAnsi" w:cstheme="minorHAnsi"/>
          <w:highlight w:val="cyan"/>
        </w:rPr>
        <w:t>health care,</w:t>
      </w:r>
      <w:r w:rsidRPr="009D6E8B">
        <w:rPr>
          <w:rFonts w:asciiTheme="minorHAnsi" w:hAnsiTheme="minorHAnsi" w:cstheme="minorHAnsi"/>
          <w:sz w:val="14"/>
          <w:highlight w:val="cyan"/>
        </w:rPr>
        <w:t xml:space="preserve"> </w:t>
      </w:r>
      <w:r w:rsidRPr="009D6E8B">
        <w:rPr>
          <w:rStyle w:val="Emphasis"/>
          <w:rFonts w:asciiTheme="minorHAnsi" w:hAnsiTheme="minorHAnsi" w:cstheme="minorHAnsi"/>
          <w:highlight w:val="cyan"/>
        </w:rPr>
        <w:t>affordable housing</w:t>
      </w:r>
      <w:r w:rsidRPr="009D6E8B">
        <w:rPr>
          <w:rFonts w:asciiTheme="minorHAnsi" w:hAnsiTheme="minorHAnsi" w:cstheme="minorHAnsi"/>
          <w:sz w:val="14"/>
          <w:highlight w:val="cyan"/>
        </w:rPr>
        <w:t xml:space="preserve">, </w:t>
      </w:r>
      <w:r w:rsidRPr="009D6E8B">
        <w:rPr>
          <w:rStyle w:val="StyleUnderline"/>
          <w:rFonts w:asciiTheme="minorHAnsi" w:hAnsiTheme="minorHAnsi" w:cstheme="minorHAnsi"/>
          <w:highlight w:val="cyan"/>
        </w:rPr>
        <w:t>and</w:t>
      </w:r>
      <w:r w:rsidRPr="009D6E8B">
        <w:rPr>
          <w:rFonts w:asciiTheme="minorHAnsi" w:hAnsiTheme="minorHAnsi" w:cstheme="minorHAnsi"/>
          <w:sz w:val="14"/>
        </w:rPr>
        <w:t xml:space="preserve"> </w:t>
      </w:r>
      <w:r w:rsidRPr="009D6E8B">
        <w:rPr>
          <w:rStyle w:val="StyleUnderline"/>
          <w:rFonts w:asciiTheme="minorHAnsi" w:hAnsiTheme="minorHAnsi" w:cstheme="minorHAnsi"/>
        </w:rPr>
        <w:t xml:space="preserve">quality </w:t>
      </w:r>
      <w:r w:rsidRPr="009D6E8B">
        <w:rPr>
          <w:rStyle w:val="Emphasis"/>
          <w:rFonts w:asciiTheme="minorHAnsi" w:hAnsiTheme="minorHAnsi" w:cstheme="minorHAnsi"/>
          <w:highlight w:val="cyan"/>
        </w:rPr>
        <w:t>education</w:t>
      </w:r>
      <w:r w:rsidRPr="009D6E8B">
        <w:rPr>
          <w:rFonts w:asciiTheme="minorHAnsi" w:hAnsiTheme="minorHAnsi" w:cstheme="minorHAnsi"/>
          <w:sz w:val="10"/>
          <w:szCs w:val="10"/>
        </w:rPr>
        <w:t>. Another objection, largely a smear by smug neoliberals, is that the left proposes no new ideas and offers only opposition without clear, practical alternatives. But the right galvanizes its ranks largely around opposition to abortion, taxation, civil rights, immigration, and social spending. And what ideas are more shopworn in American politics than racism, nativism, and unrestrained property rights? Indeed, the right persists in presenting itself as an opposition movement even as it consolidates its dominance of the political landscape under the mantra of bipartisanship. It is only by taking up the challenge of building a coherent movement, creating and cultivating popular support for a long-term struggle focused on everyday needs-what are sometimes described as "practical utopias"-that it will be possible to redefine the terms of national policy debate. Removal of financial constraint on access to higher education could be such an initiative. It could appeal immediately to students, parents, university faculty and staff, and the organizations that represent them. It also has a natural and historic base in the labor movement, and not only among unions that represent workers in the education sector. Free public education was one of the two main demands of the earliest American unions, along with the shorter work week. Despite the right's attempts to characterize public support for higher education as an upper-middle-class giveaway, this is an issue that has resonance throughout the population. The "Joe Sixpack" imagery that drives so much disingenuous right-wing populism is simply bogus. Interest in educating oneself and one's children-for both instrumental reasons related to employment and noninstrumental reasons related to intellectual curiosity and self-fulfillment-is not by any means the exclusive property of the upper middle class. It is a condescending caricature that other working people do not have similar aspirations. Indeed, an element of this issue's appeal is its broad resonance within the population; it has the potential to cut across the familiar lines of division by race, gender, age, inner city, and suburb that the right has successfully exploited and intensified over the past two decades. The Debs-Jones-Douglass Institute, a nonprofit educational organization associated with the Labor Party, will put out a call this fall for a grassroots campaign to make higher education universally accessible to all academically qualifying potential students. (Accessibility also should require adequate remedial and developmental support for borderline admits and easy movement from community college through university on the basis of interest and demonstrated ability.) This could be the beginning of a significant popular movement-on the order of earlier agitation for black Americans' civil rights, for the eight-hour day, or for old-age assistance-that helps to redefine the terms of national political debate. As those earlier movements did, it could also achieve its own objectives and, in the process, expand the foundation of American democracy</w:t>
      </w:r>
      <w:r w:rsidRPr="009D6E8B">
        <w:rPr>
          <w:rFonts w:asciiTheme="minorHAnsi" w:hAnsiTheme="minorHAnsi" w:cstheme="minorHAnsi"/>
          <w:sz w:val="14"/>
        </w:rPr>
        <w:t>.</w:t>
      </w:r>
    </w:p>
    <w:p w14:paraId="4450C64F" w14:textId="77777777" w:rsidR="00BF37F0" w:rsidRDefault="00BF37F0" w:rsidP="00BF37F0">
      <w:pPr>
        <w:rPr>
          <w:sz w:val="16"/>
        </w:rPr>
      </w:pPr>
    </w:p>
    <w:p w14:paraId="381206D2" w14:textId="77777777" w:rsidR="00BF37F0" w:rsidRPr="00BF37F0" w:rsidRDefault="00BF37F0" w:rsidP="00BF37F0">
      <w:pPr>
        <w:pStyle w:val="Heading4"/>
      </w:pPr>
    </w:p>
    <w:sectPr w:rsidR="00BF37F0" w:rsidRPr="00BF37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1A8E3" w14:textId="77777777" w:rsidR="007F4D1F" w:rsidRDefault="007F4D1F" w:rsidP="00066D2C">
      <w:pPr>
        <w:spacing w:after="0" w:line="240" w:lineRule="auto"/>
      </w:pPr>
      <w:r>
        <w:separator/>
      </w:r>
    </w:p>
  </w:endnote>
  <w:endnote w:type="continuationSeparator" w:id="0">
    <w:p w14:paraId="47D98FB2" w14:textId="77777777" w:rsidR="007F4D1F" w:rsidRDefault="007F4D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C44653" w14:textId="77777777" w:rsidR="007F4D1F" w:rsidRDefault="007F4D1F" w:rsidP="00066D2C">
      <w:pPr>
        <w:spacing w:after="0" w:line="240" w:lineRule="auto"/>
      </w:pPr>
      <w:r>
        <w:separator/>
      </w:r>
    </w:p>
  </w:footnote>
  <w:footnote w:type="continuationSeparator" w:id="0">
    <w:p w14:paraId="40F55AEF" w14:textId="77777777" w:rsidR="007F4D1F" w:rsidRDefault="007F4D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37F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B79"/>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7D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92C"/>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D1F"/>
    <w:rsid w:val="007F55A4"/>
    <w:rsid w:val="007F7C5E"/>
    <w:rsid w:val="00800BF1"/>
    <w:rsid w:val="0080587F"/>
    <w:rsid w:val="00806B14"/>
    <w:rsid w:val="008114D4"/>
    <w:rsid w:val="0081234D"/>
    <w:rsid w:val="00812D2D"/>
    <w:rsid w:val="00817A64"/>
    <w:rsid w:val="008202F7"/>
    <w:rsid w:val="008247A4"/>
    <w:rsid w:val="00825D47"/>
    <w:rsid w:val="008272A6"/>
    <w:rsid w:val="00831FD3"/>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7F0"/>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34F"/>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59AC1"/>
  <w15:chartTrackingRefBased/>
  <w15:docId w15:val="{E4D48460-1BB3-D74D-8BC5-C40143CC3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37F0"/>
    <w:rPr>
      <w:rFonts w:ascii="Calibri" w:hAnsi="Calibri" w:cs="Calibri"/>
    </w:rPr>
  </w:style>
  <w:style w:type="paragraph" w:styleId="Heading1">
    <w:name w:val="heading 1"/>
    <w:aliases w:val="Pocket"/>
    <w:basedOn w:val="Normal"/>
    <w:next w:val="Normal"/>
    <w:link w:val="Heading1Char"/>
    <w:qFormat/>
    <w:rsid w:val="00BF37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37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F37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BF37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37F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8"/>
    <w:qFormat/>
    <w:rsid w:val="00BF37F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37F0"/>
    <w:rPr>
      <w:color w:val="auto"/>
      <w:u w:val="none"/>
    </w:rPr>
  </w:style>
  <w:style w:type="character" w:customStyle="1" w:styleId="Heading1Char">
    <w:name w:val="Heading 1 Char"/>
    <w:aliases w:val="Pocket Char"/>
    <w:basedOn w:val="DefaultParagraphFont"/>
    <w:link w:val="Heading1"/>
    <w:rsid w:val="00BF37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37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37F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BF37F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37F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Title Char,Bold Cite Char,ci,c,cite,Bo,9.5 "/>
    <w:basedOn w:val="DefaultParagraphFont"/>
    <w:uiPriority w:val="7"/>
    <w:qFormat/>
    <w:rsid w:val="00BF37F0"/>
    <w:rPr>
      <w:b w:val="0"/>
      <w:sz w:val="22"/>
      <w:u w:val="single"/>
    </w:rPr>
  </w:style>
  <w:style w:type="character" w:styleId="Strong">
    <w:name w:val="Strong"/>
    <w:basedOn w:val="DefaultParagraphFont"/>
    <w:uiPriority w:val="22"/>
    <w:semiHidden/>
    <w:qFormat/>
    <w:rsid w:val="00BF37F0"/>
    <w:rPr>
      <w:b/>
      <w:bCs/>
    </w:rPr>
  </w:style>
  <w:style w:type="character" w:styleId="BookTitle">
    <w:name w:val="Book Title"/>
    <w:basedOn w:val="DefaultParagraphFont"/>
    <w:uiPriority w:val="33"/>
    <w:semiHidden/>
    <w:qFormat/>
    <w:rsid w:val="00BF37F0"/>
    <w:rPr>
      <w:b/>
      <w:bCs/>
      <w:i/>
      <w:iCs/>
      <w:spacing w:val="5"/>
    </w:rPr>
  </w:style>
  <w:style w:type="character" w:customStyle="1" w:styleId="Heading5Char">
    <w:name w:val="Heading 5 Char"/>
    <w:basedOn w:val="DefaultParagraphFont"/>
    <w:link w:val="Heading5"/>
    <w:uiPriority w:val="9"/>
    <w:semiHidden/>
    <w:rsid w:val="00BF37F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37F0"/>
  </w:style>
  <w:style w:type="paragraph" w:styleId="Header">
    <w:name w:val="header"/>
    <w:basedOn w:val="Normal"/>
    <w:link w:val="HeaderChar"/>
    <w:uiPriority w:val="99"/>
    <w:semiHidden/>
    <w:rsid w:val="00BF37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37F0"/>
    <w:rPr>
      <w:rFonts w:ascii="Calibri" w:hAnsi="Calibri" w:cs="Calibri"/>
    </w:rPr>
  </w:style>
  <w:style w:type="paragraph" w:styleId="Footer">
    <w:name w:val="footer"/>
    <w:basedOn w:val="Normal"/>
    <w:link w:val="FooterChar"/>
    <w:uiPriority w:val="99"/>
    <w:semiHidden/>
    <w:rsid w:val="00BF37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37F0"/>
    <w:rPr>
      <w:rFonts w:ascii="Calibri" w:hAnsi="Calibri" w:cs="Calibri"/>
    </w:rPr>
  </w:style>
  <w:style w:type="paragraph" w:styleId="BodyText">
    <w:name w:val="Body Text"/>
    <w:basedOn w:val="Normal"/>
    <w:link w:val="BodyTextChar"/>
    <w:uiPriority w:val="99"/>
    <w:semiHidden/>
    <w:unhideWhenUsed/>
    <w:rsid w:val="00BF37F0"/>
    <w:pPr>
      <w:spacing w:after="120"/>
    </w:pPr>
  </w:style>
  <w:style w:type="character" w:customStyle="1" w:styleId="BodyTextChar">
    <w:name w:val="Body Text Char"/>
    <w:basedOn w:val="DefaultParagraphFont"/>
    <w:link w:val="BodyText"/>
    <w:uiPriority w:val="99"/>
    <w:semiHidden/>
    <w:rsid w:val="00BF37F0"/>
    <w:rPr>
      <w:rFonts w:ascii="Calibri" w:hAnsi="Calibri" w:cs="Calibri"/>
    </w:rPr>
  </w:style>
  <w:style w:type="paragraph" w:styleId="NoSpacing">
    <w:name w:val="No Spacing"/>
    <w:link w:val="NoSpacingChar"/>
    <w:uiPriority w:val="99"/>
    <w:semiHidden/>
    <w:unhideWhenUsed/>
    <w:qFormat/>
    <w:rsid w:val="00BF37F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37F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uiPriority w:val="99"/>
    <w:unhideWhenUsed/>
    <w:rsid w:val="00BF37F0"/>
    <w:rPr>
      <w:color w:val="0563C1" w:themeColor="hyperlink"/>
      <w:u w:val="single"/>
    </w:rPr>
  </w:style>
  <w:style w:type="character" w:styleId="UnresolvedMention">
    <w:name w:val="Unresolved Mention"/>
    <w:basedOn w:val="DefaultParagraphFont"/>
    <w:uiPriority w:val="99"/>
    <w:semiHidden/>
    <w:unhideWhenUsed/>
    <w:rsid w:val="00BF37F0"/>
    <w:rPr>
      <w:color w:val="605E5C"/>
      <w:shd w:val="clear" w:color="auto" w:fill="E1DFDD"/>
    </w:rPr>
  </w:style>
  <w:style w:type="paragraph" w:customStyle="1" w:styleId="Emphasis1">
    <w:name w:val="Emphasis1"/>
    <w:basedOn w:val="Normal"/>
    <w:link w:val="Emphasis"/>
    <w:autoRedefine/>
    <w:uiPriority w:val="8"/>
    <w:qFormat/>
    <w:rsid w:val="00BF37F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BF37F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autoRedefine/>
    <w:uiPriority w:val="8"/>
    <w:qFormat/>
    <w:rsid w:val="00BF37F0"/>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0197939120650040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Pages>
  <Words>13832</Words>
  <Characters>78844</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2</cp:revision>
  <dcterms:created xsi:type="dcterms:W3CDTF">2025-09-27T19:06:00Z</dcterms:created>
  <dcterms:modified xsi:type="dcterms:W3CDTF">2025-09-28T18:43:00Z</dcterms:modified>
</cp:coreProperties>
</file>