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64D4" w14:textId="77777777" w:rsidR="00365070" w:rsidRPr="00A710BF" w:rsidRDefault="00365070" w:rsidP="00365070">
      <w:pPr>
        <w:pStyle w:val="Heading2"/>
        <w:rPr>
          <w:rFonts w:cs="Calibri"/>
        </w:rPr>
      </w:pPr>
      <w:r w:rsidRPr="00A710BF">
        <w:rPr>
          <w:rFonts w:cs="Calibri"/>
        </w:rPr>
        <w:t>1AC</w:t>
      </w:r>
    </w:p>
    <w:p w14:paraId="2FD1F6C1" w14:textId="77777777" w:rsidR="00365070" w:rsidRPr="00A710BF" w:rsidRDefault="00365070" w:rsidP="00365070">
      <w:pPr>
        <w:pStyle w:val="Heading3"/>
        <w:rPr>
          <w:rFonts w:cs="Calibri"/>
        </w:rPr>
      </w:pPr>
      <w:r w:rsidRPr="00A710BF">
        <w:rPr>
          <w:rFonts w:cs="Calibri"/>
        </w:rPr>
        <w:lastRenderedPageBreak/>
        <w:t>Plan</w:t>
      </w:r>
    </w:p>
    <w:p w14:paraId="24F40682" w14:textId="77777777" w:rsidR="00365070" w:rsidRPr="00A710BF" w:rsidRDefault="00365070" w:rsidP="00365070">
      <w:pPr>
        <w:pStyle w:val="Heading4"/>
        <w:rPr>
          <w:rFonts w:cs="Calibri"/>
        </w:rPr>
      </w:pPr>
      <w:r w:rsidRPr="00A710BF">
        <w:rPr>
          <w:rFonts w:cs="Calibri"/>
        </w:rPr>
        <w:t>The United States federal government should substantially strengthen collective bargaining rights by amending Title VII of the Civil Rights Act of 1964 to include collective bargaining as a protected action.</w:t>
      </w:r>
    </w:p>
    <w:p w14:paraId="40AA6C23" w14:textId="77777777" w:rsidR="00365070" w:rsidRPr="00A710BF" w:rsidRDefault="00365070" w:rsidP="00365070"/>
    <w:p w14:paraId="65035C6B" w14:textId="77777777" w:rsidR="00365070" w:rsidRPr="00A710BF" w:rsidRDefault="00365070" w:rsidP="00365070">
      <w:pPr>
        <w:pStyle w:val="Heading3"/>
        <w:rPr>
          <w:rFonts w:cs="Calibri"/>
        </w:rPr>
      </w:pPr>
      <w:r w:rsidRPr="00A710BF">
        <w:rPr>
          <w:rFonts w:cs="Calibri"/>
        </w:rPr>
        <w:lastRenderedPageBreak/>
        <w:t>Adv 1 – Progressive Neoliberalism</w:t>
      </w:r>
    </w:p>
    <w:p w14:paraId="4CFD6FAE" w14:textId="65C53F31" w:rsidR="00365070" w:rsidRPr="00A710BF" w:rsidRDefault="00365070" w:rsidP="00365070">
      <w:pPr>
        <w:pStyle w:val="Heading4"/>
        <w:rPr>
          <w:rFonts w:cs="Calibri"/>
        </w:rPr>
      </w:pPr>
      <w:r w:rsidRPr="00A710BF">
        <w:rPr>
          <w:rFonts w:cs="Calibri"/>
        </w:rPr>
        <w:t>The courts fundamentally underpinned the peak of labor’s strength during the New Deal era – 20 years later, the</w:t>
      </w:r>
      <w:r w:rsidR="003878F1">
        <w:rPr>
          <w:rFonts w:cs="Calibri"/>
        </w:rPr>
        <w:t xml:space="preserve">y </w:t>
      </w:r>
      <w:r w:rsidRPr="00A710BF">
        <w:rPr>
          <w:rFonts w:cs="Calibri"/>
        </w:rPr>
        <w:t xml:space="preserve">eviscerated the movement </w:t>
      </w:r>
    </w:p>
    <w:p w14:paraId="31B234E3" w14:textId="77777777" w:rsidR="00365070" w:rsidRPr="00A710BF" w:rsidRDefault="00365070" w:rsidP="00365070">
      <w:r w:rsidRPr="00CE30D3">
        <w:rPr>
          <w:rStyle w:val="Style13ptBold"/>
        </w:rPr>
        <w:t>Lewis 23</w:t>
      </w:r>
      <w:r w:rsidRPr="00A710BF">
        <w:t xml:space="preserve"> </w:t>
      </w:r>
      <w:r w:rsidRPr="00A710BF">
        <w:rPr>
          <w:sz w:val="16"/>
          <w:szCs w:val="16"/>
        </w:rPr>
        <w:t xml:space="preserve">(Thomas Tandy Lewis is a retired professor of history and editor of reference works on history and the U.S. Constitution. During his youth, he was a theological student and a fundamentalist preacher. “Supreme Court and labor law,” </w:t>
      </w:r>
      <w:r w:rsidRPr="00A710BF">
        <w:rPr>
          <w:i/>
          <w:iCs/>
          <w:sz w:val="16"/>
          <w:szCs w:val="16"/>
        </w:rPr>
        <w:t>Ebsco</w:t>
      </w:r>
      <w:r w:rsidRPr="00A710BF">
        <w:rPr>
          <w:sz w:val="16"/>
          <w:szCs w:val="16"/>
        </w:rPr>
        <w:t>, published 2023, https://www.ebsco.com/research-starters/law/supreme-court-and-labor-law) CT</w:t>
      </w:r>
    </w:p>
    <w:p w14:paraId="1CA3B7AB" w14:textId="77777777" w:rsidR="00365070" w:rsidRPr="00A710BF" w:rsidRDefault="00365070" w:rsidP="00365070">
      <w:pPr>
        <w:rPr>
          <w:sz w:val="10"/>
          <w:szCs w:val="10"/>
        </w:rPr>
      </w:pPr>
      <w:r w:rsidRPr="002B2095">
        <w:rPr>
          <w:rStyle w:val="StyleUnderline"/>
          <w:highlight w:val="green"/>
        </w:rPr>
        <w:t>During</w:t>
      </w:r>
      <w:r w:rsidRPr="00A710BF">
        <w:rPr>
          <w:rStyle w:val="StyleUnderline"/>
        </w:rPr>
        <w:t xml:space="preserve"> the first five years of President </w:t>
      </w:r>
      <w:r w:rsidRPr="002B2095">
        <w:rPr>
          <w:rStyle w:val="StyleUnderline"/>
          <w:highlight w:val="green"/>
        </w:rPr>
        <w:t>F</w:t>
      </w:r>
      <w:r w:rsidRPr="00A710BF">
        <w:rPr>
          <w:rStyle w:val="StyleUnderline"/>
        </w:rPr>
        <w:t xml:space="preserve">ranklin </w:t>
      </w:r>
      <w:r w:rsidRPr="002B2095">
        <w:rPr>
          <w:rStyle w:val="StyleUnderline"/>
          <w:highlight w:val="green"/>
        </w:rPr>
        <w:t>D. R</w:t>
      </w:r>
      <w:r w:rsidRPr="00A710BF">
        <w:rPr>
          <w:rStyle w:val="StyleUnderline"/>
        </w:rPr>
        <w:t>oosevelt</w:t>
      </w:r>
      <w:r w:rsidRPr="002B2095">
        <w:rPr>
          <w:rStyle w:val="StyleUnderline"/>
          <w:highlight w:val="green"/>
        </w:rPr>
        <w:t>’s admin</w:t>
      </w:r>
      <w:r w:rsidRPr="00A710BF">
        <w:rPr>
          <w:rStyle w:val="StyleUnderline"/>
        </w:rPr>
        <w:t xml:space="preserve">istration, five conservative </w:t>
      </w:r>
      <w:r w:rsidRPr="002B2095">
        <w:rPr>
          <w:rStyle w:val="StyleUnderline"/>
          <w:highlight w:val="green"/>
        </w:rPr>
        <w:t>justices</w:t>
      </w:r>
      <w:r w:rsidRPr="00A710BF">
        <w:rPr>
          <w:rStyle w:val="StyleUnderline"/>
        </w:rPr>
        <w:t xml:space="preserve"> (called the “five horsemen”) were </w:t>
      </w:r>
      <w:r w:rsidRPr="002B2095">
        <w:rPr>
          <w:rStyle w:val="StyleUnderline"/>
          <w:highlight w:val="green"/>
        </w:rPr>
        <w:t xml:space="preserve">firmly committed to </w:t>
      </w:r>
      <w:r w:rsidRPr="00A710BF">
        <w:rPr>
          <w:rStyle w:val="StyleUnderline"/>
        </w:rPr>
        <w:t xml:space="preserve">the </w:t>
      </w:r>
      <w:r w:rsidRPr="002B2095">
        <w:rPr>
          <w:rStyle w:val="StyleUnderline"/>
          <w:highlight w:val="green"/>
        </w:rPr>
        <w:t>laissez-faire</w:t>
      </w:r>
      <w:r w:rsidRPr="00A710BF">
        <w:rPr>
          <w:rStyle w:val="StyleUnderline"/>
        </w:rPr>
        <w:t xml:space="preserve"> perspective and opposed many New Deal reforms.</w:t>
      </w:r>
      <w:r w:rsidRPr="00A710BF">
        <w:rPr>
          <w:sz w:val="16"/>
        </w:rPr>
        <w:t xml:space="preserve"> In Schechter Poultry Corp. v. United States (1935), the conservative majority overturned the cornerstone of the New Deal’s labor-relations policy, the National Industrial Recovery Act of 1933, reiterating a narrow construction of congressional power under the commerce clause. In Morehead v. New York ex rel. Tipaldo (1936), moreover, the justices voted 5 to 4 to strike down a minimum wage law, reiterating their support for the freedom of contract doctrine. </w:t>
      </w:r>
      <w:r w:rsidRPr="002B2095">
        <w:rPr>
          <w:rStyle w:val="StyleUnderline"/>
          <w:highlight w:val="green"/>
        </w:rPr>
        <w:t>The next year</w:t>
      </w:r>
      <w:r w:rsidRPr="00A710BF">
        <w:rPr>
          <w:rStyle w:val="StyleUnderline"/>
        </w:rPr>
        <w:t xml:space="preserve">, however, the Court </w:t>
      </w:r>
      <w:r w:rsidRPr="002B2095">
        <w:rPr>
          <w:rStyle w:val="StyleUnderline"/>
          <w:highlight w:val="green"/>
        </w:rPr>
        <w:t xml:space="preserve">issued two </w:t>
      </w:r>
      <w:r w:rsidRPr="00A710BF">
        <w:rPr>
          <w:rStyle w:val="StyleUnderline"/>
        </w:rPr>
        <w:t xml:space="preserve">monumental, </w:t>
      </w:r>
      <w:r w:rsidRPr="002B2095">
        <w:rPr>
          <w:rStyle w:val="StyleUnderline"/>
          <w:highlight w:val="green"/>
        </w:rPr>
        <w:t>landmark reversals</w:t>
      </w:r>
      <w:r w:rsidRPr="00A710BF">
        <w:rPr>
          <w:rStyle w:val="StyleUnderline"/>
        </w:rPr>
        <w:t xml:space="preserve">—often </w:t>
      </w:r>
      <w:r w:rsidRPr="002B2095">
        <w:rPr>
          <w:rStyle w:val="StyleUnderline"/>
          <w:highlight w:val="green"/>
        </w:rPr>
        <w:t>referred to as</w:t>
      </w:r>
      <w:r w:rsidRPr="00A710BF">
        <w:rPr>
          <w:rStyle w:val="StyleUnderline"/>
        </w:rPr>
        <w:t xml:space="preserve"> constituting </w:t>
      </w:r>
      <w:r w:rsidRPr="002B2095">
        <w:rPr>
          <w:rStyle w:val="StyleUnderline"/>
          <w:highlight w:val="green"/>
        </w:rPr>
        <w:t>the “judicial revolution</w:t>
      </w:r>
      <w:r w:rsidRPr="00A710BF">
        <w:rPr>
          <w:rStyle w:val="StyleUnderline"/>
        </w:rPr>
        <w:t xml:space="preserve"> of 1937</w:t>
      </w:r>
      <w:r w:rsidRPr="00A710BF">
        <w:rPr>
          <w:sz w:val="16"/>
        </w:rPr>
        <w:t xml:space="preserve">.” In West Coast Hotel v. Parrish, the justices voted 5 to 4 to uphold a state minimum wage law, thereby overturning Morehead v. New York ex rel. Tipaldo. In National Labor Relations Board v. Jones &amp; Laughlin Steel Corp., the Court upheld the prolabor National Labor Relations Act of 1935, which guaranteed the right of employees of private businesses to organize labor unions and engage in collective bargaining. Not long after these two decisions, the retirement of conservative justices allowed President Roosevelt to appoint justices sympathetic to New Deal reforms. </w:t>
      </w:r>
      <w:r w:rsidRPr="002B2095">
        <w:rPr>
          <w:rStyle w:val="Emphasis"/>
          <w:highlight w:val="green"/>
        </w:rPr>
        <w:t>The Supreme Court’s change</w:t>
      </w:r>
      <w:r w:rsidRPr="00A710BF">
        <w:rPr>
          <w:rStyle w:val="Emphasis"/>
        </w:rPr>
        <w:t xml:space="preserve"> in direction </w:t>
      </w:r>
      <w:r w:rsidRPr="002B2095">
        <w:rPr>
          <w:rStyle w:val="Emphasis"/>
          <w:highlight w:val="green"/>
        </w:rPr>
        <w:t>reflected public opinion</w:t>
      </w:r>
      <w:r w:rsidRPr="00A710BF">
        <w:rPr>
          <w:rStyle w:val="Emphasis"/>
        </w:rPr>
        <w:t xml:space="preserve">, which was becoming more </w:t>
      </w:r>
      <w:r w:rsidRPr="002B2095">
        <w:rPr>
          <w:rStyle w:val="Emphasis"/>
          <w:highlight w:val="green"/>
        </w:rPr>
        <w:t>sympathetic toward organized labor</w:t>
      </w:r>
      <w:r w:rsidRPr="00A710BF">
        <w:rPr>
          <w:rStyle w:val="StyleUnderline"/>
        </w:rPr>
        <w:t xml:space="preserve">. Even before Roosevelt’s election, </w:t>
      </w:r>
      <w:r w:rsidRPr="002B2095">
        <w:rPr>
          <w:rStyle w:val="Emphasis"/>
          <w:highlight w:val="green"/>
        </w:rPr>
        <w:t>Congress</w:t>
      </w:r>
      <w:r w:rsidRPr="00A710BF">
        <w:rPr>
          <w:rStyle w:val="StyleUnderline"/>
        </w:rPr>
        <w:t xml:space="preserve"> had </w:t>
      </w:r>
      <w:r w:rsidRPr="00A710BF">
        <w:rPr>
          <w:rStyle w:val="Emphasis"/>
        </w:rPr>
        <w:t>enacted</w:t>
      </w:r>
      <w:r w:rsidRPr="00A710BF">
        <w:rPr>
          <w:rStyle w:val="StyleUnderline"/>
        </w:rPr>
        <w:t xml:space="preserve"> the </w:t>
      </w:r>
      <w:r w:rsidRPr="00A710BF">
        <w:rPr>
          <w:rStyle w:val="Emphasis"/>
        </w:rPr>
        <w:t>Norris-LaGuardia Act</w:t>
      </w:r>
      <w:r w:rsidRPr="00A710BF">
        <w:rPr>
          <w:rStyle w:val="StyleUnderline"/>
        </w:rPr>
        <w:t xml:space="preserve"> of 1932, </w:t>
      </w:r>
      <w:r w:rsidRPr="00A710BF">
        <w:rPr>
          <w:rStyle w:val="Emphasis"/>
        </w:rPr>
        <w:t>which</w:t>
      </w:r>
      <w:r w:rsidRPr="00A710BF">
        <w:rPr>
          <w:rStyle w:val="StyleUnderline"/>
        </w:rPr>
        <w:t xml:space="preserve"> unambiguously </w:t>
      </w:r>
      <w:r w:rsidRPr="002B2095">
        <w:rPr>
          <w:rStyle w:val="Emphasis"/>
          <w:highlight w:val="green"/>
        </w:rPr>
        <w:t>prohibited</w:t>
      </w:r>
      <w:r w:rsidRPr="00A710BF">
        <w:rPr>
          <w:rStyle w:val="StyleUnderline"/>
        </w:rPr>
        <w:t xml:space="preserve"> federal </w:t>
      </w:r>
      <w:r w:rsidRPr="002B2095">
        <w:rPr>
          <w:rStyle w:val="Emphasis"/>
          <w:highlight w:val="green"/>
        </w:rPr>
        <w:t>courts</w:t>
      </w:r>
      <w:r w:rsidRPr="002B2095">
        <w:rPr>
          <w:rStyle w:val="StyleUnderline"/>
          <w:highlight w:val="green"/>
        </w:rPr>
        <w:t xml:space="preserve"> from issuing injunctions</w:t>
      </w:r>
      <w:r w:rsidRPr="00A710BF">
        <w:rPr>
          <w:rStyle w:val="StyleUnderline"/>
        </w:rPr>
        <w:t xml:space="preserve"> </w:t>
      </w:r>
      <w:r w:rsidRPr="002B2095">
        <w:rPr>
          <w:rStyle w:val="Emphasis"/>
          <w:highlight w:val="green"/>
        </w:rPr>
        <w:t>to prevent</w:t>
      </w:r>
      <w:r w:rsidRPr="00A710BF">
        <w:rPr>
          <w:rStyle w:val="StyleUnderline"/>
        </w:rPr>
        <w:t xml:space="preserve"> nonviolent </w:t>
      </w:r>
      <w:r w:rsidRPr="002B2095">
        <w:rPr>
          <w:rStyle w:val="Emphasis"/>
          <w:highlight w:val="green"/>
        </w:rPr>
        <w:t>strikes</w:t>
      </w:r>
      <w:r w:rsidRPr="00A710BF">
        <w:rPr>
          <w:rStyle w:val="StyleUnderline"/>
        </w:rPr>
        <w:t xml:space="preserve">, picketing, </w:t>
      </w:r>
      <w:r w:rsidRPr="002B2095">
        <w:rPr>
          <w:rStyle w:val="StyleUnderline"/>
          <w:highlight w:val="green"/>
        </w:rPr>
        <w:t xml:space="preserve">or </w:t>
      </w:r>
      <w:r w:rsidRPr="002B2095">
        <w:rPr>
          <w:rStyle w:val="Emphasis"/>
          <w:highlight w:val="green"/>
        </w:rPr>
        <w:t>boycotts</w:t>
      </w:r>
      <w:r w:rsidRPr="00A710BF">
        <w:rPr>
          <w:rStyle w:val="StyleUnderline"/>
        </w:rPr>
        <w:t>.</w:t>
      </w:r>
      <w:r w:rsidRPr="00A710BF">
        <w:rPr>
          <w:sz w:val="16"/>
        </w:rPr>
        <w:t xml:space="preserve"> In 1938, the Court upheld the statute when it overruled a lower court’s antiunion injunction in Lauf v. E. G. Shinner. </w:t>
      </w:r>
      <w:r w:rsidRPr="00A710BF">
        <w:rPr>
          <w:rStyle w:val="StyleUnderline"/>
        </w:rPr>
        <w:t xml:space="preserve">In Hague v. Congress of Industrial Organizations (1939), </w:t>
      </w:r>
      <w:r w:rsidRPr="002B2095">
        <w:rPr>
          <w:rStyle w:val="StyleUnderline"/>
          <w:highlight w:val="green"/>
        </w:rPr>
        <w:t>the Court</w:t>
      </w:r>
      <w:r w:rsidRPr="00A710BF">
        <w:rPr>
          <w:rStyle w:val="StyleUnderline"/>
        </w:rPr>
        <w:t xml:space="preserve"> for the first time </w:t>
      </w:r>
      <w:r w:rsidRPr="002B2095">
        <w:rPr>
          <w:rStyle w:val="StyleUnderline"/>
          <w:highlight w:val="green"/>
        </w:rPr>
        <w:t>declared</w:t>
      </w:r>
      <w:r w:rsidRPr="00A710BF">
        <w:rPr>
          <w:rStyle w:val="StyleUnderline"/>
        </w:rPr>
        <w:t xml:space="preserve"> that the </w:t>
      </w:r>
      <w:r w:rsidRPr="002B2095">
        <w:rPr>
          <w:rStyle w:val="StyleUnderline"/>
          <w:highlight w:val="green"/>
        </w:rPr>
        <w:t xml:space="preserve">First Amendment protected </w:t>
      </w:r>
      <w:r w:rsidRPr="00A710BF">
        <w:rPr>
          <w:rStyle w:val="StyleUnderline"/>
        </w:rPr>
        <w:t xml:space="preserve">the right of </w:t>
      </w:r>
      <w:r w:rsidRPr="002B2095">
        <w:rPr>
          <w:rStyle w:val="StyleUnderline"/>
          <w:highlight w:val="green"/>
        </w:rPr>
        <w:t xml:space="preserve">labor </w:t>
      </w:r>
      <w:r w:rsidRPr="00A710BF">
        <w:rPr>
          <w:rStyle w:val="StyleUnderline"/>
        </w:rPr>
        <w:t xml:space="preserve">organizations </w:t>
      </w:r>
      <w:r w:rsidRPr="002B2095">
        <w:rPr>
          <w:rStyle w:val="StyleUnderline"/>
          <w:highlight w:val="green"/>
        </w:rPr>
        <w:t>to hold peaceful meetings</w:t>
      </w:r>
      <w:r w:rsidRPr="00A710BF">
        <w:rPr>
          <w:rStyle w:val="StyleUnderline"/>
        </w:rPr>
        <w:t xml:space="preserve"> and distribute literature without government interference. First Amendment protection was further extended in Thornhill v. Alabama (1940), which struck down an antipicketing ordinance and emphasized the importance of free discussion of labor issues. In another landmark ruling, United States v. Darby Lumber Co. (1941), the Court interpreted the commerce clause broadly to uphold the Fair Labor Standards Act of 1938, which provided maximum hours and minimum wages for all employees who manufactured goods shipped in interstate commerce. </w:t>
      </w:r>
      <w:r w:rsidRPr="00A710BF">
        <w:rPr>
          <w:sz w:val="10"/>
          <w:szCs w:val="10"/>
        </w:rPr>
        <w:t>In interpreting the National Labor Relations Act, however, the Court did not always support the interests of organized labor. In National Labor Relations Board v. Fansteel Metallurgical Corp. (1939), the Court recognized the discretion of an employer to discharge workers who had participated in a sit-down strike. Although workers had the right to engage in lawful strikes, the seizure of an employer’s plant was deemed a form of illegal violence. Likewise, in Milk Wagon Drivers Union v. Meadowmoor Dairies (1941), the Court recognized that state courts may issue injunctions to stop picketing whenever violence erupts. Collective Bargaining since 1945</w:t>
      </w:r>
      <w:r w:rsidRPr="00A710BF">
        <w:rPr>
          <w:sz w:val="16"/>
        </w:rPr>
        <w:t xml:space="preserve"> </w:t>
      </w:r>
      <w:r w:rsidRPr="00A710BF">
        <w:rPr>
          <w:rStyle w:val="StyleUnderline"/>
        </w:rPr>
        <w:t xml:space="preserve">During the years </w:t>
      </w:r>
      <w:r w:rsidRPr="002B2095">
        <w:rPr>
          <w:rStyle w:val="StyleUnderline"/>
          <w:highlight w:val="green"/>
        </w:rPr>
        <w:t>following World War II</w:t>
      </w:r>
      <w:r w:rsidRPr="00A710BF">
        <w:rPr>
          <w:rStyle w:val="StyleUnderline"/>
        </w:rPr>
        <w:t xml:space="preserve">, there was a </w:t>
      </w:r>
      <w:r w:rsidRPr="002B2095">
        <w:rPr>
          <w:rStyle w:val="StyleUnderline"/>
          <w:highlight w:val="green"/>
        </w:rPr>
        <w:t>reaction against the power that organized labor</w:t>
      </w:r>
      <w:r w:rsidRPr="00A710BF">
        <w:rPr>
          <w:rStyle w:val="StyleUnderline"/>
        </w:rPr>
        <w:t xml:space="preserve"> had </w:t>
      </w:r>
      <w:r w:rsidRPr="002B2095">
        <w:rPr>
          <w:rStyle w:val="StyleUnderline"/>
          <w:highlight w:val="green"/>
        </w:rPr>
        <w:t>gained during the New Deal</w:t>
      </w:r>
      <w:r w:rsidRPr="00A710BF">
        <w:rPr>
          <w:rStyle w:val="StyleUnderline"/>
        </w:rPr>
        <w:t xml:space="preserve"> period</w:t>
      </w:r>
      <w:r w:rsidRPr="00A710BF">
        <w:rPr>
          <w:sz w:val="16"/>
        </w:rPr>
        <w:t xml:space="preserve">. </w:t>
      </w:r>
      <w:r w:rsidRPr="00A710BF">
        <w:t xml:space="preserve">After the government seized coal mines in 1946, the president of the miners’ union refused to obey an injunction to end the strike. </w:t>
      </w:r>
      <w:r w:rsidRPr="00A710BF">
        <w:rPr>
          <w:rStyle w:val="StyleUnderline"/>
        </w:rPr>
        <w:t xml:space="preserve">The Supreme Court held in United States v. United Mine Workers (1947) that the union privilege against injunctions did not apply when government was the employer. </w:t>
      </w:r>
      <w:r w:rsidRPr="002B2095">
        <w:rPr>
          <w:rStyle w:val="StyleUnderline"/>
          <w:highlight w:val="green"/>
        </w:rPr>
        <w:t>Public reaction</w:t>
      </w:r>
      <w:r w:rsidRPr="00A710BF">
        <w:rPr>
          <w:rStyle w:val="StyleUnderline"/>
        </w:rPr>
        <w:t xml:space="preserve"> to the controversy </w:t>
      </w:r>
      <w:r w:rsidRPr="002B2095">
        <w:rPr>
          <w:rStyle w:val="StyleUnderline"/>
          <w:highlight w:val="green"/>
        </w:rPr>
        <w:t>encouraged</w:t>
      </w:r>
      <w:r w:rsidRPr="00A710BF">
        <w:rPr>
          <w:rStyle w:val="StyleUnderline"/>
        </w:rPr>
        <w:t xml:space="preserve"> passage of </w:t>
      </w:r>
      <w:r w:rsidRPr="002B2095">
        <w:rPr>
          <w:rStyle w:val="StyleUnderline"/>
          <w:highlight w:val="green"/>
        </w:rPr>
        <w:t>the Taft-Hartley Act</w:t>
      </w:r>
      <w:r w:rsidRPr="00A710BF">
        <w:rPr>
          <w:rStyle w:val="StyleUnderline"/>
        </w:rPr>
        <w:t xml:space="preserve"> of 1947, also called the Labor Management Relations Act, which placed a significant number of limitations on</w:t>
      </w:r>
      <w:r w:rsidRPr="00A710BF">
        <w:t xml:space="preserve"> unions’ powers and activities. To the dismay of labor unions, the Supreme Court firmly endorsed all the provisions of the Taft-Hartley Act. In American Communications Association v. Douds (1950), the Court upheld the requirement that union officers swear that they were not members of the Communist Party, based on the public interest in “the free flow of commerce.” In a series of complex cases, </w:t>
      </w:r>
      <w:r w:rsidRPr="00A710BF">
        <w:rPr>
          <w:rStyle w:val="StyleUnderline"/>
        </w:rPr>
        <w:t xml:space="preserve">particularly National Labor Relations Board v. Denver Building and Construction Council (1951), </w:t>
      </w:r>
      <w:r w:rsidRPr="002B2095">
        <w:rPr>
          <w:rStyle w:val="StyleUnderline"/>
          <w:highlight w:val="green"/>
        </w:rPr>
        <w:t>the Court</w:t>
      </w:r>
      <w:r w:rsidRPr="00A710BF">
        <w:rPr>
          <w:rStyle w:val="StyleUnderline"/>
        </w:rPr>
        <w:t xml:space="preserve"> upheld and broadly interpreted </w:t>
      </w:r>
      <w:r w:rsidRPr="002B2095">
        <w:rPr>
          <w:rStyle w:val="StyleUnderline"/>
          <w:highlight w:val="green"/>
        </w:rPr>
        <w:t>the</w:t>
      </w:r>
      <w:r w:rsidRPr="00A710BF">
        <w:rPr>
          <w:rStyle w:val="StyleUnderline"/>
        </w:rPr>
        <w:t xml:space="preserve"> act’s </w:t>
      </w:r>
      <w:r w:rsidRPr="002B2095">
        <w:rPr>
          <w:rStyle w:val="StyleUnderline"/>
          <w:highlight w:val="green"/>
        </w:rPr>
        <w:t>ban</w:t>
      </w:r>
      <w:r w:rsidRPr="00A710BF">
        <w:rPr>
          <w:rStyle w:val="StyleUnderline"/>
        </w:rPr>
        <w:t xml:space="preserve"> </w:t>
      </w:r>
      <w:r w:rsidRPr="002B2095">
        <w:rPr>
          <w:rStyle w:val="StyleUnderline"/>
          <w:highlight w:val="green"/>
        </w:rPr>
        <w:t>on secondary boycotts</w:t>
      </w:r>
      <w:r w:rsidRPr="00A710BF">
        <w:rPr>
          <w:rStyle w:val="StyleUnderline"/>
        </w:rPr>
        <w:t xml:space="preserve">, that is, on unions pressuring neutral parties to stop doing business with companies involved in labor disputes. </w:t>
      </w:r>
      <w:r w:rsidRPr="002B2095">
        <w:rPr>
          <w:rStyle w:val="StyleUnderline"/>
          <w:highlight w:val="green"/>
        </w:rPr>
        <w:t>The Court</w:t>
      </w:r>
      <w:r w:rsidRPr="00A710BF">
        <w:rPr>
          <w:rStyle w:val="StyleUnderline"/>
        </w:rPr>
        <w:t xml:space="preserve"> also </w:t>
      </w:r>
      <w:r w:rsidRPr="002B2095">
        <w:rPr>
          <w:rStyle w:val="StyleUnderline"/>
          <w:highlight w:val="green"/>
        </w:rPr>
        <w:t>sustained</w:t>
      </w:r>
      <w:r w:rsidRPr="00A710BF">
        <w:rPr>
          <w:rStyle w:val="StyleUnderline"/>
        </w:rPr>
        <w:t xml:space="preserve"> state </w:t>
      </w:r>
      <w:r w:rsidRPr="002B2095">
        <w:rPr>
          <w:rStyle w:val="StyleUnderline"/>
          <w:highlight w:val="green"/>
        </w:rPr>
        <w:t>right-to-work laws</w:t>
      </w:r>
      <w:r w:rsidRPr="00A710BF">
        <w:rPr>
          <w:rStyle w:val="StyleUnderline"/>
        </w:rPr>
        <w:t xml:space="preserve">, which </w:t>
      </w:r>
      <w:r w:rsidRPr="00A710BF">
        <w:rPr>
          <w:rStyle w:val="StyleUnderline"/>
        </w:rPr>
        <w:lastRenderedPageBreak/>
        <w:t xml:space="preserve">prohibited employees from being forced to pay union dues as a condition of employment. In Boys Market, Inc. v. Retail Clerks’ Local 770 (1970), unions were again disappointed when </w:t>
      </w:r>
      <w:r w:rsidRPr="002B2095">
        <w:rPr>
          <w:rStyle w:val="StyleUnderline"/>
          <w:highlight w:val="green"/>
        </w:rPr>
        <w:t>the Court</w:t>
      </w:r>
      <w:r w:rsidRPr="00A710BF">
        <w:rPr>
          <w:rStyle w:val="StyleUnderline"/>
        </w:rPr>
        <w:t xml:space="preserve">, in spite of the Norris-LaGuardia Act, </w:t>
      </w:r>
      <w:r w:rsidRPr="002B2095">
        <w:rPr>
          <w:rStyle w:val="StyleUnderline"/>
          <w:highlight w:val="green"/>
        </w:rPr>
        <w:t>allowed</w:t>
      </w:r>
      <w:r w:rsidRPr="00A710BF">
        <w:rPr>
          <w:rStyle w:val="StyleUnderline"/>
        </w:rPr>
        <w:t xml:space="preserve"> a federal court to issue an </w:t>
      </w:r>
      <w:r w:rsidRPr="002B2095">
        <w:rPr>
          <w:rStyle w:val="StyleUnderline"/>
          <w:highlight w:val="green"/>
        </w:rPr>
        <w:t>injunction against a peaceful strike</w:t>
      </w:r>
      <w:r w:rsidRPr="00A710BF">
        <w:rPr>
          <w:rStyle w:val="StyleUnderline"/>
        </w:rPr>
        <w:t xml:space="preserve"> conducted in violation of a no-strike pledge. </w:t>
      </w:r>
      <w:r w:rsidRPr="00A710BF">
        <w:rPr>
          <w:sz w:val="16"/>
          <w:szCs w:val="16"/>
        </w:rPr>
        <w:t>The Court has continued to decide many complex National Labor Relations Act–related questions, including the question of which workers are covered under the act. In Beasley v. Food Fair (1974), the Court ruled that managers of a grocery store chain were supervisors rather than employees, and they therefore were not guaranteed the rights of collective bargaining. Likewise, teachers in private schools, if allowed sufficient independence in their teaching, were classified as supervisors in National Labor Relations Board v. Yeshiva University (1980). The Court in Sure-Tan v. National Labor Relations Board (1984) ruled that provisions of the National Labor Relations Act prohibiting unfair labor practices applied to undocumented workers, although in Hoffman Plastic Compounds v. National Labor Relations Board (2002), it found that such workers were not entitled to recover back pay. Another long-standing National Labor Relations Act issue has been the right of collective bargaining in the public sector. In AFSCME v. Woodward (1969), the Eighth Circuit Court of Appeals recognized that public employees had a right to unionize under the First and Fourteenth Amendments. Although the U.S. Supreme Court ruled in 1976 that the National Labor Relations Act did not apply to state and local governments, it reversed that ruling in Garcia v. San Antonio Transit Authority (1985). The Court held that the First Amendment protected nonpolicymaking government employees from dismissals for partisan reasons in Elrod v. Burns (1976). This principle was extended to promotions, transfers, and hiring of low-level employees in Rutan v. Republican Party of Illinois (1990). In Abood v. Detroit Board of Education (1977), the Court ruled that nonunion public employees could be made to pay union dues to cover the costs of collective bargaining, based on the idea that nonunion employees enjoyed the benefits of that bargaining; however, the ruling also provided that nonunion employees should not have to pay the part of their dues that covered political activities with which they disagreed. This ruling was overturned four decades later in Janus v. AFSCME (2018), in which a newly strengthened conservative majority on the Court ruled that forcing nonunion public employees to pay any union dues violated their First Amendment rights. Workplace Discrimination</w:t>
      </w:r>
      <w:r w:rsidRPr="00A710BF">
        <w:rPr>
          <w:sz w:val="16"/>
        </w:rPr>
        <w:t xml:space="preserve"> </w:t>
      </w:r>
      <w:r w:rsidRPr="00A710BF">
        <w:rPr>
          <w:rStyle w:val="Emphasis"/>
        </w:rPr>
        <w:t>Before the Civil Rights movement, the Supreme Court in Steele v. Louisville &amp; Nashville Railroad Co. (1944) established the doctrine of “fair representation,” requiring that a labor union fairly represent all workers in a bargaining unit, regardless of race</w:t>
      </w:r>
      <w:r w:rsidRPr="00A710BF">
        <w:rPr>
          <w:sz w:val="16"/>
        </w:rPr>
        <w:t xml:space="preserve">. The decision was based on a very broad interpretation of the Railroad Labor Act. Two decades later, Congress enacted an explicit antidiscrimination mandate in Title VII of the Civil Rights Act of 1964, which provided remedies for discrimination in employment based on race, sex, religion, or national origin. </w:t>
      </w:r>
      <w:r w:rsidRPr="00A710BF">
        <w:rPr>
          <w:rStyle w:val="Emphasis"/>
        </w:rPr>
        <w:t>The Court has interpreted Title VII to prohibit not only intentional discrimination but also employment practices that have an indirect discriminatory impact on particular groups.</w:t>
      </w:r>
      <w:r w:rsidRPr="00A710BF">
        <w:rPr>
          <w:sz w:val="16"/>
        </w:rPr>
        <w:t xml:space="preserve"> </w:t>
      </w:r>
      <w:r w:rsidRPr="00A710BF">
        <w:rPr>
          <w:sz w:val="10"/>
          <w:szCs w:val="10"/>
        </w:rPr>
        <w:t>In the landmark case Griggs v. Duke Power Co. (1971), the Court ruled that hiring and promotion policies that result in a “racially disparate impact” must be clearly job related to be lawful. In United Steelworkers v. Weber (1979), the Court allowed employers voluntarily to grant preferences (even quotas) for members of racial minorities that are underrepresented in a particular employment category of the company. In cases such as United States v. Paradise (1987), the Court approved of judicially imposed quotas as remedies to overcome the present consequences of an employer’s past racial discrimination. The Court’s broad interpretations of Title VII also allowed preferences for women in affirmative action programs designed to counter gender imbalance, as in Johnson v. Santa Clara County (1987). In Automobile Workers v. Johnson Controls (1991), moreover, the Court unanimously rejected a company’s fetal protection rules, which had required women to be sterilized as a condition of holding positions that exposed them to high levels of lead. In 1986, the Court endorsed an Equal Employment Opportunity Commission (EEOC) regulation that interpreted sexual harassment as a form of illegal discrimination. The ruling was expanded in Teresa Harris v. Forklift Systems (1993). Another labor statute requiring judicial interpretation is the Americans with Disabilities Act (ADA) of 1990, which prohibits unjustified discrimination against persons with substantial impairments and requires employers to provide “reasonable accommodations” that do not cause “undue hardship.” The courts must decide the meaning of “reasonable” and “undue.” Although the statute requires significant changes in the workplace, ADA plaintiffs have generally not prevailed in court, in part because of relevant Supreme Court decisions. In Sutton v. United States (1999), for instance, the Court held that a correctable impairment (myopia correctable by eyeglasses in this case) cannot be classified as a disability under the ADA.</w:t>
      </w:r>
    </w:p>
    <w:p w14:paraId="4FC9CE5F" w14:textId="77777777" w:rsidR="00365070" w:rsidRPr="00A710BF" w:rsidRDefault="00365070" w:rsidP="00365070">
      <w:pPr>
        <w:rPr>
          <w:sz w:val="10"/>
          <w:szCs w:val="10"/>
        </w:rPr>
      </w:pPr>
    </w:p>
    <w:p w14:paraId="0BFEF5A5" w14:textId="77777777" w:rsidR="00365070" w:rsidRPr="00A710BF" w:rsidRDefault="00365070" w:rsidP="00365070">
      <w:pPr>
        <w:pStyle w:val="Heading4"/>
        <w:rPr>
          <w:rFonts w:cs="Calibri"/>
        </w:rPr>
      </w:pPr>
      <w:r w:rsidRPr="00A710BF">
        <w:rPr>
          <w:rFonts w:cs="Calibri"/>
        </w:rPr>
        <w:t xml:space="preserve">Neoliberalism cannibalized that progressive energy by centering exclusion, opposed to inequality, as the cornerstone of injustice - The decline of labor’s power is the story of leftist neoliberalization </w:t>
      </w:r>
    </w:p>
    <w:p w14:paraId="4F227A55" w14:textId="77777777" w:rsidR="00365070" w:rsidRPr="00A710BF" w:rsidRDefault="00365070" w:rsidP="00365070">
      <w:r w:rsidRPr="00CE30D3">
        <w:rPr>
          <w:rStyle w:val="Style13ptBold"/>
        </w:rPr>
        <w:t>Fraser and Monticelli 21</w:t>
      </w:r>
      <w:r w:rsidRPr="00A710BF">
        <w:t xml:space="preserve"> </w:t>
      </w:r>
      <w:r w:rsidRPr="00A710BF">
        <w:rPr>
          <w:sz w:val="16"/>
          <w:szCs w:val="16"/>
        </w:rPr>
        <w:t>(Nancy Fraser is an American philosopher, critical theorist, feminist, and the Henry A. and Louise Loeb Professor of Political and Social Science and professor of philosophy at The New School in New York City, Lara Monticelli is Assistant Professor and Marie Skłodowska-Curie Fellow at Copenhagen Business School. “Progressive Neoliberalism isn't the solution. We need radical, counter-hegemonic and anti-capitalist alliance. A conversation with Nancy Fraser,”</w:t>
      </w:r>
      <w:r w:rsidRPr="00A710BF">
        <w:rPr>
          <w:i/>
          <w:iCs/>
          <w:sz w:val="16"/>
          <w:szCs w:val="16"/>
        </w:rPr>
        <w:t xml:space="preserve"> Emancipations: A Journal of Critical Social Analysis,</w:t>
      </w:r>
      <w:r w:rsidRPr="00A710BF">
        <w:rPr>
          <w:sz w:val="16"/>
          <w:szCs w:val="16"/>
        </w:rPr>
        <w:t xml:space="preserve"> Volume 1 Issue 1 Article 2, September 2021, https://scholarsjunction.msstate.edu/cgi/viewcontent.cgi?article=1002&amp;context=emancipations) CT</w:t>
      </w:r>
    </w:p>
    <w:p w14:paraId="78BBDBFA" w14:textId="77777777" w:rsidR="00365070" w:rsidRPr="00A710BF" w:rsidRDefault="00365070" w:rsidP="00365070">
      <w:pPr>
        <w:rPr>
          <w:sz w:val="16"/>
        </w:rPr>
      </w:pPr>
      <w:r w:rsidRPr="00A710BF">
        <w:rPr>
          <w:sz w:val="16"/>
        </w:rPr>
        <w:t xml:space="preserve">Lara Monticelli (LM): As it is clear from the title, the key protagonist of your book is capitalism. And your goal is to return to what you call a “large scale”, “grand type” of social theory, a critical theory of capitalism that explicitly aims at integrating Marxist critique with ecological, feminist and postcolonial critiques. To begin with, I would like to ask you, when did you start to envision this new intellectual project? Is it a natural continuation or a slight turn in terms of focus, with respect to your previous intellectual production? Nancy Fraser (NF): You are right that the protagonist of our book is capitalism and that its aim is to revive large-scale or grand social theorising. In fact, that's not at all a new interest for me. </w:t>
      </w:r>
      <w:r w:rsidRPr="00A710BF">
        <w:rPr>
          <w:rStyle w:val="StyleUnderline"/>
        </w:rPr>
        <w:t>My world-view was formed in the New Left, way back when, and when I entered academia, I brought with me the firm conviction that capitalism was the master category or framing concept for all serious social theorizing.</w:t>
      </w:r>
      <w:r w:rsidRPr="00A710BF">
        <w:rPr>
          <w:sz w:val="16"/>
        </w:rPr>
        <w:t xml:space="preserve"> But as the decades wore on and the New Left ethos faded, I began to realize that not everyone shared that assumption. </w:t>
      </w:r>
      <w:r w:rsidRPr="00A710BF">
        <w:rPr>
          <w:rStyle w:val="StyleUnderline"/>
        </w:rPr>
        <w:t xml:space="preserve">Rather, the default position, at least in the United States, was (and still is) </w:t>
      </w:r>
      <w:r w:rsidRPr="00A710BF">
        <w:rPr>
          <w:rStyle w:val="StyleUnderline"/>
        </w:rPr>
        <w:lastRenderedPageBreak/>
        <w:t>liberalism of one kind or another, whether left-egalitarian or libertarian-individualist</w:t>
      </w:r>
      <w:r w:rsidRPr="00A710BF">
        <w:rPr>
          <w:sz w:val="16"/>
        </w:rPr>
        <w:t xml:space="preserve">. As that realization dawned, I saw that my formative experience in the New Left had been an aberration, just as the 1930s had been for a previous generation of US radicals. These were periods in which the structural weakness of the whole social system became widely apparent, leading many people to radicalize their thinking, to search out the deep roots of societal woes, and to identify the structural changes needed to overcome them. But these periods were exceptional. </w:t>
      </w:r>
      <w:r w:rsidRPr="00A710BF">
        <w:rPr>
          <w:rStyle w:val="StyleUnderline"/>
        </w:rPr>
        <w:t>In “normal” times, nearly all Americans, including those who lean left, are focused on reforming the system, seeking to expand rights and opportunities within it. Let me be clear: I’m not opposed to all such efforts; there could be good tactical reasons to pursue certain types of reforms in historically specific situations.</w:t>
      </w:r>
      <w:r w:rsidRPr="00A710BF">
        <w:rPr>
          <w:sz w:val="16"/>
        </w:rPr>
        <w:t xml:space="preserve"> But when reformism becomes the default taken-forgranted perspective, the effect is to direct attention away from the fundamental structures of the social totality. And that’s bound to be politically and intellectually disabling in the long run–above all in times of acute crisis, such as the present. </w:t>
      </w:r>
      <w:r w:rsidRPr="00A710BF">
        <w:rPr>
          <w:rStyle w:val="Emphasis"/>
        </w:rPr>
        <w:t xml:space="preserve">Anyway, there came a point when I saw that interest in </w:t>
      </w:r>
      <w:r w:rsidRPr="002B2095">
        <w:rPr>
          <w:rStyle w:val="Emphasis"/>
          <w:highlight w:val="green"/>
        </w:rPr>
        <w:t>structural critique</w:t>
      </w:r>
      <w:r w:rsidRPr="00A710BF">
        <w:rPr>
          <w:rStyle w:val="Emphasis"/>
        </w:rPr>
        <w:t xml:space="preserve"> of the social totality was </w:t>
      </w:r>
      <w:r w:rsidRPr="002B2095">
        <w:rPr>
          <w:rStyle w:val="Emphasis"/>
          <w:highlight w:val="green"/>
        </w:rPr>
        <w:t>waning in progressive circles</w:t>
      </w:r>
      <w:r w:rsidRPr="00A710BF">
        <w:rPr>
          <w:rStyle w:val="Emphasis"/>
        </w:rPr>
        <w:t>.</w:t>
      </w:r>
      <w:r w:rsidRPr="00A710BF">
        <w:rPr>
          <w:sz w:val="16"/>
        </w:rPr>
        <w:t xml:space="preserve"> In response, I made a series of interventions aimed at exposing the amnesia of political economy – showing how that had dropped out of feminist and anti-racist critique, out of Critical Theory in every sense, out of all manner of egalitarian thought</w:t>
      </w:r>
      <w:r w:rsidRPr="00A710BF">
        <w:rPr>
          <w:rStyle w:val="StyleUnderline"/>
        </w:rPr>
        <w:t xml:space="preserve">. I also argued that </w:t>
      </w:r>
      <w:r w:rsidRPr="002B2095">
        <w:rPr>
          <w:rStyle w:val="StyleUnderline"/>
          <w:highlight w:val="green"/>
        </w:rPr>
        <w:t>a one-sided focus on</w:t>
      </w:r>
      <w:r w:rsidRPr="00A710BF">
        <w:rPr>
          <w:rStyle w:val="StyleUnderline"/>
        </w:rPr>
        <w:t xml:space="preserve"> issues of </w:t>
      </w:r>
      <w:r w:rsidRPr="002B2095">
        <w:rPr>
          <w:rStyle w:val="StyleUnderline"/>
          <w:highlight w:val="green"/>
        </w:rPr>
        <w:t>recognition</w:t>
      </w:r>
      <w:r w:rsidRPr="00A710BF">
        <w:rPr>
          <w:rStyle w:val="StyleUnderline"/>
        </w:rPr>
        <w:t xml:space="preserve"> or identity politics dovetailed with, and effectively </w:t>
      </w:r>
      <w:r w:rsidRPr="002B2095">
        <w:rPr>
          <w:rStyle w:val="StyleUnderline"/>
          <w:highlight w:val="green"/>
        </w:rPr>
        <w:t>bolstered</w:t>
      </w:r>
      <w:r w:rsidRPr="00A710BF">
        <w:rPr>
          <w:rStyle w:val="StyleUnderline"/>
        </w:rPr>
        <w:t xml:space="preserve">, the process of </w:t>
      </w:r>
      <w:r w:rsidRPr="002B2095">
        <w:rPr>
          <w:rStyle w:val="StyleUnderline"/>
          <w:highlight w:val="green"/>
        </w:rPr>
        <w:t>neoliberalization</w:t>
      </w:r>
      <w:r w:rsidRPr="00A710BF">
        <w:rPr>
          <w:rStyle w:val="StyleUnderline"/>
        </w:rPr>
        <w:t xml:space="preserve"> then underway.</w:t>
      </w:r>
      <w:r w:rsidRPr="00A710BF">
        <w:rPr>
          <w:sz w:val="16"/>
        </w:rPr>
        <w:t xml:space="preserve"> So, I went from thinking that it was obvious to everyone that capitalism was the core question for critical theorizing to the realization that the proposition had to be argued. Aiming to confront the issue directly, I began trying to convince my readers to refocus their attention on capitalism. That </w:t>
      </w:r>
      <w:r w:rsidRPr="00F81ECB">
        <w:rPr>
          <w:rStyle w:val="Emphasis"/>
          <w:highlight w:val="green"/>
        </w:rPr>
        <w:t>agenda is</w:t>
      </w:r>
      <w:r w:rsidRPr="00A710BF">
        <w:rPr>
          <w:sz w:val="16"/>
        </w:rPr>
        <w:t xml:space="preserve"> front and center in this book. The book is also an attempt, as you noted, </w:t>
      </w:r>
      <w:r w:rsidRPr="002B2095">
        <w:rPr>
          <w:sz w:val="16"/>
          <w:highlight w:val="green"/>
        </w:rPr>
        <w:t xml:space="preserve">to </w:t>
      </w:r>
      <w:r w:rsidRPr="002B2095">
        <w:rPr>
          <w:rStyle w:val="StyleUnderline"/>
          <w:highlight w:val="green"/>
        </w:rPr>
        <w:t xml:space="preserve">integrate </w:t>
      </w:r>
      <w:r w:rsidRPr="00A710BF">
        <w:rPr>
          <w:rStyle w:val="StyleUnderline"/>
        </w:rPr>
        <w:t xml:space="preserve">the best </w:t>
      </w:r>
      <w:r w:rsidRPr="002B2095">
        <w:rPr>
          <w:rStyle w:val="StyleUnderline"/>
          <w:highlight w:val="green"/>
        </w:rPr>
        <w:t>insights of</w:t>
      </w:r>
      <w:r w:rsidRPr="00A710BF">
        <w:rPr>
          <w:rStyle w:val="StyleUnderline"/>
        </w:rPr>
        <w:t xml:space="preserve"> Marxism with those of feminist and LGBTQ theory, anti-imperialist and critical race theory, democratic and ecological theory–in short with </w:t>
      </w:r>
      <w:r w:rsidRPr="002B2095">
        <w:rPr>
          <w:rStyle w:val="StyleUnderline"/>
          <w:highlight w:val="green"/>
        </w:rPr>
        <w:t>everything we’ve learned since the 1960s</w:t>
      </w:r>
      <w:r w:rsidRPr="00A710BF">
        <w:rPr>
          <w:sz w:val="16"/>
        </w:rPr>
        <w:t xml:space="preserve">. As I see it, </w:t>
      </w:r>
      <w:r w:rsidRPr="00A710BF">
        <w:rPr>
          <w:rStyle w:val="StyleUnderline"/>
        </w:rPr>
        <w:t xml:space="preserve">this process is not about adding new variables or “systems” to existing Marxian paradigms. Rather, it requires revisiting the concept of capitalism and thinking it differently. </w:t>
      </w:r>
      <w:r w:rsidRPr="00A710BF">
        <w:rPr>
          <w:sz w:val="8"/>
          <w:szCs w:val="8"/>
        </w:rPr>
        <w:t>LM: In the book you start your conversation with Rahel Jaeggi by addressing the key question of how to define capitalism. The characteristics you describe are reflecting your willingness to include in the definition of capitalism what you call “the background conditions of possibility” that have been the fundamental basis of capitalist development in the last four hundred years … NF: Right. Too many people think that capitalism is simply an economic system. That's the view of mainstream economists and corporate players. It's also the common sense of most so-called ordinary people, including progressives, and even of many self-described Marxists. But this view of capitalism is too narrow. It obscures all the necessary background conditions for a capitalist economy, things on which the latter depends and to which it helps itself freely, but which it disavows and fails to replenish. I will spell out those conditions concretely in a minute. But I want to say first that anything that constitutes a necessary presupposition for a capitalist economy needs to figure directly into our definition of what capitalism is. Far from a mere “economy,” capitalism is something larger, an “institutionalized social order” on a par, for example, with feudalism. Just as feudalism was neither simply an economic system nor a military system nor a political system but a broader societal order that encompassed all those things, so the same is true for capitalism. It’s a way of organizing, not just economic production and exchange, but the relation of production and exchange to a wide range of social relations, activities and processes, viewed as non-economic, which make the economy possible. In the book I describe four such non-economic background conditions without which a capitalist economy could not exist.</w:t>
      </w:r>
      <w:r w:rsidRPr="00A710BF">
        <w:rPr>
          <w:sz w:val="16"/>
        </w:rPr>
        <w:t xml:space="preserve"> </w:t>
      </w:r>
      <w:r w:rsidRPr="00A710BF">
        <w:rPr>
          <w:rStyle w:val="StyleUnderline"/>
        </w:rPr>
        <w:t>The first is social reproduction–or, as many now call it, “carework.” Included here are all the activities that create, socialize, nurture, sustain and replenish the human beings who occupy positions in the economy</w:t>
      </w:r>
      <w:r w:rsidRPr="00A710BF">
        <w:rPr>
          <w:sz w:val="16"/>
        </w:rPr>
        <w:t xml:space="preserve">. </w:t>
      </w:r>
      <w:r w:rsidRPr="00A710BF">
        <w:rPr>
          <w:sz w:val="8"/>
          <w:szCs w:val="8"/>
        </w:rPr>
        <w:t>You can’t have a capitalist economy without “workers” who produce commodities under the aegis of for-profit enterprises. And you can’t have them without “caregivers” who reproduce human beings in settings external to the official economy. Carework includes gestation, birthing, nursing, feeding, bathing, socializing, educating, healing, protecting, solacing–in short, everything essential to sustaining beings who are at once biological and social. Historically, much of this work has been unwaged and performed by women–often in households, but also in communities, neighborhoods and villages; in civil-society associations, public-sector agencies and increasingly nowadays in for-profit firms, such as schools and nursing homes. But wherever it’s done, social reproduction is an indispensable precondition for economic production–hence, for the making of profit and the accumulation of capital. Yet capital goes to great lengths to avoid paying for carework–or failing that, to pay as little as possible for it. And this is a set-up for trouble. Because capitalist societies incentivize business to free-ride on carework with no obligation to replenish it, they entrench a deep-seated tendency to social-reproductive crisis, as well as a gender order that subordinates women. A second precondition for a capitalist economy is ecological. Just as a capitalist economy depends on carework, so too it presupposes the availability of energy to power production and material substrates, including “raw materials,” for labor to transform. Capital relies, in short, on “nature”–in the sense, first, of specific substances inputted directly into production; and second, of general environmental conditions for it, such as breathable air, potable water, fertile soil, relatively stable sea levels, a habitable climate, and so on. But there’s the rub. By its very design, capitalist society incentivizes the owners to treats nature as a bottomless trove of “non-economic” treasure, there for the taking and infinitely self-regenerating, not needing replenishment or repair. This, too, we’ve finally realized, is a recipe for disaster. Capitalist societies institutionalize a structural tendency to ecological crisis–as well as profound disparities in vulnerability to the ensuing fallout. Those disparities point to a third condition of possibility for capital accumulation: wealth commandeered from subject populations. Almost always racialized, such populations are designated for expropriation, as opposed to exploitation. Deprived of state protection and actionable rights, their land and labor can be taken without remuneration and funneled into the circuits of accumulation. Expropriation is often seen as an early, superseded feature of a system that piles up wealth by exploiting (free) “workers” in factories. But that’s a mistake. Capitalist production would not be profitable without an ongoing stream of cheap inputs, including natural resources and unfree or dependent labor, confiscated from populations subjected by conquest, enslavement, unequal exchange, incarceration or predatory debt and therefore unable to fight back. It has been said that behind Manchester stood Mississippi, meaning that slave labor supplied the cheap raw cotton that fed the iconic textile mills at the dawn of industrialization. But the same is true today: behind Cupertino stands Kinshasa, where coltan for iPhones is mined on the cheap, at times by enslaved Congolese children. In truth, capitalist society is necessarily imperialist, continuously creating defenseless populations for expropriation. Its economy doesn't work if everyone is paid wages that cover their true reproduction costs. It doesn’t work, that is, without a global color line dividing populations that are “merely” exploitable from those that are downright expropriable. By institutionalizing that division, capitalism also entrenches racial-imperial oppression and the political struggles surrounding it. This suggests a fourth background condition for a capitalist economy: public power–paradigmatically, but not only, state power. Accumulation can’t proceed without such power in its historic core: without legal systems that guarantee private property and contractual exchange. Also essential are repressive forces that manage dissent, put down rebellions, and enforce the status hierarchies that enable corporations to expropriate racialized populations at home and abroad. Nor can the system function, finally, without public regulations and public goods, including infrastructures of various kinds and a stable money supply. These are indispensable for accumulation but cannot be provided through the market. Rather, they can only be secured by the exercise of public power. Capital needs such power, accordingly, but it is also primed to undermine it–by evading taxes, weakening regulations, offshoring operations, or capturing public agencies. The result is a set of built-in tensions between “the economic” and “the political”–and a deep-seated tendency to political crisis. In all four cases, then, capitalist societies institute contradictory relations between their economies and the latter’s non-economic conditions of possibility. These relations become visible only when we understand capitalism broadly–not as a “mere” economic system, but as an institutionalized social order that also includes social reproduction, nature, wealth expropriated from racialized populations, and public power–all of which are essential to accumulation, yet are depleted and destabilized by it. That’s the main point of this book: to replace the narrow definition of capitalism as an economic system with an expanded view of it. This approach enlarges our view of capitalism’s contradictions and thus explains why capitalist societies are uniquely and nonaccidentally prone to systemic crises–some of which appear to be “non-economic.” It also integrates socialists’ longstanding interests in exploitation with the concerns of feminists, environmentalists, anti-racists, anti-imperialists, and radical democrats. LM: The argumentation that you build with Rahel Jaeggi starts by focusing on the diachronic logic of capitalism, that is the evolution of capitalism over time. You describe four “regimes” or phases: mercantile capitalism, liberal capitalism, state-managed capitalism and the contemporary one, financialized capitalism. Embracing an historical approach for the study of capitalism is something that other social theorists, like Immanuel Wallerstein or Wolfgang Streeck, have done, but the unique feature of your analysis is that you interpret each new phase of capitalism as a reaction, an adjustment to contradictions and tensions that arose in the previous phase. In this sense, your approach here reminds me of Boltanski and Chiapello’s theories on the adaptive and co-opting capacity of capitalism. Nancy Fraser (NF): Right.</w:t>
      </w:r>
      <w:r w:rsidRPr="00A710BF">
        <w:rPr>
          <w:sz w:val="16"/>
        </w:rPr>
        <w:t xml:space="preserve"> </w:t>
      </w:r>
      <w:r w:rsidRPr="00A710BF">
        <w:rPr>
          <w:rStyle w:val="StyleUnderline"/>
        </w:rPr>
        <w:t>Tensions are bound to arise in any form of capitalist society– no matter exactly how and where it divides production from reproduction, economy from polity, society from nature, exploited from expropriated labor. Those divisions represent the system’s faultlines, the joints that register its contradictions, as capital destabilizes its own conditions of possibility.</w:t>
      </w:r>
      <w:r w:rsidRPr="00A710BF">
        <w:rPr>
          <w:sz w:val="16"/>
        </w:rPr>
        <w:t xml:space="preserve"> It is primed, as I said, to cannibalize carework, nature, public power, the wealth of racialized populations–and thus periodically to threaten the well-being of nearly all non-propertied people. </w:t>
      </w:r>
      <w:r w:rsidRPr="00A710BF">
        <w:rPr>
          <w:rStyle w:val="StyleUnderline"/>
        </w:rPr>
        <w:t>No matter how well a given regime of accumulation manages to finesse these contradictions for a time, it can never fully master them.</w:t>
      </w:r>
      <w:r w:rsidRPr="00A710BF">
        <w:rPr>
          <w:sz w:val="16"/>
        </w:rPr>
        <w:t xml:space="preserve"> </w:t>
      </w:r>
      <w:r w:rsidRPr="00A710BF">
        <w:rPr>
          <w:sz w:val="10"/>
          <w:szCs w:val="10"/>
        </w:rPr>
        <w:t xml:space="preserve">Eventually they resurface, and the regime begins to unravel. What follows is an interregnum, a period of uncertainty between regimes, when all of the system’s irrationalities and injustices emerge in plain sight. In such moments, and there have been only a handful of them in capitalism’s 500+ year history, what emerges is not “just” a sectoral crisis, but a general crisis of the whole social order, which shakes the reigning commonsense. And that opens the door to a much wilder public space, where newly radicalized social actors put forth a broad array of competing ideas about what should replace it. Aiming to build a counterhegemony, they struggle to assemble a new historic bloc with sufficient heft to reorganize capitalist society–not only by restructuring the economy but also by remapping the latter’s relations with its “non-economic” conditions of possibility. The result in each such situation to date has been a new form of capitalism, one that addresses, at least for a while, the contradictions generated by the previous regime, until the new one, too, gestates its own contradictions and gives way in turn. This is the pattern of capitalist development to date: a succession of regimes, punctuated by developmental crises. Thus, we can distinguish between "normal politics," when a critical mass of people accepts the terms of the social order as given and fights to get the best deal within it – and “abnormal” politics, when the whole order appears shaky and comes into question. The latter situations represent rare episodes of relatively emphatic freedom, when we can contemplate changing the rules of the game. I’m unsure whether Boltanski and Chiapello fully share the perspective I’m outlining here. But you are right that there have been other attempts to periodize capitalism. I'm especially influenced by Giovanni Arrighi’s The Long 20th Century and by the French regulation school. I agree with their list of regimes: mercantilist or commercial capitalism, laisser-faire or liberal-colonial capitalism, state-organized or social-democratic capitalism, and neoliberal or financialized capitalism. But I conceive these regimes differently. Those thinkers focused on the relations between states and markets, showing how a given division between them became contested and was revised. That’s important, to be sure. But it’s only one of several plot lines of a larger story. Regime changes comprise more than shifts in economy-polity relations; they also change the relation of production to reproduction, economy to nature, exploitation to expropriation. These other strands have been neglected in </w:t>
      </w:r>
      <w:r w:rsidRPr="00A710BF">
        <w:rPr>
          <w:sz w:val="10"/>
          <w:szCs w:val="10"/>
        </w:rPr>
        <w:lastRenderedPageBreak/>
        <w:t>most previous periodizations. But they are central in mine. As I said, I’m engaged in expanding our understanding of capitalism so as to include gender, ecology, race and empire. And that requires bringing these neglected parts of the story into our periodizations. LM: In the book you describe various types of critique that have been addressed to capitalism: the functionalist critique, the moral critique, and the ethical critique. You add a fourth one, which you call the freedom critique... NF: Right. The chapter on “Criticizing Capitalism” draws largely from the work of my coauthor, Rahel Jaeggi. In the previous chapters (“Conceptualizing Capitalism” and Historicizing Capitalism”), I spell out the views I’ve outlined here, about what capitalism is and how we should understand its history. But the next question is, what (if anything) is wrong with capitalism? How should we criticize it? Well, from what I already said, you can see that one defect of capitalism is its proneness to crisis–its tendency to cannibalize its own presuppositions and thus periodically to generate rampant misery on a massive scale. So, “crisis critique,” aimed at disclosing the system’s built-in contradictions or crisis tendencies, is one major genre of critique. Its force consists in showing that the ensuing misery is not accidental but the result of the system’s constitutive dynamics. In recent years, however, this kind of critique has itself been criticized, rejected along with Marxism as “functionalist,” which here means economic-reductionist and deterministic. I wouldn't deny that some forms of Marxism deserve those labels, but let’s not throw out the baby with the bath. The times we are living through cry out for a critique of capitalism’s deep-seated crisis tendencies, whose actualizations are now painfully obvious. So I have tried to reconstruct crisis critique in a form that is not vulnerable to those objections. By foregrounding non8 Emancipations: A Journal of Critical Social Analysis, Vol. 1, Iss. 1 [2021], Art. 2 https://scholarsjunction.msstate.edu/emancipations/vol1/iss1/2 DOI: https://doi.org/10.54718/QFGQ4498 economic crisis tendencies (ecological, social, political), I have steered clear of economic reductionism. And by stressing the openness of interregnum periods, when hegemony unravels and both political imagination and freedom of action expand, I have avoided determinism. But as Jaeggi stresses, capitalism can also be criticized on normative grounds. Unlike Marx, I wouldn’t hesitate to use the morally laden term “unjust” to describe a social system that entrenches multiple forms of structural domination through which one group of people flourishes thanks to the oppression of others. The Marxian account of class domination, grounded in the exploitation of (doubly) free wage workers by capitalists at the point of production, is a case in point. But from what I said before about production and reproduction, you can see that gender domination is equally entrenched in capitalist society. And the same is true for racial and imperial oppression, given what I said before about exploitation and expropriation. These injustices are just as structural as class domination; none of them is secondary or incidental. In general, then, the expanded view of capitalism as an institutionalized social order entails an expanded normative critique of the system’s multiple inherent injustices. Finally, Jaeggi explores the potential of an ethical critique of capitalism. That sort of critique is also normative but not because it focuses on capitalism’s unfairness. Its focus, rather, is the system’s “badness,” its entrenchment of alienation and reification, which prevent us from living good lives. In other words: capitalism is a bad form of life– not because some people are ripping off others, nor because it's eating its own tail and always breaking down, but because it stunts us and blocks our ability to live well. Of course, it’s notoriously difficult to spell out what that means–and to do so in a way that’s not tendentious or sectarian–that’s not, for example, Eurocentric. Jaeggi thinks she’s found a way to do that. Personally, I’m not so sure, although I agree we should try. It would be a huge loss if we were forced to abandon the critique of capitalist society as inherently alienating, imposing bad ways of living. “Freedom” critique is a way to get at these concerns without assuming a concrete view of the good life. The idea is that capitalism necessarily entrenches heteronomy and impedes autonomy because it is inherently undemocratic. Capitalist societies remove a huge range of fundamental questions from collective democratic decision-making. They leave it to capital, or rather to those who own capital or are dedicated to its limitless expansion, to determine the basic grammar of our lives. Those guys decide what will be produced, how much and by whom; on what energic basis and through what kinds of social relations. As a result, they determine the shape of relations among those who work in production and between them and those who don’t, including their bosses, on the one hand, and their families, on the other. Then, too, capital investment dictates relations among families, communities, regions, states and collective associations, as well our relations to nonhuman nature and to future generations. All of these matters are taken off the agenda and decided behind our backs. By devolving them to capitalists and investors, capitalism institutionalizes heteronomy. It denies us the collective capacity to shape our lives. In general, then, a freedom critique directs our attention to the grammar of life, including its “badness” under capitalism. But it avoids getting embroiled in defining what’s good and bad concretely. Rather, it leaves that to socialist citizens to work out for themselves. LM: The fourth and final chapter of the book is entitled “Contesting capitalism”. You pass from criticizing capitalism to contesting capitalism. Contesting capitalism relates to the need to go beyond critique, to envision emancipatory strategies, subjects and scenarios. In this chapter, you tie together all the concepts that you have outlined in the book, and you "push the ball forward". The first step you take in this chapter is to address the question of who should be the new emancipatory subject, and what type of struggle this subject should engage in. NF: Yes, this last chapter mobilizes all the preceding conceptual work to analyze the present conjuncture. Its practical aim is to disclose the potentials in our situation for emancipatory social transformation. So, this is critical theorizing in the young Marx’s sense as “the self-clarification of the struggles and wishes of the age.” The task is partly to diagnose the contradictions and the difficulties, but also to identify those social forces that might coalesce behind a counterhegemonic project that could overcome them. The chapter surveys the various social struggles that surround us with that aim in mind. That interest guides my thinking about the question of an emancipatory subject. For me</w:t>
      </w:r>
      <w:r w:rsidRPr="00A710BF">
        <w:rPr>
          <w:sz w:val="16"/>
        </w:rPr>
        <w:t xml:space="preserve">, </w:t>
      </w:r>
      <w:r w:rsidRPr="00A710BF">
        <w:rPr>
          <w:rStyle w:val="StyleUnderline"/>
        </w:rPr>
        <w:t>the issue is how best to woo potential participants into an emerging counterhegemonic bloc with an emancipatory project</w:t>
      </w:r>
      <w:r w:rsidRPr="00A710BF">
        <w:rPr>
          <w:sz w:val="16"/>
        </w:rPr>
        <w:t xml:space="preserve">. Everything I’ve said to this point implies that the project must be anti-capitalist–in an expanded sense. </w:t>
      </w:r>
      <w:r w:rsidRPr="00A710BF">
        <w:rPr>
          <w:rStyle w:val="StyleUnderline"/>
        </w:rPr>
        <w:t xml:space="preserve">Because struggles over care and nature, race and politics, are just as deeply grounded in capitalist society as struggles over exploitation at the point of production, </w:t>
      </w:r>
      <w:r w:rsidRPr="002B2095">
        <w:rPr>
          <w:rStyle w:val="StyleUnderline"/>
          <w:highlight w:val="green"/>
        </w:rPr>
        <w:t>an anticapitalist bloc must articulate</w:t>
      </w:r>
      <w:r w:rsidRPr="00A710BF">
        <w:rPr>
          <w:rStyle w:val="StyleUnderline"/>
        </w:rPr>
        <w:t xml:space="preserve"> the concerns of feminists, environmentalists, anti-racists, anti-imperialists, and radical democrats with one another and </w:t>
      </w:r>
      <w:r w:rsidRPr="002B2095">
        <w:rPr>
          <w:rStyle w:val="StyleUnderline"/>
          <w:highlight w:val="green"/>
        </w:rPr>
        <w:t>with those of labor movements</w:t>
      </w:r>
      <w:r w:rsidRPr="00A710BF">
        <w:rPr>
          <w:rStyle w:val="StyleUnderline"/>
        </w:rPr>
        <w:t xml:space="preserve">. </w:t>
      </w:r>
      <w:r w:rsidRPr="00A710BF">
        <w:rPr>
          <w:sz w:val="10"/>
          <w:szCs w:val="10"/>
        </w:rPr>
        <w:t xml:space="preserve">But that still leaves open the question of how to interpellate the relevant actors. What mode of subjective address would best invite them to embrace that understanding and fight together for that project? It seems to me there are two possibilities. The first eschews the idea of a single agent of emancipation. In lieu of an overarching subject that simply subsumes the bloc’s various constituents, it envisions an alliance of multiple agents whose primary concerns differ but are rooted nevertheless in one and the same social system, which none of them can change on their own. What unites them is not a common subject position but a shared understanding of capitalist society as the deep source of their various troubles and as their common enemy. That diagnosis underpins solidarity and motivates cooperation. This view has some obvious advantages. Not only is it in sync with widespread leftish suspicions of “Leninism,” but it is relatively undemanding and unthreatening: it doesn’t require social actors to alter their existing political identities, but only their cognitive diagnoses. I wonder, however, whether that reliance on cognitive as opposed to affective “glue” is also a weakness. Would such an address be strong enough to hold the bloc together–especially given the inevitability of pro-capitalist stratagems to divide and weaken it through a clever mix of enticing carrots and repressive sticks? A second possibility could afford some stronger “glue” but would be a harder sell. The thought here is to address the same set of social forces just identified, but in a somewhat more unified way: as differently situated constituents of an expanded working class. That idea follows, too, from the expanded view of capitalism, which discloses capital’s structural reliance on social-reproductive and expropriated labor, as well as on exploited labor. (I’m leaving aside what Jason W. Moore calls “the work of nature,” which may be a bridge too far.) If accumulation requires all three types of labor, then all three types of “workers” comprise capitalism’s working class, which also includes the very large number of people who perform work of more than one type. Seen this way, the working class is constitutively gendered and racialized as well as inherently global. Unlike standard views of it, which center on majority-ethnic men who work in factories, mines and construction, the expanded working class also includes people of color, women, and migrants; housewives, peasants, and service workers; those who receive a wage and those who don’t. The advantage here is a political subject that can plausibly claim a measure of unity and generality, while remaining internally differentiated and able to accommodate specificities. The effect could be to strengthen the solidary cohesion of an anti-capitalist counterhegemonic bloc. But this approach is considerably more demanding–it requires a cognitive-cum-affective leap beyond the current self-understandings of many people. Perhaps the strong showing of Bernie Sanders in two US presidential campaigns shows that such a leap is not impossible, at least under relatively favorable conditions. But of course there’s no predicting whether, and if so, how, either of these two scenarios will unfold. LM: You recognize that not all the alternatives to current financialized capitalism are necessarily emancipatory, but can be also regressive. It’s easy to think of examples, ranging from the past presidency of Donald Trump in the USA to the ethno-nationalism of Narendra Modi in India, and passing from the case of Orban in Hungary to Salvini in Italy. What is fascinating, though, is your claim that even social movements that appear to be progressive can, in reality, turn out to be regressive. Which type of “test” should social movements then successfully pass in order to be labeled, according to your heuristic device, as progressive? NF: Well, I have to begin by noting that all these interventions, progressive as well as regressive, are unfolding in a hegemonic vacuum. So, the political field is incredibly messy. Antonio Gramsci put it well: "the old is dying but the new cannot be born. In the interregnum all sorts of morbid symptoms appear." You couldn’t ask for a better characterization of the current landscape! Now, as to the straightforwardly regressive side of this landscape, I want to make two heretical observations. First, the supporters of the rightwing movements and parties you mentioned are looking to their states, or rather to the strongmen who personify their states, for social protection from the forces that are wrecking their lives, forces they don’t rightly or fully understand. </w:t>
      </w:r>
      <w:r w:rsidRPr="00A710BF">
        <w:rPr>
          <w:rStyle w:val="StyleUnderline"/>
        </w:rPr>
        <w:t>Thus, these parties and movements, however misguided and authoritarian, embody a revolt against neoliberal commonsense–against the mantra, repeated ad nauseum for decades, that markets alone can free us, that state power is not the solution but rather the problem. Implicitly, therefore, even the scariest right-wing movements harbor a revaluation of public power.</w:t>
      </w:r>
      <w:r w:rsidRPr="00A710BF">
        <w:rPr>
          <w:sz w:val="16"/>
        </w:rPr>
        <w:t xml:space="preserve"> And that’s something that a sophisticated Left could conceivably build on. Second, there's something hollow about the Trumps, Bolsonaros, Modis, Erdogans, Salvinis and so on. These guys remind me of “The Wizard of Oz.” They are like showmen who preen and strut in front of the curtain, while the real power hides behind it. </w:t>
      </w:r>
      <w:r w:rsidRPr="00A710BF">
        <w:rPr>
          <w:rStyle w:val="StyleUnderline"/>
        </w:rPr>
        <w:t xml:space="preserve">The real power is, of course, capital: the </w:t>
      </w:r>
      <w:r w:rsidRPr="00F81ECB">
        <w:rPr>
          <w:rStyle w:val="StyleUnderline"/>
        </w:rPr>
        <w:t>mega</w:t>
      </w:r>
      <w:r w:rsidRPr="002B2095">
        <w:rPr>
          <w:rStyle w:val="StyleUnderline"/>
          <w:highlight w:val="green"/>
        </w:rPr>
        <w:t>-corporations</w:t>
      </w:r>
      <w:r w:rsidRPr="00A710BF">
        <w:rPr>
          <w:rStyle w:val="StyleUnderline"/>
        </w:rPr>
        <w:t xml:space="preserve">, large investors, </w:t>
      </w:r>
      <w:r w:rsidRPr="00F81ECB">
        <w:rPr>
          <w:rStyle w:val="StyleUnderline"/>
        </w:rPr>
        <w:t xml:space="preserve">banks and financial institutions </w:t>
      </w:r>
      <w:r w:rsidRPr="00A710BF">
        <w:rPr>
          <w:rStyle w:val="StyleUnderline"/>
        </w:rPr>
        <w:t xml:space="preserve">whose unquenchable </w:t>
      </w:r>
      <w:r w:rsidRPr="002B2095">
        <w:rPr>
          <w:rStyle w:val="StyleUnderline"/>
          <w:highlight w:val="green"/>
        </w:rPr>
        <w:t xml:space="preserve">thirst for profit condemns billions </w:t>
      </w:r>
      <w:r w:rsidRPr="00A710BF">
        <w:rPr>
          <w:rStyle w:val="StyleUnderline"/>
        </w:rPr>
        <w:t>of people across the globe to stunted and shortened lives</w:t>
      </w:r>
      <w:r w:rsidRPr="00A710BF">
        <w:rPr>
          <w:sz w:val="16"/>
        </w:rPr>
        <w:t xml:space="preserve">. What’s more, </w:t>
      </w:r>
      <w:r w:rsidRPr="00A710BF">
        <w:rPr>
          <w:rStyle w:val="StyleUnderline"/>
        </w:rPr>
        <w:t xml:space="preserve">the </w:t>
      </w:r>
      <w:r w:rsidRPr="002B2095">
        <w:rPr>
          <w:rStyle w:val="StyleUnderline"/>
          <w:highlight w:val="green"/>
        </w:rPr>
        <w:t>showmen have no solutions to</w:t>
      </w:r>
      <w:r w:rsidRPr="00A710BF">
        <w:rPr>
          <w:rStyle w:val="StyleUnderline"/>
        </w:rPr>
        <w:t xml:space="preserve"> their supporters’ </w:t>
      </w:r>
      <w:r w:rsidRPr="002B2095">
        <w:rPr>
          <w:rStyle w:val="StyleUnderline"/>
          <w:highlight w:val="green"/>
        </w:rPr>
        <w:t>problems</w:t>
      </w:r>
      <w:r w:rsidRPr="00A710BF">
        <w:rPr>
          <w:rStyle w:val="StyleUnderline"/>
        </w:rPr>
        <w:t xml:space="preserve">; they’re in bed with the very forces that created them. </w:t>
      </w:r>
      <w:r w:rsidRPr="002B2095">
        <w:rPr>
          <w:rStyle w:val="StyleUnderline"/>
          <w:highlight w:val="green"/>
        </w:rPr>
        <w:t>All they can do is distract</w:t>
      </w:r>
      <w:r w:rsidRPr="00A710BF">
        <w:rPr>
          <w:rStyle w:val="StyleUnderline"/>
        </w:rPr>
        <w:t xml:space="preserve"> with stunts and spectacles. </w:t>
      </w:r>
      <w:r w:rsidRPr="00A710BF">
        <w:rPr>
          <w:sz w:val="16"/>
        </w:rPr>
        <w:t>As the impasses worsen and their “solutions” fail to materialize, these front men are driven to up the ante with ever more outlandish lies and vicious scapegoating</w:t>
      </w:r>
      <w:r w:rsidRPr="00F81ECB">
        <w:rPr>
          <w:sz w:val="16"/>
        </w:rPr>
        <w:t>.</w:t>
      </w:r>
      <w:r w:rsidRPr="00F81ECB">
        <w:rPr>
          <w:rStyle w:val="StyleUnderline"/>
        </w:rPr>
        <w:t xml:space="preserve"> That dynamic is </w:t>
      </w:r>
      <w:r w:rsidRPr="002B2095">
        <w:rPr>
          <w:rStyle w:val="StyleUnderline"/>
          <w:highlight w:val="green"/>
        </w:rPr>
        <w:t>bound to escalate until someone</w:t>
      </w:r>
      <w:r w:rsidRPr="00A710BF">
        <w:rPr>
          <w:rStyle w:val="StyleUnderline"/>
        </w:rPr>
        <w:t xml:space="preserve"> pulls back the curtain and </w:t>
      </w:r>
      <w:r w:rsidRPr="002B2095">
        <w:rPr>
          <w:rStyle w:val="StyleUnderline"/>
          <w:highlight w:val="green"/>
        </w:rPr>
        <w:t>exposes the sham</w:t>
      </w:r>
      <w:r w:rsidRPr="00A710BF">
        <w:rPr>
          <w:rStyle w:val="StyleUnderline"/>
        </w:rPr>
        <w:t xml:space="preserve">. And that’s precisely what the mainstream </w:t>
      </w:r>
      <w:r w:rsidRPr="002B2095">
        <w:rPr>
          <w:rStyle w:val="StyleUnderline"/>
          <w:highlight w:val="green"/>
        </w:rPr>
        <w:t>progressive</w:t>
      </w:r>
      <w:r w:rsidRPr="00A710BF">
        <w:rPr>
          <w:rStyle w:val="StyleUnderline"/>
        </w:rPr>
        <w:t xml:space="preserve"> opposition </w:t>
      </w:r>
      <w:r w:rsidRPr="002B2095">
        <w:rPr>
          <w:rStyle w:val="StyleUnderline"/>
          <w:highlight w:val="green"/>
        </w:rPr>
        <w:t>has failed</w:t>
      </w:r>
      <w:r w:rsidRPr="00A710BF">
        <w:rPr>
          <w:rStyle w:val="StyleUnderline"/>
        </w:rPr>
        <w:t xml:space="preserve"> to do. Far from unmasking the powers behind the curtain, the dominant currents of “</w:t>
      </w:r>
      <w:r w:rsidRPr="002B2095">
        <w:rPr>
          <w:rStyle w:val="StyleUnderline"/>
          <w:highlight w:val="green"/>
        </w:rPr>
        <w:t>the new social movements” became entangled with them</w:t>
      </w:r>
      <w:r w:rsidRPr="00A710BF">
        <w:rPr>
          <w:rStyle w:val="StyleUnderline"/>
        </w:rPr>
        <w:t xml:space="preserve">. I’m thinking of the </w:t>
      </w:r>
      <w:r w:rsidRPr="002B2095">
        <w:rPr>
          <w:rStyle w:val="StyleUnderline"/>
          <w:highlight w:val="green"/>
        </w:rPr>
        <w:t>liberal-meritocratic wings of</w:t>
      </w:r>
      <w:r w:rsidRPr="00A710BF">
        <w:rPr>
          <w:rStyle w:val="StyleUnderline"/>
        </w:rPr>
        <w:t xml:space="preserve"> feminism, </w:t>
      </w:r>
      <w:r w:rsidRPr="002B2095">
        <w:rPr>
          <w:rStyle w:val="StyleUnderline"/>
          <w:highlight w:val="green"/>
        </w:rPr>
        <w:t xml:space="preserve">anti-racism, </w:t>
      </w:r>
      <w:r w:rsidRPr="002B2095">
        <w:rPr>
          <w:rStyle w:val="StyleUnderline"/>
          <w:highlight w:val="green"/>
        </w:rPr>
        <w:lastRenderedPageBreak/>
        <w:t>LGBTQ+ rights, environmentalism</w:t>
      </w:r>
      <w:r w:rsidRPr="00A710BF">
        <w:rPr>
          <w:rStyle w:val="StyleUnderline"/>
        </w:rPr>
        <w:t>, etc., which have operated for many years as junior partners in a “progressive neoliberal” bloc that also included “forward thinking” sectors of global capital</w:t>
      </w:r>
      <w:r w:rsidRPr="00A710BF">
        <w:rPr>
          <w:sz w:val="16"/>
        </w:rPr>
        <w:t xml:space="preserve"> (IT, finance, media, entertainment). </w:t>
      </w:r>
      <w:r w:rsidRPr="00A710BF">
        <w:rPr>
          <w:rStyle w:val="StyleUnderline"/>
        </w:rPr>
        <w:t xml:space="preserve">So, they, too, served as front men, albeit in a different way–by </w:t>
      </w:r>
      <w:r w:rsidRPr="002B2095">
        <w:rPr>
          <w:rStyle w:val="StyleUnderline"/>
          <w:highlight w:val="green"/>
        </w:rPr>
        <w:t>cast</w:t>
      </w:r>
      <w:r w:rsidRPr="00A710BF">
        <w:rPr>
          <w:rStyle w:val="StyleUnderline"/>
        </w:rPr>
        <w:t xml:space="preserve">ing </w:t>
      </w:r>
      <w:r w:rsidRPr="002B2095">
        <w:rPr>
          <w:rStyle w:val="StyleUnderline"/>
          <w:highlight w:val="green"/>
        </w:rPr>
        <w:t>a veneer of</w:t>
      </w:r>
      <w:r w:rsidRPr="00A710BF">
        <w:rPr>
          <w:rStyle w:val="StyleUnderline"/>
        </w:rPr>
        <w:t xml:space="preserve"> emancipatory </w:t>
      </w:r>
      <w:r w:rsidRPr="002B2095">
        <w:rPr>
          <w:rStyle w:val="StyleUnderline"/>
          <w:highlight w:val="green"/>
        </w:rPr>
        <w:t xml:space="preserve">charisma over </w:t>
      </w:r>
      <w:r w:rsidRPr="00A710BF">
        <w:rPr>
          <w:rStyle w:val="StyleUnderline"/>
        </w:rPr>
        <w:t xml:space="preserve">the predatory political economy of </w:t>
      </w:r>
      <w:r w:rsidRPr="002B2095">
        <w:rPr>
          <w:rStyle w:val="StyleUnderline"/>
          <w:highlight w:val="green"/>
        </w:rPr>
        <w:t>neoliberalism</w:t>
      </w:r>
      <w:r w:rsidRPr="00A710BF">
        <w:rPr>
          <w:rStyle w:val="StyleUnderline"/>
        </w:rPr>
        <w:t xml:space="preserve">. I’m tempted to call this “rainbow-washing” because </w:t>
      </w:r>
      <w:r w:rsidRPr="002B2095">
        <w:rPr>
          <w:rStyle w:val="StyleUnderline"/>
          <w:highlight w:val="green"/>
        </w:rPr>
        <w:t>it combines pink</w:t>
      </w:r>
      <w:r w:rsidRPr="00A710BF">
        <w:rPr>
          <w:rStyle w:val="StyleUnderline"/>
        </w:rPr>
        <w:t xml:space="preserve">-washing </w:t>
      </w:r>
      <w:r w:rsidRPr="002B2095">
        <w:rPr>
          <w:rStyle w:val="StyleUnderline"/>
          <w:highlight w:val="green"/>
        </w:rPr>
        <w:t>with greenwashing</w:t>
      </w:r>
      <w:r w:rsidRPr="00A710BF">
        <w:rPr>
          <w:rStyle w:val="StyleUnderline"/>
        </w:rPr>
        <w:t xml:space="preserve"> and more. But whatever we call it, the result was not emancipatory. It’s not “just” that this unholy alliance ravaged the life conditions of the vast majority and thereby created the soil that nourished the Right. In addition, </w:t>
      </w:r>
      <w:r w:rsidRPr="002B2095">
        <w:rPr>
          <w:rStyle w:val="StyleUnderline"/>
          <w:highlight w:val="green"/>
        </w:rPr>
        <w:t>it associated</w:t>
      </w:r>
      <w:r w:rsidRPr="00A710BF">
        <w:rPr>
          <w:rStyle w:val="StyleUnderline"/>
        </w:rPr>
        <w:t xml:space="preserve"> feminism, </w:t>
      </w:r>
      <w:r w:rsidRPr="002B2095">
        <w:rPr>
          <w:rStyle w:val="StyleUnderline"/>
          <w:highlight w:val="green"/>
        </w:rPr>
        <w:t>anti-racism</w:t>
      </w:r>
      <w:r w:rsidRPr="00A710BF">
        <w:rPr>
          <w:rStyle w:val="StyleUnderline"/>
        </w:rPr>
        <w:t xml:space="preserve">, etc., </w:t>
      </w:r>
      <w:r w:rsidRPr="002B2095">
        <w:rPr>
          <w:rStyle w:val="StyleUnderline"/>
          <w:highlight w:val="green"/>
        </w:rPr>
        <w:t>with neoliberalis</w:t>
      </w:r>
      <w:r w:rsidRPr="00A710BF">
        <w:rPr>
          <w:rStyle w:val="StyleUnderline"/>
        </w:rPr>
        <w:t xml:space="preserve">m, ensuring that </w:t>
      </w:r>
      <w:r w:rsidRPr="002B2095">
        <w:rPr>
          <w:rStyle w:val="StyleUnderline"/>
          <w:highlight w:val="green"/>
        </w:rPr>
        <w:t>when the dam finally broke, an</w:t>
      </w:r>
      <w:r w:rsidRPr="00A710BF">
        <w:rPr>
          <w:rStyle w:val="StyleUnderline"/>
        </w:rPr>
        <w:t xml:space="preserve">d masses of </w:t>
      </w:r>
      <w:r w:rsidRPr="002B2095">
        <w:rPr>
          <w:rStyle w:val="StyleUnderline"/>
          <w:highlight w:val="green"/>
        </w:rPr>
        <w:t>people reject</w:t>
      </w:r>
      <w:r w:rsidRPr="00A710BF">
        <w:rPr>
          <w:rStyle w:val="StyleUnderline"/>
        </w:rPr>
        <w:t xml:space="preserve">ed </w:t>
      </w:r>
      <w:r w:rsidRPr="002B2095">
        <w:rPr>
          <w:rStyle w:val="StyleUnderline"/>
          <w:highlight w:val="green"/>
        </w:rPr>
        <w:t>the latter</w:t>
      </w:r>
      <w:r w:rsidRPr="00A710BF">
        <w:rPr>
          <w:rStyle w:val="StyleUnderline"/>
        </w:rPr>
        <w:t xml:space="preserve">, many of them </w:t>
      </w:r>
      <w:r w:rsidRPr="002B2095">
        <w:rPr>
          <w:rStyle w:val="StyleUnderline"/>
          <w:highlight w:val="green"/>
        </w:rPr>
        <w:t>they</w:t>
      </w:r>
      <w:r w:rsidRPr="00A710BF">
        <w:rPr>
          <w:rStyle w:val="StyleUnderline"/>
        </w:rPr>
        <w:t xml:space="preserve"> would </w:t>
      </w:r>
      <w:r w:rsidRPr="002B2095">
        <w:rPr>
          <w:rStyle w:val="StyleUnderline"/>
          <w:highlight w:val="green"/>
        </w:rPr>
        <w:t>also reject the former</w:t>
      </w:r>
      <w:r w:rsidRPr="00A710BF">
        <w:rPr>
          <w:rStyle w:val="StyleUnderline"/>
        </w:rPr>
        <w:t xml:space="preserve">. </w:t>
      </w:r>
      <w:r w:rsidRPr="00A710BF">
        <w:rPr>
          <w:sz w:val="10"/>
          <w:szCs w:val="10"/>
        </w:rPr>
        <w:t>And that is why the principal beneficiary, at least so far, has been reactionary rightwing populism. It’s also why we are now trapped in a political impasse, caught up in a sham diversionary battle between two sets of rival front men, one regressive, the other progressive, while the powers behind the curtain laugh all the way to the bank. Returning to Gramsci, I’d say that “the new cannot be born” until we rip away that curtain and build a Left that is squarely anticapitalist. LM: The book ends with a call to form a new counter-hegemonic alliance, described as a strategy of separation in the service of realignment. You call it progressive populism. What do you mean by "a strategy of separation"? And which kind of realignment are you referring to? NF: Your question requires some comment on three key terms: separation, realignment, and populism. Let me start with separation. I’m actually proposing a strategy that encompasses two separations: one that busts up the progressive neoliberal alliance I just described; and one that busts up the reactionary neoliberal bloc that opposes it. The first separation requires splitting off the majority of women, people of color, LGBTQ+ people, and environmentalists from the liberal corporate forces that have held them hostage for decades. The second involves splitting off those segments of the rightwing base that could in principle be won over to a Left. The split off elements from both sides would then be available for a new realignment. Of course, this strategy, too, is based on heresy. It rejects the reigning liberal commonsense which says that the fascists are at the door so, leftists must shelve their radical ambitions, move to the center, and close ranks with liberals. It also opposes the much-repeated view that current polarizations are so entrenched that there’s no chance of winning majority-ethnic working-class voters away from the Right. Both these views are wrong and counterproductive. The first is a scare tactic that was used in the US last year to drive Bernie Sanders prematurely out of the Democratic presidential primary. The second is self-disabling, a recipe for defeat. As I see it, this is a time for splitting, not unity, because the fascists are not really at the door, and the only way to keep them away from it is to offer their working-class supporters a progressive anti-capitalist alternative. Likewise, current alignments are not really set in stone. On the contrary, voters are highly volatile; they try on different political postures to see what works. In the US, for example, a hefty chunk of those who voted for Trump in 2016 had earlier voted for Obama and/or Sanders and returned to the Dems in 2020. In Brazil, likewise, many Bolsonaro supporters had earlier voted for Lula and Rousseff and are poised to vote for 15 Fraser and Monticelli: Interview with Nancy Fraser Published by Scholars Junction, 2021 Lula again. Analogous trajectories have unfolded in Britain, France, and Italy. Contra progressive-neoliberal ideology, then, many rightwing voters are not “principled” racists but only “opportunistic” racists: they will vote for a racist when no one else is offering a pro-working-class line but are otherwise potentially in play. It would be the height of folly to write them off as “deplorables” instead of trying to woo them. That brings me to realignment. Let’s suppose that that the key components of any new political bloc are the split off elements just described. What could entice them to join together? Where is the “glue” that’s strong enough to overcome the intense animosity that now divides them? One possibility, invoked in the book, is leftwing populism. But my understanding of that phrase differs from that of some other thinkers, including Chantal Mouffe. For me, populism is neither an inherent feature of politics as such nor a desirable political goal. It is rather a transitional formation that often emerges in situations of hegemonic crisis. It’s centered on the rejection of ruling elites and can assume two principal forms. Right-wing populism combines opposition to elites with demonization of a despised underclass, while valorizing “the people” caught between them in the middle. Left-wing populism trains its fire on the top, refrains from scapegoating the bottom, and defines “the people” inclusively, as encompassing both middle and bottom. That’s one huge difference between the two variants. Another is that right-wing populism identifies his enemies in concrete identitarian terms–as, for example, Muslims, Mexicans, Blacks, or Jews. By contrast, leftwing populism defines its enemies numerically–as, for example, the 1% or the billionaire class. On both points, leftwing populism is massively preferable to its rightwing counterpart. But it’s not analytically precise. To really understand what is going on, you need a much more refined class analysis; you need the concept of capital and the expanded view of capitalist society. For me, then, leftwing populism harbors both possibilities and limitations. On the possibility side, it can sometimes serve as a transitional formation that wins victories, widens its reach, deepens its societal critique, and becomes more radical. But can it educate people in the course of struggle, clarifying the system they’re fighting, and 16 Emancipations: A Journal of Critical Social Analysis, Vol. 1, Iss. 1 [2021], Art. 2 https://scholarsjunction.msstate.edu/emancipations/vol1/iss1/2 DOI: https://doi.org/10.54718/QFGQ4498 explaining exactly how that system is “rigged”? My guess is that left populism offers an accessible entry point into class struggle. I’m less sure that it can succeed in generating genuine insight as to how the system really works and what really needs to be done in order to change it. That’s why I’m now inclined to contemplate prospects for a successor formation to leftwing populism–one whose perspective is more “analytically precise” and politically demanding. One such perspective, which some in the US call “democratic socialist,” invites potential participants to see themselves as members of an expanded working class in the sense I defined before. The trick would be to satisfy two imperatives that are often counterposed as incompatible, but that must be accommodated simultaneously: first, the need to cultivate a robust sense of shared class membership, premised on a common systemic enemy; and second, the need to acknowledge the reality of internal class differentiation–especially along the axes of gender, race, and nation. If that sounds difficult, it’s not impossible–thanks to the expanded view of capitalism I’ve elaborated here. That view posits a single social system that feeds off of divisions, created by it, among the exploited, the expropriated, and the domesticated–and various combinations thereof. A realignment premised on that understanding would be a powerful force for emancipatory transformation. In any case, my current view is that leftwing populism is a relatively spontaneous response to crisis. As such, it can and should be worked with. But it is best understood as a transitional waystation en route to a more radical emancipatory project. The latter, I maintain, should be anti-capitalist in the expanded sense.</w:t>
      </w:r>
    </w:p>
    <w:p w14:paraId="59F30280" w14:textId="77777777" w:rsidR="00365070" w:rsidRPr="00A710BF" w:rsidRDefault="00365070" w:rsidP="00365070">
      <w:pPr>
        <w:pStyle w:val="Heading4"/>
        <w:rPr>
          <w:rFonts w:cs="Calibri"/>
        </w:rPr>
      </w:pPr>
      <w:r w:rsidRPr="00A710BF">
        <w:rPr>
          <w:rFonts w:cs="Calibri"/>
        </w:rPr>
        <w:t>Through its meritocratic veneer, Neoliberalism entrenched its social hegemony within the two party system in search of political control</w:t>
      </w:r>
    </w:p>
    <w:p w14:paraId="5AB3CBEE" w14:textId="77777777" w:rsidR="00365070" w:rsidRPr="00A710BF" w:rsidRDefault="00365070" w:rsidP="00365070">
      <w:r w:rsidRPr="00CE30D3">
        <w:rPr>
          <w:rStyle w:val="Style13ptBold"/>
        </w:rPr>
        <w:t>Mudge 18</w:t>
      </w:r>
      <w:r w:rsidRPr="00A710BF">
        <w:t xml:space="preserve"> </w:t>
      </w:r>
      <w:r w:rsidRPr="00A710BF">
        <w:rPr>
          <w:sz w:val="16"/>
          <w:szCs w:val="16"/>
        </w:rPr>
        <w:t>(Stephanie L. Mudge</w:t>
      </w:r>
      <w:r w:rsidRPr="00A710BF">
        <w:rPr>
          <w:i/>
          <w:iCs/>
          <w:sz w:val="16"/>
          <w:szCs w:val="16"/>
        </w:rPr>
        <w:t xml:space="preserve"> </w:t>
      </w:r>
      <w:r w:rsidRPr="00A710BF">
        <w:rPr>
          <w:sz w:val="16"/>
          <w:szCs w:val="16"/>
        </w:rPr>
        <w:t>is Associate Professor in the Department of Sociology at the University of California, Davis,</w:t>
      </w:r>
      <w:r w:rsidRPr="00A710BF">
        <w:rPr>
          <w:i/>
          <w:iCs/>
          <w:sz w:val="16"/>
          <w:szCs w:val="16"/>
        </w:rPr>
        <w:t xml:space="preserve"> Leftism Reinvented: Western Parties from Socialism to Neoliberalism, “</w:t>
      </w:r>
      <w:r w:rsidRPr="00A710BF">
        <w:rPr>
          <w:sz w:val="16"/>
          <w:szCs w:val="16"/>
        </w:rPr>
        <w:t>Chapter 2: From Socialist, to Economistic, to Neoliberalized Leftism,” Harvard University Press, Published 2018, ISBN: 9780674984837) CT</w:t>
      </w:r>
    </w:p>
    <w:p w14:paraId="3EA344B9" w14:textId="77777777" w:rsidR="00365070" w:rsidRPr="00A710BF" w:rsidRDefault="00365070" w:rsidP="00365070">
      <w:r w:rsidRPr="00A710BF">
        <w:rPr>
          <w:rStyle w:val="StyleUnderline"/>
        </w:rPr>
        <w:t xml:space="preserve">This chapter establishes the book’s explanatory puzzle: Western </w:t>
      </w:r>
      <w:r w:rsidRPr="002B2095">
        <w:rPr>
          <w:rStyle w:val="StyleUnderline"/>
          <w:highlight w:val="green"/>
        </w:rPr>
        <w:t>leftism</w:t>
      </w:r>
      <w:r w:rsidRPr="00A710BF">
        <w:rPr>
          <w:rStyle w:val="StyleUnderline"/>
        </w:rPr>
        <w:t xml:space="preserve">’s two twentieth century </w:t>
      </w:r>
      <w:r w:rsidRPr="002B2095">
        <w:rPr>
          <w:rStyle w:val="StyleUnderline"/>
          <w:highlight w:val="green"/>
        </w:rPr>
        <w:t>reinvention</w:t>
      </w:r>
      <w:r w:rsidRPr="00A710BF">
        <w:rPr>
          <w:rStyle w:val="StyleUnderline"/>
        </w:rPr>
        <w:t xml:space="preserve">s: first from socialist to economistic leftism (between the 1920s and the 1960s), second from economistic </w:t>
      </w:r>
      <w:r w:rsidRPr="002B2095">
        <w:rPr>
          <w:rStyle w:val="StyleUnderline"/>
          <w:highlight w:val="green"/>
        </w:rPr>
        <w:t>to neoliberalized leftism</w:t>
      </w:r>
      <w:r w:rsidRPr="00A710BF">
        <w:rPr>
          <w:sz w:val="16"/>
        </w:rPr>
        <w:t xml:space="preserve"> (between the 1960s and the 1990s). Following Karl Mannheim’s directive to join the study of ideology with the study of parties, </w:t>
      </w:r>
      <w:r w:rsidRPr="00A710BF">
        <w:rPr>
          <w:rStyle w:val="StyleUnderline"/>
        </w:rPr>
        <w:t>I map out three qualitatively distinct ways in which left parties characterized the world over time, focusing especially on economic language</w:t>
      </w:r>
      <w:r w:rsidRPr="00A710BF">
        <w:rPr>
          <w:sz w:val="16"/>
        </w:rPr>
        <w:t xml:space="preserve">. </w:t>
      </w:r>
      <w:r w:rsidRPr="00A710BF">
        <w:rPr>
          <w:sz w:val="12"/>
          <w:szCs w:val="12"/>
        </w:rPr>
        <w:t>The main empirics used in this chapter are mainstream political parties’ election-year programs and manifestos. The analysis proceeds in two parts. The first part takes a look at election-year programmatic excerpts of the SPD, the SAP, the Labour Party, and the Democratic Party around 1920, 1960, and 1995. Locating these parties historically, I show that, in the non-American cases, programmatic rhetoric clearly shifted from socialist to economistic, and then from economistic to neoliberalized, ways of characterizing the world.</w:t>
      </w:r>
      <w:r w:rsidRPr="00A710BF">
        <w:rPr>
          <w:sz w:val="16"/>
        </w:rPr>
        <w:t xml:space="preserve"> </w:t>
      </w:r>
      <w:r w:rsidRPr="00A710BF">
        <w:rPr>
          <w:rStyle w:val="StyleUnderline"/>
        </w:rPr>
        <w:t>I also show that Democratic Party rhetoric was decidedly nonsocialist, and in no clear way “left,” around 1920, but by about 1960 it spoke in a technical, economistic language that was very similar to European center-left parties’ rhetoric at that time. In other words, sometime between 1920 and 1960 Democratic and Western European center-left programmatic language converged.</w:t>
      </w:r>
      <w:r w:rsidRPr="00A710BF">
        <w:rPr>
          <w:sz w:val="16"/>
        </w:rPr>
        <w:t xml:space="preserve"> Then, as the century wore on, Democratic and Western European center-left rhetoric shifted more or less in tandem. </w:t>
      </w:r>
      <w:r w:rsidRPr="00A710BF">
        <w:rPr>
          <w:rStyle w:val="StyleUnderline"/>
        </w:rPr>
        <w:t xml:space="preserve">By the </w:t>
      </w:r>
      <w:r w:rsidRPr="002B2095">
        <w:rPr>
          <w:rStyle w:val="StyleUnderline"/>
          <w:highlight w:val="green"/>
        </w:rPr>
        <w:t>1990s</w:t>
      </w:r>
      <w:r w:rsidRPr="00A710BF">
        <w:rPr>
          <w:rStyle w:val="StyleUnderline"/>
        </w:rPr>
        <w:t xml:space="preserve"> all four parties </w:t>
      </w:r>
      <w:r w:rsidRPr="002B2095">
        <w:rPr>
          <w:rStyle w:val="StyleUnderline"/>
          <w:highlight w:val="green"/>
        </w:rPr>
        <w:t>spoke</w:t>
      </w:r>
      <w:r w:rsidRPr="00A710BF">
        <w:rPr>
          <w:rStyle w:val="StyleUnderline"/>
        </w:rPr>
        <w:t xml:space="preserve"> with the hallmark vocabulary that came to be known as </w:t>
      </w:r>
      <w:r w:rsidRPr="002B2095">
        <w:rPr>
          <w:rStyle w:val="StyleUnderline"/>
          <w:highlight w:val="green"/>
        </w:rPr>
        <w:t>“third way” leftism</w:t>
      </w:r>
      <w:r w:rsidRPr="00A710BF">
        <w:rPr>
          <w:rStyle w:val="StyleUnderline"/>
        </w:rPr>
        <w:t xml:space="preserve">: pragmatism, work-centered welfarism, and </w:t>
      </w:r>
      <w:r w:rsidRPr="002B2095">
        <w:rPr>
          <w:rStyle w:val="Emphasis"/>
          <w:highlight w:val="green"/>
        </w:rPr>
        <w:t>market-friendliness</w:t>
      </w:r>
      <w:r w:rsidRPr="00A710BF">
        <w:rPr>
          <w:rStyle w:val="StyleUnderline"/>
        </w:rPr>
        <w:t xml:space="preserve">. </w:t>
      </w:r>
      <w:r w:rsidRPr="00A710BF">
        <w:rPr>
          <w:sz w:val="12"/>
          <w:szCs w:val="12"/>
        </w:rPr>
        <w:t xml:space="preserve">Shifting to a different set of comparisons—over time, across the political spectrum, and across political-cultural “regimes,” to use Gøsta Esping-Andersen’s term—the second part of the analysis offers a more general picture of programmatic trends in mainstream party rhetoric over the course of the postwar period.1 Here I develop a quantitative index of neoliberalism (the neoliberalism index) spanning all mainstream parties, center-left and center-right, across twenty-two Western countries from 1945 to 2005. Making use of a unique dataset that quantifies election-year </w:t>
      </w:r>
      <w:r w:rsidRPr="00A710BF">
        <w:rPr>
          <w:sz w:val="12"/>
          <w:szCs w:val="12"/>
        </w:rPr>
        <w:lastRenderedPageBreak/>
        <w:t>manifestos according to positive and negative emphases on various topics over time, the neoliberalism index is grounded in my understanding of “neoliberalism” as a particular way of thinking about what government should do, by what means, and for whom.2 Building on existing scholarship</w:t>
      </w:r>
      <w:r w:rsidRPr="00A710BF">
        <w:rPr>
          <w:sz w:val="16"/>
        </w:rPr>
        <w:t xml:space="preserve">, </w:t>
      </w:r>
      <w:r w:rsidRPr="00A710BF">
        <w:rPr>
          <w:rStyle w:val="StyleUnderline"/>
        </w:rPr>
        <w:t xml:space="preserve">I define </w:t>
      </w:r>
      <w:r w:rsidRPr="002B2095">
        <w:rPr>
          <w:rStyle w:val="StyleUnderline"/>
          <w:highlight w:val="green"/>
        </w:rPr>
        <w:t>neoliberal political</w:t>
      </w:r>
      <w:r w:rsidRPr="00A710BF">
        <w:rPr>
          <w:rStyle w:val="StyleUnderline"/>
        </w:rPr>
        <w:t xml:space="preserve"> thinking as the </w:t>
      </w:r>
      <w:r w:rsidRPr="002B2095">
        <w:rPr>
          <w:rStyle w:val="StyleUnderline"/>
          <w:highlight w:val="green"/>
        </w:rPr>
        <w:t>embrace</w:t>
      </w:r>
      <w:r w:rsidRPr="00A710BF">
        <w:rPr>
          <w:rStyle w:val="StyleUnderline"/>
        </w:rPr>
        <w:t xml:space="preserve"> of three things: economic </w:t>
      </w:r>
      <w:r w:rsidRPr="002B2095">
        <w:rPr>
          <w:rStyle w:val="StyleUnderline"/>
          <w:highlight w:val="green"/>
        </w:rPr>
        <w:t>privatization</w:t>
      </w:r>
      <w:r w:rsidRPr="00A710BF">
        <w:rPr>
          <w:rStyle w:val="StyleUnderline"/>
        </w:rPr>
        <w:t xml:space="preserve">, deregulation, and liberalization as the means of government; work-centric welfare reforms, as opposed to security and decommodification, as the ends of government; </w:t>
      </w:r>
      <w:r w:rsidRPr="002B2095">
        <w:rPr>
          <w:rStyle w:val="StyleUnderline"/>
          <w:highlight w:val="green"/>
        </w:rPr>
        <w:t>and</w:t>
      </w:r>
      <w:r w:rsidRPr="00A710BF">
        <w:rPr>
          <w:rStyle w:val="StyleUnderline"/>
        </w:rPr>
        <w:t xml:space="preserve"> business and </w:t>
      </w:r>
      <w:r w:rsidRPr="002B2095">
        <w:rPr>
          <w:rStyle w:val="StyleUnderline"/>
          <w:highlight w:val="green"/>
        </w:rPr>
        <w:t xml:space="preserve">white-collar, </w:t>
      </w:r>
      <w:r w:rsidRPr="00A710BF">
        <w:rPr>
          <w:rStyle w:val="StyleUnderline"/>
        </w:rPr>
        <w:t>as opposed to bluecollar and poor, constituencies, as answers to the question of government for whom</w:t>
      </w:r>
      <w:r w:rsidRPr="00A710BF">
        <w:rPr>
          <w:sz w:val="16"/>
        </w:rPr>
        <w:t xml:space="preserve">. This quantitative analysis is capable of speaking to the Gramscian question of whether the late twentieth century was really an age of neoliberal hegemony in Western countries, evident on both the right and the left. </w:t>
      </w:r>
      <w:r w:rsidRPr="00A710BF">
        <w:rPr>
          <w:rStyle w:val="StyleUnderline"/>
        </w:rPr>
        <w:t>And, indeed, the neoliberalism index shows that between the early 1970s and the 1990s the programs of Western center-left parties moved toward emphases on economic privatization, deregulation, and liberalization; work-centric and market-friendly welfare reforms; and business and white-collar constituencies</w:t>
      </w:r>
      <w:r w:rsidRPr="00A710BF">
        <w:rPr>
          <w:sz w:val="16"/>
        </w:rPr>
        <w:t xml:space="preserve">. With all due acknowledgment of the myriad problems of anachronism and cross-Atlantic distinctions in political terminology involved in the use of the term “neoliberal,” </w:t>
      </w:r>
      <w:r w:rsidRPr="00A710BF">
        <w:rPr>
          <w:rStyle w:val="StyleUnderline"/>
        </w:rPr>
        <w:t xml:space="preserve">programmatic data show that postwar center-right parties were always more market-friendly (or “neoliberal” in the specifically 1990s sense of the term) than parties of the mainstream left and, more importantly, that the most significant historical change in post-1970s Western political language was on the left—not on the right. </w:t>
      </w:r>
      <w:r w:rsidRPr="00A710BF">
        <w:rPr>
          <w:sz w:val="8"/>
          <w:szCs w:val="8"/>
        </w:rPr>
        <w:t>THE FIRST ANALYSIS: PROGRAMMATIC EXCERPTS The German SPD, the Swedish SAP, and the British Labour Party consolidated into organized national parties between the late 1860s and 1900. The SPD, the precocious and powerful bearer of international Marxist socialism, was established in 1875, with roots dating to 1869. The other two soon followed: the Swedish SAP dates to 1889; the British Labour Party was formally established as the Labour Representation Committee (LRC) in 1900, with roots dating to 1881 or, depending on how one dates things, 1868.3 But it was not until the 1910s that explicitly socialist, labor-representing political parties became institutionalized features of their respective political landscapes. By the year 1920 socialist, labor, and social democratic parties in many Western countries—with the exception of the United States—were growing in strength and size. They were also shifting into the category of “centerleft,” as socialist parties fractured in the wake of the Bolshevik Revolution, the formation of the Soviet-led Third International (established in 1919), and the proliferation of communist parties thereafter. As this very fracturing indicates, the 1920s marked out an increasingly unstable political and economic (or Polanyian) moment. Around 1920 the three European center-left parties considered here offered electoral-year narratives that centered on the polarizing and wealth-concentrating effects of capitalism, the inevitability of class struggle, the ownership of the means of production, and the question of a socialist future. The 1921 program of the SPD, a particularly heavyweight player in the world of organized political leftism at that time, painted a thoroughly Marxist portrait of the world: The capitalist economy has [concentrated] . . . production under the control of a relatively small number of large owners, it has separated . . . workers from the means of production and transformed them into propertyless proletarians. It has increased economic inequality. . . . It has thus made the class struggle for the emancipation of the proletariat a historical necessity and moral demand. . . .  The Social Democratic Party . . . fights for the rule of the people . . . , organized by the renewal of society in the socialist public spirit.4 The solution, the SPD argued, was the extension of public ownership, or “[c]ontrol of the Reich over the capitalist ownership of the means of production, especially of interest groups, cartels and trusts,” and the nonbureaucratic, democratic management of “public bodies.”5 Accounts of the Swedish SAP note that, by 1920, it had abandoned Marx and Marxism—and yet, based on its program, one might never have guessed.6 The SAP’s 1920 program appealed to the Swedish public in a language that was not easily distinguishable from the SPD’s. Just like its German counterpart, the SAP attributed the problems of the moment to concentrated ownership in a capitalist mode of production, leading to class conflict and exploitation: Social democracy differs from other political parties [because] it would completely transform bourgeois society’s economic organization. . . .  The main cause of defects [in] our civilization is the fact that the capitalist mode of production puts the ownership of the means of production in the minority’s hands, condemning the majority to propertylessness and . . . creating antagonism between workers and capitalists. . . . Capitalist private property has . . . ­become a means for the propertied to deprive the working people the fruits of their labor. . . . [E]xtraction continues to favor an ever more concentrated and ever more powerful capitalist rule.7 As for the SPD, the SAP’s solution was social, cooperative, nonbureaucratic control, especially in “natural wealth, industrial, credit institutions; transport and communication routes.” “Social” and “community” enterprises were to be managed by experts, workers, and consumers. Companies could be privately owned, but would be subject to “social control.” All of this, the SAP told its publics, was the extension of a natural process in which capitalism generates a working class organized against capitalists. In the SAP’s account, capitalism makes From Socialist, to Economistic, to Neoliberalized Leftism 47 workers into an opposing movement. They organize themselves against exploitation, as producers in trade unions and consumers in cooperative societies in a still ongoing, ever more immense . . . struggle between workers and capitalists.8 And then there was the British Labour Party. Founded in an explicitly “revisionist,” non-Marxist, and decidedly middle-class version of socialism from the start, Labour’s 1918 programmatic language was actually no less radical, ownership-focused, or critical than that of the SAP or the SPD around the same time. Labour, too, described a deeply contradictory economic system that was pushing exploitation and inequality to a breaking point, paving the way for a new politics: The individualist system of capitalist production, based on the private ownership and competitive administration of land and capital, with its reckless “profiteering” and wage-slavery . . . ; with the monstrous inequality of circumstances which it produces . . . may, we hope, indeed have received a death-blow. With it must go the political system and ideas in which it naturally found expression.9 Labour, too, argued for democratic economic control and social ownership: [T]he Labour Party insists on Democracy in industry as well as in government. It demands the progressive elimination from the control of industry of the private capitalist, individual or joint-stock; and the setting free of all who work . . . for the service of the community.10 Last but not least, Labour’s programmatic language paired social ownership with an emphasis on expert knowledge: What the Labour Party looks to is a genuinely scientific reorganisation of the nation’s industry . . . on the basis of the Common Ownership of the Means of Production [“Clause IV”]; the equitable sharing of the proceeds . . . and the adoption . . . , of those systems and methods of administration and control that may be found, in practice, best to promote, not profiteering, but the public interest.11 There are, of course, shades of difference in these three programs; these parties formed via distinctive routes that are explored in the next chapter. But the basic structure of their programmatic rhetoric was strikingly uniform, built using common socialist concepts and frames of reference. The Distinctiveness of American Rhetoric</w:t>
      </w:r>
      <w:r w:rsidRPr="00A710BF">
        <w:rPr>
          <w:sz w:val="16"/>
        </w:rPr>
        <w:t xml:space="preserve"> </w:t>
      </w:r>
      <w:r w:rsidRPr="00A710BF">
        <w:rPr>
          <w:rStyle w:val="StyleUnderline"/>
        </w:rPr>
        <w:t>The American Democratic Party’s 1920 platform had a different tone. Considerably older than Europe’s socialist and labor parties, much less centralized, and not clearly ideological, the Democratic Party was its own kind of political animal.</w:t>
      </w:r>
      <w:r w:rsidRPr="00A710BF">
        <w:rPr>
          <w:sz w:val="16"/>
        </w:rPr>
        <w:t xml:space="preserve"> It was not “left” in a European sense; it had never been socialist; its chief power centers were not in Washington, D.C.; and it certainly did not understand itself as the organized political and ideological arm of the working classes. </w:t>
      </w:r>
      <w:r w:rsidRPr="00A710BF">
        <w:rPr>
          <w:rStyle w:val="StyleUnderline"/>
        </w:rPr>
        <w:t>The Democratic Party moved in a political order fundamentally unlike Western Europe’s, featuring a national state that was still becoming a centralized, technocratic, administrative entity, a process that was linked to professionally driven progressive movements</w:t>
      </w:r>
      <w:r w:rsidRPr="00A710BF">
        <w:rPr>
          <w:sz w:val="16"/>
        </w:rPr>
        <w:t xml:space="preserve">.12 </w:t>
      </w:r>
      <w:r w:rsidRPr="002B2095">
        <w:rPr>
          <w:rStyle w:val="StyleUnderline"/>
          <w:highlight w:val="green"/>
        </w:rPr>
        <w:t>The Democrat</w:t>
      </w:r>
      <w:r w:rsidRPr="00A710BF">
        <w:rPr>
          <w:rStyle w:val="StyleUnderline"/>
        </w:rPr>
        <w:t>ic Party</w:t>
      </w:r>
      <w:r w:rsidRPr="002B2095">
        <w:rPr>
          <w:rStyle w:val="StyleUnderline"/>
          <w:highlight w:val="green"/>
        </w:rPr>
        <w:t>’s 1920 platform</w:t>
      </w:r>
      <w:r w:rsidRPr="00A710BF">
        <w:rPr>
          <w:rStyle w:val="StyleUnderline"/>
        </w:rPr>
        <w:t xml:space="preserve"> (of James M. Cox and his running mate, Franklin D. Roosevelt) expressed the distinctiveness of American party politics. The platform </w:t>
      </w:r>
      <w:r w:rsidRPr="002B2095">
        <w:rPr>
          <w:rStyle w:val="StyleUnderline"/>
          <w:highlight w:val="green"/>
        </w:rPr>
        <w:t>emphasized</w:t>
      </w:r>
      <w:r w:rsidRPr="00A710BF">
        <w:rPr>
          <w:rStyle w:val="StyleUnderline"/>
        </w:rPr>
        <w:t xml:space="preserve"> expert-informed policy-making—especially on budgetary matters—that echoed the antipartisan, </w:t>
      </w:r>
      <w:r w:rsidRPr="002B2095">
        <w:rPr>
          <w:rStyle w:val="StyleUnderline"/>
          <w:highlight w:val="green"/>
        </w:rPr>
        <w:t xml:space="preserve">anticorruption </w:t>
      </w:r>
      <w:r w:rsidRPr="00F81ECB">
        <w:rPr>
          <w:rStyle w:val="StyleUnderline"/>
        </w:rPr>
        <w:t>themes of early twentieth</w:t>
      </w:r>
      <w:r w:rsidRPr="00A710BF">
        <w:rPr>
          <w:rStyle w:val="StyleUnderline"/>
        </w:rPr>
        <w:t xml:space="preserve">-century American </w:t>
      </w:r>
      <w:r w:rsidRPr="002B2095">
        <w:rPr>
          <w:rStyle w:val="StyleUnderline"/>
          <w:highlight w:val="green"/>
        </w:rPr>
        <w:t>progressivism</w:t>
      </w:r>
      <w:r w:rsidRPr="00A710BF">
        <w:rPr>
          <w:sz w:val="16"/>
        </w:rPr>
        <w:t xml:space="preserve">: We pledge the Democratic Party to a policy of strict economy in government expenditures, and to the enactment and enforcement of such legislation as may be required to bring profiteers before the bar of criminal justice. . . . We reaffirm the traditional policy of the Democratic Party in favor of a tariff for revenue only and confirm the policy of basing tariff revisions upon the intelligent research of a nonpartisan commission, rather than upon the demands of selfish interests, temporarily held in abeyance. . . . In the interest of economy and good administration, we favor the creation of an effective budget system, that will function in accord with the principles of the Constitution.13 </w:t>
      </w:r>
      <w:r w:rsidRPr="00A710BF">
        <w:rPr>
          <w:rStyle w:val="StyleUnderline"/>
        </w:rPr>
        <w:t>The Democratic Party of 1920 did touch on concerns with capitalism; the tensions between labor and capital could hardly have been ignored in that period</w:t>
      </w:r>
      <w:r w:rsidRPr="00A710BF">
        <w:rPr>
          <w:sz w:val="16"/>
        </w:rPr>
        <w:t xml:space="preserve">. But the party spoke of these things in a register that lacked the trademark themes of Marxist socialism. More specifically, the 1920 Democratic platform lacked the central Marxist theme of intensifying class struggle. </w:t>
      </w:r>
      <w:r w:rsidRPr="00A710BF">
        <w:rPr>
          <w:rStyle w:val="StyleUnderline"/>
        </w:rPr>
        <w:t xml:space="preserve">While recognizing labor capital relations as an important problem, </w:t>
      </w:r>
      <w:r w:rsidRPr="002B2095">
        <w:rPr>
          <w:rStyle w:val="StyleUnderline"/>
          <w:highlight w:val="green"/>
        </w:rPr>
        <w:t>the party emphasized</w:t>
      </w:r>
      <w:r w:rsidRPr="00A710BF">
        <w:rPr>
          <w:rStyle w:val="StyleUnderline"/>
        </w:rPr>
        <w:t xml:space="preserve"> the resolution of </w:t>
      </w:r>
      <w:r w:rsidRPr="002B2095">
        <w:rPr>
          <w:rStyle w:val="StyleUnderline"/>
          <w:highlight w:val="green"/>
        </w:rPr>
        <w:t>labor strife</w:t>
      </w:r>
      <w:r w:rsidRPr="00A710BF">
        <w:rPr>
          <w:rStyle w:val="StyleUnderline"/>
        </w:rPr>
        <w:t xml:space="preserve"> in a Wilsonian tone of progressive reformism, humanism, and government in the public interest</w:t>
      </w:r>
      <w:r w:rsidRPr="00A710BF">
        <w:rPr>
          <w:sz w:val="16"/>
        </w:rPr>
        <w:t xml:space="preserve">: The Democratic Party is now, as ever, the firm friend of honest labor and the promoter of progressive industry. . . . Under this administration have been established employment bureaus to bring the man and the job together; have been peaceably determined many bitter disputes between capital and labor; were passed the Child-Labor Act, the </w:t>
      </w:r>
      <w:r w:rsidRPr="00A710BF">
        <w:rPr>
          <w:sz w:val="16"/>
        </w:rPr>
        <w:lastRenderedPageBreak/>
        <w:t xml:space="preserve">Workingman’s Compensation Act . . . , the Eight-Hour Law . . .  and a code of other wholesome laws. . . . Labor is not a commodity; it is human. . . . At the same time, the nation depends upon the products of labor. . . . The whole people, therefore, have a right to insist that justice shall be done to those who work, and in turn that those whose labor creates the necessities upon which the life of the nation depends. . . . Labor, as well as capital, is entitled to adequate compensation. Each has the indefeasible right of organization, of collective bargaining and of speaking through representatives of their own selection. Neither class, however, should at any time nor in any circumstances take action that will put in jeopardy the public welfare.14 </w:t>
      </w:r>
      <w:r w:rsidRPr="00A710BF">
        <w:rPr>
          <w:rStyle w:val="StyleUnderline"/>
        </w:rPr>
        <w:t>In short, the Democratic Party in 1920 cast itself as a bearer of progressive reformism and reasoned compromise in the general interest, but not as a representative of the working classes or a voice of socialist leftism</w:t>
      </w:r>
      <w:r w:rsidRPr="00A710BF">
        <w:rPr>
          <w:sz w:val="16"/>
        </w:rPr>
        <w:t xml:space="preserve">. </w:t>
      </w:r>
      <w:r w:rsidRPr="00A710BF">
        <w:rPr>
          <w:rStyle w:val="StyleUnderline"/>
        </w:rPr>
        <w:t xml:space="preserve">In the New Deal years Democratic language shifted in ways that could be read as more left, in a European sense—but certainly not in a Marxist or socialist tone, and only by imposing a term on American party life that was not particularly meaningful at the time. The </w:t>
      </w:r>
      <w:r w:rsidRPr="002B2095">
        <w:rPr>
          <w:rStyle w:val="StyleUnderline"/>
          <w:highlight w:val="green"/>
        </w:rPr>
        <w:t>1936</w:t>
      </w:r>
      <w:r w:rsidRPr="00A710BF">
        <w:rPr>
          <w:rStyle w:val="StyleUnderline"/>
        </w:rPr>
        <w:t xml:space="preserve"> </w:t>
      </w:r>
      <w:r w:rsidRPr="002B2095">
        <w:rPr>
          <w:rStyle w:val="StyleUnderline"/>
          <w:highlight w:val="green"/>
        </w:rPr>
        <w:t>Democratic program</w:t>
      </w:r>
      <w:r w:rsidRPr="00A710BF">
        <w:rPr>
          <w:rStyle w:val="StyleUnderline"/>
        </w:rPr>
        <w:t xml:space="preserve"> replaced the language of “capital” with “business,” </w:t>
      </w:r>
      <w:r w:rsidRPr="002B2095">
        <w:rPr>
          <w:rStyle w:val="StyleUnderline"/>
          <w:highlight w:val="green"/>
        </w:rPr>
        <w:t>retained</w:t>
      </w:r>
      <w:r w:rsidRPr="00A710BF">
        <w:rPr>
          <w:rStyle w:val="StyleUnderline"/>
        </w:rPr>
        <w:t xml:space="preserve"> an emphasis on labor and </w:t>
      </w:r>
      <w:r w:rsidRPr="002B2095">
        <w:rPr>
          <w:rStyle w:val="StyleUnderline"/>
          <w:highlight w:val="green"/>
        </w:rPr>
        <w:t>collective bargaining rights</w:t>
      </w:r>
      <w:r w:rsidRPr="00A710BF">
        <w:rPr>
          <w:rStyle w:val="StyleUnderline"/>
        </w:rPr>
        <w:t>, and highlighted the efforts of the New Deal state to place both labor and business on the road to “freedom and prosperity”—all within an orthodox framework of sound government finance</w:t>
      </w:r>
      <w:r w:rsidRPr="00A710BF">
        <w:rPr>
          <w:sz w:val="16"/>
        </w:rPr>
        <w:t xml:space="preserve">.15 It decried the “concentration of economic power” but stopped well short of the hallmark socialist response to this concern (socialization), </w:t>
      </w:r>
      <w:r w:rsidRPr="00A710BF">
        <w:rPr>
          <w:rStyle w:val="StyleUnderline"/>
        </w:rPr>
        <w:t xml:space="preserve">emphasizing instead the importance of antitrust laws. The difficulty of calling Democratic (or, indeed, any) party politics “left” at this moment is that, with reference to the major political parties, the term simply was not a particularly meaningful one. No reference appears, in either Democratic or Republican platforms between 1932 and 1940, to “left” or “right” as party-political categories.16 </w:t>
      </w:r>
      <w:r w:rsidRPr="00A710BF">
        <w:rPr>
          <w:sz w:val="8"/>
          <w:szCs w:val="8"/>
        </w:rPr>
        <w:t>The Transatlantic Turn to Economistic Leftism By 1960, of course, the Western political landscape was changed in myriad ways—by the Second World War, the birth of a new Western economic order with the United States at its center, and the onset of the Cold War, to name only a few. Accordingly, the language of mainstream leftism was different not only in content but also in geographical scope. All four parties, American Democrats included, converged on a shared language that was nonsocialist, strikingly optimistic, and distinctly economistic.17 Probably the most controversial case in this regard was the once Marxist German SPD. In 1959 the SPD famously broke with its Marxist legacy with its Bad Godesberg Program. The program was subdued in rhetoric but optimistic in spirit, describing party goals in terms of growth, fair distribution, “full employment,” stable money, and increased productivity: The goal of Social Democratic economic policy is the constant growth of prosperity and a just share for all in the national product. . . . Economic policy must secure full employment whilst maintaining a stable currency, increase productivity and raise general prosperity. To enable all people to take part in the country’s growing prosperity there must be planning to adjust the economy to the constant structural changes in order to achieve a balanced economic development.18 No longer telling a tale of capitalist exploitation and class struggle, Bad Godesberg expressed a faith in technical economic planning, executed through the budget: in the SPD’s words, “Such a policy demands national accounting and a national budget.”19 Last but not least, Bad Godesberg featured a phrase that became West Germany’s most famous political translation of Keynesian economics: “as much competition as possible, as much planning as necessary.” The full passage reads as follows: The state cannot shirk its responsibility for the course the economy takes. . . . The Social Democratic Party therefore favours a free market wherever free competition really exists. Where a market is dominated by individuals or groups, however, all manner of steps must be taken to protect freedom in the economic sphere. As much competition as possible—as much planning as necessary.20 This rhetoric, we will see, was strikingly close to that of the SAP and the Labour Party. By 1960 the SAP spoke as the dominant party of government that it then was, but with a familiarly economistic voice. The SAP’s 1960 program proclaimed the success of the labor movement and “social democracy” (that is, itself) in the achievement of broadly shared growth, the defeat of unemployment and concentrated ownership, and the establishment of “full employment” as the central goal of economic policy in Sweden and beyond: Under Social Democracy’s . . . leadership . . . [t]he labor movement has played a leading role in the . . . expansion of political democracy. . . . Through legislation and trade union struggle, private equity owners’ autocracy has been broken, and the majority of the people have been able to increase their share in [economic growth]. The development of state, municipal and cooperative enterprise has . . .  created . . . the democratization of ownership. . . . The threat of unemployment has decreased thanks to a reorientation of economic policies, and full employment in several countries is set as a goal.21 Around the same time the British Labour Party spoke in a less confident tone relative to the SAP, but it used a similarly economistic language, with emphasis on full employment, stable prices, and budgetary management: We do not say that the task of combining an expanding economy with full employment and steady prices is an easy one. Indeed it will remain impossible until we have a Government which is prepared to use all measures, including the Budget, in order to expand production and simultaneously to ensure that welfare is developed and prosperity fairly shared. Among the more striking features of Labour’s 1959 program was its faith in technical economic management: To achieve planned economic expansion and full employment without raising prices requires a buoyant demand to stimulate British industry; a high rate of investment as the basis of raising productivity; an energetic application of science in all phases of our economic life; a favourable balance of payments including the development of Commonwealth trade; and a strong pound.22 The language of the SPD, the Labour Party, and the SAP around 1960 was thus very close—but, then again, their rhetoric had always been similar.</w:t>
      </w:r>
      <w:r w:rsidRPr="00A710BF">
        <w:rPr>
          <w:sz w:val="16"/>
        </w:rPr>
        <w:t xml:space="preserve"> </w:t>
      </w:r>
      <w:r w:rsidRPr="00A710BF">
        <w:rPr>
          <w:rStyle w:val="StyleUnderline"/>
        </w:rPr>
        <w:t xml:space="preserve">Perhaps the most interesting feature of the economistic language of center-leftism </w:t>
      </w:r>
      <w:r w:rsidRPr="002B2095">
        <w:rPr>
          <w:rStyle w:val="StyleUnderline"/>
          <w:highlight w:val="green"/>
        </w:rPr>
        <w:t>around 1960</w:t>
      </w:r>
      <w:r w:rsidRPr="00A710BF">
        <w:rPr>
          <w:rStyle w:val="StyleUnderline"/>
        </w:rPr>
        <w:t xml:space="preserve"> is that, by that time, the Democratic Party spoke it, too. Indeed, the Democratic Party’s 1960 platform (the year of the Kennedy-Johnson ticket) deployed a language that was very close to that of the SPD, SAP, and Labour Party</w:t>
      </w:r>
      <w:r w:rsidRPr="00A710BF">
        <w:rPr>
          <w:sz w:val="16"/>
        </w:rPr>
        <w:t xml:space="preserve">: We Democrats believe that our economy can and must grow at an average rate of 5% annually. . . . We pledge ourselves to policies that will achieve this goal without inflation. . . . As the first step in speeding economic growth, a Democratic president will put an end to the present high-interest, tight-money policy. . . . We are committed to maximum employment, at decent wages and with fair profits, in a far more productive, expanding economy.23 </w:t>
      </w:r>
      <w:r w:rsidRPr="00A710BF">
        <w:rPr>
          <w:rStyle w:val="StyleUnderline"/>
        </w:rPr>
        <w:t xml:space="preserve">No longer concerned with building administrative capacity, the </w:t>
      </w:r>
      <w:r w:rsidRPr="002B2095">
        <w:rPr>
          <w:rStyle w:val="StyleUnderline"/>
          <w:highlight w:val="green"/>
        </w:rPr>
        <w:t>Democratic Party</w:t>
      </w:r>
      <w:r w:rsidRPr="00A710BF">
        <w:rPr>
          <w:rStyle w:val="StyleUnderline"/>
        </w:rPr>
        <w:t xml:space="preserve"> now proclaimed the budget’s usefulness as a tool of economic management, alongside interventions in private sector price-setting as needed, </w:t>
      </w:r>
      <w:r w:rsidRPr="002B2095">
        <w:rPr>
          <w:rStyle w:val="StyleUnderline"/>
          <w:highlight w:val="green"/>
        </w:rPr>
        <w:t xml:space="preserve">in </w:t>
      </w:r>
      <w:r w:rsidRPr="00A710BF">
        <w:rPr>
          <w:rStyle w:val="StyleUnderline"/>
        </w:rPr>
        <w:t xml:space="preserve">the </w:t>
      </w:r>
      <w:r w:rsidRPr="002B2095">
        <w:rPr>
          <w:rStyle w:val="StyleUnderline"/>
          <w:highlight w:val="green"/>
        </w:rPr>
        <w:t>pursuit of “full employment</w:t>
      </w:r>
      <w:r w:rsidRPr="00A710BF">
        <w:rPr>
          <w:sz w:val="16"/>
        </w:rPr>
        <w:t xml:space="preserve">”: Inflation has its roots in a variety of causes; its cure lies in a variety of remedies. Among those remedies are monetary and credit policies properly applied, budget surpluses in times of full employment, and action to restrain “administered price” increases in industries where economic power rests in the hands of a few. A fair share of the gains from increasing productivity in many industries should be passed on to the consumer through price reductions. . . . The Democratic Party reaffirms its support of full employment as a paramount objective of national policy.24 </w:t>
      </w:r>
      <w:r w:rsidRPr="00A710BF">
        <w:rPr>
          <w:rStyle w:val="StyleUnderline"/>
        </w:rPr>
        <w:t>In short, by around 1960 all four parties had converged on a distinctively economistic leftism, projecting a confident vision of the expertly managed economy. All framed the world in technocratic, economistic terms, assuring publics that they possessed the know-how to intervene in economies precisely, scientifically, and as necessary</w:t>
      </w:r>
      <w:r w:rsidRPr="00A710BF">
        <w:rPr>
          <w:sz w:val="16"/>
        </w:rPr>
        <w:t xml:space="preserve">. </w:t>
      </w:r>
      <w:r w:rsidRPr="00A710BF">
        <w:rPr>
          <w:sz w:val="8"/>
          <w:szCs w:val="8"/>
        </w:rPr>
        <w:t xml:space="preserve">For economistic leftism the aim was not socialism so much as full employment—the hallmark theme of Keynesian economic management. The means was not socialization but rather expert economic know-how. A Note on the “End of Ideology” A few comments on my interpretation of programmatic rhetoric around 1960 are in order. Some readers might be surprised that I treat socialist and economistic leftism as essentially equivalent kinds of things, when one could argue that socialist leftism was ideological but economistic leftism was technical. Indeed, starting in the 1950s a number of scholarly observers—Raymond Aron, Edward Shils, Daniel Bell, Seymour Martin Lipset, Philip Converse—interpreted the newly technical language of mainstream left parties as qualitatively different from socialism.25 For them it marked an “end of ideology,” driven by rising affluence and electoral change: essentially, as the electorate got richer, parties dropped socialist and class appeals. End-of-ideology advocates contended that distinctions between left and right, liberal and conservative, no longer moved people because the electorate had changed. By moving away from socialism, left parties were merely responding to that fact with a nonideological, technical language, in an effort to win the most votes from a broadly centrist, affluent public. 54 From Socialist, to Economistic, to Neoliberalized Leftism But one can argue that the end of ideology account was built on two errors: first, it conflated ideology with Marxist socialism and, by extension, presumed that the non-Marxist, technical language of economics was not ideological; second, it assumed that parties’ programmatic language was a pure response to self-evident, linear changes in the electorate, when in fact those changes were neither self-evident nor linear. I’ll briefly elaborate on each point in turn. A first problem with the end of ideology account is its presumption that Marxist socialism was ideological, but the language of Keynesian economics was technical, practical, and pragmatic—that is, nonideological. But, in fact, one can see in the party programs of the early 1960s a definite theoretical vocabulary, closely associated with a definite academic profession. This kind of specificity is precisely what sociologists of knowledge have long understood as political ideology: a worldview about the means and ends of government that expresses the positionality of the temporally and socially situated people who produced it.26 Seen in this way, one of the great ironies of the end of ideology claim is that it was itself an ideological move, attempting to universalize a historically and socially specific way of seeing things by calling it technical. Once Keynesian-economistic leftism is recognized as ideological in the sociology-of-knowledge sense, the difficulty with the second notion—that economistic leftism was an expression of the demands of the increasingly affluent median voter—becomes problematic. In the first place, the median voter did not articulate the language of Keynesian economics and insert it into parties’ programmatic language; people in and around parties did. When we consider this, the assumption that the median voter’s preferences could explain the specific language of economistic leftism starts to look too mechanical and simplistic, ignoring the question of who was speaking for parties—that is, defining programmatic vocabularies—around 1960. One might also consider whether the increasingly affluent electorate can accurately be characterized as a unified electorate. This was, after all, the eve of the notorious sixties, in which it became perfectly clear that the electorate was not unified at all. The late 1960s and early 1970s, in fact, saw a resurgence in the strength and vitality of Marxist- and socialist-inflected lines of thinking—not only via European communist parties touting </w:t>
      </w:r>
      <w:r w:rsidRPr="00A710BF">
        <w:rPr>
          <w:sz w:val="8"/>
          <w:szCs w:val="8"/>
        </w:rPr>
        <w:lastRenderedPageBreak/>
        <w:t>“Eurocommunism” but also within center-left parties, especially among their younger ranks. Can we assume, then, that Keynesian economics had somehow become the natural language of a unified, mainstream electorate? At best, this seems doubtful. In short, the end of ideology thesis identified important reasons why parties changed their language, but by categorizing socialism as ideology and economism as ideology’s absence, it preempted consideration of the possibility that economistic leftism had specific social bases, too. By extension, it failed to ask who was speaking for parties and how they acquired the authority to do so. It could not (and did not) offer any way of theorizing or anticipating the very different kind of politics that followed economistic leftism. The Second Reinvention: Neoliberalized Leftism</w:t>
      </w:r>
      <w:r w:rsidRPr="00A710BF">
        <w:rPr>
          <w:sz w:val="16"/>
        </w:rPr>
        <w:t xml:space="preserve"> </w:t>
      </w:r>
      <w:r w:rsidRPr="002B2095">
        <w:rPr>
          <w:rStyle w:val="StyleUnderline"/>
          <w:highlight w:val="green"/>
        </w:rPr>
        <w:t>By</w:t>
      </w:r>
      <w:r w:rsidRPr="00A710BF">
        <w:rPr>
          <w:rStyle w:val="StyleUnderline"/>
        </w:rPr>
        <w:t xml:space="preserve"> the mid-late </w:t>
      </w:r>
      <w:r w:rsidRPr="00F81ECB">
        <w:rPr>
          <w:rStyle w:val="StyleUnderline"/>
        </w:rPr>
        <w:t>19</w:t>
      </w:r>
      <w:r w:rsidRPr="002B2095">
        <w:rPr>
          <w:rStyle w:val="StyleUnderline"/>
          <w:highlight w:val="green"/>
        </w:rPr>
        <w:t>90s</w:t>
      </w:r>
      <w:r w:rsidRPr="00A710BF">
        <w:rPr>
          <w:rStyle w:val="StyleUnderline"/>
        </w:rPr>
        <w:t xml:space="preserve"> Western center-</w:t>
      </w:r>
      <w:r w:rsidRPr="002B2095">
        <w:rPr>
          <w:rStyle w:val="StyleUnderline"/>
          <w:highlight w:val="green"/>
        </w:rPr>
        <w:t>left parties</w:t>
      </w:r>
      <w:r w:rsidRPr="00A710BF">
        <w:rPr>
          <w:rStyle w:val="StyleUnderline"/>
        </w:rPr>
        <w:t xml:space="preserve"> again spoke in a qualitatively distinctive register. Historians and social scientists alike noted left parties’ </w:t>
      </w:r>
      <w:r w:rsidRPr="002B2095">
        <w:rPr>
          <w:rStyle w:val="StyleUnderline"/>
          <w:highlight w:val="green"/>
        </w:rPr>
        <w:t>accept</w:t>
      </w:r>
      <w:r w:rsidRPr="00A710BF">
        <w:rPr>
          <w:rStyle w:val="StyleUnderline"/>
        </w:rPr>
        <w:t xml:space="preserve">ance of </w:t>
      </w:r>
      <w:r w:rsidRPr="002B2095">
        <w:rPr>
          <w:rStyle w:val="StyleUnderline"/>
          <w:highlight w:val="green"/>
        </w:rPr>
        <w:t>market forces</w:t>
      </w:r>
      <w:r w:rsidRPr="00A710BF">
        <w:rPr>
          <w:rStyle w:val="StyleUnderline"/>
        </w:rPr>
        <w:t>, in particular financial markets, as beyond their contro</w:t>
      </w:r>
      <w:r w:rsidRPr="00A710BF">
        <w:rPr>
          <w:sz w:val="16"/>
        </w:rPr>
        <w:t xml:space="preserve">l; a willingness to accept limitations on, and privatizations of, the welfare state; </w:t>
      </w:r>
      <w:r w:rsidRPr="002B2095">
        <w:rPr>
          <w:rStyle w:val="StyleUnderline"/>
          <w:highlight w:val="green"/>
        </w:rPr>
        <w:t>and</w:t>
      </w:r>
      <w:r w:rsidRPr="00A710BF">
        <w:rPr>
          <w:sz w:val="16"/>
        </w:rPr>
        <w:t xml:space="preserve"> an acceptance “</w:t>
      </w:r>
      <w:r w:rsidRPr="002B2095">
        <w:rPr>
          <w:rStyle w:val="StyleUnderline"/>
          <w:highlight w:val="green"/>
        </w:rPr>
        <w:t>that equality</w:t>
      </w:r>
      <w:r w:rsidRPr="00A710BF">
        <w:rPr>
          <w:rStyle w:val="StyleUnderline"/>
        </w:rPr>
        <w:t xml:space="preserve"> . . . </w:t>
      </w:r>
      <w:r w:rsidRPr="002B2095">
        <w:rPr>
          <w:rStyle w:val="StyleUnderline"/>
          <w:highlight w:val="green"/>
        </w:rPr>
        <w:t>may be tempered</w:t>
      </w:r>
      <w:r w:rsidRPr="00A710BF">
        <w:rPr>
          <w:rStyle w:val="StyleUnderline"/>
        </w:rPr>
        <w:t xml:space="preserve"> by the need </w:t>
      </w:r>
      <w:r w:rsidRPr="002B2095">
        <w:rPr>
          <w:rStyle w:val="StyleUnderline"/>
          <w:highlight w:val="green"/>
        </w:rPr>
        <w:t>to preserve</w:t>
      </w:r>
      <w:r w:rsidRPr="00A710BF">
        <w:rPr>
          <w:rStyle w:val="StyleUnderline"/>
        </w:rPr>
        <w:t xml:space="preserve"> incentives and </w:t>
      </w:r>
      <w:r w:rsidRPr="002B2095">
        <w:rPr>
          <w:rStyle w:val="StyleUnderline"/>
          <w:highlight w:val="green"/>
        </w:rPr>
        <w:t>competition</w:t>
      </w:r>
      <w:r w:rsidRPr="00A710BF">
        <w:rPr>
          <w:sz w:val="16"/>
        </w:rPr>
        <w:t xml:space="preserve">.”27 The political scientist Peter Hall </w:t>
      </w:r>
      <w:r w:rsidRPr="00A710BF">
        <w:rPr>
          <w:rStyle w:val="StyleUnderline"/>
        </w:rPr>
        <w:t xml:space="preserve">identified similar themes in </w:t>
      </w:r>
      <w:r w:rsidRPr="00F81ECB">
        <w:rPr>
          <w:rStyle w:val="StyleUnderline"/>
        </w:rPr>
        <w:t>19</w:t>
      </w:r>
      <w:r w:rsidRPr="002B2095">
        <w:rPr>
          <w:rStyle w:val="StyleUnderline"/>
          <w:highlight w:val="green"/>
        </w:rPr>
        <w:t>90s “third way</w:t>
      </w:r>
      <w:r w:rsidRPr="00A710BF">
        <w:rPr>
          <w:rStyle w:val="StyleUnderline"/>
        </w:rPr>
        <w:t xml:space="preserve">” political </w:t>
      </w:r>
      <w:r w:rsidRPr="002B2095">
        <w:rPr>
          <w:rStyle w:val="StyleUnderline"/>
          <w:highlight w:val="green"/>
        </w:rPr>
        <w:t>rhetoric</w:t>
      </w:r>
      <w:r w:rsidRPr="00A710BF">
        <w:rPr>
          <w:rStyle w:val="StyleUnderline"/>
        </w:rPr>
        <w:t xml:space="preserve">: business-friendliness and market-friendliness; </w:t>
      </w:r>
      <w:r w:rsidRPr="00A710BF">
        <w:rPr>
          <w:rStyle w:val="Emphasis"/>
        </w:rPr>
        <w:t xml:space="preserve">a </w:t>
      </w:r>
      <w:r w:rsidRPr="002B2095">
        <w:rPr>
          <w:rStyle w:val="Emphasis"/>
          <w:highlight w:val="green"/>
        </w:rPr>
        <w:t xml:space="preserve">shift away from </w:t>
      </w:r>
      <w:r w:rsidRPr="00A710BF">
        <w:rPr>
          <w:rStyle w:val="Emphasis"/>
        </w:rPr>
        <w:t xml:space="preserve">public </w:t>
      </w:r>
      <w:r w:rsidRPr="002B2095">
        <w:rPr>
          <w:rStyle w:val="Emphasis"/>
          <w:highlight w:val="green"/>
        </w:rPr>
        <w:t>spending</w:t>
      </w:r>
      <w:r w:rsidRPr="00A710BF">
        <w:rPr>
          <w:rStyle w:val="Emphasis"/>
        </w:rPr>
        <w:t xml:space="preserve"> and </w:t>
      </w:r>
      <w:r w:rsidRPr="002B2095">
        <w:rPr>
          <w:rStyle w:val="Emphasis"/>
          <w:highlight w:val="green"/>
        </w:rPr>
        <w:t>to</w:t>
      </w:r>
      <w:r w:rsidRPr="00A710BF">
        <w:rPr>
          <w:rStyle w:val="Emphasis"/>
        </w:rPr>
        <w:t xml:space="preserve">ward </w:t>
      </w:r>
      <w:r w:rsidRPr="002B2095">
        <w:rPr>
          <w:rStyle w:val="Emphasis"/>
          <w:highlight w:val="green"/>
        </w:rPr>
        <w:t>“moral issues,”</w:t>
      </w:r>
      <w:r w:rsidRPr="00A710BF">
        <w:rPr>
          <w:rStyle w:val="StyleUnderline"/>
        </w:rPr>
        <w:t xml:space="preserve"> including crime; </w:t>
      </w:r>
      <w:r w:rsidRPr="002B2095">
        <w:rPr>
          <w:rStyle w:val="StyleUnderline"/>
          <w:highlight w:val="green"/>
        </w:rPr>
        <w:t>and</w:t>
      </w:r>
      <w:r w:rsidRPr="00A710BF">
        <w:rPr>
          <w:rStyle w:val="StyleUnderline"/>
        </w:rPr>
        <w:t xml:space="preserve"> a new </w:t>
      </w:r>
      <w:r w:rsidRPr="002B2095">
        <w:rPr>
          <w:rStyle w:val="StyleUnderline"/>
          <w:highlight w:val="green"/>
        </w:rPr>
        <w:t xml:space="preserve">understanding </w:t>
      </w:r>
      <w:r w:rsidRPr="00A710BF">
        <w:rPr>
          <w:rStyle w:val="StyleUnderline"/>
        </w:rPr>
        <w:t xml:space="preserve">of </w:t>
      </w:r>
      <w:r w:rsidRPr="002B2095">
        <w:rPr>
          <w:rStyle w:val="StyleUnderline"/>
          <w:highlight w:val="green"/>
        </w:rPr>
        <w:t xml:space="preserve">unemployment </w:t>
      </w:r>
      <w:r w:rsidRPr="00A710BF">
        <w:rPr>
          <w:rStyle w:val="StyleUnderline"/>
        </w:rPr>
        <w:t xml:space="preserve">as “a supply-side problem </w:t>
      </w:r>
      <w:r w:rsidRPr="002B2095">
        <w:rPr>
          <w:rStyle w:val="StyleUnderline"/>
          <w:highlight w:val="green"/>
        </w:rPr>
        <w:t>to be addressed by</w:t>
      </w:r>
      <w:r w:rsidRPr="00A710BF">
        <w:rPr>
          <w:rStyle w:val="StyleUnderline"/>
        </w:rPr>
        <w:t xml:space="preserve"> manpower policy and changes in labour </w:t>
      </w:r>
      <w:r w:rsidRPr="002B2095">
        <w:rPr>
          <w:rStyle w:val="StyleUnderline"/>
          <w:highlight w:val="green"/>
        </w:rPr>
        <w:t>market</w:t>
      </w:r>
      <w:r w:rsidRPr="00A710BF">
        <w:rPr>
          <w:rStyle w:val="StyleUnderline"/>
        </w:rPr>
        <w:t xml:space="preserve"> arrangements</w:t>
      </w:r>
      <w:r w:rsidRPr="00A710BF">
        <w:rPr>
          <w:sz w:val="16"/>
        </w:rPr>
        <w:t xml:space="preserve">.”28 </w:t>
      </w:r>
      <w:r w:rsidRPr="00A710BF">
        <w:rPr>
          <w:rStyle w:val="StyleUnderline"/>
        </w:rPr>
        <w:t>Gone was the tone of optimism, mastery, and distributional equality that underpinned economistic leftism around 1960;</w:t>
      </w:r>
      <w:r w:rsidRPr="00A710BF">
        <w:rPr>
          <w:sz w:val="16"/>
        </w:rPr>
        <w:t xml:space="preserve"> </w:t>
      </w:r>
      <w:r w:rsidRPr="00A710BF">
        <w:rPr>
          <w:sz w:val="8"/>
          <w:szCs w:val="8"/>
        </w:rPr>
        <w:t>gone, also, was the language of a careful, technical calibration of a mixed economy. What we find, instead, is an emphasis on the forces of markets, and a recalibration of government and policy according to certain understandings of what market forces can and cannot do. These changes are evident in the programmatic rhetoric of all four parties dealt with here. The SPD, whose Berlin Program of 1989 was updated in 1998, situated “the market” as an autonomous, self-correcting force, but one that could not by itself meet social, environmental, and protective needs: Within a democratic framework, the market and competition are indispensable. The market effectively coordinates the vast diversity of economic decisions. . . . The market is an instrument for compensation between supply and demand; it is, embedded in a suitably adapted framework, an efficient instrument for controlling demand and supply. . . . But the market cannot ensure full employment, distributional justice or environmental protection.29 Meanwhile, in its 1990 program the Swedish SAP described a new world in which domestic authority had lost ground, such that no nation or party could go it alone. The SAP’s confident tone of national stewardship in 1960 became an acceptance of internationalized economic, cultural, and “market conditions,” requiring cross-national cooperation in order to manage social and economic life in a “sustainable” way: Completely new problems have arisen. . . . [O]ver a hundred years after the modern labor movement began to emerge in Europe and formulated demands for a transformation of society . . . [t]oday’s [situation] is in many ways more difficult. . . . On its own, no nation can secure its safety and survival. . . . Internationalization has already taken place—in market conditions—in terms of capital, labor, technology, information and mass media. . . . [S]tates . . . must work together to eliminate mass poverty and relaunch sustainable economic and social development, boost trade . . . , overcome economic crises . . . and promote science and technology development.30 In place of the directive, scientific management of national economies for the sake of full employment, the SAP would now pursue “[e]conomic policies designed to promote employment for all,” partly via public employment and training opportunities that would facilitate “societal readiness to cope with changes.”31 Perhaps the clearest instances of a new language of leftism emerged along the Anglo-American axis. In Britain, the 1997 program of “New Labour” declared itself a “party of ideas and ideals but not of outdated ideology.” Combining an anti-“dogmatic” pragmatism (“[w]hat counts is what works”) with emphasis on the “modern,” New Labour declared that it would adapt the policies of the Thatcher and Major years rather than rejecting them wholesale: From Socialist, to Economistic, to Neoliberalized Leftism 57 The objectives are radical. The means will be modern. . . . Some things the Conservatives got right. We will not change them. It is where they got things wrong that we will make change. We have no intention or desire to replace one set of dogmas by another.32 Like the SAP and SPD, Labour also described global markets as forces beyond national control:</w:t>
      </w:r>
      <w:r w:rsidRPr="00A710BF">
        <w:rPr>
          <w:sz w:val="16"/>
          <w:szCs w:val="16"/>
        </w:rPr>
        <w:t xml:space="preserve"> </w:t>
      </w:r>
      <w:r w:rsidRPr="00A710BF">
        <w:rPr>
          <w:rStyle w:val="StyleUnderline"/>
        </w:rPr>
        <w:t>In economic management, we accept the global economy as a reality and reject the isolationism and “go-it-alone” policies of the extremes of right or left</w:t>
      </w:r>
      <w:r w:rsidRPr="00A710BF">
        <w:rPr>
          <w:sz w:val="16"/>
        </w:rPr>
        <w:t xml:space="preserve">.33 Gone from Labour’s rhetoric was scientific economic management and full employment. New Labour aimed instead for “stable economic growth with low inflation,” competition, and shifting unemployed young people “off benefit and into work.” Famously, the clause that had come to be known since its initial appearance in 1918 as the centerpiece of Labourite socialism, the common ownership of the means of production (Clause IV), was now nowhere to be found. New Labour’s 1997 manifesto appeared five years after the 1992 “New Democrat,” </w:t>
      </w:r>
      <w:r w:rsidRPr="002B2095">
        <w:rPr>
          <w:rStyle w:val="StyleUnderline"/>
          <w:highlight w:val="green"/>
        </w:rPr>
        <w:t>Clinton-Gore platform</w:t>
      </w:r>
      <w:r w:rsidRPr="00A710BF">
        <w:rPr>
          <w:rStyle w:val="StyleUnderline"/>
        </w:rPr>
        <w:t xml:space="preserve"> of the American Democratic Party. That platform, too, offered a combination of pragmatism, noninflationary growth, and jobs (but not full employment), presaging New Labourite themes. At the center of the New Democratic platform’s much </w:t>
      </w:r>
      <w:r w:rsidRPr="002B2095">
        <w:rPr>
          <w:rStyle w:val="StyleUnderline"/>
          <w:highlight w:val="green"/>
        </w:rPr>
        <w:t>noted</w:t>
      </w:r>
      <w:r w:rsidRPr="00A710BF">
        <w:rPr>
          <w:rStyle w:val="StyleUnderline"/>
        </w:rPr>
        <w:t xml:space="preserve"> departure from the party’s New Deal, liberal past was its </w:t>
      </w:r>
      <w:r w:rsidRPr="002B2095">
        <w:rPr>
          <w:rStyle w:val="StyleUnderline"/>
          <w:highlight w:val="green"/>
        </w:rPr>
        <w:t>emphasis</w:t>
      </w:r>
      <w:r w:rsidRPr="00A710BF">
        <w:rPr>
          <w:rStyle w:val="StyleUnderline"/>
        </w:rPr>
        <w:t xml:space="preserve"> </w:t>
      </w:r>
      <w:r w:rsidRPr="002B2095">
        <w:rPr>
          <w:rStyle w:val="StyleUnderline"/>
          <w:highlight w:val="green"/>
        </w:rPr>
        <w:t>on</w:t>
      </w:r>
      <w:r w:rsidRPr="00A710BF">
        <w:rPr>
          <w:rStyle w:val="StyleUnderline"/>
        </w:rPr>
        <w:t xml:space="preserve"> a “third way” between “do-nothing” and “big” (or “tax and spend”) government, business-friendliness, and the </w:t>
      </w:r>
      <w:r w:rsidRPr="002B2095">
        <w:rPr>
          <w:rStyle w:val="StyleUnderline"/>
          <w:highlight w:val="green"/>
        </w:rPr>
        <w:t>power of “market forces</w:t>
      </w:r>
      <w:r w:rsidRPr="00A710BF">
        <w:rPr>
          <w:sz w:val="16"/>
        </w:rPr>
        <w:t xml:space="preserve">”: Our Party’s first priority is opportunity—broad-based, non-inflationary economic growth . . . and jobs for all. . . . We reject both the do nothing government . . . and the big government theory that says we can hamstring business and tax and spend our way to prosperity. Instead we offer a third way. . . . [W]e honor business as a noble endeavor, and vow to create a far better climate for firms and independent contractors. . . . We believe in free enterprise and the power of market forces.34 </w:t>
      </w:r>
      <w:r w:rsidRPr="00A710BF">
        <w:rPr>
          <w:rStyle w:val="StyleUnderline"/>
        </w:rPr>
        <w:t>In summary, the hybrid language of third way leftism had at least three features: a clear market-friendliness, antidogmatic pragmatism, and a brand of welfarism that elevated work, adaptability, and personal responsibility over security and state provision. This combination was most clearly on display in the programs of the New Democrats</w:t>
      </w:r>
      <w:r w:rsidRPr="00A710BF">
        <w:rPr>
          <w:sz w:val="16"/>
        </w:rPr>
        <w:t xml:space="preserve"> and New Labour, but could also be found in the language of the SPD and the SAP. </w:t>
      </w:r>
      <w:r w:rsidRPr="00A710BF">
        <w:rPr>
          <w:rStyle w:val="StyleUnderline"/>
        </w:rPr>
        <w:t>This language was not “neoliberal” in any singular or straightforward way, nor was it interchangeable with the language of the center right. Center-left parties’ blend of market emphases with pragmatism and work-centric welfarism was distinctive. I take it for granted that neoliberalized leftism cannot simply be characterized as a “shift to the right”; nor can it be characterized as simple neoliberalism</w:t>
      </w:r>
      <w:r w:rsidRPr="00A710BF">
        <w:rPr>
          <w:sz w:val="16"/>
        </w:rPr>
        <w:t xml:space="preserve">. This is the reason for my use of the term neoliberalized leftism. </w:t>
      </w:r>
      <w:r w:rsidRPr="00A710BF">
        <w:rPr>
          <w:rStyle w:val="StyleUnderline"/>
        </w:rPr>
        <w:t xml:space="preserve">It is also important to keep in mind that an analysis of leftism’s second reinvention needs to account for all of third wayism’s rhetorical patterns—including its antipathies to “dogma,” its commitments to pragmatism and the “modern,” its skepticism of government-centered policy solutions, and </w:t>
      </w:r>
      <w:r w:rsidRPr="00A710BF">
        <w:rPr>
          <w:rStyle w:val="Emphasis"/>
        </w:rPr>
        <w:t>its move away from protective welfarism—and not just its market centrism</w:t>
      </w:r>
      <w:r w:rsidRPr="00A710BF">
        <w:rPr>
          <w:rStyle w:val="StyleUnderline"/>
        </w:rPr>
        <w:t xml:space="preserve">. Third wayism, as I will show in the next section, had special historical significance and should be treated as such. </w:t>
      </w:r>
      <w:r w:rsidRPr="00A710BF">
        <w:rPr>
          <w:sz w:val="16"/>
        </w:rPr>
        <w:t>A SECOND LOOK: THE QUESTION OF NEOLIBERAL POLITICS The cross-party and cross-period sampling of programmatic excerpts given thus far shows that the language of leftism changed in ways that are consistent with my argument that there were two significant reinventions during the twentieth century: from socialist to economistic leftism and then from economistic to neoliberalized leftism. It also shows that, even though the Democratic Party was never a bearer of socialist leftism, its programmatic language tracked right alongside its Western European counterparts’ in roughly the latter half of the twentieth century</w:t>
      </w:r>
      <w:r w:rsidRPr="00A710BF">
        <w:rPr>
          <w:rStyle w:val="StyleUnderline"/>
        </w:rPr>
        <w:t xml:space="preserve">. But </w:t>
      </w:r>
      <w:r w:rsidRPr="00A710BF">
        <w:rPr>
          <w:rStyle w:val="StyleUnderline"/>
        </w:rPr>
        <w:lastRenderedPageBreak/>
        <w:t>the analysis thus far does not answer the question of whether leftism’s reinventions were systematic and widespread or how they compared with the politics of the right; nor does it provide unambiguous support for my claim that third wayism was an especially important departure in the trajectory of Western leftism</w:t>
      </w:r>
      <w:r w:rsidRPr="00A710BF">
        <w:rPr>
          <w:sz w:val="16"/>
        </w:rPr>
        <w:t xml:space="preserve">. The analysis thus far might also give the impression that neoliberalized leftism’s epicenter was chiefly along the U.S.-U.K. axis, and thus perhaps a symptom of leftism in Anglo-liberal countries specifically rather than a general reinvention, as I have claimed. This section examines these possibilities. </w:t>
      </w:r>
      <w:r w:rsidRPr="00A710BF">
        <w:rPr>
          <w:rStyle w:val="StyleUnderline"/>
        </w:rPr>
        <w:t xml:space="preserve">Tracking broad </w:t>
      </w:r>
      <w:r w:rsidRPr="002B2095">
        <w:rPr>
          <w:rStyle w:val="StyleUnderline"/>
          <w:highlight w:val="green"/>
        </w:rPr>
        <w:t>trends</w:t>
      </w:r>
      <w:r w:rsidRPr="00A710BF">
        <w:rPr>
          <w:rStyle w:val="StyleUnderline"/>
        </w:rPr>
        <w:t xml:space="preserve"> using cross-national data on the programs of mainstream parties across twenty-two Organization for Economic Cooperation and Development (OECD) countries </w:t>
      </w:r>
      <w:r w:rsidRPr="002B2095">
        <w:rPr>
          <w:rStyle w:val="StyleUnderline"/>
          <w:highlight w:val="green"/>
        </w:rPr>
        <w:t xml:space="preserve">from </w:t>
      </w:r>
      <w:r w:rsidRPr="00F81ECB">
        <w:rPr>
          <w:rStyle w:val="StyleUnderline"/>
        </w:rPr>
        <w:t>19</w:t>
      </w:r>
      <w:r w:rsidRPr="002B2095">
        <w:rPr>
          <w:rStyle w:val="StyleUnderline"/>
          <w:highlight w:val="green"/>
        </w:rPr>
        <w:t xml:space="preserve">45 to </w:t>
      </w:r>
      <w:r w:rsidRPr="00F81ECB">
        <w:rPr>
          <w:rStyle w:val="StyleUnderline"/>
        </w:rPr>
        <w:t>20</w:t>
      </w:r>
      <w:r w:rsidRPr="002B2095">
        <w:rPr>
          <w:rStyle w:val="StyleUnderline"/>
          <w:highlight w:val="green"/>
        </w:rPr>
        <w:t>08</w:t>
      </w:r>
      <w:r w:rsidRPr="00A710BF">
        <w:rPr>
          <w:rStyle w:val="StyleUnderline"/>
        </w:rPr>
        <w:t xml:space="preserve">, I </w:t>
      </w:r>
      <w:r w:rsidRPr="002B2095">
        <w:rPr>
          <w:rStyle w:val="StyleUnderline"/>
          <w:highlight w:val="green"/>
        </w:rPr>
        <w:t>confirm</w:t>
      </w:r>
      <w:r w:rsidRPr="00A710BF">
        <w:rPr>
          <w:rStyle w:val="StyleUnderline"/>
        </w:rPr>
        <w:t xml:space="preserve">, in particular, </w:t>
      </w:r>
      <w:r w:rsidRPr="002B2095">
        <w:rPr>
          <w:rStyle w:val="StyleUnderline"/>
          <w:highlight w:val="green"/>
        </w:rPr>
        <w:t>the rise of</w:t>
      </w:r>
      <w:r w:rsidRPr="00A710BF">
        <w:rPr>
          <w:rStyle w:val="StyleUnderline"/>
        </w:rPr>
        <w:t xml:space="preserve"> an age of neoliberal politics, including </w:t>
      </w:r>
      <w:r w:rsidRPr="002B2095">
        <w:rPr>
          <w:rStyle w:val="StyleUnderline"/>
          <w:highlight w:val="green"/>
        </w:rPr>
        <w:t>a</w:t>
      </w:r>
      <w:r w:rsidRPr="00A710BF">
        <w:rPr>
          <w:rStyle w:val="StyleUnderline"/>
        </w:rPr>
        <w:t xml:space="preserve"> specifically </w:t>
      </w:r>
      <w:r w:rsidRPr="002B2095">
        <w:rPr>
          <w:rStyle w:val="StyleUnderline"/>
          <w:highlight w:val="green"/>
        </w:rPr>
        <w:t>neoliberal</w:t>
      </w:r>
      <w:r w:rsidRPr="00A710BF">
        <w:rPr>
          <w:rStyle w:val="StyleUnderline"/>
        </w:rPr>
        <w:t>ized</w:t>
      </w:r>
      <w:r w:rsidRPr="002B2095">
        <w:rPr>
          <w:rStyle w:val="StyleUnderline"/>
          <w:highlight w:val="green"/>
        </w:rPr>
        <w:t xml:space="preserve"> left</w:t>
      </w:r>
      <w:r w:rsidRPr="00A710BF">
        <w:rPr>
          <w:rStyle w:val="StyleUnderline"/>
        </w:rPr>
        <w:t>ism, in the third way period.</w:t>
      </w:r>
      <w:r w:rsidRPr="00A710BF">
        <w:rPr>
          <w:sz w:val="16"/>
        </w:rPr>
        <w:t>35 Interlude: What’s “Neoliberal”? First, however, a brief historical note on neoliberalism’s specific, late century meaning, and how that meaning emerged, is in order. Traceable to the efforts of a transatlantic network of intellectuals, and especially economists, from the early 1930s (which I discuss in more detail in Chapter 6), by the late 1990s the term “neoliberal” meant something fairly novel in social scientific scholarship and political life. With notable variations across countries, the term “</w:t>
      </w:r>
      <w:r w:rsidRPr="00A710BF">
        <w:rPr>
          <w:rStyle w:val="StyleUnderline"/>
        </w:rPr>
        <w:t>neoliberal” came to refer to a new, international common sense in which market competition was understood to be the best solution to all kinds of problems, and as both the means and ends of good government.</w:t>
      </w:r>
      <w:r w:rsidRPr="00A710BF">
        <w:rPr>
          <w:sz w:val="16"/>
        </w:rPr>
        <w:t xml:space="preserve">36 This was new (or “neo”) in at least a couple of senses. A first sense has to do with its institutional and intellectual origins. </w:t>
      </w:r>
      <w:r w:rsidRPr="00F81ECB">
        <w:rPr>
          <w:rStyle w:val="StyleUnderline"/>
        </w:rPr>
        <w:t xml:space="preserve">This brand of </w:t>
      </w:r>
      <w:r w:rsidRPr="002B2095">
        <w:rPr>
          <w:rStyle w:val="StyleUnderline"/>
          <w:highlight w:val="green"/>
        </w:rPr>
        <w:t>neoliberalism</w:t>
      </w:r>
      <w:r w:rsidRPr="00A710BF">
        <w:rPr>
          <w:rStyle w:val="StyleUnderline"/>
        </w:rPr>
        <w:t xml:space="preserve"> was first </w:t>
      </w:r>
      <w:r w:rsidRPr="002B2095">
        <w:rPr>
          <w:rStyle w:val="StyleUnderline"/>
          <w:highlight w:val="green"/>
        </w:rPr>
        <w:t>formulated within</w:t>
      </w:r>
      <w:r w:rsidRPr="00A710BF">
        <w:rPr>
          <w:rStyle w:val="StyleUnderline"/>
        </w:rPr>
        <w:t xml:space="preserve"> interwar and late </w:t>
      </w:r>
      <w:r w:rsidRPr="002B2095">
        <w:rPr>
          <w:rStyle w:val="StyleUnderline"/>
          <w:highlight w:val="green"/>
        </w:rPr>
        <w:t>wartime</w:t>
      </w:r>
      <w:r w:rsidRPr="00A710BF">
        <w:rPr>
          <w:rStyle w:val="StyleUnderline"/>
        </w:rPr>
        <w:t xml:space="preserve">, transatlantic intellectual </w:t>
      </w:r>
      <w:r w:rsidRPr="002B2095">
        <w:rPr>
          <w:rStyle w:val="StyleUnderline"/>
          <w:highlight w:val="green"/>
        </w:rPr>
        <w:t>circles as a</w:t>
      </w:r>
      <w:r w:rsidRPr="00A710BF">
        <w:rPr>
          <w:rStyle w:val="StyleUnderline"/>
        </w:rPr>
        <w:t xml:space="preserve"> historically specific </w:t>
      </w:r>
      <w:r w:rsidRPr="002B2095">
        <w:rPr>
          <w:rStyle w:val="StyleUnderline"/>
          <w:highlight w:val="green"/>
        </w:rPr>
        <w:t>response to</w:t>
      </w:r>
      <w:r w:rsidRPr="00A710BF">
        <w:rPr>
          <w:rStyle w:val="StyleUnderline"/>
        </w:rPr>
        <w:t xml:space="preserve"> the statist, welfarist, protective, Keynesian, and national and international </w:t>
      </w:r>
      <w:r w:rsidRPr="002B2095">
        <w:rPr>
          <w:rStyle w:val="StyleUnderline"/>
          <w:highlight w:val="green"/>
        </w:rPr>
        <w:t>regulatory institutions</w:t>
      </w:r>
      <w:r w:rsidRPr="00A710BF">
        <w:rPr>
          <w:rStyle w:val="StyleUnderline"/>
        </w:rPr>
        <w:t xml:space="preserve"> that were then in formation.</w:t>
      </w:r>
      <w:r w:rsidRPr="00A710BF">
        <w:rPr>
          <w:sz w:val="16"/>
        </w:rPr>
        <w:t xml:space="preserve"> This specific context is the only way to understand why, in policy terms, </w:t>
      </w:r>
      <w:r w:rsidRPr="00A710BF">
        <w:rPr>
          <w:rStyle w:val="StyleUnderline"/>
        </w:rPr>
        <w:t>neoliberalism translated into a specific package of reforms that targeted those very institutions: liberalization of trade in goods and capital, the privatization of state institutions and industries, the depoliticization of decision making on economic and monetary policies, and the separation of regulatory authority from the executive branch—including the creation of a politically independent central bank</w:t>
      </w:r>
      <w:r w:rsidRPr="00A710BF">
        <w:rPr>
          <w:sz w:val="16"/>
        </w:rPr>
        <w:t xml:space="preserve">. Late twentieth-century neoliberalism was also “neo” in a second sense: as noted by the political thinker Michel Foucault, it took markets and market competition not only as the end of government but also as its means.37 Stated in the terms of the sociologist Emile Durkheim, neoliberalism is a way of thinking in which markets are sacred, and nonmarket coordinating, regulatory, deliberative and distributive institutions—including both the state and democratic politics—are profane.38 Neoliberalism was thus distinctive in Western liberalism’s long history. It also was not intrinsically right (or left). </w:t>
      </w:r>
      <w:r w:rsidRPr="00A710BF">
        <w:rPr>
          <w:rStyle w:val="StyleUnderline"/>
        </w:rPr>
        <w:t xml:space="preserve">But </w:t>
      </w:r>
      <w:r w:rsidRPr="00A710BF">
        <w:rPr>
          <w:rStyle w:val="Emphasis"/>
        </w:rPr>
        <w:t>because of</w:t>
      </w:r>
      <w:r w:rsidRPr="00A710BF">
        <w:rPr>
          <w:rStyle w:val="StyleUnderline"/>
        </w:rPr>
        <w:t xml:space="preserve"> the strongly antigovernment, promarket rhetoric and policies of the center-right during the </w:t>
      </w:r>
      <w:r w:rsidRPr="00A710BF">
        <w:rPr>
          <w:rStyle w:val="Emphasis"/>
        </w:rPr>
        <w:t>Thatcher and Reagan</w:t>
      </w:r>
      <w:r w:rsidRPr="00A710BF">
        <w:rPr>
          <w:rStyle w:val="StyleUnderline"/>
        </w:rPr>
        <w:t xml:space="preserve"> years, not to mention those administrations’ direct </w:t>
      </w:r>
      <w:r w:rsidRPr="00A710BF">
        <w:rPr>
          <w:rStyle w:val="Emphasis"/>
        </w:rPr>
        <w:t>ties to neoliberal economists</w:t>
      </w:r>
      <w:r w:rsidRPr="00A710BF">
        <w:rPr>
          <w:rStyle w:val="StyleUnderline"/>
        </w:rPr>
        <w:t xml:space="preserve">, the </w:t>
      </w:r>
      <w:r w:rsidRPr="00A710BF">
        <w:rPr>
          <w:rStyle w:val="Emphasis"/>
        </w:rPr>
        <w:t>term took</w:t>
      </w:r>
      <w:r w:rsidRPr="00A710BF">
        <w:rPr>
          <w:rStyle w:val="StyleUnderline"/>
        </w:rPr>
        <w:t xml:space="preserve"> on a definite </w:t>
      </w:r>
      <w:r w:rsidRPr="00A710BF">
        <w:rPr>
          <w:rStyle w:val="Emphasis"/>
        </w:rPr>
        <w:t>right</w:t>
      </w:r>
      <w:r w:rsidRPr="00A710BF">
        <w:rPr>
          <w:rStyle w:val="StyleUnderline"/>
        </w:rPr>
        <w:t xml:space="preserve">-leaning </w:t>
      </w:r>
      <w:r w:rsidRPr="00A710BF">
        <w:rPr>
          <w:rStyle w:val="Emphasis"/>
        </w:rPr>
        <w:t>connotation</w:t>
      </w:r>
      <w:r w:rsidRPr="00A710BF">
        <w:rPr>
          <w:rStyle w:val="StyleUnderline"/>
        </w:rPr>
        <w:t xml:space="preserve"> after the 1980s</w:t>
      </w:r>
      <w:r w:rsidRPr="00A710BF">
        <w:rPr>
          <w:sz w:val="16"/>
        </w:rPr>
        <w:t xml:space="preserve">. And yet, rooted in the Latin liber (“free man”), in the late 1700s “liberal” was associated with an egalitarian, Western politics that tilted left, being linked with opposition to aristocratic and monarchical rule.39 In the late 1800s, as socialist and workers’ movements changed the political landscape and generalized demands for protection clashed with gold standard constraints, the term “New Liberalism” emerged to denote British Liberal politicians’ embrace of social reformism.40 In the United States neither “liberal” nor its variants had particular left-right associations in the late 1800s; as we will see, liberalism became associated with “left” in the American context with the rise of the New Deal.41 Decades later, in the early 1980s, American use of “neo-liberal” was reborn in the vernacular of the Democratic intelligentsia, referring to younger-generation critics of unreconstructed New Deal liberalism.42 Notably, in all cases “neoliberal” modified things, programs, ideas, and people on the political left. </w:t>
      </w:r>
      <w:r w:rsidRPr="00A710BF">
        <w:rPr>
          <w:rStyle w:val="Emphasis"/>
        </w:rPr>
        <w:t>The relationship between neoliberalism and rightness</w:t>
      </w:r>
      <w:r w:rsidRPr="00A710BF">
        <w:rPr>
          <w:rStyle w:val="StyleUnderline"/>
        </w:rPr>
        <w:t xml:space="preserve"> that crystallized in the 1980s </w:t>
      </w:r>
      <w:r w:rsidRPr="00A710BF">
        <w:rPr>
          <w:rStyle w:val="Emphasis"/>
        </w:rPr>
        <w:t>was a novelty</w:t>
      </w:r>
      <w:r w:rsidRPr="00A710BF">
        <w:rPr>
          <w:rStyle w:val="StyleUnderline"/>
        </w:rPr>
        <w:t xml:space="preserve">, not an inevitability. </w:t>
      </w:r>
      <w:r w:rsidRPr="00A710BF">
        <w:rPr>
          <w:sz w:val="16"/>
        </w:rPr>
        <w:t xml:space="preserve">Neoliberalism, as noted, also had specific historical, intellectual, and geographical origins.43 I explore these more thoroughly in Chapter 6; for now I will simply note that in this book I refer to the intellectual networks of people and organizations that built neoliberalism into a definite way of seeing the world as the “neoliberal project.” </w:t>
      </w:r>
      <w:r w:rsidRPr="00A710BF">
        <w:rPr>
          <w:rStyle w:val="StyleUnderline"/>
        </w:rPr>
        <w:t xml:space="preserve">The existing historiography of </w:t>
      </w:r>
      <w:r w:rsidRPr="002B2095">
        <w:rPr>
          <w:rStyle w:val="StyleUnderline"/>
          <w:highlight w:val="green"/>
        </w:rPr>
        <w:t>the neoliberal project</w:t>
      </w:r>
      <w:r w:rsidRPr="00A710BF">
        <w:rPr>
          <w:rStyle w:val="StyleUnderline"/>
        </w:rPr>
        <w:t xml:space="preserve"> shows that it </w:t>
      </w:r>
      <w:r w:rsidRPr="002B2095">
        <w:rPr>
          <w:rStyle w:val="StyleUnderline"/>
          <w:highlight w:val="green"/>
        </w:rPr>
        <w:t>was born not in mainstream politics but</w:t>
      </w:r>
      <w:r w:rsidRPr="00A710BF">
        <w:rPr>
          <w:rStyle w:val="StyleUnderline"/>
        </w:rPr>
        <w:t xml:space="preserve"> rather </w:t>
      </w:r>
      <w:r w:rsidRPr="002B2095">
        <w:rPr>
          <w:rStyle w:val="StyleUnderline"/>
          <w:highlight w:val="green"/>
        </w:rPr>
        <w:t>in opposition</w:t>
      </w:r>
      <w:r w:rsidRPr="00A710BF">
        <w:rPr>
          <w:rStyle w:val="StyleUnderline"/>
        </w:rPr>
        <w:t xml:space="preserve"> to it</w:t>
      </w:r>
      <w:r w:rsidRPr="00A710BF">
        <w:rPr>
          <w:sz w:val="16"/>
        </w:rPr>
        <w:t xml:space="preserve">.44 Here one can simply point to the fact that the Mont Pèlerin Society (MPS), a well-documented vehicle of the neoliberal project’s formation, was founded out of a sense of marginalization within the emergent Bretton Woods order—that is, without any clear political alliances. By the early 2000s a growing body of scholarship documented the transnational formation of the neoliberal project well beyond the MPS and its linkages with free market economics (especially in the United States), parties of the mainstream center-right, national governments, and international financial institutions.45 But conflations of neoliberalism with political rightness, as if their pairing was natural or inevitable, can obscure understandings of how and why it became a generalized “ism.” </w:t>
      </w:r>
      <w:r w:rsidRPr="00A710BF">
        <w:rPr>
          <w:rStyle w:val="StyleUnderline"/>
        </w:rPr>
        <w:t xml:space="preserve">Can we correctly say that </w:t>
      </w:r>
      <w:r w:rsidRPr="002B2095">
        <w:rPr>
          <w:rStyle w:val="StyleUnderline"/>
          <w:highlight w:val="green"/>
        </w:rPr>
        <w:t>mainstream politics</w:t>
      </w:r>
      <w:r w:rsidRPr="00A710BF">
        <w:rPr>
          <w:rStyle w:val="StyleUnderline"/>
        </w:rPr>
        <w:t xml:space="preserve">, and not just the politics of the right, </w:t>
      </w:r>
      <w:r w:rsidRPr="002B2095">
        <w:rPr>
          <w:rStyle w:val="StyleUnderline"/>
          <w:highlight w:val="green"/>
        </w:rPr>
        <w:t>became neoliberal</w:t>
      </w:r>
      <w:r w:rsidRPr="00A710BF">
        <w:rPr>
          <w:rStyle w:val="StyleUnderline"/>
        </w:rPr>
        <w:t>?</w:t>
      </w:r>
      <w:r w:rsidRPr="00A710BF">
        <w:rPr>
          <w:sz w:val="16"/>
        </w:rPr>
        <w:t xml:space="preserve"> It is to this question that we now turn. The Neoliberalism Index The figures presented in this section are based on a neoliberalism index that, using programmatic data from the Comparative Manifestos Project,46 breaks down </w:t>
      </w:r>
      <w:r w:rsidRPr="00A710BF">
        <w:rPr>
          <w:sz w:val="16"/>
        </w:rPr>
        <w:lastRenderedPageBreak/>
        <w:t xml:space="preserve">parties’ programmatic emphases into three components: emphases on order and commodification rather than protective welfare (the ends of government); on laissez-faire rather than regulated economic exchange (the means of government); and on business, middleclass, and professional constituencies rather than blue-collar workers, the poor, and the unemployed (the answer to the question of “government for whom”). The components are standardized around the zeroline, creating an index in which positive values indicate parties’ net positive emphases on policies that are commonly associated with neoliberalism in its specifically late twentieth-century sense. The limitations of the resulting index include a risk of anachronism, since neoliberal meant something specific in the 1990s and did not mean anything in particular between the 1940s and the 1970s; the related problem of imposing continuity on discontinuous historical periods; and using a rather blunt instrument to capture complex political developments. The qualitative and historical analysis offered so far, which should be kept in mind throughout the analysis to follow, mitigates these risks. </w:t>
      </w:r>
      <w:r w:rsidRPr="00A710BF">
        <w:rPr>
          <w:rStyle w:val="StyleUnderline"/>
        </w:rPr>
        <w:t xml:space="preserve">And, limitations notwithstanding, the </w:t>
      </w:r>
      <w:r w:rsidRPr="002B2095">
        <w:rPr>
          <w:rStyle w:val="StyleUnderline"/>
          <w:highlight w:val="green"/>
        </w:rPr>
        <w:t>neoliberalism index</w:t>
      </w:r>
      <w:r w:rsidRPr="00A710BF">
        <w:rPr>
          <w:rStyle w:val="StyleUnderline"/>
        </w:rPr>
        <w:t xml:space="preserve"> does </w:t>
      </w:r>
      <w:r w:rsidRPr="002B2095">
        <w:rPr>
          <w:rStyle w:val="StyleUnderline"/>
          <w:highlight w:val="green"/>
        </w:rPr>
        <w:t>have</w:t>
      </w:r>
      <w:r w:rsidRPr="00A710BF">
        <w:rPr>
          <w:rStyle w:val="StyleUnderline"/>
        </w:rPr>
        <w:t xml:space="preserve"> a singular strength: it provides a </w:t>
      </w:r>
      <w:r w:rsidRPr="002B2095">
        <w:rPr>
          <w:rStyle w:val="StyleUnderline"/>
          <w:highlight w:val="green"/>
        </w:rPr>
        <w:t xml:space="preserve">simple, </w:t>
      </w:r>
      <w:r w:rsidRPr="00F81ECB">
        <w:rPr>
          <w:rStyle w:val="StyleUnderline"/>
        </w:rPr>
        <w:t>quantitative</w:t>
      </w:r>
      <w:r w:rsidRPr="00A710BF">
        <w:rPr>
          <w:rStyle w:val="StyleUnderline"/>
        </w:rPr>
        <w:t xml:space="preserve">, over-time </w:t>
      </w:r>
      <w:r w:rsidRPr="002B2095">
        <w:rPr>
          <w:rStyle w:val="StyleUnderline"/>
          <w:highlight w:val="green"/>
        </w:rPr>
        <w:t>measure that</w:t>
      </w:r>
      <w:r w:rsidRPr="00A710BF">
        <w:rPr>
          <w:rStyle w:val="StyleUnderline"/>
        </w:rPr>
        <w:t xml:space="preserve"> can help us </w:t>
      </w:r>
      <w:r w:rsidRPr="002B2095">
        <w:rPr>
          <w:rStyle w:val="StyleUnderline"/>
          <w:highlight w:val="green"/>
        </w:rPr>
        <w:t>evaluate the</w:t>
      </w:r>
      <w:r w:rsidRPr="00A710BF">
        <w:rPr>
          <w:rStyle w:val="StyleUnderline"/>
        </w:rPr>
        <w:t xml:space="preserve"> proposition that mainstream Western politics in general, and center-</w:t>
      </w:r>
      <w:r w:rsidRPr="002B2095">
        <w:rPr>
          <w:rStyle w:val="StyleUnderline"/>
          <w:highlight w:val="green"/>
        </w:rPr>
        <w:t>left</w:t>
      </w:r>
      <w:r w:rsidRPr="00A710BF">
        <w:rPr>
          <w:rStyle w:val="StyleUnderline"/>
        </w:rPr>
        <w:t xml:space="preserve"> politics in particular, </w:t>
      </w:r>
      <w:r w:rsidRPr="002B2095">
        <w:rPr>
          <w:rStyle w:val="StyleUnderline"/>
          <w:highlight w:val="green"/>
        </w:rPr>
        <w:t>shifted</w:t>
      </w:r>
      <w:r w:rsidRPr="00A710BF">
        <w:rPr>
          <w:rStyle w:val="StyleUnderline"/>
        </w:rPr>
        <w:t xml:space="preserve"> </w:t>
      </w:r>
      <w:r w:rsidRPr="00F81ECB">
        <w:rPr>
          <w:rStyle w:val="StyleUnderline"/>
        </w:rPr>
        <w:t>in a</w:t>
      </w:r>
      <w:r w:rsidRPr="002B2095">
        <w:rPr>
          <w:rStyle w:val="StyleUnderline"/>
          <w:highlight w:val="green"/>
        </w:rPr>
        <w:t xml:space="preserve"> neoliberal </w:t>
      </w:r>
      <w:r w:rsidRPr="00F81ECB">
        <w:rPr>
          <w:rStyle w:val="StyleUnderline"/>
        </w:rPr>
        <w:t>direction</w:t>
      </w:r>
      <w:r w:rsidRPr="00A710BF">
        <w:rPr>
          <w:rStyle w:val="StyleUnderline"/>
        </w:rPr>
        <w:t xml:space="preserve"> in the later decades of the twentieth century. </w:t>
      </w:r>
      <w:r w:rsidRPr="00A710BF">
        <w:rPr>
          <w:sz w:val="16"/>
        </w:rPr>
        <w:t xml:space="preserve">The Trends Figures 2.1 and 2.2 map programmatic trends, as measured by the neoliberalism index, across all mainstream parties, center-left and centerright, for the whole postwar period. In Figure 2.1, the shaded sections within each bar refer to changes in the components. In order to get a sense of variation in the measure over time, the line in Figure 2.2 tracks party-level standard deviations, weighted by parties per country. Figure 2.1 shows that neoliberal themes became increasingly evident in the electoral programs of all mainstream parties across twenty-two </w:t>
      </w:r>
      <w:r w:rsidRPr="00A710BF">
        <w:rPr>
          <w:rStyle w:val="StyleUnderline"/>
        </w:rPr>
        <w:t xml:space="preserve">Western countries between the mid-1970s and 2004. The figure shows </w:t>
      </w:r>
      <w:r w:rsidRPr="00F81ECB">
        <w:rPr>
          <w:rStyle w:val="StyleUnderline"/>
        </w:rPr>
        <w:t>that post-</w:t>
      </w:r>
      <w:r w:rsidRPr="002B2095">
        <w:rPr>
          <w:rStyle w:val="StyleUnderline"/>
          <w:highlight w:val="green"/>
        </w:rPr>
        <w:t>1970s</w:t>
      </w:r>
      <w:r w:rsidRPr="00A710BF">
        <w:rPr>
          <w:rStyle w:val="StyleUnderline"/>
        </w:rPr>
        <w:t xml:space="preserve"> mainstream </w:t>
      </w:r>
      <w:r w:rsidRPr="002B2095">
        <w:rPr>
          <w:rStyle w:val="StyleUnderline"/>
          <w:highlight w:val="green"/>
        </w:rPr>
        <w:t>parties</w:t>
      </w:r>
      <w:r w:rsidRPr="00A710BF">
        <w:rPr>
          <w:rStyle w:val="StyleUnderline"/>
        </w:rPr>
        <w:t xml:space="preserve"> increasingly </w:t>
      </w:r>
      <w:r w:rsidRPr="002B2095">
        <w:rPr>
          <w:rStyle w:val="StyleUnderline"/>
          <w:highlight w:val="green"/>
        </w:rPr>
        <w:t>made election-year appeals on</w:t>
      </w:r>
      <w:r w:rsidRPr="00A710BF">
        <w:rPr>
          <w:rStyle w:val="StyleUnderline"/>
        </w:rPr>
        <w:t xml:space="preserve"> the basis of a new notion, historically speaking, of what government is for and how it should operate: </w:t>
      </w:r>
      <w:r w:rsidRPr="002B2095">
        <w:rPr>
          <w:rStyle w:val="StyleUnderline"/>
          <w:highlight w:val="green"/>
        </w:rPr>
        <w:t>government’s responsibilities</w:t>
      </w:r>
      <w:r w:rsidRPr="00A710BF">
        <w:rPr>
          <w:rStyle w:val="StyleUnderline"/>
        </w:rPr>
        <w:t xml:space="preserve"> were primarily </w:t>
      </w:r>
      <w:r w:rsidRPr="002B2095">
        <w:rPr>
          <w:rStyle w:val="StyleUnderline"/>
          <w:highlight w:val="green"/>
        </w:rPr>
        <w:t>to be market-supporting</w:t>
      </w:r>
      <w:r w:rsidRPr="00A710BF">
        <w:rPr>
          <w:rStyle w:val="StyleUnderline"/>
        </w:rPr>
        <w:t xml:space="preserve">; educational self-investment, work, </w:t>
      </w:r>
      <w:r w:rsidRPr="002B2095">
        <w:rPr>
          <w:rStyle w:val="StyleUnderline"/>
          <w:highlight w:val="green"/>
        </w:rPr>
        <w:t>and law</w:t>
      </w:r>
      <w:r w:rsidRPr="00A710BF">
        <w:rPr>
          <w:rStyle w:val="StyleUnderline"/>
        </w:rPr>
        <w:t xml:space="preserve"> and order </w:t>
      </w:r>
      <w:r w:rsidRPr="002B2095">
        <w:rPr>
          <w:rStyle w:val="StyleUnderline"/>
          <w:highlight w:val="green"/>
        </w:rPr>
        <w:t>took precedence over</w:t>
      </w:r>
      <w:r w:rsidRPr="00A710BF">
        <w:rPr>
          <w:rStyle w:val="StyleUnderline"/>
        </w:rPr>
        <w:t xml:space="preserve"> protective welfarism, </w:t>
      </w:r>
      <w:r w:rsidRPr="002B2095">
        <w:rPr>
          <w:rStyle w:val="StyleUnderline"/>
          <w:highlight w:val="green"/>
        </w:rPr>
        <w:t>decommodification</w:t>
      </w:r>
      <w:r w:rsidRPr="00A710BF">
        <w:rPr>
          <w:rStyle w:val="StyleUnderline"/>
        </w:rPr>
        <w:t xml:space="preserve"> (that is, limiting human dependence on labor market participation for basic survival), and regulation</w:t>
      </w:r>
      <w:r w:rsidRPr="00A710BF">
        <w:rPr>
          <w:sz w:val="16"/>
        </w:rPr>
        <w:t xml:space="preserve">.47 Figure 2.2 shows that, since the 1970s, this was an increasingly uniform trend. Importantly, </w:t>
      </w:r>
      <w:r w:rsidRPr="00A710BF">
        <w:rPr>
          <w:rStyle w:val="StyleUnderline"/>
        </w:rPr>
        <w:t>the parties that changed most dramatically in the late postwar period were those on the left</w:t>
      </w:r>
      <w:r w:rsidRPr="00A710BF">
        <w:rPr>
          <w:sz w:val="16"/>
        </w:rPr>
        <w:t xml:space="preserve">—not the right. </w:t>
      </w:r>
      <w:r w:rsidRPr="00A710BF">
        <w:rPr>
          <w:rStyle w:val="StyleUnderline"/>
        </w:rPr>
        <w:t>Figure 2.3 shows that center-right parties have always leaned toward themes that are now understood as “neoliberal”</w:t>
      </w:r>
      <w:r w:rsidRPr="00A710BF">
        <w:rPr>
          <w:sz w:val="16"/>
        </w:rPr>
        <w:t xml:space="preserve"> (keeping in mind that this term had no particular meaning, and certainly not its current one, prior to the 1990s). </w:t>
      </w:r>
      <w:r w:rsidRPr="00A710BF">
        <w:rPr>
          <w:rStyle w:val="Emphasis"/>
        </w:rPr>
        <w:t xml:space="preserve">It was thus parties of </w:t>
      </w:r>
      <w:r w:rsidRPr="002B2095">
        <w:rPr>
          <w:rStyle w:val="Emphasis"/>
          <w:highlight w:val="green"/>
        </w:rPr>
        <w:t>the left</w:t>
      </w:r>
      <w:r w:rsidRPr="00A710BF">
        <w:rPr>
          <w:rStyle w:val="Emphasis"/>
        </w:rPr>
        <w:t xml:space="preserve">, and not the right, that moved most definitively over time, </w:t>
      </w:r>
      <w:r w:rsidRPr="002B2095">
        <w:rPr>
          <w:rStyle w:val="Emphasis"/>
          <w:highlight w:val="green"/>
        </w:rPr>
        <w:t>cross</w:t>
      </w:r>
      <w:r w:rsidRPr="00A710BF">
        <w:rPr>
          <w:rStyle w:val="Emphasis"/>
        </w:rPr>
        <w:t>ing onto “</w:t>
      </w:r>
      <w:r w:rsidRPr="002B2095">
        <w:rPr>
          <w:rStyle w:val="Emphasis"/>
          <w:highlight w:val="green"/>
        </w:rPr>
        <w:t>neoliberal</w:t>
      </w:r>
      <w:r w:rsidRPr="00A710BF">
        <w:rPr>
          <w:rStyle w:val="Emphasis"/>
        </w:rPr>
        <w:t xml:space="preserve">” (net positive) </w:t>
      </w:r>
      <w:r w:rsidRPr="002B2095">
        <w:rPr>
          <w:rStyle w:val="Emphasis"/>
          <w:highlight w:val="green"/>
        </w:rPr>
        <w:t>terrain in the 1980s</w:t>
      </w:r>
      <w:r w:rsidRPr="00A710BF">
        <w:rPr>
          <w:rStyle w:val="Emphasis"/>
        </w:rPr>
        <w:t xml:space="preserve">. </w:t>
      </w:r>
      <w:r w:rsidRPr="00A710BF">
        <w:rPr>
          <w:sz w:val="16"/>
        </w:rPr>
        <w:t>Notably, the American Democrats are not exceptional prior to the 1990s relative to center-left parties elsewhere—though from the 1990s (since the Clinton years) they did emerge at the leading edge of the neoliberalizing trend. What is the weight of the various components of neoliberalism on left and right? Figure 2.4 shows component trends across the left-right axis. Parties of the center-left flipped to positive on all three components by the early 2000s—starting between the early and late 1970s, fluctuating into the 1990s, and gaining momentum in the first years of the new millennium. An influential tradition in comparative welfare states research argues that the early postwar period featured the emergence of different “regimes” or “worlds” of welfare capitalism: Western countries with liberal cultural and political traditions (the United States, the United Kingdom, Canada, Switzerland, and the Antipodes) developed less protective, more means-tested, and less decommodifying welfare institutions relative to Nordic, continental (except Switzerland), and Southern European (Italy, Spain, Greece, and Portugal) countries.48 Given that history, we might expect that left parties’ programmatic neoliberalization was mainly characteristic of the Anglo-liberal regime. Figure 2.5, however, shows that this expectation would be wrong. The largest programmatic changes took place in what were, according to some arguments in the welfare states literature, the least likely places: continental, Nordic, and southern countries (but note that, prior to the mid-1970s, the “southern” category includes only Italy, since the other countries in this category were not democratic systems before that time). Across the board, then, trends in the neoliberalism index suggest that center-left parties in all four regimes did, indeed, shift in market-friendly ways after 1970. Overall, the patterns shown here are consistent with an argument that in the last decades of the twentieth century there emerged a new, market-centric political logic across the left-right spectrum as to what governments’ responsibilities are and the means they should use—that is, a cross-partisan neoliberal politics. The most striking change was to be found on the left, not the right. And the change was, historically speaking, most marked in non-Anglo-liberal, Western European countries. CONCLUSION Taken together, a textual analysis of programmatic language and the political neoliberalism index paint a historical picture that is consistent with my characterization of Western leftism as having undergone two twentieth-century reinventions—first from socialist to economistic leftism and then from economistic to neoliberalized leftism. But establishing the puzzle is easier than explaining it, which is the task to which we now turn. The analysis begins with the making of socialist leftism, which was inextricably bound up with the formation of the socialist mass party from the 1860s forward. This curious political animal was a European invention, and so the story starts there.</w:t>
      </w:r>
    </w:p>
    <w:p w14:paraId="18905031" w14:textId="77777777" w:rsidR="00365070" w:rsidRPr="00A710BF" w:rsidRDefault="00365070" w:rsidP="00365070"/>
    <w:p w14:paraId="73611940" w14:textId="77777777" w:rsidR="00365070" w:rsidRPr="00A710BF" w:rsidRDefault="00365070" w:rsidP="00365070">
      <w:pPr>
        <w:pStyle w:val="Heading4"/>
        <w:rPr>
          <w:rFonts w:cs="Calibri"/>
        </w:rPr>
      </w:pPr>
      <w:r w:rsidRPr="00A710BF">
        <w:rPr>
          <w:rFonts w:cs="Calibri"/>
        </w:rPr>
        <w:lastRenderedPageBreak/>
        <w:t>Requiring labor to be weak, Neoliberalism has trapped any attempt to return power to the workers – the NLRB has become a political football and is doomed to fail</w:t>
      </w:r>
    </w:p>
    <w:p w14:paraId="6F12A7F4" w14:textId="77777777" w:rsidR="00365070" w:rsidRPr="00A710BF" w:rsidRDefault="00365070" w:rsidP="00365070">
      <w:r w:rsidRPr="00CE30D3">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II. LOOKING BEYOND THE EXISTING LABOR LAW, </w:t>
      </w:r>
      <w:r w:rsidRPr="00A710BF">
        <w:rPr>
          <w:sz w:val="16"/>
          <w:szCs w:val="16"/>
        </w:rPr>
        <w:t>vol 9 Stanford Journal of Civil Rights and Civil Liberties 213 (2013). https://law.stanford.edu/wp-content/uploads/2018/06/kahlenberg.pdf) CT</w:t>
      </w:r>
    </w:p>
    <w:p w14:paraId="39C237A6" w14:textId="77777777" w:rsidR="00365070" w:rsidRPr="00A710BF" w:rsidRDefault="00365070" w:rsidP="00365070">
      <w:pPr>
        <w:rPr>
          <w:u w:val="single"/>
        </w:rPr>
      </w:pPr>
      <w:r w:rsidRPr="00A710BF">
        <w:rPr>
          <w:rStyle w:val="StyleUnderline"/>
          <w:sz w:val="8"/>
          <w:szCs w:val="8"/>
          <w:u w:val="none"/>
        </w:rPr>
        <w:t>The natural response to the weakness of the current labor law is to strengthen it so that it fulfills its original purpose of protecting workers in organizing and bargaining collectively. However there are various reasons why attempts to strengthen the existing law, without additional legal protections, may still fail to protect workers. First, though it is an uphill battle to pass any pro-worker legislation, it is even more unlikely that any significant labor law reform could pass Congress.</w:t>
      </w:r>
      <w:r w:rsidRPr="00A710BF">
        <w:rPr>
          <w:sz w:val="8"/>
          <w:szCs w:val="8"/>
        </w:rPr>
        <w:t xml:space="preserve"> Four times between 1965 and 2009, Democrats held the White House and majorities in the Senate and House of Representatives, and four times efforts to remedy inequities in American labor law failed to prevail. The first attempt came under President Lyndon Johnson, when Democrats, on the heels of the 1964 landslide, sought to repeal section 14(b) of the Taft-Hartley Act, which gives states the ability to adopt anti-labor “right to work” laws.42 The legislation passed the House by a vote of 221 to 203, but in 1966 secured only fifty-one votes in the Senate (with forty-eight against), far short of the supermajority necessary to break a filibuster.43 In 1977, during the Carter presidency, labor law reform legislation was introduced to stiffen penalties for employers who broke the law by firing workers engaged in organizing, expedite hearings, and deny federal contracts to repeat violators. The legislation passed the House by an overwhelming 257 to 163 margin.44 With Democrats holding sixty-one seats in the Senate, one opponent of the legislation later recalled, there “didn’t seem to be any way to stop it.” At President Carter’s urging, however, the Senate squandered momentum on a fight over the Panama Canal Treaty.45 After an eventual five week fight over labor law reform in 1978, the bill died in the Senate by a vote of fifty-eight to forty-one, just two short of cloture to end a filibuster.46 Organized labor came back in 1993, under President Bill Clinton, with the Workplace Fairness Act, which sought to outlaw the permanent replacement of strikers. Once again, the legislation easily passed the House with a vote of 239 to 190, but fell short in a Democratic Senate, with a vote of fifty-three to fortysix, short of the necessary sixty-vote supermajority needed to break a filibuster.47 Finally, in 2009, under President Barack Obama, supporters of the Employee Free Choice Act (EFCA) thought they had a chance to pass important labor law reform given Democratic control of both houses of Congress and the executive branch. The EFCA, also known as “card check,” would have allowed employees to certify a bargaining representative if a majority of workers signed on, voiding the need for a secret-ballot election.48 It also would have enhanced penalties for employers who engaged in unfair labor practices, such as wrongfully discharging employees trying to organize a union.49 And the legislation set forth procedures for reaching an initial collective bargaining agreement—if necessary, through arbitration—once a union was certified or recognized.50 The bill had strong support in the House, where, two years earlier, in a March 2007 test vote, the EFCA had passed by a margin of 241 to 185.51 In 2009, Democrats had an even larger House majority than in 2007. And in the Senate, for a time, Democrats and those caucusing with them had a sixty-vote filibuster-proof majority, giving labor some hope that a compromise version of the EFCA could pass. But the defection of a Southern Democratic senator in April 2009 was a serious blow; and the death of Massachusetts Senator Edward M. Kennedy and surprise election of a Republican, Scott Brown, to replace him in January 2010 brought hopes of the passage of the EFCA to an end without a formal vote in either the Senate or the House.52 The EFCA, write political scientists Jacob Hacker and Paul Pierson, was “one of the few initiatives that might have had broader political significance by shifting the balance of organized power in Washington,” but it “never got started.”53</w:t>
      </w:r>
      <w:r w:rsidRPr="00A710BF">
        <w:rPr>
          <w:sz w:val="12"/>
          <w:szCs w:val="12"/>
        </w:rPr>
        <w:t xml:space="preserve"> </w:t>
      </w:r>
      <w:r w:rsidRPr="00A710BF">
        <w:rPr>
          <w:rStyle w:val="Emphasis"/>
        </w:rPr>
        <w:t>Labor law reform has failed for several reasons</w:t>
      </w:r>
      <w:r w:rsidRPr="00A710BF">
        <w:rPr>
          <w:rStyle w:val="StyleUnderline"/>
        </w:rPr>
        <w:t xml:space="preserve">. </w:t>
      </w:r>
      <w:r w:rsidRPr="00A710BF">
        <w:rPr>
          <w:sz w:val="16"/>
          <w:szCs w:val="16"/>
        </w:rPr>
        <w:t>Primarily, fierce and unified business opposition to labor law reform helps explain why each of the four efforts at reform went down in defeat. But labor reform was frustrated for two additional reasons over which labor has greater control for the future.</w:t>
      </w:r>
      <w:r w:rsidRPr="00A710BF">
        <w:rPr>
          <w:rStyle w:val="StyleUnderline"/>
        </w:rPr>
        <w:t xml:space="preserve"> </w:t>
      </w:r>
      <w:r w:rsidRPr="00A710BF">
        <w:rPr>
          <w:rStyle w:val="Emphasis"/>
        </w:rPr>
        <w:t>First, labor law reform was seen as a highly complicated matter, which gave opponents an opening to distort labor’s intentions. Second, reform was seen as a special interest fight between labor and business, which did not capture the imagination of the public or other progressive groups</w:t>
      </w:r>
      <w:r w:rsidRPr="00A710BF">
        <w:rPr>
          <w:rStyle w:val="StyleUnderline"/>
        </w:rPr>
        <w:t xml:space="preserve">. As a result, </w:t>
      </w:r>
      <w:r w:rsidRPr="002B2095">
        <w:rPr>
          <w:rStyle w:val="Emphasis"/>
          <w:highlight w:val="green"/>
        </w:rPr>
        <w:t>organized labor had to rely on its</w:t>
      </w:r>
      <w:r w:rsidRPr="002B2095">
        <w:rPr>
          <w:rStyle w:val="StyleUnderline"/>
          <w:highlight w:val="green"/>
        </w:rPr>
        <w:t xml:space="preserve"> </w:t>
      </w:r>
      <w:r w:rsidRPr="00A710BF">
        <w:rPr>
          <w:rStyle w:val="StyleUnderline"/>
        </w:rPr>
        <w:t xml:space="preserve">own </w:t>
      </w:r>
      <w:r w:rsidRPr="002B2095">
        <w:rPr>
          <w:rStyle w:val="Emphasis"/>
          <w:highlight w:val="green"/>
        </w:rPr>
        <w:t>power, which is</w:t>
      </w:r>
      <w:r w:rsidRPr="00A710BF">
        <w:rPr>
          <w:rStyle w:val="StyleUnderline"/>
        </w:rPr>
        <w:t xml:space="preserve"> unevenly dispersed across the country, leaving it </w:t>
      </w:r>
      <w:r w:rsidRPr="002B2095">
        <w:rPr>
          <w:rStyle w:val="Emphasis"/>
          <w:highlight w:val="green"/>
        </w:rPr>
        <w:t>vulnerable in states with low</w:t>
      </w:r>
      <w:r w:rsidRPr="00A710BF">
        <w:rPr>
          <w:rStyle w:val="StyleUnderline"/>
        </w:rPr>
        <w:t xml:space="preserve"> rates of </w:t>
      </w:r>
      <w:r w:rsidRPr="002B2095">
        <w:rPr>
          <w:rStyle w:val="Emphasis"/>
          <w:highlight w:val="green"/>
        </w:rPr>
        <w:t>union density</w:t>
      </w:r>
      <w:r w:rsidRPr="00A710BF">
        <w:rPr>
          <w:rStyle w:val="StyleUnderline"/>
        </w:rPr>
        <w:t xml:space="preserve">. </w:t>
      </w:r>
      <w:r w:rsidRPr="00A710BF">
        <w:rPr>
          <w:sz w:val="10"/>
          <w:szCs w:val="10"/>
        </w:rPr>
        <w:t>Labor law reform presents a number of technical legal issues that are poorly understood by the public. The public has minimal understanding of the federal court system, but even less of an understanding of the complicated set of rules administered by the NLRB. The most recent iteration of labor law reform, the EFCA, was described by a Gallup pollster as “a complex piece of legislation with numerous components.”54 Perhaps because of its complexity, Gallup found in a 2009 poll that only 12% of Americans followed the issue “very closely,” a level that Gallup described as “exceptionally low relative to public attention to other news issues Gallup has measured over the last two decades.”55 The complexity of labor law reform efforts such as the EFCA, in turn, made them vulnerable to mischaracterization by opponents, just as the complex nature of health care reform gave an opening to opponents to fuel rumors about “death panels” or coverage for illegal immigrants. In particular, the inclusion of card check provisions gave business opposition a chance to characterize the EFCA as an effort to “end the right of employees to secret ballot elections.”56 Rather than having to defend employer behavior, including the termination of employees for trying to join a union, business changed the discussion to collective bargaining elections and promoted stereotypes of union thugs ready to intimidate workers into signing cards certifying a union. In addition, over the years, labor law reform has been seen largely as a special interest battle between labor and business and has not galvanized a broad coalition of progressives to come to labor’s aid in pushing reform. Labor lawyer Thomas Geoghegan notes, “[y]ou meet other activists, go to their meetings. They understand each other’s causes but have no sense of yours.”57 Many see labor as a “historical” movement, something from the past that is no longer central to today’s fights.58 As a result, in political battles over its future, labor has often been largely on its own.59 In a detailed analysis of the 1978 Senate vote on labor law reform, for example, Harvard economist Richard Freeman found that it was not political party membership, but a state’s union density that best predicted support or opposition to reform. Out of the twenty senators from the ten states with the lowest unionization rates (bottom quintile), only one voted in favor of the bill; out of the twenty senators from the next lowest quintile, only six voted in favor of the legislation.60 Meanwhile, senators from the ten states with the highest unionization rates (top quintile) voted eighteen to two in favor of the bill and senators from the next highest quintile voted seventeen to three in favor of the legislation.61 Democratic Senator Dale Bumpers of Arkansas, a low union density state, cast the decisive vote in killing the 1978 reform. And in a cruel repeat of history, in 2009, Senator Blanche Lincoln, also a Democrat from Arkansas, came out in opposition to the EFCA, dealing the bill a devastating setback.62</w:t>
      </w:r>
      <w:r w:rsidRPr="00A710BF">
        <w:t xml:space="preserve"> </w:t>
      </w:r>
      <w:r w:rsidRPr="00A710BF">
        <w:rPr>
          <w:rStyle w:val="StyleUnderline"/>
        </w:rPr>
        <w:t>The fact that labor law reform is not seen as a basic litmus test issue for Democrats—and that other progressives have not adequately rallied behind unions in their hours of need—means that labor stands alone, and reform rises or falls on labor’s own strength or weakness.</w:t>
      </w:r>
      <w:r w:rsidRPr="00A710BF">
        <w:t xml:space="preserve"> </w:t>
      </w:r>
      <w:r w:rsidRPr="00A710BF">
        <w:rPr>
          <w:rStyle w:val="Emphasis"/>
          <w:sz w:val="26"/>
          <w:szCs w:val="26"/>
        </w:rPr>
        <w:t xml:space="preserve">As a result, </w:t>
      </w:r>
      <w:r w:rsidRPr="002B2095">
        <w:rPr>
          <w:rStyle w:val="Emphasis"/>
          <w:sz w:val="26"/>
          <w:szCs w:val="26"/>
          <w:highlight w:val="green"/>
        </w:rPr>
        <w:t>the current approach to</w:t>
      </w:r>
      <w:r w:rsidRPr="002B2095">
        <w:rPr>
          <w:rStyle w:val="Emphasis"/>
          <w:highlight w:val="green"/>
        </w:rPr>
        <w:t xml:space="preserve"> </w:t>
      </w:r>
      <w:r w:rsidRPr="00A710BF">
        <w:rPr>
          <w:rStyle w:val="Emphasis"/>
        </w:rPr>
        <w:t xml:space="preserve">labor law </w:t>
      </w:r>
      <w:r w:rsidRPr="002B2095">
        <w:rPr>
          <w:rStyle w:val="Emphasis"/>
          <w:sz w:val="26"/>
          <w:szCs w:val="26"/>
          <w:highlight w:val="green"/>
        </w:rPr>
        <w:t>reform puts unions in a</w:t>
      </w:r>
      <w:r w:rsidRPr="00A710BF">
        <w:rPr>
          <w:rStyle w:val="Emphasis"/>
        </w:rPr>
        <w:t xml:space="preserve"> political </w:t>
      </w:r>
      <w:r w:rsidRPr="002B2095">
        <w:rPr>
          <w:rStyle w:val="Emphasis"/>
          <w:sz w:val="26"/>
          <w:szCs w:val="26"/>
          <w:highlight w:val="green"/>
        </w:rPr>
        <w:t>catch-22:</w:t>
      </w:r>
      <w:r w:rsidRPr="002B2095">
        <w:rPr>
          <w:rStyle w:val="Emphasis"/>
          <w:highlight w:val="green"/>
        </w:rPr>
        <w:t xml:space="preserve"> </w:t>
      </w:r>
      <w:r w:rsidRPr="00A710BF">
        <w:rPr>
          <w:rStyle w:val="Emphasis"/>
        </w:rPr>
        <w:t xml:space="preserve">organized </w:t>
      </w:r>
      <w:r w:rsidRPr="002B2095">
        <w:rPr>
          <w:rStyle w:val="Emphasis"/>
          <w:highlight w:val="green"/>
        </w:rPr>
        <w:t>labor cannot get reform</w:t>
      </w:r>
      <w:r w:rsidRPr="00A710BF">
        <w:rPr>
          <w:rStyle w:val="Emphasis"/>
        </w:rPr>
        <w:t xml:space="preserve"> of labor laws </w:t>
      </w:r>
      <w:r w:rsidRPr="002B2095">
        <w:rPr>
          <w:rStyle w:val="Emphasis"/>
          <w:highlight w:val="green"/>
        </w:rPr>
        <w:t>until it has</w:t>
      </w:r>
      <w:r w:rsidRPr="00A710BF">
        <w:rPr>
          <w:rStyle w:val="Emphasis"/>
        </w:rPr>
        <w:t xml:space="preserve"> greater </w:t>
      </w:r>
      <w:r w:rsidRPr="00F81ECB">
        <w:rPr>
          <w:rStyle w:val="Emphasis"/>
        </w:rPr>
        <w:t xml:space="preserve">political </w:t>
      </w:r>
      <w:r w:rsidRPr="002B2095">
        <w:rPr>
          <w:rStyle w:val="Emphasis"/>
          <w:highlight w:val="green"/>
        </w:rPr>
        <w:t>clout, but it cannot grow</w:t>
      </w:r>
      <w:r w:rsidRPr="00A710BF">
        <w:rPr>
          <w:rStyle w:val="Emphasis"/>
        </w:rPr>
        <w:t xml:space="preserve"> stronger and gain clout </w:t>
      </w:r>
      <w:r w:rsidRPr="002B2095">
        <w:rPr>
          <w:rStyle w:val="Emphasis"/>
          <w:highlight w:val="green"/>
        </w:rPr>
        <w:t xml:space="preserve">until it achieves </w:t>
      </w:r>
      <w:r w:rsidRPr="00A710BF">
        <w:rPr>
          <w:rStyle w:val="Emphasis"/>
        </w:rPr>
        <w:t xml:space="preserve">labor law </w:t>
      </w:r>
      <w:r w:rsidRPr="002B2095">
        <w:rPr>
          <w:rStyle w:val="Emphasis"/>
          <w:highlight w:val="green"/>
        </w:rPr>
        <w:t xml:space="preserve">reform. </w:t>
      </w:r>
      <w:r w:rsidRPr="00A710BF">
        <w:rPr>
          <w:rStyle w:val="StyleUnderline"/>
          <w:bCs/>
        </w:rPr>
        <w:t>Unlike</w:t>
      </w:r>
      <w:r w:rsidRPr="00A710BF">
        <w:rPr>
          <w:rStyle w:val="StyleUnderline"/>
        </w:rPr>
        <w:t xml:space="preserve"> more comprehensive and </w:t>
      </w:r>
      <w:r w:rsidRPr="00A710BF">
        <w:rPr>
          <w:rStyle w:val="Emphasis"/>
        </w:rPr>
        <w:t>complex reforms</w:t>
      </w:r>
      <w:r w:rsidRPr="00A710BF">
        <w:rPr>
          <w:rStyle w:val="StyleUnderline"/>
        </w:rPr>
        <w:t xml:space="preserve"> of labor law, </w:t>
      </w:r>
      <w:r w:rsidRPr="00A710BF">
        <w:rPr>
          <w:rStyle w:val="Emphasis"/>
        </w:rPr>
        <w:t>amending the Civil Rights Act</w:t>
      </w:r>
      <w:r w:rsidRPr="00A710BF">
        <w:rPr>
          <w:rStyle w:val="StyleUnderline"/>
        </w:rPr>
        <w:t xml:space="preserve"> to prohibit discrimination against labor organizers </w:t>
      </w:r>
      <w:r w:rsidRPr="00A710BF">
        <w:rPr>
          <w:rStyle w:val="Emphasis"/>
        </w:rPr>
        <w:t>presents an easily</w:t>
      </w:r>
      <w:r w:rsidRPr="00A710BF">
        <w:rPr>
          <w:rStyle w:val="StyleUnderline"/>
        </w:rPr>
        <w:t xml:space="preserve"> </w:t>
      </w:r>
      <w:r w:rsidRPr="00A710BF">
        <w:rPr>
          <w:rStyle w:val="Emphasis"/>
        </w:rPr>
        <w:t>understandable idea that is</w:t>
      </w:r>
      <w:r w:rsidRPr="00A710BF">
        <w:rPr>
          <w:rStyle w:val="StyleUnderline"/>
        </w:rPr>
        <w:t xml:space="preserve"> much </w:t>
      </w:r>
      <w:r w:rsidRPr="00A710BF">
        <w:rPr>
          <w:rStyle w:val="Emphasis"/>
        </w:rPr>
        <w:t>less susceptible to distortion</w:t>
      </w:r>
      <w:r w:rsidRPr="00A710BF">
        <w:rPr>
          <w:rStyle w:val="StyleUnderline"/>
        </w:rPr>
        <w:t xml:space="preserve"> by opponents. </w:t>
      </w:r>
      <w:r w:rsidRPr="00A710BF">
        <w:rPr>
          <w:rStyle w:val="Emphasis"/>
        </w:rPr>
        <w:t>The simple message: people should not be fired for trying to organize</w:t>
      </w:r>
      <w:r w:rsidRPr="00A710BF">
        <w:rPr>
          <w:rStyle w:val="StyleUnderline"/>
        </w:rPr>
        <w:t xml:space="preserve"> a union and join the middle class. </w:t>
      </w:r>
      <w:r w:rsidRPr="00A710BF">
        <w:t xml:space="preserve">Because the legislation would not address the various issues of elections and arbitration and the inner workings of the NLRB, </w:t>
      </w:r>
      <w:r w:rsidRPr="00A710BF">
        <w:rPr>
          <w:rStyle w:val="Emphasis"/>
        </w:rPr>
        <w:t>the bill would avoid questions about secret ballot elections and union behavior, instead isolating the straightforward issue of employer behavior</w:t>
      </w:r>
      <w:r w:rsidRPr="00A710BF">
        <w:rPr>
          <w:rStyle w:val="StyleUnderline"/>
        </w:rPr>
        <w:t xml:space="preserve">. And by focusing on the ability of individuals to protect themselves from wrongful termination, </w:t>
      </w:r>
      <w:r w:rsidRPr="00A710BF">
        <w:rPr>
          <w:rStyle w:val="Emphasis"/>
        </w:rPr>
        <w:t>the legislation underlines the David and Goliath nature of the conflict between large employers and individual employees.</w:t>
      </w:r>
      <w:r w:rsidRPr="00A710BF">
        <w:t xml:space="preserve"> </w:t>
      </w:r>
      <w:r w:rsidRPr="00A710BF">
        <w:rPr>
          <w:sz w:val="12"/>
          <w:szCs w:val="12"/>
        </w:rPr>
        <w:t>The contest between a few individuals and the firm may paint a more sympathetic picture for some than the battle between an employer and a union. And the legislation would remind people that it is individual workers choosing to exercise their right to organize in pursuit of better conditions who pay the price when employers unfairly use their economic power to stop unions.</w:t>
      </w:r>
      <w:r w:rsidRPr="00A710BF">
        <w:rPr>
          <w:rStyle w:val="StyleUnderline"/>
          <w:sz w:val="12"/>
          <w:szCs w:val="12"/>
        </w:rPr>
        <w:t xml:space="preserve"> </w:t>
      </w:r>
      <w:r w:rsidRPr="00A710BF">
        <w:rPr>
          <w:sz w:val="12"/>
          <w:szCs w:val="12"/>
        </w:rPr>
        <w:t>Likewise, emphasizing the simple issue of employer discrimination is likely to be appealing to many Americans, whether or not they like labor unions. Americans believe quite strongly that employment discrimination is wrong, even when they are not particularly sympathetic to the group of individuals who are the victims of discrimination. For example, in 2000, only 28.8% of Americans approved of sexual relations between adults of the same sex, yet in the same year, 75.3% supported laws protecting gays and lesbians from employment discrimination.63 So iconic is the idea of nondiscrimination that when Rand Paul, a then U.S. Senate candidate from Kentucky, raised questions about the Civil Rights Act from a libertarian perspective in the 2010 election, suggesting the law interfered too heavily with private enterprise, he was forced to hastily recant.64</w:t>
      </w:r>
      <w:r w:rsidRPr="00A710BF">
        <w:t xml:space="preserve"> </w:t>
      </w:r>
      <w:r w:rsidRPr="002B2095">
        <w:rPr>
          <w:rStyle w:val="StyleUnderline"/>
          <w:highlight w:val="green"/>
        </w:rPr>
        <w:t>Even if</w:t>
      </w:r>
      <w:r w:rsidRPr="00A710BF">
        <w:rPr>
          <w:rStyle w:val="StyleUnderline"/>
        </w:rPr>
        <w:t xml:space="preserve"> significant </w:t>
      </w:r>
      <w:r w:rsidRPr="002B2095">
        <w:rPr>
          <w:rStyle w:val="StyleUnderline"/>
          <w:highlight w:val="green"/>
        </w:rPr>
        <w:t>labor</w:t>
      </w:r>
      <w:r w:rsidRPr="00A710BF">
        <w:rPr>
          <w:rStyle w:val="StyleUnderline"/>
        </w:rPr>
        <w:t xml:space="preserve"> law </w:t>
      </w:r>
      <w:r w:rsidRPr="002B2095">
        <w:rPr>
          <w:rStyle w:val="StyleUnderline"/>
          <w:highlight w:val="green"/>
        </w:rPr>
        <w:t xml:space="preserve">reform </w:t>
      </w:r>
      <w:r w:rsidRPr="00F81ECB">
        <w:rPr>
          <w:rStyle w:val="StyleUnderline"/>
        </w:rPr>
        <w:t xml:space="preserve">could make it through the political process, </w:t>
      </w:r>
      <w:r w:rsidRPr="002B2095">
        <w:rPr>
          <w:rStyle w:val="StyleUnderline"/>
          <w:highlight w:val="green"/>
        </w:rPr>
        <w:t>the Board</w:t>
      </w:r>
      <w:r w:rsidRPr="00A710BF">
        <w:rPr>
          <w:rStyle w:val="StyleUnderline"/>
        </w:rPr>
        <w:t xml:space="preserve"> may </w:t>
      </w:r>
      <w:r w:rsidRPr="002B2095">
        <w:rPr>
          <w:rStyle w:val="StyleUnderline"/>
          <w:highlight w:val="green"/>
        </w:rPr>
        <w:t>still</w:t>
      </w:r>
      <w:r w:rsidRPr="00A710BF">
        <w:rPr>
          <w:rStyle w:val="StyleUnderline"/>
        </w:rPr>
        <w:t xml:space="preserve"> prove </w:t>
      </w:r>
      <w:r w:rsidRPr="002B2095">
        <w:rPr>
          <w:rStyle w:val="StyleUnderline"/>
          <w:highlight w:val="green"/>
        </w:rPr>
        <w:lastRenderedPageBreak/>
        <w:t>unable to protect</w:t>
      </w:r>
      <w:r w:rsidRPr="00A710BF">
        <w:rPr>
          <w:rStyle w:val="StyleUnderline"/>
        </w:rPr>
        <w:t xml:space="preserve"> </w:t>
      </w:r>
      <w:r w:rsidRPr="002B2095">
        <w:rPr>
          <w:rStyle w:val="StyleUnderline"/>
          <w:highlight w:val="green"/>
        </w:rPr>
        <w:t xml:space="preserve">workers. </w:t>
      </w:r>
      <w:r w:rsidRPr="002B2095">
        <w:rPr>
          <w:rStyle w:val="Emphasis"/>
          <w:sz w:val="26"/>
          <w:szCs w:val="26"/>
          <w:highlight w:val="green"/>
        </w:rPr>
        <w:t>The Board’s</w:t>
      </w:r>
      <w:r w:rsidRPr="002B2095">
        <w:rPr>
          <w:rStyle w:val="Emphasis"/>
          <w:highlight w:val="green"/>
        </w:rPr>
        <w:t xml:space="preserve"> </w:t>
      </w:r>
      <w:r w:rsidRPr="00A710BF">
        <w:rPr>
          <w:rStyle w:val="Emphasis"/>
          <w:bCs/>
        </w:rPr>
        <w:t>structure and process place it</w:t>
      </w:r>
      <w:r w:rsidRPr="00A710BF">
        <w:rPr>
          <w:rStyle w:val="Emphasis"/>
        </w:rPr>
        <w:t xml:space="preserve"> </w:t>
      </w:r>
      <w:r w:rsidRPr="002B2095">
        <w:rPr>
          <w:rStyle w:val="Emphasis"/>
          <w:sz w:val="26"/>
          <w:szCs w:val="26"/>
          <w:highlight w:val="green"/>
        </w:rPr>
        <w:t>in a perpetually vulnerable position</w:t>
      </w:r>
      <w:r w:rsidRPr="00A710BF">
        <w:rPr>
          <w:rStyle w:val="Emphasis"/>
        </w:rPr>
        <w:t xml:space="preserve">. </w:t>
      </w:r>
      <w:r w:rsidRPr="00A710BF">
        <w:rPr>
          <w:rStyle w:val="Emphasis"/>
          <w:bCs/>
        </w:rPr>
        <w:t xml:space="preserve">Because the NLRB has exclusive jurisdiction over violations of workers’ labor rights, </w:t>
      </w:r>
      <w:r w:rsidRPr="002B2095">
        <w:rPr>
          <w:rStyle w:val="Emphasis"/>
          <w:highlight w:val="green"/>
        </w:rPr>
        <w:t>it stands as a</w:t>
      </w:r>
      <w:r w:rsidRPr="00A710BF">
        <w:rPr>
          <w:rStyle w:val="Emphasis"/>
        </w:rPr>
        <w:t xml:space="preserve"> </w:t>
      </w:r>
      <w:r w:rsidRPr="00A710BF">
        <w:rPr>
          <w:rStyle w:val="Emphasis"/>
          <w:bCs/>
        </w:rPr>
        <w:t>large</w:t>
      </w:r>
      <w:r w:rsidRPr="00A710BF">
        <w:rPr>
          <w:rStyle w:val="Emphasis"/>
        </w:rPr>
        <w:t xml:space="preserve"> </w:t>
      </w:r>
      <w:r w:rsidRPr="002B2095">
        <w:rPr>
          <w:rStyle w:val="Emphasis"/>
          <w:highlight w:val="green"/>
        </w:rPr>
        <w:t>target for those that</w:t>
      </w:r>
      <w:r w:rsidRPr="00A710BF">
        <w:rPr>
          <w:rStyle w:val="Emphasis"/>
        </w:rPr>
        <w:t xml:space="preserve"> </w:t>
      </w:r>
      <w:r w:rsidRPr="002B2095">
        <w:rPr>
          <w:rStyle w:val="Emphasis"/>
          <w:highlight w:val="green"/>
        </w:rPr>
        <w:t xml:space="preserve">seek to limit </w:t>
      </w:r>
      <w:r w:rsidRPr="00A710BF">
        <w:rPr>
          <w:rStyle w:val="Emphasis"/>
        </w:rPr>
        <w:t xml:space="preserve">these </w:t>
      </w:r>
      <w:r w:rsidRPr="002B2095">
        <w:rPr>
          <w:rStyle w:val="Emphasis"/>
          <w:highlight w:val="green"/>
        </w:rPr>
        <w:t>rights</w:t>
      </w:r>
      <w:r w:rsidRPr="00A710BF">
        <w:rPr>
          <w:rStyle w:val="StyleUnderline"/>
        </w:rPr>
        <w:t>.</w:t>
      </w:r>
      <w:r w:rsidRPr="00A710BF">
        <w:t xml:space="preserve"> </w:t>
      </w:r>
      <w:r w:rsidRPr="00A710BF">
        <w:rPr>
          <w:sz w:val="16"/>
          <w:szCs w:val="16"/>
        </w:rPr>
        <w:t>Unlike other forms of discrimination, where opponents must try to amend the law in order to limit rights, labor law can be limited in myriad other ways</w:t>
      </w:r>
      <w:r w:rsidRPr="00A710BF">
        <w:rPr>
          <w:rStyle w:val="Emphasis"/>
        </w:rPr>
        <w:t xml:space="preserve">. In 2011 alone, </w:t>
      </w:r>
      <w:r w:rsidRPr="002B2095">
        <w:rPr>
          <w:rStyle w:val="Emphasis"/>
          <w:highlight w:val="green"/>
        </w:rPr>
        <w:t>there were</w:t>
      </w:r>
      <w:r w:rsidRPr="00A710BF">
        <w:rPr>
          <w:rStyle w:val="StyleUnderline"/>
        </w:rPr>
        <w:t xml:space="preserve"> a variety of </w:t>
      </w:r>
      <w:r w:rsidRPr="002B2095">
        <w:rPr>
          <w:rStyle w:val="Emphasis"/>
          <w:highlight w:val="green"/>
        </w:rPr>
        <w:t>approaches</w:t>
      </w:r>
      <w:r w:rsidRPr="00A710BF">
        <w:rPr>
          <w:rStyle w:val="StyleUnderline"/>
        </w:rPr>
        <w:t xml:space="preserve"> that conservatives took </w:t>
      </w:r>
      <w:r w:rsidRPr="002B2095">
        <w:rPr>
          <w:rStyle w:val="Emphasis"/>
          <w:highlight w:val="green"/>
        </w:rPr>
        <w:t>to limit the Board’s power, including</w:t>
      </w:r>
      <w:r w:rsidRPr="002B2095">
        <w:rPr>
          <w:rStyle w:val="StyleUnderline"/>
          <w:highlight w:val="green"/>
        </w:rPr>
        <w:t xml:space="preserve"> </w:t>
      </w:r>
      <w:r w:rsidRPr="00A710BF">
        <w:rPr>
          <w:rStyle w:val="StyleUnderline"/>
        </w:rPr>
        <w:t xml:space="preserve">Republican senators’ refusal to confirm President Obama’s appointments to the Board,65 </w:t>
      </w:r>
      <w:r w:rsidRPr="002B2095">
        <w:rPr>
          <w:rStyle w:val="Emphasis"/>
          <w:highlight w:val="green"/>
        </w:rPr>
        <w:t>threats by Republican members</w:t>
      </w:r>
      <w:r w:rsidRPr="00A710BF">
        <w:rPr>
          <w:rStyle w:val="StyleUnderline"/>
        </w:rPr>
        <w:t xml:space="preserve"> of the Board to resign in order </w:t>
      </w:r>
      <w:r w:rsidRPr="002B2095">
        <w:rPr>
          <w:rStyle w:val="Emphasis"/>
          <w:highlight w:val="green"/>
        </w:rPr>
        <w:t>to strip the Board of a quorum and</w:t>
      </w:r>
      <w:r w:rsidRPr="00A710BF">
        <w:rPr>
          <w:rStyle w:val="StyleUnderline"/>
        </w:rPr>
        <w:t xml:space="preserve"> therefore its ability to adjudicate allegations of unfair labor practices,66 the </w:t>
      </w:r>
      <w:r w:rsidRPr="002B2095">
        <w:rPr>
          <w:rStyle w:val="Emphasis"/>
          <w:highlight w:val="green"/>
        </w:rPr>
        <w:t>introduction of legislation</w:t>
      </w:r>
      <w:r w:rsidRPr="00A710BF">
        <w:rPr>
          <w:rStyle w:val="StyleUnderline"/>
        </w:rPr>
        <w:t xml:space="preserve"> designed </w:t>
      </w:r>
      <w:r w:rsidRPr="002B2095">
        <w:rPr>
          <w:rStyle w:val="Emphasis"/>
          <w:highlight w:val="green"/>
        </w:rPr>
        <w:t>to</w:t>
      </w:r>
      <w:r w:rsidRPr="00A710BF">
        <w:rPr>
          <w:rStyle w:val="StyleUnderline"/>
        </w:rPr>
        <w:t xml:space="preserve"> partially or </w:t>
      </w:r>
      <w:r w:rsidRPr="002B2095">
        <w:rPr>
          <w:rStyle w:val="Emphasis"/>
          <w:highlight w:val="green"/>
        </w:rPr>
        <w:t>fully defund</w:t>
      </w:r>
      <w:r w:rsidRPr="002B2095">
        <w:rPr>
          <w:rStyle w:val="StyleUnderline"/>
          <w:highlight w:val="green"/>
        </w:rPr>
        <w:t xml:space="preserve"> </w:t>
      </w:r>
      <w:r w:rsidRPr="00A710BF">
        <w:rPr>
          <w:rStyle w:val="StyleUnderline"/>
        </w:rPr>
        <w:t xml:space="preserve">the Board,67 </w:t>
      </w:r>
      <w:r w:rsidRPr="002B2095">
        <w:rPr>
          <w:rStyle w:val="Emphasis"/>
          <w:highlight w:val="green"/>
        </w:rPr>
        <w:t>and</w:t>
      </w:r>
      <w:r w:rsidRPr="00A710BF">
        <w:rPr>
          <w:rStyle w:val="StyleUnderline"/>
        </w:rPr>
        <w:t xml:space="preserve"> the introduction of legislation to </w:t>
      </w:r>
      <w:r w:rsidRPr="002B2095">
        <w:rPr>
          <w:rStyle w:val="Emphasis"/>
          <w:highlight w:val="green"/>
        </w:rPr>
        <w:t>abolish the Board</w:t>
      </w:r>
      <w:r w:rsidRPr="00A710BF">
        <w:rPr>
          <w:rStyle w:val="StyleUnderline"/>
        </w:rPr>
        <w:t xml:space="preserve"> and transfer its functions to the Department of Justice.</w:t>
      </w:r>
      <w:r w:rsidRPr="00A710BF">
        <w:t xml:space="preserve">68 </w:t>
      </w:r>
      <w:r w:rsidRPr="00A710BF">
        <w:rPr>
          <w:sz w:val="16"/>
          <w:szCs w:val="16"/>
        </w:rPr>
        <w:t>With regard to these tactics, especially the attempts to rob the Board of a quorum, a Stanford Law professor and former Chairman of the NLRB wrote that the effect on workers would be dramatic: Workers illegally fired for union organizing won’t be reinstated with back pay. Employers will be able to get away with interfering with union elections. Perhaps most important, employers won’t have to recognize unions despite a majority vote by workers. Without the board to enforce labor law, most companies will not voluntarily deal with unions.69 However, that was precisely the point of the attacks. Writing for the National Review, conservative commentator Robert VerBruggen has stated that Republicans should employ all legislative and other means to diminish the NLRB: “[T]he ideal way would be to amend the NLRA so that it gives less power to the unelected NLRB, or, better yet, to repeal the NLRA entirely. But given the political reality, leaving the NLRA in place while crippling the NLRB may be the best option.”70 Under these circumstances, the chairman of the Senate committee with oversight jurisdiction over the Board, Senator Tom Harkin, has bemoaned the fact that the Board has become “a political football.”71</w:t>
      </w:r>
      <w:r w:rsidRPr="00A710BF">
        <w:t xml:space="preserve"> </w:t>
      </w:r>
      <w:r w:rsidRPr="002B2095">
        <w:rPr>
          <w:rStyle w:val="Emphasis"/>
          <w:sz w:val="26"/>
          <w:szCs w:val="26"/>
          <w:highlight w:val="green"/>
        </w:rPr>
        <w:t xml:space="preserve">As a political football, the Board must function under the constant threat of </w:t>
      </w:r>
      <w:r w:rsidRPr="00A710BF">
        <w:rPr>
          <w:rStyle w:val="StyleUnderline"/>
        </w:rPr>
        <w:t xml:space="preserve">defunding, elimination, or wild </w:t>
      </w:r>
      <w:r w:rsidRPr="002B2095">
        <w:rPr>
          <w:rStyle w:val="StyleUnderline"/>
          <w:sz w:val="26"/>
          <w:szCs w:val="26"/>
          <w:highlight w:val="green"/>
        </w:rPr>
        <w:t>political swings, making it too precarious to ensure</w:t>
      </w:r>
      <w:r w:rsidRPr="00A710BF">
        <w:rPr>
          <w:rStyle w:val="StyleUnderline"/>
          <w:sz w:val="26"/>
          <w:szCs w:val="26"/>
        </w:rPr>
        <w:t xml:space="preserve"> </w:t>
      </w:r>
      <w:r w:rsidRPr="00A710BF">
        <w:rPr>
          <w:rStyle w:val="StyleUnderline"/>
        </w:rPr>
        <w:t>consistent</w:t>
      </w:r>
      <w:r w:rsidRPr="00A710BF">
        <w:rPr>
          <w:rStyle w:val="StyleUnderline"/>
          <w:sz w:val="26"/>
          <w:szCs w:val="26"/>
        </w:rPr>
        <w:t xml:space="preserve"> </w:t>
      </w:r>
      <w:r w:rsidRPr="002B2095">
        <w:rPr>
          <w:rStyle w:val="StyleUnderline"/>
          <w:sz w:val="26"/>
          <w:szCs w:val="26"/>
          <w:highlight w:val="green"/>
        </w:rPr>
        <w:t>protections</w:t>
      </w:r>
      <w:r w:rsidRPr="00A710BF">
        <w:rPr>
          <w:rStyle w:val="StyleUnderline"/>
          <w:sz w:val="26"/>
          <w:szCs w:val="26"/>
        </w:rPr>
        <w:t xml:space="preserve"> </w:t>
      </w:r>
      <w:r w:rsidRPr="00A710BF">
        <w:rPr>
          <w:rStyle w:val="StyleUnderline"/>
        </w:rPr>
        <w:t>for workers in exercising their labor rights.</w:t>
      </w:r>
    </w:p>
    <w:p w14:paraId="6ADDA675" w14:textId="77777777" w:rsidR="00365070" w:rsidRPr="00A710BF" w:rsidRDefault="00365070" w:rsidP="00365070">
      <w:pPr>
        <w:pStyle w:val="Heading4"/>
        <w:rPr>
          <w:rFonts w:cs="Calibri"/>
        </w:rPr>
      </w:pPr>
      <w:r w:rsidRPr="00A710BF">
        <w:rPr>
          <w:rFonts w:cs="Calibri"/>
        </w:rPr>
        <w:t>This permits corporations to ignore the law – illegal union busting is at an all time high with no recourse for workers</w:t>
      </w:r>
    </w:p>
    <w:p w14:paraId="5447B776" w14:textId="77777777" w:rsidR="00365070" w:rsidRPr="00A710BF" w:rsidRDefault="00365070" w:rsidP="00365070">
      <w:r w:rsidRPr="00CE30D3">
        <w:rPr>
          <w:rStyle w:val="Style13ptBold"/>
        </w:rPr>
        <w:t>Logan 25</w:t>
      </w:r>
      <w:r w:rsidRPr="00A710BF">
        <w:t xml:space="preserve"> </w:t>
      </w:r>
      <w:r w:rsidRPr="00A710BF">
        <w:rPr>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A710BF">
        <w:rPr>
          <w:i/>
          <w:iCs/>
          <w:sz w:val="16"/>
          <w:szCs w:val="16"/>
        </w:rPr>
        <w:t xml:space="preserve">Economic Policy Institute, </w:t>
      </w:r>
      <w:r w:rsidRPr="00A710BF">
        <w:rPr>
          <w:sz w:val="16"/>
          <w:szCs w:val="16"/>
        </w:rPr>
        <w:t>01/28/2025, https://www.epi.org/publication/corporate-union-busting/) CT</w:t>
      </w:r>
    </w:p>
    <w:p w14:paraId="5E56055A" w14:textId="77777777" w:rsidR="00365070" w:rsidRPr="00A710BF" w:rsidRDefault="00365070" w:rsidP="00365070">
      <w:r w:rsidRPr="00A710BF">
        <w:rPr>
          <w:sz w:val="16"/>
          <w:szCs w:val="16"/>
        </w:rPr>
        <w:t>Labor activism in the United States has had a remarkable resurgence over the last three years (NLRB 2022; Combs 2023). In the past few years,</w:t>
      </w:r>
      <w:r w:rsidRPr="00A710BF">
        <w:t xml:space="preserve"> </w:t>
      </w:r>
      <w:r w:rsidRPr="00A710BF">
        <w:rPr>
          <w:rStyle w:val="Emphasis"/>
        </w:rPr>
        <w:t>workers mounted successful organizing campaigns at a wide range of companies, including Amazon, Starbucks, Trader Joe’s</w:t>
      </w:r>
      <w:r w:rsidRPr="00A710BF">
        <w:rPr>
          <w:rStyle w:val="StyleUnderline"/>
        </w:rPr>
        <w:t xml:space="preserve">, </w:t>
      </w:r>
      <w:r w:rsidRPr="00A710BF">
        <w:rPr>
          <w:sz w:val="16"/>
          <w:szCs w:val="16"/>
        </w:rPr>
        <w:t>Apple, Barnes and Noble, Ben &amp; Jerry’s, Chipotle, REI, and Volkswagen. Moreover, according to Gallup polls,</w:t>
      </w:r>
      <w:r w:rsidRPr="00A710BF">
        <w:rPr>
          <w:rStyle w:val="StyleUnderline"/>
        </w:rPr>
        <w:t xml:space="preserve"> 70% of the U.S. public—and almost </w:t>
      </w:r>
      <w:r w:rsidRPr="002B2095">
        <w:rPr>
          <w:rStyle w:val="StyleUnderline"/>
          <w:highlight w:val="green"/>
        </w:rPr>
        <w:t xml:space="preserve">90% </w:t>
      </w:r>
      <w:r w:rsidRPr="00F81ECB">
        <w:rPr>
          <w:rStyle w:val="StyleUnderline"/>
        </w:rPr>
        <w:t>of</w:t>
      </w:r>
      <w:r w:rsidRPr="002B2095">
        <w:rPr>
          <w:rStyle w:val="StyleUnderline"/>
          <w:highlight w:val="green"/>
        </w:rPr>
        <w:t xml:space="preserve"> young workers—approve of unions</w:t>
      </w:r>
      <w:r w:rsidRPr="00A710BF">
        <w:rPr>
          <w:rStyle w:val="StyleUnderline"/>
        </w:rPr>
        <w:t xml:space="preserve">, a figure not seen since the mid-1960s (Saad 2023). Even more remarkable, </w:t>
      </w:r>
      <w:r w:rsidRPr="00A710BF">
        <w:rPr>
          <w:rStyle w:val="Emphasis"/>
        </w:rPr>
        <w:t>unions are wildly popular</w:t>
      </w:r>
      <w:r w:rsidRPr="00A710BF">
        <w:rPr>
          <w:rStyle w:val="StyleUnderline"/>
        </w:rPr>
        <w:t xml:space="preserve"> despite their organizational weakness: </w:t>
      </w:r>
      <w:r w:rsidRPr="00A710BF">
        <w:rPr>
          <w:rStyle w:val="Emphasis"/>
        </w:rPr>
        <w:t>In the mid-1960s, they represented almost one-third of private-sector workers, while today they represent fewer than 6%.</w:t>
      </w:r>
      <w:r w:rsidRPr="00A710BF">
        <w:rPr>
          <w:rStyle w:val="StyleUnderline"/>
        </w:rPr>
        <w:t xml:space="preserve"> </w:t>
      </w:r>
      <w:r w:rsidRPr="00A710BF">
        <w:rPr>
          <w:rStyle w:val="StyleUnderline"/>
          <w:sz w:val="16"/>
          <w:szCs w:val="16"/>
          <w:u w:val="none"/>
        </w:rPr>
        <w:t>At the bargaining table, unions have won record wage increases</w:t>
      </w:r>
      <w:r w:rsidRPr="00A710BF">
        <w:rPr>
          <w:sz w:val="16"/>
          <w:szCs w:val="16"/>
        </w:rPr>
        <w:t xml:space="preserve"> at companies such as UPS (Gurley 2023), the Big Three auto companies (Whalen 2023), Kaiser Permanente (Simmons-Duffin 2024), and Disney (Isidore et al. 2023; Rainey et al. 2024). Further, according to recent studies,</w:t>
      </w:r>
      <w:r w:rsidRPr="00A710BF">
        <w:t xml:space="preserve"> </w:t>
      </w:r>
      <w:r w:rsidRPr="002B2095">
        <w:rPr>
          <w:rStyle w:val="Emphasis"/>
          <w:highlight w:val="green"/>
        </w:rPr>
        <w:t>60 million</w:t>
      </w:r>
      <w:r w:rsidRPr="00A710BF">
        <w:rPr>
          <w:rStyle w:val="Emphasis"/>
        </w:rPr>
        <w:t xml:space="preserve"> American </w:t>
      </w:r>
      <w:r w:rsidRPr="00F81ECB">
        <w:rPr>
          <w:rStyle w:val="Emphasis"/>
        </w:rPr>
        <w:t xml:space="preserve">workers </w:t>
      </w:r>
      <w:r w:rsidRPr="002B2095">
        <w:rPr>
          <w:rStyle w:val="Emphasis"/>
          <w:highlight w:val="green"/>
        </w:rPr>
        <w:t>want</w:t>
      </w:r>
      <w:r w:rsidRPr="00A710BF">
        <w:rPr>
          <w:rStyle w:val="Emphasis"/>
        </w:rPr>
        <w:t xml:space="preserve"> to form </w:t>
      </w:r>
      <w:r w:rsidRPr="002B2095">
        <w:rPr>
          <w:rStyle w:val="Emphasis"/>
          <w:highlight w:val="green"/>
        </w:rPr>
        <w:t>unions</w:t>
      </w:r>
      <w:r w:rsidRPr="00A710BF">
        <w:t xml:space="preserve"> (Kochan et al. 2018; Mishel et al. 2020; EPI 2021). </w:t>
      </w:r>
      <w:r w:rsidRPr="00A710BF">
        <w:rPr>
          <w:rStyle w:val="StyleUnderline"/>
        </w:rPr>
        <w:t xml:space="preserve">In recent years, the desire for organizing has been </w:t>
      </w:r>
      <w:r w:rsidRPr="002B2095">
        <w:rPr>
          <w:rStyle w:val="StyleUnderline"/>
          <w:highlight w:val="green"/>
        </w:rPr>
        <w:t>especially</w:t>
      </w:r>
      <w:r w:rsidRPr="00A710BF">
        <w:rPr>
          <w:rStyle w:val="StyleUnderline"/>
        </w:rPr>
        <w:t xml:space="preserve"> apparent among young workers—who entered the labor market </w:t>
      </w:r>
      <w:r w:rsidRPr="002B2095">
        <w:rPr>
          <w:rStyle w:val="StyleUnderline"/>
          <w:highlight w:val="green"/>
        </w:rPr>
        <w:t xml:space="preserve">after </w:t>
      </w:r>
      <w:r w:rsidRPr="00F81ECB">
        <w:rPr>
          <w:rStyle w:val="StyleUnderline"/>
        </w:rPr>
        <w:t xml:space="preserve">the </w:t>
      </w:r>
      <w:r w:rsidRPr="002B2095">
        <w:rPr>
          <w:rStyle w:val="StyleUnderline"/>
          <w:highlight w:val="green"/>
        </w:rPr>
        <w:t>Great Recession</w:t>
      </w:r>
      <w:r w:rsidRPr="00A710BF">
        <w:rPr>
          <w:rStyle w:val="StyleUnderline"/>
        </w:rPr>
        <w:t xml:space="preserve"> and have experienced precarious employment conditions—who have tried to form unions in multiple sec   tors</w:t>
      </w:r>
      <w:r w:rsidRPr="00A710BF">
        <w:t xml:space="preserve"> (Scheiber </w:t>
      </w:r>
      <w:r w:rsidRPr="00E83A4D">
        <w:t xml:space="preserve">2022). </w:t>
      </w:r>
      <w:r w:rsidRPr="00E83A4D">
        <w:rPr>
          <w:rStyle w:val="Emphasis"/>
        </w:rPr>
        <w:t>Despite this momentum</w:t>
      </w:r>
      <w:r w:rsidRPr="002B2095">
        <w:rPr>
          <w:rStyle w:val="Emphasis"/>
          <w:highlight w:val="green"/>
        </w:rPr>
        <w:t xml:space="preserve">, union density </w:t>
      </w:r>
      <w:r w:rsidRPr="00A710BF">
        <w:rPr>
          <w:rStyle w:val="Emphasis"/>
        </w:rPr>
        <w:t xml:space="preserve">has </w:t>
      </w:r>
      <w:r w:rsidRPr="002B2095">
        <w:rPr>
          <w:rStyle w:val="Emphasis"/>
          <w:highlight w:val="green"/>
        </w:rPr>
        <w:t>continued to decline</w:t>
      </w:r>
      <w:r w:rsidRPr="00A710BF">
        <w:rPr>
          <w:rStyle w:val="Emphasis"/>
        </w:rPr>
        <w:t>. The most recent Bureau of Labor Statistics data found that 16 million workers are covered by a union contract, a 170,000 decline from the prior year</w:t>
      </w:r>
      <w:r w:rsidRPr="00A710BF">
        <w:t xml:space="preserve"> (BLS 2025). </w:t>
      </w:r>
      <w:r w:rsidRPr="00A710BF">
        <w:rPr>
          <w:sz w:val="16"/>
          <w:szCs w:val="16"/>
        </w:rPr>
        <w:t xml:space="preserve">What explains this disconnect? </w:t>
      </w:r>
      <w:r w:rsidRPr="00A710BF">
        <w:rPr>
          <w:rStyle w:val="StyleUnderline"/>
          <w:sz w:val="16"/>
          <w:szCs w:val="16"/>
          <w:u w:val="none"/>
        </w:rPr>
        <w:t>Two intractable problems explain why union popularity, bargaining victories, and renewed labor activism haven’t translated into higher union density: (1) disastrously weak labor laws and (2) ferocious corporate opposition to worker organizing</w:t>
      </w:r>
      <w:r w:rsidRPr="00A710BF">
        <w:rPr>
          <w:sz w:val="16"/>
          <w:szCs w:val="16"/>
        </w:rPr>
        <w:t>. Until these issues are addressed, union membership and density will continue to decline.</w:t>
      </w:r>
      <w:r w:rsidRPr="00A710BF">
        <w:t xml:space="preserve"> Previous studies have analyzed the issues of weak labor laws and strong </w:t>
      </w:r>
      <w:r w:rsidRPr="002B2095">
        <w:rPr>
          <w:rStyle w:val="StyleUnderline"/>
          <w:highlight w:val="green"/>
        </w:rPr>
        <w:t>employer opposition</w:t>
      </w:r>
      <w:r w:rsidRPr="00A710BF">
        <w:t xml:space="preserve"> (McNicholas et al. 2019). </w:t>
      </w:r>
      <w:r w:rsidRPr="00A710BF">
        <w:rPr>
          <w:rStyle w:val="StyleUnderline"/>
        </w:rPr>
        <w:t xml:space="preserve">This report </w:t>
      </w:r>
      <w:r w:rsidRPr="002B2095">
        <w:rPr>
          <w:rStyle w:val="StyleUnderline"/>
          <w:highlight w:val="green"/>
        </w:rPr>
        <w:t xml:space="preserve">focuses on </w:t>
      </w:r>
      <w:r w:rsidRPr="00A710BF">
        <w:rPr>
          <w:rStyle w:val="StyleUnderline"/>
        </w:rPr>
        <w:t xml:space="preserve">corporate </w:t>
      </w:r>
      <w:r w:rsidRPr="002B2095">
        <w:rPr>
          <w:rStyle w:val="StyleUnderline"/>
          <w:highlight w:val="green"/>
        </w:rPr>
        <w:t>union busting</w:t>
      </w:r>
      <w:r w:rsidRPr="00A710BF">
        <w:rPr>
          <w:rStyle w:val="StyleUnderline"/>
        </w:rPr>
        <w:t xml:space="preserve"> and examines the </w:t>
      </w:r>
      <w:r w:rsidRPr="00A710BF">
        <w:rPr>
          <w:rStyle w:val="StyleUnderline"/>
        </w:rPr>
        <w:lastRenderedPageBreak/>
        <w:t xml:space="preserve">tactics, both legal and illegal, that corporations routinely employ </w:t>
      </w:r>
      <w:r w:rsidRPr="002B2095">
        <w:rPr>
          <w:rStyle w:val="StyleUnderline"/>
          <w:highlight w:val="green"/>
        </w:rPr>
        <w:t>to defeat worker organizing</w:t>
      </w:r>
      <w:r w:rsidRPr="00A710BF">
        <w:rPr>
          <w:rStyle w:val="StyleUnderline"/>
        </w:rPr>
        <w:t xml:space="preserve"> </w:t>
      </w:r>
      <w:r w:rsidRPr="00A710BF">
        <w:rPr>
          <w:sz w:val="16"/>
        </w:rPr>
        <w:t>efforts and resist reaching a first contract. After</w:t>
      </w:r>
      <w:r w:rsidRPr="00A710BF">
        <w:rPr>
          <w:sz w:val="16"/>
          <w:szCs w:val="16"/>
        </w:rPr>
        <w:t xml:space="preserve"> reviewing union busting tactics, the report analyzes three high-profile worker organizing campaigns. Corporate union busting is an enormous barrier to worker organizing </w:t>
      </w:r>
      <w:r w:rsidRPr="00A710BF">
        <w:rPr>
          <w:rStyle w:val="StyleUnderline"/>
        </w:rPr>
        <w:t xml:space="preserve">Workers at Starbucks, Amazon, and Trader Joe’s have encountered multibillion-dollar </w:t>
      </w:r>
      <w:r w:rsidRPr="002B2095">
        <w:rPr>
          <w:rStyle w:val="StyleUnderline"/>
          <w:highlight w:val="green"/>
        </w:rPr>
        <w:t>corporations</w:t>
      </w:r>
      <w:r w:rsidRPr="00A710BF">
        <w:rPr>
          <w:rStyle w:val="StyleUnderline"/>
        </w:rPr>
        <w:t xml:space="preserve"> who </w:t>
      </w:r>
      <w:r w:rsidRPr="002B2095">
        <w:rPr>
          <w:rStyle w:val="StyleUnderline"/>
          <w:highlight w:val="green"/>
        </w:rPr>
        <w:t xml:space="preserve">are prepared to do </w:t>
      </w:r>
      <w:r w:rsidRPr="00E83A4D">
        <w:rPr>
          <w:rStyle w:val="StyleUnderline"/>
        </w:rPr>
        <w:t xml:space="preserve">whatever is necessary, lawful or </w:t>
      </w:r>
      <w:r w:rsidRPr="002B2095">
        <w:rPr>
          <w:rStyle w:val="StyleUnderline"/>
          <w:highlight w:val="green"/>
        </w:rPr>
        <w:t xml:space="preserve">unlawful, </w:t>
      </w:r>
      <w:r w:rsidRPr="00E83A4D">
        <w:rPr>
          <w:rStyle w:val="StyleUnderline"/>
        </w:rPr>
        <w:t>to</w:t>
      </w:r>
      <w:r w:rsidRPr="00A710BF">
        <w:rPr>
          <w:rStyle w:val="StyleUnderline"/>
        </w:rPr>
        <w:t xml:space="preserve"> crush their organizing </w:t>
      </w:r>
      <w:r w:rsidRPr="002B2095">
        <w:rPr>
          <w:rStyle w:val="StyleUnderline"/>
          <w:highlight w:val="green"/>
        </w:rPr>
        <w:t xml:space="preserve">campaigns. </w:t>
      </w:r>
      <w:r w:rsidRPr="00E83A4D">
        <w:rPr>
          <w:rStyle w:val="Emphasis"/>
        </w:rPr>
        <w:t xml:space="preserve">Unlawful </w:t>
      </w:r>
      <w:r w:rsidRPr="002B2095">
        <w:rPr>
          <w:rStyle w:val="Emphasis"/>
          <w:highlight w:val="green"/>
        </w:rPr>
        <w:t>acts</w:t>
      </w:r>
      <w:r w:rsidRPr="00A710BF">
        <w:rPr>
          <w:rStyle w:val="Emphasis"/>
        </w:rPr>
        <w:t xml:space="preserve"> have taken multiple forms, </w:t>
      </w:r>
      <w:r w:rsidRPr="002B2095">
        <w:rPr>
          <w:rStyle w:val="Emphasis"/>
          <w:highlight w:val="green"/>
        </w:rPr>
        <w:t>includ</w:t>
      </w:r>
      <w:r w:rsidRPr="00A710BF">
        <w:rPr>
          <w:rStyle w:val="Emphasis"/>
        </w:rPr>
        <w:t>ing:</w:t>
      </w:r>
      <w:r w:rsidRPr="00A710BF">
        <w:rPr>
          <w:rStyle w:val="StyleUnderline"/>
        </w:rPr>
        <w:t xml:space="preserve"> </w:t>
      </w:r>
      <w:r w:rsidRPr="002B2095">
        <w:rPr>
          <w:rStyle w:val="Emphasis"/>
          <w:highlight w:val="green"/>
        </w:rPr>
        <w:t>Terminating</w:t>
      </w:r>
      <w:r w:rsidRPr="00A710BF">
        <w:rPr>
          <w:rStyle w:val="Emphasis"/>
        </w:rPr>
        <w:t xml:space="preserve"> union activists and </w:t>
      </w:r>
      <w:r w:rsidRPr="002B2095">
        <w:rPr>
          <w:rStyle w:val="Emphasis"/>
          <w:highlight w:val="green"/>
        </w:rPr>
        <w:t>supporters</w:t>
      </w:r>
      <w:r w:rsidRPr="00A710BF">
        <w:rPr>
          <w:rStyle w:val="StyleUnderline"/>
        </w:rPr>
        <w:t xml:space="preserve">; Committing </w:t>
      </w:r>
      <w:r w:rsidRPr="002B2095">
        <w:rPr>
          <w:rStyle w:val="Emphasis"/>
          <w:highlight w:val="green"/>
        </w:rPr>
        <w:t>acts of retaliation</w:t>
      </w:r>
      <w:r w:rsidRPr="00A710BF">
        <w:rPr>
          <w:rStyle w:val="Emphasis"/>
        </w:rPr>
        <w:t xml:space="preserve"> against union activists </w:t>
      </w:r>
      <w:r w:rsidRPr="002B2095">
        <w:rPr>
          <w:rStyle w:val="Emphasis"/>
          <w:highlight w:val="green"/>
        </w:rPr>
        <w:t>and</w:t>
      </w:r>
      <w:r w:rsidRPr="00A710BF">
        <w:rPr>
          <w:rStyle w:val="Emphasis"/>
        </w:rPr>
        <w:t xml:space="preserve"> supporters</w:t>
      </w:r>
      <w:r w:rsidRPr="00A710BF">
        <w:rPr>
          <w:rStyle w:val="StyleUnderline"/>
        </w:rPr>
        <w:t xml:space="preserve">; </w:t>
      </w:r>
      <w:r w:rsidRPr="00A710BF">
        <w:rPr>
          <w:sz w:val="16"/>
        </w:rPr>
        <w:t xml:space="preserve">Threatening to close unionized facilities; </w:t>
      </w:r>
      <w:r w:rsidRPr="00A710BF">
        <w:rPr>
          <w:rStyle w:val="Emphasis"/>
          <w:bCs/>
          <w:sz w:val="16"/>
          <w:u w:val="none"/>
        </w:rPr>
        <w:t>Closing unionized facilities in order to send a message to workers in other facilities who might want to organize</w:t>
      </w:r>
      <w:r w:rsidRPr="00A710BF">
        <w:rPr>
          <w:sz w:val="16"/>
        </w:rPr>
        <w:t xml:space="preserve">; Providing wage increases and benefit improvements to nonunion workers but denying them to workers in stores and workplaces that have voted for unions; </w:t>
      </w:r>
      <w:r w:rsidRPr="00A710BF">
        <w:rPr>
          <w:rStyle w:val="Emphasis"/>
          <w:bCs/>
          <w:sz w:val="16"/>
          <w:u w:val="none"/>
        </w:rPr>
        <w:t>Using</w:t>
      </w:r>
      <w:r w:rsidRPr="00A710BF">
        <w:rPr>
          <w:rStyle w:val="Emphasis"/>
          <w:sz w:val="16"/>
        </w:rPr>
        <w:t xml:space="preserve"> </w:t>
      </w:r>
      <w:r w:rsidRPr="002B2095">
        <w:rPr>
          <w:rStyle w:val="Emphasis"/>
          <w:highlight w:val="green"/>
        </w:rPr>
        <w:t>disciplinary procedures to target union activists</w:t>
      </w:r>
      <w:r w:rsidRPr="00A710BF">
        <w:rPr>
          <w:rStyle w:val="StyleUnderline"/>
        </w:rPr>
        <w:t xml:space="preserve"> in order to terminate them or force them to quit; Threatening to take away essential health benefits if workers support unionization; </w:t>
      </w:r>
      <w:r w:rsidRPr="00A710BF">
        <w:rPr>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A710BF">
        <w:rPr>
          <w:rStyle w:val="Emphasis"/>
          <w:bCs/>
          <w:sz w:val="12"/>
          <w:szCs w:val="12"/>
          <w:u w:val="none"/>
        </w:rPr>
        <w:t xml:space="preserve">Other corporate anti-union tactics are currently lawful but nevertheless effective at undermining workers’ right to organize, including: </w:t>
      </w:r>
      <w:r w:rsidRPr="00A710BF">
        <w:rPr>
          <w:rStyle w:val="StyleUnderline"/>
          <w:sz w:val="12"/>
          <w:szCs w:val="12"/>
          <w:u w:val="none"/>
        </w:rPr>
        <w:t>Spending</w:t>
      </w:r>
      <w:r w:rsidRPr="00A710BF">
        <w:rPr>
          <w:rStyle w:val="StyleUnderline"/>
          <w:bCs/>
          <w:sz w:val="12"/>
          <w:szCs w:val="12"/>
          <w:u w:val="none"/>
        </w:rPr>
        <w:t xml:space="preserve"> </w:t>
      </w:r>
      <w:r w:rsidRPr="00A710BF">
        <w:rPr>
          <w:rStyle w:val="Emphasis"/>
          <w:bCs/>
          <w:sz w:val="12"/>
          <w:szCs w:val="12"/>
          <w:u w:val="none"/>
        </w:rPr>
        <w:t>millions of dollars on sophisticated and powerful union avoidance law firms</w:t>
      </w:r>
      <w:r w:rsidRPr="00A710BF">
        <w:rPr>
          <w:rStyle w:val="StyleUnderline"/>
          <w:bCs/>
          <w:sz w:val="12"/>
          <w:szCs w:val="12"/>
          <w:u w:val="none"/>
        </w:rPr>
        <w:t xml:space="preserve">, </w:t>
      </w:r>
      <w:r w:rsidRPr="00A710BF">
        <w:rPr>
          <w:sz w:val="12"/>
          <w:szCs w:val="12"/>
        </w:rPr>
        <w:t>such as Littler Mendelson (Logan 2022b) and Morgan Lewis (Logan 2021b), to crush worker organizing;</w:t>
      </w:r>
      <w:r w:rsidRPr="00A710BF">
        <w:rPr>
          <w:rStyle w:val="StyleUnderline"/>
          <w:sz w:val="12"/>
          <w:szCs w:val="12"/>
          <w:u w:val="none"/>
        </w:rPr>
        <w:t xml:space="preserve"> </w:t>
      </w:r>
      <w:r w:rsidRPr="00A710BF">
        <w:rPr>
          <w:sz w:val="12"/>
          <w:szCs w:val="12"/>
        </w:rPr>
        <w:t>Spending</w:t>
      </w:r>
      <w:r w:rsidRPr="00A710BF">
        <w:rPr>
          <w:rStyle w:val="Emphasis"/>
          <w:bCs/>
          <w:sz w:val="12"/>
          <w:szCs w:val="12"/>
          <w:u w:val="none"/>
        </w:rPr>
        <w:t xml:space="preserve"> millions of dollars on external and internal anti-union consultants, whose only job is to make it as difficult as possible for workers to be able to get a union</w:t>
      </w:r>
      <w:r w:rsidRPr="00A710BF">
        <w:rPr>
          <w:sz w:val="12"/>
          <w:szCs w:val="12"/>
        </w:rPr>
        <w:t xml:space="preserve"> (Logan 2006; Logan 2020; Logan 2021a; McNicholas et al. 2023a); </w:t>
      </w:r>
      <w:r w:rsidRPr="00A710BF">
        <w:rPr>
          <w:rStyle w:val="StyleUnderline"/>
          <w:sz w:val="12"/>
          <w:szCs w:val="12"/>
          <w:u w:val="none"/>
        </w:rPr>
        <w:t>Firing managers—from store managers to senior executives—who are viewed as being insufficiently engaged in corporate anti-union campaigns;</w:t>
      </w:r>
      <w:r w:rsidRPr="00A710BF">
        <w:rPr>
          <w:rStyle w:val="StyleUnderline"/>
          <w:sz w:val="12"/>
          <w:szCs w:val="12"/>
        </w:rPr>
        <w:t xml:space="preserve"> </w:t>
      </w:r>
      <w:r w:rsidRPr="00A710BF">
        <w:rPr>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A710BF">
        <w:rPr>
          <w:sz w:val="16"/>
        </w:rPr>
        <w:t xml:space="preserve"> </w:t>
      </w:r>
      <w:r w:rsidRPr="00A710BF">
        <w:rPr>
          <w:rStyle w:val="StyleUnderline"/>
        </w:rPr>
        <w:t xml:space="preserve">Workplace organizers at Starbucks, Amazon, and Trader Joe’s report that union busting has had a devastating impact: </w:t>
      </w:r>
      <w:r w:rsidRPr="00A710BF">
        <w:rPr>
          <w:rStyle w:val="Emphasis"/>
        </w:rPr>
        <w:t>Workers have been scared out of supporting unions</w:t>
      </w:r>
      <w:r w:rsidRPr="00A710BF">
        <w:rPr>
          <w:rStyle w:val="StyleUnderline"/>
        </w:rPr>
        <w:t xml:space="preserve">; elections have been lost that otherwise would have been won; </w:t>
      </w:r>
      <w:r w:rsidRPr="00A710BF">
        <w:rPr>
          <w:rStyle w:val="Emphasis"/>
        </w:rPr>
        <w:t>workers have stopped organizing after witnessing anti-union discrimination at other stores;</w:t>
      </w:r>
      <w:r w:rsidRPr="00A710BF">
        <w:rPr>
          <w:rStyle w:val="StyleUnderline"/>
        </w:rPr>
        <w:t xml:space="preserve"> and unlawful union busting has created a powerful chilling atmosphere when it comes to support for unionization</w:t>
      </w:r>
      <w:r w:rsidRPr="00A710BF">
        <w:t xml:space="preserve"> (Logan 2021a; Greenhouse 2023; Brisack 2025). </w:t>
      </w:r>
      <w:r w:rsidRPr="002B2095">
        <w:rPr>
          <w:rStyle w:val="Emphasis"/>
          <w:highlight w:val="green"/>
        </w:rPr>
        <w:t>Corporations want workers to believe that the</w:t>
      </w:r>
      <w:r w:rsidRPr="00A710BF">
        <w:rPr>
          <w:rStyle w:val="StyleUnderline"/>
        </w:rPr>
        <w:t xml:space="preserve"> real </w:t>
      </w:r>
      <w:r w:rsidRPr="002B2095">
        <w:rPr>
          <w:rStyle w:val="Emphasis"/>
          <w:highlight w:val="green"/>
        </w:rPr>
        <w:t>choice</w:t>
      </w:r>
      <w:r w:rsidRPr="00A710BF">
        <w:rPr>
          <w:rStyle w:val="StyleUnderline"/>
        </w:rPr>
        <w:t xml:space="preserve"> they are facing </w:t>
      </w:r>
      <w:r w:rsidRPr="002B2095">
        <w:rPr>
          <w:rStyle w:val="Emphasis"/>
          <w:highlight w:val="green"/>
        </w:rPr>
        <w:t>is</w:t>
      </w:r>
      <w:r w:rsidRPr="00A710BF">
        <w:rPr>
          <w:rStyle w:val="StyleUnderline"/>
        </w:rPr>
        <w:t xml:space="preserve"> not between a union or no union, but </w:t>
      </w:r>
      <w:r w:rsidRPr="002B2095">
        <w:rPr>
          <w:rStyle w:val="StyleUnderline"/>
          <w:highlight w:val="green"/>
        </w:rPr>
        <w:t>b</w:t>
      </w:r>
      <w:r w:rsidRPr="002B2095">
        <w:rPr>
          <w:rStyle w:val="Emphasis"/>
          <w:highlight w:val="green"/>
        </w:rPr>
        <w:t>etween a union or their job</w:t>
      </w:r>
      <w:r w:rsidRPr="00A710BF">
        <w:rPr>
          <w:rStyle w:val="Emphasis"/>
        </w:rPr>
        <w:t xml:space="preserve"> </w:t>
      </w:r>
      <w:r w:rsidRPr="00A710BF">
        <w:rPr>
          <w:rStyle w:val="StyleUnderline"/>
        </w:rPr>
        <w:t xml:space="preserve">(Logan 2022d; Brisack 2025) </w:t>
      </w:r>
      <w:r w:rsidRPr="00A710BF">
        <w:rPr>
          <w:rStyle w:val="Emphasis"/>
        </w:rPr>
        <w:t>and that they will suffer</w:t>
      </w:r>
      <w:r w:rsidRPr="00A710BF">
        <w:rPr>
          <w:rStyle w:val="StyleUnderline"/>
        </w:rPr>
        <w:t xml:space="preserve"> negative consequences, individually and collectively, </w:t>
      </w:r>
      <w:r w:rsidRPr="00A710BF">
        <w:rPr>
          <w:rStyle w:val="Emphasis"/>
        </w:rPr>
        <w:t>should they vote to unionize</w:t>
      </w:r>
      <w:r w:rsidRPr="00A710BF">
        <w:t xml:space="preserve"> (Logan 2012). </w:t>
      </w:r>
      <w:r w:rsidRPr="00A710BF">
        <w:rPr>
          <w:rStyle w:val="StyleUnderline"/>
        </w:rPr>
        <w:t xml:space="preserve">In addition to intimidating and coercing workers, corporations manipulate the election process, forcing delays by filing frivolous, unnecessary litigation to disrupt the momentum of organizing campaigns. </w:t>
      </w:r>
      <w:r w:rsidRPr="00A710BF">
        <w:rPr>
          <w:sz w:val="12"/>
          <w:szCs w:val="12"/>
        </w:rPr>
        <w:t>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Bahat and Kochan 2023). Were it not for this corporate lawlessness, we would likely have unions at thousands of Starbucks cafés, scores of Trader Joe’s stores, and dozens of Amazon facilities</w:t>
      </w:r>
      <w:r w:rsidRPr="00A710BF">
        <w:rPr>
          <w:rStyle w:val="StyleUnderline"/>
          <w:sz w:val="12"/>
          <w:szCs w:val="12"/>
        </w:rPr>
        <w:t xml:space="preserve"> </w:t>
      </w:r>
      <w:r w:rsidRPr="00A710BF">
        <w:rPr>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A710BF">
        <w:rPr>
          <w:rStyle w:val="StyleUnderline"/>
        </w:rPr>
        <w:t xml:space="preserve">Even if they withstand ferocious anti-union campaigns and vote to organize, workers frequently don’t win a voice at work (Combs 2024). </w:t>
      </w:r>
      <w:r w:rsidRPr="00A710BF">
        <w:rPr>
          <w:rStyle w:val="Emphasis"/>
        </w:rPr>
        <w:t>Anti-union corporations view NLRB elections as just the first round of their fight against unionization, adopting the view that they haven’t “lost” to the union until they sign a first contract</w:t>
      </w:r>
      <w:r w:rsidRPr="00A710BF">
        <w:rPr>
          <w:rStyle w:val="StyleUnderline"/>
        </w:rPr>
        <w:t xml:space="preserve"> </w:t>
      </w:r>
      <w:r w:rsidRPr="00A710BF">
        <w:rPr>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A710BF">
        <w:rPr>
          <w:rStyle w:val="Emphasis"/>
        </w:rPr>
        <w:t xml:space="preserve">Starbucks: Over three years without a collective bargaining agreement </w:t>
      </w:r>
      <w:r w:rsidRPr="002B2095">
        <w:rPr>
          <w:rStyle w:val="StyleUnderline"/>
          <w:highlight w:val="green"/>
        </w:rPr>
        <w:t xml:space="preserve">Starbucks workers </w:t>
      </w:r>
      <w:r w:rsidRPr="00E83A4D">
        <w:rPr>
          <w:rStyle w:val="StyleUnderline"/>
        </w:rPr>
        <w:t>in Buffalo, NY,</w:t>
      </w:r>
      <w:r w:rsidRPr="00A710BF">
        <w:rPr>
          <w:rStyle w:val="StyleUnderline"/>
        </w:rPr>
        <w:t xml:space="preserve"> first </w:t>
      </w:r>
      <w:r w:rsidRPr="002B2095">
        <w:rPr>
          <w:rStyle w:val="StyleUnderline"/>
          <w:highlight w:val="green"/>
        </w:rPr>
        <w:t>voted for a union in</w:t>
      </w:r>
      <w:r w:rsidRPr="00A710BF">
        <w:rPr>
          <w:rStyle w:val="StyleUnderline"/>
        </w:rPr>
        <w:t xml:space="preserve"> December </w:t>
      </w:r>
      <w:r w:rsidRPr="002B2095">
        <w:rPr>
          <w:rStyle w:val="StyleUnderline"/>
          <w:highlight w:val="green"/>
        </w:rPr>
        <w:t>2021</w:t>
      </w:r>
      <w:r w:rsidRPr="00A710BF">
        <w:rPr>
          <w:rStyle w:val="StyleUnderline"/>
        </w:rPr>
        <w:t>.</w:t>
      </w:r>
      <w:r w:rsidRPr="00A710BF">
        <w:rPr>
          <w:sz w:val="14"/>
        </w:rPr>
        <w:t xml:space="preserve"> Since that historic victory, more than 12,000 of their Starbucks coworkers at 535 stores have voted to unionize (Gurley 2021b). Enthusiasm for unionization was sky-high among baristas in 2022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 </w:t>
      </w:r>
      <w:r w:rsidRPr="002B2095">
        <w:rPr>
          <w:rStyle w:val="Emphasis"/>
          <w:highlight w:val="green"/>
        </w:rPr>
        <w:t>The</w:t>
      </w:r>
      <w:r w:rsidRPr="00A710BF">
        <w:rPr>
          <w:rStyle w:val="StyleUnderline"/>
        </w:rPr>
        <w:t xml:space="preserve"> number of </w:t>
      </w:r>
      <w:r w:rsidRPr="002B2095">
        <w:rPr>
          <w:rStyle w:val="Emphasis"/>
          <w:highlight w:val="green"/>
        </w:rPr>
        <w:t>unlawful anti-union charges facing Starbucks is</w:t>
      </w:r>
      <w:r w:rsidRPr="00A710BF">
        <w:rPr>
          <w:rStyle w:val="StyleUnderline"/>
        </w:rPr>
        <w:t xml:space="preserve"> almost certainly </w:t>
      </w:r>
      <w:r w:rsidRPr="002B2095">
        <w:rPr>
          <w:rStyle w:val="Emphasis"/>
          <w:highlight w:val="green"/>
        </w:rPr>
        <w:t>the largest in</w:t>
      </w:r>
      <w:r w:rsidRPr="00A710BF">
        <w:rPr>
          <w:rStyle w:val="StyleUnderline"/>
        </w:rPr>
        <w:t xml:space="preserve"> the 90-year </w:t>
      </w:r>
      <w:r w:rsidRPr="002B2095">
        <w:rPr>
          <w:rStyle w:val="Emphasis"/>
          <w:highlight w:val="green"/>
        </w:rPr>
        <w:t>history</w:t>
      </w:r>
      <w:r w:rsidRPr="00A710BF">
        <w:rPr>
          <w:rStyle w:val="StyleUnderline"/>
        </w:rPr>
        <w:t xml:space="preserve"> of the NLRB.</w:t>
      </w:r>
      <w:r w:rsidRPr="00A710BF">
        <w:rPr>
          <w:sz w:val="14"/>
        </w:rPr>
        <w:t xml:space="preserve"> The summary of NLRB activity against Starbucks, as of January 17, 2025, is as follows (NLRB 2025c): </w:t>
      </w:r>
      <w:r w:rsidRPr="00A710BF">
        <w:rPr>
          <w:rStyle w:val="StyleUnderline"/>
        </w:rPr>
        <w:t xml:space="preserve">As of February 2024, NLRB regional offices have docketed </w:t>
      </w:r>
      <w:r w:rsidRPr="002B2095">
        <w:rPr>
          <w:rStyle w:val="StyleUnderline"/>
          <w:highlight w:val="green"/>
        </w:rPr>
        <w:t>771</w:t>
      </w:r>
      <w:r w:rsidRPr="00A710BF">
        <w:rPr>
          <w:rStyle w:val="StyleUnderline"/>
        </w:rPr>
        <w:t xml:space="preserve"> open or settled </w:t>
      </w:r>
      <w:r w:rsidRPr="002B2095">
        <w:rPr>
          <w:rStyle w:val="StyleUnderline"/>
          <w:highlight w:val="green"/>
        </w:rPr>
        <w:t>unfair labor practice</w:t>
      </w:r>
      <w:r w:rsidRPr="00A710BF">
        <w:rPr>
          <w:rStyle w:val="StyleUnderline"/>
        </w:rPr>
        <w:t xml:space="preserve"> (ULP) charge</w:t>
      </w:r>
      <w:r w:rsidRPr="002B2095">
        <w:rPr>
          <w:rStyle w:val="Emphasis"/>
          <w:highlight w:val="green"/>
        </w:rPr>
        <w:t>s</w:t>
      </w:r>
      <w:r w:rsidRPr="00A710BF">
        <w:rPr>
          <w:rStyle w:val="StyleUnderline"/>
        </w:rPr>
        <w:t xml:space="preserve"> filed with the agency against Starbucks or its law firm, Littler Mendelson. </w:t>
      </w:r>
      <w:r w:rsidRPr="00A710BF">
        <w:rPr>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w:t>
      </w:r>
      <w:r w:rsidRPr="00A710BF">
        <w:rPr>
          <w:sz w:val="14"/>
        </w:rPr>
        <w:lastRenderedPageBreak/>
        <w:t xml:space="preserve">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E83A4D">
        <w:rPr>
          <w:rStyle w:val="Emphasis"/>
        </w:rPr>
        <w:t>It</w:t>
      </w:r>
      <w:r w:rsidRPr="002B2095">
        <w:rPr>
          <w:rStyle w:val="Emphasis"/>
          <w:highlight w:val="green"/>
        </w:rPr>
        <w:t xml:space="preserve"> fired pro-union workers</w:t>
      </w:r>
      <w:r w:rsidRPr="00A710BF">
        <w:rPr>
          <w:rStyle w:val="Emphasis"/>
        </w:rPr>
        <w:t xml:space="preserve">, drove them to quit, </w:t>
      </w:r>
      <w:r w:rsidRPr="002B2095">
        <w:rPr>
          <w:rStyle w:val="Emphasis"/>
          <w:highlight w:val="green"/>
        </w:rPr>
        <w:t>cut their hours</w:t>
      </w:r>
      <w:r w:rsidRPr="00A710BF">
        <w:rPr>
          <w:rStyle w:val="StyleUnderline"/>
        </w:rPr>
        <w:t xml:space="preserve"> to the point they no longer qualified for health insurance, </w:t>
      </w:r>
      <w:r w:rsidRPr="00A710BF">
        <w:rPr>
          <w:rStyle w:val="Emphasis"/>
        </w:rPr>
        <w:t>insisted</w:t>
      </w:r>
      <w:r w:rsidRPr="00A710BF">
        <w:rPr>
          <w:rStyle w:val="StyleUnderline"/>
        </w:rPr>
        <w:t xml:space="preserve"> that </w:t>
      </w:r>
      <w:r w:rsidRPr="00A710BF">
        <w:rPr>
          <w:rStyle w:val="Emphasis"/>
        </w:rPr>
        <w:t>they be available at all times</w:t>
      </w:r>
      <w:r w:rsidRPr="00A710BF">
        <w:rPr>
          <w:rStyle w:val="StyleUnderline"/>
        </w:rPr>
        <w:t xml:space="preserve">, </w:t>
      </w:r>
      <w:r w:rsidRPr="00A710BF">
        <w:rPr>
          <w:rStyle w:val="Emphasis"/>
        </w:rPr>
        <w:t>denied</w:t>
      </w:r>
      <w:r w:rsidRPr="00A710BF">
        <w:rPr>
          <w:rStyle w:val="StyleUnderline"/>
        </w:rPr>
        <w:t xml:space="preserve"> them </w:t>
      </w:r>
      <w:r w:rsidRPr="00A710BF">
        <w:rPr>
          <w:rStyle w:val="Emphasis"/>
        </w:rPr>
        <w:t xml:space="preserve">pay increases </w:t>
      </w:r>
      <w:r w:rsidRPr="002B2095">
        <w:rPr>
          <w:rStyle w:val="Emphasis"/>
          <w:highlight w:val="green"/>
        </w:rPr>
        <w:t>and</w:t>
      </w:r>
      <w:r w:rsidRPr="00A710BF">
        <w:rPr>
          <w:rStyle w:val="Emphasis"/>
        </w:rPr>
        <w:t xml:space="preserve"> benefit improvements, </w:t>
      </w:r>
      <w:r w:rsidRPr="002B2095">
        <w:rPr>
          <w:rStyle w:val="Emphasis"/>
          <w:highlight w:val="green"/>
        </w:rPr>
        <w:t>threatened</w:t>
      </w:r>
      <w:r w:rsidRPr="00A710BF">
        <w:rPr>
          <w:rStyle w:val="StyleUnderline"/>
        </w:rPr>
        <w:t xml:space="preserve"> to take away health </w:t>
      </w:r>
      <w:r w:rsidRPr="002B2095">
        <w:rPr>
          <w:rStyle w:val="Emphasis"/>
          <w:highlight w:val="green"/>
        </w:rPr>
        <w:t>benefits</w:t>
      </w:r>
      <w:r w:rsidRPr="00A710BF">
        <w:rPr>
          <w:rStyle w:val="StyleUnderline"/>
        </w:rPr>
        <w:t xml:space="preserve"> including gender-affirming care, </w:t>
      </w:r>
      <w:r w:rsidRPr="00A710BF">
        <w:rPr>
          <w:rStyle w:val="Emphasis"/>
        </w:rPr>
        <w:t>unlawfully closed stores, promised new benefits to oppose unionization,</w:t>
      </w:r>
      <w:r w:rsidRPr="00A710BF">
        <w:rPr>
          <w:rStyle w:val="StyleUnderline"/>
        </w:rPr>
        <w:t xml:space="preserve"> </w:t>
      </w:r>
      <w:r w:rsidRPr="00A710BF">
        <w:rPr>
          <w:rStyle w:val="Emphasis"/>
        </w:rPr>
        <w:t>replaced</w:t>
      </w:r>
      <w:r w:rsidRPr="00A710BF">
        <w:rPr>
          <w:rStyle w:val="StyleUnderline"/>
        </w:rPr>
        <w:t xml:space="preserve"> store </w:t>
      </w:r>
      <w:r w:rsidRPr="00A710BF">
        <w:rPr>
          <w:rStyle w:val="Emphasis"/>
        </w:rPr>
        <w:t>managers who were not sufficiently anti-union, and stalled in bargaining</w:t>
      </w:r>
      <w:r w:rsidRPr="00A710BF">
        <w:rPr>
          <w:rStyle w:val="StyleUnderline"/>
        </w:rPr>
        <w:t xml:space="preserve"> and then refused to meet</w:t>
      </w:r>
      <w:r w:rsidRPr="00A710BF">
        <w:rPr>
          <w:sz w:val="14"/>
        </w:rPr>
        <w:t xml:space="preserve"> (Jamieson 2023b; Brisack 2025). Top Starbucks management has directly coordinated this torrent of anti-union practices. </w:t>
      </w:r>
      <w:r w:rsidRPr="00A710BF">
        <w:rPr>
          <w:rStyle w:val="StyleUnderline"/>
        </w:rPr>
        <w:t>The company’s North America president, Rossann Williams (who was also replaced during the anti-union campaign), implored store managers to become more engaged with the anti-union campaign, saying it was their “number one responsibility”</w:t>
      </w:r>
      <w:r w:rsidRPr="00A710BF">
        <w:t xml:space="preserve"> </w:t>
      </w:r>
      <w:r w:rsidRPr="00A710BF">
        <w:rPr>
          <w:sz w:val="12"/>
          <w:szCs w:val="12"/>
        </w:rPr>
        <w:t>(Zakarin 2021). Store managers who were viewed as insufficiently anti-union were fired or relocated (Brisack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(Hiltzik 2022). Viewing the organizing as a personal attack (Scheiber and Creswell 2022), Schultz accused pro-union workers of trying to “disrupt our company,” and, in a New York Times interview, said that he would “never” accept the union because it would damage “the customer experience” (NYT 2022a; Zakarin 2022). Unfortunately for Schultz, the question is (or should be) not be whether a “third party” might be bad for customer experience—though there’s no evidence that is true—but whether, under the law, collective bargaining is what his employees want. Starbucks’ “dirty war” against its pro-union workers In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rsidRPr="00A710BF">
        <w:t xml:space="preserve"> [</w:t>
      </w:r>
      <w:r w:rsidRPr="00A710BF">
        <w:rPr>
          <w:rStyle w:val="StyleUnderline"/>
        </w:rPr>
        <w:t xml:space="preserve">T]he coffee workers’ struggle illuminates the stark and sometimes insurmountable challenges confronted by ordinary American workers who try to exercise their right to </w:t>
      </w:r>
      <w:r w:rsidRPr="00E83A4D">
        <w:rPr>
          <w:rStyle w:val="StyleUnderline"/>
        </w:rPr>
        <w:t>organize. That Starbucks is</w:t>
      </w:r>
      <w:r w:rsidRPr="00A710BF">
        <w:rPr>
          <w:rStyle w:val="StyleUnderline"/>
        </w:rPr>
        <w:t xml:space="preserve"> </w:t>
      </w:r>
      <w:r w:rsidRPr="002B2095">
        <w:rPr>
          <w:rStyle w:val="StyleUnderline"/>
          <w:highlight w:val="green"/>
        </w:rPr>
        <w:t>carrying on</w:t>
      </w:r>
      <w:r w:rsidRPr="00A710BF">
        <w:rPr>
          <w:rStyle w:val="StyleUnderline"/>
        </w:rPr>
        <w:t xml:space="preserve"> this campaign </w:t>
      </w:r>
      <w:r w:rsidRPr="002B2095">
        <w:rPr>
          <w:rStyle w:val="StyleUnderline"/>
          <w:highlight w:val="green"/>
        </w:rPr>
        <w:t>in plain sight</w:t>
      </w:r>
      <w:r w:rsidRPr="00A710BF">
        <w:rPr>
          <w:rStyle w:val="StyleUnderline"/>
        </w:rPr>
        <w:t xml:space="preserve"> may be the most damning aspect: </w:t>
      </w:r>
      <w:r w:rsidRPr="002B2095">
        <w:rPr>
          <w:rStyle w:val="Emphasis"/>
          <w:highlight w:val="green"/>
        </w:rPr>
        <w:t>Union busting is illegal, but consequences are inconsequential</w:t>
      </w:r>
      <w:r w:rsidRPr="00A710BF">
        <w:rPr>
          <w:sz w:val="16"/>
        </w:rPr>
        <w:t xml:space="preserve"> </w:t>
      </w:r>
      <w:r w:rsidRPr="00A710BF">
        <w:rPr>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A710BF">
        <w:rPr>
          <w:rStyle w:val="Emphasis"/>
          <w:sz w:val="12"/>
          <w:szCs w:val="12"/>
        </w:rPr>
        <w:t xml:space="preserve"> </w:t>
      </w:r>
      <w:r w:rsidRPr="00A710BF">
        <w:rPr>
          <w:sz w:val="12"/>
          <w:szCs w:val="12"/>
        </w:rPr>
        <w:t>busting</w:t>
      </w:r>
      <w:r w:rsidRPr="00A710BF">
        <w:rPr>
          <w:rStyle w:val="Emphasis"/>
          <w:sz w:val="12"/>
          <w:szCs w:val="12"/>
        </w:rPr>
        <w:t xml:space="preserve"> </w:t>
      </w:r>
      <w:r w:rsidRPr="00A710BF">
        <w:rPr>
          <w:sz w:val="12"/>
          <w:szCs w:val="12"/>
        </w:rPr>
        <w:t>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thousands of workers who want a voice and a collective agreement do not get one (Logan 2022d; Brisack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lawyers have played a central role in the campaign to crush worker organizing (Logan 2022b; Wise and Iafolla 2023).</w:t>
      </w:r>
      <w:r w:rsidRPr="00A710BF">
        <w:rPr>
          <w:sz w:val="16"/>
        </w:rPr>
        <w:t xml:space="preserve"> </w:t>
      </w:r>
      <w:r w:rsidRPr="00A710BF">
        <w:rPr>
          <w:rStyle w:val="StyleUnderline"/>
        </w:rPr>
        <w:t xml:space="preserve">In 2023, </w:t>
      </w:r>
      <w:r w:rsidRPr="00A710BF">
        <w:rPr>
          <w:rStyle w:val="Emphasis"/>
        </w:rPr>
        <w:t>a federal court ruled that Starbucks corporate must comply with a DOL subpoena</w:t>
      </w:r>
      <w:r w:rsidRPr="00A710BF">
        <w:rPr>
          <w:rStyle w:val="StyleUnderline"/>
        </w:rPr>
        <w:t xml:space="preserve"> seeking documents for an investigation into money spent to suppress worker organizing</w:t>
      </w:r>
      <w:r w:rsidRPr="00A710BF">
        <w:rPr>
          <w:sz w:val="16"/>
        </w:rPr>
        <w:t xml:space="preserve"> (DOL 2023; Jamieson 2024). </w:t>
      </w:r>
      <w:r w:rsidRPr="00A710BF">
        <w:rPr>
          <w:rStyle w:val="Emphasis"/>
        </w:rPr>
        <w:t>To date, Starbucks has failed to hand over any documents.</w:t>
      </w:r>
      <w:r w:rsidRPr="00A710BF">
        <w:rPr>
          <w:sz w:val="16"/>
        </w:rPr>
        <w:t xml:space="preserve"> </w:t>
      </w:r>
      <w:r w:rsidRPr="00A710BF">
        <w:rPr>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2B2095">
        <w:rPr>
          <w:rStyle w:val="Emphasis"/>
          <w:highlight w:val="green"/>
        </w:rPr>
        <w:t>this quiet fading</w:t>
      </w:r>
      <w:r w:rsidRPr="00A710BF">
        <w:rPr>
          <w:rStyle w:val="StyleUnderline"/>
        </w:rPr>
        <w:t xml:space="preserve">,” concludes Stack, “engineered by a company with time and money to burn, </w:t>
      </w:r>
      <w:r w:rsidRPr="002B2095">
        <w:rPr>
          <w:rStyle w:val="Emphasis"/>
          <w:highlight w:val="green"/>
        </w:rPr>
        <w:t>is how the union dies</w:t>
      </w:r>
      <w:r w:rsidRPr="00A710BF">
        <w:rPr>
          <w:sz w:val="16"/>
        </w:rPr>
        <w:t xml:space="preserve">” </w:t>
      </w:r>
      <w:r w:rsidRPr="00A710BF">
        <w:rPr>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A710BF">
        <w:rPr>
          <w:rStyle w:val="Emphasis"/>
          <w:sz w:val="12"/>
          <w:szCs w:val="12"/>
        </w:rPr>
        <w:t xml:space="preserve"> </w:t>
      </w:r>
      <w:r w:rsidRPr="00A710BF">
        <w:rPr>
          <w:sz w:val="12"/>
          <w:szCs w:val="12"/>
        </w:rPr>
        <w:t>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(Hadero 2024b). More anti-union storm clouds approaching</w:t>
      </w:r>
      <w:r w:rsidRPr="00A710BF">
        <w:rPr>
          <w:rStyle w:val="Emphasis"/>
          <w:sz w:val="12"/>
          <w:szCs w:val="12"/>
        </w:rPr>
        <w:t xml:space="preserve"> </w:t>
      </w:r>
      <w:r w:rsidRPr="00A710BF">
        <w:rPr>
          <w:sz w:val="12"/>
          <w:szCs w:val="12"/>
        </w:rPr>
        <w:t>In a further indication that things are moving decisively in the wrong direction, the union filed dozens of new ULP charges against Starbucks in January 2025, the first since the February agreement (Hadero 2024b).</w:t>
      </w:r>
      <w:r w:rsidRPr="00A710BF">
        <w:rPr>
          <w:sz w:val="16"/>
        </w:rPr>
        <w:t xml:space="preserve"> </w:t>
      </w:r>
      <w:r w:rsidRPr="00A710BF">
        <w:rPr>
          <w:rStyle w:val="Emphasis"/>
        </w:rPr>
        <w:t>Moreover, even after announcing its union detente, Starbucks has continued to contest NLRB decisions on its unlawful behavior:</w:t>
      </w:r>
      <w:r w:rsidRPr="00A710BF">
        <w:rPr>
          <w:rStyle w:val="StyleUnderline"/>
        </w:rPr>
        <w:t xml:space="preserve"> Littler Mendelson lawyers have appealed cases all the way to the Supreme Court to try to further weaken workers’ right to organize </w:t>
      </w:r>
      <w:r w:rsidRPr="00A710BF">
        <w:rPr>
          <w:sz w:val="12"/>
          <w:szCs w:val="12"/>
        </w:rPr>
        <w:t>(Brisack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A710BF">
        <w:rPr>
          <w:sz w:val="16"/>
        </w:rPr>
        <w:t xml:space="preserve"> </w:t>
      </w:r>
      <w:r w:rsidRPr="00A710BF">
        <w:rPr>
          <w:rStyle w:val="Emphasis"/>
        </w:rPr>
        <w:t xml:space="preserve">Amazon: Two years and nine months without a collective bargaining agreement </w:t>
      </w:r>
      <w:r w:rsidRPr="002B2095">
        <w:rPr>
          <w:rStyle w:val="StyleUnderline"/>
          <w:highlight w:val="green"/>
        </w:rPr>
        <w:t>Amazon workers</w:t>
      </w:r>
      <w:r w:rsidRPr="00A710BF">
        <w:rPr>
          <w:rStyle w:val="StyleUnderline"/>
        </w:rPr>
        <w:t xml:space="preserve"> at </w:t>
      </w:r>
      <w:r w:rsidRPr="00E83A4D">
        <w:rPr>
          <w:rStyle w:val="StyleUnderline"/>
        </w:rPr>
        <w:t>JFK8 in Staten Island, NY,</w:t>
      </w:r>
      <w:r w:rsidRPr="002B2095">
        <w:rPr>
          <w:rStyle w:val="StyleUnderline"/>
          <w:highlight w:val="green"/>
        </w:rPr>
        <w:t xml:space="preserve"> voted to form</w:t>
      </w:r>
      <w:r w:rsidRPr="00A710BF">
        <w:rPr>
          <w:rStyle w:val="StyleUnderline"/>
        </w:rPr>
        <w:t xml:space="preserve"> the independent </w:t>
      </w:r>
      <w:r w:rsidRPr="002B2095">
        <w:rPr>
          <w:rStyle w:val="StyleUnderline"/>
          <w:highlight w:val="green"/>
        </w:rPr>
        <w:t xml:space="preserve">Amazon </w:t>
      </w:r>
      <w:r w:rsidRPr="00E83A4D">
        <w:rPr>
          <w:rStyle w:val="StyleUnderline"/>
        </w:rPr>
        <w:t xml:space="preserve">Labor </w:t>
      </w:r>
      <w:r w:rsidRPr="002B2095">
        <w:rPr>
          <w:rStyle w:val="StyleUnderline"/>
          <w:highlight w:val="green"/>
        </w:rPr>
        <w:t>Union</w:t>
      </w:r>
      <w:r w:rsidRPr="00A710BF">
        <w:rPr>
          <w:rStyle w:val="StyleUnderline"/>
        </w:rPr>
        <w:t xml:space="preserve"> (ALU) </w:t>
      </w:r>
      <w:r w:rsidRPr="002B2095">
        <w:rPr>
          <w:rStyle w:val="StyleUnderline"/>
          <w:highlight w:val="green"/>
        </w:rPr>
        <w:t>in</w:t>
      </w:r>
      <w:r w:rsidRPr="00A710BF">
        <w:rPr>
          <w:rStyle w:val="StyleUnderline"/>
        </w:rPr>
        <w:t xml:space="preserve"> April </w:t>
      </w:r>
      <w:r w:rsidRPr="002B2095">
        <w:rPr>
          <w:rStyle w:val="StyleUnderline"/>
          <w:highlight w:val="green"/>
        </w:rPr>
        <w:t>2022,</w:t>
      </w:r>
      <w:r w:rsidRPr="00A710BF">
        <w:rPr>
          <w:rStyle w:val="StyleUnderline"/>
        </w:rPr>
        <w:t xml:space="preserve"> </w:t>
      </w:r>
      <w:r w:rsidRPr="00A710BF">
        <w:rPr>
          <w:sz w:val="12"/>
          <w:szCs w:val="12"/>
        </w:rPr>
        <w:t xml:space="preserve">after going through a no-holds-barred anti-union campaign in which management’s messages were displayed everywhere at the workplace (Hadero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w:t>
      </w:r>
      <w:r w:rsidRPr="00A710BF">
        <w:rPr>
          <w:sz w:val="12"/>
          <w:szCs w:val="12"/>
        </w:rPr>
        <w:lastRenderedPageBreak/>
        <w:t xml:space="preserve">individual anti-union meetings. </w:t>
      </w:r>
      <w:r w:rsidRPr="00A710BF">
        <w:rPr>
          <w:rStyle w:val="StyleUnderline"/>
        </w:rPr>
        <w:t xml:space="preserve">Pro-union workers were fired, retaliated against, and harassed. However, despite their overwhelming “yes” vote, not only do the 8,000+ workers at Staten Island still not have a first agreement, but Amazon </w:t>
      </w:r>
      <w:r w:rsidRPr="002B2095">
        <w:rPr>
          <w:rStyle w:val="Emphasis"/>
          <w:highlight w:val="green"/>
        </w:rPr>
        <w:t>corporate has not</w:t>
      </w:r>
      <w:r w:rsidRPr="002B2095">
        <w:rPr>
          <w:rStyle w:val="StyleUnderline"/>
          <w:highlight w:val="green"/>
        </w:rPr>
        <w:t xml:space="preserve"> </w:t>
      </w:r>
      <w:r w:rsidRPr="00A710BF">
        <w:rPr>
          <w:rStyle w:val="StyleUnderline"/>
        </w:rPr>
        <w:t xml:space="preserve">yet </w:t>
      </w:r>
      <w:r w:rsidRPr="002B2095">
        <w:rPr>
          <w:rStyle w:val="Emphasis"/>
          <w:highlight w:val="green"/>
        </w:rPr>
        <w:t>recognized the</w:t>
      </w:r>
      <w:r w:rsidRPr="00A710BF">
        <w:rPr>
          <w:rStyle w:val="StyleUnderline"/>
        </w:rPr>
        <w:t xml:space="preserve"> legitimacy of their historic </w:t>
      </w:r>
      <w:r w:rsidRPr="002B2095">
        <w:rPr>
          <w:rStyle w:val="Emphasis"/>
          <w:highlight w:val="green"/>
        </w:rPr>
        <w:t>election</w:t>
      </w:r>
      <w:r w:rsidRPr="00A710BF">
        <w:rPr>
          <w:rStyle w:val="StyleUnderline"/>
        </w:rPr>
        <w:t xml:space="preserve"> victory </w:t>
      </w:r>
      <w:r w:rsidRPr="002B2095">
        <w:rPr>
          <w:rStyle w:val="Emphasis"/>
          <w:highlight w:val="green"/>
        </w:rPr>
        <w:t>and</w:t>
      </w:r>
      <w:r w:rsidRPr="00A710BF">
        <w:rPr>
          <w:rStyle w:val="StyleUnderline"/>
        </w:rPr>
        <w:t xml:space="preserve"> has </w:t>
      </w:r>
      <w:r w:rsidRPr="002B2095">
        <w:rPr>
          <w:rStyle w:val="Emphasis"/>
          <w:highlight w:val="green"/>
        </w:rPr>
        <w:t>said publicly</w:t>
      </w:r>
      <w:r w:rsidRPr="00A710BF">
        <w:rPr>
          <w:rStyle w:val="StyleUnderline"/>
        </w:rPr>
        <w:t xml:space="preserve"> that </w:t>
      </w:r>
      <w:r w:rsidRPr="002B2095">
        <w:rPr>
          <w:rStyle w:val="Emphasis"/>
          <w:highlight w:val="green"/>
        </w:rPr>
        <w:t>it will never</w:t>
      </w:r>
      <w:r w:rsidRPr="00A710BF">
        <w:rPr>
          <w:rStyle w:val="StyleUnderline"/>
        </w:rPr>
        <w:t xml:space="preserve"> do so</w:t>
      </w:r>
      <w:r w:rsidRPr="00A710BF">
        <w:t xml:space="preserve">. </w:t>
      </w:r>
      <w:r w:rsidRPr="00A710BF">
        <w:rPr>
          <w:sz w:val="12"/>
          <w:szCs w:val="12"/>
        </w:rPr>
        <w:t>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Hadero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Scheiber 2022). Breaking the law to break the union</w:t>
      </w:r>
      <w:r w:rsidRPr="00A710BF">
        <w:rPr>
          <w:rStyle w:val="Emphasis"/>
        </w:rPr>
        <w:t xml:space="preserve"> </w:t>
      </w:r>
      <w:r w:rsidRPr="002B2095">
        <w:rPr>
          <w:highlight w:val="green"/>
        </w:rPr>
        <w:t>A</w:t>
      </w:r>
      <w:r w:rsidRPr="002B2095">
        <w:rPr>
          <w:rStyle w:val="StyleUnderline"/>
          <w:highlight w:val="green"/>
        </w:rPr>
        <w:t>mazon</w:t>
      </w:r>
      <w:r w:rsidRPr="00A710BF">
        <w:rPr>
          <w:rStyle w:val="StyleUnderline"/>
        </w:rPr>
        <w:t xml:space="preserve">’s union busting has had a devastating impact on worker organizing. It </w:t>
      </w:r>
      <w:r w:rsidRPr="002B2095">
        <w:rPr>
          <w:rStyle w:val="StyleUnderline"/>
          <w:highlight w:val="green"/>
        </w:rPr>
        <w:t>has committed</w:t>
      </w:r>
      <w:r w:rsidRPr="00A710BF">
        <w:rPr>
          <w:rStyle w:val="StyleUnderline"/>
        </w:rPr>
        <w:t xml:space="preserve"> a torrent of ULPs at facilities around the country over the past three years. As of January 17, 2025, NLRB Regional offices had docketed nearly </w:t>
      </w:r>
      <w:r w:rsidRPr="002B2095">
        <w:rPr>
          <w:rStyle w:val="StyleUnderline"/>
          <w:highlight w:val="green"/>
        </w:rPr>
        <w:t>350</w:t>
      </w:r>
      <w:r w:rsidRPr="00A710BF">
        <w:rPr>
          <w:rStyle w:val="StyleUnderline"/>
        </w:rPr>
        <w:t xml:space="preserve"> open or settled </w:t>
      </w:r>
      <w:r w:rsidRPr="002B2095">
        <w:rPr>
          <w:rStyle w:val="StyleUnderline"/>
          <w:highlight w:val="green"/>
        </w:rPr>
        <w:t>unfair labor practice</w:t>
      </w:r>
      <w:r w:rsidRPr="00A710BF">
        <w:rPr>
          <w:rStyle w:val="StyleUnderline"/>
        </w:rPr>
        <w:t xml:space="preserve"> charge</w:t>
      </w:r>
      <w:r w:rsidRPr="002B2095">
        <w:rPr>
          <w:rStyle w:val="StyleUnderline"/>
          <w:highlight w:val="green"/>
        </w:rPr>
        <w:t>s</w:t>
      </w:r>
      <w:r w:rsidRPr="00A710BF">
        <w:rPr>
          <w:rStyle w:val="StyleUnderline"/>
        </w:rPr>
        <w:t xml:space="preserve"> against Amazon</w:t>
      </w:r>
      <w:r w:rsidRPr="00A710BF">
        <w:rPr>
          <w:sz w:val="16"/>
        </w:rPr>
        <w:t xml:space="preserve">, its subsidiaries, and its Delivery Service Partners (as joint employers) across 27 states (NLRB 2025b). </w:t>
      </w:r>
      <w:r w:rsidRPr="00A710BF">
        <w:rPr>
          <w:rStyle w:val="StyleUnderline"/>
        </w:rPr>
        <w:t>At a warehouse in Bessemer, AL, Amazon management committed such egregious anti-union practices that the NLRB twice overturned the election results and ordered rerun votes in 2021 and 2022</w:t>
      </w:r>
      <w:r w:rsidRPr="00A710BF">
        <w:rPr>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A710BF">
        <w:rPr>
          <w:rStyle w:val="StyleUnderline"/>
        </w:rPr>
        <w:t xml:space="preserve">Amazon </w:t>
      </w:r>
      <w:r w:rsidRPr="002B2095">
        <w:rPr>
          <w:rStyle w:val="StyleUnderline"/>
          <w:highlight w:val="green"/>
        </w:rPr>
        <w:t>CEO</w:t>
      </w:r>
      <w:r w:rsidRPr="00A710BF">
        <w:rPr>
          <w:rStyle w:val="StyleUnderline"/>
        </w:rPr>
        <w:t xml:space="preserve"> Andy Jassy has </w:t>
      </w:r>
      <w:r w:rsidRPr="002B2095">
        <w:rPr>
          <w:rStyle w:val="StyleUnderline"/>
          <w:highlight w:val="green"/>
        </w:rPr>
        <w:t>repeatedly violated federal law</w:t>
      </w:r>
      <w:r w:rsidRPr="00A710BF">
        <w:rPr>
          <w:rStyle w:val="StyleUnderline"/>
        </w:rPr>
        <w:t xml:space="preserve"> by making public statements </w:t>
      </w:r>
      <w:r w:rsidRPr="002B2095">
        <w:rPr>
          <w:rStyle w:val="StyleUnderline"/>
          <w:highlight w:val="green"/>
        </w:rPr>
        <w:t>misrepresenting</w:t>
      </w:r>
      <w:r w:rsidRPr="00A710BF">
        <w:rPr>
          <w:rStyle w:val="StyleUnderline"/>
        </w:rPr>
        <w:t xml:space="preserve"> employees’ </w:t>
      </w:r>
      <w:r w:rsidRPr="002B2095">
        <w:rPr>
          <w:rStyle w:val="StyleUnderline"/>
          <w:highlight w:val="green"/>
        </w:rPr>
        <w:t>rights</w:t>
      </w:r>
      <w:r w:rsidRPr="00A710BF">
        <w:rPr>
          <w:rStyle w:val="StyleUnderline"/>
        </w:rPr>
        <w:t xml:space="preserve"> by saying that, if they unionize, employees will lose their “direct relationship” with managers; that they would be less empowered because unions are slow and bureaucratic; and that they would be better off without a union</w:t>
      </w:r>
      <w:r w:rsidRPr="00A710BF">
        <w:t xml:space="preserve"> (</w:t>
      </w:r>
      <w:r w:rsidRPr="00A710BF">
        <w:rPr>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experts—“employee relations experts”—and frequently recruits from the same external firms who are dispatched to warehouses around the country wherever Amazon fears that workers might try to organize.</w:t>
      </w:r>
      <w:r w:rsidRPr="00A710BF">
        <w:t xml:space="preserve"> </w:t>
      </w:r>
      <w:r w:rsidRPr="00A710BF">
        <w:rPr>
          <w:sz w:val="12"/>
          <w:szCs w:val="12"/>
        </w:rPr>
        <w:t>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repeated the same legal arguments in response to NLRB charges (Greenhouse 2024a). The likelihood of the lawsuit winning may be beside the point; even this conservative Supreme Court seems likely to reject their extreme arguments.</w:t>
      </w:r>
      <w:r w:rsidRPr="00A710BF">
        <w:t xml:space="preserve"> </w:t>
      </w:r>
      <w:r w:rsidRPr="00A710BF">
        <w:rPr>
          <w:rStyle w:val="StyleUnderline"/>
        </w:rPr>
        <w:t xml:space="preserve">Rather, the lawsuit is a “nuisance lawsuit” on the part of vehemently anti-union corporations: </w:t>
      </w:r>
      <w:r w:rsidRPr="00A710BF">
        <w:rPr>
          <w:rStyle w:val="Emphasis"/>
        </w:rPr>
        <w:t>It takes time, energy, and resources for the chronically underfunded and understaffed NLRB to defend itself in front of the courts, making it even less well equipped to protect workers against unlawful anti-union acts.</w:t>
      </w:r>
      <w:r w:rsidRPr="00A710BF">
        <w:rPr>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A710BF">
        <w:rPr>
          <w:sz w:val="16"/>
          <w:szCs w:val="16"/>
        </w:rPr>
        <w:t>2025d). Through appeal, delay, obfuscation, and obstruction, Amazon can “win by losing” Amazon</w:t>
      </w:r>
      <w:r w:rsidRPr="00A710BF">
        <w:rPr>
          <w:sz w:val="16"/>
        </w:rPr>
        <w:t xml:space="preserve"> has zero intention of engaging in real good faith collective bargaining with representatives of the Staten Island workers (Gurley 2024b). </w:t>
      </w:r>
      <w:r w:rsidRPr="00A710BF">
        <w:rPr>
          <w:rStyle w:val="StyleUnderline"/>
        </w:rPr>
        <w:t xml:space="preserve">But </w:t>
      </w:r>
      <w:r w:rsidRPr="00A710BF">
        <w:rPr>
          <w:rStyle w:val="Emphasis"/>
        </w:rPr>
        <w:t>Amazon’s obstructionism</w:t>
      </w:r>
      <w:r w:rsidRPr="00A710BF">
        <w:rPr>
          <w:rStyle w:val="StyleUnderline"/>
        </w:rPr>
        <w:t xml:space="preserve"> is not simply about denying a collective bargaining agreement to these workers. Rather, it </w:t>
      </w:r>
      <w:r w:rsidRPr="00A710BF">
        <w:rPr>
          <w:rStyle w:val="Emphasis"/>
        </w:rPr>
        <w:t>is intended to send a signal to hundreds of thousands of other Amazon workers who might be considering trying to form a union</w:t>
      </w:r>
      <w:r w:rsidRPr="00A710BF">
        <w:rPr>
          <w:rStyle w:val="StyleUnderline"/>
        </w:rPr>
        <w:t>:</w:t>
      </w:r>
      <w:r w:rsidRPr="00A710BF">
        <w:rPr>
          <w:sz w:val="16"/>
        </w:rPr>
        <w:t xml:space="preserve"> The company will never stop fighting unionization, and even if you withstand a blistering Amazon anti-union campaign, the company and its scores of Morgan Lewis lawyers will do everything possible to make sure you never get a first collective agreement. </w:t>
      </w:r>
      <w:r w:rsidRPr="00A710BF">
        <w:rPr>
          <w:rStyle w:val="StyleUnderline"/>
        </w:rPr>
        <w:t xml:space="preserve">Thus, </w:t>
      </w:r>
      <w:r w:rsidRPr="002B2095">
        <w:rPr>
          <w:rStyle w:val="Emphasis"/>
          <w:sz w:val="26"/>
          <w:szCs w:val="26"/>
          <w:highlight w:val="green"/>
        </w:rPr>
        <w:t>even if you win an election, you will</w:t>
      </w:r>
      <w:r w:rsidRPr="00A710BF">
        <w:rPr>
          <w:rStyle w:val="StyleUnderline"/>
        </w:rPr>
        <w:t xml:space="preserve"> likely </w:t>
      </w:r>
      <w:r w:rsidRPr="002B2095">
        <w:rPr>
          <w:rStyle w:val="Emphasis"/>
          <w:sz w:val="26"/>
          <w:szCs w:val="26"/>
          <w:highlight w:val="green"/>
        </w:rPr>
        <w:t>lose in the end</w:t>
      </w:r>
      <w:r w:rsidRPr="002B2095">
        <w:rPr>
          <w:rStyle w:val="StyleUnderline"/>
          <w:sz w:val="26"/>
          <w:szCs w:val="26"/>
          <w:highlight w:val="green"/>
        </w:rPr>
        <w:t>,</w:t>
      </w:r>
      <w:r w:rsidRPr="002B2095">
        <w:rPr>
          <w:rStyle w:val="StyleUnderline"/>
          <w:highlight w:val="green"/>
        </w:rPr>
        <w:t xml:space="preserve"> </w:t>
      </w:r>
      <w:r w:rsidRPr="00A710BF">
        <w:rPr>
          <w:rStyle w:val="StyleUnderline"/>
        </w:rPr>
        <w:t xml:space="preserve">because </w:t>
      </w:r>
      <w:r w:rsidRPr="002B2095">
        <w:rPr>
          <w:rStyle w:val="StyleUnderline"/>
          <w:highlight w:val="green"/>
        </w:rPr>
        <w:t>by appealing every</w:t>
      </w:r>
      <w:r w:rsidRPr="00A710BF">
        <w:rPr>
          <w:rStyle w:val="StyleUnderline"/>
        </w:rPr>
        <w:t xml:space="preserve"> NLRB </w:t>
      </w:r>
      <w:r w:rsidRPr="002B2095">
        <w:rPr>
          <w:rStyle w:val="StyleUnderline"/>
          <w:highlight w:val="green"/>
        </w:rPr>
        <w:t>decision</w:t>
      </w:r>
      <w:r w:rsidRPr="00A710BF">
        <w:rPr>
          <w:rStyle w:val="StyleUnderline"/>
        </w:rPr>
        <w:t xml:space="preserve">, by </w:t>
      </w:r>
      <w:r w:rsidRPr="002B2095">
        <w:rPr>
          <w:rStyle w:val="StyleUnderline"/>
          <w:highlight w:val="green"/>
        </w:rPr>
        <w:t>delaying</w:t>
      </w:r>
      <w:r w:rsidRPr="00A710BF">
        <w:rPr>
          <w:rStyle w:val="StyleUnderline"/>
        </w:rPr>
        <w:t xml:space="preserve"> the legal processes at </w:t>
      </w:r>
      <w:r w:rsidRPr="002B2095">
        <w:rPr>
          <w:rStyle w:val="StyleUnderline"/>
          <w:highlight w:val="green"/>
        </w:rPr>
        <w:t xml:space="preserve">every opportunity, and </w:t>
      </w:r>
      <w:r w:rsidRPr="00A710BF">
        <w:rPr>
          <w:rStyle w:val="StyleUnderline"/>
        </w:rPr>
        <w:t xml:space="preserve">by </w:t>
      </w:r>
      <w:r w:rsidRPr="002B2095">
        <w:rPr>
          <w:rStyle w:val="StyleUnderline"/>
          <w:highlight w:val="green"/>
        </w:rPr>
        <w:t>refusing</w:t>
      </w:r>
      <w:r w:rsidRPr="00A710BF">
        <w:rPr>
          <w:rStyle w:val="StyleUnderline"/>
        </w:rPr>
        <w:t xml:space="preserve"> to recognize </w:t>
      </w:r>
      <w:r w:rsidRPr="002B2095">
        <w:rPr>
          <w:rStyle w:val="StyleUnderline"/>
          <w:highlight w:val="green"/>
        </w:rPr>
        <w:t>the legitimacy of the NLRB, Amazon can win by losing</w:t>
      </w:r>
      <w:r w:rsidRPr="00A710BF">
        <w:rPr>
          <w:rStyle w:val="StyleUnderline"/>
        </w:rPr>
        <w:t xml:space="preserve">. </w:t>
      </w:r>
      <w:r w:rsidRPr="00A710BF">
        <w:rPr>
          <w:sz w:val="16"/>
          <w:szCs w:val="16"/>
        </w:rPr>
        <w:t xml:space="preserve">It can dispute the outcome of elections, disrupt workers organizing, discriminate against activists, and discourage workers from trying to organize in the first place (Logan 2022d). Trader Joe’s: Two years and six months without a collective </w:t>
      </w:r>
      <w:r w:rsidRPr="00E83A4D">
        <w:rPr>
          <w:sz w:val="16"/>
          <w:szCs w:val="16"/>
        </w:rPr>
        <w:t>agreement</w:t>
      </w:r>
      <w:r w:rsidRPr="00E83A4D">
        <w:rPr>
          <w:rStyle w:val="Emphasis"/>
        </w:rPr>
        <w:t xml:space="preserve"> </w:t>
      </w:r>
      <w:r w:rsidRPr="00E83A4D">
        <w:rPr>
          <w:rStyle w:val="StyleUnderline"/>
        </w:rPr>
        <w:t>In July 2022</w:t>
      </w:r>
      <w:r w:rsidRPr="002B2095">
        <w:rPr>
          <w:rStyle w:val="StyleUnderline"/>
          <w:highlight w:val="green"/>
        </w:rPr>
        <w:t xml:space="preserve">, Trader Joe’s workers </w:t>
      </w:r>
      <w:r w:rsidRPr="00E83A4D">
        <w:rPr>
          <w:rStyle w:val="StyleUnderline"/>
        </w:rPr>
        <w:t>in South Hadley,</w:t>
      </w:r>
      <w:r w:rsidRPr="00A710BF">
        <w:rPr>
          <w:rStyle w:val="StyleUnderline"/>
        </w:rPr>
        <w:t xml:space="preserve"> </w:t>
      </w:r>
      <w:r w:rsidRPr="00E83A4D">
        <w:rPr>
          <w:rStyle w:val="StyleUnderline"/>
        </w:rPr>
        <w:t>MA</w:t>
      </w:r>
      <w:r w:rsidRPr="002B2095">
        <w:rPr>
          <w:rStyle w:val="StyleUnderline"/>
          <w:highlight w:val="green"/>
        </w:rPr>
        <w:t>, voted to form a</w:t>
      </w:r>
      <w:r w:rsidRPr="00A710BF">
        <w:rPr>
          <w:rStyle w:val="StyleUnderline"/>
        </w:rPr>
        <w:t xml:space="preserve">n independent </w:t>
      </w:r>
      <w:r w:rsidRPr="002B2095">
        <w:rPr>
          <w:rStyle w:val="StyleUnderline"/>
          <w:highlight w:val="green"/>
        </w:rPr>
        <w:t>union</w:t>
      </w:r>
      <w:r w:rsidRPr="00A710BF">
        <w:rPr>
          <w:rStyle w:val="StyleUnderline"/>
        </w:rPr>
        <w:t xml:space="preserve">, Trader Joe’s United. </w:t>
      </w:r>
      <w:r w:rsidRPr="00A710BF">
        <w:rPr>
          <w:rStyle w:val="StyleUnderline"/>
          <w:sz w:val="16"/>
          <w:szCs w:val="16"/>
          <w:u w:val="none"/>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A710BF">
        <w:rPr>
          <w:sz w:val="16"/>
        </w:rPr>
        <w:t xml:space="preserve"> (Silverstein 2024). Union busting from New York to Oakland Thus far, Trader Joe’s United has lost three NLRB elections, </w:t>
      </w:r>
      <w:r w:rsidRPr="00A710BF">
        <w:rPr>
          <w:sz w:val="16"/>
        </w:rPr>
        <w:lastRenderedPageBreak/>
        <w:t xml:space="preserve">one loss in New York City and two tied votes at stores in New York City and Chicago (Gurley 2024a). </w:t>
      </w:r>
      <w:r w:rsidRPr="00A710BF">
        <w:rPr>
          <w:rStyle w:val="StyleUnderline"/>
        </w:rPr>
        <w:t xml:space="preserve">At the New York City store, </w:t>
      </w:r>
      <w:r w:rsidRPr="00E83A4D">
        <w:rPr>
          <w:rStyle w:val="StyleUnderline"/>
        </w:rPr>
        <w:t xml:space="preserve">Trader Joe’s </w:t>
      </w:r>
      <w:r w:rsidRPr="002B2095">
        <w:rPr>
          <w:rStyle w:val="StyleUnderline"/>
          <w:highlight w:val="green"/>
        </w:rPr>
        <w:t>management</w:t>
      </w:r>
      <w:r w:rsidRPr="00A710BF">
        <w:rPr>
          <w:rStyle w:val="StyleUnderline"/>
        </w:rPr>
        <w:t xml:space="preserve"> allegedly </w:t>
      </w:r>
      <w:r w:rsidRPr="002B2095">
        <w:rPr>
          <w:rStyle w:val="StyleUnderline"/>
          <w:highlight w:val="green"/>
        </w:rPr>
        <w:t>fired a pro-union worker</w:t>
      </w:r>
      <w:r w:rsidRPr="00A710BF">
        <w:rPr>
          <w:rStyle w:val="StyleUnderline"/>
        </w:rPr>
        <w:t xml:space="preserve">;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w:t>
      </w:r>
      <w:r w:rsidRPr="002B2095">
        <w:rPr>
          <w:rStyle w:val="StyleUnderline"/>
          <w:highlight w:val="green"/>
        </w:rPr>
        <w:t>and required</w:t>
      </w:r>
      <w:r w:rsidRPr="00A710BF">
        <w:rPr>
          <w:rStyle w:val="StyleUnderline"/>
        </w:rPr>
        <w:t xml:space="preserve"> employees to attend </w:t>
      </w:r>
      <w:r w:rsidRPr="002B2095">
        <w:rPr>
          <w:rStyle w:val="StyleUnderline"/>
          <w:highlight w:val="green"/>
        </w:rPr>
        <w:t>one-on-one anti-union meetings</w:t>
      </w:r>
      <w:r w:rsidRPr="00A710BF">
        <w:rPr>
          <w:rStyle w:val="StyleUnderline"/>
        </w:rPr>
        <w:t xml:space="preserve"> with management</w:t>
      </w:r>
      <w:r w:rsidRPr="00A710BF">
        <w:rPr>
          <w:sz w:val="16"/>
        </w:rPr>
        <w:t xml:space="preserve"> (Zhang 2023; NLRB 2025a) . In response, the NLRB has sought a Cemex bargaining order at the store, which would force the company to bargain with the union (Sainato 2024). However, even if the NLRB wins its bargaining order bid, Trader Joe’s will appeal the case through the federal courts and conservative federal judges are unlikely to sustain such remedies. At the Chicago store, management is trying to prevent the count of a (pro-union) determinative ballot, which the NLRB hearing officer recommended be counted (</w:t>
      </w:r>
      <w:r w:rsidRPr="00E83A4D">
        <w:rPr>
          <w:sz w:val="16"/>
        </w:rPr>
        <w:t xml:space="preserve">NLRB 2025a). </w:t>
      </w:r>
      <w:r w:rsidRPr="00E83A4D">
        <w:rPr>
          <w:rStyle w:val="Emphasis"/>
          <w:sz w:val="26"/>
          <w:szCs w:val="26"/>
        </w:rPr>
        <w:t>Trader Joe’s</w:t>
      </w:r>
      <w:r w:rsidRPr="00E83A4D">
        <w:rPr>
          <w:rStyle w:val="StyleUnderline"/>
        </w:rPr>
        <w:t xml:space="preserve"> has</w:t>
      </w:r>
      <w:r w:rsidRPr="00A710BF">
        <w:rPr>
          <w:rStyle w:val="StyleUnderline"/>
        </w:rPr>
        <w:t xml:space="preserve"> </w:t>
      </w:r>
      <w:r w:rsidRPr="002B2095">
        <w:rPr>
          <w:rStyle w:val="Emphasis"/>
          <w:sz w:val="26"/>
          <w:szCs w:val="26"/>
          <w:highlight w:val="green"/>
        </w:rPr>
        <w:t>committed unlawful actions at almost every store</w:t>
      </w:r>
      <w:r w:rsidRPr="00A710BF">
        <w:rPr>
          <w:rStyle w:val="StyleUnderline"/>
        </w:rPr>
        <w:t xml:space="preserve"> at which </w:t>
      </w:r>
      <w:r w:rsidRPr="002B2095">
        <w:rPr>
          <w:rStyle w:val="Emphasis"/>
          <w:sz w:val="26"/>
          <w:szCs w:val="26"/>
          <w:highlight w:val="green"/>
        </w:rPr>
        <w:t>workers</w:t>
      </w:r>
      <w:r w:rsidRPr="00A710BF">
        <w:rPr>
          <w:rStyle w:val="StyleUnderline"/>
        </w:rPr>
        <w:t xml:space="preserve"> have </w:t>
      </w:r>
      <w:r w:rsidRPr="002B2095">
        <w:rPr>
          <w:rStyle w:val="Emphasis"/>
          <w:sz w:val="26"/>
          <w:szCs w:val="26"/>
          <w:highlight w:val="green"/>
        </w:rPr>
        <w:t>attempted to organize</w:t>
      </w:r>
      <w:r w:rsidRPr="00A710BF">
        <w:rPr>
          <w:rStyle w:val="StyleUnderline"/>
        </w:rPr>
        <w:t>. After the Hadley election, a federal labor board judge found that Trader Joe’s had “committed widespread legal violations” at its first unionized location</w:t>
      </w:r>
      <w:r w:rsidRPr="00A710BF">
        <w:t xml:space="preserve"> </w:t>
      </w:r>
      <w:r w:rsidRPr="00A710BF">
        <w:rPr>
          <w:sz w:val="12"/>
          <w:szCs w:val="12"/>
        </w:rPr>
        <w:t>(Purifoy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A710BF">
        <w:rPr>
          <w:rStyle w:val="Emphasis"/>
          <w:sz w:val="12"/>
          <w:szCs w:val="12"/>
        </w:rPr>
        <w:t xml:space="preserve"> </w:t>
      </w:r>
      <w:r w:rsidRPr="00A710BF">
        <w:rPr>
          <w:sz w:val="12"/>
          <w:szCs w:val="12"/>
        </w:rPr>
        <w:t>Despite voting to unionize over two years ago, none of the workers at the four Trader Joe’s stores have a first contract. Trader Joe’s initially hired Littler Mendelson, but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A710BF">
        <w:rPr>
          <w:rStyle w:val="Emphasis"/>
          <w:sz w:val="12"/>
          <w:szCs w:val="12"/>
        </w:rPr>
        <w:t xml:space="preserve"> </w:t>
      </w:r>
      <w:r w:rsidRPr="00A710BF">
        <w:rPr>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A710BF">
        <w:rPr>
          <w:rStyle w:val="StyleUnderline"/>
          <w:sz w:val="12"/>
          <w:szCs w:val="12"/>
          <w:u w:val="none"/>
        </w:rPr>
        <w:t>Now, the sessions are, by design, unproductive and often pointless. The company has made clear that it can engage in superficial bargaining for as long as it takes.</w:t>
      </w:r>
      <w:r w:rsidRPr="00A710BF">
        <w:rPr>
          <w:sz w:val="12"/>
          <w:szCs w:val="12"/>
        </w:rPr>
        <w:t xml:space="preserve"> At the start of the organizing campaign, the atmosphere among workers was joyous and hopeful. </w:t>
      </w:r>
      <w:r w:rsidRPr="00A710BF">
        <w:rPr>
          <w:rStyle w:val="StyleUnderline"/>
          <w:sz w:val="12"/>
          <w:szCs w:val="12"/>
          <w:u w:val="none"/>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A710BF">
        <w:rPr>
          <w:sz w:val="12"/>
          <w:szCs w:val="12"/>
        </w:rPr>
        <w:t xml:space="preserve">. It is unsurprising that winning union elections at stores has proven challenging and that the once dynamic organizing campaign has stalled for the past 18 months. </w:t>
      </w:r>
      <w:r w:rsidRPr="00A710BF">
        <w:rPr>
          <w:rStyle w:val="StyleUnderline"/>
          <w:sz w:val="12"/>
          <w:szCs w:val="12"/>
          <w:u w:val="none"/>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A710BF">
        <w:rPr>
          <w:sz w:val="12"/>
          <w:szCs w:val="12"/>
        </w:rPr>
        <w:t xml:space="preserve"> It demonstrates how corporations have stifled the worker-led organizing wave of the past three years.</w:t>
      </w:r>
      <w:r w:rsidRPr="00A710BF">
        <w:t xml:space="preserve"> Conclusion </w:t>
      </w:r>
      <w:r w:rsidRPr="00A710BF">
        <w:rPr>
          <w:rStyle w:val="Emphasis"/>
        </w:rPr>
        <w:t xml:space="preserve">Corporations have adopted Starbucks’, Amazon’s, and Trader Joe’s’ unlawful anti-union playbook </w:t>
      </w:r>
      <w:r w:rsidRPr="00A710BF">
        <w:rPr>
          <w:rStyle w:val="StyleUnderline"/>
        </w:rPr>
        <w:t xml:space="preserve">Across the country, </w:t>
      </w:r>
      <w:r w:rsidRPr="002B2095">
        <w:rPr>
          <w:rStyle w:val="StyleUnderline"/>
          <w:highlight w:val="green"/>
        </w:rPr>
        <w:t>companies</w:t>
      </w:r>
      <w:r w:rsidRPr="00A710BF">
        <w:rPr>
          <w:rStyle w:val="StyleUnderline"/>
        </w:rPr>
        <w:t xml:space="preserve"> have </w:t>
      </w:r>
      <w:r w:rsidRPr="002B2095">
        <w:rPr>
          <w:rStyle w:val="StyleUnderline"/>
          <w:highlight w:val="green"/>
        </w:rPr>
        <w:t>adopted the same</w:t>
      </w:r>
      <w:r w:rsidRPr="00A710BF">
        <w:rPr>
          <w:rStyle w:val="StyleUnderline"/>
        </w:rPr>
        <w:t xml:space="preserve"> basic anti-union </w:t>
      </w:r>
      <w:r w:rsidRPr="002B2095">
        <w:rPr>
          <w:rStyle w:val="StyleUnderline"/>
          <w:highlight w:val="green"/>
        </w:rPr>
        <w:t>playbook</w:t>
      </w:r>
      <w:r w:rsidRPr="00E83A4D">
        <w:rPr>
          <w:rStyle w:val="StyleUnderline"/>
        </w:rPr>
        <w:t>; the only difference is that,</w:t>
      </w:r>
      <w:r w:rsidRPr="00A710BF">
        <w:rPr>
          <w:rStyle w:val="StyleUnderline"/>
        </w:rPr>
        <w:t xml:space="preserve"> unlike Amazon, Starbucks, and Trader Joe’s, </w:t>
      </w:r>
      <w:r w:rsidRPr="002B2095">
        <w:rPr>
          <w:rStyle w:val="StyleUnderline"/>
          <w:highlight w:val="green"/>
        </w:rPr>
        <w:t xml:space="preserve">they are not household names </w:t>
      </w:r>
      <w:r w:rsidRPr="00A710BF">
        <w:rPr>
          <w:rStyle w:val="StyleUnderline"/>
        </w:rPr>
        <w:t>and thus their systematic violations of workers’ rights rarely attract media coverage</w:t>
      </w:r>
      <w:r w:rsidRPr="00A710BF">
        <w:t xml:space="preserve"> (Logan 2021c). Prior to the high-profile organizing campaigns of the last three years, </w:t>
      </w:r>
      <w:r w:rsidRPr="002B2095">
        <w:rPr>
          <w:rStyle w:val="StyleUnderline"/>
          <w:highlight w:val="green"/>
        </w:rPr>
        <w:t>corporate America</w:t>
      </w:r>
      <w:r w:rsidRPr="00A710BF">
        <w:rPr>
          <w:rStyle w:val="StyleUnderline"/>
        </w:rPr>
        <w:t xml:space="preserve">’s efforts to </w:t>
      </w:r>
      <w:r w:rsidRPr="002B2095">
        <w:rPr>
          <w:rStyle w:val="StyleUnderline"/>
          <w:highlight w:val="green"/>
        </w:rPr>
        <w:t>destroy workers’</w:t>
      </w:r>
      <w:r w:rsidRPr="00A710BF">
        <w:rPr>
          <w:rStyle w:val="StyleUnderline"/>
        </w:rPr>
        <w:t xml:space="preserve"> </w:t>
      </w:r>
      <w:r w:rsidRPr="002B2095">
        <w:rPr>
          <w:rStyle w:val="StyleUnderline"/>
          <w:highlight w:val="green"/>
        </w:rPr>
        <w:t>right to</w:t>
      </w:r>
      <w:r w:rsidRPr="00A710BF">
        <w:rPr>
          <w:rStyle w:val="StyleUnderline"/>
        </w:rPr>
        <w:t xml:space="preserve"> choose unions and </w:t>
      </w:r>
      <w:r w:rsidRPr="002B2095">
        <w:rPr>
          <w:rStyle w:val="StyleUnderline"/>
          <w:highlight w:val="green"/>
        </w:rPr>
        <w:t>bargain collectively</w:t>
      </w:r>
      <w:r w:rsidRPr="00A710BF">
        <w:rPr>
          <w:rStyle w:val="StyleUnderline"/>
        </w:rPr>
        <w:t xml:space="preserve"> was largely a hidden crisis, one which happened </w:t>
      </w:r>
      <w:r w:rsidRPr="002B2095">
        <w:rPr>
          <w:rStyle w:val="StyleUnderline"/>
          <w:highlight w:val="green"/>
        </w:rPr>
        <w:t>behind closed doors</w:t>
      </w:r>
      <w:r w:rsidRPr="00A710BF">
        <w:rPr>
          <w:rStyle w:val="StyleUnderline"/>
        </w:rPr>
        <w:t>, without public knowledge or understanding</w:t>
      </w:r>
      <w:r w:rsidRPr="00A710BF">
        <w:t xml:space="preserve">. </w:t>
      </w:r>
      <w:r w:rsidRPr="00A710BF">
        <w:rPr>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A710BF">
        <w:rPr>
          <w:rStyle w:val="StyleUnderline"/>
          <w:sz w:val="12"/>
          <w:szCs w:val="12"/>
          <w:u w:val="none"/>
        </w:rPr>
        <w:t>But national political developments likely mean we are further away than ever from passing legislation to prevent corporate domination of the process of union recognition</w:t>
      </w:r>
      <w:r w:rsidRPr="00A710BF">
        <w:rPr>
          <w:sz w:val="12"/>
          <w:szCs w:val="12"/>
        </w:rPr>
        <w:t xml:space="preserve"> (Peck 2024). </w:t>
      </w:r>
      <w:r w:rsidRPr="00A710BF">
        <w:rPr>
          <w:rStyle w:val="StyleUnderline"/>
          <w:sz w:val="12"/>
          <w:szCs w:val="12"/>
          <w:u w:val="none"/>
        </w:rPr>
        <w:t>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The violation of workers’ right to choose a union and bargain collectively is not due to a “few bad apples”</w:t>
      </w:r>
      <w:r w:rsidRPr="00A710BF">
        <w:rPr>
          <w:sz w:val="12"/>
          <w:szCs w:val="12"/>
        </w:rPr>
        <w:t xml:space="preserve"> (Logan 2012). Corporate hostility to workers’ rights is endemic in U.S. labor relations: </w:t>
      </w:r>
      <w:r w:rsidRPr="00A710BF">
        <w:rPr>
          <w:rStyle w:val="StyleUnderline"/>
          <w:sz w:val="12"/>
          <w:szCs w:val="12"/>
          <w:u w:val="none"/>
        </w:rPr>
        <w:t>Nearly all corporations, no matter how progressive their reputations, will do almost anything, lawful or unlawful, to crush workers’ attempts to form a union</w:t>
      </w:r>
      <w:r w:rsidRPr="00A710BF">
        <w:rPr>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rsidRPr="00A710BF">
        <w:t xml:space="preserve"> </w:t>
      </w:r>
      <w:r w:rsidRPr="00A710BF">
        <w:rPr>
          <w:rStyle w:val="Emphasis"/>
        </w:rPr>
        <w:t>To loosen corporations’ stranglehold over the system whereby workers get union representation, we must drastically reduce, if not eliminate, corporations’ ability to frighten workers during organizing and bargaining</w:t>
      </w:r>
      <w:r w:rsidRPr="00A710BF">
        <w:t xml:space="preserve"> (</w:t>
      </w:r>
      <w:r w:rsidRPr="00A710BF">
        <w:rPr>
          <w:sz w:val="16"/>
          <w:szCs w:val="16"/>
        </w:rPr>
        <w:t>Logan 2012). Wealthy corporations exploit and abuse the current NLRB system The NLRA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A710BF">
        <w:t xml:space="preserve"> </w:t>
      </w:r>
      <w:r w:rsidRPr="002B2095">
        <w:rPr>
          <w:rStyle w:val="Emphasis"/>
          <w:sz w:val="26"/>
          <w:szCs w:val="26"/>
          <w:highlight w:val="green"/>
        </w:rPr>
        <w:t>The weak remedies of the NLRA—limited to remedial rather than</w:t>
      </w:r>
      <w:r w:rsidRPr="00A710BF">
        <w:rPr>
          <w:rStyle w:val="Emphasis"/>
        </w:rPr>
        <w:t xml:space="preserve"> punitive </w:t>
      </w:r>
      <w:r w:rsidRPr="002B2095">
        <w:rPr>
          <w:rStyle w:val="Emphasis"/>
          <w:sz w:val="26"/>
          <w:szCs w:val="26"/>
          <w:highlight w:val="green"/>
        </w:rPr>
        <w:t>penalties—do not deter</w:t>
      </w:r>
      <w:r w:rsidRPr="00A710BF">
        <w:rPr>
          <w:rStyle w:val="Emphasis"/>
        </w:rPr>
        <w:t xml:space="preserve"> wealthy </w:t>
      </w:r>
      <w:r w:rsidRPr="002B2095">
        <w:rPr>
          <w:rStyle w:val="Emphasis"/>
          <w:sz w:val="26"/>
          <w:szCs w:val="26"/>
          <w:highlight w:val="green"/>
        </w:rPr>
        <w:t>corporations</w:t>
      </w:r>
      <w:r w:rsidRPr="00A710BF">
        <w:rPr>
          <w:rStyle w:val="Emphasis"/>
        </w:rPr>
        <w:t xml:space="preserve"> from breaking the law </w:t>
      </w:r>
      <w:r w:rsidRPr="00A710BF">
        <w:t>(</w:t>
      </w:r>
      <w:r w:rsidRPr="00A710BF">
        <w:rPr>
          <w:sz w:val="16"/>
          <w:szCs w:val="16"/>
        </w:rPr>
        <w:t xml:space="preserve">McNicholas et al. 2021). There has been a significant increase in unfair labor practices over the past three years (NLRB 2023). But the real problem is that the current system of union representation permits aggressive corporate opposition that is </w:t>
      </w:r>
      <w:r w:rsidRPr="00A710BF">
        <w:rPr>
          <w:sz w:val="16"/>
          <w:szCs w:val="16"/>
        </w:rPr>
        <w:lastRenderedPageBreak/>
        <w:t>currently within the law—bombarding workers with anti-union propaganda, delaying organizing, and bargaining for years—but that nevertheless undermines worker organizing.</w:t>
      </w:r>
      <w:r w:rsidRPr="00A710BF">
        <w:t xml:space="preserve"> </w:t>
      </w:r>
      <w:r w:rsidRPr="00A710BF">
        <w:rPr>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A710BF">
        <w:rPr>
          <w:sz w:val="14"/>
        </w:rPr>
        <w:t xml:space="preserve">. </w:t>
      </w:r>
      <w:r w:rsidRPr="00A710BF">
        <w:rPr>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A710BF">
        <w:rPr>
          <w:sz w:val="14"/>
        </w:rPr>
        <w:t xml:space="preserve"> </w:t>
      </w:r>
      <w:r w:rsidRPr="00A710BF">
        <w:rPr>
          <w:rStyle w:val="Emphasis"/>
        </w:rPr>
        <w:t xml:space="preserve">Crime pays great dividends, as it produces the desired chilling effect on worker organizing </w:t>
      </w:r>
      <w:r w:rsidRPr="00A710BF">
        <w:rPr>
          <w:rStyle w:val="StyleUnderline"/>
        </w:rPr>
        <w:t>and as corporations consider the law’s paltry sanctions an insignificant price to pay to prevent unionization through fear and disruption</w:t>
      </w:r>
      <w:r w:rsidRPr="00A710BF">
        <w:rPr>
          <w:sz w:val="14"/>
        </w:rPr>
        <w:t xml:space="preserve"> (Sumagaysay and Kuang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A710BF">
        <w:rPr>
          <w:rStyle w:val="StyleUnderline"/>
        </w:rPr>
        <w:t>It’s virtually impossible for workers to get a first contract at a powerful corporation that is prepared to fight to the death and absent stronger labor laws, union density will inevitably continue to decline</w:t>
      </w:r>
      <w:r w:rsidRPr="00A710BF">
        <w:rPr>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A710BF">
        <w:rPr>
          <w:rStyle w:val="Emphasis"/>
        </w:rPr>
        <w:t>Workers must feel free to say to their bosses, “We are forming a union,” and not fear retaliation;</w:t>
      </w:r>
      <w:r w:rsidRPr="00A710BF">
        <w:rPr>
          <w:rStyle w:val="StyleUnderline"/>
        </w:rPr>
        <w:t xml:space="preserve"> only then will the right to organize exist in practice, not just on paper. And only then will workers get the unions and collective agreements they want</w:t>
      </w:r>
      <w:r w:rsidRPr="00A710BF">
        <w:t xml:space="preserve"> (Rosenbaum 2022).</w:t>
      </w:r>
    </w:p>
    <w:p w14:paraId="25184595" w14:textId="77777777" w:rsidR="00365070" w:rsidRPr="00A710BF" w:rsidRDefault="00365070" w:rsidP="00365070">
      <w:pPr>
        <w:pStyle w:val="Heading4"/>
        <w:rPr>
          <w:rFonts w:cs="Calibri"/>
        </w:rPr>
      </w:pPr>
      <w:r w:rsidRPr="00A710BF">
        <w:rPr>
          <w:rFonts w:cs="Calibri"/>
        </w:rPr>
        <w:t>Authoritarianism fills the power vacuum made through the displacement of Labor’s influence – a strong labor force is necessary to fight</w:t>
      </w:r>
    </w:p>
    <w:p w14:paraId="2F323095" w14:textId="77777777" w:rsidR="00365070" w:rsidRPr="00A710BF" w:rsidRDefault="00365070" w:rsidP="00365070">
      <w:pPr>
        <w:rPr>
          <w:sz w:val="16"/>
          <w:szCs w:val="16"/>
        </w:rPr>
      </w:pPr>
      <w:r w:rsidRPr="00CE30D3">
        <w:rPr>
          <w:rStyle w:val="Style13ptBold"/>
        </w:rPr>
        <w:t>Waters 18</w:t>
      </w:r>
      <w:r w:rsidRPr="00A710BF">
        <w:t xml:space="preserve"> </w:t>
      </w:r>
      <w:r w:rsidRPr="00A710BF">
        <w:rPr>
          <w:sz w:val="16"/>
          <w:szCs w:val="16"/>
        </w:rPr>
        <w:t xml:space="preserve">(Anita Waters is an Ohio activist and academic. She is Professor Emerita sociology/anthropology at Denison University, Granville, Ohio. “Stop blaming workers for the rise of authoritarianism,” </w:t>
      </w:r>
      <w:r w:rsidRPr="00A710BF">
        <w:rPr>
          <w:i/>
          <w:iCs/>
          <w:sz w:val="16"/>
          <w:szCs w:val="16"/>
        </w:rPr>
        <w:t>CPUSA</w:t>
      </w:r>
      <w:r w:rsidRPr="00A710BF">
        <w:rPr>
          <w:sz w:val="16"/>
          <w:szCs w:val="16"/>
        </w:rPr>
        <w:t>, 09/10/2018, https://www.cpusa.org/article/stop-blaming-workers-for-the-rise-of-authoritarianism/) CT</w:t>
      </w:r>
    </w:p>
    <w:p w14:paraId="337E9A99" w14:textId="77777777" w:rsidR="00365070" w:rsidRPr="00A710BF" w:rsidRDefault="00365070" w:rsidP="00365070">
      <w:pPr>
        <w:rPr>
          <w:rStyle w:val="Emphasis"/>
        </w:rPr>
      </w:pPr>
      <w:r w:rsidRPr="00A710BF">
        <w:rPr>
          <w:rStyle w:val="StyleUnderline"/>
        </w:rPr>
        <w:t xml:space="preserve">The search </w:t>
      </w:r>
      <w:r w:rsidRPr="00E83A4D">
        <w:rPr>
          <w:rStyle w:val="StyleUnderline"/>
        </w:rPr>
        <w:t xml:space="preserve">for </w:t>
      </w:r>
      <w:r w:rsidRPr="00E83A4D">
        <w:rPr>
          <w:rStyle w:val="Emphasis"/>
        </w:rPr>
        <w:t>explanations of</w:t>
      </w:r>
      <w:r w:rsidRPr="00E83A4D">
        <w:rPr>
          <w:rStyle w:val="StyleUnderline"/>
        </w:rPr>
        <w:t xml:space="preserve"> our</w:t>
      </w:r>
      <w:r w:rsidRPr="00A710BF">
        <w:rPr>
          <w:rStyle w:val="StyleUnderline"/>
        </w:rPr>
        <w:t xml:space="preserve"> current </w:t>
      </w:r>
      <w:r w:rsidRPr="002B2095">
        <w:rPr>
          <w:rStyle w:val="Emphasis"/>
          <w:highlight w:val="green"/>
        </w:rPr>
        <w:t>political climate</w:t>
      </w:r>
      <w:r w:rsidRPr="00A710BF">
        <w:rPr>
          <w:sz w:val="16"/>
        </w:rPr>
        <w:t xml:space="preserve">, especially the rise of nationalists like Marine LePen in France, Narendra Modi in India, and our own president in the United States, </w:t>
      </w:r>
      <w:r w:rsidRPr="00A710BF">
        <w:rPr>
          <w:rStyle w:val="StyleUnderline"/>
        </w:rPr>
        <w:t xml:space="preserve">has led pundits to </w:t>
      </w:r>
      <w:r w:rsidRPr="002B2095">
        <w:rPr>
          <w:rStyle w:val="Emphasis"/>
          <w:highlight w:val="green"/>
        </w:rPr>
        <w:t>return to</w:t>
      </w:r>
      <w:r w:rsidRPr="00A710BF">
        <w:rPr>
          <w:rStyle w:val="StyleUnderline"/>
        </w:rPr>
        <w:t xml:space="preserve"> the concept of “</w:t>
      </w:r>
      <w:r w:rsidRPr="002B2095">
        <w:rPr>
          <w:rStyle w:val="Emphasis"/>
          <w:highlight w:val="green"/>
        </w:rPr>
        <w:t>authoritarian” tendencies</w:t>
      </w:r>
      <w:r w:rsidRPr="00A710BF">
        <w:rPr>
          <w:rStyle w:val="StyleUnderline"/>
        </w:rPr>
        <w:t xml:space="preserve"> as a psychological phenomenon. </w:t>
      </w:r>
      <w:r w:rsidRPr="00A710BF">
        <w:rPr>
          <w:sz w:val="10"/>
          <w:szCs w:val="10"/>
        </w:rPr>
        <w:t>Insidiously and misleadingly, these tendencies are often said to be associated with the working class. A case in point is the way recent articles blame working class Americans for Trump’s 2016 victory. Researchers at the London Business School for example claim that “economic hardship” and “feelings of powerlessness” lead people to support authoritarian leaders, including Trump. Other psychologists go “inside the minds of hardcore Trump supporters” and find that “authoritarian aggression” is prevalent there. The concept of the “authoritarian personality” originated with German intellectual Theodor Adorno, and for him it was associated more with child-rearing methods than economic class. Adorno was a refugee from the Nazis, and developed the idea as a possible explanation for the rise of fascism in Germany. Common child-rearing methods and early school curricula might affect a person’s deepest psychology, causing him or her to develop an authoritarian personality. Adorno devised a famous “F-Scale” that measured individuals’ narrow-mindedness, their bigotry, their skepticism toward science, their preference for business and industry over art, and their taste for obedience and respect for authority. As it turned out, Germans were not intrinsically more or less authoritarian than people of other nationalities.</w:t>
      </w:r>
      <w:r w:rsidRPr="00A710BF">
        <w:rPr>
          <w:sz w:val="16"/>
        </w:rPr>
        <w:t xml:space="preserve"> </w:t>
      </w:r>
      <w:r w:rsidRPr="00A710BF">
        <w:rPr>
          <w:rStyle w:val="StyleUnderline"/>
        </w:rPr>
        <w:t>The connection between the authoritarian personality and the working class began in earnest in the 1950s with cold war political sociologist Seymour Martin Lipset</w:t>
      </w:r>
      <w:r w:rsidRPr="00A710BF">
        <w:rPr>
          <w:sz w:val="16"/>
        </w:rPr>
        <w:t xml:space="preserve">. Lipset argued that since World War I, “working class groups have proved to be the most nationalistic and jingoistic sector of the population” [1959: 483.] His concept of authoritarianism is a mash-up Adorno’s ideas mixed with support for “extremist” groups like the Jehovah’s Witnesses and the Communist Party. Lipset argued that in the US, the working class authoritarianism poses a threat to democracy. The question is: does the psychology of individuals in the working class explain Trump’s rise to power? A Marxist perspective reveals the flaws in this and other individual-level psychological explanations: first, </w:t>
      </w:r>
      <w:r w:rsidRPr="00A710BF">
        <w:rPr>
          <w:rStyle w:val="StyleUnderline"/>
        </w:rPr>
        <w:t xml:space="preserve">the psychological argument obscures the real source of power in the capitalist society, namely </w:t>
      </w:r>
      <w:r w:rsidRPr="002B2095">
        <w:rPr>
          <w:rStyle w:val="StyleUnderline"/>
          <w:highlight w:val="green"/>
        </w:rPr>
        <w:t xml:space="preserve">social structures </w:t>
      </w:r>
      <w:r w:rsidRPr="00A710BF">
        <w:rPr>
          <w:rStyle w:val="StyleUnderline"/>
        </w:rPr>
        <w:t xml:space="preserve">like corporations, property, media, and the state, that </w:t>
      </w:r>
      <w:r w:rsidRPr="00E83A4D">
        <w:rPr>
          <w:rStyle w:val="StyleUnderline"/>
        </w:rPr>
        <w:t xml:space="preserve">have been </w:t>
      </w:r>
      <w:r w:rsidRPr="002B2095">
        <w:rPr>
          <w:rStyle w:val="StyleUnderline"/>
          <w:highlight w:val="green"/>
        </w:rPr>
        <w:t>constructed</w:t>
      </w:r>
      <w:r w:rsidRPr="00A710BF">
        <w:rPr>
          <w:rStyle w:val="StyleUnderline"/>
        </w:rPr>
        <w:t xml:space="preserve"> over the years intentionally </w:t>
      </w:r>
      <w:r w:rsidRPr="002B2095">
        <w:rPr>
          <w:rStyle w:val="StyleUnderline"/>
          <w:highlight w:val="green"/>
        </w:rPr>
        <w:t>to serve</w:t>
      </w:r>
      <w:r w:rsidRPr="00A710BF">
        <w:rPr>
          <w:rStyle w:val="StyleUnderline"/>
        </w:rPr>
        <w:t xml:space="preserve"> the interests of the ruling class, namely the corporate elite that benefits the most from </w:t>
      </w:r>
      <w:r w:rsidRPr="002B2095">
        <w:rPr>
          <w:rStyle w:val="StyleUnderline"/>
          <w:highlight w:val="green"/>
        </w:rPr>
        <w:t xml:space="preserve">exploitation of </w:t>
      </w:r>
      <w:r w:rsidRPr="00E83A4D">
        <w:rPr>
          <w:rStyle w:val="StyleUnderline"/>
        </w:rPr>
        <w:t xml:space="preserve">the </w:t>
      </w:r>
      <w:r w:rsidRPr="002B2095">
        <w:rPr>
          <w:rStyle w:val="StyleUnderline"/>
          <w:highlight w:val="green"/>
        </w:rPr>
        <w:t>working class</w:t>
      </w:r>
      <w:r w:rsidRPr="00A710BF">
        <w:rPr>
          <w:rStyle w:val="StyleUnderline"/>
        </w:rPr>
        <w:t xml:space="preserve">. </w:t>
      </w:r>
      <w:r w:rsidRPr="00A710BF">
        <w:rPr>
          <w:sz w:val="10"/>
          <w:szCs w:val="10"/>
        </w:rPr>
        <w:t xml:space="preserve">second, it denies the established social science research that one’s position in such social structures, especially the economy, shapes one’s psychology far more profoundly than individuals’ psychological </w:t>
      </w:r>
      <w:r w:rsidRPr="00E83A4D">
        <w:rPr>
          <w:sz w:val="10"/>
          <w:szCs w:val="10"/>
        </w:rPr>
        <w:t>tendencies</w:t>
      </w:r>
      <w:r w:rsidRPr="00A710BF">
        <w:rPr>
          <w:sz w:val="10"/>
          <w:szCs w:val="10"/>
        </w:rPr>
        <w:t xml:space="preserve"> can influence enduring and evolving social structures. finally, it’s factually incorrect. The Atlantic Magazine’s analysis of Trump support show that among voters with incomes less than $50,000, Hilary Clinton won 53 to 41. Voters with incomes between $100 and $200,000 voted for Trump 56% to 39%. Upper class benevolence is a bourgeois fantasy. Despite its obvious flaws, the psychological argument has a special appeal for members of the privileged class, who want to hold themselves blameless for the social ills around them. They believe they knew better, and they blame the working class to avoid facing up to their own culpability. Scapegoating the working class is known as the “myth of upper class benevolence.” One classic study in race and ethnicity shows the fallacies in the myth of upper class benevolence and zeroes in on the ways the working class is often portrayed, incorrectly, as the source of white supremacy. In his book The Mississippi Chinese: Between black and white, the sociologist James Loewen interviewed hundreds of residents of the Mississippi Delta. He found upper middle class whites routinely blamed poor working class whites for any and all oppression of both African Americans and Chinese Americans. But looking closely at the facts gave Loewen a much different picture of culpability. It was the privileged planter- and business-class whose members had the power to keep Chinese- and African-Americans out of their neighborhoods, schools, and workplaces. Working class organizations like the American Legion, Veterans of Foreign Wars, and small Baptist churches were the first to welcome people of color, while upper class organizations like the Chamber of Commerce, the Rotary Club, and Episcopalians excluded them. Financial institutions acted in the interests of the privileged class and served to limit opportunities for others. Schools reserved for whites only were resource rich compared with schools that served people of color. One county in Mississippi, Loewen discovered, actually spent $45 per white pupil for every $1 per African American pupil. Loewen rejects the widely held belief, echoed in the London Business School study mentioned earlier, that the working class, fearing economic competition, feels the most prejudice. Instead, he turns to the pioneer Marxist sociologist of race, Oliver C. Cox, who argued that to analyze racial dynamics one needs to look first at “the economic policies of the ruling class.” Cox continued, “Opposition [by the working class] to social equality has no meaning unless we can see its function in the service of the exploitative purpose of this [ruling] class.” A working class divided by race is easier to contro</w:t>
      </w:r>
      <w:r w:rsidRPr="00A710BF">
        <w:rPr>
          <w:sz w:val="16"/>
        </w:rPr>
        <w:t xml:space="preserve">l </w:t>
      </w:r>
      <w:r w:rsidRPr="00A710BF">
        <w:rPr>
          <w:rStyle w:val="StyleUnderline"/>
        </w:rPr>
        <w:t xml:space="preserve">A working class divided by race is easier to control and to keep unorganized than a united one, so concerted and deliberate efforts are made to encourage members of the working class to embrace authoritarian beliefs, especially white supremacy. </w:t>
      </w:r>
      <w:r w:rsidRPr="002B2095">
        <w:rPr>
          <w:rStyle w:val="StyleUnderline"/>
          <w:highlight w:val="green"/>
        </w:rPr>
        <w:t>Using</w:t>
      </w:r>
      <w:r w:rsidRPr="00A710BF">
        <w:rPr>
          <w:rStyle w:val="StyleUnderline"/>
        </w:rPr>
        <w:t xml:space="preserve"> corporate-funded </w:t>
      </w:r>
      <w:r w:rsidRPr="002B2095">
        <w:rPr>
          <w:rStyle w:val="StyleUnderline"/>
          <w:highlight w:val="green"/>
        </w:rPr>
        <w:t>think tanks,</w:t>
      </w:r>
      <w:r w:rsidRPr="00A710BF">
        <w:rPr>
          <w:rStyle w:val="StyleUnderline"/>
        </w:rPr>
        <w:t xml:space="preserve"> right-wing radio and cable </w:t>
      </w:r>
      <w:r w:rsidRPr="00A710BF">
        <w:rPr>
          <w:rStyle w:val="StyleUnderline"/>
        </w:rPr>
        <w:lastRenderedPageBreak/>
        <w:t xml:space="preserve">television, and presidential pronouncements, </w:t>
      </w:r>
      <w:r w:rsidRPr="002B2095">
        <w:rPr>
          <w:rStyle w:val="StyleUnderline"/>
          <w:highlight w:val="green"/>
        </w:rPr>
        <w:t>the ruling class frames</w:t>
      </w:r>
      <w:r w:rsidRPr="00A710BF">
        <w:rPr>
          <w:rStyle w:val="StyleUnderline"/>
        </w:rPr>
        <w:t xml:space="preserve"> current events in </w:t>
      </w:r>
      <w:r w:rsidRPr="002B2095">
        <w:rPr>
          <w:rStyle w:val="StyleUnderline"/>
          <w:highlight w:val="green"/>
        </w:rPr>
        <w:t>authoritarian terms</w:t>
      </w:r>
      <w:r w:rsidRPr="00A710BF">
        <w:rPr>
          <w:rStyle w:val="StyleUnderline"/>
        </w:rPr>
        <w:t xml:space="preserve">, attempting </w:t>
      </w:r>
      <w:r w:rsidRPr="002B2095">
        <w:rPr>
          <w:rStyle w:val="StyleUnderline"/>
          <w:highlight w:val="green"/>
        </w:rPr>
        <w:t>to undermine the unity of the working class</w:t>
      </w:r>
      <w:r w:rsidRPr="00A710BF">
        <w:rPr>
          <w:rStyle w:val="StyleUnderline"/>
        </w:rPr>
        <w:t xml:space="preserve"> and therefore weaken it. </w:t>
      </w:r>
      <w:r w:rsidRPr="00A710BF">
        <w:rPr>
          <w:sz w:val="16"/>
        </w:rPr>
        <w:t xml:space="preserve">In Mississippi Loewen found that alliances between working class whites and blacks were viciously undermined and blocked by the powerful of the community. Likewise, people who challenge class oppression and racial hierarchies are singled out for condemnation and retaliation. Newer research on intolerance shows furthermore that </w:t>
      </w:r>
      <w:r w:rsidRPr="00A710BF">
        <w:rPr>
          <w:rStyle w:val="StyleUnderline"/>
        </w:rPr>
        <w:t>authoritarian beliefs are not clearly associated with membership in the working class, defined by wage dependence, low income, and job insecurity.</w:t>
      </w:r>
      <w:r w:rsidRPr="00A710BF">
        <w:rPr>
          <w:sz w:val="16"/>
        </w:rPr>
        <w:t xml:space="preserve"> </w:t>
      </w:r>
      <w:r w:rsidRPr="00A710BF">
        <w:rPr>
          <w:sz w:val="10"/>
          <w:szCs w:val="10"/>
        </w:rPr>
        <w:t>Erasmus University sociologist Dick Houtman revisited Lipset’s theory of working class authoritarianism found that it is not class that is correlated with intolerance, but educational level and access to cultural opportunities like books, concerts, and art exhibitions. Thus another way that the ruling class tries to divide the working class is by limiting their educational opportunities. Donald Trump once famously intoned, “I love the poorly educated.” Along with his secretary of education Betsy DeVos, Trump seems intent on increasing their ranks. With working class pupils forced to attend substandard, unsafe and under-resourced schools year after year, with college costs putting post-secondary education out of reach of many, and with crippling student debt for those who do borrow for college, the ruling class aims to limit the critical thinking resources the working class needs to challenge ruling class propaganda.</w:t>
      </w:r>
      <w:r w:rsidRPr="00A710BF">
        <w:rPr>
          <w:sz w:val="16"/>
        </w:rPr>
        <w:t xml:space="preserve"> </w:t>
      </w:r>
      <w:r w:rsidRPr="00A710BF">
        <w:rPr>
          <w:rStyle w:val="StyleUnderline"/>
        </w:rPr>
        <w:t xml:space="preserve">For those who are in college, </w:t>
      </w:r>
      <w:r w:rsidRPr="002B2095">
        <w:rPr>
          <w:rStyle w:val="StyleUnderline"/>
          <w:highlight w:val="green"/>
        </w:rPr>
        <w:t>corporate forces</w:t>
      </w:r>
      <w:r w:rsidRPr="00A710BF">
        <w:rPr>
          <w:rStyle w:val="StyleUnderline"/>
        </w:rPr>
        <w:t xml:space="preserve"> have </w:t>
      </w:r>
      <w:r w:rsidRPr="002B2095">
        <w:rPr>
          <w:rStyle w:val="StyleUnderline"/>
          <w:highlight w:val="green"/>
        </w:rPr>
        <w:t>develop</w:t>
      </w:r>
      <w:r w:rsidRPr="00A710BF">
        <w:rPr>
          <w:rStyle w:val="StyleUnderline"/>
        </w:rPr>
        <w:t xml:space="preserve">ed special interventions to encourage </w:t>
      </w:r>
      <w:r w:rsidRPr="002B2095">
        <w:rPr>
          <w:rStyle w:val="StyleUnderline"/>
          <w:highlight w:val="green"/>
        </w:rPr>
        <w:t xml:space="preserve">neoliberal </w:t>
      </w:r>
      <w:r w:rsidRPr="00A710BF">
        <w:rPr>
          <w:rStyle w:val="StyleUnderline"/>
        </w:rPr>
        <w:t xml:space="preserve">and fascist </w:t>
      </w:r>
      <w:r w:rsidRPr="002B2095">
        <w:rPr>
          <w:rStyle w:val="StyleUnderline"/>
          <w:highlight w:val="green"/>
        </w:rPr>
        <w:t>accommodation</w:t>
      </w:r>
      <w:r w:rsidRPr="00A710BF">
        <w:rPr>
          <w:sz w:val="16"/>
        </w:rPr>
        <w:t xml:space="preserve">. The Charles Koch Foundation, established by the head of Koch Industries, has implemented a $50 million, 32-state strategy establishing institutes, holding conferences, and funding faculty and graduate students in a concerted effort to influence policy rightward: </w:t>
      </w:r>
      <w:r w:rsidRPr="002B2095">
        <w:rPr>
          <w:rStyle w:val="StyleUnderline"/>
          <w:highlight w:val="green"/>
        </w:rPr>
        <w:t>toward</w:t>
      </w:r>
      <w:r w:rsidRPr="00A710BF">
        <w:rPr>
          <w:rStyle w:val="StyleUnderline"/>
        </w:rPr>
        <w:t xml:space="preserve"> denial of climate science, </w:t>
      </w:r>
      <w:r w:rsidRPr="002B2095">
        <w:rPr>
          <w:rStyle w:val="StyleUnderline"/>
          <w:highlight w:val="green"/>
        </w:rPr>
        <w:t xml:space="preserve">undermining of labor </w:t>
      </w:r>
      <w:r w:rsidRPr="00E83A4D">
        <w:rPr>
          <w:rStyle w:val="StyleUnderline"/>
        </w:rPr>
        <w:t>rights</w:t>
      </w:r>
      <w:r w:rsidRPr="002B2095">
        <w:rPr>
          <w:rStyle w:val="StyleUnderline"/>
          <w:highlight w:val="green"/>
        </w:rPr>
        <w:t>, and revision of history</w:t>
      </w:r>
      <w:r w:rsidRPr="00A710BF">
        <w:rPr>
          <w:rStyle w:val="StyleUnderline"/>
        </w:rPr>
        <w:t xml:space="preserve"> in favor of business interests. Hand in hand with these corporate forces are the white supremacist organizations that pay for speakers to visit campuses and foment hate,</w:t>
      </w:r>
      <w:r w:rsidRPr="00A710BF">
        <w:rPr>
          <w:sz w:val="16"/>
        </w:rPr>
        <w:t xml:space="preserve"> then cry “first amendment” when students object. Other corporate-sponsored organizations encourage students to record, expose and protest faculty who do not espouse conservative views. In short, the psychological argument claims that authoritarian tendencies emerge from working people themselves. It’s no surprise that researchers from a business school embraced that idea, because it is what Marx and Engels refer to as a “ruling idea.” </w:t>
      </w:r>
      <w:r w:rsidRPr="00A710BF">
        <w:rPr>
          <w:rStyle w:val="StyleUnderline"/>
        </w:rPr>
        <w:t>By pretending that authoritarian ideas arise organically from the working class itself, it hides the relationship between authoritarianism and the economic policies of the ruling class.</w:t>
      </w:r>
      <w:r w:rsidRPr="00A710BF">
        <w:rPr>
          <w:sz w:val="16"/>
        </w:rPr>
        <w:t xml:space="preserve"> In contrast, a Marxist analysis recognizes the congruence between authoritarian ideas and the economic interests of the corporate ruling class, especially its efforts to divide the working class by race, gender, citizenship status, etc. </w:t>
      </w:r>
      <w:r w:rsidRPr="00A710BF">
        <w:rPr>
          <w:rStyle w:val="StyleUnderline"/>
        </w:rPr>
        <w:t xml:space="preserve">It recognizes the influence of powerful </w:t>
      </w:r>
      <w:r w:rsidRPr="002B2095">
        <w:rPr>
          <w:rStyle w:val="Emphasis"/>
          <w:highlight w:val="green"/>
        </w:rPr>
        <w:t>corporate forces</w:t>
      </w:r>
      <w:r w:rsidRPr="00A710BF">
        <w:rPr>
          <w:rStyle w:val="Emphasis"/>
        </w:rPr>
        <w:t xml:space="preserve"> which intentionally try to </w:t>
      </w:r>
      <w:r w:rsidRPr="002B2095">
        <w:rPr>
          <w:rStyle w:val="Emphasis"/>
          <w:highlight w:val="green"/>
        </w:rPr>
        <w:t xml:space="preserve">persuade workers to blame each other for </w:t>
      </w:r>
      <w:r w:rsidRPr="00A710BF">
        <w:rPr>
          <w:rStyle w:val="Emphasis"/>
        </w:rPr>
        <w:t xml:space="preserve">their </w:t>
      </w:r>
      <w:r w:rsidRPr="002B2095">
        <w:rPr>
          <w:rStyle w:val="Emphasis"/>
          <w:highlight w:val="green"/>
        </w:rPr>
        <w:t>oppression</w:t>
      </w:r>
      <w:r w:rsidRPr="00A710BF">
        <w:rPr>
          <w:rStyle w:val="Emphasis"/>
        </w:rPr>
        <w:t xml:space="preserve">, instead of the capitalists </w:t>
      </w:r>
      <w:r w:rsidRPr="002B2095">
        <w:rPr>
          <w:rStyle w:val="Emphasis"/>
          <w:highlight w:val="green"/>
        </w:rPr>
        <w:t xml:space="preserve">who profit from </w:t>
      </w:r>
      <w:r w:rsidRPr="00A710BF">
        <w:rPr>
          <w:rStyle w:val="Emphasis"/>
        </w:rPr>
        <w:t xml:space="preserve">their </w:t>
      </w:r>
      <w:r w:rsidRPr="002B2095">
        <w:rPr>
          <w:rStyle w:val="Emphasis"/>
          <w:highlight w:val="green"/>
        </w:rPr>
        <w:t>lack of unity</w:t>
      </w:r>
      <w:r w:rsidRPr="00A710BF">
        <w:rPr>
          <w:rStyle w:val="Emphasis"/>
        </w:rPr>
        <w:t>.</w:t>
      </w:r>
    </w:p>
    <w:p w14:paraId="1AFDAA96" w14:textId="77777777" w:rsidR="00365070" w:rsidRPr="00A710BF" w:rsidRDefault="00365070" w:rsidP="00365070">
      <w:pPr>
        <w:pStyle w:val="Heading4"/>
        <w:rPr>
          <w:rFonts w:cs="Calibri"/>
        </w:rPr>
      </w:pPr>
      <w:r w:rsidRPr="00A710BF">
        <w:rPr>
          <w:rFonts w:cs="Calibri"/>
        </w:rPr>
        <w:t>Authoritarianism has precipitated expansionist land wars, industrial degradation, and wealth inequality – it’s only a question of which one snaps first</w:t>
      </w:r>
    </w:p>
    <w:p w14:paraId="10860F84" w14:textId="77777777" w:rsidR="00365070" w:rsidRPr="00A710BF" w:rsidRDefault="00365070" w:rsidP="00365070">
      <w:r w:rsidRPr="00CE30D3">
        <w:rPr>
          <w:rStyle w:val="Style13ptBold"/>
        </w:rPr>
        <w:t>Carrington 8/2</w:t>
      </w:r>
      <w:r w:rsidRPr="00A710BF">
        <w:t xml:space="preserve"> </w:t>
      </w:r>
      <w:r w:rsidRPr="00A710BF">
        <w:rPr>
          <w:sz w:val="16"/>
          <w:szCs w:val="16"/>
        </w:rPr>
        <w:t xml:space="preserve">(Damian Carrington is the Environment Editor for The Guardian, a position he has held since joining the newspaper in 2008. He is a journalist with extensive experience, including previous roles at The Financial Times and New Scientist. Carrington holds a PhD in geology and his reporting focuses on the climate crisis, including its scientific, political, and social dimensions, with work ranging from exposing "ghost flights" to analyzing extreme weather events and methane emissions. “‘Self-termination is most likely’: the history and future of societal collapse,” </w:t>
      </w:r>
      <w:r w:rsidRPr="00A710BF">
        <w:rPr>
          <w:i/>
          <w:iCs/>
          <w:sz w:val="16"/>
          <w:szCs w:val="16"/>
        </w:rPr>
        <w:t>The Guardian</w:t>
      </w:r>
      <w:r w:rsidRPr="00A710BF">
        <w:rPr>
          <w:sz w:val="16"/>
          <w:szCs w:val="16"/>
        </w:rPr>
        <w:t>, 08/02/2025, https://www.theguardian.com/environment/2025/aug/02/self-termination-history-and-future-of-societal-collapse) CT</w:t>
      </w:r>
    </w:p>
    <w:p w14:paraId="020DF853" w14:textId="77777777" w:rsidR="00365070" w:rsidRPr="00A710BF" w:rsidRDefault="00365070" w:rsidP="00365070">
      <w:pPr>
        <w:rPr>
          <w:rStyle w:val="Emphasis"/>
          <w:b w:val="0"/>
          <w:iCs w:val="0"/>
          <w:u w:val="none"/>
        </w:rPr>
      </w:pPr>
      <w:r w:rsidRPr="00A710BF">
        <w:rPr>
          <w:sz w:val="12"/>
          <w:szCs w:val="12"/>
        </w:rPr>
        <w:t>We can’t put a date on Doomsday, but by looking at the 5,000 years of [civilisation], we can understand the trajectories we face today – and self-termination is most likely,” says Dr Luke Kemp at the Centre for the Study of Existential Risk at the University of Cambridge. “I’m pessimistic about the future,” he says. “But I’m optimistic about people.” Kemp’s new book covers the rise and collapse of more than 400</w:t>
      </w:r>
      <w:r w:rsidRPr="00A710BF">
        <w:t xml:space="preserve"> </w:t>
      </w:r>
      <w:r w:rsidRPr="00A710BF">
        <w:rPr>
          <w:rStyle w:val="Emphasis"/>
        </w:rPr>
        <w:t>societies</w:t>
      </w:r>
      <w:r w:rsidRPr="00A710BF">
        <w:t xml:space="preserve"> over 5,000 years and took seven years to write. The lessons he has drawn are often striking: </w:t>
      </w:r>
      <w:r w:rsidRPr="00A710BF">
        <w:rPr>
          <w:rStyle w:val="StyleUnderline"/>
        </w:rPr>
        <w:t xml:space="preserve">people </w:t>
      </w:r>
      <w:r w:rsidRPr="00A710BF">
        <w:rPr>
          <w:rStyle w:val="Emphasis"/>
        </w:rPr>
        <w:t>are fundamentally</w:t>
      </w:r>
      <w:r w:rsidRPr="00A710BF">
        <w:rPr>
          <w:rStyle w:val="StyleUnderline"/>
        </w:rPr>
        <w:t xml:space="preserve"> egalitarian but are </w:t>
      </w:r>
      <w:r w:rsidRPr="00A710BF">
        <w:rPr>
          <w:rStyle w:val="Emphasis"/>
        </w:rPr>
        <w:t>led to collapses by enriched, status-obsessed elites</w:t>
      </w:r>
      <w:r w:rsidRPr="00A710BF">
        <w:rPr>
          <w:rStyle w:val="StyleUnderline"/>
        </w:rPr>
        <w:t>,</w:t>
      </w:r>
      <w:r w:rsidRPr="00A710BF">
        <w:t xml:space="preserve"> while past collapses often improved the lives of ordinary citizens. </w:t>
      </w:r>
      <w:r w:rsidRPr="00A710BF">
        <w:rPr>
          <w:rStyle w:val="StyleUnderline"/>
        </w:rPr>
        <w:t xml:space="preserve">Today’s </w:t>
      </w:r>
      <w:r w:rsidRPr="00A710BF">
        <w:rPr>
          <w:rStyle w:val="Emphasis"/>
        </w:rPr>
        <w:t>global civilisation</w:t>
      </w:r>
      <w:r w:rsidRPr="00A710BF">
        <w:rPr>
          <w:rStyle w:val="StyleUnderline"/>
        </w:rPr>
        <w:t xml:space="preserve">, however, </w:t>
      </w:r>
      <w:r w:rsidRPr="00A710BF">
        <w:rPr>
          <w:rStyle w:val="Emphasis"/>
        </w:rPr>
        <w:t>is deeply interconnected and unequal and could lead to the worst societal collapse yet</w:t>
      </w:r>
      <w:r w:rsidRPr="00A710BF">
        <w:rPr>
          <w:rStyle w:val="StyleUnderline"/>
        </w:rPr>
        <w:t xml:space="preserve">, he says. The threat is from </w:t>
      </w:r>
      <w:r w:rsidRPr="00A710BF">
        <w:rPr>
          <w:rStyle w:val="Emphasis"/>
        </w:rPr>
        <w:t>leaders</w:t>
      </w:r>
      <w:r w:rsidRPr="00A710BF">
        <w:rPr>
          <w:rStyle w:val="StyleUnderline"/>
        </w:rPr>
        <w:t xml:space="preserve"> who </w:t>
      </w:r>
      <w:r w:rsidRPr="00A710BF">
        <w:rPr>
          <w:rStyle w:val="Emphasis"/>
        </w:rPr>
        <w:t>are</w:t>
      </w:r>
      <w:r w:rsidRPr="00A710BF">
        <w:rPr>
          <w:rStyle w:val="StyleUnderline"/>
        </w:rPr>
        <w:t xml:space="preserve"> “walking versions of the dark triad” – narcissism, psychopathy and Machiavellianism – in a world </w:t>
      </w:r>
      <w:r w:rsidRPr="00A710BF">
        <w:rPr>
          <w:rStyle w:val="Emphasis"/>
        </w:rPr>
        <w:t>menaced by the climate crisis, nuclear weapons, artificial intelligence and killer robots</w:t>
      </w:r>
      <w:r w:rsidRPr="00A710BF">
        <w:rPr>
          <w:rStyle w:val="StyleUnderline"/>
        </w:rPr>
        <w:t xml:space="preserve">. </w:t>
      </w:r>
      <w:r w:rsidRPr="00A710BF">
        <w:rPr>
          <w:sz w:val="12"/>
          <w:szCs w:val="12"/>
        </w:rPr>
        <w:t xml:space="preserve">The work is scholarly, but the straight-talking Australian can also be direct, such as when setting out how a global collapse could be avoided. “Don’t be a dick” is one of the solutions proposed, along with a move towards genuinely democratic societies and an end to inequality. 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w:t>
      </w:r>
      <w:r w:rsidRPr="00A710BF">
        <w:rPr>
          <w:rStyle w:val="StyleUnderline"/>
        </w:rPr>
        <w:t xml:space="preserve">Instead Kemp uses the term </w:t>
      </w:r>
      <w:r w:rsidRPr="002B2095">
        <w:rPr>
          <w:rStyle w:val="Emphasis"/>
          <w:highlight w:val="green"/>
        </w:rPr>
        <w:t>Goliaths</w:t>
      </w:r>
      <w:r w:rsidRPr="00A710BF">
        <w:rPr>
          <w:rStyle w:val="StyleUnderline"/>
        </w:rPr>
        <w:t xml:space="preserve"> to </w:t>
      </w:r>
      <w:r w:rsidRPr="002B2095">
        <w:rPr>
          <w:rStyle w:val="Emphasis"/>
          <w:highlight w:val="green"/>
        </w:rPr>
        <w:t>describe</w:t>
      </w:r>
      <w:r w:rsidRPr="00A710BF">
        <w:rPr>
          <w:rStyle w:val="StyleUnderline"/>
        </w:rPr>
        <w:t xml:space="preserve"> kingdoms and empires, meaning </w:t>
      </w:r>
      <w:r w:rsidRPr="002B2095">
        <w:rPr>
          <w:rStyle w:val="Emphasis"/>
          <w:highlight w:val="green"/>
        </w:rPr>
        <w:t>a society built on domination</w:t>
      </w:r>
      <w:r w:rsidRPr="00A710BF">
        <w:rPr>
          <w:rStyle w:val="StyleUnderline"/>
        </w:rPr>
        <w:t>, such as the Roman empire</w:t>
      </w:r>
      <w:r w:rsidRPr="00A710BF">
        <w:t xml:space="preserve">: </w:t>
      </w:r>
      <w:r w:rsidRPr="00A710BF">
        <w:rPr>
          <w:sz w:val="12"/>
          <w:szCs w:val="12"/>
        </w:rPr>
        <w:t xml:space="preserve">state over citizen, rich over poor, master over slave and men over women. He says that, like the biblical warrior slain by David’s slingshot, Goliaths began in the bronze age, were steeped in violence and often surprisingly fragile.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monopolised by one group. Bronze swords and axes were far superior to stone and wooden axes, and the first </w:t>
      </w:r>
      <w:r w:rsidRPr="00A710BF">
        <w:rPr>
          <w:sz w:val="12"/>
          <w:szCs w:val="12"/>
        </w:rPr>
        <w:lastRenderedPageBreak/>
        <w:t>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organised crime,” Kemp says. “It is one group creating a monopoly on resources through the use of violence over a certain territory and population</w:t>
      </w:r>
      <w:r w:rsidRPr="00E83A4D">
        <w:rPr>
          <w:sz w:val="12"/>
          <w:szCs w:val="12"/>
        </w:rPr>
        <w:t>.”</w:t>
      </w:r>
      <w:r w:rsidRPr="00E83A4D">
        <w:t xml:space="preserve"> </w:t>
      </w:r>
      <w:r w:rsidRPr="00E83A4D">
        <w:rPr>
          <w:rStyle w:val="StyleUnderline"/>
        </w:rPr>
        <w:t>All Goliaths,</w:t>
      </w:r>
      <w:r w:rsidRPr="00A710BF">
        <w:rPr>
          <w:rStyle w:val="StyleUnderline"/>
        </w:rPr>
        <w:t xml:space="preserve"> however, </w:t>
      </w:r>
      <w:r w:rsidRPr="002B2095">
        <w:rPr>
          <w:rStyle w:val="StyleUnderline"/>
          <w:highlight w:val="green"/>
        </w:rPr>
        <w:t xml:space="preserve">contain the seeds of their </w:t>
      </w:r>
      <w:r w:rsidRPr="00A710BF">
        <w:rPr>
          <w:rStyle w:val="StyleUnderline"/>
        </w:rPr>
        <w:t xml:space="preserve">own </w:t>
      </w:r>
      <w:r w:rsidRPr="002B2095">
        <w:rPr>
          <w:rStyle w:val="StyleUnderline"/>
          <w:highlight w:val="green"/>
        </w:rPr>
        <w:t>demise</w:t>
      </w:r>
      <w:r w:rsidRPr="00A710BF">
        <w:rPr>
          <w:rStyle w:val="StyleUnderline"/>
        </w:rPr>
        <w:t xml:space="preserve">, he says: </w:t>
      </w:r>
      <w:r w:rsidRPr="00E83A4D">
        <w:rPr>
          <w:rStyle w:val="StyleUnderline"/>
        </w:rPr>
        <w:t xml:space="preserve">“They are </w:t>
      </w:r>
      <w:r w:rsidRPr="002B2095">
        <w:rPr>
          <w:rStyle w:val="StyleUnderline"/>
          <w:highlight w:val="green"/>
        </w:rPr>
        <w:t>cursed</w:t>
      </w:r>
      <w:r w:rsidRPr="00A710BF">
        <w:rPr>
          <w:rStyle w:val="StyleUnderline"/>
        </w:rPr>
        <w:t xml:space="preserve"> and this is </w:t>
      </w:r>
      <w:r w:rsidRPr="002B2095">
        <w:rPr>
          <w:rStyle w:val="StyleUnderline"/>
          <w:highlight w:val="green"/>
        </w:rPr>
        <w:t>because of inequality</w:t>
      </w:r>
      <w:r w:rsidRPr="00A710BF">
        <w:rPr>
          <w:rStyle w:val="StyleUnderline"/>
        </w:rPr>
        <w:t xml:space="preserve">.” Inequality does not arise because all people are greedy. They are not, he says. </w:t>
      </w:r>
      <w:r w:rsidRPr="00A710BF">
        <w:rPr>
          <w:sz w:val="12"/>
          <w:szCs w:val="12"/>
        </w:rPr>
        <w:t>The Khoisan peoples in southern Africa, for example, shared and preserved common lands for thousands of years despite the temptation to grab more. Instead, it is the few people high in the dark triad who fall into races for resources, arms and status, he says</w:t>
      </w:r>
      <w:r w:rsidRPr="00A710BF">
        <w:t>. “</w:t>
      </w:r>
      <w:r w:rsidRPr="00A710BF">
        <w:rPr>
          <w:rStyle w:val="StyleUnderline"/>
        </w:rPr>
        <w:t xml:space="preserve">Then </w:t>
      </w:r>
      <w:r w:rsidRPr="002B2095">
        <w:rPr>
          <w:rStyle w:val="Emphasis"/>
          <w:highlight w:val="green"/>
        </w:rPr>
        <w:t>as elites extract</w:t>
      </w:r>
      <w:r w:rsidRPr="002B2095">
        <w:rPr>
          <w:rStyle w:val="StyleUnderline"/>
          <w:highlight w:val="green"/>
        </w:rPr>
        <w:t xml:space="preserve"> </w:t>
      </w:r>
      <w:r w:rsidRPr="00A710BF">
        <w:rPr>
          <w:rStyle w:val="StyleUnderline"/>
        </w:rPr>
        <w:t xml:space="preserve">more </w:t>
      </w:r>
      <w:r w:rsidRPr="002B2095">
        <w:rPr>
          <w:rStyle w:val="Emphasis"/>
          <w:highlight w:val="green"/>
        </w:rPr>
        <w:t>wealth</w:t>
      </w:r>
      <w:r w:rsidRPr="00A710BF">
        <w:rPr>
          <w:rStyle w:val="StyleUnderline"/>
        </w:rPr>
        <w:t xml:space="preserve"> from the people and the land, </w:t>
      </w:r>
      <w:r w:rsidRPr="002B2095">
        <w:rPr>
          <w:rStyle w:val="Emphasis"/>
          <w:highlight w:val="green"/>
        </w:rPr>
        <w:t>they</w:t>
      </w:r>
      <w:r w:rsidRPr="00A710BF">
        <w:rPr>
          <w:rStyle w:val="StyleUnderline"/>
        </w:rPr>
        <w:t xml:space="preserve"> make societies more fragile, </w:t>
      </w:r>
      <w:r w:rsidRPr="002B2095">
        <w:rPr>
          <w:rStyle w:val="Emphasis"/>
          <w:highlight w:val="green"/>
        </w:rPr>
        <w:t>lead</w:t>
      </w:r>
      <w:r w:rsidRPr="00A710BF">
        <w:rPr>
          <w:rStyle w:val="StyleUnderline"/>
        </w:rPr>
        <w:t xml:space="preserve">ing </w:t>
      </w:r>
      <w:r w:rsidRPr="002B2095">
        <w:rPr>
          <w:rStyle w:val="Emphasis"/>
          <w:highlight w:val="green"/>
        </w:rPr>
        <w:t>to infighting</w:t>
      </w:r>
      <w:r w:rsidRPr="00A710BF">
        <w:rPr>
          <w:rStyle w:val="StyleUnderline"/>
        </w:rPr>
        <w:t xml:space="preserve">, corruption, immiseration of the masses, less healthy people, </w:t>
      </w:r>
      <w:r w:rsidRPr="002B2095">
        <w:rPr>
          <w:rStyle w:val="Emphasis"/>
          <w:highlight w:val="green"/>
        </w:rPr>
        <w:t>overexpansion, environmental degradation and</w:t>
      </w:r>
      <w:r w:rsidRPr="00A710BF">
        <w:rPr>
          <w:rStyle w:val="StyleUnderline"/>
        </w:rPr>
        <w:t xml:space="preserve"> poor decision making by a small </w:t>
      </w:r>
      <w:r w:rsidRPr="002B2095">
        <w:rPr>
          <w:rStyle w:val="Emphasis"/>
          <w:highlight w:val="green"/>
        </w:rPr>
        <w:t>oligarchy</w:t>
      </w:r>
      <w:r w:rsidRPr="002B2095">
        <w:rPr>
          <w:rStyle w:val="StyleUnderline"/>
          <w:highlight w:val="green"/>
        </w:rPr>
        <w:t xml:space="preserve">. </w:t>
      </w:r>
      <w:r w:rsidRPr="00E83A4D">
        <w:rPr>
          <w:rStyle w:val="StyleUnderline"/>
        </w:rPr>
        <w:t xml:space="preserve">The </w:t>
      </w:r>
      <w:r w:rsidRPr="002B2095">
        <w:rPr>
          <w:rStyle w:val="StyleUnderline"/>
          <w:highlight w:val="green"/>
        </w:rPr>
        <w:t>hollow</w:t>
      </w:r>
      <w:r w:rsidRPr="00A710BF">
        <w:rPr>
          <w:rStyle w:val="StyleUnderline"/>
        </w:rPr>
        <w:t xml:space="preserve">ed-out shell of a </w:t>
      </w:r>
      <w:r w:rsidRPr="002B2095">
        <w:rPr>
          <w:rStyle w:val="StyleUnderline"/>
          <w:highlight w:val="green"/>
        </w:rPr>
        <w:t xml:space="preserve">society is </w:t>
      </w:r>
      <w:r w:rsidRPr="00E83A4D">
        <w:rPr>
          <w:rStyle w:val="StyleUnderline"/>
        </w:rPr>
        <w:t xml:space="preserve">eventually </w:t>
      </w:r>
      <w:r w:rsidRPr="002B2095">
        <w:rPr>
          <w:rStyle w:val="StyleUnderline"/>
          <w:highlight w:val="green"/>
        </w:rPr>
        <w:t>cracked</w:t>
      </w:r>
      <w:r w:rsidRPr="00A710BF">
        <w:rPr>
          <w:rStyle w:val="StyleUnderline"/>
        </w:rPr>
        <w:t xml:space="preserve"> asunder </w:t>
      </w:r>
      <w:r w:rsidRPr="002B2095">
        <w:rPr>
          <w:rStyle w:val="StyleUnderline"/>
          <w:highlight w:val="green"/>
        </w:rPr>
        <w:t>by shocks such as disease, war or climate change</w:t>
      </w:r>
      <w:r w:rsidRPr="00A710BF">
        <w:rPr>
          <w:rStyle w:val="StyleUnderline"/>
        </w:rPr>
        <w:t xml:space="preserve">.” History shows that increasing </w:t>
      </w:r>
      <w:r w:rsidRPr="002B2095">
        <w:rPr>
          <w:rStyle w:val="StyleUnderline"/>
          <w:highlight w:val="green"/>
        </w:rPr>
        <w:t xml:space="preserve">wealth inequality </w:t>
      </w:r>
      <w:r w:rsidRPr="00A710BF">
        <w:rPr>
          <w:rStyle w:val="StyleUnderline"/>
        </w:rPr>
        <w:t xml:space="preserve">consistently </w:t>
      </w:r>
      <w:r w:rsidRPr="002B2095">
        <w:rPr>
          <w:rStyle w:val="StyleUnderline"/>
          <w:highlight w:val="green"/>
        </w:rPr>
        <w:t>precedes collapse</w:t>
      </w:r>
      <w:r w:rsidRPr="00A710BF">
        <w:t xml:space="preserve">, </w:t>
      </w:r>
      <w:r w:rsidRPr="00A710BF">
        <w:rPr>
          <w:sz w:val="12"/>
          <w:szCs w:val="12"/>
        </w:rPr>
        <w:t>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r w:rsidRPr="00A710BF">
        <w:t xml:space="preserve"> </w:t>
      </w:r>
      <w:r w:rsidRPr="00A710BF">
        <w:rPr>
          <w:rStyle w:val="StyleUnderline"/>
        </w:rPr>
        <w:t xml:space="preserve">Collapses in the past were at a regional level and often beneficial for most people, but </w:t>
      </w:r>
      <w:r w:rsidRPr="002B2095">
        <w:rPr>
          <w:rStyle w:val="StyleUnderline"/>
          <w:highlight w:val="green"/>
        </w:rPr>
        <w:t>collapse today</w:t>
      </w:r>
      <w:r w:rsidRPr="00A710BF">
        <w:rPr>
          <w:rStyle w:val="StyleUnderline"/>
        </w:rPr>
        <w:t xml:space="preserve"> </w:t>
      </w:r>
      <w:r w:rsidRPr="002B2095">
        <w:rPr>
          <w:rStyle w:val="StyleUnderline"/>
          <w:highlight w:val="green"/>
        </w:rPr>
        <w:t>would be</w:t>
      </w:r>
      <w:r w:rsidRPr="00A710BF">
        <w:rPr>
          <w:rStyle w:val="StyleUnderline"/>
        </w:rPr>
        <w:t xml:space="preserve"> global and </w:t>
      </w:r>
      <w:r w:rsidRPr="002B2095">
        <w:rPr>
          <w:rStyle w:val="StyleUnderline"/>
          <w:highlight w:val="green"/>
        </w:rPr>
        <w:t>disastrous for all</w:t>
      </w:r>
      <w:r w:rsidRPr="00A710BF">
        <w:rPr>
          <w:rStyle w:val="StyleUnderline"/>
        </w:rPr>
        <w:t>. “Today, we don’t have regional empires so much as we have one single, interconnected global Goliath</w:t>
      </w:r>
      <w:r w:rsidRPr="00A710BF">
        <w:t xml:space="preserve">. All our societies act within one single global economic system – capitalism,” Kemp says. He cites </w:t>
      </w:r>
      <w:r w:rsidRPr="00A710BF">
        <w:rPr>
          <w:rStyle w:val="Emphasis"/>
        </w:rPr>
        <w:t>three reasons</w:t>
      </w:r>
      <w:r w:rsidRPr="00A710BF">
        <w:t xml:space="preserve"> why the collapse of the global Goliath would be far worse than previous events. </w:t>
      </w:r>
      <w:r w:rsidRPr="00A710BF">
        <w:rPr>
          <w:rStyle w:val="StyleUnderline"/>
        </w:rPr>
        <w:t xml:space="preserve">First is that </w:t>
      </w:r>
      <w:r w:rsidRPr="002B2095">
        <w:rPr>
          <w:rStyle w:val="Emphasis"/>
          <w:highlight w:val="green"/>
        </w:rPr>
        <w:t>collapses are accompanied by</w:t>
      </w:r>
      <w:r w:rsidRPr="002B2095">
        <w:rPr>
          <w:rStyle w:val="StyleUnderline"/>
          <w:highlight w:val="green"/>
        </w:rPr>
        <w:t xml:space="preserve"> </w:t>
      </w:r>
      <w:r w:rsidRPr="00A710BF">
        <w:rPr>
          <w:rStyle w:val="StyleUnderline"/>
        </w:rPr>
        <w:t xml:space="preserve">surges in </w:t>
      </w:r>
      <w:r w:rsidRPr="002B2095">
        <w:rPr>
          <w:rStyle w:val="Emphasis"/>
          <w:highlight w:val="green"/>
        </w:rPr>
        <w:t>violence as elites</w:t>
      </w:r>
      <w:r w:rsidRPr="00A710BF">
        <w:rPr>
          <w:rStyle w:val="StyleUnderline"/>
        </w:rPr>
        <w:t xml:space="preserve"> try to </w:t>
      </w:r>
      <w:r w:rsidRPr="002B2095">
        <w:rPr>
          <w:rStyle w:val="Emphasis"/>
          <w:highlight w:val="green"/>
        </w:rPr>
        <w:t>reassert their dominance</w:t>
      </w:r>
      <w:r w:rsidRPr="002B2095">
        <w:rPr>
          <w:rStyle w:val="StyleUnderline"/>
          <w:highlight w:val="green"/>
        </w:rPr>
        <w:t xml:space="preserve">. “In the past, </w:t>
      </w:r>
      <w:r w:rsidRPr="00A710BF">
        <w:rPr>
          <w:rStyle w:val="StyleUnderline"/>
        </w:rPr>
        <w:t xml:space="preserve">those </w:t>
      </w:r>
      <w:r w:rsidRPr="002B2095">
        <w:rPr>
          <w:rStyle w:val="StyleUnderline"/>
          <w:highlight w:val="green"/>
        </w:rPr>
        <w:t xml:space="preserve">battles </w:t>
      </w:r>
      <w:r w:rsidRPr="00A710BF">
        <w:rPr>
          <w:rStyle w:val="StyleUnderline"/>
        </w:rPr>
        <w:t xml:space="preserve">were </w:t>
      </w:r>
      <w:r w:rsidRPr="002B2095">
        <w:rPr>
          <w:rStyle w:val="StyleUnderline"/>
          <w:highlight w:val="green"/>
        </w:rPr>
        <w:t xml:space="preserve">waged with swords </w:t>
      </w:r>
      <w:r w:rsidRPr="00A710BF">
        <w:rPr>
          <w:rStyle w:val="StyleUnderline"/>
        </w:rPr>
        <w:t>or muskets</w:t>
      </w:r>
      <w:r w:rsidRPr="002B2095">
        <w:rPr>
          <w:rStyle w:val="Emphasis"/>
          <w:highlight w:val="green"/>
        </w:rPr>
        <w:t>. Today we</w:t>
      </w:r>
      <w:r w:rsidRPr="002B2095">
        <w:rPr>
          <w:rStyle w:val="StyleUnderline"/>
          <w:highlight w:val="green"/>
        </w:rPr>
        <w:t xml:space="preserve"> </w:t>
      </w:r>
      <w:r w:rsidRPr="002B2095">
        <w:rPr>
          <w:rStyle w:val="Emphasis"/>
          <w:highlight w:val="green"/>
        </w:rPr>
        <w:t>have nuc</w:t>
      </w:r>
      <w:r w:rsidRPr="00A710BF">
        <w:rPr>
          <w:rStyle w:val="Emphasis"/>
        </w:rPr>
        <w:t>lear weapon</w:t>
      </w:r>
      <w:r w:rsidRPr="002B2095">
        <w:rPr>
          <w:rStyle w:val="Emphasis"/>
          <w:highlight w:val="green"/>
        </w:rPr>
        <w:t>s</w:t>
      </w:r>
      <w:r w:rsidRPr="00A710BF">
        <w:rPr>
          <w:rStyle w:val="StyleUnderline"/>
        </w:rPr>
        <w:t>,</w:t>
      </w:r>
      <w:r w:rsidRPr="00A710BF">
        <w:t xml:space="preserve">” he says. </w:t>
      </w:r>
      <w:r w:rsidRPr="002B2095">
        <w:rPr>
          <w:rStyle w:val="StyleUnderline"/>
          <w:highlight w:val="green"/>
        </w:rPr>
        <w:t>Second, people in the past were not</w:t>
      </w:r>
      <w:r w:rsidRPr="00A710BF">
        <w:rPr>
          <w:rStyle w:val="StyleUnderline"/>
        </w:rPr>
        <w:t xml:space="preserve"> heavily </w:t>
      </w:r>
      <w:r w:rsidRPr="002B2095">
        <w:rPr>
          <w:rStyle w:val="StyleUnderline"/>
          <w:highlight w:val="green"/>
        </w:rPr>
        <w:t>reliant on</w:t>
      </w:r>
      <w:r w:rsidRPr="00A710BF">
        <w:rPr>
          <w:rStyle w:val="StyleUnderline"/>
        </w:rPr>
        <w:t xml:space="preserve"> empires or </w:t>
      </w:r>
      <w:r w:rsidRPr="002B2095">
        <w:rPr>
          <w:rStyle w:val="StyleUnderline"/>
          <w:highlight w:val="green"/>
        </w:rPr>
        <w:t>states for services and</w:t>
      </w:r>
      <w:r w:rsidRPr="00A710BF">
        <w:rPr>
          <w:rStyle w:val="StyleUnderline"/>
        </w:rPr>
        <w:t xml:space="preserve">, unlike today, </w:t>
      </w:r>
      <w:r w:rsidRPr="002B2095">
        <w:rPr>
          <w:rStyle w:val="StyleUnderline"/>
          <w:highlight w:val="green"/>
        </w:rPr>
        <w:t>could easily</w:t>
      </w:r>
      <w:r w:rsidRPr="00A710BF">
        <w:rPr>
          <w:rStyle w:val="StyleUnderline"/>
        </w:rPr>
        <w:t xml:space="preserve"> go back to </w:t>
      </w:r>
      <w:r w:rsidRPr="002B2095">
        <w:rPr>
          <w:rStyle w:val="StyleUnderline"/>
          <w:highlight w:val="green"/>
        </w:rPr>
        <w:t>farm</w:t>
      </w:r>
      <w:r w:rsidRPr="00A710BF">
        <w:rPr>
          <w:rStyle w:val="StyleUnderline"/>
        </w:rPr>
        <w:t xml:space="preserve">ing or </w:t>
      </w:r>
      <w:r w:rsidRPr="002B2095">
        <w:rPr>
          <w:rStyle w:val="StyleUnderline"/>
          <w:highlight w:val="green"/>
        </w:rPr>
        <w:t>hunt</w:t>
      </w:r>
      <w:r w:rsidRPr="00A710BF">
        <w:rPr>
          <w:rStyle w:val="StyleUnderline"/>
        </w:rPr>
        <w:t xml:space="preserve">ing </w:t>
      </w:r>
      <w:r w:rsidRPr="002B2095">
        <w:rPr>
          <w:rStyle w:val="StyleUnderline"/>
          <w:highlight w:val="green"/>
        </w:rPr>
        <w:t>and gather</w:t>
      </w:r>
      <w:r w:rsidRPr="00A710BF">
        <w:rPr>
          <w:rStyle w:val="StyleUnderline"/>
        </w:rPr>
        <w:t>ing. “</w:t>
      </w:r>
      <w:r w:rsidRPr="002B2095">
        <w:rPr>
          <w:rStyle w:val="Emphasis"/>
          <w:highlight w:val="green"/>
        </w:rPr>
        <w:t>Today,</w:t>
      </w:r>
      <w:r w:rsidRPr="00A710BF">
        <w:rPr>
          <w:rStyle w:val="Emphasis"/>
        </w:rPr>
        <w:t xml:space="preserve"> most of us are specialised, and </w:t>
      </w:r>
      <w:r w:rsidRPr="002B2095">
        <w:rPr>
          <w:rStyle w:val="Emphasis"/>
          <w:highlight w:val="green"/>
        </w:rPr>
        <w:t>we’re dependent</w:t>
      </w:r>
      <w:r w:rsidRPr="00A710BF">
        <w:rPr>
          <w:rStyle w:val="Emphasis"/>
        </w:rPr>
        <w:t xml:space="preserve"> up</w:t>
      </w:r>
      <w:r w:rsidRPr="002B2095">
        <w:rPr>
          <w:rStyle w:val="Emphasis"/>
          <w:highlight w:val="green"/>
        </w:rPr>
        <w:t>on global infrastructure</w:t>
      </w:r>
      <w:r w:rsidRPr="00A710BF">
        <w:rPr>
          <w:rStyle w:val="StyleUnderline"/>
        </w:rPr>
        <w:t>. If that falls away, we too will fall</w:t>
      </w:r>
      <w:r w:rsidRPr="00A710BF">
        <w:t xml:space="preserve">,” he says. </w:t>
      </w:r>
      <w:r w:rsidRPr="00A710BF">
        <w:rPr>
          <w:rStyle w:val="StyleUnderline"/>
        </w:rPr>
        <w:t xml:space="preserve">“Last but not least is that, unfortunately, all the threats we face today are far worse than in the past,” he says. </w:t>
      </w:r>
      <w:r w:rsidRPr="00A710BF">
        <w:rPr>
          <w:rStyle w:val="Emphasis"/>
        </w:rPr>
        <w:t>Past climatic changes that precipitated collapses, for example, usually involved a temperature change of 1C at a regional level. Today, we face 3C globally</w:t>
      </w:r>
      <w:r w:rsidRPr="00A710BF">
        <w:rPr>
          <w:rStyle w:val="StyleUnderline"/>
        </w:rPr>
        <w:t xml:space="preserve">. There are also about 10,000 nuclear weapons, technologies such as artificial intelligence and killer robots and engineered pandemics, all sources of catastrophic global risk. </w:t>
      </w:r>
      <w:r w:rsidRPr="00A710BF">
        <w:rPr>
          <w:sz w:val="8"/>
          <w:szCs w:val="8"/>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large, psychopathic corporations and groups which produce global catastrophic risk,” he says. “Nuclear weapons, climate change, AI, are only produced by a very small number of secretive, highly wealthy, powerful groups, like the military-industrial complex, big tech and the fossil fuel industry. “The key thing is this is not about all of humanity creating these threats. It is not about human nature. It is about small groups who bring out the worst in us, competing for profit and power and covering all [the risks] up.” The global Goliath is the endgame for humanity, Kemp says, like the final moves in a chess match that determine the result. He sees two outcomes: self-destruction or a fundamental transformation of society. He believes the first outcome is the most likely, but says escaping global collapse could be achieved. “First and foremost, you need to create genuine democratic societies to level all the forms of power that lead to Goliaths,” he says. That means running societies through citizen assemblies and juries, aided by digital technologies to enable direct democracy at large scales. History shows that more democratic societies tend to be more resilient, he says. “If you’d had a citizens’ jury sitting over the [fossil fuel companies] when they discovered how much damage and death their products would cause, do you think they would have said: ‘Yes, go ahead, bury the information and run disinformation campaigns’? Of course not,” Kemp says. Escaping collapse also requires taxing wealth, he says, otherwise the rich find ways to rig the democratic system. “I’d cap wealth at $10m. That’s far more than anyone needs. A famous oil tycoon once said money is just a way for the rich to keep score. Why should we allow these people to keep score at the risk of destroying the entire planet?” If citizens’ juries and wealth caps seem wildly optimistic, Kemp says we have been long brainwashed by rulers justifying their dominance, from the self-declared god-pharaohs of Egypt and priests claiming to control the weather to autocrats claiming to defend people from foreign threats and tech titans selling us their techno-utopias. “It’s always been easier to imagine the end of the world than the end of Goliaths. That’s because these are stories that have been hammered into us over the space of 5,000 years,” he says. “Today, people find it easier to imagine that we can build intelligence on silicon than we can do democracy at scale, or that we can escape arms races. It’s complete bullshit. Of course we can do democracy at scale. We’re a naturally social, altruistic, democratic species and we all have an anti-dominance intuition. This is what we’re built for.” Kemp rejects the suggestion that he is simply presenting a politically leftwing take on history. “There is nothing inherently left wing about democracy,” he says. “Nor does the left have a monopoly on fighting corruption, holding power accountable and making sure companies pay for the social and environmental damages they cause. That’s just making our economy more honest.” He also has a message for individuals: “Collapse isn’t just caused by structures, but also people. If you want to save the world then the first step is to stop destroying it. In other words: don’t be a dick. Don’t work for big tech, arms manufacturers or the fossil fuel industry. Don’t accept relationships based on domination and share power whenever you can.” Despite the possibility of avoiding collapse, Kemp remains pessimistic about our prospects. “I think it’s unlikely,” he says.</w:t>
      </w:r>
      <w:r w:rsidRPr="00A710BF">
        <w:t xml:space="preserve"> “</w:t>
      </w:r>
      <w:r w:rsidRPr="00A710BF">
        <w:rPr>
          <w:rStyle w:val="StyleUnderline"/>
        </w:rPr>
        <w:t xml:space="preserve">We’re dealing with a 5,000-year process that is going to be incredibly difficult to reverse, as </w:t>
      </w:r>
      <w:r w:rsidRPr="00A710BF">
        <w:rPr>
          <w:rStyle w:val="Emphasis"/>
        </w:rPr>
        <w:t>we have increasing</w:t>
      </w:r>
      <w:r w:rsidRPr="00A710BF">
        <w:rPr>
          <w:rStyle w:val="StyleUnderline"/>
        </w:rPr>
        <w:t xml:space="preserve"> levels of </w:t>
      </w:r>
      <w:r w:rsidRPr="00A710BF">
        <w:rPr>
          <w:rStyle w:val="Emphasis"/>
        </w:rPr>
        <w:t>inequality and</w:t>
      </w:r>
      <w:r w:rsidRPr="00A710BF">
        <w:rPr>
          <w:rStyle w:val="StyleUnderline"/>
        </w:rPr>
        <w:t xml:space="preserve"> of </w:t>
      </w:r>
      <w:r w:rsidRPr="00A710BF">
        <w:rPr>
          <w:rStyle w:val="Emphasis"/>
        </w:rPr>
        <w:t>elite</w:t>
      </w:r>
      <w:r w:rsidRPr="00A710BF">
        <w:rPr>
          <w:rStyle w:val="StyleUnderline"/>
        </w:rPr>
        <w:t xml:space="preserve"> </w:t>
      </w:r>
      <w:r w:rsidRPr="00A710BF">
        <w:rPr>
          <w:rStyle w:val="Emphasis"/>
        </w:rPr>
        <w:t>capture of</w:t>
      </w:r>
      <w:r w:rsidRPr="00A710BF">
        <w:rPr>
          <w:rStyle w:val="StyleUnderline"/>
        </w:rPr>
        <w:t xml:space="preserve"> our </w:t>
      </w:r>
      <w:r w:rsidRPr="00A710BF">
        <w:rPr>
          <w:rStyle w:val="Emphasis"/>
        </w:rPr>
        <w:t>politics</w:t>
      </w:r>
      <w:r w:rsidRPr="00A710BF">
        <w:rPr>
          <w:rStyle w:val="StyleUnderline"/>
        </w:rPr>
        <w:t xml:space="preserve">. </w:t>
      </w:r>
      <w:r w:rsidRPr="00A710BF">
        <w:t xml:space="preserve">“But even if you don’t have hope, it doesn’t really matter. </w:t>
      </w:r>
      <w:r w:rsidRPr="00A710BF">
        <w:rPr>
          <w:rStyle w:val="StyleUnderline"/>
        </w:rPr>
        <w:t>This is about defiance. It’s about doing the right thing, fighting for democracy and for people to not be exploited.</w:t>
      </w:r>
      <w:r w:rsidRPr="00A710BF">
        <w:t xml:space="preserve"> And even if we fail, at the very least, we didn’t contribute to the problem.”</w:t>
      </w:r>
    </w:p>
    <w:p w14:paraId="6CFC328F" w14:textId="77777777" w:rsidR="00365070" w:rsidRPr="00A710BF" w:rsidRDefault="00365070" w:rsidP="00365070">
      <w:pPr>
        <w:pStyle w:val="Heading3"/>
        <w:rPr>
          <w:rFonts w:cs="Calibri"/>
        </w:rPr>
      </w:pPr>
      <w:r w:rsidRPr="00A710BF">
        <w:rPr>
          <w:rFonts w:cs="Calibri"/>
        </w:rPr>
        <w:lastRenderedPageBreak/>
        <w:t>Adv 2 – Courts</w:t>
      </w:r>
    </w:p>
    <w:p w14:paraId="222C90D0" w14:textId="77777777" w:rsidR="00365070" w:rsidRPr="00A710BF" w:rsidRDefault="00365070" w:rsidP="00365070">
      <w:pPr>
        <w:pStyle w:val="Heading4"/>
        <w:rPr>
          <w:rFonts w:cs="Calibri"/>
        </w:rPr>
      </w:pPr>
      <w:r w:rsidRPr="00A710BF">
        <w:rPr>
          <w:rFonts w:cs="Calibri"/>
        </w:rPr>
        <w:t>Trump is a symptom, not a cause, of the project – He represents the inevitable collapse of contradictions</w:t>
      </w:r>
    </w:p>
    <w:p w14:paraId="22BC4585" w14:textId="77777777" w:rsidR="00365070" w:rsidRPr="00A710BF" w:rsidRDefault="00365070" w:rsidP="00365070">
      <w:pPr>
        <w:rPr>
          <w:sz w:val="16"/>
          <w:szCs w:val="16"/>
        </w:rPr>
      </w:pPr>
      <w:r w:rsidRPr="00CE30D3">
        <w:rPr>
          <w:rStyle w:val="Style13ptBold"/>
        </w:rPr>
        <w:t>Fraser 17 (</w:t>
      </w:r>
      <w:r w:rsidRPr="00A710BF">
        <w:rPr>
          <w:sz w:val="16"/>
          <w:szCs w:val="16"/>
        </w:rPr>
        <w:t xml:space="preserve">Nancy Fraser is an American philosopher, critical theorist, feminist, and the Henry A. and Louise Loeb Professor of Political and Social Science and professor of philosophy at The New School in New York City, “From Progressive Neoliberalism to Trump—and Beyond,” </w:t>
      </w:r>
      <w:r w:rsidRPr="00A710BF">
        <w:rPr>
          <w:i/>
          <w:iCs/>
          <w:sz w:val="16"/>
          <w:szCs w:val="16"/>
        </w:rPr>
        <w:t>American Affairs Journalism</w:t>
      </w:r>
      <w:r w:rsidRPr="00A710BF">
        <w:rPr>
          <w:sz w:val="16"/>
          <w:szCs w:val="16"/>
        </w:rPr>
        <w:t>, Winter 2017, https://americanaffairsjournal.org/2017/11/progressive-neoliberalism-trump-beyond) CT</w:t>
      </w:r>
    </w:p>
    <w:p w14:paraId="2BC3BD82" w14:textId="77777777" w:rsidR="00365070" w:rsidRPr="00A710BF" w:rsidRDefault="00365070" w:rsidP="00365070">
      <w:pPr>
        <w:rPr>
          <w:sz w:val="8"/>
          <w:szCs w:val="8"/>
        </w:rPr>
      </w:pPr>
      <w:r w:rsidRPr="00A710BF">
        <w:rPr>
          <w:sz w:val="16"/>
        </w:rPr>
        <w:t xml:space="preserve">Whoever speaks of “crisis” today risks being dismissed as a bloviator, given the term’s banalization through endless loose talk. But there is a precise sense in which we do face a crisis today. If we characterize it precisely and identify its distinctive dynamics, we can better determine what is needed to resolve it. On that basis, too, we might glimpse a path that leads beyond the current impasse—through political realignment to societal transformation. At first sight, </w:t>
      </w:r>
      <w:r w:rsidRPr="002B2095">
        <w:rPr>
          <w:rStyle w:val="StyleUnderline"/>
          <w:highlight w:val="green"/>
        </w:rPr>
        <w:t>today’s crisis appears</w:t>
      </w:r>
      <w:r w:rsidRPr="00A710BF">
        <w:rPr>
          <w:rStyle w:val="StyleUnderline"/>
        </w:rPr>
        <w:t xml:space="preserve"> to be </w:t>
      </w:r>
      <w:r w:rsidRPr="002B2095">
        <w:rPr>
          <w:rStyle w:val="StyleUnderline"/>
          <w:highlight w:val="green"/>
        </w:rPr>
        <w:t>political</w:t>
      </w:r>
      <w:r w:rsidRPr="00A710BF">
        <w:rPr>
          <w:sz w:val="16"/>
        </w:rPr>
        <w:t xml:space="preserve">. Its most spectacular expression is right here, in the United States: Donald Trump—his election, his presidency, and the contention surrounding it. But there is no shortage of analogues elsewhere: the UK’s Brexit debacle; the waning legitimacy of the European Union and the disintegration of the social-democratic and center-right parties that championed it; the waxing fortunes of racist, anti-immigrant parties throughout northern and east-central Europe; and </w:t>
      </w:r>
      <w:r w:rsidRPr="00A710BF">
        <w:rPr>
          <w:rStyle w:val="StyleUnderline"/>
        </w:rPr>
        <w:t xml:space="preserve">the </w:t>
      </w:r>
      <w:r w:rsidRPr="002B2095">
        <w:rPr>
          <w:rStyle w:val="StyleUnderline"/>
          <w:highlight w:val="green"/>
        </w:rPr>
        <w:t>upsurge of authoritarian</w:t>
      </w:r>
      <w:r w:rsidRPr="00A710BF">
        <w:rPr>
          <w:rStyle w:val="StyleUnderline"/>
        </w:rPr>
        <w:t xml:space="preserve"> forces</w:t>
      </w:r>
      <w:r w:rsidRPr="00A710BF">
        <w:rPr>
          <w:sz w:val="16"/>
        </w:rPr>
        <w:t xml:space="preserve">, some qualifying as proto-fascist, in Latin America, Asia, and the Pacific. Our political crisis, if that’s what it is, is not just American, but global. What makes that claim plausible is that, notwithstanding their differences, all these phenomena share a common feature. </w:t>
      </w:r>
      <w:r w:rsidRPr="00A710BF">
        <w:rPr>
          <w:rStyle w:val="StyleUnderline"/>
        </w:rPr>
        <w:t xml:space="preserve">All </w:t>
      </w:r>
      <w:r w:rsidRPr="002B2095">
        <w:rPr>
          <w:rStyle w:val="StyleUnderline"/>
          <w:highlight w:val="green"/>
        </w:rPr>
        <w:t>involve a</w:t>
      </w:r>
      <w:r w:rsidRPr="00A710BF">
        <w:rPr>
          <w:rStyle w:val="StyleUnderline"/>
        </w:rPr>
        <w:t xml:space="preserve"> </w:t>
      </w:r>
      <w:r w:rsidRPr="002B2095">
        <w:rPr>
          <w:rStyle w:val="StyleUnderline"/>
          <w:highlight w:val="green"/>
        </w:rPr>
        <w:t>dramatic weakening</w:t>
      </w:r>
      <w:r w:rsidRPr="00A710BF">
        <w:rPr>
          <w:rStyle w:val="StyleUnderline"/>
        </w:rPr>
        <w:t xml:space="preserve">, if not a simple breakdown, </w:t>
      </w:r>
      <w:r w:rsidRPr="002B2095">
        <w:rPr>
          <w:rStyle w:val="StyleUnderline"/>
          <w:highlight w:val="green"/>
        </w:rPr>
        <w:t>of</w:t>
      </w:r>
      <w:r w:rsidRPr="00A710BF">
        <w:rPr>
          <w:rStyle w:val="StyleUnderline"/>
        </w:rPr>
        <w:t xml:space="preserve"> the authority of the established </w:t>
      </w:r>
      <w:r w:rsidRPr="002B2095">
        <w:rPr>
          <w:rStyle w:val="StyleUnderline"/>
          <w:highlight w:val="green"/>
        </w:rPr>
        <w:t>political classes</w:t>
      </w:r>
      <w:r w:rsidRPr="00A710BF">
        <w:rPr>
          <w:rStyle w:val="StyleUnderline"/>
        </w:rPr>
        <w:t xml:space="preserve"> and political parties</w:t>
      </w:r>
      <w:r w:rsidRPr="00A710BF">
        <w:rPr>
          <w:sz w:val="16"/>
        </w:rPr>
        <w:t xml:space="preserve">. It is as if masses of people throughout the world had stopped believing in the reigning common sense that underpinned political domination for the last several decades. It is as if they had lost confidence in the bona fides of the elites and were searching for new ideologies, organizations, and leadership. </w:t>
      </w:r>
      <w:r w:rsidRPr="00A710BF">
        <w:rPr>
          <w:rStyle w:val="StyleUnderline"/>
        </w:rPr>
        <w:t xml:space="preserve">Given the scale of the breakdown, it’s unlikely that this is a coincidence. Let us assume, accordingly, that we face a global political crisis. </w:t>
      </w:r>
      <w:r w:rsidRPr="00A710BF">
        <w:rPr>
          <w:sz w:val="16"/>
        </w:rPr>
        <w:t xml:space="preserve">As big as that sounds, it is only part of the story. The phenomena just evoked constitute the specifically political strand of a broader, multifaceted crisis, which also has other strands—economic, ecological, and social—all of which, taken together, add up to a general crisis. </w:t>
      </w:r>
      <w:r w:rsidRPr="00A710BF">
        <w:rPr>
          <w:rStyle w:val="StyleUnderline"/>
        </w:rPr>
        <w:t xml:space="preserve">Far from being merely sectoral, the </w:t>
      </w:r>
      <w:r w:rsidRPr="00E83A4D">
        <w:rPr>
          <w:rStyle w:val="StyleUnderline"/>
        </w:rPr>
        <w:t>political</w:t>
      </w:r>
      <w:r w:rsidRPr="002B2095">
        <w:rPr>
          <w:rStyle w:val="StyleUnderline"/>
          <w:highlight w:val="green"/>
        </w:rPr>
        <w:t xml:space="preserve"> crisis</w:t>
      </w:r>
      <w:r w:rsidRPr="00A710BF">
        <w:rPr>
          <w:rStyle w:val="StyleUnderline"/>
        </w:rPr>
        <w:t xml:space="preserve"> cannot be </w:t>
      </w:r>
      <w:r w:rsidRPr="002B2095">
        <w:rPr>
          <w:rStyle w:val="StyleUnderline"/>
          <w:highlight w:val="green"/>
        </w:rPr>
        <w:t>understood</w:t>
      </w:r>
      <w:r w:rsidRPr="00A710BF">
        <w:rPr>
          <w:rStyle w:val="StyleUnderline"/>
        </w:rPr>
        <w:t xml:space="preserve"> apart from the </w:t>
      </w:r>
      <w:r w:rsidRPr="002B2095">
        <w:rPr>
          <w:rStyle w:val="StyleUnderline"/>
          <w:highlight w:val="green"/>
        </w:rPr>
        <w:t>blockages to</w:t>
      </w:r>
      <w:r w:rsidRPr="00A710BF">
        <w:rPr>
          <w:rStyle w:val="StyleUnderline"/>
        </w:rPr>
        <w:t xml:space="preserve"> which it is responding in other, ostensibly nonpolitical, </w:t>
      </w:r>
      <w:r w:rsidRPr="002B2095">
        <w:rPr>
          <w:rStyle w:val="StyleUnderline"/>
          <w:highlight w:val="green"/>
        </w:rPr>
        <w:t>institutions</w:t>
      </w:r>
      <w:r w:rsidRPr="00A710BF">
        <w:rPr>
          <w:rStyle w:val="StyleUnderline"/>
        </w:rPr>
        <w:t xml:space="preserve">. In the United States, </w:t>
      </w:r>
      <w:r w:rsidRPr="00E83A4D">
        <w:rPr>
          <w:rStyle w:val="StyleUnderline"/>
        </w:rPr>
        <w:t>those</w:t>
      </w:r>
      <w:r w:rsidRPr="00A710BF">
        <w:rPr>
          <w:rStyle w:val="StyleUnderline"/>
        </w:rPr>
        <w:t xml:space="preserve"> blockages </w:t>
      </w:r>
      <w:r w:rsidRPr="002B2095">
        <w:rPr>
          <w:rStyle w:val="StyleUnderline"/>
          <w:highlight w:val="green"/>
        </w:rPr>
        <w:t xml:space="preserve">include </w:t>
      </w:r>
      <w:r w:rsidRPr="00E83A4D">
        <w:rPr>
          <w:rStyle w:val="StyleUnderline"/>
        </w:rPr>
        <w:t xml:space="preserve">the </w:t>
      </w:r>
      <w:r w:rsidRPr="002B2095">
        <w:rPr>
          <w:rStyle w:val="StyleUnderline"/>
          <w:highlight w:val="green"/>
        </w:rPr>
        <w:t>metastasization of finance</w:t>
      </w:r>
      <w:r w:rsidRPr="00A710BF">
        <w:rPr>
          <w:sz w:val="16"/>
        </w:rPr>
        <w:t xml:space="preserve">; the proliferation of precarious service-sector McJobs; ballooning consumer debt to enable the purchase of cheap stuff produced elsewhere; conjoint increases in carbon emissions, extreme weather, and climate denialism; racialized mass incarceration and systemic police violence; and mounting stresses on family and community life thanks in part to lengthened working hours and diminished social supports. Together, these forces have been grinding away at our social order for quite some time without producing a political earthquake. Now, however, all bets are off. In today’s widespread rejection of politics as usual, an objective systemwide crisis has found its subjective political voice. The political strand of our general crisis is a crisis of hegemony. </w:t>
      </w:r>
      <w:r w:rsidRPr="00A710BF">
        <w:rPr>
          <w:rStyle w:val="StyleUnderline"/>
        </w:rPr>
        <w:t xml:space="preserve">Donald </w:t>
      </w:r>
      <w:r w:rsidRPr="002B2095">
        <w:rPr>
          <w:rStyle w:val="StyleUnderline"/>
          <w:highlight w:val="green"/>
        </w:rPr>
        <w:t xml:space="preserve">Trump is </w:t>
      </w:r>
      <w:r w:rsidRPr="00E83A4D">
        <w:rPr>
          <w:rStyle w:val="StyleUnderline"/>
        </w:rPr>
        <w:t xml:space="preserve">the </w:t>
      </w:r>
      <w:r w:rsidRPr="002B2095">
        <w:rPr>
          <w:rStyle w:val="StyleUnderline"/>
          <w:highlight w:val="green"/>
        </w:rPr>
        <w:t>poster child</w:t>
      </w:r>
      <w:r w:rsidRPr="00A710BF">
        <w:rPr>
          <w:rStyle w:val="StyleUnderline"/>
        </w:rPr>
        <w:t xml:space="preserve"> for this hegemonic crisis. But we cannot understand </w:t>
      </w:r>
      <w:r w:rsidRPr="002B2095">
        <w:rPr>
          <w:rStyle w:val="StyleUnderline"/>
          <w:highlight w:val="green"/>
        </w:rPr>
        <w:t>his ascent</w:t>
      </w:r>
      <w:r w:rsidRPr="00A710BF">
        <w:rPr>
          <w:rStyle w:val="StyleUnderline"/>
        </w:rPr>
        <w:t xml:space="preserve"> unless we </w:t>
      </w:r>
      <w:r w:rsidRPr="002B2095">
        <w:rPr>
          <w:rStyle w:val="StyleUnderline"/>
          <w:highlight w:val="green"/>
        </w:rPr>
        <w:t>clarify the conditions that enabled it</w:t>
      </w:r>
      <w:r w:rsidRPr="00A710BF">
        <w:rPr>
          <w:rStyle w:val="StyleUnderline"/>
        </w:rPr>
        <w:t>. And that means identifying the worldview that Trumpism displaced and charting the process through which it unraveled</w:t>
      </w:r>
      <w:r w:rsidRPr="00A710BF">
        <w:rPr>
          <w:sz w:val="16"/>
        </w:rPr>
        <w:t>. The indispensable ideas for this purpose come from Antonio Gramsci. “</w:t>
      </w:r>
      <w:r w:rsidRPr="002B2095">
        <w:rPr>
          <w:rStyle w:val="StyleUnderline"/>
          <w:highlight w:val="green"/>
        </w:rPr>
        <w:t>Hegemony” is</w:t>
      </w:r>
      <w:r w:rsidRPr="00A710BF">
        <w:rPr>
          <w:rStyle w:val="StyleUnderline"/>
        </w:rPr>
        <w:t xml:space="preserve"> his term for </w:t>
      </w:r>
      <w:r w:rsidRPr="00E83A4D">
        <w:rPr>
          <w:rStyle w:val="StyleUnderline"/>
        </w:rPr>
        <w:t>the</w:t>
      </w:r>
      <w:r w:rsidRPr="00A710BF">
        <w:rPr>
          <w:rStyle w:val="StyleUnderline"/>
        </w:rPr>
        <w:t xml:space="preserve"> </w:t>
      </w:r>
      <w:r w:rsidRPr="002B2095">
        <w:rPr>
          <w:rStyle w:val="StyleUnderline"/>
          <w:highlight w:val="green"/>
        </w:rPr>
        <w:t xml:space="preserve">process by which </w:t>
      </w:r>
      <w:r w:rsidRPr="00A710BF">
        <w:rPr>
          <w:rStyle w:val="StyleUnderline"/>
        </w:rPr>
        <w:t xml:space="preserve">a </w:t>
      </w:r>
      <w:r w:rsidRPr="002B2095">
        <w:rPr>
          <w:rStyle w:val="StyleUnderline"/>
          <w:highlight w:val="green"/>
        </w:rPr>
        <w:t>ruling class naturalizes</w:t>
      </w:r>
      <w:r w:rsidRPr="00A710BF">
        <w:rPr>
          <w:rStyle w:val="StyleUnderline"/>
        </w:rPr>
        <w:t xml:space="preserve"> its domination by installing the presuppositions of </w:t>
      </w:r>
      <w:r w:rsidRPr="002B2095">
        <w:rPr>
          <w:rStyle w:val="StyleUnderline"/>
          <w:highlight w:val="green"/>
        </w:rPr>
        <w:t>its</w:t>
      </w:r>
      <w:r w:rsidRPr="00A710BF">
        <w:rPr>
          <w:rStyle w:val="StyleUnderline"/>
        </w:rPr>
        <w:t xml:space="preserve"> own </w:t>
      </w:r>
      <w:r w:rsidRPr="002B2095">
        <w:rPr>
          <w:rStyle w:val="StyleUnderline"/>
          <w:highlight w:val="green"/>
        </w:rPr>
        <w:t xml:space="preserve">worldview as </w:t>
      </w:r>
      <w:r w:rsidRPr="00A710BF">
        <w:rPr>
          <w:rStyle w:val="StyleUnderline"/>
        </w:rPr>
        <w:t xml:space="preserve">the </w:t>
      </w:r>
      <w:r w:rsidRPr="002B2095">
        <w:rPr>
          <w:rStyle w:val="StyleUnderline"/>
          <w:highlight w:val="green"/>
        </w:rPr>
        <w:t>common</w:t>
      </w:r>
      <w:r w:rsidRPr="00A710BF">
        <w:rPr>
          <w:rStyle w:val="StyleUnderline"/>
        </w:rPr>
        <w:t xml:space="preserve"> sense of society as a whole</w:t>
      </w:r>
      <w:r w:rsidRPr="00A710BF">
        <w:rPr>
          <w:sz w:val="16"/>
        </w:rPr>
        <w:t xml:space="preserve">. Its organizational counterpart is the “hegemonic bloc”: </w:t>
      </w:r>
      <w:r w:rsidRPr="00A710BF">
        <w:rPr>
          <w:rStyle w:val="StyleUnderline"/>
        </w:rPr>
        <w:t>a coalition of disparate social forces that the ruling class assembles and through which it asserts its leadership</w:t>
      </w:r>
      <w:r w:rsidRPr="00A710BF">
        <w:rPr>
          <w:sz w:val="16"/>
        </w:rPr>
        <w:t xml:space="preserve">. </w:t>
      </w:r>
      <w:r w:rsidRPr="00A710BF">
        <w:rPr>
          <w:sz w:val="10"/>
          <w:szCs w:val="10"/>
        </w:rPr>
        <w:t>If they hope to challenge these arrangements, the dominated classes must construct a new, more persuasive common sense or “counterhegemony” and a new, more powerful political alliance or “counterhegemonic bloc.” To these ideas of Gramsci, we must add one more. Every hegemonic bloc embodies a set of assumptions about what is just and right and what is not. Since at least the mid-twentieth century in the United States and Europe, capitalist hegemony has been forged by combining two different aspects of right and justice—one focused on distribution, the other on recognition. The distributive aspect conveys a view about how society should allocate divisible goods, especially income. This aspect speaks to the economic structure of society and, however obliquely, to its class divisions. The recognition aspect expresses a sense of how society should apportion respect and esteem, the moral marks of membership and belonging. Focused on the status order of society, this aspect refers to its status hierarchies. Together distribution and recognition constitute the essential normative components out of which hegemonies are constructed. Putting this idea together with Gramsci’s, we can say that what made Trump and Trumpism possible was the breakup of a previous hegemonic bloc—and the discrediting of its distinctive normative nexus of distribution and recognition. By parsing the construction and breakup of that nexus, we can clarify not only Trumpism, but also the prospects, post Trump, for a counterhegemonic bloc that could resolve the crisis. Let me explain. The Hegemony of Progressive Neoliberalism</w:t>
      </w:r>
      <w:r w:rsidRPr="00A710BF">
        <w:rPr>
          <w:sz w:val="16"/>
        </w:rPr>
        <w:t xml:space="preserve"> </w:t>
      </w:r>
      <w:r w:rsidRPr="002B2095">
        <w:rPr>
          <w:rStyle w:val="StyleUnderline"/>
          <w:highlight w:val="green"/>
        </w:rPr>
        <w:t>Prior to Trump, the hegemonic</w:t>
      </w:r>
      <w:r w:rsidRPr="00A710BF">
        <w:rPr>
          <w:rStyle w:val="StyleUnderline"/>
        </w:rPr>
        <w:t xml:space="preserve"> </w:t>
      </w:r>
      <w:r w:rsidRPr="002B2095">
        <w:rPr>
          <w:rStyle w:val="StyleUnderline"/>
          <w:highlight w:val="green"/>
        </w:rPr>
        <w:t>bloc</w:t>
      </w:r>
      <w:r w:rsidRPr="00A710BF">
        <w:rPr>
          <w:rStyle w:val="StyleUnderline"/>
        </w:rPr>
        <w:t xml:space="preserve"> that dominated American politics </w:t>
      </w:r>
      <w:r w:rsidRPr="002B2095">
        <w:rPr>
          <w:rStyle w:val="StyleUnderline"/>
          <w:highlight w:val="green"/>
        </w:rPr>
        <w:t>was progressive neoliberalism</w:t>
      </w:r>
      <w:r w:rsidRPr="00A710BF">
        <w:rPr>
          <w:rStyle w:val="StyleUnderline"/>
        </w:rPr>
        <w:t>. That may sound like an oxymoron, but it was a real and powerful alliance of two unlikely bedfellows: on the one hand, mainstream liberal currents of the new social movements</w:t>
      </w:r>
      <w:r w:rsidRPr="00A710BF">
        <w:rPr>
          <w:sz w:val="16"/>
        </w:rPr>
        <w:t xml:space="preserve"> </w:t>
      </w:r>
      <w:r w:rsidRPr="00A710BF">
        <w:rPr>
          <w:sz w:val="8"/>
          <w:szCs w:val="8"/>
        </w:rPr>
        <w:t xml:space="preserve">(feminism, antiracism, multiculturalism, environmentalism, and LGBTQ rights); on the other hand, the most dynamic, high-end “symbolic” and financial sectors of the U.S. economy (Wall Street, Silicon Valley, and Hollywood). What held this odd couple together was a distinctive combination of views about distribution and recognition. The progressive-neoliberal bloc combined an expropriative, plutocratic economic program with a liberal-meritocratic politics of recognition. The distributive component of this amalgam was neoliberal. Determined to unshackle market forces from the heavy hand of the state and from the millstone of “tax and spend,” the classes that led this bloc aimed to liberalize and globalize the capitalist economy. What that meant, in reality, was financialization: the dismantling of barriers to, and protections from, the free movement of capital; the deregulation of banking and the ballooning of predatory debt; deindustrialization, the weakening of unions, and the spread of precarious, badly paid work. Popularly associated with Ronald Reagan, but substantially implemented and consolidated by Bill Clinton, these policies hollowed out working-class and middle-class living standards, while transferring wealth and value upward—chiefly to the one percent, of course, but also to the upper reaches of the professional-managerial classes. Progressive neoliberals did not dream up this political economy. That honor belongs to the Right: to its intellectual luminaries Friedrich Hayek, Milton Friedman, and James Buchanan; to its visionary politicians, Barry Goldwater and Ronald Reagan; and to their deep-pocketed enablers, Charles and David Koch, among others. But the right-wing “fundamentalist” version of neoliberalism could not become hegemonic in a country whose common sense was still shaped by New Deal thinking, the “rights revolution,” and a slew of social movements descended from the New Left. For the neoliberal project to triumph, it had to be repackaged, given a broader appeal, linked to other, noneconomic aspirations for emancipation. Only when decked out as progressive could a deeply regressive political economy become the dynamic center of a new hegemonic bloc. It fell, accordingly, to the “New Democrats” to contribute the essential ingredient: a progressive politics of recognition. Drawing on progressive forces from civil society, they diffused a recognition ethos that was </w:t>
      </w:r>
      <w:r w:rsidRPr="00A710BF">
        <w:rPr>
          <w:sz w:val="8"/>
          <w:szCs w:val="8"/>
        </w:rPr>
        <w:lastRenderedPageBreak/>
        <w:t>superficially egalitarian and emancipatory. At the core of this ethos were ideals of “diversity,” women’s “empowerment,” and LGBTQ rights; post-racialism, multiculturalism, and environmentalism. These ideals were interpreted in a specific, limited way that was fully compatible with the Goldman Sachsification of the U.S. economy. Protecting the environment meant carbon trading. Promoting home ownership meant subprime loans bundled together and resold as mortgage-backed securities. Equality meant meritocracy. The reduction of equality to meritocracy was especially fateful. The progressive-neoliberal program for a just status order did not aim to abolish social hierarchy but to “diversify” it, “empowering” “talented” women, people of color, and sexual minorities to rise to the top. And that ideal was inherently class specific: geared to ensuring that “deserving” individuals from “underrepresented groups” could attain positions and pay on a par with the straight white men of their own class. The feminist variant is telling but, sadly, not unique. Focused on “leaning in” and “cracking the glass ceiling,” its principal beneficiaries could only be those already in possession of the requisite social, cultural, and economic capital. Everyone else would be stuck in the basement. Skewed as it was, this politics of recognition worked to seduce major currents of progressive social movements into the new hegemonic bloc. Certainly, not all feminists, anti-racists, multiculturalists, and so forth were won over to the progressive neoliberal cause. But those who were, whether knowingly or otherwise, constituted the largest, most visible segment of their respective movements, while those who resisted it were confined to the margins. The progressives in the progressive neoliberal bloc were, to be sure, its junior partners, far less powerful than their allies in Wall Street, Hollywood, and Silicon Valley. Yet they contributed something essential to this dangerous liaison: charisma, a “new spirit of capitalism.” Exuding an aura of emancipation, this new “spirit” charged neoliberal economic activity with a frisson of excitement. Now associated with the forward-thinking and the liberatory, the cosmopolitan and the morally advanced, the dismal suddenly became thrilling. Thanks in large part to this ethos, policies that fostered a vast upward re</w:t>
      </w:r>
      <w:r w:rsidRPr="00A710BF">
        <w:rPr>
          <w:sz w:val="8"/>
          <w:szCs w:val="8"/>
        </w:rPr>
        <w:softHyphen/>
        <w:t>distribution of wealth and income acquired the patina of legitimacy. To achieve hegemony, however, the emerging progressive neoliberal bloc had to defeat two different rivals. First, it had to vanquish the not insubstantial remnants of the New Deal coalition. Anticipating Tony Blair’s “New Labour,” the Clintonite wing of the Democratic Party quietly disarticulated that older alliance. In place of a historic bloc that had successfully united organized labor, immigrants, African Americans, the urban middle classes, and some factions of big industrial capital for several decades, they forged a new alliance of entrepreneurs, bankers, suburbanites, “symbolic workers,” new social movements, Latinos, and youth, while retaining the support of African Americans, who felt they had nowhere else to go. Campaigning for the Democratic presidential nomination in 1991/92, Bill Clinton won the day by talking the talk of diversity, multiculturalism, and women’s rights, even while preparing to walk the walk of Goldman Sachs. The Defeat of Reactionary Neoliberalism</w:t>
      </w:r>
      <w:r w:rsidRPr="00A710BF">
        <w:rPr>
          <w:sz w:val="16"/>
        </w:rPr>
        <w:t xml:space="preserve"> </w:t>
      </w:r>
      <w:r w:rsidRPr="002B2095">
        <w:rPr>
          <w:rStyle w:val="StyleUnderline"/>
          <w:highlight w:val="green"/>
        </w:rPr>
        <w:t>Progressive neoliberalism</w:t>
      </w:r>
      <w:r w:rsidRPr="00A710BF">
        <w:rPr>
          <w:rStyle w:val="StyleUnderline"/>
        </w:rPr>
        <w:t xml:space="preserve"> also had to </w:t>
      </w:r>
      <w:r w:rsidRPr="002B2095">
        <w:rPr>
          <w:rStyle w:val="StyleUnderline"/>
          <w:highlight w:val="green"/>
        </w:rPr>
        <w:t>defeat</w:t>
      </w:r>
      <w:r w:rsidRPr="00A710BF">
        <w:rPr>
          <w:rStyle w:val="StyleUnderline"/>
        </w:rPr>
        <w:t xml:space="preserve"> a second competitor, with which it shared more than it let on. The antagonist in this case was </w:t>
      </w:r>
      <w:r w:rsidRPr="002B2095">
        <w:rPr>
          <w:rStyle w:val="StyleUnderline"/>
          <w:highlight w:val="green"/>
        </w:rPr>
        <w:t>reactionary neoliberalism</w:t>
      </w:r>
      <w:r w:rsidRPr="00A710BF">
        <w:rPr>
          <w:rStyle w:val="StyleUnderline"/>
        </w:rPr>
        <w:t xml:space="preserve">. Housed mainly </w:t>
      </w:r>
      <w:r w:rsidRPr="002B2095">
        <w:rPr>
          <w:rStyle w:val="StyleUnderline"/>
          <w:highlight w:val="green"/>
        </w:rPr>
        <w:t>in the</w:t>
      </w:r>
      <w:r w:rsidRPr="00A710BF">
        <w:rPr>
          <w:rStyle w:val="StyleUnderline"/>
        </w:rPr>
        <w:t xml:space="preserve"> </w:t>
      </w:r>
      <w:r w:rsidRPr="002B2095">
        <w:rPr>
          <w:rStyle w:val="StyleUnderline"/>
          <w:highlight w:val="green"/>
        </w:rPr>
        <w:t>Republican Party</w:t>
      </w:r>
      <w:r w:rsidRPr="00A710BF">
        <w:rPr>
          <w:rStyle w:val="StyleUnderline"/>
        </w:rPr>
        <w:t xml:space="preserve"> and less coherent than its dominant rival, </w:t>
      </w:r>
      <w:r w:rsidRPr="00084421">
        <w:rPr>
          <w:rStyle w:val="StyleUnderline"/>
        </w:rPr>
        <w:t xml:space="preserve">this </w:t>
      </w:r>
      <w:r w:rsidRPr="002B2095">
        <w:rPr>
          <w:rStyle w:val="StyleUnderline"/>
          <w:highlight w:val="green"/>
        </w:rPr>
        <w:t>second bloc</w:t>
      </w:r>
      <w:r w:rsidRPr="00A710BF">
        <w:rPr>
          <w:rStyle w:val="StyleUnderline"/>
        </w:rPr>
        <w:t xml:space="preserve"> offered a different nexus of distribution and recognition. It combined a similar, neoliberal politics of distribution with a different, reactionary politics of recognition</w:t>
      </w:r>
      <w:r w:rsidRPr="00A710BF">
        <w:rPr>
          <w:sz w:val="16"/>
        </w:rPr>
        <w:t xml:space="preserve">. While claiming to foster small business and manufacturing, reactionary neoliberalism’s true economic project centered on bolstering finance, military production, and extractive energy, all to the principal benefit of the global one percent. </w:t>
      </w:r>
      <w:r w:rsidRPr="00A710BF">
        <w:rPr>
          <w:rStyle w:val="StyleUnderline"/>
        </w:rPr>
        <w:t xml:space="preserve">What </w:t>
      </w:r>
      <w:r w:rsidRPr="002B2095">
        <w:rPr>
          <w:rStyle w:val="StyleUnderline"/>
          <w:highlight w:val="green"/>
        </w:rPr>
        <w:t>was supposed to</w:t>
      </w:r>
      <w:r w:rsidRPr="00A710BF">
        <w:rPr>
          <w:rStyle w:val="StyleUnderline"/>
        </w:rPr>
        <w:t xml:space="preserve"> </w:t>
      </w:r>
      <w:r w:rsidRPr="002B2095">
        <w:rPr>
          <w:rStyle w:val="StyleUnderline"/>
          <w:highlight w:val="green"/>
        </w:rPr>
        <w:t>render</w:t>
      </w:r>
      <w:r w:rsidRPr="00A710BF">
        <w:rPr>
          <w:rStyle w:val="StyleUnderline"/>
        </w:rPr>
        <w:t xml:space="preserve"> that </w:t>
      </w:r>
      <w:r w:rsidRPr="002B2095">
        <w:rPr>
          <w:rStyle w:val="StyleUnderline"/>
          <w:highlight w:val="green"/>
        </w:rPr>
        <w:t>palatable for the ba</w:t>
      </w:r>
      <w:r w:rsidRPr="00084421">
        <w:rPr>
          <w:rStyle w:val="StyleUnderline"/>
          <w:highlight w:val="green"/>
        </w:rPr>
        <w:t>se</w:t>
      </w:r>
      <w:r w:rsidRPr="00A710BF">
        <w:rPr>
          <w:rStyle w:val="StyleUnderline"/>
        </w:rPr>
        <w:t xml:space="preserve"> it sought to assemble was </w:t>
      </w:r>
      <w:r w:rsidRPr="002B2095">
        <w:rPr>
          <w:rStyle w:val="StyleUnderline"/>
          <w:highlight w:val="green"/>
        </w:rPr>
        <w:t>an exclusionary vision o</w:t>
      </w:r>
      <w:r w:rsidRPr="00A710BF">
        <w:rPr>
          <w:rStyle w:val="StyleUnderline"/>
        </w:rPr>
        <w:t xml:space="preserve">f a just status </w:t>
      </w:r>
      <w:r w:rsidRPr="002B2095">
        <w:rPr>
          <w:rStyle w:val="StyleUnderline"/>
          <w:highlight w:val="green"/>
        </w:rPr>
        <w:t>order</w:t>
      </w:r>
      <w:r w:rsidRPr="00A710BF">
        <w:rPr>
          <w:rStyle w:val="StyleUnderline"/>
        </w:rPr>
        <w:t>: ethnonational, anti-immigrant, and pro-Christian, if not overtly racist, patriarchal, and homophobic</w:t>
      </w:r>
      <w:r w:rsidRPr="00A710BF">
        <w:rPr>
          <w:sz w:val="16"/>
        </w:rPr>
        <w:t xml:space="preserve">. This was the formula that allowed Christian evangelicals, southern whites, rural and small-town Americans, and disaffected white working-class strata to coexist for a couple decades, however uneasily, with libertarians, Tea Partiers, the Chamber of Commerce, and the Koch brothers, plus a smattering of bankers, real-estate tycoons, energy moguls, venture capitalists, and hedge-fund speculators. </w:t>
      </w:r>
      <w:r w:rsidRPr="00A710BF">
        <w:rPr>
          <w:rStyle w:val="StyleUnderline"/>
        </w:rPr>
        <w:t xml:space="preserve">Sectoral emphases aside, on the big questions of political </w:t>
      </w:r>
      <w:r w:rsidRPr="00084421">
        <w:rPr>
          <w:rStyle w:val="StyleUnderline"/>
        </w:rPr>
        <w:t>economy, reactionary neoliberalism</w:t>
      </w:r>
      <w:r w:rsidRPr="00A710BF">
        <w:rPr>
          <w:rStyle w:val="StyleUnderline"/>
        </w:rPr>
        <w:t xml:space="preserve"> </w:t>
      </w:r>
      <w:r w:rsidRPr="002B2095">
        <w:rPr>
          <w:rStyle w:val="StyleUnderline"/>
          <w:highlight w:val="green"/>
        </w:rPr>
        <w:t>did not</w:t>
      </w:r>
      <w:r w:rsidRPr="00A710BF">
        <w:rPr>
          <w:rStyle w:val="StyleUnderline"/>
        </w:rPr>
        <w:t xml:space="preserve"> substantially </w:t>
      </w:r>
      <w:r w:rsidRPr="002B2095">
        <w:rPr>
          <w:rStyle w:val="StyleUnderline"/>
          <w:highlight w:val="green"/>
        </w:rPr>
        <w:t>differ from</w:t>
      </w:r>
      <w:r w:rsidRPr="00A710BF">
        <w:rPr>
          <w:rStyle w:val="StyleUnderline"/>
        </w:rPr>
        <w:t xml:space="preserve"> its </w:t>
      </w:r>
      <w:r w:rsidRPr="002B2095">
        <w:rPr>
          <w:rStyle w:val="StyleUnderline"/>
          <w:highlight w:val="green"/>
        </w:rPr>
        <w:t>progressive-neoliberal</w:t>
      </w:r>
      <w:r w:rsidRPr="00A710BF">
        <w:rPr>
          <w:rStyle w:val="StyleUnderline"/>
        </w:rPr>
        <w:t xml:space="preserve"> rival. Granted, the two parties argued some about “taxes on the rich,” with the Democrats usually caving. But </w:t>
      </w:r>
      <w:r w:rsidRPr="002B2095">
        <w:rPr>
          <w:rStyle w:val="StyleUnderline"/>
          <w:highlight w:val="green"/>
        </w:rPr>
        <w:t>both</w:t>
      </w:r>
      <w:r w:rsidRPr="00A710BF">
        <w:rPr>
          <w:rStyle w:val="StyleUnderline"/>
        </w:rPr>
        <w:t xml:space="preserve"> blocs supported “free trade,” low corporate taxes, </w:t>
      </w:r>
      <w:r w:rsidRPr="002B2095">
        <w:rPr>
          <w:rStyle w:val="Emphasis"/>
          <w:highlight w:val="green"/>
        </w:rPr>
        <w:t>curtailed labor rights</w:t>
      </w:r>
      <w:r w:rsidRPr="00A710BF">
        <w:rPr>
          <w:rStyle w:val="StyleUnderline"/>
        </w:rPr>
        <w:t>, the primacy of shareholder interest, winner-takes-all compensation, and financial deregulation</w:t>
      </w:r>
      <w:r w:rsidRPr="00A710BF">
        <w:rPr>
          <w:sz w:val="16"/>
        </w:rPr>
        <w:t xml:space="preserve">. Both blocs elected leaders who sought “grand bargains” aimed at cutting entitlements. The key differences between them turned on recognition, not distribution. Progressive neoliberalism mostly won that battle as well, but at a cost. Decaying manufacturing centers, especially </w:t>
      </w:r>
      <w:r w:rsidRPr="002B2095">
        <w:rPr>
          <w:rStyle w:val="StyleUnderline"/>
          <w:highlight w:val="green"/>
        </w:rPr>
        <w:t>the</w:t>
      </w:r>
      <w:r w:rsidRPr="00A710BF">
        <w:rPr>
          <w:rStyle w:val="StyleUnderline"/>
        </w:rPr>
        <w:t xml:space="preserve"> so-called </w:t>
      </w:r>
      <w:r w:rsidRPr="002B2095">
        <w:rPr>
          <w:rStyle w:val="StyleUnderline"/>
          <w:highlight w:val="green"/>
        </w:rPr>
        <w:t xml:space="preserve">Rust Belt, </w:t>
      </w:r>
      <w:r w:rsidRPr="00A710BF">
        <w:rPr>
          <w:rStyle w:val="StyleUnderline"/>
        </w:rPr>
        <w:t xml:space="preserve">were </w:t>
      </w:r>
      <w:r w:rsidRPr="002B2095">
        <w:rPr>
          <w:rStyle w:val="StyleUnderline"/>
          <w:highlight w:val="green"/>
        </w:rPr>
        <w:t>sacrificed</w:t>
      </w:r>
      <w:r w:rsidRPr="00A710BF">
        <w:rPr>
          <w:sz w:val="16"/>
        </w:rPr>
        <w:t xml:space="preserve">. That region, along with newer industrial centers in the South, took a major hit thanks to a triad of Bill Clinton’s policies: NAFTA, the accession of China to the WTO (justified, in part, as promoting democracy), and the repeal of Glass-Steagall. Together, those policies and their successors ravaged communities that had relied on manufacturing. </w:t>
      </w:r>
      <w:r w:rsidRPr="00A710BF">
        <w:rPr>
          <w:rStyle w:val="StyleUnderline"/>
        </w:rPr>
        <w:t xml:space="preserve">In the course of two decades of progressive neoliberal hegemony, neither of the two major blocs made any serious effort to support those communities. </w:t>
      </w:r>
      <w:r w:rsidRPr="002B2095">
        <w:rPr>
          <w:rStyle w:val="StyleUnderline"/>
          <w:highlight w:val="green"/>
        </w:rPr>
        <w:t>To</w:t>
      </w:r>
      <w:r w:rsidRPr="00A710BF">
        <w:rPr>
          <w:rStyle w:val="StyleUnderline"/>
        </w:rPr>
        <w:t xml:space="preserve"> the </w:t>
      </w:r>
      <w:r w:rsidRPr="002B2095">
        <w:rPr>
          <w:rStyle w:val="StyleUnderline"/>
          <w:highlight w:val="green"/>
        </w:rPr>
        <w:t xml:space="preserve">neoliberals, </w:t>
      </w:r>
      <w:r w:rsidRPr="00084421">
        <w:rPr>
          <w:rStyle w:val="StyleUnderline"/>
        </w:rPr>
        <w:t xml:space="preserve">their </w:t>
      </w:r>
      <w:r w:rsidRPr="002B2095">
        <w:rPr>
          <w:rStyle w:val="StyleUnderline"/>
          <w:highlight w:val="green"/>
        </w:rPr>
        <w:t xml:space="preserve">economies were uncompetitive and </w:t>
      </w:r>
      <w:r w:rsidRPr="00A710BF">
        <w:rPr>
          <w:rStyle w:val="StyleUnderline"/>
        </w:rPr>
        <w:t xml:space="preserve">should be </w:t>
      </w:r>
      <w:r w:rsidRPr="002B2095">
        <w:rPr>
          <w:rStyle w:val="StyleUnderline"/>
          <w:highlight w:val="green"/>
        </w:rPr>
        <w:t xml:space="preserve">subject to “market </w:t>
      </w:r>
      <w:r w:rsidRPr="00A710BF">
        <w:rPr>
          <w:rStyle w:val="StyleUnderline"/>
        </w:rPr>
        <w:t>correction.” To the progressives, their cultures were stuck in the past, tied to obsolete, parochial values that would soon disappear in a new cosmopolitan dispensation.</w:t>
      </w:r>
      <w:r w:rsidRPr="00A710BF">
        <w:rPr>
          <w:sz w:val="16"/>
        </w:rPr>
        <w:t xml:space="preserve"> On neither ground—distribution or recognition—could progressive neoliberals find any reason to defend Rust Belt and southern manufacturing communities. The Hegemonic Gap—and the Struggle to Fill It </w:t>
      </w:r>
      <w:r w:rsidRPr="00A710BF">
        <w:rPr>
          <w:rStyle w:val="StyleUnderline"/>
        </w:rPr>
        <w:t>The political universe that Trump upended was highly restrictive. It was built around the opposition between two versions of neoliberalism, distinguished chiefly on the axis of recognition</w:t>
      </w:r>
      <w:r w:rsidRPr="00A710BF">
        <w:rPr>
          <w:sz w:val="16"/>
        </w:rPr>
        <w:t xml:space="preserve">. Granted, one could choose between multiculturalism and ethnonationalism. But one was stuck, either way, with financialization and deindustrialization. With the menu limited to progressive and reactionary neoliberalism, there was no force to oppose the decimation of working-class and middle-class standards of living. Anti-neoliberal projects were severely marginalized, if not simply excluded, from the public sphere. That left a sizeable segment of the U.S. electorate, victims of financialization and corporate globalization, without a natural political home. </w:t>
      </w:r>
      <w:r w:rsidRPr="00A710BF">
        <w:rPr>
          <w:rStyle w:val="StyleUnderline"/>
        </w:rPr>
        <w:t>Given that neither of the two major blocs spoke for them, there was a gap in the American political universe: an empty, unoccupied zone, where anti-neoliberal, pro-working-family politics might have taken root</w:t>
      </w:r>
      <w:r w:rsidRPr="00A710BF">
        <w:rPr>
          <w:sz w:val="16"/>
        </w:rPr>
        <w:t xml:space="preserve">. </w:t>
      </w:r>
      <w:r w:rsidRPr="00A710BF">
        <w:rPr>
          <w:sz w:val="8"/>
          <w:szCs w:val="8"/>
        </w:rPr>
        <w:t>Given the accelerating pace of deindustrialization, the proliferation of precarious, low-wage McJobs, the rise of predatory debt, and the consequent decline in living standards for the bottom two-thirds of Americans, it was only a matter of time before someone would proceed to occupy that empty space and fill the gap. Some assumed that that moment had arrived in 2007/8. A world still reeling from one of the worst foreign policy disasters in U.S. history was then forced to confront the worst financial crisis since the Great Depression—and a near meltdown the global economy. Politics as usual fell by the wayside. An African American who spoke of “hope” and “change” ascended to the presidency, vowing to transform not just policy but the entire “mindset” of American politics. Barack Obama might have seized the opportunity to mobilize mass support for a major shift away from neoliberalism, even in the face of congressional opposition. Instead, he entrusted the economy to the very Wall Street forces that had nearly wrecked it. Defining the goal as “recovery” as opposed to structural reform, Obama lavished enormous cash bailouts on banks that were “too big to fail,” but he failed to do anything remotely comparable for their victims: the ten million Americans who lost their homes to foreclosure during the crisis. The one exception was the expansion of Medicaid through the Affordable Care Act, which provided a real material benefit to a portion of the U.S. working class. But that was the exception that proved the rule. Unlike the single-payer and public option proposals that Obama renounced even before health-care negotiations began, his approach reinforced the very divisions within the working class that would eventually prove so politically fateful. All told, the overwhelming thrust of his presidency was to maintain the progressive neoliberal status quo despite its growing unpopularity. Another chance to fill the hegemonic gap arrived in 2011, with the eruption of Occupy Wall Street. Tired of waiting for redress from the political system and resolving to take matters into its own hands, a segment of civil society seized public squares throughout the country in the name of “the 99 percent.” Denouncing a system that pillaged the vast majority in order to enrich the top one percent, relatively small groups of youthful protesters soon attracted broad support—up to 60 percent of the American people, according to some polls—especially from besieged unions, indebted students, struggling middle-class families and the growing “precariat.” Occupy’s political effects were contained, however, serving chiefly to reelect Obama. It was by adopting the movement’s rhetoric that he garnered support from many who would go on to vote for Trump in 2016 and thereby defeated Romney in 2012. Having won himself four more years, however, the president’s newfound class consciousness swiftly evaporated. Confining the pursuit of “change” to the issuing of executive orders, he neither prosecuted the malefactors of wealth nor used the bully pulpit to rally the American people against Wall Street. Assuming the storm had passed, the U.S. political classes barely missed a beat. Continuing to uphold the neoliberal consensus, they failed to see in Occupy the first rumblings of an earthquake to come. That earthquake finally struck in 2015/16, as long-simmering discontent suddenly shape-shifted into a full-bore crisis of political authority. In that election season, both major political blocs appeared to collapse. On the Republican side, Trump, campaigning on populist themes, handily defeated (as he continues to remind us) his sixteen hapless primary rivals, including several handpicked by party bosses and major donors. On the Democratic side, Bernie Sanders, a self-proclaimed democratic socialist, mounted a surprisingly serious challenge to Obama’s anointed successor, who had to deploy every trick and lever of party power to stave him off. On both sides, the usual scripts were upended as a pair of outsiders occupied the hegemonic gap and proceeded to fill it with new political memes.</w:t>
      </w:r>
      <w:r w:rsidRPr="00A710BF">
        <w:rPr>
          <w:sz w:val="16"/>
        </w:rPr>
        <w:t xml:space="preserve"> </w:t>
      </w:r>
      <w:r w:rsidRPr="00A710BF">
        <w:rPr>
          <w:rStyle w:val="StyleUnderline"/>
        </w:rPr>
        <w:t xml:space="preserve">Both Sanders and Trump excoriated the neoliberal politics of distribution. But their politics of recognition differed sharply. Whereas Sanders denounced the “rigged economy” in universalist and egalitarian accents, Trump borrowed the very </w:t>
      </w:r>
      <w:r w:rsidRPr="00A710BF">
        <w:rPr>
          <w:rStyle w:val="StyleUnderline"/>
        </w:rPr>
        <w:lastRenderedPageBreak/>
        <w:t xml:space="preserve">same phrase but colored it nationalist and protectionist. </w:t>
      </w:r>
      <w:r w:rsidRPr="00A710BF">
        <w:rPr>
          <w:sz w:val="8"/>
          <w:szCs w:val="8"/>
        </w:rPr>
        <w:t>Doubling down on long-standing exclusionary tropes, he transformed what had been “mere” dog whistles into full-throated blasts of racism, misogyny, Islamophobia, homo- and transphobia, and anti-immigrant sentiment. The “working-class” base his rhetoric conjured was white, straight, male, and Christian, based in mining, drilling, construction, and heavy industry. By contrast, the working class Sanders wooed was broad and expansive, encompassing not only Rust Belt factory workers, but also public-sector and service workers, including women, immigrants, and people of color. Certainly, the contrast between these two portraits of “the working class” was largely rhetorical. Neither portrait strictly matched its champion’s voter base. Although Trump’s margin of victory came from eviscerated manufacturing centers that had gone for Obama in 2012 and for Sanders in the Democratic primaries of 2015, his voters also included the usual Republican suspects—including libertarians, business owners, and others with little use for economic populism. Likewise, the most reliable Sanders voters were young, college-educated Americans. But that is not the point. As a rhetorical projection of a possible counterhegemony, it was Sanders’s expansive view of the U.S. working class that most sharply distinguished his brand of populism from that of Trump. Both outsiders sketched the outlines of a new common sense, but each did so in his own way. At its best,</w:t>
      </w:r>
      <w:r w:rsidRPr="00A710BF">
        <w:rPr>
          <w:sz w:val="16"/>
        </w:rPr>
        <w:t xml:space="preserve"> </w:t>
      </w:r>
      <w:r w:rsidRPr="002B2095">
        <w:rPr>
          <w:rStyle w:val="StyleUnderline"/>
          <w:highlight w:val="green"/>
        </w:rPr>
        <w:t>Trump’s</w:t>
      </w:r>
      <w:r w:rsidRPr="00A710BF">
        <w:rPr>
          <w:rStyle w:val="StyleUnderline"/>
        </w:rPr>
        <w:t xml:space="preserve"> campaign </w:t>
      </w:r>
      <w:r w:rsidRPr="002B2095">
        <w:rPr>
          <w:rStyle w:val="StyleUnderline"/>
          <w:highlight w:val="green"/>
        </w:rPr>
        <w:t>rhetoric suggested a new</w:t>
      </w:r>
      <w:r w:rsidRPr="00A710BF">
        <w:rPr>
          <w:rStyle w:val="StyleUnderline"/>
        </w:rPr>
        <w:t xml:space="preserve"> proto-</w:t>
      </w:r>
      <w:r w:rsidRPr="002B2095">
        <w:rPr>
          <w:rStyle w:val="StyleUnderline"/>
          <w:highlight w:val="green"/>
        </w:rPr>
        <w:t>hegemonic bloc</w:t>
      </w:r>
      <w:r w:rsidRPr="00A710BF">
        <w:rPr>
          <w:rStyle w:val="StyleUnderline"/>
        </w:rPr>
        <w:t xml:space="preserve">, which we can call </w:t>
      </w:r>
      <w:r w:rsidRPr="002B2095">
        <w:rPr>
          <w:rStyle w:val="StyleUnderline"/>
          <w:highlight w:val="green"/>
        </w:rPr>
        <w:t>reactionary populism</w:t>
      </w:r>
      <w:r w:rsidRPr="00A710BF">
        <w:rPr>
          <w:rStyle w:val="StyleUnderline"/>
        </w:rPr>
        <w:t xml:space="preserve">. It appeared to </w:t>
      </w:r>
      <w:r w:rsidRPr="002B2095">
        <w:rPr>
          <w:rStyle w:val="StyleUnderline"/>
          <w:highlight w:val="green"/>
        </w:rPr>
        <w:t>combine</w:t>
      </w:r>
      <w:r w:rsidRPr="00A710BF">
        <w:rPr>
          <w:rStyle w:val="StyleUnderline"/>
        </w:rPr>
        <w:t xml:space="preserve"> a </w:t>
      </w:r>
      <w:r w:rsidRPr="002B2095">
        <w:rPr>
          <w:rStyle w:val="StyleUnderline"/>
          <w:highlight w:val="green"/>
        </w:rPr>
        <w:t>hyper-reactionary politics</w:t>
      </w:r>
      <w:r w:rsidRPr="00A710BF">
        <w:rPr>
          <w:rStyle w:val="StyleUnderline"/>
        </w:rPr>
        <w:t xml:space="preserve"> of recognition </w:t>
      </w:r>
      <w:r w:rsidRPr="002B2095">
        <w:rPr>
          <w:rStyle w:val="StyleUnderline"/>
          <w:highlight w:val="green"/>
        </w:rPr>
        <w:t>with</w:t>
      </w:r>
      <w:r w:rsidRPr="00A710BF">
        <w:rPr>
          <w:rStyle w:val="StyleUnderline"/>
        </w:rPr>
        <w:t xml:space="preserve"> a </w:t>
      </w:r>
      <w:r w:rsidRPr="002B2095">
        <w:rPr>
          <w:rStyle w:val="StyleUnderline"/>
          <w:highlight w:val="green"/>
        </w:rPr>
        <w:t>populist</w:t>
      </w:r>
      <w:r w:rsidRPr="00A710BF">
        <w:rPr>
          <w:rStyle w:val="StyleUnderline"/>
        </w:rPr>
        <w:t xml:space="preserve"> politics of </w:t>
      </w:r>
      <w:r w:rsidRPr="002B2095">
        <w:rPr>
          <w:rStyle w:val="StyleUnderline"/>
          <w:highlight w:val="green"/>
        </w:rPr>
        <w:t>distribution</w:t>
      </w:r>
      <w:r w:rsidRPr="00A710BF">
        <w:rPr>
          <w:sz w:val="16"/>
        </w:rPr>
        <w:t xml:space="preserve">: in effect, the wall on the Mexican border plus large-scale infrastructure spending. The bloc Sanders envisioned, by contrast, was progressive populism. He sought to join an inclusive politics of recognition with a pro-working-family politics of distribution: criminal justice reform plus Medicare for all; reproductive justice plus free college tuition; LGBTQ rights plus breaking up the big banks. Bait and Switch Neither of these scenarios has actually materialized, however. Sanders’s loss to Hillary Clinton removed the progressive-populist option from the ballot, to no one’s surprise. But the result of Trump’s subsequent victory over her was more unexpected, at least to some. </w:t>
      </w:r>
      <w:r w:rsidRPr="00A710BF">
        <w:rPr>
          <w:rStyle w:val="StyleUnderline"/>
        </w:rPr>
        <w:t xml:space="preserve">Far from governing as a reactionary populist, the new </w:t>
      </w:r>
      <w:r w:rsidRPr="002B2095">
        <w:rPr>
          <w:rStyle w:val="StyleUnderline"/>
          <w:highlight w:val="green"/>
        </w:rPr>
        <w:t>president</w:t>
      </w:r>
      <w:r w:rsidRPr="00A710BF">
        <w:rPr>
          <w:rStyle w:val="StyleUnderline"/>
        </w:rPr>
        <w:t xml:space="preserve"> has </w:t>
      </w:r>
      <w:r w:rsidRPr="002B2095">
        <w:rPr>
          <w:rStyle w:val="StyleUnderline"/>
          <w:highlight w:val="green"/>
        </w:rPr>
        <w:t>activated</w:t>
      </w:r>
      <w:r w:rsidRPr="00A710BF">
        <w:rPr>
          <w:rStyle w:val="StyleUnderline"/>
        </w:rPr>
        <w:t xml:space="preserve"> the old </w:t>
      </w:r>
      <w:r w:rsidRPr="002B2095">
        <w:rPr>
          <w:rStyle w:val="StyleUnderline"/>
          <w:highlight w:val="green"/>
        </w:rPr>
        <w:t>bait and switch, abandoning</w:t>
      </w:r>
      <w:r w:rsidRPr="00A710BF">
        <w:rPr>
          <w:rStyle w:val="StyleUnderline"/>
        </w:rPr>
        <w:t xml:space="preserve"> the populist distributive </w:t>
      </w:r>
      <w:r w:rsidRPr="002B2095">
        <w:rPr>
          <w:rStyle w:val="StyleUnderline"/>
          <w:highlight w:val="green"/>
        </w:rPr>
        <w:t>policies</w:t>
      </w:r>
      <w:r w:rsidRPr="00A710BF">
        <w:rPr>
          <w:rStyle w:val="StyleUnderline"/>
        </w:rPr>
        <w:t xml:space="preserve"> his campaign had promised</w:t>
      </w:r>
      <w:r w:rsidRPr="00A710BF">
        <w:rPr>
          <w:sz w:val="16"/>
        </w:rPr>
        <w:t xml:space="preserve">. </w:t>
      </w:r>
      <w:r w:rsidRPr="00A710BF">
        <w:rPr>
          <w:sz w:val="8"/>
          <w:szCs w:val="8"/>
        </w:rPr>
        <w:t>Granted, he canceled the Trans-Pacific Partnership. But he has temporized on NAFTA and failed to lift a finger to rein in Wall Street. Nor has Trump taken a single serious step to implement large-scale, job-creating public infrastructure projects; his efforts to encourage manufacturing were confined instead to symbolic displays of jawboning and regulatory relief for coal, whose gains have proved largely fictitious. And far from proposing a tax code reform whose principal beneficiaries would be working-class and middle-class families, he signed on to the boilerplate Republican version, designed to funnel more wealth to the one percent (including the Trump family). As this last point attests, the president’s actions on the distributive front have included a heavy dose of crony capitalism and self-dealing. But if Trump himself has fallen short of Hayekian ideals of economic reason, the appointment of yet another Goldman Sachs alumnus to the Treasury ensures that neoliberalism will continue where it counts. Having abandoned the populist politics of distribution, Trump proceeded to double down on the reactionary politics of recognition, hugely intensified and ever more vicious. The list of his provocations and actions in support of invidious hierarchies of status is long and chilling: the travel ban in its various versions, all targeting Muslim-majority countries, ill disguised by the cynical late addition of Venezuela; the gutting of civil rights at Justice (which has abandoned the use of consent decrees) and at Labor (which has stopped policing discrimination by federal contractors); the refusal to defend court cases on LGBTQ rights; the rollback of mandated insurance coverage of contraception; the retrenchment of Title IX protections for women and girls through cuts in enforcement staff; public pronouncements in support of rougher police handling of suspects, of “Sheriff Joe’s” contempt for the rule of law, and of the “very fine people” among the white-supremacists who ran amok at Charlottesville. The result is no mere garden-variety Republican conservatism, but a hyper-reactionary politics of recognition. Altogether, the policies of President Trump have diverged from the campaign promises of candidate Trump. Not only has his economic populism vanished, but his scapegoating has grown ever more vicious. What his supporters voted for, in short, is not what they got. The upshot is not reactionary populism, but hyper-reactionary neoliberalism.</w:t>
      </w:r>
      <w:r w:rsidRPr="00A710BF">
        <w:rPr>
          <w:sz w:val="16"/>
        </w:rPr>
        <w:t xml:space="preserve"> </w:t>
      </w:r>
      <w:r w:rsidRPr="002B2095">
        <w:rPr>
          <w:rStyle w:val="StyleUnderline"/>
          <w:highlight w:val="green"/>
        </w:rPr>
        <w:t>Trump’s hyper-reactionary neoliberalism</w:t>
      </w:r>
      <w:r w:rsidRPr="00A710BF">
        <w:rPr>
          <w:rStyle w:val="StyleUnderline"/>
        </w:rPr>
        <w:t xml:space="preserve"> does not constitute a new hegemonic bloc, however. It </w:t>
      </w:r>
      <w:r w:rsidRPr="002B2095">
        <w:rPr>
          <w:rStyle w:val="StyleUnderline"/>
          <w:highlight w:val="green"/>
        </w:rPr>
        <w:t>is,</w:t>
      </w:r>
      <w:r w:rsidRPr="00A710BF">
        <w:rPr>
          <w:rStyle w:val="StyleUnderline"/>
        </w:rPr>
        <w:t xml:space="preserve"> on the contrary, chaotic, </w:t>
      </w:r>
      <w:r w:rsidRPr="002B2095">
        <w:rPr>
          <w:rStyle w:val="StyleUnderline"/>
          <w:highlight w:val="green"/>
        </w:rPr>
        <w:t>unstable, and fragile.</w:t>
      </w:r>
      <w:r w:rsidRPr="00A710BF">
        <w:rPr>
          <w:rStyle w:val="StyleUnderline"/>
        </w:rPr>
        <w:t xml:space="preserve"> That is partly due to the peculiar personal psychology of its standard-bearer and partly due to his dysfunctional codependency with the Republican Party establishment, which has tried and failed to reassert its control and is now biding its time while searching for an exit strategy.</w:t>
      </w:r>
      <w:r w:rsidRPr="00A710BF">
        <w:rPr>
          <w:sz w:val="16"/>
        </w:rPr>
        <w:t xml:space="preserve"> We cannot now know exactly how this will play out, but it would be foolish to rule out the possibility that the Republican Party will split. Either way, hyper-reactionary neoliberalism offers no prospect of secure hegemony. But there is also a deeper problem. By shutting down the economic-populist face of his campaign, Trump’s hyper-reactionary neoliberalism effectively seeks to reinstate the hegemonic gap he helped to explode in 2016. Except that it cannot now suture that gap. </w:t>
      </w:r>
      <w:r w:rsidRPr="00A710BF">
        <w:rPr>
          <w:rStyle w:val="StyleUnderline"/>
        </w:rPr>
        <w:t>Now that the populist cat is out of the bag, it is doubtful that the working-class portion of Trump’s base will be satisfied to dine for long on (mis)recognition alone.</w:t>
      </w:r>
      <w:r w:rsidRPr="00A710BF">
        <w:rPr>
          <w:sz w:val="16"/>
        </w:rPr>
        <w:t xml:space="preserve"> </w:t>
      </w:r>
      <w:r w:rsidRPr="00A710BF">
        <w:rPr>
          <w:sz w:val="8"/>
          <w:szCs w:val="8"/>
        </w:rPr>
        <w:t>On the other side, meanwhile, “the resistance” organizes. But the opposition is fractured, comprising diehard Clintonites, committed Sanderistas, and lots of people who could go either way. Complicating the landscape is a raft of upstart groups whose militant postures have attracted big donors despite (or because of) the vagueness of their programmatic conceptions. Especially troubling is the resurgence of an old tendency on the left to pit race against class. Some resisters are proposing to reorient Democratic Party politics around opposition to white supremacy, focusing efforts on winning support from blacks and Latinos. Others defend a class-centered strategy, aimed at winning back white working-class communities that defected to Trump. Both views are problematic to the extent that they treat attention to class and race as inherently antithetical, a zero-sum game. In reality, both of those axes of injustice can be attacked in tandem, as indeed they must be. Neither be can be overcome while the other flourishes. In today’s context, however, proposals to back-burner class concerns pose a special risk: they are likely to dovetail with the Clinton wing’s efforts to restore the status quo ante in some new guise. In that case, the result would be a new version of progressive neoliberalism—one that combines neoliberalism on the distributive front with a militant anti-racist politics of recognition. That prospect should give anti-Trump forces pause. On the one hand, it will send many potential allies running in the opposite direction, validating Trump’s narrative and reinforcing his support. On the other hand, it will effectively join forces with him in suppressing alternatives to neoliberalism—and thus in reinstating the hegemonic gap. But what I just said about Trump applies equally here: the populist cat is out of the bag and won’t quietly slink away. To reinstate progressive neoliberalism, on any basis, is to recreate—indeed, to exacerbate—the very conditions that created Trump. And that means preparing the ground for future Trumps—ever more vicious and dangerous. Morbid Symptoms and Counterhegemonic Prospects For all these reasons, neither a revived progressive neoliberalism nor a trumped-up hyper-reactionary neoliberalism is a good candidate for political hegemony in the near future. The bonds that united each of those blocs have badly frayed. In addition, neither is currently in a position to shape a new common sense. Neither is able to offer an authoritative picture of social reality, a narrative in which a broad spectrum of social actors can find themselves.</w:t>
      </w:r>
      <w:r w:rsidRPr="00A710BF">
        <w:rPr>
          <w:sz w:val="16"/>
        </w:rPr>
        <w:t xml:space="preserve"> </w:t>
      </w:r>
      <w:r w:rsidRPr="00A710BF">
        <w:rPr>
          <w:rStyle w:val="StyleUnderline"/>
        </w:rPr>
        <w:t xml:space="preserve">Equally important, neither variant of neoliberalism can successfully resolve the objective system blockages that underlie our hegemonic crisis. Since both are in bed with global finance, neither can challenge financialization, deindustrialization, or corporate globalization. Neither can redress declining living standards or ballooning debt, climate change or “care deficits,” or intolerable stresses on community life. To (re)install either of those blocs in power is to ensure not just a continuation, but an intensification of the current crisis. </w:t>
      </w:r>
    </w:p>
    <w:p w14:paraId="0F49F4ED" w14:textId="77777777" w:rsidR="00365070" w:rsidRPr="00A710BF" w:rsidRDefault="00365070" w:rsidP="00365070"/>
    <w:p w14:paraId="2345F3A1" w14:textId="77777777" w:rsidR="00365070" w:rsidRPr="00A710BF" w:rsidRDefault="00365070" w:rsidP="00365070">
      <w:pPr>
        <w:pStyle w:val="Heading4"/>
        <w:rPr>
          <w:rFonts w:cs="Calibri"/>
        </w:rPr>
      </w:pPr>
      <w:r w:rsidRPr="00A710BF">
        <w:rPr>
          <w:rFonts w:cs="Calibri"/>
        </w:rPr>
        <w:t xml:space="preserve">The modern conservative legal movement is built on a fundamental tension as it seeks to limit the government power while expanding executive authority </w:t>
      </w:r>
    </w:p>
    <w:p w14:paraId="4DA01E8F" w14:textId="77777777" w:rsidR="00365070" w:rsidRPr="00A710BF" w:rsidRDefault="00365070" w:rsidP="00365070">
      <w:pPr>
        <w:rPr>
          <w:sz w:val="16"/>
          <w:szCs w:val="16"/>
        </w:rPr>
      </w:pPr>
      <w:r w:rsidRPr="00CE30D3">
        <w:rPr>
          <w:rStyle w:val="Style13ptBold"/>
        </w:rPr>
        <w:t>Grossmann 25 (</w:t>
      </w:r>
      <w:r w:rsidRPr="00A710BF">
        <w:rPr>
          <w:sz w:val="16"/>
          <w:szCs w:val="16"/>
        </w:rPr>
        <w:t>Interview by Matt Grossmann of Nicholas F. Jacobs and Sidney M. Milkis, Matt Grossmann is Director of the Institute for Public Policy and Social Research and Professor of Political Science at Michigan State University; Nicholas F. Jacobs is a political scientist who writes about federalism, rural politics, and public policy. He is the Inaugural Director of Colby’s Public Policy Lab and teaches courses on American politics and policy in the Department of Government at Colby College; Sidney M. Milkis is the White Burkett Miller Professor in the Department of Politics and Interim Director of the Program on Constitutionalism and Democracy. In 2016-2017, he was named the John G. Winant Visiting Professor of American Government at Oxford University. He has a B.A. from Muhlenberg College and a Ph.D. in Political Science from the University of Pennsylvania. “Is Trump redirecting or deconstructing the administrative state?” Niskanen Center, 04/16/25, https://www.niskanencenter.org/is-trump-redirecting-or-deconstructing-the-administrative-state) CT</w:t>
      </w:r>
    </w:p>
    <w:p w14:paraId="12C14133" w14:textId="77777777" w:rsidR="00365070" w:rsidRPr="00A710BF" w:rsidRDefault="00365070" w:rsidP="00365070">
      <w:pPr>
        <w:rPr>
          <w:b/>
          <w:bCs/>
          <w:u w:val="single"/>
        </w:rPr>
      </w:pPr>
      <w:r w:rsidRPr="00A710BF">
        <w:rPr>
          <w:sz w:val="16"/>
          <w:szCs w:val="16"/>
        </w:rPr>
        <w:lastRenderedPageBreak/>
        <w:t xml:space="preserve">Transcript Matt Grossmann: Is Trump redirecting or deconstructing the administrative state? This week on the Science of Politics. For the Niskanen Center, I’m Matt Grossmann. </w:t>
      </w:r>
      <w:r w:rsidRPr="00A710BF">
        <w:rPr>
          <w:u w:val="single"/>
        </w:rPr>
        <w:t>The second Trump administration has been tearing down the administrative state, firing thousands, canceling contracts and shuttering agencies, but they have also used the power of the state to ramp up summary deportations, crack down on universities and threaten prosecutions of political opponents.</w:t>
      </w:r>
      <w:r w:rsidRPr="00A710BF">
        <w:t xml:space="preserve"> </w:t>
      </w:r>
      <w:r w:rsidRPr="00A710BF">
        <w:rPr>
          <w:sz w:val="16"/>
          <w:szCs w:val="16"/>
        </w:rPr>
        <w:t xml:space="preserve">So is this the culmination of Republican efforts to scale back government or a sign that they just want to redirect its goals? This week, I talked to Nicholas Jacobs of Colby College and Sidney Milkis of the University of Virginia about their perspectives on politics article with Desmond King, building a conservative state, as well as their forthcoming Kansas Book, Subverting the Republic: Donald J. Trump, and the Perils of </w:t>
      </w:r>
      <w:r w:rsidRPr="00084421">
        <w:rPr>
          <w:sz w:val="16"/>
          <w:szCs w:val="16"/>
        </w:rPr>
        <w:t>Presidentialism.</w:t>
      </w:r>
      <w:r w:rsidRPr="00084421">
        <w:t xml:space="preserve"> </w:t>
      </w:r>
      <w:r w:rsidRPr="00084421">
        <w:rPr>
          <w:b/>
          <w:bCs/>
          <w:u w:val="single"/>
        </w:rPr>
        <w:t>They</w:t>
      </w:r>
      <w:r w:rsidRPr="00A710BF">
        <w:rPr>
          <w:b/>
          <w:bCs/>
          <w:u w:val="single"/>
        </w:rPr>
        <w:t xml:space="preserve"> find that we have </w:t>
      </w:r>
      <w:r w:rsidRPr="002B2095">
        <w:rPr>
          <w:b/>
          <w:bCs/>
          <w:highlight w:val="green"/>
          <w:u w:val="single"/>
        </w:rPr>
        <w:t>overestimated</w:t>
      </w:r>
      <w:r w:rsidRPr="00A710BF">
        <w:rPr>
          <w:b/>
          <w:bCs/>
          <w:u w:val="single"/>
        </w:rPr>
        <w:t xml:space="preserve"> conservative </w:t>
      </w:r>
      <w:r w:rsidRPr="002B2095">
        <w:rPr>
          <w:b/>
          <w:bCs/>
          <w:highlight w:val="green"/>
          <w:u w:val="single"/>
        </w:rPr>
        <w:t>efforts to reduce the</w:t>
      </w:r>
      <w:r w:rsidRPr="00A710BF">
        <w:rPr>
          <w:b/>
          <w:bCs/>
          <w:u w:val="single"/>
        </w:rPr>
        <w:t xml:space="preserve"> size and scope of </w:t>
      </w:r>
      <w:r w:rsidRPr="002B2095">
        <w:rPr>
          <w:b/>
          <w:bCs/>
          <w:highlight w:val="green"/>
          <w:u w:val="single"/>
        </w:rPr>
        <w:t xml:space="preserve">government </w:t>
      </w:r>
      <w:r w:rsidRPr="00084421">
        <w:rPr>
          <w:b/>
          <w:bCs/>
          <w:u w:val="single"/>
        </w:rPr>
        <w:t xml:space="preserve">and </w:t>
      </w:r>
      <w:r w:rsidRPr="002B2095">
        <w:rPr>
          <w:b/>
          <w:bCs/>
          <w:highlight w:val="green"/>
          <w:u w:val="single"/>
        </w:rPr>
        <w:t>underestimated</w:t>
      </w:r>
      <w:r w:rsidRPr="00A710BF">
        <w:rPr>
          <w:b/>
          <w:bCs/>
          <w:u w:val="single"/>
        </w:rPr>
        <w:t xml:space="preserve"> their </w:t>
      </w:r>
      <w:r w:rsidRPr="002B2095">
        <w:rPr>
          <w:b/>
          <w:bCs/>
          <w:highlight w:val="green"/>
          <w:u w:val="single"/>
        </w:rPr>
        <w:t>usage of the enlarged state to pursue conservative goals</w:t>
      </w:r>
      <w:r w:rsidRPr="00A710BF">
        <w:rPr>
          <w:u w:val="single"/>
        </w:rPr>
        <w:t xml:space="preserve">. </w:t>
      </w:r>
      <w:r w:rsidRPr="00A710BF">
        <w:rPr>
          <w:sz w:val="10"/>
          <w:szCs w:val="10"/>
        </w:rPr>
        <w:t xml:space="preserve">With the second Trump administration pursuing </w:t>
      </w:r>
      <w:r w:rsidRPr="00084421">
        <w:rPr>
          <w:sz w:val="10"/>
          <w:szCs w:val="10"/>
        </w:rPr>
        <w:t>both</w:t>
      </w:r>
      <w:r w:rsidRPr="00A710BF">
        <w:rPr>
          <w:sz w:val="10"/>
          <w:szCs w:val="10"/>
        </w:rPr>
        <w:t xml:space="preserve"> DOGE’s destruction and Trumpified justice, it’s a good time to check in on Republicans true aim for government. I think you’ll enjoy our conversation. Nicholas, during the first Trump administration, you all published article and perspectives on politics with Desmond King about the changing role of Republican administrations and how they are using state power. Remind us about the major findings and takeaways from that article. Nicholas Jacobs: Yeah, I guess what we were trying to figure out in the middle of the Trump presidency, the first administration, or I guess what we were trying to say is that too much attention was being placed on his missteps. Now, if you remember, the dominant narrative about Trump in the moment was that it was chaotic, senseless. He was an aberration, and all the story was focused on the dumpster fire, [inaudible 00:02:01] turnover, palace intrigue. And yes, it was all true, but the three of us were just simply struck by really how programmatic the administration really was. And that rather than being a flailing amateur, in fact, maybe because he was an amateur, it was surprising how much Trump was executing a deliberate strategy.</w:t>
      </w:r>
      <w:r w:rsidRPr="00A710BF">
        <w:t xml:space="preserve"> </w:t>
      </w:r>
      <w:r w:rsidRPr="00A710BF">
        <w:rPr>
          <w:u w:val="single"/>
        </w:rPr>
        <w:t xml:space="preserve">And so we call this the redeployment of administrative power. And so </w:t>
      </w:r>
      <w:r w:rsidRPr="002B2095">
        <w:rPr>
          <w:highlight w:val="green"/>
          <w:u w:val="single"/>
        </w:rPr>
        <w:t>rather than traditional</w:t>
      </w:r>
      <w:r w:rsidRPr="00A710BF">
        <w:rPr>
          <w:u w:val="single"/>
        </w:rPr>
        <w:t xml:space="preserve">ly thinking about </w:t>
      </w:r>
      <w:r w:rsidRPr="002B2095">
        <w:rPr>
          <w:highlight w:val="green"/>
          <w:u w:val="single"/>
        </w:rPr>
        <w:t xml:space="preserve">conservatism </w:t>
      </w:r>
      <w:r w:rsidRPr="00A710BF">
        <w:rPr>
          <w:u w:val="single"/>
        </w:rPr>
        <w:t xml:space="preserve">as something that’s trying </w:t>
      </w:r>
      <w:r w:rsidRPr="002B2095">
        <w:rPr>
          <w:highlight w:val="green"/>
          <w:u w:val="single"/>
        </w:rPr>
        <w:t>to roll back the state</w:t>
      </w:r>
      <w:r w:rsidRPr="00A710BF">
        <w:rPr>
          <w:u w:val="single"/>
        </w:rPr>
        <w:t xml:space="preserve">, we started to think about conservatism, </w:t>
      </w:r>
      <w:r w:rsidRPr="002B2095">
        <w:rPr>
          <w:highlight w:val="green"/>
          <w:u w:val="single"/>
        </w:rPr>
        <w:t>modern conservatism</w:t>
      </w:r>
      <w:r w:rsidRPr="00A710BF">
        <w:rPr>
          <w:u w:val="single"/>
        </w:rPr>
        <w:t xml:space="preserve"> as something we </w:t>
      </w:r>
      <w:r w:rsidRPr="002B2095">
        <w:rPr>
          <w:highlight w:val="green"/>
          <w:u w:val="single"/>
        </w:rPr>
        <w:t xml:space="preserve">wanted to </w:t>
      </w:r>
      <w:r w:rsidRPr="00A710BF">
        <w:rPr>
          <w:u w:val="single"/>
        </w:rPr>
        <w:t xml:space="preserve">retool or </w:t>
      </w:r>
      <w:r w:rsidRPr="002B2095">
        <w:rPr>
          <w:highlight w:val="green"/>
          <w:u w:val="single"/>
        </w:rPr>
        <w:t>redeploy the state</w:t>
      </w:r>
      <w:r w:rsidRPr="00A710BF">
        <w:rPr>
          <w:u w:val="single"/>
        </w:rPr>
        <w:t xml:space="preserve"> to serve conservative ends. </w:t>
      </w:r>
      <w:r w:rsidRPr="00A710BF">
        <w:rPr>
          <w:sz w:val="10"/>
          <w:szCs w:val="10"/>
        </w:rPr>
        <w:t xml:space="preserve">So yeah, Trump’s approach was different degree and style, but not necessarily kind. I was built on what Sid has been writing about for 30 years now. Sorry to date you, Sid, called executive-centered partisanship. Sidney Milkis: We’ll have to edit that out though. Nicholas Jacobs: And by executive-centered partisanship, which is also the focus of our new book, we’re really interested in how both parties have increasingly viewed the presidency as the preeminent institution for making and driving policy. So conservatives aren’t anti-status at heart. They’re really just anti-progressive status. Matt Grossmann: Sid, we’re obviously now in a new Trump administration with somewhat different characteristics. So what signs do you see that Republicans are continuing this redeployment of state power? And what signs do you see that they might be moving back towards something more like rolling back federal identities? Sidney Milkis: I think, Matt, they’ve picked up where they left off at the end of the first term, and they’re continuing many of the causes and actions that were taking form before Trump left office in 2021. We have been particularly interested in the emphasis on tariffs and immigration reform. Both of those things have continued with a vengeance. What we had not anticipated is the DOGE phenomena. I don’t know that anybody could’ve predicted that. And it’s interesting because just as the Republican Party seems to be culminating as a populist party, Trump forms this partnership with the richest man in the world, and he literally has a seat in the Oval Office. We can go into this in some detail as we continue the conversation, but the question is whether this chainsaw approach is really an effort to dismantle the administrative state rather than to redeploy it. And I don’t think we know that yet. We don’t know how things are going to sort out in the next months or next year, whether this is just destruction or to invoke Joseph Schumpeter, a creative destruction that’ll lead to a more radical redeployment of administrative state than we saw in the first term. Matt Grossmann: So Nicholas, let’s talk about the continuity first or the supposed continuity. Obviously there is a redeployment of state power, especially in areas like immigration and law enforcement, also in tariff policy, but it, I guess, has been interpreted by others as a more Trump-specific executive power grab and only has some continuities with previous Republican administration. So how much is it really a Trump break from precedent versus a continuation of that long story? Nicholas Jacobs: Right. If we were going to emphasize continuity, I mean, one clear point of departure is to think about how the capacities that allow a president to redeploy power are built up over time and are built up really with the emergence of the New Deal state. And this isn’t a reference to the classic alphabet soup of programs that makes government bigger, not just at the federal level, but also at the state and local level, but really those powers and those tools that center administrative responsibility in the White House. So what Sid has called, what we write about sort of the organic statute of the modern presidency, the 1939 Executive Reorganization Act, and then a set of processes that emerge after World War II to manage the administrative state, but clearly gives the president some authority to steer it. That’s about as far back as anyone should go in a podcast interview for making sense of these historical developments. But if we’re really thinking about Republicans, I mean, controversially, I’d say we rooted in Reagan-era conservatism, which was laden with lots of rhetorical sensibilities to limited government and returning government back to the states, but also Nixon. And if anything, I mean, Trump has taken much larger cues from Richard Nixon’s philosophy of the presidency than anybody else. So we do stress the continuity in that regard. </w:t>
      </w:r>
      <w:r w:rsidRPr="00A710BF">
        <w:rPr>
          <w:u w:val="single"/>
        </w:rPr>
        <w:t>I’ll be transparent though. It’s very easy to find the break from the past. And I think where Trump departs most dramatically is not necessarily in the use of power or even the ratcheting up in power of presidential power. It’s just the complete abandonment of constitutional reverence or what Madison described as veneration</w:t>
      </w:r>
      <w:r w:rsidRPr="00A710BF">
        <w:t xml:space="preserve">. </w:t>
      </w:r>
      <w:r w:rsidRPr="00A710BF">
        <w:rPr>
          <w:sz w:val="16"/>
          <w:szCs w:val="16"/>
        </w:rPr>
        <w:t>When other presidents have ratcheted up power, they at least pay homage to some sort of constitutional symbolism. Yeah, Sid and I have written about Barack Obama’s ratcheting up presidential power using some of these tools. In fact, setting a very important set of precedents for the Trump administration during his first term during his we can’t wait campaign, but at least when Obama picked up the phone and the pen, he gave the pretense of overcoming gridlock and Republican obstructionism</w:t>
      </w:r>
      <w:r w:rsidRPr="00A710BF">
        <w:t xml:space="preserve">. </w:t>
      </w:r>
      <w:r w:rsidRPr="00A710BF">
        <w:rPr>
          <w:b/>
          <w:bCs/>
          <w:u w:val="single"/>
        </w:rPr>
        <w:t>Trump is</w:t>
      </w:r>
      <w:r w:rsidRPr="00A710BF">
        <w:t xml:space="preserve"> </w:t>
      </w:r>
      <w:r w:rsidRPr="00A710BF">
        <w:rPr>
          <w:sz w:val="10"/>
          <w:szCs w:val="10"/>
        </w:rPr>
        <w:t xml:space="preserve">doing this with united government once again. And that’s, I think, a revelation of just how far the institution has drifted from both its new deal origins and then longer standing constitutional ones. Matt Grossmann: So Sid, you said we don’t know yet on the role of DOGE and Musk, but it is part of a broader network and decisions involving the OMB director and all of the pre-planning that took place at Heritage and the other think tanks. And it does seem to be among the most strident early efforts at retrenchment. We seem to be using any halfway plausible legal theory to fire anyone that we can or close anything that we can, and then dealing with the consequences later. So one might make the case that actually that we got a </w:t>
      </w:r>
      <w:r w:rsidRPr="00A710BF">
        <w:rPr>
          <w:sz w:val="10"/>
          <w:szCs w:val="10"/>
          <w:u w:val="single"/>
        </w:rPr>
        <w:t xml:space="preserve">fusion between the two strands that you picked up on, and the folks that really did want to tear down the administrative state are now in power to do so. What do you think? </w:t>
      </w:r>
      <w:r w:rsidRPr="00A710BF">
        <w:rPr>
          <w:sz w:val="10"/>
          <w:szCs w:val="10"/>
        </w:rPr>
        <w:t>Sidney Milkis: Yeah. Yet, I don’t know whether to call it… I mean, who the heck knows at this point, right? Chasing the headlines has me exhausted, frankly, Matt, but I don’t know if I…</w:t>
      </w:r>
      <w:r w:rsidRPr="00A710BF">
        <w:t xml:space="preserve"> </w:t>
      </w:r>
      <w:r w:rsidRPr="00A710BF">
        <w:rPr>
          <w:u w:val="single"/>
        </w:rPr>
        <w:t xml:space="preserve">It might be seen, in part, as </w:t>
      </w:r>
      <w:r w:rsidRPr="00A710BF">
        <w:rPr>
          <w:b/>
          <w:bCs/>
          <w:u w:val="single"/>
        </w:rPr>
        <w:t>a fusion</w:t>
      </w:r>
      <w:r w:rsidRPr="00A710BF">
        <w:rPr>
          <w:u w:val="single"/>
        </w:rPr>
        <w:t xml:space="preserve">. And there are still are some libertarian strains in the Republican Party that want </w:t>
      </w:r>
      <w:r w:rsidRPr="00A710BF">
        <w:rPr>
          <w:b/>
          <w:bCs/>
          <w:u w:val="single"/>
        </w:rPr>
        <w:t>to roll back</w:t>
      </w:r>
      <w:r w:rsidRPr="00A710BF">
        <w:rPr>
          <w:u w:val="single"/>
        </w:rPr>
        <w:t xml:space="preserve"> administrative </w:t>
      </w:r>
      <w:r w:rsidRPr="00A710BF">
        <w:rPr>
          <w:b/>
          <w:bCs/>
          <w:u w:val="single"/>
        </w:rPr>
        <w:t>power, but</w:t>
      </w:r>
      <w:r w:rsidRPr="00A710BF">
        <w:rPr>
          <w:u w:val="single"/>
        </w:rPr>
        <w:t xml:space="preserve"> it </w:t>
      </w:r>
      <w:r w:rsidRPr="00A710BF">
        <w:rPr>
          <w:b/>
          <w:bCs/>
          <w:u w:val="single"/>
        </w:rPr>
        <w:t>also</w:t>
      </w:r>
      <w:r w:rsidRPr="00A710BF">
        <w:rPr>
          <w:u w:val="single"/>
        </w:rPr>
        <w:t xml:space="preserve"> might be seen as </w:t>
      </w:r>
      <w:r w:rsidRPr="00A710BF">
        <w:rPr>
          <w:b/>
          <w:bCs/>
          <w:u w:val="single"/>
        </w:rPr>
        <w:t>a more violent redeployment of power</w:t>
      </w:r>
      <w:r w:rsidRPr="00A710BF">
        <w:rPr>
          <w:u w:val="single"/>
        </w:rPr>
        <w:t xml:space="preserve"> that is a more aggressive tack on the liberal centers of the bureaucracy and a more aggressive presidential effort, a personalized presidential effort to strengthen and amplify those parts of the administrative state that the Trump administration wants to use aggressively</w:t>
      </w:r>
      <w:r w:rsidRPr="00A710BF">
        <w:t xml:space="preserve">. </w:t>
      </w:r>
      <w:r w:rsidRPr="00A710BF">
        <w:rPr>
          <w:sz w:val="10"/>
          <w:szCs w:val="10"/>
        </w:rPr>
        <w:t xml:space="preserve">And again, we’ve mentioned immigration tariffs. One would have to look at the Justice Department and what’s going on there. Not only a redemption campaign, but a redeployment of their efforts to focus on universities and what they’re doing. And so, honestly, Matt, I don’t really know how things are going to play out. It seems reckless, but as you said, as you suggested, the Trump 2.0 had a four-year transition period, had a lot more time to plan, and they have the head of project 2025 at the head of OMB, Russell Vought. Nick and I have always been skeptical about this notion that Trump doesn’t know what he’s doing, he’s just reckless. And there’s usually we can find a method to the madness that’s going on. If I had to bet, I would bet that we’re going to find that method as time goes on. Matt Grossmann: Nick, let me let you weigh in on this because I guess one reading is though that they’re learning lessons of the failures of previous retrenchments. They wanted to get it all done before the political appointees were even in place. </w:t>
      </w:r>
      <w:r w:rsidRPr="002B2095">
        <w:rPr>
          <w:highlight w:val="green"/>
          <w:u w:val="single"/>
        </w:rPr>
        <w:t>Rather than</w:t>
      </w:r>
      <w:r w:rsidRPr="00A710BF">
        <w:rPr>
          <w:u w:val="single"/>
        </w:rPr>
        <w:t xml:space="preserve"> the expected </w:t>
      </w:r>
      <w:r w:rsidRPr="002B2095">
        <w:rPr>
          <w:highlight w:val="green"/>
          <w:u w:val="single"/>
        </w:rPr>
        <w:t>replacement</w:t>
      </w:r>
      <w:r w:rsidRPr="00A710BF">
        <w:rPr>
          <w:u w:val="single"/>
        </w:rPr>
        <w:t xml:space="preserve"> of the previous employees </w:t>
      </w:r>
      <w:r w:rsidRPr="002B2095">
        <w:rPr>
          <w:highlight w:val="green"/>
          <w:u w:val="single"/>
        </w:rPr>
        <w:t xml:space="preserve">with new </w:t>
      </w:r>
      <w:r w:rsidRPr="00FC70AA">
        <w:rPr>
          <w:u w:val="single"/>
        </w:rPr>
        <w:t xml:space="preserve">political </w:t>
      </w:r>
      <w:r w:rsidRPr="002B2095">
        <w:rPr>
          <w:highlight w:val="green"/>
          <w:u w:val="single"/>
        </w:rPr>
        <w:t>appointees</w:t>
      </w:r>
      <w:r w:rsidRPr="00A710BF">
        <w:rPr>
          <w:u w:val="single"/>
        </w:rPr>
        <w:t xml:space="preserve"> like was envisioned in Schedule F during the first term</w:t>
      </w:r>
      <w:r w:rsidRPr="00FC70AA">
        <w:rPr>
          <w:u w:val="single"/>
        </w:rPr>
        <w:t>, this is really</w:t>
      </w:r>
      <w:r w:rsidRPr="00A710BF">
        <w:rPr>
          <w:u w:val="single"/>
        </w:rPr>
        <w:t xml:space="preserve"> </w:t>
      </w:r>
      <w:r w:rsidRPr="002B2095">
        <w:rPr>
          <w:highlight w:val="green"/>
          <w:u w:val="single"/>
        </w:rPr>
        <w:t xml:space="preserve">tearing it down, </w:t>
      </w:r>
      <w:r w:rsidRPr="002B2095">
        <w:rPr>
          <w:b/>
          <w:bCs/>
          <w:highlight w:val="green"/>
          <w:u w:val="single"/>
        </w:rPr>
        <w:t xml:space="preserve">firing everyone </w:t>
      </w:r>
      <w:r w:rsidRPr="00FC70AA">
        <w:rPr>
          <w:b/>
          <w:bCs/>
          <w:u w:val="single"/>
        </w:rPr>
        <w:t>who could be fired</w:t>
      </w:r>
      <w:r w:rsidRPr="00FC70AA">
        <w:rPr>
          <w:sz w:val="10"/>
          <w:szCs w:val="10"/>
        </w:rPr>
        <w:t>. What do</w:t>
      </w:r>
      <w:r w:rsidRPr="00A710BF">
        <w:rPr>
          <w:sz w:val="10"/>
          <w:szCs w:val="10"/>
        </w:rPr>
        <w:t xml:space="preserve"> you think? Nicholas Jacobs: Well, let me give one example of, I think, a way that Sid and I are maybe thinking about the language and logic of retrenchment as it relates to redeployment. And I’ll just draw on how it’s hitting us here in my home state of Maine right now. So on the one hand, you can try your best to follow the headlines and you’re seeing that there’s an executive order to abolish the Department of Education. We’re maybe already halfway through the payroll and gutting that department. And then on the other hand, the Department of Justice is going at a microscopic level, school board to school board. This isn’t even engaging necessarily with the state Department of Education where intergovernmental relationships are thick. This is investigating local schools to see whether or not they have transgender, not even policies, just sort of on the ground evidence that they’re accommodating students who are transgender, and are threatening to take them to court and pull their funding. Now, it’s not happening in the Department of Education, but is that the federal government setting education policy? Absolutely, and doing it quite aggressively. There’s retrenchment in some places, but then there’s an escalation of state power in others. And this is just one example and I think we’re just at the beginning. Your question reminds me of something that the Nixon administration learned. And Richard Nathan, who was in the White House and became a great presidential scholar in his own right, talked about that Nixon, they sort of had many similar ideas about not necessarily rolling back the great society state they inherited, but using it for different political purposes. </w:t>
      </w:r>
      <w:r w:rsidRPr="00A710BF">
        <w:rPr>
          <w:sz w:val="10"/>
          <w:szCs w:val="10"/>
        </w:rPr>
        <w:lastRenderedPageBreak/>
        <w:t xml:space="preserve">And what the Nixon administration realized is that they tried to do this more through a decentralized logic, lots of political appointees throughout the bureaucracy and even so-called loyalists. And they bemoan the fact that, in Nathan’s word, they “all went native,” and the only time we saw them was at the Christmas party in the White House. And it was just impossible, even with people that shared your ideological goals, not to have these political appointees eventually become captive to the needs of the bureaucracy, the institutions they’ve led. And even in comparison to Trump 1.0, you’ve seen a much stronger hand exerted by the West Wing and the executive office of the presidency over the things that Trump cares about. I actually doubt that they care much about what Robert Kennedy’s doing over in HHS, but they certainly do care about what’s going on in Ed and DOJ. So an increasing number of loyalists, yes, but also just central control, and that’s a little bit different than Trump 1.0. Matt Grossmann: Sid, you mentioned that there’s still some libertarian strands in the Republican Party. So one way of seeing this is just that we’re still working out a big ideological disagreement. You could view it through the reconciliation package this year where we appear to be about $4 trillion apart between the Freedom Caucus and the Senate Republicans that need to come to agreement to get something done. That is to say, is this just a case of there’s disagreement? There are some, the Republican Party is now a big enough coalition to include some people who want real retrenchment and some people who want very aggressive redeployment. Sidney Milkis: Yeah. Well, Nick and </w:t>
      </w:r>
      <w:r w:rsidRPr="00A710BF">
        <w:rPr>
          <w:u w:val="single"/>
        </w:rPr>
        <w:t xml:space="preserve">I’ve been watching very closely the </w:t>
      </w:r>
      <w:r w:rsidRPr="002B2095">
        <w:rPr>
          <w:highlight w:val="green"/>
          <w:u w:val="single"/>
        </w:rPr>
        <w:t>Trumpification</w:t>
      </w:r>
      <w:r w:rsidRPr="00A710BF">
        <w:rPr>
          <w:u w:val="single"/>
        </w:rPr>
        <w:t xml:space="preserve"> of the Republican Party, which </w:t>
      </w:r>
      <w:r w:rsidRPr="002B2095">
        <w:rPr>
          <w:highlight w:val="green"/>
          <w:u w:val="single"/>
        </w:rPr>
        <w:t>has been</w:t>
      </w:r>
      <w:r w:rsidRPr="00A710BF">
        <w:rPr>
          <w:u w:val="single"/>
        </w:rPr>
        <w:t xml:space="preserve"> very </w:t>
      </w:r>
      <w:r w:rsidRPr="002B2095">
        <w:rPr>
          <w:highlight w:val="green"/>
          <w:u w:val="single"/>
        </w:rPr>
        <w:t xml:space="preserve">systematic. </w:t>
      </w:r>
      <w:r w:rsidRPr="00FC70AA">
        <w:rPr>
          <w:b/>
          <w:bCs/>
          <w:u w:val="single"/>
        </w:rPr>
        <w:t>The</w:t>
      </w:r>
      <w:r w:rsidRPr="00A710BF">
        <w:rPr>
          <w:u w:val="single"/>
        </w:rPr>
        <w:t xml:space="preserve"> systematic, for example, </w:t>
      </w:r>
      <w:r w:rsidRPr="002B2095">
        <w:rPr>
          <w:b/>
          <w:bCs/>
          <w:highlight w:val="green"/>
          <w:u w:val="single"/>
        </w:rPr>
        <w:t>takeover of</w:t>
      </w:r>
      <w:r w:rsidRPr="00A710BF">
        <w:rPr>
          <w:u w:val="single"/>
        </w:rPr>
        <w:t xml:space="preserve"> the </w:t>
      </w:r>
      <w:r w:rsidRPr="002B2095">
        <w:rPr>
          <w:b/>
          <w:bCs/>
          <w:highlight w:val="green"/>
          <w:u w:val="single"/>
        </w:rPr>
        <w:t>state parties, as well as</w:t>
      </w:r>
      <w:r w:rsidRPr="00A710BF">
        <w:rPr>
          <w:u w:val="single"/>
        </w:rPr>
        <w:t xml:space="preserve"> the national party institutions, </w:t>
      </w:r>
      <w:r w:rsidRPr="002B2095">
        <w:rPr>
          <w:b/>
          <w:bCs/>
          <w:highlight w:val="green"/>
          <w:u w:val="single"/>
        </w:rPr>
        <w:t>the RNC</w:t>
      </w:r>
      <w:r w:rsidRPr="00A710BF">
        <w:rPr>
          <w:u w:val="single"/>
        </w:rPr>
        <w:t xml:space="preserve"> for example</w:t>
      </w:r>
      <w:r w:rsidRPr="00A710BF">
        <w:t xml:space="preserve">. </w:t>
      </w:r>
      <w:r w:rsidRPr="00A710BF">
        <w:rPr>
          <w:sz w:val="16"/>
          <w:szCs w:val="16"/>
        </w:rPr>
        <w:t>So although I think there are some libertarian strands remaining, and certainly there are some traditional conservatives who believe in limited government and institutions, those forces have become decidedly marginalized in the Republican Party.</w:t>
      </w:r>
      <w:r w:rsidRPr="00A710BF">
        <w:t xml:space="preserve"> </w:t>
      </w:r>
      <w:r w:rsidRPr="00A710BF">
        <w:rPr>
          <w:u w:val="single"/>
        </w:rPr>
        <w:t xml:space="preserve">And the Republican Party has been made over pretty fundamentally. I guess I should get rid of the adjective pretty, </w:t>
      </w:r>
      <w:r w:rsidRPr="002B2095">
        <w:rPr>
          <w:b/>
          <w:bCs/>
          <w:highlight w:val="green"/>
          <w:u w:val="single"/>
        </w:rPr>
        <w:t>has been made</w:t>
      </w:r>
      <w:r w:rsidRPr="00A710BF">
        <w:rPr>
          <w:b/>
          <w:bCs/>
          <w:u w:val="single"/>
        </w:rPr>
        <w:t xml:space="preserve"> over fundamentally </w:t>
      </w:r>
      <w:r w:rsidRPr="002B2095">
        <w:rPr>
          <w:b/>
          <w:bCs/>
          <w:highlight w:val="green"/>
          <w:u w:val="single"/>
        </w:rPr>
        <w:t>in the Trump image</w:t>
      </w:r>
      <w:r w:rsidRPr="00A710BF">
        <w:rPr>
          <w:u w:val="single"/>
        </w:rPr>
        <w:t xml:space="preserve">. </w:t>
      </w:r>
      <w:r w:rsidRPr="00A710BF">
        <w:rPr>
          <w:sz w:val="16"/>
          <w:szCs w:val="16"/>
        </w:rPr>
        <w:t>The Never Trumpers who represent some of the libertarian cause and traditional conservative cause are virtually without power right now. Probably have as little power as the Democrats do, even less because they’re kind of in a no man’s land. So I think the more, the Make America Great strand of the Republican Party, this desire to build a kind of national sectarian conservatism dominates the Republican Party. And I think that’s been evident, Matt, in the where are we, how far into the Trump… It seems like a year, but what? It’s a couple months into the Trump 2.0. The Congress has been completely supplant, starting with the appointments to the cabinet.</w:t>
      </w:r>
      <w:r w:rsidRPr="00A710BF">
        <w:t xml:space="preserve"> </w:t>
      </w:r>
      <w:r w:rsidRPr="00A710BF">
        <w:rPr>
          <w:u w:val="single"/>
        </w:rPr>
        <w:t xml:space="preserve">So I think there’s some Horatius at the Bridge, but I really think </w:t>
      </w:r>
      <w:r w:rsidRPr="00A710BF">
        <w:rPr>
          <w:b/>
          <w:bCs/>
          <w:u w:val="single"/>
        </w:rPr>
        <w:t>the party has been remade in a way that makes it very unlikely that there can be a revitalization of the kind of traditional conservatism that respects limited government and constitutional norms and institutions.</w:t>
      </w:r>
    </w:p>
    <w:p w14:paraId="1AEEEE90" w14:textId="77777777" w:rsidR="00365070" w:rsidRPr="00A710BF" w:rsidRDefault="00365070" w:rsidP="00365070">
      <w:pPr>
        <w:pStyle w:val="Heading4"/>
        <w:rPr>
          <w:rFonts w:cs="Calibri"/>
        </w:rPr>
      </w:pPr>
      <w:r w:rsidRPr="00A710BF">
        <w:rPr>
          <w:rFonts w:cs="Calibri"/>
        </w:rPr>
        <w:t>Through the unitary executive theory, the end goal is to overtake the weakened agencies and weaponize them against workers – Schedule Policy/Career is the first step</w:t>
      </w:r>
    </w:p>
    <w:p w14:paraId="5B42C428" w14:textId="77777777" w:rsidR="00365070" w:rsidRPr="00A710BF" w:rsidRDefault="00365070" w:rsidP="00365070">
      <w:r w:rsidRPr="00CE30D3">
        <w:rPr>
          <w:rStyle w:val="Style13ptBold"/>
        </w:rPr>
        <w:t>Spielberger 25</w:t>
      </w:r>
      <w:r w:rsidRPr="00A710BF">
        <w:t xml:space="preserve"> </w:t>
      </w:r>
      <w:r w:rsidRPr="00A710BF">
        <w:rPr>
          <w:sz w:val="16"/>
          <w:szCs w:val="16"/>
        </w:rPr>
        <w:t xml:space="preserve">(Joe Spielberger is the senior policy counsel at POGO's Effective and Accountable Government team, where he advocates in Congress and the executive branch to strengthen whistleblower rights, protect a merit based civil service, and promote government ethics and transparency. “The Dangers of Trump’s Schedule Policy/Career Executive Order,” </w:t>
      </w:r>
      <w:r w:rsidRPr="00A710BF">
        <w:rPr>
          <w:i/>
          <w:iCs/>
          <w:sz w:val="16"/>
          <w:szCs w:val="16"/>
        </w:rPr>
        <w:t xml:space="preserve">Project on Government Oversight, </w:t>
      </w:r>
      <w:r w:rsidRPr="00A710BF">
        <w:rPr>
          <w:sz w:val="16"/>
          <w:szCs w:val="16"/>
        </w:rPr>
        <w:t>01/31/2025, https://www.pogo.org/analysis/the-dangers-of-trumps-schedule-policy-career-executive-order) CT</w:t>
      </w:r>
    </w:p>
    <w:p w14:paraId="2B6C1510" w14:textId="77777777" w:rsidR="00365070" w:rsidRPr="00A710BF" w:rsidRDefault="00365070" w:rsidP="00365070">
      <w:r w:rsidRPr="00A710BF">
        <w:t xml:space="preserve">On Inauguration Day of his second term, </w:t>
      </w:r>
      <w:r w:rsidRPr="00A710BF">
        <w:rPr>
          <w:u w:val="single"/>
        </w:rPr>
        <w:t xml:space="preserve">President Donald </w:t>
      </w:r>
      <w:r w:rsidRPr="002B2095">
        <w:rPr>
          <w:highlight w:val="green"/>
          <w:u w:val="single"/>
        </w:rPr>
        <w:t>Trump</w:t>
      </w:r>
      <w:r w:rsidRPr="00A710BF">
        <w:rPr>
          <w:u w:val="single"/>
        </w:rPr>
        <w:t xml:space="preserve"> signed a flurry of dangerous executive orders </w:t>
      </w:r>
      <w:r w:rsidRPr="002B2095">
        <w:rPr>
          <w:highlight w:val="green"/>
          <w:u w:val="single"/>
        </w:rPr>
        <w:t xml:space="preserve">targeting </w:t>
      </w:r>
      <w:r w:rsidRPr="00FC70AA">
        <w:rPr>
          <w:u w:val="single"/>
        </w:rPr>
        <w:t xml:space="preserve">the </w:t>
      </w:r>
      <w:r w:rsidRPr="00A710BF">
        <w:rPr>
          <w:u w:val="single"/>
        </w:rPr>
        <w:t xml:space="preserve">federal </w:t>
      </w:r>
      <w:r w:rsidRPr="002B2095">
        <w:rPr>
          <w:highlight w:val="green"/>
          <w:u w:val="single"/>
        </w:rPr>
        <w:t>workforce</w:t>
      </w:r>
      <w:r w:rsidRPr="00A710BF">
        <w:rPr>
          <w:u w:val="single"/>
        </w:rPr>
        <w:t>. These executive orders include instituting a new hiring freeze for federal employees, ending diversity, equity, and inclusion offices and positions, reassigning Senior Executive Service officials, and reclassifying career civil servants as at-will employees.</w:t>
      </w:r>
      <w:r w:rsidRPr="00A710BF">
        <w:t xml:space="preserve"> This change rolls back additional protections the Office of Personnel Management provided in 2024 and makes it easier to fire up to hundreds of thousands of federal employees. </w:t>
      </w:r>
      <w:r w:rsidRPr="00A710BF">
        <w:rPr>
          <w:u w:val="single"/>
        </w:rPr>
        <w:t xml:space="preserve">This widespread </w:t>
      </w:r>
      <w:r w:rsidRPr="002B2095">
        <w:rPr>
          <w:b/>
          <w:bCs/>
          <w:highlight w:val="green"/>
          <w:u w:val="single"/>
        </w:rPr>
        <w:t>attack on</w:t>
      </w:r>
      <w:r w:rsidRPr="00A710BF">
        <w:rPr>
          <w:u w:val="single"/>
        </w:rPr>
        <w:t xml:space="preserve"> federal </w:t>
      </w:r>
      <w:r w:rsidRPr="002B2095">
        <w:rPr>
          <w:b/>
          <w:bCs/>
          <w:highlight w:val="green"/>
          <w:u w:val="single"/>
        </w:rPr>
        <w:t>workers will</w:t>
      </w:r>
      <w:r w:rsidRPr="00A710BF">
        <w:rPr>
          <w:u w:val="single"/>
        </w:rPr>
        <w:t xml:space="preserve"> undermine the professional civil service, allowing for the elimination of anyone the administration views as potentially disloyal to the president’s ideological agenda, and </w:t>
      </w:r>
      <w:r w:rsidRPr="002B2095">
        <w:rPr>
          <w:b/>
          <w:bCs/>
          <w:highlight w:val="green"/>
          <w:u w:val="single"/>
        </w:rPr>
        <w:t>remake the executive</w:t>
      </w:r>
      <w:r w:rsidRPr="00A710BF">
        <w:rPr>
          <w:u w:val="single"/>
        </w:rPr>
        <w:t xml:space="preserve"> branch </w:t>
      </w:r>
      <w:r w:rsidRPr="002B2095">
        <w:rPr>
          <w:b/>
          <w:bCs/>
          <w:highlight w:val="green"/>
          <w:u w:val="single"/>
        </w:rPr>
        <w:t>into a partisan</w:t>
      </w:r>
      <w:r w:rsidRPr="00A710BF">
        <w:rPr>
          <w:u w:val="single"/>
        </w:rPr>
        <w:t xml:space="preserve"> political </w:t>
      </w:r>
      <w:r w:rsidRPr="002B2095">
        <w:rPr>
          <w:b/>
          <w:bCs/>
          <w:highlight w:val="green"/>
          <w:u w:val="single"/>
        </w:rPr>
        <w:t>weapon</w:t>
      </w:r>
      <w:r w:rsidRPr="00A710BF">
        <w:rPr>
          <w:u w:val="single"/>
        </w:rPr>
        <w:t xml:space="preserve">. Foundational to this approach is </w:t>
      </w:r>
      <w:r w:rsidRPr="002B2095">
        <w:rPr>
          <w:highlight w:val="green"/>
          <w:u w:val="single"/>
        </w:rPr>
        <w:t>bringing back</w:t>
      </w:r>
      <w:r w:rsidRPr="00A710BF">
        <w:rPr>
          <w:u w:val="single"/>
        </w:rPr>
        <w:t xml:space="preserve"> the Trump administration’s 2020 </w:t>
      </w:r>
      <w:r w:rsidRPr="002B2095">
        <w:rPr>
          <w:highlight w:val="green"/>
          <w:u w:val="single"/>
        </w:rPr>
        <w:t>Schedule F</w:t>
      </w:r>
      <w:r w:rsidRPr="00A710BF">
        <w:rPr>
          <w:u w:val="single"/>
        </w:rPr>
        <w:t xml:space="preserve"> policy, this time </w:t>
      </w:r>
      <w:r w:rsidRPr="002B2095">
        <w:rPr>
          <w:highlight w:val="green"/>
          <w:u w:val="single"/>
        </w:rPr>
        <w:t>renamed Schedule Policy/Career</w:t>
      </w:r>
      <w:r w:rsidRPr="00A710BF">
        <w:rPr>
          <w:u w:val="single"/>
        </w:rPr>
        <w:t>.</w:t>
      </w:r>
      <w:r w:rsidRPr="00A710BF">
        <w:t xml:space="preserve"> </w:t>
      </w:r>
      <w:r w:rsidRPr="00A710BF">
        <w:rPr>
          <w:sz w:val="14"/>
          <w:szCs w:val="14"/>
        </w:rPr>
        <w:t>This policy would empower this president to dismantle the federal civil service by stripping wide swaths of nonpartisan career experts of their job protections as a precursor to firing and replacing them with partisan ideologues who would pledge their loyalty to the president’s political agenda and follow any order regardless of the consequences. This will further instill a culture of fear across the federal government, possibly even making federal employees too “traumatically affected” to do their jobs. Traumatizing federal workers or replacing them with unqualified sycophants would put at risk the services, benefits, and support that empower the public to live safer and healthier lives. Schedule Policy/Career also goes against what the American people want, according to 2024 polling. Strong majorities of Republicans, Democrats, and Independents believe that having a nonpartisan civil service is important for a strong democracy, and that civil servants should serve the people and the Constitution more than any individual president.</w:t>
      </w:r>
      <w:r w:rsidRPr="00A710BF">
        <w:t xml:space="preserve"> </w:t>
      </w:r>
      <w:r w:rsidRPr="00A710BF">
        <w:rPr>
          <w:u w:val="single"/>
        </w:rPr>
        <w:t xml:space="preserve">And finally, </w:t>
      </w:r>
      <w:r w:rsidRPr="002B2095">
        <w:rPr>
          <w:highlight w:val="green"/>
          <w:u w:val="single"/>
        </w:rPr>
        <w:t>p</w:t>
      </w:r>
      <w:r w:rsidRPr="002B2095">
        <w:rPr>
          <w:b/>
          <w:bCs/>
          <w:highlight w:val="green"/>
          <w:u w:val="single"/>
        </w:rPr>
        <w:t>oliticizing</w:t>
      </w:r>
      <w:r w:rsidRPr="00A710BF">
        <w:rPr>
          <w:b/>
          <w:bCs/>
          <w:u w:val="single"/>
        </w:rPr>
        <w:t xml:space="preserve"> the </w:t>
      </w:r>
      <w:r w:rsidRPr="002B2095">
        <w:rPr>
          <w:b/>
          <w:bCs/>
          <w:highlight w:val="green"/>
          <w:u w:val="single"/>
        </w:rPr>
        <w:t>civil service</w:t>
      </w:r>
      <w:r w:rsidRPr="00A710BF">
        <w:rPr>
          <w:b/>
          <w:bCs/>
          <w:u w:val="single"/>
        </w:rPr>
        <w:t xml:space="preserve"> and silencing dissent will </w:t>
      </w:r>
      <w:r w:rsidRPr="002B2095">
        <w:rPr>
          <w:b/>
          <w:bCs/>
          <w:highlight w:val="green"/>
          <w:u w:val="single"/>
        </w:rPr>
        <w:t>make it</w:t>
      </w:r>
      <w:r w:rsidRPr="00A710BF">
        <w:rPr>
          <w:b/>
          <w:bCs/>
          <w:u w:val="single"/>
        </w:rPr>
        <w:t xml:space="preserve"> far </w:t>
      </w:r>
      <w:r w:rsidRPr="002B2095">
        <w:rPr>
          <w:b/>
          <w:bCs/>
          <w:highlight w:val="green"/>
          <w:u w:val="single"/>
        </w:rPr>
        <w:t>less likely</w:t>
      </w:r>
      <w:r w:rsidRPr="00A710BF">
        <w:rPr>
          <w:b/>
          <w:bCs/>
          <w:u w:val="single"/>
        </w:rPr>
        <w:t xml:space="preserve"> that </w:t>
      </w:r>
      <w:r w:rsidRPr="002B2095">
        <w:rPr>
          <w:b/>
          <w:bCs/>
          <w:highlight w:val="green"/>
          <w:u w:val="single"/>
        </w:rPr>
        <w:t>anyone would speak out against</w:t>
      </w:r>
      <w:r w:rsidRPr="00A710BF">
        <w:rPr>
          <w:u w:val="single"/>
        </w:rPr>
        <w:t xml:space="preserve"> abuse of power, waste, fraud, </w:t>
      </w:r>
      <w:r w:rsidRPr="002B2095">
        <w:rPr>
          <w:b/>
          <w:bCs/>
          <w:highlight w:val="green"/>
          <w:u w:val="single"/>
        </w:rPr>
        <w:t>illegal orders</w:t>
      </w:r>
      <w:r w:rsidRPr="00A710BF">
        <w:rPr>
          <w:u w:val="single"/>
        </w:rPr>
        <w:t xml:space="preserve">, and other wrongdoing, worsening corruption across our government. </w:t>
      </w:r>
      <w:r w:rsidRPr="00A710BF">
        <w:rPr>
          <w:sz w:val="14"/>
          <w:szCs w:val="14"/>
        </w:rPr>
        <w:t xml:space="preserve">The Trump administration always planned to reimplement Schedule F as soon as possible. But Schedule Policy/Career takes that extreme policy even further. Here are the three biggest ways Schedule Policy/Career is more dangerous than Schedule F ever was. Schedule Policy/Career Targets More Federal Employees Than Schedule F It was commonly estimated that the president’s 2020 Schedule F policy would impact up to 100,000 or more federal employees, but </w:t>
      </w:r>
      <w:r w:rsidRPr="00A710BF">
        <w:rPr>
          <w:sz w:val="14"/>
          <w:szCs w:val="14"/>
          <w:u w:val="single"/>
        </w:rPr>
        <w:t>Schedule Policy/Career gives the administration far more discretion to reclassify workers.</w:t>
      </w:r>
      <w:r w:rsidRPr="00A710BF">
        <w:rPr>
          <w:sz w:val="14"/>
          <w:szCs w:val="14"/>
        </w:rPr>
        <w:t xml:space="preserve"> Schedule F already had an expansive definition of policy-related positions to be reclassified, encompassing any federal employees whose duties included “viewing, circulating, or otherwise working with proposed regulations, guidance, executive orders, or other non-public policy proposals or deliberations.” This swept up office managers, HR specialists, administrative assistants, IT specialists, correspondence specialists, and Freedom of Information Act officers. “Replacing federal </w:t>
      </w:r>
      <w:r w:rsidRPr="00A710BF">
        <w:rPr>
          <w:sz w:val="14"/>
          <w:szCs w:val="14"/>
        </w:rPr>
        <w:lastRenderedPageBreak/>
        <w:t>workers with unqualified sycophants would put at risk the services, benefits, and support that empower the public to live safer and healthier lives.” Schedule Policy/Career expands this definition to include any federal workers “directly or indirectly supervising employees in Schedule Policy/Career.” While Schedule F authorized agency heads to petition the Director of the Office of Personnel Management to reclassify employees, Schedule Policy/Career goes even further, allowing the Office of Personnel Management’s director to add any other positions they believe “may be appropriate for inclusion in Schedule Policy/Career.”</w:t>
      </w:r>
      <w:r w:rsidRPr="00A710BF">
        <w:rPr>
          <w:u w:val="single"/>
        </w:rPr>
        <w:t xml:space="preserve"> This means that almost </w:t>
      </w:r>
      <w:r w:rsidRPr="002B2095">
        <w:rPr>
          <w:highlight w:val="green"/>
          <w:u w:val="single"/>
        </w:rPr>
        <w:t>any</w:t>
      </w:r>
      <w:r w:rsidRPr="00A710BF">
        <w:rPr>
          <w:u w:val="single"/>
        </w:rPr>
        <w:t xml:space="preserve"> career civil service </w:t>
      </w:r>
      <w:r w:rsidRPr="002B2095">
        <w:rPr>
          <w:highlight w:val="green"/>
          <w:u w:val="single"/>
        </w:rPr>
        <w:t>position</w:t>
      </w:r>
      <w:r w:rsidRPr="00A710BF">
        <w:rPr>
          <w:u w:val="single"/>
        </w:rPr>
        <w:t xml:space="preserve"> could be </w:t>
      </w:r>
      <w:r w:rsidRPr="002B2095">
        <w:rPr>
          <w:highlight w:val="green"/>
          <w:u w:val="single"/>
        </w:rPr>
        <w:t>at risk of being politicized and fired</w:t>
      </w:r>
      <w:r w:rsidRPr="00A710BF">
        <w:rPr>
          <w:u w:val="single"/>
        </w:rPr>
        <w:t>.</w:t>
      </w:r>
      <w:r w:rsidRPr="00A710BF">
        <w:t xml:space="preserve"> </w:t>
      </w:r>
      <w:r w:rsidRPr="00A710BF">
        <w:rPr>
          <w:sz w:val="14"/>
          <w:szCs w:val="14"/>
        </w:rPr>
        <w:t>Guidance issued by the Office of Personnel Management lists additional positions that agencies should consider for Schedule Policy/Career, including those that involve “substantive participation and discretionary authority in agency grantmaking [including] recommending or selecting grant recipients.” This may be especially troubling, given the administration’s recent attempt to freeze agency grant, loan, and financial assistance programs, and increase concerns that all future federal funding may be politicized. Schedule Policy/Career Confuses Loyalty to the President with Loyalty to the Constitution Schedule Policy/Career tries to preempt one of the main arguments against it, that</w:t>
      </w:r>
      <w:r w:rsidRPr="00A710BF">
        <w:t xml:space="preserve"> </w:t>
      </w:r>
      <w:r w:rsidRPr="00A710BF">
        <w:rPr>
          <w:b/>
          <w:bCs/>
          <w:u w:val="single"/>
        </w:rPr>
        <w:t>the federal workforce will be forced to pledge loyalty to the president</w:t>
      </w:r>
      <w:r w:rsidRPr="00A710BF">
        <w:rPr>
          <w:u w:val="single"/>
        </w:rPr>
        <w:t xml:space="preserve"> personally over their oath to the Constitution. </w:t>
      </w:r>
      <w:r w:rsidRPr="00A710BF">
        <w:rPr>
          <w:sz w:val="14"/>
          <w:szCs w:val="14"/>
        </w:rPr>
        <w:t xml:space="preserve">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This language gives the administration extensive authority to fire anyone it deems a threat to its partisan agenda and provides little comfort for those willing to speak out about unlawful or unethical actions. </w:t>
      </w:r>
      <w:r w:rsidRPr="00A710BF">
        <w:rPr>
          <w:b/>
          <w:bCs/>
          <w:u w:val="single"/>
        </w:rPr>
        <w:t>The way the executive order is worded even suggests that the Constitution may require federal employees to follow any order given</w:t>
      </w:r>
      <w:r w:rsidRPr="00A710BF">
        <w:rPr>
          <w:u w:val="single"/>
        </w:rPr>
        <w:t xml:space="preserve">. </w:t>
      </w:r>
      <w:r w:rsidRPr="00A710BF">
        <w:rPr>
          <w:sz w:val="14"/>
          <w:szCs w:val="14"/>
        </w:rPr>
        <w:t>This raises the question of whether failure to “faithfully implement administration policies” will put a target on anyone who defends scientific integrity, disseminates accurate public health advice, publicizes truthful weather reports, targets real national security threats, or otherwise speaks honestly, even when it isn’t what the administration wants to hear. Schedule Policy/Career Attempts to Shield Itself from Lawsuits Having anticipated legal challenges to this executive order (indeed, the National Treasury Employees Union is already challenging it in court), the order was drafted to include three avenues intended to stave off such lawsuits. First, under the Administrative Procedure Act (APA), a final agency action is what triggers judicial review and allows someone to bring forth a lawsuit challenging an agency’s rulemaking. The 2020 Schedule F policy authorized the Office of Personnel Management to grant agencies’ petitions to reclassify employees, likely constituting final agency action and allowing lawsuits to challenge that action. Schedule Policy/Career tries to circumvent APA challenges by shifting some authority from agency heads to the president, requiring the Office of Personnel Management’s director to instead “recommend to the President which positions should be placed in Schedule Policy/Career.” Because the president is not an agency under the APA and agency recommendations are not final actions, this process will make it more difficult to successfully challenge this policy under the APA. “This language gives the administration extensive authority to fire anyone it deems a threat to its partisan agenda.” Second, rulemaking can also be challenged on the grounds that it is “arbitrary, capricious, an abuse of discretion,” “contrary to constitutional right, power, privilege, or immunity,” or “in excess of statutory jurisdiction.”</w:t>
      </w:r>
      <w:r w:rsidRPr="00A710BF">
        <w:t xml:space="preserve"> </w:t>
      </w:r>
      <w:r w:rsidRPr="00A710BF">
        <w:rPr>
          <w:sz w:val="14"/>
          <w:szCs w:val="14"/>
        </w:rPr>
        <w:t>The amorphous definition of policy-related positions and expansive application of this definition to encompass almost any position could provide ample opportunity to challenge Schedule Policy/Career on the grounds that it is arbitrary and an abuse of discretion. But because the executive order shifts some authority from agencies to the president, this may make the executive order more immune to judicial review.</w:t>
      </w:r>
      <w:r w:rsidRPr="00A710BF">
        <w:t xml:space="preserve"> </w:t>
      </w:r>
      <w:r w:rsidRPr="00A710BF">
        <w:rPr>
          <w:sz w:val="14"/>
          <w:szCs w:val="14"/>
        </w:rPr>
        <w:t>Third, as stated above, Schedule Policy/Career also includes language that federal employees are not required to support the president or policies of the administration. This may insulate the executive order from any lawsuits that are based on constitutionally protected freedom of speech. Conclusion At first glance, President Trump’s 2025</w:t>
      </w:r>
      <w:r w:rsidRPr="00A710BF">
        <w:t xml:space="preserve"> </w:t>
      </w:r>
      <w:r w:rsidRPr="002B2095">
        <w:rPr>
          <w:highlight w:val="green"/>
          <w:u w:val="single"/>
        </w:rPr>
        <w:t>Schedule Policy/Career</w:t>
      </w:r>
      <w:r w:rsidRPr="00A710BF">
        <w:t xml:space="preserve"> </w:t>
      </w:r>
      <w:r w:rsidRPr="00A710BF">
        <w:rPr>
          <w:sz w:val="10"/>
          <w:szCs w:val="10"/>
        </w:rPr>
        <w:t>Executive Order may appear to simply reimplement the original, if still very harmful, Schedule F policy from 2020. But this policy goes much further than the first attempt to remake the nonpartisan federal civil service into an arm of the president’s political apparatus.</w:t>
      </w:r>
      <w:r w:rsidRPr="00A710BF">
        <w:t xml:space="preserve"> </w:t>
      </w:r>
      <w:r w:rsidRPr="00A710BF">
        <w:rPr>
          <w:sz w:val="10"/>
          <w:szCs w:val="10"/>
        </w:rPr>
        <w:t>Schedule Policy/Career will encompass more federal employees, inject confusion as to where employees’ loyalties should lie, and prove more difficult to challenge in the courts. Lest there be any doubt,</w:t>
      </w:r>
      <w:r w:rsidRPr="00A710BF">
        <w:t xml:space="preserve"> </w:t>
      </w:r>
      <w:r w:rsidRPr="00A710BF">
        <w:rPr>
          <w:u w:val="single"/>
        </w:rPr>
        <w:t xml:space="preserve">this executive order </w:t>
      </w:r>
      <w:r w:rsidRPr="00FC70AA">
        <w:rPr>
          <w:u w:val="single"/>
        </w:rPr>
        <w:t xml:space="preserve">is </w:t>
      </w:r>
      <w:r w:rsidRPr="002B2095">
        <w:rPr>
          <w:highlight w:val="green"/>
          <w:u w:val="single"/>
        </w:rPr>
        <w:t>framed around the unitary executive</w:t>
      </w:r>
      <w:r w:rsidRPr="00A710BF">
        <w:rPr>
          <w:u w:val="single"/>
        </w:rPr>
        <w:t xml:space="preserve"> theory that the president has sole authority over the executive branch, </w:t>
      </w:r>
      <w:r w:rsidRPr="002B2095">
        <w:rPr>
          <w:highlight w:val="green"/>
          <w:u w:val="single"/>
        </w:rPr>
        <w:t>notwithstanding</w:t>
      </w:r>
      <w:r w:rsidRPr="00A710BF">
        <w:rPr>
          <w:u w:val="single"/>
        </w:rPr>
        <w:t xml:space="preserve"> the role of </w:t>
      </w:r>
      <w:r w:rsidRPr="002B2095">
        <w:rPr>
          <w:highlight w:val="green"/>
          <w:u w:val="single"/>
        </w:rPr>
        <w:t>independent agencies</w:t>
      </w:r>
      <w:r w:rsidRPr="00A710BF">
        <w:rPr>
          <w:u w:val="single"/>
        </w:rPr>
        <w:t xml:space="preserve">, federal </w:t>
      </w:r>
      <w:r w:rsidRPr="002B2095">
        <w:rPr>
          <w:highlight w:val="green"/>
          <w:u w:val="single"/>
        </w:rPr>
        <w:t>courts, and Congress</w:t>
      </w:r>
      <w:r w:rsidRPr="00A710BF">
        <w:rPr>
          <w:u w:val="single"/>
        </w:rPr>
        <w:t>’s authority to legislate and appropriate funds</w:t>
      </w:r>
      <w:r w:rsidRPr="00A710BF">
        <w:t xml:space="preserve"> — and therefore the president’s orders should be treated as those of a king.</w:t>
      </w:r>
    </w:p>
    <w:p w14:paraId="6C70DB2E" w14:textId="77777777" w:rsidR="00365070" w:rsidRPr="00A710BF" w:rsidRDefault="00365070" w:rsidP="00365070">
      <w:pPr>
        <w:pStyle w:val="Heading4"/>
        <w:rPr>
          <w:rFonts w:cs="Calibri"/>
        </w:rPr>
      </w:pPr>
      <w:r w:rsidRPr="00A710BF">
        <w:rPr>
          <w:rFonts w:cs="Calibri"/>
        </w:rPr>
        <w:t>Deregulation efforts like Loper Bright allow the Aff to utilize the tension in modern conservatism against itself – courts are the last remaining option</w:t>
      </w:r>
    </w:p>
    <w:p w14:paraId="409561C8" w14:textId="77777777" w:rsidR="00365070" w:rsidRPr="00A710BF" w:rsidRDefault="00365070" w:rsidP="00365070">
      <w:r w:rsidRPr="00CE30D3">
        <w:rPr>
          <w:rStyle w:val="Style13ptBold"/>
        </w:rPr>
        <w:t>Ryan 25 (</w:t>
      </w:r>
      <w:r w:rsidRPr="00A710BF">
        <w:rPr>
          <w:sz w:val="16"/>
          <w:szCs w:val="16"/>
        </w:rPr>
        <w:t xml:space="preserve">Erin Ryan is the Elizabeth C. and Clyde W. Atkinson Professor and Associate Dean for Environmental Programs at the Florida State University College of Law, overseeing the FSU Center for Environmental, Energy, and Land Use Law. She specializes in environmental and natural resources law, water law, property and land use, federalism, and negotiation, and was recognized in 2022 with a university-wide teaching award for Innovation in Teaching. “The Four Horseman of the New Separation of Powers: The Environmental Law Implications of West Virginia, Sackett, Loper Bright, and Corner Post,” </w:t>
      </w:r>
      <w:r w:rsidRPr="00A710BF">
        <w:rPr>
          <w:i/>
          <w:iCs/>
          <w:sz w:val="16"/>
          <w:szCs w:val="16"/>
        </w:rPr>
        <w:t>Minnesota Law Review,</w:t>
      </w:r>
      <w:r w:rsidRPr="00A710BF">
        <w:rPr>
          <w:sz w:val="16"/>
          <w:szCs w:val="16"/>
        </w:rPr>
        <w:t xml:space="preserve"> Vol 109, Issue 6, 06/25/2025, https://scholarship.law.umn.edu/cgi/viewcontent.cgi?article=1173&amp;context=minnlrev) CT</w:t>
      </w:r>
    </w:p>
    <w:p w14:paraId="3DD5090D" w14:textId="77777777" w:rsidR="00365070" w:rsidRPr="00A710BF" w:rsidRDefault="00365070" w:rsidP="00365070">
      <w:pPr>
        <w:rPr>
          <w:u w:val="single"/>
        </w:rPr>
      </w:pPr>
      <w:r w:rsidRPr="00A710BF">
        <w:rPr>
          <w:sz w:val="16"/>
        </w:rPr>
        <w:t xml:space="preserve">As a final point of consideration, it is worth reviewing the significance of the Four Horsemen now that Inauguration Day 2025 has ushered in the second Trump administration. </w:t>
      </w:r>
      <w:r w:rsidRPr="00A710BF">
        <w:rPr>
          <w:rStyle w:val="StyleUnderline"/>
        </w:rPr>
        <w:t xml:space="preserve">Now that the </w:t>
      </w:r>
      <w:r w:rsidRPr="002B2095">
        <w:rPr>
          <w:rStyle w:val="StyleUnderline"/>
          <w:highlight w:val="green"/>
        </w:rPr>
        <w:t>executive branch is</w:t>
      </w:r>
      <w:r w:rsidRPr="00A710BF">
        <w:rPr>
          <w:rStyle w:val="StyleUnderline"/>
        </w:rPr>
        <w:t xml:space="preserve"> once </w:t>
      </w:r>
      <w:r w:rsidRPr="00FC70AA">
        <w:rPr>
          <w:rStyle w:val="StyleUnderline"/>
        </w:rPr>
        <w:t xml:space="preserve">again </w:t>
      </w:r>
      <w:r w:rsidRPr="002B2095">
        <w:rPr>
          <w:rStyle w:val="StyleUnderline"/>
          <w:highlight w:val="green"/>
        </w:rPr>
        <w:t>led by</w:t>
      </w:r>
      <w:r w:rsidRPr="00A710BF">
        <w:rPr>
          <w:rStyle w:val="StyleUnderline"/>
        </w:rPr>
        <w:t xml:space="preserve"> a President with a proud </w:t>
      </w:r>
      <w:r w:rsidRPr="002B2095">
        <w:rPr>
          <w:rStyle w:val="StyleUnderline"/>
          <w:highlight w:val="green"/>
        </w:rPr>
        <w:t>antiregulatory agenda</w:t>
      </w:r>
      <w:r w:rsidRPr="00A710BF">
        <w:rPr>
          <w:rStyle w:val="StyleUnderline"/>
        </w:rPr>
        <w:t>,423 will the new rules limiting administrative interpretive authority ricochet in unexpected directions? Many environmental advocates initially hostile to West Virginia and Loper Bright may view the doctrines in a different light when they consider the opportunities they present to attack new agency rules or regulatory rollbacks over the next four years.</w:t>
      </w:r>
      <w:r w:rsidRPr="00A710BF">
        <w:rPr>
          <w:sz w:val="16"/>
        </w:rPr>
        <w:t xml:space="preserve">424 Commentators and </w:t>
      </w:r>
      <w:r w:rsidRPr="00A710BF">
        <w:rPr>
          <w:rStyle w:val="StyleUnderline"/>
        </w:rPr>
        <w:t xml:space="preserve">strategists are already deliberating how to deploy the strategies offered in the forgoing sections to push back against the new administration’s ambitious plans to eliminate both longstanding agency </w:t>
      </w:r>
      <w:r w:rsidRPr="00A710BF">
        <w:rPr>
          <w:rStyle w:val="StyleUnderline"/>
        </w:rPr>
        <w:lastRenderedPageBreak/>
        <w:t>regulations and longstanding agencies themselves.</w:t>
      </w:r>
      <w:r w:rsidRPr="00A710BF">
        <w:rPr>
          <w:sz w:val="16"/>
        </w:rPr>
        <w:t xml:space="preserve">425 Indeed, some such optimism among environmental advocates may be warranted—to an extent. If the first Trump administration offers any indication, there will be much friction between environmental advocates and federal agencies engaged in environmental deregulation.426 </w:t>
      </w:r>
      <w:r w:rsidRPr="00A710BF">
        <w:rPr>
          <w:rStyle w:val="StyleUnderline"/>
        </w:rPr>
        <w:t xml:space="preserve">In the </w:t>
      </w:r>
      <w:r w:rsidRPr="002B2095">
        <w:rPr>
          <w:rStyle w:val="StyleUnderline"/>
          <w:highlight w:val="green"/>
        </w:rPr>
        <w:t>post-Chevron</w:t>
      </w:r>
      <w:r w:rsidRPr="00A710BF">
        <w:rPr>
          <w:rStyle w:val="StyleUnderline"/>
        </w:rPr>
        <w:t xml:space="preserve"> era, however, agency rulemaking under President </w:t>
      </w:r>
      <w:r w:rsidRPr="002B2095">
        <w:rPr>
          <w:rStyle w:val="StyleUnderline"/>
          <w:highlight w:val="green"/>
        </w:rPr>
        <w:t>Trump will be subject to</w:t>
      </w:r>
      <w:r w:rsidRPr="00A710BF">
        <w:rPr>
          <w:rStyle w:val="StyleUnderline"/>
        </w:rPr>
        <w:t xml:space="preserve"> much </w:t>
      </w:r>
      <w:r w:rsidRPr="002B2095">
        <w:rPr>
          <w:rStyle w:val="StyleUnderline"/>
          <w:highlight w:val="green"/>
        </w:rPr>
        <w:t>more</w:t>
      </w:r>
      <w:r w:rsidRPr="00A710BF">
        <w:rPr>
          <w:rStyle w:val="StyleUnderline"/>
        </w:rPr>
        <w:t xml:space="preserve"> extensive judicial </w:t>
      </w:r>
      <w:r w:rsidRPr="002B2095">
        <w:rPr>
          <w:rStyle w:val="StyleUnderline"/>
          <w:highlight w:val="green"/>
        </w:rPr>
        <w:t>scrutiny</w:t>
      </w:r>
      <w:r w:rsidRPr="00A710BF">
        <w:rPr>
          <w:rStyle w:val="StyleUnderline"/>
        </w:rPr>
        <w:t>.</w:t>
      </w:r>
      <w:r w:rsidRPr="00A710BF">
        <w:rPr>
          <w:sz w:val="16"/>
        </w:rPr>
        <w:t xml:space="preserve"> Courts will now have the opportunity to second-guess executive expertise, throwing the success of major agency initiatives into more uncertainty than they might have faced during the Chevron era. Suddenly, many agency actions—including regulatory recission—may raise “major questions” of economic and political significance, warranting new judicial scrutiny. </w:t>
      </w:r>
      <w:r w:rsidRPr="00A710BF">
        <w:rPr>
          <w:u w:val="single"/>
        </w:rPr>
        <w:t xml:space="preserve">Advocates will likely </w:t>
      </w:r>
      <w:r w:rsidRPr="002B2095">
        <w:rPr>
          <w:highlight w:val="green"/>
          <w:u w:val="single"/>
        </w:rPr>
        <w:t>make good use of the new</w:t>
      </w:r>
      <w:r w:rsidRPr="00A710BF">
        <w:rPr>
          <w:u w:val="single"/>
        </w:rPr>
        <w:t xml:space="preserve"> Horsemen </w:t>
      </w:r>
      <w:r w:rsidRPr="002B2095">
        <w:rPr>
          <w:highlight w:val="green"/>
          <w:u w:val="single"/>
        </w:rPr>
        <w:t xml:space="preserve">tools </w:t>
      </w:r>
      <w:r w:rsidRPr="00A710BF">
        <w:rPr>
          <w:u w:val="single"/>
        </w:rPr>
        <w:t xml:space="preserve">for challenging agency decisions, litigating roadblocks to the administration’s deregulatory agenda that were </w:t>
      </w:r>
      <w:r w:rsidRPr="002B2095">
        <w:rPr>
          <w:highlight w:val="green"/>
          <w:u w:val="single"/>
        </w:rPr>
        <w:t>unavailable during the</w:t>
      </w:r>
      <w:r w:rsidRPr="00A710BF">
        <w:rPr>
          <w:u w:val="single"/>
        </w:rPr>
        <w:t xml:space="preserve"> </w:t>
      </w:r>
      <w:r w:rsidRPr="002B2095">
        <w:rPr>
          <w:highlight w:val="green"/>
          <w:u w:val="single"/>
        </w:rPr>
        <w:t>first</w:t>
      </w:r>
      <w:r w:rsidRPr="00A710BF">
        <w:rPr>
          <w:u w:val="single"/>
        </w:rPr>
        <w:t xml:space="preserve"> Trump </w:t>
      </w:r>
      <w:r w:rsidRPr="002B2095">
        <w:rPr>
          <w:highlight w:val="green"/>
          <w:u w:val="single"/>
        </w:rPr>
        <w:t>presidency</w:t>
      </w:r>
      <w:r w:rsidRPr="00A710BF">
        <w:rPr>
          <w:u w:val="single"/>
        </w:rPr>
        <w:t xml:space="preserve">. </w:t>
      </w:r>
      <w:r w:rsidRPr="00A710BF">
        <w:rPr>
          <w:sz w:val="16"/>
        </w:rPr>
        <w:t xml:space="preserve">If what’s good for the post-Chevron goose is just as good for the gander, some of these agency decisions may be overturned—at least in the lower courts. Appointing presidents hardly predestine judges’ later decisions, but presidents do strive to appoint judges with their preferred judicial philosophy. President Trump was more successful at seating federal judges than most of his recent predecessors, but President Biden caught up by the end of his term with many new appointments of lower court judges.427 His progress was facilitated by a bipartisan Senate compromise on judicial appointments, in which Republican Senators agreed to withhold disapproval from President Biden’s district court nominees if he agreed to leave the filling of four open appellate seats to incoming President Trump.428 With such ideological diversity on the federal bench, many federal district court judges may prove more sympathetic to administrative deference than the current Supreme Court majority, and more sympathetic to deregulatory pushback by environmental advocates and others who challenge anticipated regulatory rollbacks.429 Still, the strategy may stall once it reaches the federal courts of appeal, which include a greater number of appointees chosen by President Trump to reflect his own deregulatory philosophy. Especially his Supreme Court appointees.430 Regardless, it is important to note that the Four Horsemen will not have an even-handed impact on all regulatory challenges, regardless of who is presiding over the lawsuit. While these new doctrines are framed as neutral rules of general applicability—implying that whatever is good for the goose really will be equally good for the gander—the truth is that they portend a politically asymmetrical impact because they operate with an inherent, built-in antiregulatory bias.431 </w:t>
      </w:r>
      <w:r w:rsidRPr="00A710BF">
        <w:rPr>
          <w:u w:val="single"/>
        </w:rPr>
        <w:t>At the end of the day, the Horsemen doctrines make it easier for courts to undo regulations and harder for agencies to enforce them.</w:t>
      </w:r>
      <w:r w:rsidRPr="00A710BF">
        <w:rPr>
          <w:sz w:val="16"/>
        </w:rPr>
        <w:t xml:space="preserve"> This is especially so if the rules constrain economic activity or property use—as many existing environmental regulations do—rather than facilitating economic activity. Those opposing economic constraints are more likely to allege harms that will support judicial standing, and the aggrieved parties will be more likely to sue. Advocates seeking to create new rules or enforce existing economic constraints will gain fewer benefits from </w:t>
      </w:r>
      <w:r w:rsidRPr="00FC70AA">
        <w:rPr>
          <w:u w:val="single"/>
        </w:rPr>
        <w:t>these</w:t>
      </w:r>
      <w:r w:rsidRPr="00A710BF">
        <w:rPr>
          <w:u w:val="single"/>
        </w:rPr>
        <w:t xml:space="preserve"> </w:t>
      </w:r>
      <w:r w:rsidRPr="002B2095">
        <w:rPr>
          <w:highlight w:val="green"/>
          <w:u w:val="single"/>
        </w:rPr>
        <w:t>doctrines</w:t>
      </w:r>
      <w:r w:rsidRPr="00A710BF">
        <w:rPr>
          <w:sz w:val="16"/>
        </w:rPr>
        <w:t xml:space="preserve">, and their claims will be less likely to achieve standing. </w:t>
      </w:r>
      <w:r w:rsidRPr="00A710BF">
        <w:rPr>
          <w:u w:val="single"/>
        </w:rPr>
        <w:t xml:space="preserve">The Horsemen effectively weight the scale toward regulatory inaction by </w:t>
      </w:r>
      <w:r w:rsidRPr="002B2095">
        <w:rPr>
          <w:highlight w:val="green"/>
          <w:u w:val="single"/>
        </w:rPr>
        <w:t>facilitat</w:t>
      </w:r>
      <w:r w:rsidRPr="00A710BF">
        <w:rPr>
          <w:u w:val="single"/>
        </w:rPr>
        <w:t xml:space="preserve">ing the </w:t>
      </w:r>
      <w:r w:rsidRPr="002B2095">
        <w:rPr>
          <w:highlight w:val="green"/>
          <w:u w:val="single"/>
        </w:rPr>
        <w:t>rejection of any</w:t>
      </w:r>
      <w:r w:rsidRPr="00A710BF">
        <w:rPr>
          <w:u w:val="single"/>
        </w:rPr>
        <w:t xml:space="preserve"> regulatory </w:t>
      </w:r>
      <w:r w:rsidRPr="002B2095">
        <w:rPr>
          <w:highlight w:val="green"/>
          <w:u w:val="single"/>
        </w:rPr>
        <w:t>initiative that hasn’t been</w:t>
      </w:r>
      <w:r w:rsidRPr="00A710BF">
        <w:rPr>
          <w:u w:val="single"/>
        </w:rPr>
        <w:t xml:space="preserve"> specifically </w:t>
      </w:r>
      <w:r w:rsidRPr="002B2095">
        <w:rPr>
          <w:highlight w:val="green"/>
          <w:u w:val="single"/>
        </w:rPr>
        <w:t>approved by Congress</w:t>
      </w:r>
      <w:r w:rsidRPr="00A710BF">
        <w:rPr>
          <w:u w:val="single"/>
        </w:rPr>
        <w:t xml:space="preserve"> and which the court considers of economic or political importance— which is probably all of them</w:t>
      </w:r>
      <w:r w:rsidRPr="00A710BF">
        <w:rPr>
          <w:sz w:val="16"/>
        </w:rPr>
        <w:t xml:space="preserve">. Given how this bias aligns with President Trump’s stated deregulatory goals,432 and given that the majority of the Court that will ultimately administer these challenges seems to favor related judicial goals,433 the Horsemen may not provide equally meaningful support for environmental advocacy in the near term. Nevertheless, the wholesale regulatory recission President Trump has promised may yet trigger Horsemen scrutiny, or even trip standard APA scrutiny as arbitrary and capricious for departing from the evidentiary record that supported the initial rulemakings. From a strategic standpoint, environmental advocates may also benefit from the inevitable delay that litigation affords. While President Trump will likely have the support of a sympathetic Congress for his first two years, he may well face a changed Congress after the 2026 midterms if past patterns hold.434 </w:t>
      </w:r>
      <w:r w:rsidRPr="00A710BF">
        <w:rPr>
          <w:u w:val="single"/>
        </w:rPr>
        <w:t xml:space="preserve">The judicial process will take time, and just as deregulatory activists used time to stall and ultimately kill implementation of the Obama administration’s Clean Power Plan,435 so environmental advocates may attempt to stall until today’s political winds shift. </w:t>
      </w:r>
      <w:r w:rsidRPr="00A710BF">
        <w:rPr>
          <w:sz w:val="16"/>
        </w:rPr>
        <w:t xml:space="preserve">Buying time through litigation could thus help the opponents of environmental regulatory rollbacks stall until a new Congress is seated—but only if that new Congress is able to provide legislative clarification in support of the challenged rules— itself a big “if.”436 </w:t>
      </w:r>
      <w:r w:rsidRPr="00A710BF">
        <w:rPr>
          <w:u w:val="single"/>
        </w:rPr>
        <w:t xml:space="preserve">If the </w:t>
      </w:r>
      <w:r w:rsidRPr="002B2095">
        <w:rPr>
          <w:highlight w:val="green"/>
          <w:u w:val="single"/>
        </w:rPr>
        <w:t>Congress</w:t>
      </w:r>
      <w:r w:rsidRPr="00A710BF">
        <w:rPr>
          <w:u w:val="single"/>
        </w:rPr>
        <w:t xml:space="preserve"> elected in 2026 proves as divided as it has been in recent years, it </w:t>
      </w:r>
      <w:r w:rsidRPr="002B2095">
        <w:rPr>
          <w:highlight w:val="green"/>
          <w:u w:val="single"/>
        </w:rPr>
        <w:t>is</w:t>
      </w:r>
      <w:r w:rsidRPr="00A710BF">
        <w:rPr>
          <w:u w:val="single"/>
        </w:rPr>
        <w:t xml:space="preserve"> more </w:t>
      </w:r>
      <w:r w:rsidRPr="002B2095">
        <w:rPr>
          <w:highlight w:val="green"/>
          <w:u w:val="single"/>
        </w:rPr>
        <w:t>likely to remain</w:t>
      </w:r>
      <w:r w:rsidRPr="00A710BF">
        <w:rPr>
          <w:u w:val="single"/>
        </w:rPr>
        <w:t xml:space="preserve"> paralyzed by political polarization and </w:t>
      </w:r>
      <w:r w:rsidRPr="002B2095">
        <w:rPr>
          <w:highlight w:val="green"/>
          <w:u w:val="single"/>
        </w:rPr>
        <w:t>unable to act</w:t>
      </w:r>
      <w:r w:rsidRPr="00A710BF">
        <w:rPr>
          <w:u w:val="single"/>
        </w:rPr>
        <w:t xml:space="preserve"> at all—once again, </w:t>
      </w:r>
      <w:r w:rsidRPr="002B2095">
        <w:rPr>
          <w:highlight w:val="green"/>
          <w:u w:val="single"/>
        </w:rPr>
        <w:t>leaving the ball in the hands of the courts</w:t>
      </w:r>
      <w:r w:rsidRPr="00A710BF">
        <w:rPr>
          <w:u w:val="single"/>
        </w:rPr>
        <w:t xml:space="preserve"> and the agencies, though after the Four Horsemen, mostly the Court.</w:t>
      </w:r>
    </w:p>
    <w:p w14:paraId="30C917EF" w14:textId="77777777" w:rsidR="00365070" w:rsidRPr="00A710BF" w:rsidRDefault="00365070" w:rsidP="00365070">
      <w:pPr>
        <w:pStyle w:val="Heading4"/>
        <w:rPr>
          <w:rFonts w:cs="Calibri"/>
        </w:rPr>
      </w:pPr>
      <w:r w:rsidRPr="00A710BF">
        <w:rPr>
          <w:rFonts w:cs="Calibri"/>
        </w:rPr>
        <w:t xml:space="preserve">The plan shifts towards Article III courts and away from ALJs – this is key to limiting executive influence over agencies before the takeover is complete </w:t>
      </w:r>
    </w:p>
    <w:p w14:paraId="2DA7E7FE" w14:textId="77777777" w:rsidR="00365070" w:rsidRPr="00A710BF" w:rsidRDefault="00365070" w:rsidP="00365070">
      <w:pPr>
        <w:rPr>
          <w:i/>
          <w:iCs/>
        </w:rPr>
      </w:pPr>
      <w:r w:rsidRPr="00A710BF">
        <w:rPr>
          <w:i/>
          <w:iCs/>
        </w:rPr>
        <w:t>ALJ = Administrative Law Judges</w:t>
      </w:r>
    </w:p>
    <w:p w14:paraId="1D7BCFA5" w14:textId="77777777" w:rsidR="00365070" w:rsidRPr="00A710BF" w:rsidRDefault="00365070" w:rsidP="00365070">
      <w:r w:rsidRPr="00CE30D3">
        <w:rPr>
          <w:rStyle w:val="Style13ptBold"/>
        </w:rPr>
        <w:t>Morrow 25</w:t>
      </w:r>
      <w:r w:rsidRPr="00A710BF">
        <w:t xml:space="preserve"> </w:t>
      </w:r>
      <w:r w:rsidRPr="00A710BF">
        <w:rPr>
          <w:sz w:val="16"/>
          <w:szCs w:val="16"/>
        </w:rPr>
        <w:t xml:space="preserve">(Mattew earned his law degree from George Washington University Law School in 2024. During law school, Matthew clerked for the U.S. Senate Committee on Rules &amp; Administration. Matthew also interned for the Honorable Kenneth M. Karas of the U.S. District Court for the Southern District of New York, and he also practiced as a student for the Civil Access to Justice Clinic – Prisoner Civil Rights Division. At George Washington University Law School, Matthew was Executive Editor of The Federal Circuit Bar Journal and a contributor of the </w:t>
      </w:r>
      <w:r w:rsidRPr="00A710BF">
        <w:rPr>
          <w:sz w:val="16"/>
          <w:szCs w:val="16"/>
        </w:rPr>
        <w:lastRenderedPageBreak/>
        <w:t xml:space="preserve">Civil Rights &amp; Civil Liberties Brief. Matthew also sat on the Mock Trial Board and was a Dean's Fellow. “Save the ALJs! A Proposal to Convert ALJs to Article III Adjudicators,” </w:t>
      </w:r>
      <w:r w:rsidRPr="00A710BF">
        <w:rPr>
          <w:i/>
          <w:iCs/>
          <w:sz w:val="16"/>
          <w:szCs w:val="16"/>
        </w:rPr>
        <w:t xml:space="preserve">THE CIVIL RIGHTS &amp; CIVIL LIBERTIES BRIEF, </w:t>
      </w:r>
      <w:r w:rsidRPr="00A710BF">
        <w:rPr>
          <w:sz w:val="16"/>
          <w:szCs w:val="16"/>
        </w:rPr>
        <w:t>02/10/25, https://studentbriefs.law.gwu.edu/crcl/2025/02/10/save-the-aljs-a-proposal-to-convert-aljs-to-article-iii-adjudicators/) CT</w:t>
      </w:r>
    </w:p>
    <w:p w14:paraId="31D9B4A6" w14:textId="77777777" w:rsidR="00365070" w:rsidRPr="00A710BF" w:rsidRDefault="00365070" w:rsidP="00365070">
      <w:r w:rsidRPr="00A710BF">
        <w:rPr>
          <w:sz w:val="16"/>
          <w:szCs w:val="16"/>
        </w:rPr>
        <w:t>Administrative Law Judges (“ALJs”) are essential to the federal government. They operate as members of the executive branch exercising quasi-judicial power for hearing administrative law disputes within the context of the Administrative Procedure Act (“APA”).[1] As the Supreme Court noted,</w:t>
      </w:r>
      <w:r w:rsidRPr="00A710BF">
        <w:t xml:space="preserve"> a</w:t>
      </w:r>
      <w:r w:rsidRPr="00A710BF">
        <w:rPr>
          <w:u w:val="single"/>
        </w:rPr>
        <w:t>n ALJ is “‘functionally comparable’ to that of a judge,”[2] as they “hear evidence, decide factual issues, [ ] apply legal principles in all formal [APA] adjudications</w:t>
      </w:r>
      <w:r w:rsidRPr="00A710BF">
        <w:rPr>
          <w:sz w:val="16"/>
          <w:szCs w:val="16"/>
        </w:rPr>
        <w:t>.”[3] As such, ALJs play key roles in adjudicating rights, ensuring due process protections, and enforcing various civil schemes Congress has created to empower federal agencies to administer federal laws and regulations.[4]</w:t>
      </w:r>
      <w:r w:rsidRPr="00A710BF">
        <w:t xml:space="preserve"> </w:t>
      </w:r>
      <w:r w:rsidRPr="00A710BF">
        <w:rPr>
          <w:u w:val="single"/>
        </w:rPr>
        <w:t xml:space="preserve">Despite these powers, </w:t>
      </w:r>
      <w:r w:rsidRPr="002B2095">
        <w:rPr>
          <w:highlight w:val="green"/>
          <w:u w:val="single"/>
        </w:rPr>
        <w:t>ALJs are not</w:t>
      </w:r>
      <w:r w:rsidRPr="00A710BF">
        <w:rPr>
          <w:u w:val="single"/>
        </w:rPr>
        <w:t xml:space="preserve"> federal </w:t>
      </w:r>
      <w:r w:rsidRPr="002B2095">
        <w:rPr>
          <w:highlight w:val="green"/>
          <w:u w:val="single"/>
        </w:rPr>
        <w:t>judges in</w:t>
      </w:r>
      <w:r w:rsidRPr="00A710BF">
        <w:rPr>
          <w:u w:val="single"/>
        </w:rPr>
        <w:t xml:space="preserve"> the traditional </w:t>
      </w:r>
      <w:r w:rsidRPr="002B2095">
        <w:rPr>
          <w:highlight w:val="green"/>
          <w:u w:val="single"/>
        </w:rPr>
        <w:t>Article III sense</w:t>
      </w:r>
      <w:r w:rsidRPr="00A710BF">
        <w:rPr>
          <w:u w:val="single"/>
        </w:rPr>
        <w:t xml:space="preserve"> as “they lack the defining characteristics of Article III</w:t>
      </w:r>
      <w:r w:rsidRPr="00A710BF">
        <w:t xml:space="preserve"> deities.”[5] For example, </w:t>
      </w:r>
      <w:r w:rsidRPr="00A710BF">
        <w:rPr>
          <w:u w:val="single"/>
        </w:rPr>
        <w:t>Article III judges are appointed pursuant to the procedure outlined in the Appointments Clause, receive salary and tenure protection so long as they have “good behavior,” and cannot be reversed by the Executive Branch.[6] Meanwhile, ALJs do not go through the Appointment Clause process, receive limited salary and employment protections, are subject to executive removal, and can have the very agencies that employ them reverse their decisions</w:t>
      </w:r>
      <w:r w:rsidRPr="00A710BF">
        <w:t xml:space="preserve">.[7] </w:t>
      </w:r>
      <w:r w:rsidRPr="002B2095">
        <w:rPr>
          <w:highlight w:val="green"/>
          <w:u w:val="single"/>
        </w:rPr>
        <w:t xml:space="preserve">ALJs </w:t>
      </w:r>
      <w:r w:rsidRPr="00A710BF">
        <w:rPr>
          <w:u w:val="single"/>
        </w:rPr>
        <w:t xml:space="preserve">have been </w:t>
      </w:r>
      <w:r w:rsidRPr="002B2095">
        <w:rPr>
          <w:highlight w:val="green"/>
          <w:u w:val="single"/>
        </w:rPr>
        <w:t>criticized over</w:t>
      </w:r>
      <w:r w:rsidRPr="00A710BF">
        <w:rPr>
          <w:u w:val="single"/>
        </w:rPr>
        <w:t xml:space="preserve"> separation of powers and </w:t>
      </w:r>
      <w:r w:rsidRPr="002B2095">
        <w:rPr>
          <w:highlight w:val="green"/>
          <w:u w:val="single"/>
        </w:rPr>
        <w:t>independence concerns</w:t>
      </w:r>
      <w:r w:rsidRPr="00A710BF">
        <w:rPr>
          <w:u w:val="single"/>
        </w:rPr>
        <w:t xml:space="preserve">,[8] inadequate accountability to either the public[9] or the president,[10] failure to rigorously examine cases,[11] </w:t>
      </w:r>
      <w:r w:rsidRPr="00FC70AA">
        <w:rPr>
          <w:u w:val="single"/>
        </w:rPr>
        <w:t>and</w:t>
      </w:r>
      <w:r w:rsidRPr="002B2095">
        <w:rPr>
          <w:highlight w:val="green"/>
          <w:u w:val="single"/>
        </w:rPr>
        <w:t xml:space="preserve">, in the context </w:t>
      </w:r>
      <w:r w:rsidRPr="00A710BF">
        <w:rPr>
          <w:u w:val="single"/>
        </w:rPr>
        <w:t xml:space="preserve">of enforcement </w:t>
      </w:r>
      <w:r w:rsidRPr="002B2095">
        <w:rPr>
          <w:highlight w:val="green"/>
          <w:u w:val="single"/>
        </w:rPr>
        <w:t>of civil regulatory schemes, for adjudicating individual rights without</w:t>
      </w:r>
      <w:r w:rsidRPr="00A710BF">
        <w:rPr>
          <w:u w:val="single"/>
        </w:rPr>
        <w:t xml:space="preserve"> affording litigants the </w:t>
      </w:r>
      <w:r w:rsidRPr="002B2095">
        <w:rPr>
          <w:highlight w:val="green"/>
          <w:u w:val="single"/>
        </w:rPr>
        <w:t>Seventh Amendment protections of a jury</w:t>
      </w:r>
      <w:r w:rsidRPr="00A710BF">
        <w:rPr>
          <w:u w:val="single"/>
        </w:rPr>
        <w:t xml:space="preserve"> trial.</w:t>
      </w:r>
      <w:r w:rsidRPr="00A710BF">
        <w:t xml:space="preserve">[12] </w:t>
      </w:r>
      <w:r w:rsidRPr="00A710BF">
        <w:rPr>
          <w:sz w:val="16"/>
          <w:szCs w:val="16"/>
        </w:rPr>
        <w:t>These critiques have meant that regulators, through ALJs, have long been the target of efforts to undermine the regulatory power of the federal government.[13] Enter George Jarkesy and his firm Patriot28, LLC. Mr. Jarkesy was the subject of an Securities and Exchange Commission (“SEC”) enforcement action in 2013 after he allegedly violated federal-securities laws.[14] Mr. Jarkesy, who was ordered to pay a civil penalty by the SEC</w:t>
      </w:r>
      <w:r w:rsidRPr="00A710BF">
        <w:t xml:space="preserve">, </w:t>
      </w:r>
      <w:r w:rsidRPr="00A710BF">
        <w:rPr>
          <w:u w:val="single"/>
        </w:rPr>
        <w:t>appealed his decision all the way to the Supreme Court, which held the SEC’s wholly in-house adjudication of his civil penalties via an ALJ violated his Seventh Amendment right to a jury trial.</w:t>
      </w:r>
      <w:r w:rsidRPr="00A710BF">
        <w:t xml:space="preserve">[15] </w:t>
      </w:r>
      <w:r w:rsidRPr="00A710BF">
        <w:rPr>
          <w:u w:val="single"/>
        </w:rPr>
        <w:t>The Supreme Court’s decision has the potential to not only significantly limit the role of ALJs within the federal government as a mechanism for adjudicating thousands of cases outside of Article III courts but also severely limit agency enforcement power because of the over 200 statutes authorizing agencies to impose civil penalties for violations of statutory obligations</w:t>
      </w:r>
      <w:r w:rsidRPr="00A710BF">
        <w:t xml:space="preserve">.[16] </w:t>
      </w:r>
      <w:r w:rsidRPr="002B2095">
        <w:rPr>
          <w:highlight w:val="green"/>
          <w:u w:val="single"/>
        </w:rPr>
        <w:t>Congress</w:t>
      </w:r>
      <w:r w:rsidRPr="00A710BF">
        <w:rPr>
          <w:u w:val="single"/>
        </w:rPr>
        <w:t xml:space="preserve">, through the powers the Constitution preserved through Article III[17] and the Necessary and Proper Clause,[18] is uniquely </w:t>
      </w:r>
      <w:r w:rsidRPr="002B2095">
        <w:rPr>
          <w:highlight w:val="green"/>
          <w:u w:val="single"/>
        </w:rPr>
        <w:t>positioned to remedy</w:t>
      </w:r>
      <w:r w:rsidRPr="00A710BF">
        <w:rPr>
          <w:u w:val="single"/>
        </w:rPr>
        <w:t xml:space="preserve"> these </w:t>
      </w:r>
      <w:r w:rsidRPr="002B2095">
        <w:rPr>
          <w:highlight w:val="green"/>
          <w:u w:val="single"/>
        </w:rPr>
        <w:t>issues</w:t>
      </w:r>
      <w:r w:rsidRPr="00A710BF">
        <w:t xml:space="preserve">. With its power to control the appellate jurisdiction of the judicial power of the United States, Congress should create a new set of lower-level </w:t>
      </w:r>
      <w:r w:rsidRPr="00A710BF">
        <w:rPr>
          <w:u w:val="single"/>
        </w:rPr>
        <w:t xml:space="preserve">Article III administrative law courts </w:t>
      </w:r>
      <w:r w:rsidRPr="002B2095">
        <w:rPr>
          <w:highlight w:val="green"/>
          <w:u w:val="single"/>
        </w:rPr>
        <w:t>with</w:t>
      </w:r>
      <w:r w:rsidRPr="00A710BF">
        <w:rPr>
          <w:u w:val="single"/>
        </w:rPr>
        <w:t xml:space="preserve"> the power to hear the </w:t>
      </w:r>
      <w:r w:rsidRPr="002B2095">
        <w:rPr>
          <w:highlight w:val="green"/>
          <w:u w:val="single"/>
        </w:rPr>
        <w:t>cases</w:t>
      </w:r>
      <w:r w:rsidRPr="00A710BF">
        <w:rPr>
          <w:u w:val="single"/>
        </w:rPr>
        <w:t xml:space="preserve"> that are </w:t>
      </w:r>
      <w:r w:rsidRPr="002B2095">
        <w:rPr>
          <w:highlight w:val="green"/>
          <w:u w:val="single"/>
        </w:rPr>
        <w:t>currently evaluated by</w:t>
      </w:r>
      <w:r w:rsidRPr="00A710BF">
        <w:rPr>
          <w:u w:val="single"/>
        </w:rPr>
        <w:t xml:space="preserve"> Article I </w:t>
      </w:r>
      <w:r w:rsidRPr="002B2095">
        <w:rPr>
          <w:highlight w:val="green"/>
          <w:u w:val="single"/>
        </w:rPr>
        <w:t>ALJs</w:t>
      </w:r>
      <w:r w:rsidRPr="00A710BF">
        <w:rPr>
          <w:u w:val="single"/>
        </w:rPr>
        <w:t>.</w:t>
      </w:r>
      <w:r w:rsidRPr="00A710BF">
        <w:t xml:space="preserve"> </w:t>
      </w:r>
      <w:r w:rsidRPr="00A710BF">
        <w:rPr>
          <w:sz w:val="12"/>
          <w:szCs w:val="12"/>
        </w:rPr>
        <w:t>This would: (1) resolve various critiques about ALJs exercising judicial power without having gone through the proper Appointments Clause process, (2) promote judicial efficiency and expertise by allowing ALJs to retain their ability to resolve cases without increasing the caseload of District Courts, and (3) allow for the adjudication of various claims without violating the constitutional protections of the Seventh Amendment and Due Process Clause. II. Administrative Law Judges The APA provides that ALJs preside over issues requiring formal adjudication.[19]</w:t>
      </w:r>
      <w:r w:rsidRPr="00A710BF">
        <w:t xml:space="preserve"> </w:t>
      </w:r>
      <w:r w:rsidRPr="00A710BF">
        <w:rPr>
          <w:u w:val="single"/>
        </w:rPr>
        <w:t>Formal adjudication resembles traditional Article III adjudication in its requirements for notice,[20] on-the- record hearing,[21] and issuance of a written decision.[22] Additionally, impartial individuals with the power to issue subpoenas,[23] rule on evidence,[24] and regulate the course of hearings to develop a factual record,[25] preside over both types of proceedings. ALJ decisions, however, are subject to de novo review by the agency, which can either reverse the ALJ’s decision or choose to adopt it.</w:t>
      </w:r>
      <w:r w:rsidRPr="00A710BF">
        <w:rPr>
          <w:sz w:val="12"/>
          <w:szCs w:val="12"/>
        </w:rPr>
        <w:t xml:space="preserve">[26] Once a decision is final, Article III courts can review agency decisions subject to several limits: statutes provide whether an action is within an agency’s discretion or whether judicial review is precluded altogether,[27] standing doctrines limit suits to parties injured by the agency action,[28] exhaustion requirements make final agency action a prerequisite to judicial review,[29] and standards of review provide the various circumstances where agency actions must be set aside.[30] Article III courts also traditionally applied Chevron USA, Inc. v. Natural Resources Defense Council, Inc. deference to agency interpretation of their authorizing statutes; however, the Loper Bright Enterprises v. Raimondo decision from this past term now precludes such deference to agency interpretation of statutes.[31] ALJs and the administrative proceedings over which they preside provide significant benefits to the federal government. First, the thousands of matters that ALJs handle keep cases off federal district court dockets that otherwise would have had to be adjudicated by Article III judges. According to the Office of Personnel Management, in March 2017 there were nearly 1,931 ALJs in the federal government working across twenty-eight agencies,[32] with some scholars estimating they “decide more than two hundred and fifty thousand cases each year.”[33] This helps manage the caseload of District Courts, who had 353,170 filings and 702,433 pending cases in 2023.[34] Additionally, ALJs develop important expertise on topics within their jurisdiction, which proponents argue means they are often better positioned to interpret ambiguous statutes and complex regulations than Article III courts.[35] ALJs go through a merit selection process by the Office of Personnel Management to ensure they are initially qualified,[36] and this expertise and familiarity with agency regulations had created the underpinning for Chevron deference from Article III courts. Second, ALJs often hear cases involving entitlements and protected property interests like licenses, permits, and government benefits and employment.[37] Because these interests are subject to certain due process protections such as notice,[38] a hearing,[39] and a purportedly unbiased decisionmaker,[40] ALJs are responsible for ensuring the substantive rights of those over who they preside. Third, formal adjudication by ALJs has created a body of decisions resembling common law which ensures that precedents are followed and similarly situated individuals have their claims adjudicated in a like manner.[41] Finally, ALJs have independence and are insulated within their agencies with respect to their decision-making process, which allows them to impartially adjudicate claims before them.[42] Despite these benefits, ALJs have been subject to significant critiques because of </w:t>
      </w:r>
      <w:r w:rsidRPr="00A710BF">
        <w:rPr>
          <w:sz w:val="12"/>
          <w:szCs w:val="12"/>
        </w:rPr>
        <w:lastRenderedPageBreak/>
        <w:t xml:space="preserve">their unique role within the federal regulatory system. Because the Supreme Court has repeatedly held ALJs are “inferior officers” within the meaning of the Appointments Clause,[43] scholars have argued “the manner in which some are currently selected is likely unconstitutional,” because many are appointed by non-department agency heads rather than through one of the constitutionally outlined Appointments Clause mechanisms.[44] Moreover, others have asserted the removal protections afforded to ALJs potentially improperly limit the President’s power to remove or supervise executive branch officers under Article II.[45] If Congress eliminated these removal protections </w:t>
      </w:r>
      <w:r w:rsidRPr="00A710BF">
        <w:rPr>
          <w:u w:val="single"/>
        </w:rPr>
        <w:t xml:space="preserve">to increase </w:t>
      </w:r>
      <w:r w:rsidRPr="002B2095">
        <w:rPr>
          <w:highlight w:val="green"/>
          <w:u w:val="single"/>
        </w:rPr>
        <w:t xml:space="preserve">the President’s </w:t>
      </w:r>
      <w:r w:rsidRPr="00A710BF">
        <w:rPr>
          <w:u w:val="single"/>
        </w:rPr>
        <w:t xml:space="preserve">supervisory </w:t>
      </w:r>
      <w:r w:rsidRPr="002B2095">
        <w:rPr>
          <w:highlight w:val="green"/>
          <w:u w:val="single"/>
        </w:rPr>
        <w:t>power over ALJs</w:t>
      </w:r>
      <w:r w:rsidRPr="00A710BF">
        <w:rPr>
          <w:u w:val="single"/>
        </w:rPr>
        <w:t xml:space="preserve">, it may </w:t>
      </w:r>
      <w:r w:rsidRPr="002B2095">
        <w:rPr>
          <w:highlight w:val="green"/>
          <w:u w:val="single"/>
        </w:rPr>
        <w:t>come at the cost of</w:t>
      </w:r>
      <w:r w:rsidRPr="00A710BF">
        <w:rPr>
          <w:u w:val="single"/>
        </w:rPr>
        <w:t xml:space="preserve"> Due Process interests over </w:t>
      </w:r>
      <w:r w:rsidRPr="002B2095">
        <w:rPr>
          <w:highlight w:val="green"/>
          <w:u w:val="single"/>
        </w:rPr>
        <w:t>impartiality</w:t>
      </w:r>
      <w:r w:rsidRPr="00A710BF">
        <w:rPr>
          <w:u w:val="single"/>
        </w:rPr>
        <w:t xml:space="preserve"> and fairness when ALJs exercise their quasi-judicial power</w:t>
      </w:r>
      <w:r w:rsidRPr="00A710BF">
        <w:t xml:space="preserve"> </w:t>
      </w:r>
      <w:r w:rsidRPr="00A710BF">
        <w:rPr>
          <w:u w:val="single"/>
        </w:rPr>
        <w:t xml:space="preserve">because </w:t>
      </w:r>
      <w:r w:rsidRPr="002B2095">
        <w:rPr>
          <w:highlight w:val="green"/>
          <w:u w:val="single"/>
        </w:rPr>
        <w:t>ALJs</w:t>
      </w:r>
      <w:r w:rsidRPr="00A710BF">
        <w:rPr>
          <w:u w:val="single"/>
        </w:rPr>
        <w:t xml:space="preserve"> would potentially </w:t>
      </w:r>
      <w:r w:rsidRPr="002B2095">
        <w:rPr>
          <w:highlight w:val="green"/>
          <w:u w:val="single"/>
        </w:rPr>
        <w:t xml:space="preserve">face removal for decisions </w:t>
      </w:r>
      <w:r w:rsidRPr="00FC70AA">
        <w:rPr>
          <w:u w:val="single"/>
        </w:rPr>
        <w:t xml:space="preserve">that </w:t>
      </w:r>
      <w:r w:rsidRPr="002B2095">
        <w:rPr>
          <w:highlight w:val="green"/>
          <w:u w:val="single"/>
        </w:rPr>
        <w:t>do not align with</w:t>
      </w:r>
      <w:r w:rsidRPr="00A710BF">
        <w:rPr>
          <w:u w:val="single"/>
        </w:rPr>
        <w:t xml:space="preserve"> a given </w:t>
      </w:r>
      <w:r w:rsidRPr="002B2095">
        <w:rPr>
          <w:highlight w:val="green"/>
          <w:u w:val="single"/>
        </w:rPr>
        <w:t>President</w:t>
      </w:r>
      <w:r w:rsidRPr="00A710BF">
        <w:rPr>
          <w:u w:val="single"/>
        </w:rPr>
        <w:t>’s policies</w:t>
      </w:r>
      <w:r w:rsidRPr="00A710BF">
        <w:t xml:space="preserve">.[46] </w:t>
      </w:r>
      <w:r w:rsidRPr="00A710BF">
        <w:rPr>
          <w:u w:val="single"/>
        </w:rPr>
        <w:t>Additionally, some have argued ALJ adjudication of cases where civil penalties are sought violates the Seventh Amendment[47]––the very same provision that curtailed ALJs’ authority to exercise judicial power over private rights of action</w:t>
      </w:r>
      <w:r w:rsidRPr="00A710BF">
        <w:t>.[</w:t>
      </w:r>
      <w:r w:rsidRPr="00A710BF">
        <w:rPr>
          <w:sz w:val="10"/>
          <w:szCs w:val="10"/>
        </w:rPr>
        <w:t xml:space="preserve">48] III. The Curious Case of George Jarkesy Let’s return to Mr. Jarkesy, who was accused of violating antifraud provisions of the Securities Act of 1933, the Securities Exchange Act of 1934, and the Investment Advisers Act of 1940 after he allegedly made various fraudulent misrepresentations to investors in his hedge fund, Patriot28.[49] Under the Dodd-Frank Act, Congress granted the SEC the option to choose whether to adjudicate civil enforcement actions before either its ALJs or in Article III courts.[50] This ability to choose to adjudicate claims before either in-house ALJs or federal court is granted to other agencies, such as the Environmental Protection Agency and Consumer Financial Protection Bureau.[51] As was its prerogative, the SEC opted to adjudicate the manner in-house, where an ALJ held, and SEC Commissioner affirmed, that Mr. Jarkesy committed the alleged violations.[52] The SEC ordered Mr. Jarkesy to pay a $300,000 civil penalty, to disgorge $685,000 of his profits, and to cease and desist from further violations.[53] Mr. Jarkesy appealed this decision to the Fifth Circuit, and in doing so, opted for constitutional arguments that attacked the ALJ regime as a whole.[54] He argued: (1) Congress violated the nondelegation doctrine by “failing to provide an intelligible principle by which the SEC would exercise [its] delegated power,” (2) the statutory removal restrictions on SEC ALJs violates Article II’s Take Care Clause, and (3) the SEC’s adjudication of civil penalties before an ALJ violated Mr. Jarkesy’s Seventh Amendment right to a jury trial.[55] The Fifth Circuit agreed with Mr. Jarkesy and entered a decision with potentially wide-ranging consequences for the administrative state.[56] The Supreme Court affirmed the Fifth Circuit on only one of these grounds: that </w:t>
      </w:r>
      <w:r w:rsidRPr="00A710BF">
        <w:rPr>
          <w:sz w:val="10"/>
          <w:szCs w:val="10"/>
          <w:u w:val="single"/>
        </w:rPr>
        <w:t>agencies cannot use ALJ’s to adjudicate civil enforcement penalties</w:t>
      </w:r>
      <w:r w:rsidRPr="00A710BF">
        <w:rPr>
          <w:sz w:val="10"/>
          <w:szCs w:val="10"/>
        </w:rPr>
        <w:t xml:space="preserve"> thus Mr. Jarkesy was entitled to a Seventh Amendment jury trial.[57] Chief Justice Roberts found three bases for this conclusion, (1) Congress’s choice of statutory language, (2) the similarities between common law fraud and claims against Mr. Jarkesy, and (3) the Court’s public rights jurisprudence. First, the Chief Justice held that Congress “deliberately used ‘fraud’ and other common law terms of art” in the three acts under which Mr. Jarkesy was charged.[58] In using these terms, a link was created “between federal securities fraud and its common law ‘ancestor.’”[59] This close relationship, according to the Chief Justice, confirms the legal nature of the action, and therefore, Mr. Jarkesy’s entitlement to a Seventh Amendment trial.[60] Second, the Chief Justice held this trial right “is not limited to the ‘common-law forms of action recognized’ when the Seventh Amendment was ratified” but “includes statutory claims that are ‘legal in nature.’”[61] This meant the civil penalties were “a type of remedy at common law that could only be enforced in courts of law” and therefore legal in nature.[62] That the SEC sought a form of monetary relief designed specifically to punish Mr. Jarkesy meant he was entitled to a Seventh Amendment trial.[63] Finally, the Chief Justice held the “public rights” exception does not apply to cases where the government seeks civil penalties before an ALJ.[64] Under the public rights exception, certain “public rights” may be properly assigned to an agency to decide instead of an Article III court with a jury without violating the Seventh Amendment.[65] While the Chief Justice conceded the “Court’s opinions governing this exception have not always spoken in precise terms,” he held that the SEC’s action involves the “matter[ ] of private rather than public right,” which Congress cannot mandate an administrative tribunal to handle.[66] Justice Sotomayor, joined by Justice Jackson and Justice Kagan, dissented from the majority opinion and took significant issue with the majority’s analysis of the public rights exception, calling it “plainly wrong.”[67] Justice Sotomayor outlined how, while the Court’s public rights jurisprudence was confusing “for cases involving wholly private disputes,”[68] it was long-settled government practice that public rights arise in cases between the government and an individual “subject to its authority in connection with the performance of the constitutional functions of the executive or legislative departments.’”[69] In Justice Sotomayor’s view, this specifically included cases like Mr. Jarkesy’s: where the Congress “enact[ed] new statutory obligations [the Dodd-Frank Act], prescribe[d] consequences for the breach of those obligations [the civil penalties in question], and then empower[ed] federal agencies to adjudicate such violations and impose the appropriate penalty [through SEC ALJs].”[70] Such regulatory regimes where the Congress could assign the adjudication of civil penalties for statutory violations to ALJs was “so settled that it bec[a]me an undisputable reality of how ‘our Government has actually worked.”[71] Given that the claims against Mr. Jarkesy were now considered private rights rather than public rights, Justice Sotomayor asserted the majority’s holding “pulls a rug out from under Congress without even acknowledging that its decision upends over two centuries of settled Government practice.”[72</w:t>
      </w:r>
      <w:r w:rsidRPr="00A710BF">
        <w:t xml:space="preserve">] IV. Administrative Fallout </w:t>
      </w:r>
      <w:r w:rsidRPr="00A710BF">
        <w:rPr>
          <w:u w:val="single"/>
        </w:rPr>
        <w:t>While the full scope of Jarkesy’s consequences remain to be seen, it has the potential to significantly undermine the powers of administrative agencies to regulate the general public depending on “whether courts apply its… framework expansively beyond the narrow securities antifraud context.”</w:t>
      </w:r>
      <w:r w:rsidRPr="00A710BF">
        <w:t>[</w:t>
      </w:r>
      <w:r w:rsidRPr="00A710BF">
        <w:rPr>
          <w:sz w:val="16"/>
          <w:szCs w:val="16"/>
        </w:rPr>
        <w:t>73] Read narrowly, Jarkesy only strikes down the SEC’s ability to adjudicate penalties with common law analogues like fraud before ALJs as authorized in Dodd-Frank.[74] Read broadly, however, there’s no principle limiting the ruling to the peculiarities of the SEC’s civil penalty regime,</w:t>
      </w:r>
      <w:r w:rsidRPr="00A710BF">
        <w:t xml:space="preserve"> </w:t>
      </w:r>
      <w:r w:rsidRPr="00A710BF">
        <w:rPr>
          <w:u w:val="single"/>
        </w:rPr>
        <w:t>meaning this decision can serve as the basis to challenge the penalty regimes of other agencies</w:t>
      </w:r>
      <w:r w:rsidRPr="00A710BF">
        <w:rPr>
          <w:sz w:val="16"/>
          <w:szCs w:val="16"/>
          <w:u w:val="single"/>
        </w:rPr>
        <w:t>.</w:t>
      </w:r>
      <w:r w:rsidRPr="00A710BF">
        <w:rPr>
          <w:sz w:val="16"/>
          <w:szCs w:val="16"/>
        </w:rPr>
        <w:t>[75] Justice Sotomayor’s dissent lays bare the potential impact of a broad ruling. She notes Congress has authorized more than two dozen agencies to impose civil penalties before ALJs.[76] And while some agencies like the EPA and SEC have been authorized to pursue civil penalties before both ALJs and Article III judges, the same cannot be said for agencies like the Federal Energy Regulatory Commission and Department of Agriculture, which have only been authorized to pursue agency enforcement proceedings.[77] Those agencies would become toothless to enforce federal law and regulations unless Congress passes a new authorizing statute.[78] Some effects of Jarkesy are already being felt.</w:t>
      </w:r>
      <w:r w:rsidRPr="00A710BF">
        <w:t xml:space="preserve"> </w:t>
      </w:r>
      <w:r w:rsidRPr="002B2095">
        <w:rPr>
          <w:highlight w:val="green"/>
          <w:u w:val="single"/>
        </w:rPr>
        <w:t xml:space="preserve">Challenges to </w:t>
      </w:r>
      <w:r w:rsidRPr="00A710BF">
        <w:rPr>
          <w:u w:val="single"/>
        </w:rPr>
        <w:t xml:space="preserve">other agency </w:t>
      </w:r>
      <w:r w:rsidRPr="002B2095">
        <w:rPr>
          <w:highlight w:val="green"/>
          <w:u w:val="single"/>
        </w:rPr>
        <w:t xml:space="preserve">civil enforcement schemes </w:t>
      </w:r>
      <w:r w:rsidRPr="00A710BF">
        <w:rPr>
          <w:u w:val="single"/>
        </w:rPr>
        <w:t xml:space="preserve">citing Jarkesy </w:t>
      </w:r>
      <w:r w:rsidRPr="002B2095">
        <w:rPr>
          <w:highlight w:val="green"/>
          <w:u w:val="single"/>
        </w:rPr>
        <w:t>have already begun against the</w:t>
      </w:r>
      <w:r w:rsidRPr="00A710BF">
        <w:rPr>
          <w:u w:val="single"/>
        </w:rPr>
        <w:t xml:space="preserve"> Federal Deposit Insurance Corporation,[79] </w:t>
      </w:r>
      <w:r w:rsidRPr="002B2095">
        <w:rPr>
          <w:highlight w:val="green"/>
          <w:u w:val="single"/>
        </w:rPr>
        <w:t>D</w:t>
      </w:r>
      <w:r w:rsidRPr="00A710BF">
        <w:rPr>
          <w:u w:val="single"/>
        </w:rPr>
        <w:t xml:space="preserve">epartment </w:t>
      </w:r>
      <w:r w:rsidRPr="002B2095">
        <w:rPr>
          <w:highlight w:val="green"/>
          <w:u w:val="single"/>
        </w:rPr>
        <w:t>o</w:t>
      </w:r>
      <w:r w:rsidRPr="00A710BF">
        <w:rPr>
          <w:u w:val="single"/>
        </w:rPr>
        <w:t xml:space="preserve">f </w:t>
      </w:r>
      <w:r w:rsidRPr="002B2095">
        <w:rPr>
          <w:highlight w:val="green"/>
          <w:u w:val="single"/>
        </w:rPr>
        <w:t>L</w:t>
      </w:r>
      <w:r w:rsidRPr="00A710BF">
        <w:rPr>
          <w:u w:val="single"/>
        </w:rPr>
        <w:t>abor,[80] and the Financial Industry Regulatory Authority.</w:t>
      </w:r>
      <w:r w:rsidRPr="00A710BF">
        <w:t xml:space="preserve">[81] </w:t>
      </w:r>
      <w:r w:rsidRPr="00A710BF">
        <w:rPr>
          <w:sz w:val="16"/>
          <w:szCs w:val="16"/>
        </w:rPr>
        <w:t>And in September, the SEC asked to dismiss its active misconduct proceedings before its ALJs against accountants, which experts believe is in response to the Jarkesy decision.[82]</w:t>
      </w:r>
    </w:p>
    <w:p w14:paraId="07F417A1" w14:textId="77777777" w:rsidR="00365070" w:rsidRPr="00A710BF" w:rsidRDefault="00365070" w:rsidP="00365070">
      <w:pPr>
        <w:pStyle w:val="Heading4"/>
        <w:rPr>
          <w:rFonts w:cs="Calibri"/>
        </w:rPr>
      </w:pPr>
      <w:r w:rsidRPr="00A710BF">
        <w:rPr>
          <w:rFonts w:cs="Calibri"/>
        </w:rPr>
        <w:t xml:space="preserve">Reigning in executive power </w:t>
      </w:r>
      <w:r>
        <w:rPr>
          <w:rFonts w:cs="Calibri"/>
        </w:rPr>
        <w:t>is key to stop a laundry list of impacts</w:t>
      </w:r>
    </w:p>
    <w:p w14:paraId="3A3B2E5E" w14:textId="77777777" w:rsidR="00365070" w:rsidRPr="00A710BF" w:rsidRDefault="00365070" w:rsidP="00365070">
      <w:r w:rsidRPr="00CE30D3">
        <w:rPr>
          <w:rStyle w:val="Style13ptBold"/>
        </w:rPr>
        <w:t>Moore 25</w:t>
      </w:r>
      <w:r w:rsidRPr="00A710BF">
        <w:t xml:space="preserve"> </w:t>
      </w:r>
      <w:r w:rsidRPr="00A710BF">
        <w:rPr>
          <w:sz w:val="16"/>
          <w:szCs w:val="16"/>
        </w:rPr>
        <w:t xml:space="preserve">(Tom Moore is a senior fellow at American Progress, where he focuses on democracy and government reform. From 2015 to 2023, Moore served as counsel and then chief of staff to Commissioner Ellen L. Weintraub of the Federal Election Commission (FEC), where he advised the commissioner on all aspects of her duties, including policy and litigation matters, enforcement actions, communications, and management of the agency. “Trump’s War on America Risks a Wave of Catastrophes,” </w:t>
      </w:r>
      <w:r w:rsidRPr="00A710BF">
        <w:rPr>
          <w:i/>
          <w:iCs/>
          <w:sz w:val="16"/>
          <w:szCs w:val="16"/>
        </w:rPr>
        <w:t xml:space="preserve">Center for American Progress, </w:t>
      </w:r>
      <w:r w:rsidRPr="00A710BF">
        <w:rPr>
          <w:sz w:val="16"/>
          <w:szCs w:val="16"/>
        </w:rPr>
        <w:t>02/27/25, https://www.americanprogress.org/article/trumps-war-on-america-risks-a-wave-of-catastrophes/) CT</w:t>
      </w:r>
    </w:p>
    <w:p w14:paraId="0B6E8C71" w14:textId="77777777" w:rsidR="00365070" w:rsidRDefault="00365070" w:rsidP="00365070">
      <w:pPr>
        <w:rPr>
          <w:sz w:val="12"/>
          <w:szCs w:val="12"/>
        </w:rPr>
      </w:pPr>
      <w:r w:rsidRPr="00A710BF">
        <w:rPr>
          <w:sz w:val="16"/>
          <w:szCs w:val="16"/>
        </w:rPr>
        <w:t>Not every disaster movie ends badly. We blew up the asteroid in “Armageddon” before it hit; the deadly diseases threatened in “Outbreak,” “Contagion,” and “The Andromeda Strain” were contained; and, in “Independence Day,” the world’s militaries beat back the alien invasion. A common thread ran through these successes: Scientific expertise, well-funded federal agencies, and synchronized emergency responses—exactly the safeguards President</w:t>
      </w:r>
      <w:r w:rsidRPr="00A710BF">
        <w:t xml:space="preserve"> </w:t>
      </w:r>
      <w:r w:rsidRPr="00A710BF">
        <w:rPr>
          <w:u w:val="single"/>
        </w:rPr>
        <w:t xml:space="preserve">Donald </w:t>
      </w:r>
      <w:r w:rsidRPr="002B2095">
        <w:rPr>
          <w:highlight w:val="green"/>
          <w:u w:val="single"/>
        </w:rPr>
        <w:t>Trump</w:t>
      </w:r>
      <w:r w:rsidRPr="00A710BF">
        <w:rPr>
          <w:u w:val="single"/>
        </w:rPr>
        <w:t xml:space="preserve"> is recklessly attempting to dismantle. Some examples of this </w:t>
      </w:r>
      <w:r w:rsidRPr="002B2095">
        <w:rPr>
          <w:highlight w:val="green"/>
          <w:u w:val="single"/>
        </w:rPr>
        <w:t>recklessness</w:t>
      </w:r>
      <w:r w:rsidRPr="00A710BF">
        <w:rPr>
          <w:u w:val="single"/>
        </w:rPr>
        <w:t xml:space="preserve"> were on quick display: firing the people who oversee our nuclear arsenal, protect us from bird flu, and directly support air traffic controllers and critical safety technologies. Some of the other mistakes will only be exposed or </w:t>
      </w:r>
      <w:r w:rsidRPr="002B2095">
        <w:rPr>
          <w:highlight w:val="green"/>
          <w:u w:val="single"/>
        </w:rPr>
        <w:t xml:space="preserve">felt when a critical function </w:t>
      </w:r>
      <w:r w:rsidRPr="00FC70AA">
        <w:rPr>
          <w:u w:val="single"/>
        </w:rPr>
        <w:t xml:space="preserve">of government </w:t>
      </w:r>
      <w:r w:rsidRPr="002B2095">
        <w:rPr>
          <w:highlight w:val="green"/>
          <w:u w:val="single"/>
        </w:rPr>
        <w:t>fails</w:t>
      </w:r>
      <w:r w:rsidRPr="00A710BF">
        <w:rPr>
          <w:u w:val="single"/>
        </w:rPr>
        <w:t xml:space="preserve"> to protect us from a </w:t>
      </w:r>
      <w:r w:rsidRPr="00A710BF">
        <w:rPr>
          <w:u w:val="single"/>
        </w:rPr>
        <w:lastRenderedPageBreak/>
        <w:t xml:space="preserve">terrorist attack or bank collapse. </w:t>
      </w:r>
      <w:r w:rsidRPr="00A710BF">
        <w:rPr>
          <w:sz w:val="16"/>
          <w:szCs w:val="16"/>
        </w:rPr>
        <w:t xml:space="preserve">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 Most Americans agree that government can work better and can be more efficient. </w:t>
      </w:r>
      <w:r w:rsidRPr="00A710BF">
        <w:rPr>
          <w:u w:val="single"/>
        </w:rPr>
        <w:t xml:space="preserve">But Trump and Musk’s moves are doing the opposite—and will, in time, make us far less safe. </w:t>
      </w:r>
      <w:r w:rsidRPr="00A710BF">
        <w:rPr>
          <w:sz w:val="16"/>
          <w:szCs w:val="16"/>
        </w:rPr>
        <w:t xml:space="preserve">Movies usually feature just one catastrophe apiece, but Trump’s actions are hurtling America toward all of these simultaneously. When these disasters next strike, it likely won’t be in a theater, and we’ll know whose actions to blame: Planes crash when there are fewer air‐traffic controllers on the job and less oversight of aircraft maintenance.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 </w:t>
      </w:r>
      <w:r w:rsidRPr="002B2095">
        <w:rPr>
          <w:b/>
          <w:bCs/>
          <w:highlight w:val="green"/>
          <w:u w:val="single"/>
        </w:rPr>
        <w:t>Nuclear materials get stolen when</w:t>
      </w:r>
      <w:r w:rsidRPr="00A710BF">
        <w:rPr>
          <w:b/>
          <w:bCs/>
          <w:u w:val="single"/>
        </w:rPr>
        <w:t xml:space="preserve"> critical nuclear </w:t>
      </w:r>
      <w:r w:rsidRPr="002B2095">
        <w:rPr>
          <w:b/>
          <w:bCs/>
          <w:highlight w:val="green"/>
          <w:u w:val="single"/>
        </w:rPr>
        <w:t xml:space="preserve">staff are fired and </w:t>
      </w:r>
      <w:r w:rsidRPr="00FC70AA">
        <w:rPr>
          <w:b/>
          <w:bCs/>
          <w:u w:val="single"/>
        </w:rPr>
        <w:t>oversight of</w:t>
      </w:r>
      <w:r w:rsidRPr="00A710BF">
        <w:rPr>
          <w:b/>
          <w:bCs/>
          <w:u w:val="single"/>
        </w:rPr>
        <w:t xml:space="preserve"> weapons labs </w:t>
      </w:r>
      <w:r w:rsidRPr="00FC70AA">
        <w:rPr>
          <w:b/>
          <w:bCs/>
          <w:u w:val="single"/>
        </w:rPr>
        <w:t xml:space="preserve">is </w:t>
      </w:r>
      <w:r w:rsidRPr="002B2095">
        <w:rPr>
          <w:b/>
          <w:bCs/>
          <w:highlight w:val="green"/>
          <w:u w:val="single"/>
        </w:rPr>
        <w:t>gutted</w:t>
      </w:r>
      <w:r w:rsidRPr="00A710BF">
        <w:rPr>
          <w:u w:val="single"/>
        </w:rPr>
        <w:t xml:space="preserve">. The Trump administration’s random </w:t>
      </w:r>
      <w:r w:rsidRPr="002B2095">
        <w:rPr>
          <w:highlight w:val="green"/>
          <w:u w:val="single"/>
        </w:rPr>
        <w:t>layoffs</w:t>
      </w:r>
      <w:r w:rsidRPr="00A710BF">
        <w:rPr>
          <w:u w:val="single"/>
        </w:rPr>
        <w:t xml:space="preserve"> at the National Nuclear Security Administration </w:t>
      </w:r>
      <w:r w:rsidRPr="002B2095">
        <w:rPr>
          <w:highlight w:val="green"/>
          <w:u w:val="single"/>
        </w:rPr>
        <w:t>have left</w:t>
      </w:r>
      <w:r w:rsidRPr="00A710BF">
        <w:rPr>
          <w:u w:val="single"/>
        </w:rPr>
        <w:t xml:space="preserve"> America’s </w:t>
      </w:r>
      <w:r w:rsidRPr="002B2095">
        <w:rPr>
          <w:highlight w:val="green"/>
          <w:u w:val="single"/>
        </w:rPr>
        <w:t xml:space="preserve">nuclear arsenal dangerously exposed, </w:t>
      </w:r>
      <w:r w:rsidRPr="002B2095">
        <w:rPr>
          <w:b/>
          <w:bCs/>
          <w:highlight w:val="green"/>
          <w:u w:val="single"/>
        </w:rPr>
        <w:t>risking theft, sabotage, and accidental detonation</w:t>
      </w:r>
      <w:r w:rsidRPr="002B2095">
        <w:rPr>
          <w:highlight w:val="green"/>
          <w:u w:val="single"/>
        </w:rPr>
        <w:t>.</w:t>
      </w:r>
      <w:r w:rsidRPr="00A710BF">
        <w:rPr>
          <w:u w:val="single"/>
        </w:rPr>
        <w:t xml:space="preserve"> Terrorists attack the United States when our intelligence and law enforcement agencies are hobbled. The Trump administration’s mass firings and </w:t>
      </w:r>
      <w:r w:rsidRPr="002B2095">
        <w:rPr>
          <w:highlight w:val="green"/>
          <w:u w:val="single"/>
        </w:rPr>
        <w:t>program shutdowns</w:t>
      </w:r>
      <w:r w:rsidRPr="00A710BF">
        <w:rPr>
          <w:u w:val="single"/>
        </w:rPr>
        <w:t xml:space="preserve"> at the Department of Justice, the FBI, the Cybersecurity and Infrastructure Security Agency, and other national security agencies </w:t>
      </w:r>
      <w:r w:rsidRPr="002B2095">
        <w:rPr>
          <w:highlight w:val="green"/>
          <w:u w:val="single"/>
        </w:rPr>
        <w:t>weaken</w:t>
      </w:r>
      <w:r w:rsidRPr="00A710BF">
        <w:rPr>
          <w:u w:val="single"/>
        </w:rPr>
        <w:t xml:space="preserve"> their </w:t>
      </w:r>
      <w:r w:rsidRPr="002B2095">
        <w:rPr>
          <w:highlight w:val="green"/>
          <w:u w:val="single"/>
        </w:rPr>
        <w:t>ability to see threats</w:t>
      </w:r>
      <w:r w:rsidRPr="00A710BF">
        <w:rPr>
          <w:u w:val="single"/>
        </w:rPr>
        <w:t xml:space="preserve">, leaving the </w:t>
      </w:r>
      <w:r w:rsidRPr="002B2095">
        <w:rPr>
          <w:highlight w:val="green"/>
          <w:u w:val="single"/>
        </w:rPr>
        <w:t>nation vulnerable to coordinated and</w:t>
      </w:r>
      <w:r w:rsidRPr="00A710BF">
        <w:rPr>
          <w:u w:val="single"/>
        </w:rPr>
        <w:t xml:space="preserve"> deadly </w:t>
      </w:r>
      <w:r w:rsidRPr="002B2095">
        <w:rPr>
          <w:highlight w:val="green"/>
          <w:u w:val="single"/>
        </w:rPr>
        <w:t>terrorist strikes. Pandemics spiral</w:t>
      </w:r>
      <w:r w:rsidRPr="00A710BF">
        <w:rPr>
          <w:u w:val="single"/>
        </w:rPr>
        <w:t xml:space="preserve"> out of control </w:t>
      </w:r>
      <w:r w:rsidRPr="002B2095">
        <w:rPr>
          <w:highlight w:val="green"/>
          <w:u w:val="single"/>
        </w:rPr>
        <w:t>when</w:t>
      </w:r>
      <w:r w:rsidRPr="00A710BF">
        <w:rPr>
          <w:u w:val="single"/>
        </w:rPr>
        <w:t xml:space="preserve"> America’s public-health experts are taken off the job and our scientists are cut off from colleagues around the world. Through </w:t>
      </w:r>
      <w:r w:rsidRPr="002B2095">
        <w:rPr>
          <w:highlight w:val="green"/>
          <w:u w:val="single"/>
        </w:rPr>
        <w:t>funding freezes</w:t>
      </w:r>
      <w:r w:rsidRPr="00A710BF">
        <w:rPr>
          <w:u w:val="single"/>
        </w:rPr>
        <w:t xml:space="preserve"> and mass firings </w:t>
      </w:r>
      <w:r w:rsidRPr="002B2095">
        <w:rPr>
          <w:highlight w:val="green"/>
          <w:u w:val="single"/>
        </w:rPr>
        <w:t>at the</w:t>
      </w:r>
      <w:r w:rsidRPr="00A710BF">
        <w:rPr>
          <w:u w:val="single"/>
        </w:rPr>
        <w:t xml:space="preserve"> Centers for Disease Control and Prevention (</w:t>
      </w:r>
      <w:r w:rsidRPr="002B2095">
        <w:rPr>
          <w:highlight w:val="green"/>
          <w:u w:val="single"/>
        </w:rPr>
        <w:t>CDC</w:t>
      </w:r>
      <w:r w:rsidRPr="00A710BF">
        <w:rPr>
          <w:u w:val="single"/>
        </w:rPr>
        <w:t xml:space="preserve">) and the National Institutes of Health—and pulling the United States out of the World Health Organization—the Trump administration has </w:t>
      </w:r>
      <w:r w:rsidRPr="002B2095">
        <w:rPr>
          <w:highlight w:val="green"/>
          <w:u w:val="single"/>
        </w:rPr>
        <w:t>severely undermined</w:t>
      </w:r>
      <w:r w:rsidRPr="00A710BF">
        <w:rPr>
          <w:u w:val="single"/>
        </w:rPr>
        <w:t xml:space="preserve"> the nation’s </w:t>
      </w:r>
      <w:r w:rsidRPr="002B2095">
        <w:rPr>
          <w:highlight w:val="green"/>
          <w:u w:val="single"/>
        </w:rPr>
        <w:t>ability to detect</w:t>
      </w:r>
      <w:r w:rsidRPr="00A710BF">
        <w:rPr>
          <w:u w:val="single"/>
        </w:rPr>
        <w:t xml:space="preserve">, contain, </w:t>
      </w:r>
      <w:r w:rsidRPr="002B2095">
        <w:rPr>
          <w:highlight w:val="green"/>
          <w:u w:val="single"/>
        </w:rPr>
        <w:t>and respond to</w:t>
      </w:r>
      <w:r w:rsidRPr="00A710BF">
        <w:rPr>
          <w:u w:val="single"/>
        </w:rPr>
        <w:t xml:space="preserve"> emerging infectious </w:t>
      </w:r>
      <w:r w:rsidRPr="002B2095">
        <w:rPr>
          <w:highlight w:val="green"/>
          <w:u w:val="single"/>
        </w:rPr>
        <w:t>diseases</w:t>
      </w:r>
      <w:r w:rsidRPr="00A710BF">
        <w:t xml:space="preserve">. </w:t>
      </w:r>
      <w:r w:rsidRPr="00A710BF">
        <w:rPr>
          <w:sz w:val="16"/>
          <w:szCs w:val="16"/>
        </w:rPr>
        <w:t>On Secretary Robert F. Kennedy Jr.’s first day on the job, the U.S. Department of Health and Human Services fired half of the CDC staff who provide America with early warning of emerging epidemics. In addition, the U.S.</w:t>
      </w:r>
      <w:r w:rsidRPr="00A710BF">
        <w:t xml:space="preserve"> </w:t>
      </w:r>
      <w:r w:rsidRPr="00A710BF">
        <w:rPr>
          <w:u w:val="single"/>
        </w:rPr>
        <w:t xml:space="preserve">Department of Agriculture fired plant protection and quarantine staff working to combat bird flu. We may not have to wait long for this disaster to unfold: The Trump administration has fired people serving as the “boots on the ground” in the current fight to keep bird flu contained. </w:t>
      </w:r>
      <w:r w:rsidRPr="00A710BF">
        <w:rPr>
          <w:sz w:val="12"/>
          <w:szCs w:val="12"/>
        </w:rPr>
        <w:t>The electric grid fails when not enough people are on hand to keep it running. The Trump administration is firing the linemen, engineers, and dispatchers who maintain America’s power systems. 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 Roads and bridges collapse when funding for maintenance and new construction is slashed and there’s no one on hand to keep everyone honest. The Trump administration has gutted a host of infrastructure projects and fired the government watchdogs who make sure large-scale building projects are done right.</w:t>
      </w:r>
      <w:r w:rsidRPr="00A710BF">
        <w:t xml:space="preserve"> </w:t>
      </w:r>
      <w:r w:rsidRPr="002B2095">
        <w:rPr>
          <w:highlight w:val="green"/>
          <w:u w:val="single"/>
        </w:rPr>
        <w:t xml:space="preserve">The world falls apart </w:t>
      </w:r>
      <w:r w:rsidRPr="00A710BF">
        <w:rPr>
          <w:u w:val="single"/>
        </w:rPr>
        <w:t xml:space="preserve">when companies aren’t held responsible or accountable for complying </w:t>
      </w:r>
      <w:r w:rsidRPr="002B2095">
        <w:rPr>
          <w:highlight w:val="green"/>
          <w:u w:val="single"/>
        </w:rPr>
        <w:t>with</w:t>
      </w:r>
      <w:r w:rsidRPr="00A710BF">
        <w:rPr>
          <w:u w:val="single"/>
        </w:rPr>
        <w:t xml:space="preserve"> environmental laws—think </w:t>
      </w:r>
      <w:r w:rsidRPr="002B2095">
        <w:rPr>
          <w:highlight w:val="green"/>
          <w:u w:val="single"/>
        </w:rPr>
        <w:t>pipeline ruptures, chemical</w:t>
      </w:r>
      <w:r w:rsidRPr="00A710BF">
        <w:rPr>
          <w:u w:val="single"/>
        </w:rPr>
        <w:t xml:space="preserve"> and natural gas </w:t>
      </w:r>
      <w:r w:rsidRPr="002B2095">
        <w:rPr>
          <w:highlight w:val="green"/>
          <w:u w:val="single"/>
        </w:rPr>
        <w:t>explosions, and oil spills</w:t>
      </w:r>
      <w:r w:rsidRPr="00A710BF">
        <w:rPr>
          <w:u w:val="single"/>
        </w:rPr>
        <w:t xml:space="preserve">. Trump’s Environmental Protection Agency has </w:t>
      </w:r>
      <w:r w:rsidRPr="002B2095">
        <w:rPr>
          <w:highlight w:val="green"/>
          <w:u w:val="single"/>
        </w:rPr>
        <w:t>demoted</w:t>
      </w:r>
      <w:r w:rsidRPr="00A710BF">
        <w:rPr>
          <w:u w:val="single"/>
        </w:rPr>
        <w:t xml:space="preserve"> career </w:t>
      </w:r>
      <w:r w:rsidRPr="002B2095">
        <w:rPr>
          <w:highlight w:val="green"/>
          <w:u w:val="single"/>
        </w:rPr>
        <w:t>staff</w:t>
      </w:r>
      <w:r w:rsidRPr="00A710BF">
        <w:rPr>
          <w:u w:val="single"/>
        </w:rPr>
        <w:t xml:space="preserve"> with the expertise </w:t>
      </w:r>
      <w:r w:rsidRPr="002B2095">
        <w:rPr>
          <w:highlight w:val="green"/>
          <w:u w:val="single"/>
        </w:rPr>
        <w:t xml:space="preserve">required to enforce pollution laws and oversee </w:t>
      </w:r>
      <w:r w:rsidRPr="00A710BF">
        <w:rPr>
          <w:u w:val="single"/>
        </w:rPr>
        <w:t xml:space="preserve">safe hazardous </w:t>
      </w:r>
      <w:r w:rsidRPr="002B2095">
        <w:rPr>
          <w:highlight w:val="green"/>
          <w:u w:val="single"/>
        </w:rPr>
        <w:t>waste cleanup and</w:t>
      </w:r>
      <w:r w:rsidRPr="00A710BF">
        <w:rPr>
          <w:u w:val="single"/>
        </w:rPr>
        <w:t xml:space="preserve"> has </w:t>
      </w:r>
      <w:r w:rsidRPr="002B2095">
        <w:rPr>
          <w:highlight w:val="green"/>
          <w:u w:val="single"/>
        </w:rPr>
        <w:t>fired hundreds</w:t>
      </w:r>
      <w:r w:rsidRPr="00A710BF">
        <w:rPr>
          <w:u w:val="single"/>
        </w:rPr>
        <w:t xml:space="preserve"> of workers </w:t>
      </w:r>
      <w:r w:rsidRPr="002B2095">
        <w:rPr>
          <w:highlight w:val="green"/>
          <w:u w:val="single"/>
        </w:rPr>
        <w:t>who respond to environmental disasters</w:t>
      </w:r>
      <w:r w:rsidRPr="00A710BF">
        <w:rPr>
          <w:u w:val="single"/>
        </w:rPr>
        <w:t xml:space="preserve"> and ensure a healthy and safe environment for all Americans. </w:t>
      </w:r>
      <w:r w:rsidRPr="00A710BF">
        <w:t xml:space="preserve">Emergency responses fail when </w:t>
      </w:r>
      <w:r w:rsidRPr="002B2095">
        <w:rPr>
          <w:highlight w:val="green"/>
          <w:u w:val="single"/>
        </w:rPr>
        <w:t>centralized disaster management is thrown into chaos</w:t>
      </w:r>
      <w:r w:rsidRPr="00A710BF">
        <w:t xml:space="preserve">. </w:t>
      </w:r>
      <w:r w:rsidRPr="00A710BF">
        <w:rPr>
          <w:sz w:val="12"/>
          <w:szCs w:val="12"/>
        </w:rPr>
        <w:t>Trump’s spending freezes and random firings significantly threaten America’s ability to handle disasters. Even worse: Trump says he wants to get rid of the Federal Emergency Management Agency altogether and let states take care of themselves. 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 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pauses at America’s financial watchdogs and general erratic moves risk grinding America’s and the world’s economies to a halt. Just suspending congressionally authorized payments, alone, is “a breach of trust and ultimately, a form of default.” Conclusion One of America’s great strengths—on-screen and in real life—has been the reliability of its institutions, grounded in expertise, robust oversight, and the rule of law. President Trump and Elon Musk’s lawless and erratic actions are weakening, not strengthening, these pillars of strength, so much so that they risk pulling catastrophic Hollywood nightmares off the screen and into real life.</w:t>
      </w:r>
    </w:p>
    <w:p w14:paraId="2B0E78AF" w14:textId="77777777" w:rsidR="00365070" w:rsidRPr="00F05D6E" w:rsidRDefault="00365070" w:rsidP="00F05D6E">
      <w:pPr>
        <w:pStyle w:val="Heading4"/>
      </w:pPr>
      <w:r w:rsidRPr="00F05D6E">
        <w:t xml:space="preserve">Nuclear accidents cause Chernobyl 2.0 </w:t>
      </w:r>
    </w:p>
    <w:p w14:paraId="65389CCD" w14:textId="77777777" w:rsidR="00365070" w:rsidRDefault="00365070" w:rsidP="00365070">
      <w:r w:rsidRPr="00CE30D3">
        <w:rPr>
          <w:rStyle w:val="Style13ptBold"/>
        </w:rPr>
        <w:t>Devereux 22</w:t>
      </w:r>
      <w:r>
        <w:t xml:space="preserve"> </w:t>
      </w:r>
      <w:r w:rsidRPr="00CC5339">
        <w:t>[Erik Devereux; teaches at Georgetown University</w:t>
      </w:r>
      <w:r>
        <w:t>,</w:t>
      </w:r>
      <w:r w:rsidRPr="00CC5339">
        <w:t xml:space="preserve"> B.S. from </w:t>
      </w:r>
      <w:r>
        <w:t>MIT in Political Science,</w:t>
      </w:r>
      <w:r w:rsidRPr="00CC5339">
        <w:t xml:space="preserve"> Ph.D. </w:t>
      </w:r>
      <w:r>
        <w:t>from UT in Government</w:t>
      </w:r>
      <w:r w:rsidRPr="00CC5339">
        <w:t>; 8-19-2022; PA TIMES Online; "Crisis in the U.S. Nuclear Weapons Complex: Part 4 – All Roads Lead To Pantex"; https://patimes.org/crisis-in-the-u-s-nuclear-weapons-complex-part-4-all-roads-lead-to-pantex/] [pT]</w:t>
      </w:r>
    </w:p>
    <w:p w14:paraId="47E44C66" w14:textId="77777777" w:rsidR="00365070" w:rsidRPr="00976C13" w:rsidRDefault="00365070" w:rsidP="00365070">
      <w:pPr>
        <w:rPr>
          <w:sz w:val="16"/>
        </w:rPr>
      </w:pPr>
      <w:r w:rsidRPr="00976C13">
        <w:rPr>
          <w:sz w:val="16"/>
        </w:rPr>
        <w:lastRenderedPageBreak/>
        <w:t xml:space="preserve">This is the fourth column in a series regarding the unfolding, </w:t>
      </w:r>
      <w:r w:rsidRPr="00976C13">
        <w:rPr>
          <w:rStyle w:val="StyleUnderline"/>
        </w:rPr>
        <w:t xml:space="preserve">unprecedented </w:t>
      </w:r>
      <w:r w:rsidRPr="002B2095">
        <w:rPr>
          <w:rStyle w:val="StyleUnderline"/>
          <w:highlight w:val="green"/>
        </w:rPr>
        <w:t>crisis in the</w:t>
      </w:r>
      <w:r w:rsidRPr="00976C13">
        <w:rPr>
          <w:sz w:val="16"/>
        </w:rPr>
        <w:t xml:space="preserve"> U.S. Nuclear Weapons Complex (</w:t>
      </w:r>
      <w:r w:rsidRPr="002B2095">
        <w:rPr>
          <w:rStyle w:val="Emphasis"/>
          <w:highlight w:val="green"/>
        </w:rPr>
        <w:t>NWC</w:t>
      </w:r>
      <w:r w:rsidRPr="00976C13">
        <w:rPr>
          <w:sz w:val="16"/>
        </w:rPr>
        <w:t>) (the first column on how U.S. budget politics since 1969 have damaged the NWC is </w:t>
      </w:r>
      <w:hyperlink r:id="rId5" w:history="1">
        <w:r w:rsidRPr="00976C13">
          <w:rPr>
            <w:rStyle w:val="Hyperlink"/>
            <w:sz w:val="16"/>
          </w:rPr>
          <w:t>here</w:t>
        </w:r>
      </w:hyperlink>
      <w:r w:rsidRPr="00976C13">
        <w:rPr>
          <w:sz w:val="16"/>
        </w:rPr>
        <w:t>; the second on how nuclear weapons ended exponentially deadly warfare among the great powers is </w:t>
      </w:r>
      <w:hyperlink r:id="rId6" w:history="1">
        <w:r w:rsidRPr="00976C13">
          <w:rPr>
            <w:rStyle w:val="Hyperlink"/>
            <w:sz w:val="16"/>
          </w:rPr>
          <w:t>here</w:t>
        </w:r>
      </w:hyperlink>
      <w:r w:rsidRPr="00976C13">
        <w:rPr>
          <w:sz w:val="16"/>
        </w:rPr>
        <w:t>; the third column on issues with manufacturing plutonium “pits” is </w:t>
      </w:r>
      <w:hyperlink r:id="rId7" w:history="1">
        <w:r w:rsidRPr="00976C13">
          <w:rPr>
            <w:rStyle w:val="Hyperlink"/>
            <w:sz w:val="16"/>
          </w:rPr>
          <w:t>here</w:t>
        </w:r>
      </w:hyperlink>
      <w:r w:rsidRPr="00976C13">
        <w:rPr>
          <w:sz w:val="16"/>
        </w:rPr>
        <w:t>). This column discusses the facility where the challenges facing the NWC come to a head: the PANTEX Plant located in the Texas Panhandle (for fans of the Tom Hanks movie, “Cast Away,” PANTEX is located very near the desolate crossroads where the movie begins and ends).</w:t>
      </w:r>
    </w:p>
    <w:p w14:paraId="1C53BC6C" w14:textId="77777777" w:rsidR="00365070" w:rsidRPr="009E09CF" w:rsidRDefault="00365070" w:rsidP="00365070">
      <w:pPr>
        <w:rPr>
          <w:sz w:val="16"/>
        </w:rPr>
      </w:pPr>
      <w:r w:rsidRPr="009E09CF">
        <w:rPr>
          <w:sz w:val="16"/>
        </w:rPr>
        <w:t>The diagram accompanying this article (</w:t>
      </w:r>
      <w:hyperlink r:id="rId8" w:history="1">
        <w:r w:rsidRPr="009E09CF">
          <w:rPr>
            <w:rStyle w:val="Hyperlink"/>
            <w:sz w:val="16"/>
          </w:rPr>
          <w:t>source</w:t>
        </w:r>
      </w:hyperlink>
      <w:r w:rsidRPr="009E09CF">
        <w:rPr>
          <w:sz w:val="16"/>
        </w:rPr>
        <w:t xml:space="preserve">) shows the central role </w:t>
      </w:r>
      <w:r w:rsidRPr="002B2095">
        <w:rPr>
          <w:rStyle w:val="StyleUnderline"/>
        </w:rPr>
        <w:t>PANTEX</w:t>
      </w:r>
      <w:r w:rsidRPr="009E09CF">
        <w:rPr>
          <w:sz w:val="16"/>
        </w:rPr>
        <w:t xml:space="preserve"> plays in the NWC: It is </w:t>
      </w:r>
      <w:r w:rsidRPr="002B2095">
        <w:rPr>
          <w:rStyle w:val="StyleUnderline"/>
        </w:rPr>
        <w:t>where</w:t>
      </w:r>
      <w:r w:rsidRPr="009E09CF">
        <w:rPr>
          <w:rStyle w:val="StyleUnderline"/>
        </w:rPr>
        <w:t xml:space="preserve"> all </w:t>
      </w:r>
      <w:r w:rsidRPr="002B2095">
        <w:rPr>
          <w:rStyle w:val="StyleUnderline"/>
        </w:rPr>
        <w:t>components</w:t>
      </w:r>
      <w:r w:rsidRPr="009E09CF">
        <w:rPr>
          <w:sz w:val="16"/>
        </w:rPr>
        <w:t xml:space="preserve"> of nuclear weapons </w:t>
      </w:r>
      <w:r w:rsidRPr="009E09CF">
        <w:rPr>
          <w:rStyle w:val="StyleUnderline"/>
        </w:rPr>
        <w:t>are</w:t>
      </w:r>
      <w:r w:rsidRPr="009E09CF">
        <w:rPr>
          <w:sz w:val="16"/>
        </w:rPr>
        <w:t xml:space="preserve"> shipped to be </w:t>
      </w:r>
      <w:r w:rsidRPr="002B2095">
        <w:rPr>
          <w:rStyle w:val="StyleUnderline"/>
        </w:rPr>
        <w:t xml:space="preserve">assembled into </w:t>
      </w:r>
      <w:r w:rsidRPr="002B2095">
        <w:rPr>
          <w:rStyle w:val="Emphasis"/>
        </w:rPr>
        <w:t>bombs</w:t>
      </w:r>
      <w:r w:rsidRPr="009E09CF">
        <w:rPr>
          <w:sz w:val="16"/>
        </w:rPr>
        <w:t xml:space="preserve">. PANTEX is also </w:t>
      </w:r>
      <w:r w:rsidRPr="009E09CF">
        <w:rPr>
          <w:rStyle w:val="StyleUnderline"/>
        </w:rPr>
        <w:t xml:space="preserve">where conventional explosives are </w:t>
      </w:r>
      <w:r w:rsidRPr="009E09CF">
        <w:rPr>
          <w:rStyle w:val="Emphasis"/>
        </w:rPr>
        <w:t>manufactured</w:t>
      </w:r>
      <w:r w:rsidRPr="009E09CF">
        <w:rPr>
          <w:sz w:val="16"/>
        </w:rPr>
        <w:t xml:space="preserve"> to be used </w:t>
      </w:r>
      <w:r w:rsidRPr="009E09CF">
        <w:rPr>
          <w:rStyle w:val="StyleUnderline"/>
        </w:rPr>
        <w:t>in the fission primary of each bomb</w:t>
      </w:r>
      <w:r w:rsidRPr="009E09CF">
        <w:rPr>
          <w:sz w:val="16"/>
        </w:rPr>
        <w:t>. The Y-12 Plant at Oak Ridge National Laboratory manufactures the fusion secondary components (Canned Secondary Assemblies) to be inserted into the finished bombs along with the U238 metal casings for the bombs. My next column will discuss the effects of deferred maintenance and other forms of neglect at Y-12.</w:t>
      </w:r>
    </w:p>
    <w:p w14:paraId="53704D21" w14:textId="77777777" w:rsidR="00365070" w:rsidRPr="00E56FBF" w:rsidRDefault="00365070" w:rsidP="00365070">
      <w:pPr>
        <w:rPr>
          <w:sz w:val="16"/>
        </w:rPr>
      </w:pPr>
      <w:r w:rsidRPr="00E56FBF">
        <w:rPr>
          <w:sz w:val="16"/>
        </w:rPr>
        <w:t xml:space="preserve">To be blunt, </w:t>
      </w:r>
      <w:r w:rsidRPr="002B2095">
        <w:rPr>
          <w:rStyle w:val="StyleUnderline"/>
          <w:highlight w:val="green"/>
        </w:rPr>
        <w:t xml:space="preserve">PANTEX is a </w:t>
      </w:r>
      <w:r w:rsidRPr="002B2095">
        <w:rPr>
          <w:rStyle w:val="Emphasis"/>
          <w:highlight w:val="green"/>
        </w:rPr>
        <w:t>hot mess</w:t>
      </w:r>
      <w:r w:rsidRPr="00E56FBF">
        <w:rPr>
          <w:sz w:val="16"/>
        </w:rPr>
        <w:t xml:space="preserve">. One set of problems pertains to the United States </w:t>
      </w:r>
      <w:r w:rsidRPr="002B2095">
        <w:rPr>
          <w:rStyle w:val="StyleUnderline"/>
          <w:highlight w:val="green"/>
        </w:rPr>
        <w:t>lacking</w:t>
      </w:r>
      <w:r w:rsidRPr="007241DE">
        <w:rPr>
          <w:rStyle w:val="StyleUnderline"/>
        </w:rPr>
        <w:t xml:space="preserve"> a </w:t>
      </w:r>
      <w:r w:rsidRPr="002B2095">
        <w:rPr>
          <w:rStyle w:val="StyleUnderline"/>
          <w:highlight w:val="green"/>
        </w:rPr>
        <w:t>proper storage</w:t>
      </w:r>
      <w:r w:rsidRPr="007241DE">
        <w:rPr>
          <w:rStyle w:val="StyleUnderline"/>
        </w:rPr>
        <w:t xml:space="preserve"> depot </w:t>
      </w:r>
      <w:r w:rsidRPr="002B2095">
        <w:rPr>
          <w:rStyle w:val="StyleUnderline"/>
          <w:highlight w:val="green"/>
        </w:rPr>
        <w:t>for</w:t>
      </w:r>
      <w:r w:rsidRPr="00E56FBF">
        <w:rPr>
          <w:sz w:val="16"/>
        </w:rPr>
        <w:t xml:space="preserve"> the </w:t>
      </w:r>
      <w:r w:rsidRPr="002B2095">
        <w:rPr>
          <w:rStyle w:val="Emphasis"/>
          <w:highlight w:val="green"/>
        </w:rPr>
        <w:t>35 metric tons</w:t>
      </w:r>
      <w:r w:rsidRPr="002B2095">
        <w:rPr>
          <w:rStyle w:val="StyleUnderline"/>
          <w:highlight w:val="green"/>
        </w:rPr>
        <w:t xml:space="preserve"> of plutonium</w:t>
      </w:r>
      <w:r w:rsidRPr="007241DE">
        <w:rPr>
          <w:rStyle w:val="StyleUnderline"/>
        </w:rPr>
        <w:t xml:space="preserve"> accumulated </w:t>
      </w:r>
      <w:r w:rsidRPr="002B2095">
        <w:rPr>
          <w:rStyle w:val="StyleUnderline"/>
          <w:highlight w:val="green"/>
        </w:rPr>
        <w:t>from</w:t>
      </w:r>
      <w:r w:rsidRPr="00E56FBF">
        <w:rPr>
          <w:sz w:val="16"/>
        </w:rPr>
        <w:t xml:space="preserve"> dismantling </w:t>
      </w:r>
      <w:r w:rsidRPr="007241DE">
        <w:rPr>
          <w:rStyle w:val="StyleUnderline"/>
        </w:rPr>
        <w:t xml:space="preserve">tens of </w:t>
      </w:r>
      <w:r w:rsidRPr="002B2095">
        <w:rPr>
          <w:rStyle w:val="Emphasis"/>
          <w:highlight w:val="green"/>
        </w:rPr>
        <w:t>thousands</w:t>
      </w:r>
      <w:r w:rsidRPr="002B2095">
        <w:rPr>
          <w:rStyle w:val="StyleUnderline"/>
          <w:highlight w:val="green"/>
        </w:rPr>
        <w:t xml:space="preserve"> of bombs</w:t>
      </w:r>
      <w:r w:rsidRPr="00E56FBF">
        <w:rPr>
          <w:sz w:val="16"/>
        </w:rPr>
        <w:t xml:space="preserve"> over the past decades. </w:t>
      </w:r>
      <w:r w:rsidRPr="007241DE">
        <w:rPr>
          <w:rStyle w:val="StyleUnderline"/>
        </w:rPr>
        <w:t>PANTEX</w:t>
      </w:r>
      <w:r w:rsidRPr="00E56FBF">
        <w:rPr>
          <w:sz w:val="16"/>
        </w:rPr>
        <w:t xml:space="preserve">, where those bombs were dismantled, </w:t>
      </w:r>
      <w:r w:rsidRPr="007241DE">
        <w:rPr>
          <w:rStyle w:val="StyleUnderline"/>
        </w:rPr>
        <w:t xml:space="preserve">was </w:t>
      </w:r>
      <w:r w:rsidRPr="002B2095">
        <w:rPr>
          <w:rStyle w:val="Emphasis"/>
          <w:highlight w:val="green"/>
        </w:rPr>
        <w:t>not designed</w:t>
      </w:r>
      <w:r w:rsidRPr="002B2095">
        <w:rPr>
          <w:rStyle w:val="StyleUnderline"/>
          <w:highlight w:val="green"/>
        </w:rPr>
        <w:t xml:space="preserve"> for this</w:t>
      </w:r>
      <w:r w:rsidRPr="007241DE">
        <w:rPr>
          <w:rStyle w:val="StyleUnderline"/>
        </w:rPr>
        <w:t xml:space="preserve"> purpose nor is it located appropriately for keeping</w:t>
      </w:r>
      <w:r w:rsidRPr="00E56FBF">
        <w:rPr>
          <w:sz w:val="16"/>
        </w:rPr>
        <w:t xml:space="preserve"> so much </w:t>
      </w:r>
      <w:r w:rsidRPr="007241DE">
        <w:rPr>
          <w:rStyle w:val="StyleUnderline"/>
        </w:rPr>
        <w:t xml:space="preserve">plutonium safe from </w:t>
      </w:r>
      <w:r w:rsidRPr="007241DE">
        <w:rPr>
          <w:rStyle w:val="Emphasis"/>
        </w:rPr>
        <w:t>environmental hazards</w:t>
      </w:r>
      <w:r w:rsidRPr="00E56FBF">
        <w:rPr>
          <w:sz w:val="16"/>
        </w:rPr>
        <w:t xml:space="preserve">. In 2010, the </w:t>
      </w:r>
      <w:r w:rsidRPr="00E56FBF">
        <w:rPr>
          <w:rStyle w:val="StyleUnderline"/>
        </w:rPr>
        <w:t xml:space="preserve">facility </w:t>
      </w:r>
      <w:r w:rsidRPr="002B2095">
        <w:rPr>
          <w:rStyle w:val="StyleUnderline"/>
          <w:highlight w:val="green"/>
        </w:rPr>
        <w:t xml:space="preserve">experienced a </w:t>
      </w:r>
      <w:r w:rsidRPr="002B2095">
        <w:rPr>
          <w:rStyle w:val="Emphasis"/>
          <w:highlight w:val="green"/>
        </w:rPr>
        <w:t>flood</w:t>
      </w:r>
      <w:r w:rsidRPr="002B2095">
        <w:rPr>
          <w:rStyle w:val="StyleUnderline"/>
          <w:highlight w:val="green"/>
        </w:rPr>
        <w:t xml:space="preserve"> that threatened</w:t>
      </w:r>
      <w:r w:rsidRPr="00E56FBF">
        <w:rPr>
          <w:sz w:val="16"/>
        </w:rPr>
        <w:t xml:space="preserve"> the </w:t>
      </w:r>
      <w:r w:rsidRPr="002B2095">
        <w:rPr>
          <w:rStyle w:val="StyleUnderline"/>
          <w:highlight w:val="green"/>
        </w:rPr>
        <w:t>plutonium</w:t>
      </w:r>
      <w:r w:rsidRPr="00E56FBF">
        <w:rPr>
          <w:sz w:val="16"/>
        </w:rPr>
        <w:t xml:space="preserve"> storage areas. </w:t>
      </w:r>
      <w:r w:rsidRPr="00E56FBF">
        <w:rPr>
          <w:rStyle w:val="StyleUnderline"/>
        </w:rPr>
        <w:t xml:space="preserve">Plutonium and water should </w:t>
      </w:r>
      <w:r w:rsidRPr="00E56FBF">
        <w:rPr>
          <w:rStyle w:val="Emphasis"/>
        </w:rPr>
        <w:t xml:space="preserve">never </w:t>
      </w:r>
      <w:r w:rsidRPr="004E210A">
        <w:rPr>
          <w:rStyle w:val="Emphasis"/>
        </w:rPr>
        <w:t>mix</w:t>
      </w:r>
      <w:r w:rsidRPr="00E56FBF">
        <w:rPr>
          <w:sz w:val="16"/>
        </w:rPr>
        <w:t xml:space="preserve">; if you remember your high school chemistry experiment of mixing sodium and water, that ensuing reaction is just a hint of the explosive fire that occurs when plutonium becomes wet. </w:t>
      </w:r>
      <w:r w:rsidRPr="002B2095">
        <w:rPr>
          <w:rStyle w:val="StyleUnderline"/>
          <w:highlight w:val="green"/>
        </w:rPr>
        <w:t>Plutonium fires</w:t>
      </w:r>
      <w:r w:rsidRPr="00E56FBF">
        <w:rPr>
          <w:sz w:val="16"/>
        </w:rPr>
        <w:t xml:space="preserve"> are </w:t>
      </w:r>
      <w:r w:rsidRPr="00FC70AA">
        <w:rPr>
          <w:rStyle w:val="StyleUnderline"/>
        </w:rPr>
        <w:t xml:space="preserve">nearly </w:t>
      </w:r>
      <w:r w:rsidRPr="002B2095">
        <w:rPr>
          <w:rStyle w:val="Emphasis"/>
          <w:highlight w:val="green"/>
        </w:rPr>
        <w:t>impossible</w:t>
      </w:r>
      <w:r w:rsidRPr="002B2095">
        <w:rPr>
          <w:rStyle w:val="StyleUnderline"/>
          <w:highlight w:val="green"/>
        </w:rPr>
        <w:t xml:space="preserve"> to extinguish</w:t>
      </w:r>
      <w:r w:rsidRPr="00E56FBF">
        <w:rPr>
          <w:sz w:val="16"/>
        </w:rPr>
        <w:t xml:space="preserve"> and highly </w:t>
      </w:r>
      <w:r w:rsidRPr="002B2095">
        <w:rPr>
          <w:rStyle w:val="StyleUnderline"/>
          <w:highlight w:val="green"/>
        </w:rPr>
        <w:t xml:space="preserve">toxic to </w:t>
      </w:r>
      <w:r w:rsidRPr="00FC70AA">
        <w:rPr>
          <w:rStyle w:val="StyleUnderline"/>
        </w:rPr>
        <w:t xml:space="preserve">human </w:t>
      </w:r>
      <w:r w:rsidRPr="002B2095">
        <w:rPr>
          <w:rStyle w:val="StyleUnderline"/>
          <w:highlight w:val="green"/>
        </w:rPr>
        <w:t>health</w:t>
      </w:r>
      <w:r w:rsidRPr="00E56FBF">
        <w:rPr>
          <w:sz w:val="16"/>
        </w:rPr>
        <w:t xml:space="preserve">. </w:t>
      </w:r>
      <w:r w:rsidRPr="00E56FBF">
        <w:rPr>
          <w:rStyle w:val="StyleUnderline"/>
        </w:rPr>
        <w:t xml:space="preserve">Such </w:t>
      </w:r>
      <w:r w:rsidRPr="002B2095">
        <w:rPr>
          <w:rStyle w:val="StyleUnderline"/>
          <w:highlight w:val="green"/>
        </w:rPr>
        <w:t>a fire</w:t>
      </w:r>
      <w:r w:rsidRPr="00E56FBF">
        <w:rPr>
          <w:rStyle w:val="StyleUnderline"/>
        </w:rPr>
        <w:t xml:space="preserve"> at PANTEX </w:t>
      </w:r>
      <w:r w:rsidRPr="002B2095">
        <w:rPr>
          <w:rStyle w:val="StyleUnderline"/>
          <w:highlight w:val="green"/>
        </w:rPr>
        <w:t>could become</w:t>
      </w:r>
      <w:r w:rsidRPr="00E56FBF">
        <w:rPr>
          <w:sz w:val="16"/>
        </w:rPr>
        <w:t xml:space="preserve"> a crisis on par with </w:t>
      </w:r>
      <w:r w:rsidRPr="002B2095">
        <w:rPr>
          <w:rStyle w:val="Emphasis"/>
          <w:highlight w:val="green"/>
        </w:rPr>
        <w:t>Chernobyl</w:t>
      </w:r>
      <w:r w:rsidRPr="00E56FBF">
        <w:rPr>
          <w:sz w:val="16"/>
        </w:rPr>
        <w:t xml:space="preserve">. Recent </w:t>
      </w:r>
      <w:r w:rsidRPr="00E56FBF">
        <w:rPr>
          <w:rStyle w:val="StyleUnderline"/>
        </w:rPr>
        <w:t>safety reviews</w:t>
      </w:r>
      <w:r w:rsidRPr="00E56FBF">
        <w:rPr>
          <w:sz w:val="16"/>
        </w:rPr>
        <w:t xml:space="preserve"> continue to </w:t>
      </w:r>
      <w:r w:rsidRPr="00E56FBF">
        <w:rPr>
          <w:rStyle w:val="StyleUnderline"/>
        </w:rPr>
        <w:t>criticize the</w:t>
      </w:r>
      <w:r w:rsidRPr="00E56FBF">
        <w:rPr>
          <w:sz w:val="16"/>
        </w:rPr>
        <w:t xml:space="preserve"> U.S. </w:t>
      </w:r>
      <w:r w:rsidRPr="00E56FBF">
        <w:rPr>
          <w:rStyle w:val="Emphasis"/>
        </w:rPr>
        <w:t>D</w:t>
      </w:r>
      <w:r w:rsidRPr="00E56FBF">
        <w:rPr>
          <w:sz w:val="16"/>
        </w:rPr>
        <w:t xml:space="preserve">epartment </w:t>
      </w:r>
      <w:r w:rsidRPr="00E56FBF">
        <w:rPr>
          <w:rStyle w:val="Emphasis"/>
        </w:rPr>
        <w:t>o</w:t>
      </w:r>
      <w:r w:rsidRPr="00E56FBF">
        <w:rPr>
          <w:sz w:val="16"/>
        </w:rPr>
        <w:t xml:space="preserve">f </w:t>
      </w:r>
      <w:r w:rsidRPr="00E56FBF">
        <w:rPr>
          <w:rStyle w:val="Emphasis"/>
        </w:rPr>
        <w:t>E</w:t>
      </w:r>
      <w:r w:rsidRPr="00E56FBF">
        <w:rPr>
          <w:sz w:val="16"/>
        </w:rPr>
        <w:t xml:space="preserve">nergy </w:t>
      </w:r>
      <w:r w:rsidRPr="00E56FBF">
        <w:rPr>
          <w:rStyle w:val="StyleUnderline"/>
        </w:rPr>
        <w:t>for not repairing issues that</w:t>
      </w:r>
      <w:r w:rsidRPr="00E56FBF">
        <w:rPr>
          <w:sz w:val="16"/>
        </w:rPr>
        <w:t xml:space="preserve"> continue to </w:t>
      </w:r>
      <w:r w:rsidRPr="00E56FBF">
        <w:rPr>
          <w:rStyle w:val="StyleUnderline"/>
        </w:rPr>
        <w:t xml:space="preserve">allow PANTEX to be </w:t>
      </w:r>
      <w:r w:rsidRPr="002B2095">
        <w:rPr>
          <w:rStyle w:val="Emphasis"/>
        </w:rPr>
        <w:t>environmentally vulnerable</w:t>
      </w:r>
      <w:r w:rsidRPr="00E56FBF">
        <w:rPr>
          <w:sz w:val="16"/>
        </w:rPr>
        <w:t>.</w:t>
      </w:r>
    </w:p>
    <w:p w14:paraId="164BD949" w14:textId="77777777" w:rsidR="00365070" w:rsidRPr="007F19F3" w:rsidRDefault="00365070" w:rsidP="00365070">
      <w:pPr>
        <w:rPr>
          <w:sz w:val="16"/>
          <w:szCs w:val="16"/>
        </w:rPr>
      </w:pPr>
      <w:r w:rsidRPr="007F19F3">
        <w:rPr>
          <w:sz w:val="16"/>
          <w:szCs w:val="16"/>
        </w:rPr>
        <w:t>Another set of problems pertains to </w:t>
      </w:r>
      <w:hyperlink r:id="rId9" w:history="1">
        <w:r w:rsidRPr="007F19F3">
          <w:rPr>
            <w:rStyle w:val="Hyperlink"/>
            <w:sz w:val="16"/>
            <w:szCs w:val="16"/>
          </w:rPr>
          <w:t>long-term exposure to beryllium</w:t>
        </w:r>
      </w:hyperlink>
      <w:r w:rsidRPr="007F19F3">
        <w:rPr>
          <w:sz w:val="16"/>
          <w:szCs w:val="16"/>
        </w:rPr>
        <w:t> among workers at PANTEX. Beryllium is used in the assembly of the fission component of a nuclear weapon; it is an effective neutron reflector that helps increase the efficiency of the fission “burn”. Beryllium is also toxic. Workers exposed to beryllium dust without appropriate safety gear develop long-term </w:t>
      </w:r>
      <w:hyperlink r:id="rId10" w:history="1">
        <w:r w:rsidRPr="007F19F3">
          <w:rPr>
            <w:rStyle w:val="Hyperlink"/>
            <w:sz w:val="16"/>
            <w:szCs w:val="16"/>
          </w:rPr>
          <w:t>grievous health issues</w:t>
        </w:r>
      </w:hyperlink>
      <w:r w:rsidRPr="007F19F3">
        <w:rPr>
          <w:sz w:val="16"/>
          <w:szCs w:val="16"/>
        </w:rPr>
        <w:t> which is exactly what transpired at PANTEX across the course of the Cold War. During the intense nuclear weapons build-up of the 1950s and 1960s, the NWC consistently sacrificed the environment and worker safety in the interest of national security. That pattern continued at PANTEX through the 1990s as workers there became ill from exposure to beryllium.</w:t>
      </w:r>
    </w:p>
    <w:p w14:paraId="76DB8761" w14:textId="77777777" w:rsidR="00365070" w:rsidRPr="007F19F3" w:rsidRDefault="00365070" w:rsidP="00365070">
      <w:pPr>
        <w:rPr>
          <w:sz w:val="16"/>
        </w:rPr>
      </w:pPr>
      <w:r w:rsidRPr="007F19F3">
        <w:rPr>
          <w:sz w:val="16"/>
        </w:rPr>
        <w:t xml:space="preserve">The combination of </w:t>
      </w:r>
      <w:r w:rsidRPr="002B2095">
        <w:rPr>
          <w:rStyle w:val="StyleUnderline"/>
          <w:highlight w:val="green"/>
        </w:rPr>
        <w:t>deferred maintenance</w:t>
      </w:r>
      <w:r w:rsidRPr="007F19F3">
        <w:rPr>
          <w:sz w:val="16"/>
        </w:rPr>
        <w:t xml:space="preserve">, </w:t>
      </w:r>
      <w:r w:rsidRPr="002B2095">
        <w:rPr>
          <w:rStyle w:val="StyleUnderline"/>
          <w:highlight w:val="green"/>
        </w:rPr>
        <w:t>lax</w:t>
      </w:r>
      <w:r w:rsidRPr="007F19F3">
        <w:rPr>
          <w:sz w:val="16"/>
        </w:rPr>
        <w:t xml:space="preserve"> attention to </w:t>
      </w:r>
      <w:r w:rsidRPr="007F19F3">
        <w:rPr>
          <w:rStyle w:val="StyleUnderline"/>
        </w:rPr>
        <w:t xml:space="preserve">worker </w:t>
      </w:r>
      <w:r w:rsidRPr="002B2095">
        <w:rPr>
          <w:rStyle w:val="StyleUnderline"/>
          <w:highlight w:val="green"/>
        </w:rPr>
        <w:t>safety</w:t>
      </w:r>
      <w:r w:rsidRPr="007F19F3">
        <w:rPr>
          <w:sz w:val="16"/>
        </w:rPr>
        <w:t xml:space="preserve"> and increasing possibilities of </w:t>
      </w:r>
      <w:r w:rsidRPr="002B2095">
        <w:rPr>
          <w:rStyle w:val="StyleUnderline"/>
          <w:highlight w:val="green"/>
        </w:rPr>
        <w:t>environmental disaster</w:t>
      </w:r>
      <w:r w:rsidRPr="007F19F3">
        <w:rPr>
          <w:sz w:val="16"/>
        </w:rPr>
        <w:t xml:space="preserve"> has created the same problem currently afflicting plutonium activities at Los Alamos National Labs: </w:t>
      </w:r>
      <w:r w:rsidRPr="00FC70AA">
        <w:rPr>
          <w:rStyle w:val="StyleUnderline"/>
        </w:rPr>
        <w:t xml:space="preserve">PANTEX is at </w:t>
      </w:r>
      <w:r w:rsidRPr="002B2095">
        <w:rPr>
          <w:rStyle w:val="Emphasis"/>
          <w:highlight w:val="green"/>
        </w:rPr>
        <w:t>risk</w:t>
      </w:r>
      <w:r w:rsidRPr="002B2095">
        <w:rPr>
          <w:rStyle w:val="StyleUnderline"/>
          <w:highlight w:val="green"/>
        </w:rPr>
        <w:t xml:space="preserve"> of losing</w:t>
      </w:r>
      <w:r w:rsidRPr="007F19F3">
        <w:rPr>
          <w:rStyle w:val="StyleUnderline"/>
        </w:rPr>
        <w:t xml:space="preserve"> its</w:t>
      </w:r>
      <w:r w:rsidRPr="007F19F3">
        <w:rPr>
          <w:sz w:val="16"/>
        </w:rPr>
        <w:t xml:space="preserve"> experienced, </w:t>
      </w:r>
      <w:r w:rsidRPr="002B2095">
        <w:rPr>
          <w:rStyle w:val="StyleUnderline"/>
          <w:highlight w:val="green"/>
        </w:rPr>
        <w:t>skilled workforce</w:t>
      </w:r>
      <w:r w:rsidRPr="007F19F3">
        <w:rPr>
          <w:sz w:val="16"/>
        </w:rPr>
        <w:t xml:space="preserve"> and having serious </w:t>
      </w:r>
      <w:r w:rsidRPr="002B2095">
        <w:rPr>
          <w:rStyle w:val="StyleUnderline"/>
          <w:highlight w:val="green"/>
        </w:rPr>
        <w:t>difficulties recruiting</w:t>
      </w:r>
      <w:r w:rsidRPr="007F19F3">
        <w:rPr>
          <w:rStyle w:val="StyleUnderline"/>
        </w:rPr>
        <w:t xml:space="preserve"> </w:t>
      </w:r>
      <w:r w:rsidRPr="007F19F3">
        <w:rPr>
          <w:rStyle w:val="Emphasis"/>
        </w:rPr>
        <w:t>replacements</w:t>
      </w:r>
      <w:r w:rsidRPr="007F19F3">
        <w:rPr>
          <w:sz w:val="16"/>
        </w:rPr>
        <w:t>. Remember, the personnel at PANTEX go to work every day either to dismantle or build functioning nuclear weapons. This is hardly an appropriate setting for the issues PANTEX currently is experiencing.</w:t>
      </w:r>
    </w:p>
    <w:p w14:paraId="5EE5877A" w14:textId="77777777" w:rsidR="00365070" w:rsidRPr="008D1E0C" w:rsidRDefault="00365070" w:rsidP="00365070">
      <w:pPr>
        <w:rPr>
          <w:sz w:val="16"/>
        </w:rPr>
      </w:pPr>
      <w:r w:rsidRPr="008D1E0C">
        <w:rPr>
          <w:sz w:val="16"/>
        </w:rPr>
        <w:t xml:space="preserve">A final </w:t>
      </w:r>
      <w:r w:rsidRPr="002B2095">
        <w:rPr>
          <w:rStyle w:val="StyleUnderline"/>
        </w:rPr>
        <w:t>concern about</w:t>
      </w:r>
      <w:r w:rsidRPr="008D1E0C">
        <w:rPr>
          <w:sz w:val="16"/>
        </w:rPr>
        <w:t xml:space="preserve"> PANTEX is its security against </w:t>
      </w:r>
      <w:r w:rsidRPr="002B2095">
        <w:rPr>
          <w:rStyle w:val="Emphasis"/>
        </w:rPr>
        <w:t>espionage</w:t>
      </w:r>
      <w:r w:rsidRPr="002B2095">
        <w:rPr>
          <w:rStyle w:val="StyleUnderline"/>
        </w:rPr>
        <w:t xml:space="preserve"> and </w:t>
      </w:r>
      <w:r w:rsidRPr="002B2095">
        <w:rPr>
          <w:rStyle w:val="Emphasis"/>
        </w:rPr>
        <w:t>terrorism</w:t>
      </w:r>
      <w:r w:rsidRPr="008D1E0C">
        <w:rPr>
          <w:sz w:val="16"/>
        </w:rPr>
        <w:t>. Despite the remote location and relative obscurity from the public eye—so obscure that </w:t>
      </w:r>
      <w:hyperlink r:id="rId11" w:history="1">
        <w:r w:rsidRPr="008D1E0C">
          <w:rPr>
            <w:rStyle w:val="Hyperlink"/>
            <w:sz w:val="16"/>
          </w:rPr>
          <w:t>a former governor of Texas who became U.S. Secretary of Energy seemed not to know PANTEX exists</w:t>
        </w:r>
      </w:hyperlink>
      <w:r w:rsidRPr="008D1E0C">
        <w:rPr>
          <w:sz w:val="16"/>
        </w:rPr>
        <w:t>—</w:t>
      </w:r>
      <w:r w:rsidRPr="002B2095">
        <w:rPr>
          <w:rStyle w:val="StyleUnderline"/>
        </w:rPr>
        <w:t>PANTEX and</w:t>
      </w:r>
      <w:r w:rsidRPr="002B2095">
        <w:rPr>
          <w:sz w:val="16"/>
        </w:rPr>
        <w:t xml:space="preserve"> the </w:t>
      </w:r>
      <w:r w:rsidRPr="002B2095">
        <w:rPr>
          <w:rStyle w:val="Emphasis"/>
        </w:rPr>
        <w:t>entire NWC</w:t>
      </w:r>
      <w:r w:rsidRPr="002B2095">
        <w:rPr>
          <w:sz w:val="16"/>
        </w:rPr>
        <w:t xml:space="preserve"> recently have been </w:t>
      </w:r>
      <w:r w:rsidRPr="002B2095">
        <w:rPr>
          <w:rStyle w:val="StyleUnderline"/>
        </w:rPr>
        <w:t xml:space="preserve">criticized for </w:t>
      </w:r>
      <w:r w:rsidRPr="002B2095">
        <w:rPr>
          <w:rStyle w:val="Emphasis"/>
        </w:rPr>
        <w:t>poor attention</w:t>
      </w:r>
      <w:r w:rsidRPr="002B2095">
        <w:rPr>
          <w:rStyle w:val="StyleUnderline"/>
        </w:rPr>
        <w:t xml:space="preserve"> to security</w:t>
      </w:r>
      <w:r w:rsidRPr="002B2095">
        <w:rPr>
          <w:sz w:val="16"/>
        </w:rPr>
        <w:t xml:space="preserve">. Unlike the other sites within the NWC, however, </w:t>
      </w:r>
      <w:r w:rsidRPr="002B2095">
        <w:rPr>
          <w:rStyle w:val="StyleUnderline"/>
        </w:rPr>
        <w:t xml:space="preserve">PANTEX </w:t>
      </w:r>
      <w:r w:rsidRPr="002B2095">
        <w:rPr>
          <w:rStyle w:val="Emphasis"/>
        </w:rPr>
        <w:t>alone</w:t>
      </w:r>
      <w:r w:rsidRPr="002B2095">
        <w:rPr>
          <w:rStyle w:val="StyleUnderline"/>
        </w:rPr>
        <w:t xml:space="preserve"> is where</w:t>
      </w:r>
      <w:r w:rsidRPr="002B2095">
        <w:rPr>
          <w:sz w:val="16"/>
        </w:rPr>
        <w:t xml:space="preserve"> an </w:t>
      </w:r>
      <w:r w:rsidRPr="002B2095">
        <w:rPr>
          <w:rStyle w:val="StyleUnderline"/>
        </w:rPr>
        <w:t>unauthorized intrusion</w:t>
      </w:r>
      <w:r w:rsidRPr="002B2095">
        <w:rPr>
          <w:sz w:val="16"/>
        </w:rPr>
        <w:t xml:space="preserve"> could </w:t>
      </w:r>
      <w:r w:rsidRPr="002B2095">
        <w:rPr>
          <w:rStyle w:val="StyleUnderline"/>
        </w:rPr>
        <w:t>result in access to a</w:t>
      </w:r>
      <w:r w:rsidRPr="002B2095">
        <w:rPr>
          <w:sz w:val="16"/>
        </w:rPr>
        <w:t xml:space="preserve"> functioning </w:t>
      </w:r>
      <w:r w:rsidRPr="002B2095">
        <w:rPr>
          <w:rStyle w:val="Emphasis"/>
        </w:rPr>
        <w:t>nuclear</w:t>
      </w:r>
      <w:r w:rsidRPr="008D1E0C">
        <w:rPr>
          <w:rStyle w:val="Emphasis"/>
        </w:rPr>
        <w:t xml:space="preserve"> weapon</w:t>
      </w:r>
      <w:r w:rsidRPr="008D1E0C">
        <w:rPr>
          <w:sz w:val="16"/>
        </w:rPr>
        <w:t>. This vulnerability adds to the costs piling up around the NWC to make the complex fully functional at a time when the United States is making plans to build an entire new generation of weapons to replace the thousands that will have to go out of service.</w:t>
      </w:r>
    </w:p>
    <w:p w14:paraId="268B3B19" w14:textId="77777777" w:rsidR="00365070" w:rsidRPr="00FB5723" w:rsidRDefault="00365070" w:rsidP="00365070">
      <w:pPr>
        <w:rPr>
          <w:sz w:val="16"/>
          <w:szCs w:val="16"/>
        </w:rPr>
      </w:pPr>
      <w:r w:rsidRPr="00FB5723">
        <w:rPr>
          <w:sz w:val="16"/>
          <w:szCs w:val="16"/>
        </w:rPr>
        <w:t>During the first George W. Bush Administration, the Department of Energy considered the possibility of scrapping the existing NWC and building a single, consolidated site to manufacture nuclear weapons in the 21st century. Among the current nuclear states, only the United States and Russia persist in having such decentralized complexes. That is the legacy of World War II and the Cold War including completely ineffective efforts to prevent espionage by locating NWC sites in relatively obscure parts of the United States. (Richland, WA; Los Alamos, NM; Oak Ridge, TN). It is time to reconsider the idea of building a new NWC given the problems already discussed in this series of columns. I will turn again to that option in the final column of the series to be published later this year.</w:t>
      </w:r>
    </w:p>
    <w:p w14:paraId="4666F783" w14:textId="77777777" w:rsidR="00365070" w:rsidRDefault="00365070" w:rsidP="00365070"/>
    <w:p w14:paraId="773236BA" w14:textId="77777777" w:rsidR="00365070" w:rsidRPr="00EC4C02" w:rsidRDefault="00365070" w:rsidP="00EC4C02">
      <w:pPr>
        <w:pStyle w:val="Heading4"/>
      </w:pPr>
      <w:r w:rsidRPr="00EC4C02">
        <w:lastRenderedPageBreak/>
        <w:t>Future pandemics cause extinction.</w:t>
      </w:r>
    </w:p>
    <w:p w14:paraId="5C6A6B1D" w14:textId="77777777" w:rsidR="00365070" w:rsidRPr="00E40AEE" w:rsidRDefault="00365070" w:rsidP="00365070">
      <w:r w:rsidRPr="00CE30D3">
        <w:rPr>
          <w:rStyle w:val="Style13ptBold"/>
        </w:rPr>
        <w:t>Baum ‘23</w:t>
      </w:r>
      <w:r w:rsidRPr="00E40AEE">
        <w:t xml:space="preserve"> [Seth, executive director of the Global Catastrophic Risk Institute, PhD from Pennsylvania State University, 2/2023, “Assessing Natural Global Catastrophic Risks,” </w:t>
      </w:r>
      <w:r w:rsidRPr="00E40AEE">
        <w:rPr>
          <w:i/>
          <w:iCs/>
        </w:rPr>
        <w:t>Natural Hazards</w:t>
      </w:r>
      <w:r w:rsidRPr="00E40AEE">
        <w:t>, 115(3), pp. 2699-2719, https://dx.doi.org/10.1007/s11069-022-05660-w]</w:t>
      </w:r>
    </w:p>
    <w:p w14:paraId="799C26CD" w14:textId="77777777" w:rsidR="00365070" w:rsidRPr="00E40AEE" w:rsidRDefault="00365070" w:rsidP="00365070">
      <w:pPr>
        <w:rPr>
          <w:sz w:val="16"/>
        </w:rPr>
      </w:pPr>
      <w:r w:rsidRPr="00E40AEE">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0AEE">
        <w:rPr>
          <w:u w:val="single"/>
        </w:rPr>
        <w:t>human activity can cause</w:t>
      </w:r>
      <w:r w:rsidRPr="00E40AEE">
        <w:rPr>
          <w:sz w:val="16"/>
        </w:rPr>
        <w:t xml:space="preserve"> the onset of </w:t>
      </w:r>
      <w:r w:rsidRPr="00E40AEE">
        <w:rPr>
          <w:u w:val="single"/>
        </w:rPr>
        <w:t>“</w:t>
      </w:r>
      <w:r w:rsidRPr="00E40AEE">
        <w:rPr>
          <w:b/>
          <w:iCs/>
          <w:u w:val="single"/>
          <w:bdr w:val="single" w:sz="8" w:space="0" w:color="auto"/>
        </w:rPr>
        <w:t>natural</w:t>
      </w:r>
      <w:r w:rsidRPr="00E40AEE">
        <w:rPr>
          <w:u w:val="single"/>
        </w:rPr>
        <w:t xml:space="preserve">” pandemics, such as when </w:t>
      </w:r>
      <w:r w:rsidRPr="002B2095">
        <w:rPr>
          <w:highlight w:val="green"/>
          <w:u w:val="single"/>
        </w:rPr>
        <w:t xml:space="preserve">interactions with </w:t>
      </w:r>
      <w:r w:rsidRPr="002B2095">
        <w:rPr>
          <w:b/>
          <w:iCs/>
          <w:highlight w:val="green"/>
          <w:u w:val="single"/>
          <w:bdr w:val="single" w:sz="8" w:space="0" w:color="auto"/>
        </w:rPr>
        <w:t>wildlife</w:t>
      </w:r>
      <w:r w:rsidRPr="002B2095">
        <w:rPr>
          <w:highlight w:val="green"/>
          <w:u w:val="single"/>
        </w:rPr>
        <w:t xml:space="preserve"> cause pathogens to jump</w:t>
      </w:r>
      <w:r w:rsidRPr="00E40AEE">
        <w:rPr>
          <w:u w:val="single"/>
        </w:rPr>
        <w:t xml:space="preserve"> from a nonhuman species </w:t>
      </w:r>
      <w:r w:rsidRPr="002B2095">
        <w:rPr>
          <w:highlight w:val="green"/>
          <w:u w:val="single"/>
        </w:rPr>
        <w:t xml:space="preserve">to </w:t>
      </w:r>
      <w:r w:rsidRPr="002B2095">
        <w:rPr>
          <w:b/>
          <w:iCs/>
          <w:highlight w:val="green"/>
          <w:u w:val="single"/>
          <w:bdr w:val="single" w:sz="8" w:space="0" w:color="auto"/>
        </w:rPr>
        <w:t>humans</w:t>
      </w:r>
      <w:r w:rsidRPr="00E40AEE">
        <w:rPr>
          <w:sz w:val="16"/>
        </w:rPr>
        <w:t xml:space="preserve"> (i.e., </w:t>
      </w:r>
      <w:r w:rsidRPr="00E40AEE">
        <w:rPr>
          <w:u w:val="single"/>
        </w:rPr>
        <w:t>zoonosis</w:t>
      </w:r>
      <w:r w:rsidRPr="00E40AEE">
        <w:rPr>
          <w:sz w:val="16"/>
        </w:rPr>
        <w:t xml:space="preserve">; Morse et al. 2012). The </w:t>
      </w:r>
      <w:r w:rsidRPr="002B2095">
        <w:rPr>
          <w:highlight w:val="green"/>
          <w:u w:val="single"/>
        </w:rPr>
        <w:t>risk from</w:t>
      </w:r>
      <w:r w:rsidRPr="00E40AEE">
        <w:rPr>
          <w:sz w:val="16"/>
        </w:rPr>
        <w:t xml:space="preserve"> wildlife </w:t>
      </w:r>
      <w:r w:rsidRPr="002B2095">
        <w:rPr>
          <w:b/>
          <w:iCs/>
          <w:highlight w:val="green"/>
          <w:u w:val="single"/>
          <w:bdr w:val="single" w:sz="8" w:space="0" w:color="auto"/>
        </w:rPr>
        <w:t>zoonosis</w:t>
      </w:r>
      <w:r w:rsidRPr="002B2095">
        <w:rPr>
          <w:highlight w:val="green"/>
          <w:u w:val="single"/>
        </w:rPr>
        <w:t xml:space="preserve"> </w:t>
      </w:r>
      <w:r w:rsidRPr="000E4042">
        <w:rPr>
          <w:u w:val="single"/>
        </w:rPr>
        <w:t xml:space="preserve">may be </w:t>
      </w:r>
      <w:r w:rsidRPr="002B2095">
        <w:rPr>
          <w:b/>
          <w:iCs/>
          <w:highlight w:val="green"/>
          <w:u w:val="single"/>
          <w:bdr w:val="single" w:sz="8" w:space="0" w:color="auto"/>
        </w:rPr>
        <w:t>larger now</w:t>
      </w:r>
      <w:r w:rsidRPr="002B2095">
        <w:rPr>
          <w:highlight w:val="green"/>
          <w:u w:val="single"/>
        </w:rPr>
        <w:t xml:space="preserve"> than</w:t>
      </w:r>
      <w:r w:rsidRPr="00E40AEE">
        <w:rPr>
          <w:sz w:val="16"/>
        </w:rPr>
        <w:t xml:space="preserve"> during </w:t>
      </w:r>
      <w:r w:rsidRPr="002B2095">
        <w:rPr>
          <w:b/>
          <w:iCs/>
          <w:highlight w:val="green"/>
          <w:u w:val="single"/>
          <w:bdr w:val="single" w:sz="8" w:space="0" w:color="auto"/>
        </w:rPr>
        <w:t>early</w:t>
      </w:r>
      <w:r w:rsidRPr="00E40AEE">
        <w:rPr>
          <w:u w:val="single"/>
        </w:rPr>
        <w:t xml:space="preserve"> human </w:t>
      </w:r>
      <w:r w:rsidRPr="002B2095">
        <w:rPr>
          <w:highlight w:val="green"/>
          <w:u w:val="single"/>
        </w:rPr>
        <w:t>history because</w:t>
      </w:r>
      <w:r w:rsidRPr="00E40AEE">
        <w:rPr>
          <w:sz w:val="16"/>
        </w:rPr>
        <w:t xml:space="preserve"> the larger </w:t>
      </w:r>
      <w:r w:rsidRPr="00E40AEE">
        <w:rPr>
          <w:u w:val="single"/>
        </w:rPr>
        <w:t xml:space="preserve">human population has </w:t>
      </w:r>
      <w:r w:rsidRPr="002B2095">
        <w:rPr>
          <w:b/>
          <w:iCs/>
          <w:highlight w:val="green"/>
          <w:u w:val="single"/>
          <w:bdr w:val="single" w:sz="8" w:space="0" w:color="auto"/>
        </w:rPr>
        <w:t>more points of contact</w:t>
      </w:r>
      <w:r w:rsidRPr="00E40AEE">
        <w:rPr>
          <w:u w:val="single"/>
        </w:rPr>
        <w:t xml:space="preserve"> with wildlife</w:t>
      </w:r>
      <w:r w:rsidRPr="00E40AEE">
        <w:rPr>
          <w:sz w:val="16"/>
        </w:rPr>
        <w:t xml:space="preserve">. Additionally, </w:t>
      </w:r>
      <w:r w:rsidRPr="00E40AEE">
        <w:rPr>
          <w:u w:val="single"/>
        </w:rPr>
        <w:t>zoonosis can</w:t>
      </w:r>
      <w:r w:rsidRPr="00E40AEE">
        <w:rPr>
          <w:sz w:val="16"/>
        </w:rPr>
        <w:t xml:space="preserve"> also </w:t>
      </w:r>
      <w:r w:rsidRPr="00E40AEE">
        <w:rPr>
          <w:u w:val="single"/>
        </w:rPr>
        <w:t xml:space="preserve">occur in </w:t>
      </w:r>
      <w:r w:rsidRPr="00E40AEE">
        <w:rPr>
          <w:b/>
          <w:iCs/>
          <w:u w:val="single"/>
          <w:bdr w:val="single" w:sz="8" w:space="0" w:color="auto"/>
        </w:rPr>
        <w:t>factory farms</w:t>
      </w:r>
      <w:r w:rsidRPr="00E40AEE">
        <w:rPr>
          <w:sz w:val="16"/>
        </w:rPr>
        <w:t xml:space="preserve">, a setting that exists in the grey area between natural and anthropogenic (Manheim 2018). </w:t>
      </w:r>
    </w:p>
    <w:p w14:paraId="76897C8E" w14:textId="77777777" w:rsidR="00365070" w:rsidRPr="00E40AEE" w:rsidRDefault="00365070" w:rsidP="00365070">
      <w:pPr>
        <w:rPr>
          <w:sz w:val="16"/>
        </w:rPr>
      </w:pPr>
      <w:r w:rsidRPr="00E40AEE">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B2095">
        <w:rPr>
          <w:b/>
          <w:iCs/>
          <w:highlight w:val="green"/>
          <w:u w:val="single"/>
          <w:bdr w:val="single" w:sz="8" w:space="0" w:color="auto"/>
        </w:rPr>
        <w:t>global travel</w:t>
      </w:r>
      <w:r w:rsidRPr="002B2095">
        <w:rPr>
          <w:highlight w:val="green"/>
          <w:u w:val="single"/>
        </w:rPr>
        <w:t xml:space="preserve"> </w:t>
      </w:r>
      <w:r w:rsidRPr="000E4042">
        <w:rPr>
          <w:u w:val="single"/>
        </w:rPr>
        <w:t xml:space="preserve">and </w:t>
      </w:r>
      <w:r w:rsidRPr="000E4042">
        <w:rPr>
          <w:b/>
          <w:iCs/>
          <w:u w:val="single"/>
          <w:bdr w:val="single" w:sz="8" w:space="0" w:color="auto"/>
        </w:rPr>
        <w:t xml:space="preserve">urban </w:t>
      </w:r>
      <w:r w:rsidRPr="002B2095">
        <w:rPr>
          <w:b/>
          <w:iCs/>
          <w:highlight w:val="green"/>
          <w:u w:val="single"/>
          <w:bdr w:val="single" w:sz="8" w:space="0" w:color="auto"/>
        </w:rPr>
        <w:t>density</w:t>
      </w:r>
      <w:r w:rsidRPr="002B2095">
        <w:rPr>
          <w:highlight w:val="green"/>
          <w:u w:val="single"/>
        </w:rPr>
        <w:t xml:space="preserve"> create</w:t>
      </w:r>
      <w:r w:rsidRPr="00E40AEE">
        <w:rPr>
          <w:sz w:val="16"/>
        </w:rPr>
        <w:t xml:space="preserve"> more </w:t>
      </w:r>
      <w:r w:rsidRPr="002B2095">
        <w:rPr>
          <w:highlight w:val="green"/>
          <w:u w:val="single"/>
        </w:rPr>
        <w:t>opportunities for pathogens</w:t>
      </w:r>
      <w:r w:rsidRPr="00E40AEE">
        <w:rPr>
          <w:u w:val="single"/>
        </w:rPr>
        <w:t xml:space="preserve"> to </w:t>
      </w:r>
      <w:r w:rsidRPr="00E40AEE">
        <w:rPr>
          <w:b/>
          <w:iCs/>
          <w:u w:val="single"/>
          <w:bdr w:val="single" w:sz="8" w:space="0" w:color="auto"/>
        </w:rPr>
        <w:t>spread</w:t>
      </w:r>
      <w:r w:rsidRPr="00E40AEE">
        <w:rPr>
          <w:u w:val="single"/>
        </w:rPr>
        <w:t xml:space="preserve">. </w:t>
      </w:r>
      <w:r w:rsidRPr="002B2095">
        <w:rPr>
          <w:b/>
          <w:iCs/>
          <w:highlight w:val="green"/>
          <w:u w:val="single"/>
          <w:bdr w:val="single" w:sz="8" w:space="0" w:color="auto"/>
        </w:rPr>
        <w:t>Earlier</w:t>
      </w:r>
      <w:r w:rsidRPr="00E40AEE">
        <w:rPr>
          <w:u w:val="single"/>
        </w:rPr>
        <w:t xml:space="preserve"> in human history, a catastrophic</w:t>
      </w:r>
      <w:r w:rsidRPr="00E40AEE">
        <w:rPr>
          <w:sz w:val="16"/>
        </w:rPr>
        <w:t xml:space="preserve"> natural </w:t>
      </w:r>
      <w:r w:rsidRPr="002B2095">
        <w:rPr>
          <w:highlight w:val="green"/>
          <w:u w:val="single"/>
        </w:rPr>
        <w:t>pathogen may have only killed</w:t>
      </w:r>
      <w:r w:rsidRPr="00E40AEE">
        <w:rPr>
          <w:u w:val="single"/>
        </w:rPr>
        <w:t xml:space="preserve"> off a </w:t>
      </w:r>
      <w:r w:rsidRPr="002B2095">
        <w:rPr>
          <w:b/>
          <w:iCs/>
          <w:highlight w:val="green"/>
          <w:u w:val="single"/>
          <w:bdr w:val="single" w:sz="8" w:space="0" w:color="auto"/>
        </w:rPr>
        <w:t>smaller</w:t>
      </w:r>
      <w:r w:rsidRPr="00E40AEE">
        <w:rPr>
          <w:sz w:val="16"/>
        </w:rPr>
        <w:t xml:space="preserve">, isolated </w:t>
      </w:r>
      <w:r w:rsidRPr="002B2095">
        <w:rPr>
          <w:highlight w:val="green"/>
          <w:u w:val="single"/>
        </w:rPr>
        <w:t>portion of</w:t>
      </w:r>
      <w:r w:rsidRPr="00E40AEE">
        <w:rPr>
          <w:u w:val="single"/>
        </w:rPr>
        <w:t xml:space="preserve"> the </w:t>
      </w:r>
      <w:r w:rsidRPr="002B2095">
        <w:rPr>
          <w:highlight w:val="green"/>
          <w:u w:val="single"/>
        </w:rPr>
        <w:t>population</w:t>
      </w:r>
      <w:r w:rsidRPr="00E40AEE">
        <w:rPr>
          <w:u w:val="single"/>
        </w:rPr>
        <w:t xml:space="preserve">, leaving </w:t>
      </w:r>
      <w:r w:rsidRPr="00E40AEE">
        <w:rPr>
          <w:b/>
          <w:iCs/>
          <w:u w:val="single"/>
          <w:bdr w:val="single" w:sz="8" w:space="0" w:color="auto"/>
        </w:rPr>
        <w:t>no</w:t>
      </w:r>
      <w:r w:rsidRPr="00E40AEE">
        <w:rPr>
          <w:sz w:val="16"/>
        </w:rPr>
        <w:t xml:space="preserve"> clear archaeological </w:t>
      </w:r>
      <w:r w:rsidRPr="00E40AEE">
        <w:rPr>
          <w:b/>
          <w:iCs/>
          <w:u w:val="single"/>
          <w:bdr w:val="single" w:sz="8" w:space="0" w:color="auto"/>
        </w:rPr>
        <w:t>record</w:t>
      </w:r>
      <w:r w:rsidRPr="00E40AEE">
        <w:rPr>
          <w:u w:val="single"/>
        </w:rPr>
        <w:t xml:space="preserve">, whereas the same pathogen could cause </w:t>
      </w:r>
      <w:r w:rsidRPr="00E40AEE">
        <w:rPr>
          <w:b/>
          <w:iCs/>
          <w:u w:val="single"/>
          <w:bdr w:val="single" w:sz="8" w:space="0" w:color="auto"/>
        </w:rPr>
        <w:t>global catastrophe</w:t>
      </w:r>
      <w:r w:rsidRPr="00E40AEE">
        <w:rPr>
          <w:sz w:val="16"/>
        </w:rPr>
        <w:t xml:space="preserve"> (Manheim 2018). Therefore, the </w:t>
      </w:r>
      <w:r w:rsidRPr="002B2095">
        <w:rPr>
          <w:b/>
          <w:iCs/>
          <w:highlight w:val="green"/>
          <w:u w:val="single"/>
          <w:bdr w:val="single" w:sz="8" w:space="0" w:color="auto"/>
        </w:rPr>
        <w:t>deep historical evidence</w:t>
      </w:r>
      <w:r w:rsidRPr="00E40AEE">
        <w:rPr>
          <w:u w:val="single"/>
        </w:rPr>
        <w:t xml:space="preserve"> is </w:t>
      </w:r>
      <w:r w:rsidRPr="002B2095">
        <w:rPr>
          <w:b/>
          <w:iCs/>
          <w:highlight w:val="green"/>
          <w:u w:val="single"/>
          <w:bdr w:val="single" w:sz="8" w:space="0" w:color="auto"/>
        </w:rPr>
        <w:t>consistent</w:t>
      </w:r>
      <w:r w:rsidRPr="002B2095">
        <w:rPr>
          <w:highlight w:val="green"/>
          <w:u w:val="single"/>
        </w:rPr>
        <w:t xml:space="preserve"> with</w:t>
      </w:r>
      <w:r w:rsidRPr="00E40AEE">
        <w:rPr>
          <w:sz w:val="16"/>
        </w:rPr>
        <w:t xml:space="preserve"> even </w:t>
      </w:r>
      <w:r w:rsidRPr="00E40AEE">
        <w:rPr>
          <w:u w:val="single"/>
        </w:rPr>
        <w:t xml:space="preserve">a </w:t>
      </w:r>
      <w:r w:rsidRPr="002B2095">
        <w:rPr>
          <w:b/>
          <w:iCs/>
          <w:highlight w:val="green"/>
          <w:u w:val="single"/>
          <w:bdr w:val="single" w:sz="8" w:space="0" w:color="auto"/>
        </w:rPr>
        <w:t>high</w:t>
      </w:r>
      <w:r w:rsidRPr="00E40AEE">
        <w:rPr>
          <w:sz w:val="16"/>
        </w:rPr>
        <w:t xml:space="preserve"> ongoing </w:t>
      </w:r>
      <w:r w:rsidRPr="002B2095">
        <w:rPr>
          <w:b/>
          <w:iCs/>
          <w:highlight w:val="green"/>
          <w:u w:val="single"/>
          <w:bdr w:val="single" w:sz="8" w:space="0" w:color="auto"/>
        </w:rPr>
        <w:t>probability</w:t>
      </w:r>
      <w:r w:rsidRPr="002B2095">
        <w:rPr>
          <w:highlight w:val="green"/>
          <w:u w:val="single"/>
        </w:rPr>
        <w:t xml:space="preserve"> of </w:t>
      </w:r>
      <w:r w:rsidRPr="002B2095">
        <w:rPr>
          <w:b/>
          <w:iCs/>
          <w:highlight w:val="green"/>
          <w:u w:val="single"/>
          <w:bdr w:val="single" w:sz="8" w:space="0" w:color="auto"/>
        </w:rPr>
        <w:t>human extinction</w:t>
      </w:r>
      <w:r w:rsidRPr="002B2095">
        <w:rPr>
          <w:highlight w:val="green"/>
          <w:u w:val="single"/>
        </w:rPr>
        <w:t xml:space="preserve"> from</w:t>
      </w:r>
      <w:r w:rsidRPr="00E40AEE">
        <w:rPr>
          <w:sz w:val="16"/>
        </w:rPr>
        <w:t xml:space="preserve"> natural </w:t>
      </w:r>
      <w:r w:rsidRPr="002B2095">
        <w:rPr>
          <w:highlight w:val="green"/>
          <w:u w:val="single"/>
        </w:rPr>
        <w:t>pandemics</w:t>
      </w:r>
      <w:r w:rsidRPr="00E40AEE">
        <w:rPr>
          <w:u w:val="single"/>
        </w:rPr>
        <w:t>, implying</w:t>
      </w:r>
      <w:r w:rsidRPr="00E40AEE">
        <w:rPr>
          <w:sz w:val="16"/>
        </w:rPr>
        <w:t xml:space="preserve"> that natural </w:t>
      </w:r>
      <w:r w:rsidRPr="00E40AEE">
        <w:rPr>
          <w:u w:val="single"/>
        </w:rPr>
        <w:t xml:space="preserve">pandemic risk can be of </w:t>
      </w:r>
      <w:r w:rsidRPr="00E40AEE">
        <w:rPr>
          <w:b/>
          <w:iCs/>
          <w:u w:val="single"/>
          <w:bdr w:val="single" w:sz="8" w:space="0" w:color="auto"/>
        </w:rPr>
        <w:t>large</w:t>
      </w:r>
      <w:r w:rsidRPr="00E40AEE">
        <w:rPr>
          <w:sz w:val="16"/>
        </w:rPr>
        <w:t xml:space="preserve"> long-term moral </w:t>
      </w:r>
      <w:r w:rsidRPr="00E40AEE">
        <w:rPr>
          <w:b/>
          <w:iCs/>
          <w:u w:val="single"/>
          <w:bdr w:val="single" w:sz="8" w:space="0" w:color="auto"/>
        </w:rPr>
        <w:t>importance</w:t>
      </w:r>
      <w:r w:rsidRPr="00E40AEE">
        <w:rPr>
          <w:sz w:val="16"/>
        </w:rPr>
        <w:t xml:space="preserve"> even if w(cc) is small. </w:t>
      </w:r>
    </w:p>
    <w:p w14:paraId="137C5DFB" w14:textId="77777777" w:rsidR="00365070" w:rsidRPr="00E40AEE" w:rsidRDefault="00365070" w:rsidP="00365070">
      <w:pPr>
        <w:rPr>
          <w:sz w:val="16"/>
        </w:rPr>
      </w:pPr>
      <w:r w:rsidRPr="00E40AEE">
        <w:rPr>
          <w:u w:val="single"/>
        </w:rPr>
        <w:t>Pandemics</w:t>
      </w:r>
      <w:r w:rsidRPr="00E40AEE">
        <w:rPr>
          <w:sz w:val="16"/>
        </w:rPr>
        <w:t xml:space="preserve"> could further </w:t>
      </w:r>
      <w:r w:rsidRPr="00E40AEE">
        <w:rPr>
          <w:u w:val="single"/>
        </w:rPr>
        <w:t xml:space="preserve">threaten </w:t>
      </w:r>
      <w:r w:rsidRPr="00E40AEE">
        <w:rPr>
          <w:b/>
          <w:iCs/>
          <w:u w:val="single"/>
          <w:bdr w:val="single" w:sz="8" w:space="0" w:color="auto"/>
        </w:rPr>
        <w:t>civilization collapse</w:t>
      </w:r>
      <w:r w:rsidRPr="00E40AEE">
        <w:rPr>
          <w:sz w:val="16"/>
        </w:rPr>
        <w:t xml:space="preserve">. Pandemics </w:t>
      </w:r>
      <w:r w:rsidRPr="00E40AEE">
        <w:rPr>
          <w:u w:val="single"/>
        </w:rPr>
        <w:t>could disrupt</w:t>
      </w:r>
      <w:r w:rsidRPr="00E40AEE">
        <w:rPr>
          <w:sz w:val="16"/>
        </w:rPr>
        <w:t xml:space="preserve"> the </w:t>
      </w:r>
      <w:r w:rsidRPr="00E40AEE">
        <w:rPr>
          <w:b/>
          <w:iCs/>
          <w:u w:val="single"/>
          <w:bdr w:val="single" w:sz="8" w:space="0" w:color="auto"/>
        </w:rPr>
        <w:t>labor pool</w:t>
      </w:r>
      <w:r w:rsidRPr="00E40AEE">
        <w:rPr>
          <w:u w:val="single"/>
        </w:rPr>
        <w:t>, causing</w:t>
      </w:r>
      <w:r w:rsidRPr="00E40AEE">
        <w:rPr>
          <w:sz w:val="16"/>
        </w:rPr>
        <w:t xml:space="preserve"> acute </w:t>
      </w:r>
      <w:r w:rsidRPr="00E40AEE">
        <w:rPr>
          <w:u w:val="single"/>
        </w:rPr>
        <w:t>supply chain disruptions with</w:t>
      </w:r>
      <w:r w:rsidRPr="00E40AEE">
        <w:rPr>
          <w:sz w:val="16"/>
        </w:rPr>
        <w:t xml:space="preserve"> severe </w:t>
      </w:r>
      <w:r w:rsidRPr="00E40AEE">
        <w:rPr>
          <w:u w:val="single"/>
        </w:rPr>
        <w:t>effects</w:t>
      </w:r>
      <w:r w:rsidRPr="00E40AEE">
        <w:rPr>
          <w:sz w:val="16"/>
        </w:rPr>
        <w:t xml:space="preserve"> such as </w:t>
      </w:r>
      <w:r w:rsidRPr="00E40AEE">
        <w:rPr>
          <w:u w:val="single"/>
        </w:rPr>
        <w:t xml:space="preserve">to </w:t>
      </w:r>
      <w:r w:rsidRPr="00E40AEE">
        <w:rPr>
          <w:b/>
          <w:iCs/>
          <w:u w:val="single"/>
          <w:bdr w:val="single" w:sz="8" w:space="0" w:color="auto"/>
        </w:rPr>
        <w:t>food security</w:t>
      </w:r>
      <w:r w:rsidRPr="00E40AEE">
        <w:rPr>
          <w:sz w:val="16"/>
        </w:rPr>
        <w:t xml:space="preserve"> (Huff et al. 2015). A </w:t>
      </w:r>
      <w:r w:rsidRPr="00E40AEE">
        <w:rPr>
          <w:u w:val="single"/>
        </w:rPr>
        <w:t xml:space="preserve">pandemic causing </w:t>
      </w:r>
      <w:r w:rsidRPr="00E40AEE">
        <w:rPr>
          <w:b/>
          <w:iCs/>
          <w:u w:val="single"/>
          <w:bdr w:val="single" w:sz="8" w:space="0" w:color="auto"/>
        </w:rPr>
        <w:t>neurological harm</w:t>
      </w:r>
      <w:r w:rsidRPr="00E40AEE">
        <w:rPr>
          <w:sz w:val="16"/>
        </w:rPr>
        <w:t xml:space="preserve">, such as in long COVID (Misra 2021), could result in the human population having insufficient cognitive fitness to maintain civilization. Furthermore, these sorts of effects could have occurred during pandemics earlier </w:t>
      </w:r>
      <w:r w:rsidRPr="00E40AEE">
        <w:rPr>
          <w:u w:val="single"/>
        </w:rPr>
        <w:t xml:space="preserve">in human history </w:t>
      </w:r>
      <w:r w:rsidRPr="00E40AEE">
        <w:rPr>
          <w:b/>
          <w:iCs/>
          <w:u w:val="single"/>
          <w:bdr w:val="single" w:sz="8" w:space="0" w:color="auto"/>
        </w:rPr>
        <w:t>without</w:t>
      </w:r>
      <w:r w:rsidRPr="00E40AEE">
        <w:rPr>
          <w:u w:val="single"/>
        </w:rPr>
        <w:t xml:space="preserve"> leaving a</w:t>
      </w:r>
      <w:r w:rsidRPr="00E40AEE">
        <w:rPr>
          <w:sz w:val="16"/>
        </w:rPr>
        <w:t xml:space="preserve"> noticeable </w:t>
      </w:r>
      <w:r w:rsidRPr="00E40AEE">
        <w:rPr>
          <w:u w:val="single"/>
        </w:rPr>
        <w:t>trace</w:t>
      </w:r>
      <w:r w:rsidRPr="00E40AEE">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52E2C8B" w14:textId="77777777" w:rsidR="00365070" w:rsidRPr="00E40AEE" w:rsidRDefault="00365070" w:rsidP="00365070">
      <w:pPr>
        <w:rPr>
          <w:sz w:val="16"/>
        </w:rPr>
      </w:pPr>
      <w:r w:rsidRPr="00E40AEE">
        <w:rPr>
          <w:sz w:val="16"/>
        </w:rPr>
        <w:t xml:space="preserve">One particularly complex and acute pandemic scenario is when a </w:t>
      </w:r>
      <w:r w:rsidRPr="00E40AEE">
        <w:rPr>
          <w:u w:val="single"/>
        </w:rPr>
        <w:t xml:space="preserve">pandemic </w:t>
      </w:r>
      <w:r w:rsidRPr="002B2095">
        <w:rPr>
          <w:highlight w:val="green"/>
          <w:u w:val="single"/>
        </w:rPr>
        <w:t>causes</w:t>
      </w:r>
      <w:r w:rsidRPr="00E40AEE">
        <w:rPr>
          <w:sz w:val="16"/>
        </w:rPr>
        <w:t xml:space="preserve"> a </w:t>
      </w:r>
      <w:r w:rsidRPr="002B2095">
        <w:rPr>
          <w:highlight w:val="green"/>
          <w:u w:val="single"/>
        </w:rPr>
        <w:t xml:space="preserve">failure of </w:t>
      </w:r>
      <w:r w:rsidRPr="00E40AEE">
        <w:rPr>
          <w:b/>
          <w:iCs/>
          <w:u w:val="single"/>
          <w:bdr w:val="single" w:sz="8" w:space="0" w:color="auto"/>
        </w:rPr>
        <w:t xml:space="preserve">stratospheric </w:t>
      </w:r>
      <w:r w:rsidRPr="002B2095">
        <w:rPr>
          <w:b/>
          <w:iCs/>
          <w:highlight w:val="green"/>
          <w:u w:val="single"/>
          <w:bdr w:val="single" w:sz="8" w:space="0" w:color="auto"/>
        </w:rPr>
        <w:t>geoengineering</w:t>
      </w:r>
      <w:r w:rsidRPr="00E40AEE">
        <w:rPr>
          <w:sz w:val="16"/>
        </w:rPr>
        <w:t xml:space="preserve">. Stratospheric geoengineering involves injecting particles into the stratosphere to counteract the harms of anthropogenic global warming. </w:t>
      </w:r>
      <w:r w:rsidRPr="00E40AEE">
        <w:rPr>
          <w:u w:val="single"/>
        </w:rPr>
        <w:t xml:space="preserve">If particle injection is </w:t>
      </w:r>
      <w:r w:rsidRPr="00E40AEE">
        <w:rPr>
          <w:b/>
          <w:iCs/>
          <w:u w:val="single"/>
          <w:bdr w:val="single" w:sz="8" w:space="0" w:color="auto"/>
        </w:rPr>
        <w:t>abruptly halted</w:t>
      </w:r>
      <w:r w:rsidRPr="00E40AEE">
        <w:rPr>
          <w:u w:val="single"/>
        </w:rPr>
        <w:t xml:space="preserve">, temperatures </w:t>
      </w:r>
      <w:r w:rsidRPr="00E40AEE">
        <w:rPr>
          <w:b/>
          <w:iCs/>
          <w:u w:val="single"/>
          <w:bdr w:val="single" w:sz="8" w:space="0" w:color="auto"/>
        </w:rPr>
        <w:t>rapidly rise</w:t>
      </w:r>
      <w:r w:rsidRPr="00E40AEE">
        <w:rPr>
          <w:u w:val="single"/>
        </w:rPr>
        <w:t xml:space="preserve">, which could cause </w:t>
      </w:r>
      <w:r w:rsidRPr="00E40AEE">
        <w:rPr>
          <w:b/>
          <w:iCs/>
          <w:u w:val="single"/>
          <w:bdr w:val="single" w:sz="8" w:space="0" w:color="auto"/>
        </w:rPr>
        <w:t>acute harm</w:t>
      </w:r>
      <w:r w:rsidRPr="00E40AEE">
        <w:rPr>
          <w:sz w:val="16"/>
        </w:rPr>
        <w:t xml:space="preserve"> known as termination shock (Parker and Irvine 2018). </w:t>
      </w:r>
      <w:r w:rsidRPr="00E40AEE">
        <w:rPr>
          <w:u w:val="single"/>
        </w:rPr>
        <w:t xml:space="preserve">Under </w:t>
      </w:r>
      <w:r w:rsidRPr="00E40AEE">
        <w:rPr>
          <w:b/>
          <w:iCs/>
          <w:u w:val="single"/>
          <w:bdr w:val="single" w:sz="8" w:space="0" w:color="auto"/>
        </w:rPr>
        <w:t>normal circumstances</w:t>
      </w:r>
      <w:r w:rsidRPr="00E40AEE">
        <w:rPr>
          <w:u w:val="single"/>
        </w:rPr>
        <w:t xml:space="preserve">, abrupt cessation of particle injection may be </w:t>
      </w:r>
      <w:r w:rsidRPr="00E40AEE">
        <w:rPr>
          <w:b/>
          <w:iCs/>
          <w:u w:val="single"/>
          <w:bdr w:val="single" w:sz="8" w:space="0" w:color="auto"/>
        </w:rPr>
        <w:t>unlikely</w:t>
      </w:r>
      <w:r w:rsidRPr="00E40AEE">
        <w:rPr>
          <w:sz w:val="16"/>
        </w:rPr>
        <w:t xml:space="preserve"> due to the desire to avoid termination shock. However, Baum et al. (2013) propose that </w:t>
      </w:r>
      <w:r w:rsidRPr="00E40AEE">
        <w:rPr>
          <w:u w:val="single"/>
        </w:rPr>
        <w:t xml:space="preserve">a catastrophe such as a </w:t>
      </w:r>
      <w:r w:rsidRPr="00E40AEE">
        <w:rPr>
          <w:b/>
          <w:iCs/>
          <w:u w:val="single"/>
          <w:bdr w:val="single" w:sz="8" w:space="0" w:color="auto"/>
        </w:rPr>
        <w:t>pandemic</w:t>
      </w:r>
      <w:r w:rsidRPr="00E40AEE">
        <w:rPr>
          <w:u w:val="single"/>
        </w:rPr>
        <w:t xml:space="preserve"> could cause</w:t>
      </w:r>
      <w:r w:rsidRPr="00E40AEE">
        <w:rPr>
          <w:sz w:val="16"/>
        </w:rPr>
        <w:t xml:space="preserve"> the </w:t>
      </w:r>
      <w:r w:rsidRPr="00E40AEE">
        <w:rPr>
          <w:b/>
          <w:iCs/>
          <w:u w:val="single"/>
          <w:bdr w:val="single" w:sz="8" w:space="0" w:color="auto"/>
        </w:rPr>
        <w:t>cessation</w:t>
      </w:r>
      <w:r w:rsidRPr="00E40AEE">
        <w:rPr>
          <w:u w:val="single"/>
        </w:rPr>
        <w:t xml:space="preserve"> of particle injection, </w:t>
      </w:r>
      <w:r w:rsidRPr="002B2095">
        <w:rPr>
          <w:highlight w:val="green"/>
          <w:u w:val="single"/>
        </w:rPr>
        <w:t>resulting in</w:t>
      </w:r>
      <w:r w:rsidRPr="000E4042">
        <w:rPr>
          <w:u w:val="single"/>
        </w:rPr>
        <w:t xml:space="preserve"> a </w:t>
      </w:r>
      <w:r w:rsidRPr="002B2095">
        <w:rPr>
          <w:highlight w:val="green"/>
          <w:u w:val="single"/>
        </w:rPr>
        <w:t>“</w:t>
      </w:r>
      <w:r w:rsidRPr="002B2095">
        <w:rPr>
          <w:b/>
          <w:iCs/>
          <w:highlight w:val="green"/>
          <w:u w:val="single"/>
          <w:bdr w:val="single" w:sz="8" w:space="0" w:color="auto"/>
        </w:rPr>
        <w:t>double catastrophe</w:t>
      </w:r>
      <w:r w:rsidRPr="002B2095">
        <w:rPr>
          <w:highlight w:val="green"/>
          <w:u w:val="single"/>
        </w:rPr>
        <w:t>”</w:t>
      </w:r>
      <w:r w:rsidRPr="00E40AEE">
        <w:rPr>
          <w:u w:val="single"/>
        </w:rPr>
        <w:t xml:space="preserve"> in which</w:t>
      </w:r>
      <w:r w:rsidRPr="00E40AEE">
        <w:rPr>
          <w:sz w:val="16"/>
        </w:rPr>
        <w:t xml:space="preserve"> the </w:t>
      </w:r>
      <w:r w:rsidRPr="00E40AEE">
        <w:rPr>
          <w:u w:val="single"/>
        </w:rPr>
        <w:t xml:space="preserve">harms of termination shock </w:t>
      </w:r>
      <w:r w:rsidRPr="002B2095">
        <w:rPr>
          <w:b/>
          <w:iCs/>
          <w:highlight w:val="green"/>
          <w:u w:val="single"/>
          <w:bdr w:val="single" w:sz="8" w:space="0" w:color="auto"/>
        </w:rPr>
        <w:t>compound</w:t>
      </w:r>
      <w:r w:rsidRPr="00E40AEE">
        <w:rPr>
          <w:u w:val="single"/>
        </w:rPr>
        <w:t xml:space="preserve"> the </w:t>
      </w:r>
      <w:r w:rsidRPr="002B2095">
        <w:rPr>
          <w:highlight w:val="green"/>
          <w:u w:val="single"/>
        </w:rPr>
        <w:t>harms of</w:t>
      </w:r>
      <w:r w:rsidRPr="00E40AEE">
        <w:rPr>
          <w:sz w:val="16"/>
        </w:rPr>
        <w:t xml:space="preserve"> the </w:t>
      </w:r>
      <w:r w:rsidRPr="002B2095">
        <w:rPr>
          <w:b/>
          <w:iCs/>
          <w:highlight w:val="green"/>
          <w:u w:val="single"/>
          <w:bdr w:val="single" w:sz="8" w:space="0" w:color="auto"/>
        </w:rPr>
        <w:t>initial catastrophe</w:t>
      </w:r>
      <w:r w:rsidRPr="00E40AEE">
        <w:rPr>
          <w:u w:val="single"/>
        </w:rPr>
        <w:t>. This may be</w:t>
      </w:r>
      <w:r w:rsidRPr="00E40AEE">
        <w:rPr>
          <w:sz w:val="16"/>
        </w:rPr>
        <w:t xml:space="preserve"> an </w:t>
      </w:r>
      <w:r w:rsidRPr="00E40AEE">
        <w:rPr>
          <w:b/>
          <w:iCs/>
          <w:u w:val="single"/>
          <w:bdr w:val="single" w:sz="8" w:space="0" w:color="auto"/>
        </w:rPr>
        <w:t>especially severe</w:t>
      </w:r>
      <w:r w:rsidRPr="00E40AEE">
        <w:rPr>
          <w:u w:val="single"/>
        </w:rPr>
        <w:t xml:space="preserve"> pandemic</w:t>
      </w:r>
      <w:r w:rsidRPr="00E40AEE">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776F9979" w14:textId="77777777" w:rsidR="00365070" w:rsidRDefault="00365070" w:rsidP="00365070"/>
    <w:p w14:paraId="0F5FB404" w14:textId="77777777" w:rsidR="00365070" w:rsidRPr="00437F9D" w:rsidRDefault="00365070" w:rsidP="00437F9D">
      <w:pPr>
        <w:pStyle w:val="Heading4"/>
      </w:pPr>
      <w:r w:rsidRPr="00437F9D">
        <w:lastRenderedPageBreak/>
        <w:t>Pollution causes extinction</w:t>
      </w:r>
    </w:p>
    <w:p w14:paraId="6589B712" w14:textId="77777777" w:rsidR="00365070" w:rsidRPr="00117343" w:rsidRDefault="00365070" w:rsidP="00365070">
      <w:r w:rsidRPr="00CE30D3">
        <w:rPr>
          <w:rStyle w:val="Style13ptBold"/>
        </w:rPr>
        <w:t>Tuncak 19,</w:t>
      </w:r>
      <w:r w:rsidRPr="00117343">
        <w:t xml:space="preserve"> Baskut</w:t>
      </w:r>
      <w:r>
        <w:t xml:space="preserve">, </w:t>
      </w:r>
      <w:r w:rsidRPr="00117343">
        <w:t>Special Rapporteur on the implications for human rights of the environmentally sound management and disposal of hazardous substances and wastes, “Toxic pollution: Another extinction crisis looms, warns UN expert”, https://www.ohchr.org/EN/NewsEvents/Pages/DisplayNews.aspx?NewsID=25201&amp;LangID=E</w:t>
      </w:r>
    </w:p>
    <w:p w14:paraId="6F412187" w14:textId="77777777" w:rsidR="00365070" w:rsidRPr="00117343" w:rsidRDefault="00365070" w:rsidP="00365070">
      <w:pPr>
        <w:rPr>
          <w:sz w:val="16"/>
        </w:rPr>
      </w:pPr>
      <w:r w:rsidRPr="00117343">
        <w:rPr>
          <w:sz w:val="16"/>
        </w:rPr>
        <w:t xml:space="preserve">NEW YORK (24 October 2019) – </w:t>
      </w:r>
      <w:r w:rsidRPr="00117343">
        <w:rPr>
          <w:rStyle w:val="StyleUnderline"/>
        </w:rPr>
        <w:t xml:space="preserve">Under </w:t>
      </w:r>
      <w:r w:rsidRPr="002B2095">
        <w:rPr>
          <w:rStyle w:val="StyleUnderline"/>
          <w:highlight w:val="green"/>
        </w:rPr>
        <w:t>the</w:t>
      </w:r>
      <w:r w:rsidRPr="00117343">
        <w:rPr>
          <w:rStyle w:val="StyleUnderline"/>
        </w:rPr>
        <w:t xml:space="preserve"> shadow of</w:t>
      </w:r>
      <w:r w:rsidRPr="00117343">
        <w:rPr>
          <w:sz w:val="16"/>
        </w:rPr>
        <w:t xml:space="preserve"> the </w:t>
      </w:r>
      <w:r w:rsidRPr="002B2095">
        <w:rPr>
          <w:rStyle w:val="Emphasis"/>
          <w:highlight w:val="green"/>
        </w:rPr>
        <w:t>existential threats</w:t>
      </w:r>
      <w:r w:rsidRPr="002B2095">
        <w:rPr>
          <w:sz w:val="16"/>
          <w:highlight w:val="green"/>
        </w:rPr>
        <w:t xml:space="preserve"> </w:t>
      </w:r>
      <w:r w:rsidRPr="002B2095">
        <w:rPr>
          <w:rStyle w:val="StyleUnderline"/>
          <w:highlight w:val="green"/>
        </w:rPr>
        <w:t>of</w:t>
      </w:r>
      <w:r w:rsidRPr="00117343">
        <w:rPr>
          <w:sz w:val="16"/>
        </w:rPr>
        <w:t xml:space="preserve"> climate change and </w:t>
      </w:r>
      <w:r w:rsidRPr="00117343">
        <w:rPr>
          <w:rStyle w:val="StyleUnderline"/>
        </w:rPr>
        <w:t xml:space="preserve">biodiversity collapse lies another, insidious </w:t>
      </w:r>
      <w:r w:rsidRPr="00117343">
        <w:rPr>
          <w:rStyle w:val="Emphasis"/>
        </w:rPr>
        <w:t>extinction crisis</w:t>
      </w:r>
      <w:r w:rsidRPr="00117343">
        <w:rPr>
          <w:sz w:val="16"/>
        </w:rPr>
        <w:t xml:space="preserve">: </w:t>
      </w:r>
      <w:r w:rsidRPr="00117343">
        <w:rPr>
          <w:rStyle w:val="StyleUnderline"/>
        </w:rPr>
        <w:t xml:space="preserve">the </w:t>
      </w:r>
      <w:r w:rsidRPr="00117343">
        <w:rPr>
          <w:rStyle w:val="Emphasis"/>
        </w:rPr>
        <w:t>toxification</w:t>
      </w:r>
      <w:r w:rsidRPr="00117343">
        <w:rPr>
          <w:rStyle w:val="StyleUnderline"/>
        </w:rPr>
        <w:t xml:space="preserve"> of our planet and our bodies,</w:t>
      </w:r>
      <w:r w:rsidRPr="00117343">
        <w:rPr>
          <w:sz w:val="16"/>
        </w:rPr>
        <w:t xml:space="preserve"> a UN human rights expert told the General Assembly today.</w:t>
      </w:r>
    </w:p>
    <w:p w14:paraId="30B018C7" w14:textId="77777777" w:rsidR="00365070" w:rsidRPr="00117343" w:rsidRDefault="00365070" w:rsidP="00365070">
      <w:pPr>
        <w:rPr>
          <w:rStyle w:val="StyleUnderline"/>
        </w:rPr>
      </w:pPr>
      <w:r w:rsidRPr="00117343">
        <w:rPr>
          <w:sz w:val="16"/>
        </w:rPr>
        <w:t xml:space="preserve">“Our </w:t>
      </w:r>
      <w:r w:rsidRPr="00117343">
        <w:rPr>
          <w:rStyle w:val="StyleUnderline"/>
        </w:rPr>
        <w:t xml:space="preserve">incessant exposure to </w:t>
      </w:r>
      <w:r w:rsidRPr="002B2095">
        <w:rPr>
          <w:rStyle w:val="StyleUnderline"/>
          <w:highlight w:val="green"/>
        </w:rPr>
        <w:t>pollution</w:t>
      </w:r>
      <w:r w:rsidRPr="00117343">
        <w:rPr>
          <w:rStyle w:val="StyleUnderline"/>
        </w:rPr>
        <w:t xml:space="preserve"> and other sources of toxic substances </w:t>
      </w:r>
      <w:r w:rsidRPr="002B2095">
        <w:rPr>
          <w:rStyle w:val="StyleUnderline"/>
          <w:highlight w:val="green"/>
        </w:rPr>
        <w:t xml:space="preserve">poses a global threat </w:t>
      </w:r>
      <w:r w:rsidRPr="00117343">
        <w:rPr>
          <w:rStyle w:val="StyleUnderline"/>
        </w:rPr>
        <w:t>to human rights, including to our right to reproductive health,” said the UN Special Rapporteur on hazardous substances and wastes, Baskut Tuncak, as he called on States to recognise and uphold their duty to prevent exposure to hazardous substances.</w:t>
      </w:r>
    </w:p>
    <w:p w14:paraId="6EB350F3" w14:textId="77777777" w:rsidR="00365070" w:rsidRPr="00117343" w:rsidRDefault="00365070" w:rsidP="00365070">
      <w:pPr>
        <w:rPr>
          <w:sz w:val="16"/>
        </w:rPr>
      </w:pPr>
      <w:r w:rsidRPr="00117343">
        <w:rPr>
          <w:sz w:val="16"/>
        </w:rPr>
        <w:t xml:space="preserve">He said that when viewed through the lens of children’s and reproductive health, the importance and gravity of preventing exposure to toxic substances at the outset sharpens further into focus. </w:t>
      </w:r>
      <w:r w:rsidRPr="002B2095">
        <w:rPr>
          <w:rStyle w:val="StyleUnderline"/>
          <w:highlight w:val="green"/>
        </w:rPr>
        <w:t>Declining fertility, including declining sperm quality and</w:t>
      </w:r>
      <w:r w:rsidRPr="00117343">
        <w:rPr>
          <w:rStyle w:val="StyleUnderline"/>
        </w:rPr>
        <w:t xml:space="preserve"> </w:t>
      </w:r>
      <w:r w:rsidRPr="002B2095">
        <w:rPr>
          <w:rStyle w:val="StyleUnderline"/>
          <w:highlight w:val="green"/>
        </w:rPr>
        <w:t>quantity, is only one of many worrying health trends</w:t>
      </w:r>
      <w:r w:rsidRPr="00117343">
        <w:rPr>
          <w:rStyle w:val="StyleUnderline"/>
        </w:rPr>
        <w:t xml:space="preserve"> linked to toxic exposure</w:t>
      </w:r>
      <w:r w:rsidRPr="00117343">
        <w:rPr>
          <w:sz w:val="16"/>
        </w:rPr>
        <w:t xml:space="preserve"> that persist because States have not truly prioritised exposure prevention.</w:t>
      </w:r>
    </w:p>
    <w:p w14:paraId="70355F21" w14:textId="77777777" w:rsidR="00365070" w:rsidRPr="00117343" w:rsidRDefault="00365070" w:rsidP="00365070">
      <w:pPr>
        <w:rPr>
          <w:sz w:val="16"/>
        </w:rPr>
      </w:pPr>
      <w:r w:rsidRPr="00117343">
        <w:rPr>
          <w:sz w:val="16"/>
        </w:rPr>
        <w:t>“Every State has binding human rights obligations that create a duty to take active measures to prevent the exposure of individuals and communities to toxic substances. Nonetheless, people and peoples are knowingly exposed to a multitude of hazardous substances that could be prevented. Relief and remedy, to the limited extent it materialises, is often insufficient and too late for those who are exposed.”</w:t>
      </w:r>
    </w:p>
    <w:p w14:paraId="4A8F618F" w14:textId="77777777" w:rsidR="00365070" w:rsidRPr="00117343" w:rsidRDefault="00365070" w:rsidP="00365070">
      <w:pPr>
        <w:rPr>
          <w:sz w:val="16"/>
        </w:rPr>
      </w:pPr>
      <w:r w:rsidRPr="00117343">
        <w:rPr>
          <w:sz w:val="16"/>
        </w:rPr>
        <w:t xml:space="preserve">Tuncak’s report reminds States of their duty to prevent exposure to toxics in the context of the rights to life, health, dignity and bodily integrity. It is increasingly demonstrated that “safe” levels of exposure for many toxic substances are presumed, and for many there is no safe level of exposure. </w:t>
      </w:r>
    </w:p>
    <w:p w14:paraId="799E8C6E" w14:textId="77777777" w:rsidR="00365070" w:rsidRPr="00117343" w:rsidRDefault="00365070" w:rsidP="00365070">
      <w:pPr>
        <w:rPr>
          <w:sz w:val="16"/>
        </w:rPr>
      </w:pPr>
      <w:r w:rsidRPr="00117343">
        <w:rPr>
          <w:sz w:val="16"/>
        </w:rPr>
        <w:t>“There is a danger that the human rights to safe water, adequate food and housing, clean air, a healthy environment and safe and healthy work, among others, will be a false promise and never truly realised without concerted efforts to make exposure prevention an urgent priority,” said Tuncak.</w:t>
      </w:r>
    </w:p>
    <w:p w14:paraId="527E3DDD" w14:textId="77777777" w:rsidR="00365070" w:rsidRPr="00117343" w:rsidRDefault="00365070" w:rsidP="00365070">
      <w:pPr>
        <w:rPr>
          <w:sz w:val="16"/>
        </w:rPr>
      </w:pPr>
      <w:r w:rsidRPr="00117343">
        <w:rPr>
          <w:sz w:val="16"/>
        </w:rPr>
        <w:t xml:space="preserve">Tuncak stressed that </w:t>
      </w:r>
      <w:r w:rsidRPr="002B2095">
        <w:rPr>
          <w:rStyle w:val="StyleUnderline"/>
          <w:highlight w:val="green"/>
        </w:rPr>
        <w:t>this</w:t>
      </w:r>
      <w:r w:rsidRPr="002B2095">
        <w:rPr>
          <w:sz w:val="16"/>
          <w:highlight w:val="green"/>
        </w:rPr>
        <w:t xml:space="preserve"> </w:t>
      </w:r>
      <w:r w:rsidRPr="002B2095">
        <w:rPr>
          <w:rStyle w:val="Emphasis"/>
          <w:highlight w:val="green"/>
        </w:rPr>
        <w:t>“toxic cocktail”</w:t>
      </w:r>
      <w:r w:rsidRPr="002B2095">
        <w:rPr>
          <w:sz w:val="16"/>
          <w:highlight w:val="green"/>
        </w:rPr>
        <w:t xml:space="preserve"> </w:t>
      </w:r>
      <w:r w:rsidRPr="002B2095">
        <w:rPr>
          <w:rStyle w:val="StyleUnderline"/>
          <w:highlight w:val="green"/>
        </w:rPr>
        <w:t>of</w:t>
      </w:r>
      <w:r w:rsidRPr="002B2095">
        <w:rPr>
          <w:sz w:val="16"/>
          <w:highlight w:val="green"/>
        </w:rPr>
        <w:t xml:space="preserve"> </w:t>
      </w:r>
      <w:r w:rsidRPr="002B2095">
        <w:rPr>
          <w:rStyle w:val="Emphasis"/>
          <w:highlight w:val="green"/>
        </w:rPr>
        <w:t>pollution</w:t>
      </w:r>
      <w:r w:rsidRPr="002B2095">
        <w:rPr>
          <w:sz w:val="16"/>
          <w:highlight w:val="green"/>
        </w:rPr>
        <w:t xml:space="preserve"> </w:t>
      </w:r>
      <w:r w:rsidRPr="002B2095">
        <w:rPr>
          <w:rStyle w:val="StyleUnderline"/>
          <w:highlight w:val="green"/>
        </w:rPr>
        <w:t>is</w:t>
      </w:r>
      <w:r w:rsidRPr="00117343">
        <w:rPr>
          <w:rStyle w:val="StyleUnderline"/>
        </w:rPr>
        <w:t xml:space="preserve"> conservatively </w:t>
      </w:r>
      <w:r w:rsidRPr="002B2095">
        <w:rPr>
          <w:rStyle w:val="StyleUnderline"/>
          <w:highlight w:val="green"/>
        </w:rPr>
        <w:t xml:space="preserve">calculated as the single largest source of </w:t>
      </w:r>
      <w:r w:rsidRPr="002B2095">
        <w:rPr>
          <w:rStyle w:val="Emphasis"/>
          <w:highlight w:val="green"/>
        </w:rPr>
        <w:t>premature death</w:t>
      </w:r>
      <w:r w:rsidRPr="00117343">
        <w:rPr>
          <w:rStyle w:val="StyleUnderline"/>
        </w:rPr>
        <w:t xml:space="preserve"> </w:t>
      </w:r>
      <w:r w:rsidRPr="00117343">
        <w:rPr>
          <w:sz w:val="16"/>
        </w:rPr>
        <w:t xml:space="preserve">in the world, </w:t>
      </w:r>
      <w:r w:rsidRPr="00117343">
        <w:rPr>
          <w:rStyle w:val="StyleUnderline"/>
        </w:rPr>
        <w:t xml:space="preserve">and </w:t>
      </w:r>
      <w:r w:rsidRPr="002B2095">
        <w:rPr>
          <w:rStyle w:val="StyleUnderline"/>
          <w:highlight w:val="green"/>
        </w:rPr>
        <w:t>it</w:t>
      </w:r>
      <w:r w:rsidRPr="00117343">
        <w:rPr>
          <w:rStyle w:val="StyleUnderline"/>
        </w:rPr>
        <w:t xml:space="preserve"> causes and </w:t>
      </w:r>
      <w:r w:rsidRPr="002B2095">
        <w:rPr>
          <w:rStyle w:val="StyleUnderline"/>
          <w:highlight w:val="green"/>
        </w:rPr>
        <w:t>contributes to a</w:t>
      </w:r>
      <w:r w:rsidRPr="002B2095">
        <w:rPr>
          <w:sz w:val="16"/>
          <w:highlight w:val="green"/>
        </w:rPr>
        <w:t xml:space="preserve"> </w:t>
      </w:r>
      <w:r w:rsidRPr="002B2095">
        <w:rPr>
          <w:rStyle w:val="Emphasis"/>
          <w:highlight w:val="green"/>
        </w:rPr>
        <w:t>“silent pandemic”</w:t>
      </w:r>
      <w:r w:rsidRPr="002B2095">
        <w:rPr>
          <w:sz w:val="16"/>
          <w:highlight w:val="green"/>
        </w:rPr>
        <w:t xml:space="preserve"> </w:t>
      </w:r>
      <w:r w:rsidRPr="002B2095">
        <w:rPr>
          <w:rStyle w:val="StyleUnderline"/>
          <w:highlight w:val="green"/>
        </w:rPr>
        <w:t>of</w:t>
      </w:r>
      <w:r w:rsidRPr="002B2095">
        <w:rPr>
          <w:sz w:val="16"/>
          <w:highlight w:val="green"/>
        </w:rPr>
        <w:t xml:space="preserve"> </w:t>
      </w:r>
      <w:r w:rsidRPr="002B2095">
        <w:rPr>
          <w:rStyle w:val="Emphasis"/>
          <w:highlight w:val="green"/>
        </w:rPr>
        <w:t>diseases</w:t>
      </w:r>
      <w:r w:rsidRPr="00117343">
        <w:rPr>
          <w:sz w:val="16"/>
        </w:rPr>
        <w:t xml:space="preserve"> </w:t>
      </w:r>
      <w:r w:rsidRPr="002B2095">
        <w:rPr>
          <w:rStyle w:val="StyleUnderline"/>
          <w:highlight w:val="green"/>
        </w:rPr>
        <w:t>and</w:t>
      </w:r>
      <w:r w:rsidRPr="002B2095">
        <w:rPr>
          <w:sz w:val="16"/>
          <w:highlight w:val="green"/>
        </w:rPr>
        <w:t xml:space="preserve"> </w:t>
      </w:r>
      <w:r w:rsidRPr="002B2095">
        <w:rPr>
          <w:rStyle w:val="Emphasis"/>
          <w:highlight w:val="green"/>
        </w:rPr>
        <w:t>disabilities</w:t>
      </w:r>
      <w:r w:rsidRPr="00117343">
        <w:rPr>
          <w:sz w:val="16"/>
        </w:rPr>
        <w:t>. “We can no longer see the problem substance-by-substance – but rather must address the combined effect of a multitude of chronic exposures, particularly on those that are most vulnerable, such as children, workers, different genders and people living in poverty,” he said.</w:t>
      </w:r>
    </w:p>
    <w:p w14:paraId="50182253" w14:textId="77777777" w:rsidR="00365070" w:rsidRPr="00A710BF" w:rsidRDefault="00365070" w:rsidP="00365070"/>
    <w:p w14:paraId="48E9983A" w14:textId="77777777" w:rsidR="00365070" w:rsidRPr="00A710BF" w:rsidRDefault="00365070" w:rsidP="00365070">
      <w:pPr>
        <w:pStyle w:val="Heading3"/>
        <w:rPr>
          <w:rFonts w:cs="Calibri"/>
        </w:rPr>
      </w:pPr>
      <w:r w:rsidRPr="00A710BF">
        <w:rPr>
          <w:rFonts w:cs="Calibri"/>
        </w:rPr>
        <w:lastRenderedPageBreak/>
        <w:t>Solvency</w:t>
      </w:r>
    </w:p>
    <w:p w14:paraId="4481CD40" w14:textId="77777777" w:rsidR="00365070" w:rsidRPr="00A710BF" w:rsidRDefault="00365070" w:rsidP="00365070">
      <w:pPr>
        <w:pStyle w:val="Heading4"/>
        <w:rPr>
          <w:rFonts w:cs="Calibri"/>
        </w:rPr>
      </w:pPr>
      <w:r w:rsidRPr="00A710BF">
        <w:rPr>
          <w:rFonts w:cs="Calibri"/>
        </w:rPr>
        <w:t>The rights paradigm of Title VII enables the restoration of strong collective bargaining rights – it’s a shot in the arm to course correct the judicial system</w:t>
      </w:r>
    </w:p>
    <w:p w14:paraId="42ABE478" w14:textId="77777777" w:rsidR="00365070" w:rsidRPr="00A710BF" w:rsidRDefault="00365070" w:rsidP="00365070">
      <w:r w:rsidRPr="00CE30D3">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III. RECOGNIZING LABOR ORGANIZING AS A CIVIL RIGHT, </w:t>
      </w:r>
      <w:r w:rsidRPr="00A710BF">
        <w:rPr>
          <w:sz w:val="16"/>
          <w:szCs w:val="16"/>
        </w:rPr>
        <w:t>vol 9 Stanford Journal of Civil Rights and Civil Liberties 213 (2013). https://law.stanford.edu/wp-content/uploads/2018/06/kahlenberg.pdf) CT</w:t>
      </w:r>
    </w:p>
    <w:p w14:paraId="5768AFBA" w14:textId="77777777" w:rsidR="00365070" w:rsidRPr="00A710BF" w:rsidRDefault="00365070" w:rsidP="00365070">
      <w:r w:rsidRPr="00A710BF">
        <w:rPr>
          <w:rStyle w:val="StyleUnderline"/>
        </w:rPr>
        <w:t xml:space="preserve">Rather than engage in the likely fruitless fight to enhance the existing labor law, which can be diminished in a variety of ways, </w:t>
      </w:r>
      <w:r w:rsidRPr="002B2095">
        <w:rPr>
          <w:rStyle w:val="StyleUnderline"/>
          <w:highlight w:val="green"/>
        </w:rPr>
        <w:t xml:space="preserve">we propose writing labor organizing into </w:t>
      </w:r>
      <w:r w:rsidRPr="00A710BF">
        <w:rPr>
          <w:rStyle w:val="StyleUnderline"/>
        </w:rPr>
        <w:t xml:space="preserve">our </w:t>
      </w:r>
      <w:r w:rsidRPr="002B2095">
        <w:rPr>
          <w:rStyle w:val="StyleUnderline"/>
          <w:highlight w:val="green"/>
        </w:rPr>
        <w:t>civil rights laws</w:t>
      </w:r>
      <w:r w:rsidRPr="00A710BF">
        <w:rPr>
          <w:rStyle w:val="StyleUnderline"/>
        </w:rPr>
        <w:t>.</w:t>
      </w:r>
      <w:r w:rsidRPr="00A710BF">
        <w:rPr>
          <w:sz w:val="16"/>
        </w:rPr>
        <w:t xml:space="preserve">72 Though some may argue that civil rights and labor rights are incompatible, </w:t>
      </w:r>
      <w:r w:rsidRPr="002B2095">
        <w:rPr>
          <w:rStyle w:val="StyleUnderline"/>
          <w:highlight w:val="green"/>
        </w:rPr>
        <w:t xml:space="preserve">there are </w:t>
      </w:r>
      <w:r w:rsidRPr="00A710BF">
        <w:rPr>
          <w:rStyle w:val="StyleUnderline"/>
        </w:rPr>
        <w:t xml:space="preserve">theoretical, </w:t>
      </w:r>
      <w:r w:rsidRPr="002B2095">
        <w:rPr>
          <w:rStyle w:val="StyleUnderline"/>
          <w:highlight w:val="green"/>
        </w:rPr>
        <w:t xml:space="preserve">historical, and tactical reasons for them to exist side by side in the law. </w:t>
      </w:r>
      <w:r w:rsidRPr="00A710BF">
        <w:rPr>
          <w:rStyle w:val="StyleUnderline"/>
        </w:rPr>
        <w:t>Civil rights are those rights that belong to the free individual in society</w:t>
      </w:r>
      <w:r w:rsidRPr="00A710BF">
        <w:rPr>
          <w:sz w:val="16"/>
        </w:rPr>
        <w:t xml:space="preserve">. In the United States, civil rights are considered core or fundamental rights, often linked to specific protections in the Constitution, such as the political and personal rights of freedom of speech and association, voting, and equality.73 </w:t>
      </w:r>
      <w:r w:rsidRPr="002B2095">
        <w:rPr>
          <w:rStyle w:val="StyleUnderline"/>
          <w:highlight w:val="green"/>
        </w:rPr>
        <w:t>The right to organize is</w:t>
      </w:r>
      <w:r w:rsidRPr="00A710BF">
        <w:rPr>
          <w:rStyle w:val="StyleUnderline"/>
        </w:rPr>
        <w:t xml:space="preserve"> closely </w:t>
      </w:r>
      <w:r w:rsidRPr="002B2095">
        <w:rPr>
          <w:rStyle w:val="StyleUnderline"/>
          <w:highlight w:val="green"/>
        </w:rPr>
        <w:t>related to the</w:t>
      </w:r>
      <w:r w:rsidRPr="00A710BF">
        <w:rPr>
          <w:rStyle w:val="StyleUnderline"/>
        </w:rPr>
        <w:t xml:space="preserve"> Constitution’s </w:t>
      </w:r>
      <w:r w:rsidRPr="000E4042">
        <w:rPr>
          <w:rStyle w:val="StyleUnderline"/>
        </w:rPr>
        <w:t xml:space="preserve">right to </w:t>
      </w:r>
      <w:r w:rsidRPr="002B2095">
        <w:rPr>
          <w:rStyle w:val="StyleUnderline"/>
          <w:highlight w:val="green"/>
        </w:rPr>
        <w:t>“freedom of association</w:t>
      </w:r>
      <w:r w:rsidRPr="00A710BF">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A710BF">
        <w:rPr>
          <w:sz w:val="16"/>
        </w:rPr>
        <w:t xml:space="preserve">. As Alexis de Tocqueville remarked, “Better use has been made of association and this powerful instrument of action has been applied to more varied aims in America than anywhere else in the world.”74 </w:t>
      </w:r>
      <w:r w:rsidRPr="00A710BF">
        <w:rPr>
          <w:rStyle w:val="StyleUnderline"/>
        </w:rPr>
        <w:t xml:space="preserve">Although the Constitution does not specifically mention “freedom of association,” </w:t>
      </w:r>
      <w:r w:rsidRPr="002B2095">
        <w:rPr>
          <w:rStyle w:val="StyleUnderline"/>
          <w:highlight w:val="green"/>
        </w:rPr>
        <w:t>the Supreme Court</w:t>
      </w:r>
      <w:r w:rsidRPr="00A710BF">
        <w:rPr>
          <w:rStyle w:val="StyleUnderline"/>
        </w:rPr>
        <w:t xml:space="preserve"> long ago </w:t>
      </w:r>
      <w:r w:rsidRPr="002B2095">
        <w:rPr>
          <w:rStyle w:val="StyleUnderline"/>
          <w:highlight w:val="green"/>
        </w:rPr>
        <w:t>recognized that</w:t>
      </w:r>
      <w:r w:rsidRPr="00A710BF">
        <w:rPr>
          <w:rStyle w:val="StyleUnderline"/>
        </w:rPr>
        <w:t xml:space="preserve"> First Amendment </w:t>
      </w:r>
      <w:r w:rsidRPr="002B2095">
        <w:rPr>
          <w:rStyle w:val="StyleUnderline"/>
          <w:highlight w:val="green"/>
        </w:rPr>
        <w:t xml:space="preserve">free speech and </w:t>
      </w:r>
      <w:r w:rsidRPr="000E4042">
        <w:rPr>
          <w:rStyle w:val="StyleUnderline"/>
        </w:rPr>
        <w:t xml:space="preserve">freedom of </w:t>
      </w:r>
      <w:r w:rsidRPr="002B2095">
        <w:rPr>
          <w:rStyle w:val="StyleUnderline"/>
          <w:highlight w:val="green"/>
        </w:rPr>
        <w:t>assembly</w:t>
      </w:r>
      <w:r w:rsidRPr="00A710BF">
        <w:rPr>
          <w:rStyle w:val="StyleUnderline"/>
        </w:rPr>
        <w:t xml:space="preserve"> provisions </w:t>
      </w:r>
      <w:r w:rsidRPr="002B2095">
        <w:rPr>
          <w:rStyle w:val="StyleUnderline"/>
          <w:highlight w:val="green"/>
        </w:rPr>
        <w:t>necessarily</w:t>
      </w:r>
      <w:r w:rsidRPr="00A710BF">
        <w:rPr>
          <w:rStyle w:val="StyleUnderline"/>
        </w:rPr>
        <w:t xml:space="preserve"> </w:t>
      </w:r>
      <w:r w:rsidRPr="002B2095">
        <w:rPr>
          <w:rStyle w:val="StyleUnderline"/>
          <w:highlight w:val="green"/>
        </w:rPr>
        <w:t>imply</w:t>
      </w:r>
      <w:r w:rsidRPr="00A710BF">
        <w:rPr>
          <w:rStyle w:val="StyleUnderline"/>
        </w:rPr>
        <w:t xml:space="preserve"> a corollary right to </w:t>
      </w:r>
      <w:r w:rsidRPr="002B2095">
        <w:rPr>
          <w:rStyle w:val="StyleUnderline"/>
          <w:highlight w:val="green"/>
        </w:rPr>
        <w:t>freedom of association</w:t>
      </w:r>
      <w:r w:rsidRPr="00A710BF">
        <w:rPr>
          <w:rStyle w:val="StyleUnderline"/>
        </w:rPr>
        <w:t xml:space="preserve">. </w:t>
      </w:r>
      <w:r w:rsidRPr="00A710BF">
        <w:rPr>
          <w:sz w:val="16"/>
        </w:rPr>
        <w:t xml:space="preserve">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 </w:t>
      </w:r>
      <w:r w:rsidRPr="00A710BF">
        <w:rPr>
          <w:rStyle w:val="StyleUnderline"/>
        </w:rPr>
        <w:t xml:space="preserve">Moreover, </w:t>
      </w:r>
      <w:r w:rsidRPr="002B2095">
        <w:rPr>
          <w:rStyle w:val="StyleUnderline"/>
          <w:highlight w:val="green"/>
        </w:rPr>
        <w:t>the Supreme Court has specifically applied the right of association to labor unions, striking down</w:t>
      </w:r>
      <w:r w:rsidRPr="00A710BF">
        <w:rPr>
          <w:rStyle w:val="StyleUnderline"/>
        </w:rPr>
        <w:t xml:space="preserve"> government </w:t>
      </w:r>
      <w:r w:rsidRPr="002B2095">
        <w:rPr>
          <w:rStyle w:val="StyleUnderline"/>
          <w:highlight w:val="green"/>
        </w:rPr>
        <w:t>efforts to quash union based</w:t>
      </w:r>
      <w:r w:rsidRPr="00A710BF">
        <w:rPr>
          <w:rStyle w:val="StyleUnderline"/>
        </w:rPr>
        <w:t xml:space="preserve"> associational </w:t>
      </w:r>
      <w:r w:rsidRPr="002B2095">
        <w:rPr>
          <w:rStyle w:val="StyleUnderline"/>
          <w:highlight w:val="green"/>
        </w:rPr>
        <w:t>rights</w:t>
      </w:r>
      <w:r w:rsidRPr="00A710BF">
        <w:rPr>
          <w:rStyle w:val="StyleUnderline"/>
        </w:rPr>
        <w:t xml:space="preserve">. In Thomas v. Collins, for example, </w:t>
      </w:r>
      <w:r w:rsidRPr="002B2095">
        <w:rPr>
          <w:rStyle w:val="StyleUnderline"/>
          <w:highlight w:val="green"/>
        </w:rPr>
        <w:t>the Court voided</w:t>
      </w:r>
      <w:r w:rsidRPr="00A710BF">
        <w:rPr>
          <w:rStyle w:val="StyleUnderline"/>
        </w:rPr>
        <w:t xml:space="preserve"> </w:t>
      </w:r>
      <w:r w:rsidRPr="002B2095">
        <w:rPr>
          <w:rStyle w:val="StyleUnderline"/>
          <w:highlight w:val="green"/>
        </w:rPr>
        <w:t>a Texas law that required union</w:t>
      </w:r>
      <w:r w:rsidRPr="00A710BF">
        <w:rPr>
          <w:rStyle w:val="StyleUnderline"/>
        </w:rPr>
        <w:t xml:space="preserve"> official</w:t>
      </w:r>
      <w:r w:rsidRPr="002B2095">
        <w:rPr>
          <w:rStyle w:val="StyleUnderline"/>
          <w:highlight w:val="green"/>
        </w:rPr>
        <w:t>s to register with the state before</w:t>
      </w:r>
      <w:r w:rsidRPr="00A710BF">
        <w:rPr>
          <w:rStyle w:val="StyleUnderline"/>
        </w:rPr>
        <w:t xml:space="preserve"> engaging in union </w:t>
      </w:r>
      <w:r w:rsidRPr="002B2095">
        <w:rPr>
          <w:rStyle w:val="StyleUnderline"/>
          <w:highlight w:val="green"/>
        </w:rPr>
        <w:t>organizing</w:t>
      </w:r>
      <w:r w:rsidRPr="00A710BF">
        <w:rPr>
          <w:rStyle w:val="StyleUnderline"/>
        </w:rPr>
        <w:t xml:space="preserve"> activities, </w:t>
      </w:r>
      <w:r w:rsidRPr="000E4042">
        <w:rPr>
          <w:rStyle w:val="StyleUnderline"/>
        </w:rPr>
        <w:t>suggesting that such a</w:t>
      </w:r>
      <w:r w:rsidRPr="00A710BF">
        <w:rPr>
          <w:rStyle w:val="StyleUnderline"/>
        </w:rPr>
        <w:t xml:space="preserve"> </w:t>
      </w:r>
      <w:r w:rsidRPr="000E4042">
        <w:rPr>
          <w:rStyle w:val="StyleUnderline"/>
        </w:rPr>
        <w:t>requirement</w:t>
      </w:r>
      <w:r w:rsidRPr="00A710BF">
        <w:rPr>
          <w:rStyle w:val="StyleUnderline"/>
        </w:rPr>
        <w:t xml:space="preserve"> </w:t>
      </w:r>
      <w:r w:rsidRPr="002B2095">
        <w:rPr>
          <w:rStyle w:val="StyleUnderline"/>
          <w:highlight w:val="green"/>
        </w:rPr>
        <w:t>interfered with</w:t>
      </w:r>
      <w:r w:rsidRPr="00A710BF">
        <w:rPr>
          <w:rStyle w:val="StyleUnderline"/>
        </w:rPr>
        <w:t xml:space="preserve"> the “</w:t>
      </w:r>
      <w:r w:rsidRPr="002B2095">
        <w:rPr>
          <w:rStyle w:val="StyleUnderline"/>
          <w:highlight w:val="green"/>
        </w:rPr>
        <w:t>rights of assembly</w:t>
      </w:r>
      <w:r w:rsidRPr="00A710BF">
        <w:rPr>
          <w:rStyle w:val="StyleUnderline"/>
        </w:rPr>
        <w:t xml:space="preserve"> and discussion” that “are protected by the First Amendment.</w:t>
      </w:r>
      <w:r w:rsidRPr="00A710BF">
        <w:rPr>
          <w:sz w:val="16"/>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A710BF">
        <w:rPr>
          <w:rStyle w:val="StyleUnderline"/>
        </w:rPr>
        <w:t>Under international law, the right of workers to organize is likewise considered a core democratic value.</w:t>
      </w:r>
      <w:r w:rsidRPr="00A710BF">
        <w:rPr>
          <w:sz w:val="16"/>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do.81 </w:t>
      </w:r>
      <w:r w:rsidRPr="00A710BF">
        <w:rPr>
          <w:rStyle w:val="StyleUnderline"/>
        </w:rPr>
        <w:t xml:space="preserve">However </w:t>
      </w:r>
      <w:r w:rsidRPr="002B2095">
        <w:rPr>
          <w:rStyle w:val="StyleUnderline"/>
          <w:highlight w:val="green"/>
        </w:rPr>
        <w:t>the range of civil rights</w:t>
      </w:r>
      <w:r w:rsidRPr="00A710BF">
        <w:rPr>
          <w:rStyle w:val="StyleUnderline"/>
        </w:rPr>
        <w:t xml:space="preserve"> protections in the United States </w:t>
      </w:r>
      <w:r w:rsidRPr="002B2095">
        <w:rPr>
          <w:rStyle w:val="StyleUnderline"/>
          <w:highlight w:val="green"/>
        </w:rPr>
        <w:t>has been</w:t>
      </w:r>
      <w:r w:rsidRPr="00A710BF">
        <w:rPr>
          <w:rStyle w:val="StyleUnderline"/>
        </w:rPr>
        <w:t xml:space="preserve"> </w:t>
      </w:r>
      <w:r w:rsidRPr="002B2095">
        <w:rPr>
          <w:rStyle w:val="StyleUnderline"/>
          <w:highlight w:val="green"/>
        </w:rPr>
        <w:t>expanding</w:t>
      </w:r>
      <w:r w:rsidRPr="00A710BF">
        <w:rPr>
          <w:rStyle w:val="StyleUnderline"/>
        </w:rPr>
        <w:t xml:space="preserve"> for the last few decades </w:t>
      </w:r>
      <w:r w:rsidRPr="002B2095">
        <w:rPr>
          <w:rStyle w:val="StyleUnderline"/>
          <w:highlight w:val="green"/>
        </w:rPr>
        <w:t>to encompass</w:t>
      </w:r>
      <w:r w:rsidRPr="00A710BF">
        <w:rPr>
          <w:rStyle w:val="StyleUnderline"/>
        </w:rPr>
        <w:t xml:space="preserve"> a variety of characteristics and </w:t>
      </w:r>
      <w:r w:rsidRPr="002B2095">
        <w:rPr>
          <w:rStyle w:val="StyleUnderline"/>
          <w:highlight w:val="green"/>
        </w:rPr>
        <w:t>activities</w:t>
      </w:r>
      <w:r w:rsidRPr="00A710BF">
        <w:rPr>
          <w:rStyle w:val="StyleUnderline"/>
        </w:rPr>
        <w:t xml:space="preserve">. In the context of employment, federal protections include </w:t>
      </w:r>
      <w:r w:rsidRPr="002B2095">
        <w:rPr>
          <w:rStyle w:val="StyleUnderline"/>
          <w:highlight w:val="green"/>
        </w:rPr>
        <w:t>Title VII,</w:t>
      </w:r>
      <w:r w:rsidRPr="00A710BF">
        <w:rPr>
          <w:rStyle w:val="StyleUnderline"/>
        </w:rPr>
        <w:t xml:space="preserve"> which </w:t>
      </w:r>
      <w:r w:rsidRPr="002B2095">
        <w:rPr>
          <w:rStyle w:val="StyleUnderline"/>
          <w:highlight w:val="green"/>
        </w:rPr>
        <w:t>prohibits employers from</w:t>
      </w:r>
      <w:r w:rsidRPr="00A710BF">
        <w:rPr>
          <w:rStyle w:val="StyleUnderline"/>
        </w:rPr>
        <w:t xml:space="preserve"> terminating, disciplining, or taking </w:t>
      </w:r>
      <w:r w:rsidRPr="002B2095">
        <w:rPr>
          <w:rStyle w:val="StyleUnderline"/>
          <w:highlight w:val="green"/>
        </w:rPr>
        <w:t>employment actions “because of</w:t>
      </w:r>
      <w:r w:rsidRPr="00A710BF">
        <w:rPr>
          <w:rStyle w:val="StyleUnderline"/>
        </w:rPr>
        <w:t xml:space="preserve"> such individual’s </w:t>
      </w:r>
      <w:r w:rsidRPr="002B2095">
        <w:rPr>
          <w:rStyle w:val="StyleUnderline"/>
          <w:highlight w:val="green"/>
        </w:rPr>
        <w:t>race</w:t>
      </w:r>
      <w:r w:rsidRPr="00A710BF">
        <w:rPr>
          <w:rStyle w:val="StyleUnderline"/>
        </w:rPr>
        <w:t xml:space="preserve">, color, </w:t>
      </w:r>
      <w:r w:rsidRPr="002B2095">
        <w:rPr>
          <w:rStyle w:val="StyleUnderline"/>
          <w:highlight w:val="green"/>
        </w:rPr>
        <w:t>religion, sex, or national origin</w:t>
      </w:r>
      <w:r w:rsidRPr="00A710BF">
        <w:rPr>
          <w:rStyle w:val="StyleUnderline"/>
        </w:rPr>
        <w:t xml:space="preserve">.”82 Subsequently, </w:t>
      </w:r>
      <w:r w:rsidRPr="002B2095">
        <w:rPr>
          <w:rStyle w:val="StyleUnderline"/>
          <w:highlight w:val="green"/>
        </w:rPr>
        <w:t>additional</w:t>
      </w:r>
      <w:r w:rsidRPr="00A710BF">
        <w:rPr>
          <w:rStyle w:val="StyleUnderline"/>
        </w:rPr>
        <w:t xml:space="preserve"> federal </w:t>
      </w:r>
      <w:r w:rsidRPr="002B2095">
        <w:rPr>
          <w:rStyle w:val="StyleUnderline"/>
          <w:highlight w:val="green"/>
        </w:rPr>
        <w:t>statutes</w:t>
      </w:r>
      <w:r w:rsidRPr="00A710BF">
        <w:rPr>
          <w:rStyle w:val="StyleUnderline"/>
        </w:rPr>
        <w:t xml:space="preserve"> have been passed that have </w:t>
      </w:r>
      <w:r w:rsidRPr="002B2095">
        <w:rPr>
          <w:rStyle w:val="StyleUnderline"/>
          <w:highlight w:val="green"/>
        </w:rPr>
        <w:t xml:space="preserve">supplemented the original </w:t>
      </w:r>
      <w:r w:rsidRPr="000E4042">
        <w:rPr>
          <w:rStyle w:val="StyleUnderline"/>
        </w:rPr>
        <w:t xml:space="preserve">protected </w:t>
      </w:r>
      <w:r w:rsidRPr="002B2095">
        <w:rPr>
          <w:rStyle w:val="StyleUnderline"/>
          <w:highlight w:val="green"/>
        </w:rPr>
        <w:t xml:space="preserve">categories. </w:t>
      </w:r>
      <w:r w:rsidRPr="000E4042">
        <w:rPr>
          <w:rStyle w:val="StyleUnderline"/>
        </w:rPr>
        <w:t xml:space="preserve">These </w:t>
      </w:r>
      <w:r w:rsidRPr="002B2095">
        <w:rPr>
          <w:rStyle w:val="StyleUnderline"/>
          <w:highlight w:val="green"/>
        </w:rPr>
        <w:t>include, but are not limited to</w:t>
      </w:r>
      <w:r w:rsidRPr="00A710BF">
        <w:rPr>
          <w:rStyle w:val="StyleUnderline"/>
        </w:rPr>
        <w:t xml:space="preserve">: </w:t>
      </w:r>
      <w:r w:rsidRPr="00A710BF">
        <w:rPr>
          <w:rStyle w:val="Emphasis"/>
        </w:rPr>
        <w:t xml:space="preserve">the </w:t>
      </w:r>
      <w:r w:rsidRPr="002B2095">
        <w:rPr>
          <w:rStyle w:val="Emphasis"/>
          <w:highlight w:val="green"/>
        </w:rPr>
        <w:t xml:space="preserve">Age </w:t>
      </w:r>
      <w:r w:rsidRPr="00A710BF">
        <w:rPr>
          <w:rStyle w:val="Emphasis"/>
        </w:rPr>
        <w:t xml:space="preserve">Discrimination in Employment Act of </w:t>
      </w:r>
      <w:r w:rsidRPr="000E4042">
        <w:rPr>
          <w:rStyle w:val="Emphasis"/>
        </w:rPr>
        <w:t>1967</w:t>
      </w:r>
      <w:r w:rsidRPr="00A710BF">
        <w:rPr>
          <w:rStyle w:val="Emphasis"/>
        </w:rPr>
        <w:t xml:space="preserve"> (ADEA</w:t>
      </w:r>
      <w:r w:rsidRPr="00A710BF">
        <w:rPr>
          <w:rStyle w:val="StyleUnderline"/>
        </w:rPr>
        <w:t xml:space="preserve">), </w:t>
      </w:r>
      <w:r w:rsidRPr="00A710BF">
        <w:rPr>
          <w:sz w:val="16"/>
          <w:szCs w:val="16"/>
        </w:rPr>
        <w:t>which prohibits employment discrimination against persons forty years of age or older;83</w:t>
      </w:r>
      <w:r w:rsidRPr="00A710BF">
        <w:rPr>
          <w:sz w:val="16"/>
        </w:rPr>
        <w:t xml:space="preserve"> </w:t>
      </w:r>
      <w:r w:rsidRPr="00A710BF">
        <w:rPr>
          <w:rStyle w:val="Emphasis"/>
        </w:rPr>
        <w:t xml:space="preserve">the </w:t>
      </w:r>
      <w:r w:rsidRPr="002B2095">
        <w:rPr>
          <w:rStyle w:val="Emphasis"/>
          <w:highlight w:val="green"/>
        </w:rPr>
        <w:t xml:space="preserve">Pregnancy </w:t>
      </w:r>
      <w:r w:rsidRPr="00A710BF">
        <w:rPr>
          <w:rStyle w:val="Emphasis"/>
        </w:rPr>
        <w:t>Discrimination Act of 1978,</w:t>
      </w:r>
      <w:r w:rsidRPr="00A710BF">
        <w:rPr>
          <w:sz w:val="16"/>
        </w:rPr>
        <w:t xml:space="preserve"> </w:t>
      </w:r>
      <w:r w:rsidRPr="00A710BF">
        <w:rPr>
          <w:sz w:val="16"/>
          <w:szCs w:val="16"/>
        </w:rPr>
        <w:t>which prohibits discrimination based on pregnancy, childbirth, or related conditions;84</w:t>
      </w:r>
      <w:r w:rsidRPr="00A710BF">
        <w:rPr>
          <w:sz w:val="16"/>
        </w:rPr>
        <w:t xml:space="preserve"> </w:t>
      </w:r>
      <w:r w:rsidRPr="00A710BF">
        <w:rPr>
          <w:rStyle w:val="Emphasis"/>
        </w:rPr>
        <w:t>Titles I and V of the Americans with Disabilities Act of 1990 (ADA)</w:t>
      </w:r>
      <w:r w:rsidRPr="00A710BF">
        <w:rPr>
          <w:sz w:val="16"/>
        </w:rPr>
        <w:t xml:space="preserve">, </w:t>
      </w:r>
      <w:r w:rsidRPr="00A710BF">
        <w:rPr>
          <w:sz w:val="16"/>
          <w:szCs w:val="16"/>
        </w:rPr>
        <w:t xml:space="preserve">which prohibits employment </w:t>
      </w:r>
      <w:r w:rsidRPr="00A710BF">
        <w:rPr>
          <w:sz w:val="16"/>
          <w:szCs w:val="16"/>
        </w:rPr>
        <w:lastRenderedPageBreak/>
        <w:t xml:space="preserve">discrimination against qualified individuals based upon </w:t>
      </w:r>
      <w:r w:rsidRPr="002B2095">
        <w:rPr>
          <w:rStyle w:val="StyleUnderline"/>
          <w:bCs/>
          <w:highlight w:val="green"/>
        </w:rPr>
        <w:t>disability</w:t>
      </w:r>
      <w:r w:rsidRPr="00A710BF">
        <w:rPr>
          <w:rStyle w:val="StyleUnderline"/>
        </w:rPr>
        <w:t xml:space="preserve"> </w:t>
      </w:r>
      <w:r w:rsidRPr="00A710BF">
        <w:rPr>
          <w:sz w:val="16"/>
        </w:rPr>
        <w:t xml:space="preserve">or </w:t>
      </w:r>
      <w:r w:rsidRPr="00A710BF">
        <w:rPr>
          <w:sz w:val="16"/>
          <w:szCs w:val="16"/>
        </w:rPr>
        <w:t>perceived disability;</w:t>
      </w:r>
      <w:r w:rsidRPr="00A710BF">
        <w:rPr>
          <w:rStyle w:val="StyleUnderline"/>
          <w:sz w:val="16"/>
          <w:szCs w:val="16"/>
        </w:rPr>
        <w:t>85</w:t>
      </w:r>
      <w:r w:rsidRPr="00A710BF">
        <w:rPr>
          <w:rStyle w:val="StyleUnderline"/>
        </w:rPr>
        <w:t xml:space="preserve"> </w:t>
      </w:r>
      <w:r w:rsidRPr="00A710BF">
        <w:rPr>
          <w:rStyle w:val="Emphasis"/>
        </w:rPr>
        <w:t>the Uniformed Services Employment and Reemployment Rights Act of 1994 (USERRA),</w:t>
      </w:r>
      <w:r w:rsidRPr="00A710BF">
        <w:rPr>
          <w:sz w:val="16"/>
        </w:rPr>
        <w:t xml:space="preserve"> </w:t>
      </w:r>
      <w:r w:rsidRPr="00A710BF">
        <w:rPr>
          <w:sz w:val="16"/>
          <w:szCs w:val="16"/>
        </w:rPr>
        <w:t xml:space="preserve">which prohibits discrimination based on “membership, application for membership, performance of service, application for service, or obligation” with a “uniformed service”;86 </w:t>
      </w:r>
      <w:r w:rsidRPr="00A710BF">
        <w:rPr>
          <w:rStyle w:val="Emphasis"/>
        </w:rPr>
        <w:t xml:space="preserve">Title II of the </w:t>
      </w:r>
      <w:r w:rsidRPr="002B2095">
        <w:rPr>
          <w:rStyle w:val="Emphasis"/>
          <w:highlight w:val="green"/>
        </w:rPr>
        <w:t>Genetic Information</w:t>
      </w:r>
      <w:r w:rsidRPr="00A710BF">
        <w:rPr>
          <w:rStyle w:val="Emphasis"/>
        </w:rPr>
        <w:t xml:space="preserve"> Nondiscrimination Act of 2008 (GINA),</w:t>
      </w:r>
      <w:r w:rsidRPr="00A710BF">
        <w:rPr>
          <w:sz w:val="16"/>
        </w:rPr>
        <w:t xml:space="preserve"> </w:t>
      </w:r>
      <w:r w:rsidRPr="00A710BF">
        <w:rPr>
          <w:sz w:val="16"/>
          <w:szCs w:val="16"/>
        </w:rPr>
        <w:t xml:space="preserve">which prohibits employment discrimination based on genetic information about the individual,87 </w:t>
      </w:r>
      <w:r w:rsidRPr="002B2095">
        <w:rPr>
          <w:rStyle w:val="StyleUnderline"/>
          <w:bCs/>
          <w:highlight w:val="green"/>
        </w:rPr>
        <w:t>and</w:t>
      </w:r>
      <w:r w:rsidRPr="00A710BF">
        <w:rPr>
          <w:rStyle w:val="StyleUnderline"/>
        </w:rPr>
        <w:t xml:space="preserve"> laws prohibiting discrimination based upon in</w:t>
      </w:r>
      <w:r w:rsidRPr="002B2095">
        <w:rPr>
          <w:rStyle w:val="StyleUnderline"/>
          <w:bCs/>
          <w:highlight w:val="green"/>
        </w:rPr>
        <w:t>debt</w:t>
      </w:r>
      <w:r w:rsidRPr="00A710BF">
        <w:rPr>
          <w:rStyle w:val="StyleUnderline"/>
        </w:rPr>
        <w:t xml:space="preserve">edness or bankruptcy.88 </w:t>
      </w:r>
      <w:r w:rsidRPr="00A710BF">
        <w:rPr>
          <w:sz w:val="16"/>
        </w:rPr>
        <w:t xml:space="preserve">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 </w:t>
      </w:r>
      <w:r w:rsidRPr="00A710BF">
        <w:rPr>
          <w:rStyle w:val="StyleUnderline"/>
        </w:rPr>
        <w:t xml:space="preserve">In sum, civil rights protections have never been limited to immutable characteristics; and the list of </w:t>
      </w:r>
      <w:r w:rsidRPr="002B2095">
        <w:rPr>
          <w:rStyle w:val="StyleUnderline"/>
          <w:highlight w:val="green"/>
        </w:rPr>
        <w:t>protected categories has not been</w:t>
      </w:r>
      <w:r w:rsidRPr="00A710BF">
        <w:rPr>
          <w:rStyle w:val="StyleUnderline"/>
        </w:rPr>
        <w:t xml:space="preserve"> static or </w:t>
      </w:r>
      <w:r w:rsidRPr="002B2095">
        <w:rPr>
          <w:rStyle w:val="StyleUnderline"/>
          <w:highlight w:val="green"/>
        </w:rPr>
        <w:t>frozen</w:t>
      </w:r>
      <w:r w:rsidRPr="00A710BF">
        <w:rPr>
          <w:rStyle w:val="StyleUnderline"/>
        </w:rPr>
        <w:t xml:space="preserve"> so as to protect only those criteria that were part of the original Civil Rights Act. </w:t>
      </w:r>
      <w:r w:rsidRPr="002B2095">
        <w:rPr>
          <w:rStyle w:val="StyleUnderline"/>
          <w:highlight w:val="green"/>
        </w:rPr>
        <w:t>Civil rights groups</w:t>
      </w:r>
      <w:r w:rsidRPr="00A710BF">
        <w:rPr>
          <w:rStyle w:val="StyleUnderline"/>
        </w:rPr>
        <w:t xml:space="preserve"> generally </w:t>
      </w:r>
      <w:r w:rsidRPr="002B2095">
        <w:rPr>
          <w:rStyle w:val="StyleUnderline"/>
          <w:highlight w:val="green"/>
        </w:rPr>
        <w:t>recognize that enlarging</w:t>
      </w:r>
      <w:r w:rsidRPr="00A710BF">
        <w:rPr>
          <w:rStyle w:val="StyleUnderline"/>
        </w:rPr>
        <w:t xml:space="preserve"> the circle of </w:t>
      </w:r>
      <w:r w:rsidRPr="002B2095">
        <w:rPr>
          <w:rStyle w:val="StyleUnderline"/>
          <w:highlight w:val="green"/>
        </w:rPr>
        <w:t>groups</w:t>
      </w:r>
      <w:r w:rsidRPr="00A710BF">
        <w:rPr>
          <w:rStyle w:val="StyleUnderline"/>
        </w:rPr>
        <w:t xml:space="preserve"> </w:t>
      </w:r>
      <w:r w:rsidRPr="002B2095">
        <w:rPr>
          <w:rStyle w:val="StyleUnderline"/>
          <w:highlight w:val="green"/>
        </w:rPr>
        <w:t>and actions protected by civil rights</w:t>
      </w:r>
      <w:r w:rsidRPr="00A710BF">
        <w:rPr>
          <w:rStyle w:val="StyleUnderline"/>
        </w:rPr>
        <w:t xml:space="preserve"> statutes </w:t>
      </w:r>
      <w:r w:rsidRPr="002B2095">
        <w:rPr>
          <w:rStyle w:val="StyleUnderline"/>
          <w:highlight w:val="green"/>
        </w:rPr>
        <w:t>is a positive development</w:t>
      </w:r>
      <w:r w:rsidRPr="00A710BF">
        <w:rPr>
          <w:rStyle w:val="StyleUnderline"/>
        </w:rPr>
        <w:t xml:space="preserve"> that has in no way diminished the core rights of women and people of color.</w:t>
      </w:r>
      <w:r w:rsidRPr="00A710BF">
        <w:rPr>
          <w:sz w:val="16"/>
        </w:rPr>
        <w:t xml:space="preserve"> 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A710BF">
        <w:rPr>
          <w:rStyle w:val="StyleUnderline"/>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A710BF">
        <w:rPr>
          <w:sz w:val="16"/>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A710BF">
        <w:rPr>
          <w:rStyle w:val="StyleUnderline"/>
        </w:rPr>
        <w:t xml:space="preserve">However, </w:t>
      </w:r>
      <w:r w:rsidRPr="002B2095">
        <w:rPr>
          <w:rStyle w:val="StyleUnderline"/>
          <w:highlight w:val="green"/>
        </w:rPr>
        <w:t>this reconception does not transform all labor rights into individual rights.</w:t>
      </w:r>
      <w:r w:rsidRPr="00A710BF">
        <w:rPr>
          <w:rStyle w:val="StyleUnderline"/>
        </w:rPr>
        <w:t xml:space="preserve"> Rather, </w:t>
      </w:r>
      <w:r w:rsidRPr="002B2095">
        <w:rPr>
          <w:rStyle w:val="StyleUnderline"/>
          <w:highlight w:val="green"/>
        </w:rPr>
        <w:t>it recognizes the reality that</w:t>
      </w:r>
      <w:r w:rsidRPr="00A710BF">
        <w:rPr>
          <w:rStyle w:val="StyleUnderline"/>
        </w:rPr>
        <w:t xml:space="preserve"> when an employee takes action in joining or organizing a union, </w:t>
      </w:r>
      <w:r w:rsidRPr="002B2095">
        <w:rPr>
          <w:rStyle w:val="StyleUnderline"/>
          <w:highlight w:val="green"/>
        </w:rPr>
        <w:t>there is</w:t>
      </w:r>
      <w:r w:rsidRPr="00A710BF">
        <w:rPr>
          <w:rStyle w:val="StyleUnderline"/>
        </w:rPr>
        <w:t xml:space="preserve"> often </w:t>
      </w:r>
      <w:r w:rsidRPr="002B2095">
        <w:rPr>
          <w:rStyle w:val="StyleUnderline"/>
          <w:highlight w:val="green"/>
        </w:rPr>
        <w:t>not</w:t>
      </w:r>
      <w:r w:rsidRPr="00A710BF">
        <w:rPr>
          <w:rStyle w:val="StyleUnderline"/>
        </w:rPr>
        <w:t xml:space="preserve"> yet </w:t>
      </w:r>
      <w:r w:rsidRPr="002B2095">
        <w:rPr>
          <w:rStyle w:val="StyleUnderline"/>
          <w:highlight w:val="green"/>
        </w:rPr>
        <w:t>a</w:t>
      </w:r>
      <w:r w:rsidRPr="00A710BF">
        <w:rPr>
          <w:rStyle w:val="StyleUnderline"/>
        </w:rPr>
        <w:t xml:space="preserve"> </w:t>
      </w:r>
      <w:r w:rsidRPr="002B2095">
        <w:rPr>
          <w:rStyle w:val="StyleUnderline"/>
          <w:highlight w:val="green"/>
        </w:rPr>
        <w:t>collective framework</w:t>
      </w:r>
      <w:r w:rsidRPr="00A710BF">
        <w:rPr>
          <w:rStyle w:val="StyleUnderline"/>
        </w:rPr>
        <w:t xml:space="preserve"> that can protect her. Solidarity and organization are being constructed in this initial phase, and if the individual employee is targeted, her individual rights are infringed. </w:t>
      </w:r>
      <w:r w:rsidRPr="002B2095">
        <w:rPr>
          <w:rStyle w:val="StyleUnderline"/>
          <w:highlight w:val="green"/>
        </w:rPr>
        <w:t xml:space="preserve">Employers are aware of this, which is why they </w:t>
      </w:r>
      <w:r w:rsidRPr="00A710BF">
        <w:rPr>
          <w:rStyle w:val="StyleUnderline"/>
        </w:rPr>
        <w:t xml:space="preserve">often </w:t>
      </w:r>
      <w:r w:rsidRPr="002B2095">
        <w:rPr>
          <w:rStyle w:val="StyleUnderline"/>
          <w:highlight w:val="green"/>
        </w:rPr>
        <w:t>fire</w:t>
      </w:r>
      <w:r w:rsidRPr="00A710BF">
        <w:rPr>
          <w:rStyle w:val="StyleUnderline"/>
        </w:rPr>
        <w:t xml:space="preserve"> a few select </w:t>
      </w:r>
      <w:r w:rsidRPr="002B2095">
        <w:rPr>
          <w:rStyle w:val="StyleUnderline"/>
          <w:highlight w:val="green"/>
        </w:rPr>
        <w:t>individuals rather than</w:t>
      </w:r>
      <w:r w:rsidRPr="00A710BF">
        <w:rPr>
          <w:rStyle w:val="StyleUnderline"/>
        </w:rPr>
        <w:t xml:space="preserve"> the </w:t>
      </w:r>
      <w:r w:rsidRPr="002B2095">
        <w:rPr>
          <w:rStyle w:val="StyleUnderline"/>
          <w:highlight w:val="green"/>
        </w:rPr>
        <w:t>bulk</w:t>
      </w:r>
      <w:r w:rsidRPr="00A710BF">
        <w:rPr>
          <w:rStyle w:val="StyleUnderline"/>
        </w:rPr>
        <w:t xml:space="preserve"> of the workforce.</w:t>
      </w:r>
      <w:r w:rsidRPr="00A710BF">
        <w:rPr>
          <w:sz w:val="16"/>
          <w:szCs w:val="16"/>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662A4E21" w14:textId="77777777" w:rsidR="00365070" w:rsidRPr="00A710BF" w:rsidRDefault="00365070" w:rsidP="00365070">
      <w:pPr>
        <w:pStyle w:val="Heading4"/>
        <w:rPr>
          <w:rFonts w:cs="Calibri"/>
        </w:rPr>
      </w:pPr>
      <w:r w:rsidRPr="00A710BF">
        <w:rPr>
          <w:rFonts w:cs="Calibri"/>
        </w:rPr>
        <w:t>Civil rights are specifically key – 3 warrants</w:t>
      </w:r>
    </w:p>
    <w:p w14:paraId="000446D9" w14:textId="77777777" w:rsidR="00365070" w:rsidRPr="00A710BF" w:rsidRDefault="00365070" w:rsidP="00365070">
      <w:pPr>
        <w:pStyle w:val="Heading4"/>
        <w:rPr>
          <w:rFonts w:cs="Calibri"/>
        </w:rPr>
      </w:pPr>
      <w:r w:rsidRPr="00A710BF">
        <w:rPr>
          <w:rFonts w:cs="Calibri"/>
        </w:rPr>
        <w:t xml:space="preserve">1) </w:t>
      </w:r>
      <w:r w:rsidRPr="00A710BF">
        <w:rPr>
          <w:rFonts w:cs="Calibri"/>
          <w:u w:val="single"/>
        </w:rPr>
        <w:t>INJUNCTIONS</w:t>
      </w:r>
      <w:r w:rsidRPr="00A710BF">
        <w:rPr>
          <w:rFonts w:cs="Calibri"/>
        </w:rPr>
        <w:t xml:space="preserve"> – Title VII’s regulatory scheme moves beyond union’s tit-for-tat negotiations through the use of injunctions</w:t>
      </w:r>
    </w:p>
    <w:p w14:paraId="3F1E93CD" w14:textId="77777777" w:rsidR="00365070" w:rsidRPr="00A710BF" w:rsidRDefault="00365070" w:rsidP="00365070">
      <w:r w:rsidRPr="00CE30D3">
        <w:rPr>
          <w:rStyle w:val="Style13ptBold"/>
        </w:rPr>
        <w:t>Couch et al. 15</w:t>
      </w:r>
      <w:r w:rsidRPr="00A710BF">
        <w:t xml:space="preserve"> </w:t>
      </w:r>
      <w:r w:rsidRPr="00A710BF">
        <w:rPr>
          <w:sz w:val="16"/>
          <w:szCs w:val="16"/>
        </w:rPr>
        <w:t xml:space="preserve">(Ken Couch received his Ph.D. in economics from the University of Wisconsin. His research interests include a wide ranging set of topics dealing with disadvantaged groups in society and the labor market and public policies designed to assist them. Joni Hersch is an economist, at Vanderbilt University School or Law, who works in the areas of employment discrimination and empirical law and economics. Professor Shinall was the first graduate of the Ph.D. Program in Law and Economics at Vanderbilt University. “FIFTY YEARS LATER: THE LEGACY OF THE CIVIL RIGHTS ACT OF 1964,” </w:t>
      </w:r>
      <w:r w:rsidRPr="00A710BF">
        <w:rPr>
          <w:i/>
          <w:iCs/>
          <w:sz w:val="16"/>
          <w:szCs w:val="16"/>
        </w:rPr>
        <w:t xml:space="preserve">Journal of Policy Analysis and Management, </w:t>
      </w:r>
      <w:r w:rsidRPr="00A710BF">
        <w:rPr>
          <w:sz w:val="16"/>
          <w:szCs w:val="16"/>
        </w:rPr>
        <w:t>SPRING 2015, Vol. 34, No. 2, /// indicates paragraph break) CT</w:t>
      </w:r>
    </w:p>
    <w:p w14:paraId="1318F652" w14:textId="77777777" w:rsidR="00365070" w:rsidRPr="00A710BF" w:rsidRDefault="00365070" w:rsidP="00365070">
      <w:pPr>
        <w:rPr>
          <w:sz w:val="12"/>
          <w:szCs w:val="12"/>
        </w:rPr>
      </w:pPr>
      <w:r w:rsidRPr="00A710BF">
        <w:rPr>
          <w:rStyle w:val="StyleUnderline"/>
        </w:rPr>
        <w:t>///</w:t>
      </w:r>
      <w:r w:rsidRPr="002B2095">
        <w:rPr>
          <w:rStyle w:val="StyleUnderline"/>
          <w:highlight w:val="green"/>
        </w:rPr>
        <w:t>The</w:t>
      </w:r>
      <w:r w:rsidRPr="00A710BF">
        <w:rPr>
          <w:rStyle w:val="StyleUnderline"/>
        </w:rPr>
        <w:t xml:space="preserve"> potential </w:t>
      </w:r>
      <w:r w:rsidRPr="002B2095">
        <w:rPr>
          <w:rStyle w:val="StyleUnderline"/>
          <w:highlight w:val="green"/>
        </w:rPr>
        <w:t>costs associated with noncompliance</w:t>
      </w:r>
      <w:r w:rsidRPr="00A710BF">
        <w:rPr>
          <w:rStyle w:val="StyleUnderline"/>
        </w:rPr>
        <w:t xml:space="preserve"> might </w:t>
      </w:r>
      <w:r w:rsidRPr="002B2095">
        <w:rPr>
          <w:rStyle w:val="StyleUnderline"/>
          <w:highlight w:val="green"/>
        </w:rPr>
        <w:t>provide</w:t>
      </w:r>
      <w:r w:rsidRPr="00A710BF">
        <w:rPr>
          <w:rStyle w:val="StyleUnderline"/>
        </w:rPr>
        <w:t xml:space="preserve"> the most </w:t>
      </w:r>
      <w:r w:rsidRPr="002B2095">
        <w:rPr>
          <w:rStyle w:val="StyleUnderline"/>
          <w:highlight w:val="green"/>
        </w:rPr>
        <w:t>direct influence</w:t>
      </w:r>
      <w:r w:rsidRPr="00A710BF">
        <w:rPr>
          <w:rStyle w:val="StyleUnderline"/>
        </w:rPr>
        <w:t xml:space="preserve"> on firms' decisions </w:t>
      </w:r>
      <w:r w:rsidRPr="002B2095">
        <w:rPr>
          <w:rStyle w:val="StyleUnderline"/>
          <w:highlight w:val="green"/>
        </w:rPr>
        <w:t>to comply with Title VII. Firms</w:t>
      </w:r>
      <w:r w:rsidRPr="00A710BF">
        <w:rPr>
          <w:rStyle w:val="StyleUnderline"/>
        </w:rPr>
        <w:t xml:space="preserve"> that are more likely to be sanctioned or sued would have incentive to </w:t>
      </w:r>
      <w:r w:rsidRPr="002B2095">
        <w:rPr>
          <w:rStyle w:val="StyleUnderline"/>
          <w:highlight w:val="green"/>
        </w:rPr>
        <w:t>comply</w:t>
      </w:r>
      <w:r w:rsidRPr="00A710BF">
        <w:rPr>
          <w:rStyle w:val="StyleUnderline"/>
        </w:rPr>
        <w:t xml:space="preserve"> with Title VII </w:t>
      </w:r>
      <w:r w:rsidRPr="002B2095">
        <w:rPr>
          <w:rStyle w:val="StyleUnderline"/>
          <w:highlight w:val="green"/>
        </w:rPr>
        <w:t xml:space="preserve">if </w:t>
      </w:r>
      <w:r w:rsidRPr="000E4042">
        <w:rPr>
          <w:rStyle w:val="StyleUnderline"/>
        </w:rPr>
        <w:t xml:space="preserve">the </w:t>
      </w:r>
      <w:r w:rsidRPr="002B2095">
        <w:rPr>
          <w:rStyle w:val="StyleUnderline"/>
          <w:highlight w:val="green"/>
        </w:rPr>
        <w:t>costs of compliance are less than</w:t>
      </w:r>
      <w:r w:rsidRPr="00A710BF">
        <w:rPr>
          <w:rStyle w:val="StyleUnderline"/>
        </w:rPr>
        <w:t xml:space="preserve"> the expected costs arising from </w:t>
      </w:r>
      <w:r w:rsidRPr="002B2095">
        <w:rPr>
          <w:rStyle w:val="StyleUnderline"/>
          <w:highlight w:val="green"/>
        </w:rPr>
        <w:t>lawsuits</w:t>
      </w:r>
      <w:r w:rsidRPr="00A710BF">
        <w:rPr>
          <w:rStyle w:val="StyleUnderline"/>
        </w:rPr>
        <w:t xml:space="preserve"> or </w:t>
      </w:r>
      <w:r w:rsidRPr="002B2095">
        <w:rPr>
          <w:rStyle w:val="StyleUnderline"/>
          <w:highlight w:val="green"/>
        </w:rPr>
        <w:t>reputational harm if</w:t>
      </w:r>
      <w:r w:rsidRPr="00A710BF">
        <w:rPr>
          <w:rStyle w:val="StyleUnderline"/>
        </w:rPr>
        <w:t xml:space="preserve"> the firm is found </w:t>
      </w:r>
      <w:r w:rsidRPr="002B2095">
        <w:rPr>
          <w:rStyle w:val="StyleUnderline"/>
          <w:highlight w:val="green"/>
        </w:rPr>
        <w:t>in violation</w:t>
      </w:r>
      <w:r w:rsidRPr="00A710BF">
        <w:rPr>
          <w:rStyle w:val="StyleUnderline"/>
        </w:rPr>
        <w:t xml:space="preserve"> of antidiscrimination law</w:t>
      </w:r>
      <w:r w:rsidRPr="00A710BF">
        <w:t xml:space="preserve">. </w:t>
      </w:r>
      <w:r w:rsidRPr="00A710BF">
        <w:rPr>
          <w:rStyle w:val="StyleUnderline"/>
          <w:sz w:val="16"/>
          <w:szCs w:val="16"/>
          <w:u w:val="none"/>
        </w:rPr>
        <w:lastRenderedPageBreak/>
        <w:t>Beller (1978) finds that increased probability that firms would face EEOC enforcement at the state level (measured by the number of EEOC charges in the state divided by the number of covered employees in the state) affects black employment and relative wages in opposing directions, with enforcement of the employment provision increasing black employment but enforcement of the wage provision decreasing black employment.</w:t>
      </w:r>
      <w:r w:rsidRPr="00A710BF">
        <w:rPr>
          <w:rStyle w:val="StyleUnderline"/>
          <w:sz w:val="16"/>
          <w:szCs w:val="16"/>
        </w:rPr>
        <w:t xml:space="preserve"> </w:t>
      </w:r>
      <w:r w:rsidRPr="00A710BF">
        <w:rPr>
          <w:sz w:val="16"/>
          <w:szCs w:val="16"/>
        </w:rPr>
        <w:t xml:space="preserve">Beller (1978) concludes that on net the wage effect was dominant and enforcement of Title VII did not improve labor market outcomes for black workers through the 1970s. </w:t>
      </w:r>
      <w:r w:rsidRPr="00A710BF">
        <w:rPr>
          <w:rStyle w:val="StyleUnderline"/>
        </w:rPr>
        <w:t xml:space="preserve">Leonard (1984) conducts an </w:t>
      </w:r>
      <w:r w:rsidRPr="002B2095">
        <w:rPr>
          <w:rStyle w:val="StyleUnderline"/>
          <w:highlight w:val="green"/>
        </w:rPr>
        <w:t>analysis in</w:t>
      </w:r>
      <w:r w:rsidRPr="00A710BF">
        <w:rPr>
          <w:rStyle w:val="StyleUnderline"/>
        </w:rPr>
        <w:t xml:space="preserve"> which the measure of </w:t>
      </w:r>
      <w:r w:rsidRPr="002B2095">
        <w:rPr>
          <w:rStyle w:val="StyleUnderline"/>
          <w:highlight w:val="green"/>
        </w:rPr>
        <w:t>litigation risk</w:t>
      </w:r>
      <w:r w:rsidRPr="00A710BF">
        <w:rPr>
          <w:rStyle w:val="StyleUnderline"/>
        </w:rPr>
        <w:t xml:space="preserve"> is the number of class action suits per corporation within a state and industry, and </w:t>
      </w:r>
      <w:r w:rsidRPr="002B2095">
        <w:rPr>
          <w:rStyle w:val="Emphasis"/>
          <w:sz w:val="26"/>
          <w:szCs w:val="26"/>
          <w:highlight w:val="green"/>
        </w:rPr>
        <w:t>finds positive</w:t>
      </w:r>
      <w:r w:rsidRPr="00A710BF">
        <w:rPr>
          <w:rStyle w:val="StyleUnderline"/>
        </w:rPr>
        <w:t xml:space="preserve"> </w:t>
      </w:r>
      <w:r w:rsidRPr="00A710BF">
        <w:rPr>
          <w:rStyle w:val="StyleUnderline"/>
          <w:sz w:val="16"/>
          <w:szCs w:val="16"/>
        </w:rPr>
        <w:t>(albeit small)</w:t>
      </w:r>
      <w:r w:rsidRPr="00A710BF">
        <w:rPr>
          <w:rStyle w:val="StyleUnderline"/>
        </w:rPr>
        <w:t xml:space="preserve"> </w:t>
      </w:r>
      <w:r w:rsidRPr="002B2095">
        <w:rPr>
          <w:rStyle w:val="Emphasis"/>
          <w:sz w:val="26"/>
          <w:szCs w:val="26"/>
          <w:highlight w:val="green"/>
        </w:rPr>
        <w:t>improvements in employment of black workers</w:t>
      </w:r>
      <w:r w:rsidRPr="002B2095">
        <w:rPr>
          <w:rStyle w:val="Emphasis"/>
          <w:highlight w:val="green"/>
        </w:rPr>
        <w:t xml:space="preserve">, </w:t>
      </w:r>
      <w:r w:rsidRPr="002B2095">
        <w:rPr>
          <w:rStyle w:val="Emphasis"/>
          <w:bCs/>
          <w:highlight w:val="green"/>
        </w:rPr>
        <w:t>with the largest gains in</w:t>
      </w:r>
      <w:r w:rsidRPr="00A710BF">
        <w:rPr>
          <w:rStyle w:val="StyleUnderline"/>
        </w:rPr>
        <w:t xml:space="preserve"> professional and </w:t>
      </w:r>
      <w:r w:rsidRPr="002B2095">
        <w:rPr>
          <w:rStyle w:val="StyleUnderline"/>
          <w:highlight w:val="green"/>
        </w:rPr>
        <w:t>managerial</w:t>
      </w:r>
      <w:r w:rsidRPr="00A710BF">
        <w:rPr>
          <w:rStyle w:val="StyleUnderline"/>
        </w:rPr>
        <w:t xml:space="preserve"> occupations, suggesting that </w:t>
      </w:r>
      <w:r w:rsidRPr="002B2095">
        <w:rPr>
          <w:rStyle w:val="StyleUnderline"/>
          <w:highlight w:val="green"/>
        </w:rPr>
        <w:t xml:space="preserve">promotion </w:t>
      </w:r>
      <w:r w:rsidRPr="000E4042">
        <w:rPr>
          <w:rStyle w:val="StyleUnderline"/>
        </w:rPr>
        <w:t>prospects</w:t>
      </w:r>
      <w:r w:rsidRPr="00A710BF">
        <w:rPr>
          <w:rStyle w:val="StyleUnderline"/>
        </w:rPr>
        <w:t xml:space="preserve"> for black workers </w:t>
      </w:r>
      <w:r w:rsidRPr="002B2095">
        <w:rPr>
          <w:rStyle w:val="StyleUnderline"/>
          <w:highlight w:val="green"/>
        </w:rPr>
        <w:t xml:space="preserve">improved </w:t>
      </w:r>
      <w:r w:rsidRPr="002B2095">
        <w:rPr>
          <w:rStyle w:val="Emphasis"/>
          <w:sz w:val="26"/>
          <w:szCs w:val="26"/>
          <w:highlight w:val="green"/>
        </w:rPr>
        <w:t xml:space="preserve">as a consequence of Title VII </w:t>
      </w:r>
      <w:r w:rsidRPr="00A710BF">
        <w:rPr>
          <w:rStyle w:val="Emphasis"/>
          <w:sz w:val="26"/>
          <w:szCs w:val="26"/>
        </w:rPr>
        <w:t>litigation</w:t>
      </w:r>
      <w:r w:rsidRPr="00A710BF">
        <w:rPr>
          <w:rStyle w:val="StyleUnderline"/>
        </w:rPr>
        <w:t xml:space="preserve">. </w:t>
      </w:r>
      <w:r w:rsidRPr="00A710BF">
        <w:rPr>
          <w:rStyle w:val="StyleUnderline"/>
          <w:sz w:val="16"/>
          <w:szCs w:val="16"/>
          <w:u w:val="none"/>
        </w:rPr>
        <w:t>Hersch (1991) takes a different but related approach to analyzing the effect of antidiscrimination litigation by estimating the</w:t>
      </w:r>
      <w:r w:rsidRPr="00A710BF">
        <w:rPr>
          <w:rStyle w:val="StyleUnderline"/>
        </w:rPr>
        <w:t xml:space="preserve"> </w:t>
      </w:r>
      <w:r w:rsidRPr="002B2095">
        <w:rPr>
          <w:rStyle w:val="StyleUnderline"/>
          <w:highlight w:val="green"/>
        </w:rPr>
        <w:t>stock market reaction to firms</w:t>
      </w:r>
      <w:r w:rsidRPr="00A710BF">
        <w:rPr>
          <w:rStyle w:val="StyleUnderline"/>
        </w:rPr>
        <w:t xml:space="preserve"> that were found </w:t>
      </w:r>
      <w:r w:rsidRPr="002B2095">
        <w:rPr>
          <w:rStyle w:val="StyleUnderline"/>
          <w:highlight w:val="green"/>
        </w:rPr>
        <w:t>guilty of violations</w:t>
      </w:r>
      <w:r w:rsidRPr="00A710BF">
        <w:rPr>
          <w:rStyle w:val="StyleUnderline"/>
        </w:rPr>
        <w:t xml:space="preserve"> of antidiscrimination law between 1964 and 1986. Litigation activity </w:t>
      </w:r>
      <w:r w:rsidRPr="002B2095">
        <w:rPr>
          <w:rStyle w:val="StyleUnderline"/>
          <w:highlight w:val="green"/>
        </w:rPr>
        <w:t>increased</w:t>
      </w:r>
      <w:r w:rsidRPr="00A710BF">
        <w:rPr>
          <w:rStyle w:val="StyleUnderline"/>
        </w:rPr>
        <w:t xml:space="preserve"> along with the EEOC's right to bring lawsuits </w:t>
      </w:r>
      <w:r w:rsidRPr="002B2095">
        <w:rPr>
          <w:rStyle w:val="StyleUnderline"/>
          <w:highlight w:val="green"/>
        </w:rPr>
        <w:t>in the</w:t>
      </w:r>
      <w:r w:rsidRPr="00A710BF">
        <w:rPr>
          <w:rStyle w:val="StyleUnderline"/>
        </w:rPr>
        <w:t xml:space="preserve"> </w:t>
      </w:r>
      <w:r w:rsidRPr="002B2095">
        <w:rPr>
          <w:rStyle w:val="StyleUnderline"/>
          <w:highlight w:val="green"/>
        </w:rPr>
        <w:t xml:space="preserve">1970s. </w:t>
      </w:r>
      <w:r w:rsidRPr="002B2095">
        <w:rPr>
          <w:rStyle w:val="StyleUnderline"/>
          <w:bCs/>
          <w:highlight w:val="green"/>
        </w:rPr>
        <w:t>Lawsuits</w:t>
      </w:r>
      <w:r w:rsidRPr="00A710BF">
        <w:rPr>
          <w:rStyle w:val="StyleUnderline"/>
        </w:rPr>
        <w:t xml:space="preserve">, decisions, and settlements </w:t>
      </w:r>
      <w:r w:rsidRPr="002B2095">
        <w:rPr>
          <w:rStyle w:val="Emphasis"/>
          <w:highlight w:val="green"/>
        </w:rPr>
        <w:t>have a substantial negative impact on the value of firms, with the drop in firm value</w:t>
      </w:r>
      <w:r w:rsidRPr="00A710BF">
        <w:rPr>
          <w:rStyle w:val="StyleUnderline"/>
        </w:rPr>
        <w:t xml:space="preserve"> far </w:t>
      </w:r>
      <w:r w:rsidRPr="002B2095">
        <w:rPr>
          <w:rStyle w:val="StyleUnderline"/>
          <w:highlight w:val="green"/>
        </w:rPr>
        <w:t>greater than</w:t>
      </w:r>
      <w:r w:rsidRPr="00A710BF">
        <w:rPr>
          <w:rStyle w:val="StyleUnderline"/>
        </w:rPr>
        <w:t xml:space="preserve"> average direct </w:t>
      </w:r>
      <w:r w:rsidRPr="002B2095">
        <w:rPr>
          <w:rStyle w:val="StyleUnderline"/>
          <w:highlight w:val="green"/>
        </w:rPr>
        <w:t>costs of settling</w:t>
      </w:r>
      <w:r w:rsidRPr="00A710BF">
        <w:rPr>
          <w:rStyle w:val="StyleUnderline"/>
        </w:rPr>
        <w:t xml:space="preserve"> the case. </w:t>
      </w:r>
      <w:r w:rsidRPr="002B2095">
        <w:rPr>
          <w:rStyle w:val="Emphasis"/>
          <w:sz w:val="26"/>
          <w:szCs w:val="26"/>
          <w:highlight w:val="green"/>
        </w:rPr>
        <w:t xml:space="preserve">Because </w:t>
      </w:r>
      <w:r w:rsidRPr="000E4042">
        <w:rPr>
          <w:rStyle w:val="Emphasis"/>
          <w:sz w:val="26"/>
          <w:szCs w:val="26"/>
        </w:rPr>
        <w:t xml:space="preserve">the outcome of </w:t>
      </w:r>
      <w:r w:rsidRPr="002B2095">
        <w:rPr>
          <w:rStyle w:val="Emphasis"/>
          <w:sz w:val="26"/>
          <w:szCs w:val="26"/>
          <w:highlight w:val="green"/>
        </w:rPr>
        <w:t>employment</w:t>
      </w:r>
      <w:r w:rsidRPr="00A710BF">
        <w:rPr>
          <w:rStyle w:val="StyleUnderline"/>
        </w:rPr>
        <w:t xml:space="preserve"> discrimination </w:t>
      </w:r>
      <w:r w:rsidRPr="002B2095">
        <w:rPr>
          <w:rStyle w:val="Emphasis"/>
          <w:sz w:val="26"/>
          <w:szCs w:val="26"/>
          <w:highlight w:val="green"/>
        </w:rPr>
        <w:t>litigation</w:t>
      </w:r>
      <w:r w:rsidRPr="00A710BF">
        <w:rPr>
          <w:rStyle w:val="StyleUnderline"/>
        </w:rPr>
        <w:t xml:space="preserve"> often </w:t>
      </w:r>
      <w:r w:rsidRPr="002B2095">
        <w:rPr>
          <w:rStyle w:val="Emphasis"/>
          <w:sz w:val="26"/>
          <w:szCs w:val="26"/>
          <w:highlight w:val="green"/>
        </w:rPr>
        <w:t>includes injunctions</w:t>
      </w:r>
      <w:r w:rsidRPr="00A710BF">
        <w:rPr>
          <w:rStyle w:val="StyleUnderline"/>
        </w:rPr>
        <w:t xml:space="preserve"> against further discrimination and implementation of affirmative action programs </w:t>
      </w:r>
      <w:r w:rsidRPr="002B2095">
        <w:rPr>
          <w:rStyle w:val="StyleUnderline"/>
          <w:highlight w:val="green"/>
        </w:rPr>
        <w:t>in addition to</w:t>
      </w:r>
      <w:r w:rsidRPr="00A710BF">
        <w:rPr>
          <w:rStyle w:val="StyleUnderline"/>
        </w:rPr>
        <w:t xml:space="preserve"> any </w:t>
      </w:r>
      <w:r w:rsidRPr="002B2095">
        <w:rPr>
          <w:rStyle w:val="StyleUnderline"/>
          <w:highlight w:val="green"/>
        </w:rPr>
        <w:t>compensation paid</w:t>
      </w:r>
      <w:r w:rsidRPr="00A710BF">
        <w:rPr>
          <w:rStyle w:val="StyleUnderline"/>
        </w:rPr>
        <w:t xml:space="preserve"> to victims, </w:t>
      </w:r>
      <w:r w:rsidRPr="002B2095">
        <w:rPr>
          <w:rStyle w:val="StyleUnderline"/>
          <w:highlight w:val="green"/>
        </w:rPr>
        <w:t>the</w:t>
      </w:r>
      <w:r w:rsidRPr="00A710BF">
        <w:rPr>
          <w:rStyle w:val="StyleUnderline"/>
        </w:rPr>
        <w:t xml:space="preserve"> stock </w:t>
      </w:r>
      <w:r w:rsidRPr="002B2095">
        <w:rPr>
          <w:rStyle w:val="StyleUnderline"/>
          <w:highlight w:val="green"/>
        </w:rPr>
        <w:t>market penalty</w:t>
      </w:r>
      <w:r w:rsidRPr="00A710BF">
        <w:rPr>
          <w:rStyle w:val="StyleUnderline"/>
        </w:rPr>
        <w:t xml:space="preserve"> in excess of direct costs </w:t>
      </w:r>
      <w:r w:rsidRPr="002B2095">
        <w:rPr>
          <w:rStyle w:val="StyleUnderline"/>
          <w:highlight w:val="green"/>
        </w:rPr>
        <w:t>reflects</w:t>
      </w:r>
      <w:r w:rsidRPr="00A710BF">
        <w:rPr>
          <w:rStyle w:val="StyleUnderline"/>
        </w:rPr>
        <w:t xml:space="preserve"> the likelihood that the firm will be required to make </w:t>
      </w:r>
      <w:r w:rsidRPr="002B2095">
        <w:rPr>
          <w:rStyle w:val="StyleUnderline"/>
          <w:highlight w:val="green"/>
        </w:rPr>
        <w:t>costly changes</w:t>
      </w:r>
      <w:r w:rsidRPr="00A710BF">
        <w:rPr>
          <w:rStyle w:val="StyleUnderline"/>
        </w:rPr>
        <w:t xml:space="preserve"> to employment practices</w:t>
      </w:r>
      <w:r w:rsidRPr="00A710BF">
        <w:t xml:space="preserve">. This in turn indicates that a discriminatory environment was in place prior to litigation. </w:t>
      </w:r>
      <w:r w:rsidRPr="00A710BF">
        <w:rPr>
          <w:rStyle w:val="StyleUnderline"/>
        </w:rPr>
        <w:t xml:space="preserve">Thus, Hersch's evidence suggests that </w:t>
      </w:r>
      <w:r w:rsidRPr="002B2095">
        <w:rPr>
          <w:rStyle w:val="StyleUnderline"/>
          <w:highlight w:val="green"/>
        </w:rPr>
        <w:t>Title VII had a genuine effect on</w:t>
      </w:r>
      <w:r w:rsidRPr="00A710BF">
        <w:rPr>
          <w:rStyle w:val="StyleUnderline"/>
        </w:rPr>
        <w:t xml:space="preserve"> causing changes to </w:t>
      </w:r>
      <w:r w:rsidRPr="002B2095">
        <w:rPr>
          <w:rStyle w:val="StyleUnderline"/>
          <w:highlight w:val="green"/>
        </w:rPr>
        <w:t>employment practices</w:t>
      </w:r>
      <w:r w:rsidRPr="00A710BF">
        <w:rPr>
          <w:rStyle w:val="StyleUnderline"/>
        </w:rPr>
        <w:t xml:space="preserve">, at least among firms engaged in employment discrimination litigation. </w:t>
      </w:r>
      <w:r w:rsidRPr="00A710BF">
        <w:rPr>
          <w:sz w:val="12"/>
          <w:szCs w:val="12"/>
        </w:rPr>
        <w:t>Given the challenges of identifying whether a federal law was effective in improving employment outcomes for protected workers, useful information may be gleaned from examining the efficacy of laws in which coverage varied. Many states had laws protecting workers from employment discrimination before passage of the 1964 Act. The strength of these state laws varied considerably and they were passed at different times. Collins (2003) and Neumark and Stock (2006) consider state FEP laws that were passed at different times to form a natural experiment. Both papers use individual-level Census data for 1940, 1950, and 1960 to perform a triple difference-in-differences analysis, with the three differences being black versus white (or female vs. male), states with and without FEP law in the specified year, and changes in state FEP law over time. The strength of state laws that were passed before Title VII varied, and often, these laws could only influence outcomes via public embarrassment of offending employers and through cease and desist power. Nonetheless, these studies, as well as an earlier cross-sectional study by Landes (1968) using aggregate state-level data, find some modest support for a causal effect of state FEP laws on improving outcomes for black workers in earnings. ///</w:t>
      </w:r>
    </w:p>
    <w:p w14:paraId="3FAE56C5" w14:textId="77777777" w:rsidR="00365070" w:rsidRPr="00A710BF" w:rsidRDefault="00365070" w:rsidP="00365070">
      <w:pPr>
        <w:pStyle w:val="Heading4"/>
        <w:rPr>
          <w:rFonts w:cs="Calibri"/>
        </w:rPr>
      </w:pPr>
      <w:r w:rsidRPr="00A710BF">
        <w:rPr>
          <w:rFonts w:cs="Calibri"/>
        </w:rPr>
        <w:t xml:space="preserve">2) </w:t>
      </w:r>
      <w:r w:rsidRPr="00A710BF">
        <w:rPr>
          <w:rFonts w:cs="Calibri"/>
          <w:u w:val="single"/>
        </w:rPr>
        <w:t>BURDEN SHIFTING</w:t>
      </w:r>
      <w:r w:rsidRPr="00A710BF">
        <w:rPr>
          <w:rFonts w:cs="Calibri"/>
        </w:rPr>
        <w:t xml:space="preserve"> – Title VII forces companies to disclose information that is unattainable in the squo</w:t>
      </w:r>
    </w:p>
    <w:p w14:paraId="1E439923" w14:textId="77777777" w:rsidR="00365070" w:rsidRPr="00A710BF" w:rsidRDefault="00365070" w:rsidP="00365070">
      <w:r w:rsidRPr="00CE30D3">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VI. PROCEDURES AND REMEDIES, </w:t>
      </w:r>
      <w:r w:rsidRPr="00A710BF">
        <w:rPr>
          <w:sz w:val="16"/>
          <w:szCs w:val="16"/>
        </w:rPr>
        <w:t>vol 9 Stanford Journal of Civil Rights and Civil Liberties 213 (2013). https://law.stanford.edu/wp-content/uploads/2018/06/kahlenberg.pdf) CT</w:t>
      </w:r>
    </w:p>
    <w:p w14:paraId="1757302A" w14:textId="77777777" w:rsidR="00CE30D3" w:rsidRDefault="00365070" w:rsidP="00365070">
      <w:pPr>
        <w:rPr>
          <w:rStyle w:val="Emphasis"/>
        </w:rPr>
      </w:pPr>
      <w:r w:rsidRPr="00A710BF">
        <w:rPr>
          <w:sz w:val="12"/>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A710BF">
        <w:t xml:space="preserve"> The aggrieved party may have counsel at the hearing and supplement the NLRB’s prosecution, but the matter is in the hands of the NLRB. </w:t>
      </w:r>
      <w:r w:rsidRPr="000E4042">
        <w:rPr>
          <w:rStyle w:val="StyleUnderline"/>
          <w:bCs/>
        </w:rPr>
        <w:t>A</w:t>
      </w:r>
      <w:r w:rsidRPr="000E4042">
        <w:rPr>
          <w:rStyle w:val="StyleUnderline"/>
        </w:rPr>
        <w:t xml:space="preserve"> </w:t>
      </w:r>
      <w:r w:rsidRPr="000E4042">
        <w:rPr>
          <w:rStyle w:val="StyleUnderline"/>
          <w:bCs/>
        </w:rPr>
        <w:t xml:space="preserve">hearing at the </w:t>
      </w:r>
      <w:r w:rsidRPr="002B2095">
        <w:rPr>
          <w:rStyle w:val="StyleUnderline"/>
          <w:bCs/>
          <w:highlight w:val="green"/>
        </w:rPr>
        <w:t>NLRB does not allow</w:t>
      </w:r>
      <w:r w:rsidRPr="002B2095">
        <w:rPr>
          <w:rStyle w:val="StyleUnderline"/>
          <w:highlight w:val="green"/>
        </w:rPr>
        <w:t xml:space="preserve"> </w:t>
      </w:r>
      <w:r w:rsidRPr="00A710BF">
        <w:rPr>
          <w:rStyle w:val="StyleUnderline"/>
        </w:rPr>
        <w:t xml:space="preserve">most forms of </w:t>
      </w:r>
      <w:r w:rsidRPr="002B2095">
        <w:rPr>
          <w:rStyle w:val="StyleUnderline"/>
          <w:bCs/>
          <w:highlight w:val="green"/>
        </w:rPr>
        <w:t>pretrial discovery</w:t>
      </w:r>
      <w:r w:rsidRPr="00A710BF">
        <w:rPr>
          <w:rStyle w:val="StyleUnderline"/>
        </w:rPr>
        <w:t xml:space="preserve">, which has the effect of </w:t>
      </w:r>
      <w:r w:rsidRPr="002B2095">
        <w:rPr>
          <w:rStyle w:val="StyleUnderline"/>
          <w:bCs/>
          <w:highlight w:val="green"/>
        </w:rPr>
        <w:t>limiting the scope of the case</w:t>
      </w:r>
      <w:r w:rsidRPr="00A710BF">
        <w:rPr>
          <w:rStyle w:val="StyleUnderline"/>
        </w:rPr>
        <w:t xml:space="preserve"> that can be made </w:t>
      </w:r>
      <w:r w:rsidRPr="002B2095">
        <w:rPr>
          <w:rStyle w:val="StyleUnderline"/>
          <w:bCs/>
          <w:highlight w:val="green"/>
        </w:rPr>
        <w:t>against the employer</w:t>
      </w:r>
      <w:r w:rsidRPr="00A710BF">
        <w:rPr>
          <w:rStyle w:val="StyleUnderline"/>
        </w:rPr>
        <w:t xml:space="preserve">.150 </w:t>
      </w:r>
      <w:r w:rsidRPr="002B2095">
        <w:rPr>
          <w:rStyle w:val="StyleUnderline"/>
          <w:highlight w:val="green"/>
        </w:rPr>
        <w:t>Without</w:t>
      </w:r>
      <w:r w:rsidRPr="00A710BF">
        <w:rPr>
          <w:rStyle w:val="StyleUnderline"/>
        </w:rPr>
        <w:t xml:space="preserve"> broad </w:t>
      </w:r>
      <w:r w:rsidRPr="002B2095">
        <w:rPr>
          <w:rStyle w:val="StyleUnderline"/>
          <w:highlight w:val="green"/>
        </w:rPr>
        <w:t>discovery, the hearing consists</w:t>
      </w:r>
      <w:r w:rsidRPr="00A710BF">
        <w:rPr>
          <w:rStyle w:val="StyleUnderline"/>
        </w:rPr>
        <w:t xml:space="preserve"> almost </w:t>
      </w:r>
      <w:r w:rsidRPr="002B2095">
        <w:rPr>
          <w:rStyle w:val="StyleUnderline"/>
          <w:highlight w:val="green"/>
        </w:rPr>
        <w:t>entirely of witnesses</w:t>
      </w:r>
      <w:r w:rsidRPr="00A710BF">
        <w:rPr>
          <w:rStyle w:val="StyleUnderline"/>
        </w:rPr>
        <w:t xml:space="preserve">, public information, and information </w:t>
      </w:r>
      <w:r w:rsidRPr="002B2095">
        <w:rPr>
          <w:rStyle w:val="StyleUnderline"/>
          <w:highlight w:val="green"/>
        </w:rPr>
        <w:t>and</w:t>
      </w:r>
      <w:r w:rsidRPr="00A710BF">
        <w:rPr>
          <w:rStyle w:val="StyleUnderline"/>
        </w:rPr>
        <w:t xml:space="preserve"> </w:t>
      </w:r>
      <w:r w:rsidRPr="002B2095">
        <w:rPr>
          <w:rStyle w:val="StyleUnderline"/>
          <w:highlight w:val="green"/>
        </w:rPr>
        <w:t xml:space="preserve">documents that the employer volunteers. </w:t>
      </w:r>
      <w:r w:rsidRPr="00A710BF">
        <w:rPr>
          <w:rStyle w:val="StyleUnderline"/>
        </w:rPr>
        <w:t>This restriction not only weakens any possible case against the employer, but it also factors into the employer’s calculus when choosing whether to commit an unfair labor practice.</w:t>
      </w:r>
      <w:r w:rsidRPr="00A710BF">
        <w:t xml:space="preserve"> </w:t>
      </w:r>
      <w:r w:rsidRPr="002B2095">
        <w:rPr>
          <w:rStyle w:val="StyleUnderline"/>
          <w:bCs/>
          <w:highlight w:val="green"/>
        </w:rPr>
        <w:t>Parties fear litigation</w:t>
      </w:r>
      <w:r w:rsidRPr="00A710BF">
        <w:rPr>
          <w:rStyle w:val="StyleUnderline"/>
        </w:rPr>
        <w:t xml:space="preserve"> not only because of the ultimate remedies that they may have to pay, but also </w:t>
      </w:r>
      <w:r w:rsidRPr="002B2095">
        <w:rPr>
          <w:rStyle w:val="StyleUnderline"/>
          <w:bCs/>
          <w:highlight w:val="green"/>
        </w:rPr>
        <w:t>because of the burdensome process</w:t>
      </w:r>
      <w:r w:rsidRPr="00A710BF">
        <w:rPr>
          <w:rStyle w:val="StyleUnderline"/>
        </w:rPr>
        <w:t xml:space="preserve"> of litigation. Discovery is a lengthy process consisting of </w:t>
      </w:r>
      <w:r w:rsidRPr="00A710BF">
        <w:rPr>
          <w:rStyle w:val="StyleUnderline"/>
        </w:rPr>
        <w:lastRenderedPageBreak/>
        <w:t xml:space="preserve">document production, 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 </w:t>
      </w:r>
      <w:r w:rsidRPr="002B2095">
        <w:rPr>
          <w:rStyle w:val="Emphasis"/>
          <w:highlight w:val="green"/>
        </w:rPr>
        <w:t xml:space="preserve">the discovery process </w:t>
      </w:r>
      <w:r w:rsidRPr="002B2095">
        <w:rPr>
          <w:rStyle w:val="Emphasis"/>
          <w:bCs/>
          <w:highlight w:val="green"/>
        </w:rPr>
        <w:t xml:space="preserve">is </w:t>
      </w:r>
      <w:r w:rsidRPr="000E4042">
        <w:rPr>
          <w:rStyle w:val="Emphasis"/>
          <w:bCs/>
        </w:rPr>
        <w:t xml:space="preserve">an </w:t>
      </w:r>
      <w:r w:rsidRPr="002B2095">
        <w:rPr>
          <w:rStyle w:val="Emphasis"/>
          <w:bCs/>
          <w:highlight w:val="green"/>
        </w:rPr>
        <w:t>enormous burden on the defendant</w:t>
      </w:r>
      <w:r w:rsidRPr="00A710BF">
        <w:rPr>
          <w:rStyle w:val="Emphasis"/>
          <w:bCs/>
        </w:rPr>
        <w:t xml:space="preserve"> in a lawsuit </w:t>
      </w:r>
      <w:r w:rsidRPr="002B2095">
        <w:rPr>
          <w:rStyle w:val="Emphasis"/>
          <w:bCs/>
          <w:highlight w:val="green"/>
        </w:rPr>
        <w:t>because it</w:t>
      </w:r>
      <w:r w:rsidRPr="002B2095">
        <w:rPr>
          <w:rStyle w:val="Emphasis"/>
          <w:highlight w:val="green"/>
        </w:rPr>
        <w:t xml:space="preserve"> permits the plaintiff to have</w:t>
      </w:r>
      <w:r w:rsidRPr="00A710BF">
        <w:rPr>
          <w:rStyle w:val="Emphasis"/>
        </w:rPr>
        <w:t xml:space="preserve"> </w:t>
      </w:r>
      <w:r w:rsidRPr="00A710BF">
        <w:rPr>
          <w:rStyle w:val="Emphasis"/>
          <w:bCs/>
        </w:rPr>
        <w:t>broad</w:t>
      </w:r>
      <w:r w:rsidRPr="00A710BF">
        <w:rPr>
          <w:rStyle w:val="Emphasis"/>
        </w:rPr>
        <w:t xml:space="preserve"> </w:t>
      </w:r>
      <w:r w:rsidRPr="002B2095">
        <w:rPr>
          <w:rStyle w:val="Emphasis"/>
          <w:highlight w:val="green"/>
        </w:rPr>
        <w:t>access to</w:t>
      </w:r>
      <w:r w:rsidRPr="00A710BF">
        <w:rPr>
          <w:rStyle w:val="Emphasis"/>
        </w:rPr>
        <w:t xml:space="preserve"> </w:t>
      </w:r>
      <w:r w:rsidRPr="00A710BF">
        <w:rPr>
          <w:rStyle w:val="Emphasis"/>
          <w:bCs/>
        </w:rPr>
        <w:t xml:space="preserve">an </w:t>
      </w:r>
      <w:r w:rsidRPr="002B2095">
        <w:rPr>
          <w:rStyle w:val="Emphasis"/>
          <w:bCs/>
          <w:highlight w:val="green"/>
        </w:rPr>
        <w:t>employer’s</w:t>
      </w:r>
      <w:r w:rsidRPr="002B2095">
        <w:rPr>
          <w:rStyle w:val="Emphasis"/>
          <w:highlight w:val="green"/>
        </w:rPr>
        <w:t xml:space="preserve"> files</w:t>
      </w:r>
    </w:p>
    <w:p w14:paraId="225697D4" w14:textId="5E37A238" w:rsidR="00365070" w:rsidRPr="00A710BF" w:rsidRDefault="00365070" w:rsidP="00365070">
      <w:r w:rsidRPr="00A710BF">
        <w:rPr>
          <w:rStyle w:val="Emphasis"/>
        </w:rPr>
        <w:t xml:space="preserve">, </w:t>
      </w:r>
      <w:r w:rsidRPr="00A710BF">
        <w:rPr>
          <w:rStyle w:val="Emphasis"/>
          <w:bCs/>
        </w:rPr>
        <w:t xml:space="preserve">employees, </w:t>
      </w:r>
      <w:r w:rsidRPr="002B2095">
        <w:rPr>
          <w:rStyle w:val="Emphasis"/>
          <w:highlight w:val="green"/>
        </w:rPr>
        <w:t xml:space="preserve">and evidence, </w:t>
      </w:r>
      <w:r w:rsidRPr="00A710BF">
        <w:rPr>
          <w:rStyle w:val="Emphasis"/>
          <w:bCs/>
        </w:rPr>
        <w:t>with the goal of</w:t>
      </w:r>
      <w:r w:rsidRPr="00A710BF">
        <w:rPr>
          <w:rStyle w:val="Emphasis"/>
        </w:rPr>
        <w:t xml:space="preserve"> </w:t>
      </w:r>
      <w:r w:rsidRPr="002B2095">
        <w:rPr>
          <w:rStyle w:val="Emphasis"/>
          <w:highlight w:val="green"/>
        </w:rPr>
        <w:t xml:space="preserve">bringing </w:t>
      </w:r>
      <w:r w:rsidRPr="00A710BF">
        <w:rPr>
          <w:rStyle w:val="Emphasis"/>
          <w:bCs/>
        </w:rPr>
        <w:t>transparency and</w:t>
      </w:r>
      <w:r w:rsidRPr="00A710BF">
        <w:rPr>
          <w:rStyle w:val="Emphasis"/>
        </w:rPr>
        <w:t xml:space="preserve"> </w:t>
      </w:r>
      <w:r w:rsidRPr="002B2095">
        <w:rPr>
          <w:rStyle w:val="Emphasis"/>
          <w:highlight w:val="green"/>
        </w:rPr>
        <w:t>fairness to the process</w:t>
      </w:r>
      <w:r w:rsidRPr="00A710BF">
        <w:rPr>
          <w:rStyle w:val="StyleUnderline"/>
        </w:rPr>
        <w:t xml:space="preserve">. </w:t>
      </w:r>
      <w:r w:rsidRPr="00A710BF">
        <w:rPr>
          <w:sz w:val="12"/>
          <w:szCs w:val="12"/>
        </w:rPr>
        <w:t>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self enforcing;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similar to the NLRB administrative process. Indeed, the EEOC was partly modeled off the NLRB, and all hearings and investigations conducted by the EEOC are governed by section 161 of the NLRA, which governs the NLRB process. 154</w:t>
      </w:r>
      <w:r w:rsidRPr="00A710BF">
        <w:t xml:space="preserve"> </w:t>
      </w:r>
      <w:r w:rsidRPr="00A710BF">
        <w:rPr>
          <w:sz w:val="12"/>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A710BF">
        <w:t xml:space="preserve">According to the 2010 EEOC annual report, the agency had an intake of 93,277 new private-sector discrimination charges, and completed 2010 with a backlog of 86,338 charges.155 </w:t>
      </w:r>
      <w:r w:rsidRPr="00A710BF">
        <w:rPr>
          <w:rStyle w:val="StyleUnderline"/>
        </w:rPr>
        <w:t xml:space="preserve">Having said that, there are </w:t>
      </w:r>
      <w:r w:rsidRPr="002B2095">
        <w:rPr>
          <w:rStyle w:val="StyleUnderline"/>
          <w:highlight w:val="green"/>
        </w:rPr>
        <w:t>several important differences between the</w:t>
      </w:r>
      <w:r w:rsidRPr="00A710BF">
        <w:rPr>
          <w:rStyle w:val="StyleUnderline"/>
        </w:rPr>
        <w:t xml:space="preserve"> administrative </w:t>
      </w:r>
      <w:r w:rsidRPr="002B2095">
        <w:rPr>
          <w:rStyle w:val="StyleUnderline"/>
          <w:highlight w:val="green"/>
        </w:rPr>
        <w:t>process under Title VII and</w:t>
      </w:r>
      <w:r w:rsidRPr="00A710BF">
        <w:rPr>
          <w:rStyle w:val="StyleUnderline"/>
        </w:rPr>
        <w:t xml:space="preserve"> the administrative process under </w:t>
      </w:r>
      <w:r w:rsidRPr="002B2095">
        <w:rPr>
          <w:rStyle w:val="StyleUnderline"/>
          <w:highlight w:val="green"/>
        </w:rPr>
        <w:t>the</w:t>
      </w:r>
      <w:r w:rsidRPr="00A710BF">
        <w:rPr>
          <w:rStyle w:val="StyleUnderline"/>
        </w:rPr>
        <w:t xml:space="preserve"> </w:t>
      </w:r>
      <w:r w:rsidRPr="002B2095">
        <w:rPr>
          <w:rStyle w:val="StyleUnderline"/>
          <w:highlight w:val="green"/>
        </w:rPr>
        <w:t>NLRA</w:t>
      </w:r>
      <w:r w:rsidRPr="00A710BF">
        <w:rPr>
          <w:rStyle w:val="StyleUnderline"/>
        </w:rPr>
        <w:t xml:space="preserve">. The first is that under Title VII, the employee may opt out. Though Title VII requires an employee to file a charge with the EEOC, the employee may request a notice of right to sue from the agency anytime after 180 days have passed.156 This right to sue letter provides the employee a private right of action in federal court for ninety days after its issuance. </w:t>
      </w:r>
      <w:r w:rsidRPr="002B2095">
        <w:rPr>
          <w:rStyle w:val="Emphasis"/>
          <w:highlight w:val="green"/>
        </w:rPr>
        <w:t xml:space="preserve">Title VII </w:t>
      </w:r>
      <w:r w:rsidRPr="000E4042">
        <w:rPr>
          <w:rStyle w:val="Emphasis"/>
        </w:rPr>
        <w:t xml:space="preserve">not only </w:t>
      </w:r>
      <w:r w:rsidRPr="002B2095">
        <w:rPr>
          <w:rStyle w:val="Emphasis"/>
          <w:highlight w:val="green"/>
        </w:rPr>
        <w:t>provides the right to sue the employer</w:t>
      </w:r>
      <w:r w:rsidRPr="000E4042">
        <w:rPr>
          <w:rStyle w:val="Emphasis"/>
        </w:rPr>
        <w:t xml:space="preserve">, it </w:t>
      </w:r>
      <w:r w:rsidRPr="002B2095">
        <w:rPr>
          <w:rStyle w:val="Emphasis"/>
          <w:highlight w:val="green"/>
        </w:rPr>
        <w:t>also provides the means and the incentive</w:t>
      </w:r>
      <w:r w:rsidRPr="00A710BF">
        <w:rPr>
          <w:rStyle w:val="Emphasis"/>
        </w:rPr>
        <w:t xml:space="preserve">. </w:t>
      </w:r>
      <w:r w:rsidRPr="00A710BF">
        <w:rPr>
          <w:rStyle w:val="StyleUnderline"/>
        </w:rPr>
        <w:t xml:space="preserve">First, </w:t>
      </w:r>
      <w:r w:rsidRPr="002B2095">
        <w:rPr>
          <w:rStyle w:val="StyleUnderline"/>
          <w:highlight w:val="green"/>
        </w:rPr>
        <w:t>based upon the plaintiff’s financial ability</w:t>
      </w:r>
      <w:r w:rsidRPr="00A710BF">
        <w:rPr>
          <w:rStyle w:val="StyleUnderline"/>
        </w:rPr>
        <w:t xml:space="preserve"> to retain counsel, her failed efforts to retain counsel, </w:t>
      </w:r>
      <w:r w:rsidRPr="002B2095">
        <w:rPr>
          <w:rStyle w:val="StyleUnderline"/>
          <w:highlight w:val="green"/>
        </w:rPr>
        <w:t>and</w:t>
      </w:r>
      <w:r w:rsidRPr="00A710BF">
        <w:rPr>
          <w:rStyle w:val="StyleUnderline"/>
        </w:rPr>
        <w:t xml:space="preserve"> whether </w:t>
      </w:r>
      <w:r w:rsidRPr="002B2095">
        <w:rPr>
          <w:rStyle w:val="StyleUnderline"/>
          <w:highlight w:val="green"/>
        </w:rPr>
        <w:t>the</w:t>
      </w:r>
      <w:r w:rsidRPr="00A710BF">
        <w:rPr>
          <w:rStyle w:val="StyleUnderline"/>
        </w:rPr>
        <w:t xml:space="preserve"> plaintiff presents a meritorious </w:t>
      </w:r>
      <w:r w:rsidRPr="002B2095">
        <w:rPr>
          <w:rStyle w:val="StyleUnderline"/>
          <w:highlight w:val="green"/>
        </w:rPr>
        <w:t>claim, the court may appoint counsel</w:t>
      </w:r>
      <w:r w:rsidRPr="00A710BF">
        <w:rPr>
          <w:rStyle w:val="StyleUnderline"/>
        </w:rPr>
        <w:t>.</w:t>
      </w:r>
      <w:r w:rsidRPr="00A710BF">
        <w:rPr>
          <w:sz w:val="12"/>
          <w:szCs w:val="12"/>
        </w:rPr>
        <w:t>157 At the district court’s discretion, any one of these factors may be determinative.158 In addition to providing employees the opportunity to obtain court-appointed counsel,159</w:t>
      </w:r>
      <w:r w:rsidRPr="00A710BF">
        <w:t xml:space="preserve"> </w:t>
      </w:r>
      <w:r w:rsidRPr="00A710BF">
        <w:rPr>
          <w:rStyle w:val="Emphasis"/>
        </w:rPr>
        <w:t>Title VII provides that a prevailing party is entitled to attorneys’ fees and costs.160 This provision recognizes the fact that many employees who suffer employment discrimination are economically unable to finance the necessary litigation to vindicate their rights</w:t>
      </w:r>
      <w:r w:rsidRPr="00A710BF">
        <w:rPr>
          <w:rStyle w:val="StyleUnderline"/>
        </w:rPr>
        <w:t xml:space="preserve">, </w:t>
      </w:r>
      <w:r w:rsidRPr="00A710BF">
        <w:rPr>
          <w:sz w:val="12"/>
          <w:szCs w:val="12"/>
        </w:rPr>
        <w:t>and that society’s interest in ending discriminatory practices weighs in favor of this exception to the so-called “American rule” that each litigant, win or lose, pays her own way.161 Furthermore, the availability of attorneys’ fees and costs has created a strong bar of employment attorneys willing and able to take employment discrimination suits on a contingency basis, often with no upfront costs or retainers.</w:t>
      </w:r>
      <w:r w:rsidRPr="00A710BF">
        <w:t xml:space="preserve"> </w:t>
      </w:r>
      <w:r w:rsidRPr="00A710BF">
        <w:rPr>
          <w:rStyle w:val="Emphasis"/>
        </w:rPr>
        <w:t>The availability of attorneys’ fees has created the possibility for many employees to bring suit</w:t>
      </w:r>
      <w:r w:rsidRPr="00A710BF">
        <w:rPr>
          <w:rStyle w:val="StyleUnderline"/>
        </w:rPr>
        <w:t xml:space="preserve">, </w:t>
      </w:r>
      <w:r w:rsidRPr="00A710BF">
        <w:rPr>
          <w:sz w:val="8"/>
          <w:szCs w:val="8"/>
        </w:rPr>
        <w:t>but the difficulties of litigation extend beyond the costs involved. Litigating an employment suit may involve a multi-year process of making public the private areas of one’s life, involving one’s friends and former coworkers, expending a great deal of time and emotional energy in preparation, and going up against an adversary who is invariably larger, richer, and has more resources.</w:t>
      </w:r>
      <w:r w:rsidRPr="00A710BF">
        <w:rPr>
          <w:rStyle w:val="StyleUnderline"/>
          <w:sz w:val="8"/>
          <w:szCs w:val="8"/>
        </w:rPr>
        <w:t xml:space="preserve"> </w:t>
      </w:r>
      <w:r w:rsidRPr="00A710BF">
        <w:rPr>
          <w:sz w:val="8"/>
          <w:szCs w:val="8"/>
        </w:rPr>
        <w:t>One’s credibility is questioned at every turn, and there is an abiding fear that the litigation will lead to the plaintiff being labeled an overly sensitive “problem” employee that no future employer will want to hire. Therefore, even with attorneys’ fees accounted for, many aggrieved employees would forego the process of litigation if the remedies did not go a long way toward making them whole.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individual, and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w:t>
      </w:r>
      <w:r w:rsidRPr="00A710BF">
        <w:t xml:space="preserve"> </w:t>
      </w:r>
      <w:r w:rsidRPr="00A710BF">
        <w:rPr>
          <w:rStyle w:val="StyleUnderline"/>
        </w:rPr>
        <w:t xml:space="preserve">The other procedural right available to the parties is discovery. Because employment discrimination suits are brought in federal court, the Federal Rules of Civil Procedure govern. Under these rules, parties are entitled to a range of pretrial discovery, including depositions, interrogatories, requests for production of documents, and requests for admissions. </w:t>
      </w:r>
      <w:r w:rsidRPr="00A710BF">
        <w:t xml:space="preserve">177 </w:t>
      </w:r>
      <w:r w:rsidRPr="00A710BF">
        <w:rPr>
          <w:rStyle w:val="Emphasis"/>
        </w:rPr>
        <w:t xml:space="preserve">Courts recognize that </w:t>
      </w:r>
      <w:r w:rsidRPr="002B2095">
        <w:rPr>
          <w:rStyle w:val="Emphasis"/>
          <w:highlight w:val="green"/>
        </w:rPr>
        <w:t>a</w:t>
      </w:r>
      <w:r w:rsidRPr="00A710BF">
        <w:rPr>
          <w:rStyle w:val="Emphasis"/>
        </w:rPr>
        <w:t xml:space="preserve"> plaintiff’s </w:t>
      </w:r>
      <w:r w:rsidRPr="002B2095">
        <w:rPr>
          <w:rStyle w:val="Emphasis"/>
          <w:highlight w:val="green"/>
        </w:rPr>
        <w:t>case under Title VII</w:t>
      </w:r>
      <w:r w:rsidRPr="00A710BF">
        <w:rPr>
          <w:rStyle w:val="Emphasis"/>
        </w:rPr>
        <w:t xml:space="preserve"> will usually </w:t>
      </w:r>
      <w:r w:rsidRPr="002B2095">
        <w:rPr>
          <w:rStyle w:val="Emphasis"/>
          <w:highlight w:val="green"/>
        </w:rPr>
        <w:t>involve a great deal of</w:t>
      </w:r>
      <w:r w:rsidRPr="00A710BF">
        <w:rPr>
          <w:rStyle w:val="Emphasis"/>
        </w:rPr>
        <w:t xml:space="preserve"> circumstantial </w:t>
      </w:r>
      <w:r w:rsidRPr="002B2095">
        <w:rPr>
          <w:rStyle w:val="Emphasis"/>
          <w:highlight w:val="green"/>
        </w:rPr>
        <w:t>evidence, so</w:t>
      </w:r>
      <w:r w:rsidRPr="00A710BF">
        <w:rPr>
          <w:rStyle w:val="Emphasis"/>
        </w:rPr>
        <w:t xml:space="preserve"> as a general rule, </w:t>
      </w:r>
      <w:r w:rsidRPr="002B2095">
        <w:rPr>
          <w:rStyle w:val="Emphasis"/>
          <w:highlight w:val="green"/>
        </w:rPr>
        <w:t xml:space="preserve">courts </w:t>
      </w:r>
      <w:r w:rsidRPr="00A710BF">
        <w:rPr>
          <w:rStyle w:val="Emphasis"/>
        </w:rPr>
        <w:t xml:space="preserve">will </w:t>
      </w:r>
      <w:r w:rsidRPr="002B2095">
        <w:rPr>
          <w:rStyle w:val="Emphasis"/>
          <w:highlight w:val="green"/>
        </w:rPr>
        <w:t xml:space="preserve">allow a broad scope of discovery. </w:t>
      </w:r>
      <w:r w:rsidRPr="000E4042">
        <w:rPr>
          <w:rStyle w:val="Emphasis"/>
        </w:rPr>
        <w:t xml:space="preserve">This </w:t>
      </w:r>
      <w:r w:rsidRPr="002B2095">
        <w:rPr>
          <w:rStyle w:val="Emphasis"/>
          <w:highlight w:val="green"/>
        </w:rPr>
        <w:t xml:space="preserve">will </w:t>
      </w:r>
      <w:r w:rsidRPr="00A710BF">
        <w:rPr>
          <w:rStyle w:val="Emphasis"/>
        </w:rPr>
        <w:t xml:space="preserve">often </w:t>
      </w:r>
      <w:r w:rsidRPr="002B2095">
        <w:rPr>
          <w:rStyle w:val="Emphasis"/>
          <w:highlight w:val="green"/>
        </w:rPr>
        <w:t xml:space="preserve">require the employer to reveal </w:t>
      </w:r>
      <w:r w:rsidRPr="00A710BF">
        <w:rPr>
          <w:rStyle w:val="Emphasis"/>
        </w:rPr>
        <w:t xml:space="preserve">information regarding </w:t>
      </w:r>
      <w:r w:rsidRPr="000E4042">
        <w:rPr>
          <w:rStyle w:val="Emphasis"/>
        </w:rPr>
        <w:t xml:space="preserve">its </w:t>
      </w:r>
      <w:r w:rsidRPr="002B2095">
        <w:rPr>
          <w:rStyle w:val="Emphasis"/>
          <w:highlight w:val="green"/>
        </w:rPr>
        <w:t xml:space="preserve">past employment practices, </w:t>
      </w:r>
      <w:r w:rsidRPr="000E4042">
        <w:rPr>
          <w:rStyle w:val="Emphasis"/>
        </w:rPr>
        <w:t xml:space="preserve">its </w:t>
      </w:r>
      <w:r w:rsidRPr="002B2095">
        <w:rPr>
          <w:rStyle w:val="Emphasis"/>
          <w:highlight w:val="green"/>
        </w:rPr>
        <w:t>financials</w:t>
      </w:r>
      <w:r w:rsidRPr="00A710BF">
        <w:rPr>
          <w:rStyle w:val="Emphasis"/>
        </w:rPr>
        <w:t xml:space="preserve">, lists of possible witnesses, </w:t>
      </w:r>
      <w:r w:rsidRPr="002B2095">
        <w:rPr>
          <w:rStyle w:val="Emphasis"/>
          <w:highlight w:val="green"/>
        </w:rPr>
        <w:t xml:space="preserve">and </w:t>
      </w:r>
      <w:r w:rsidRPr="00A710BF">
        <w:rPr>
          <w:rStyle w:val="Emphasis"/>
        </w:rPr>
        <w:t xml:space="preserve">other </w:t>
      </w:r>
      <w:r w:rsidRPr="002B2095">
        <w:rPr>
          <w:rStyle w:val="Emphasis"/>
          <w:highlight w:val="green"/>
        </w:rPr>
        <w:t>internal data</w:t>
      </w:r>
      <w:r w:rsidRPr="00A710BF">
        <w:rPr>
          <w:rStyle w:val="Emphasis"/>
        </w:rPr>
        <w:t xml:space="preserve">. Though </w:t>
      </w:r>
      <w:r w:rsidRPr="002B2095">
        <w:rPr>
          <w:rStyle w:val="Emphasis"/>
          <w:highlight w:val="green"/>
        </w:rPr>
        <w:t>discovery</w:t>
      </w:r>
      <w:r w:rsidRPr="00A710BF">
        <w:rPr>
          <w:rStyle w:val="Emphasis"/>
        </w:rPr>
        <w:t xml:space="preserve"> is available to both parties, it is a facet of litigation that </w:t>
      </w:r>
      <w:r w:rsidRPr="002B2095">
        <w:rPr>
          <w:rStyle w:val="Emphasis"/>
          <w:highlight w:val="green"/>
        </w:rPr>
        <w:t>bears a much heavier burden on the defendant in employment cases.</w:t>
      </w:r>
      <w:r w:rsidRPr="00A710BF">
        <w:t xml:space="preserve"> O</w:t>
      </w:r>
      <w:r w:rsidRPr="00A710BF">
        <w:rPr>
          <w:sz w:val="12"/>
          <w:szCs w:val="12"/>
        </w:rPr>
        <w:t xml:space="preserve">n principled grounds, some employers hate the idea of employees being able to have access to so many aspects of their business. Beyond this, there are the internal and legal costs associated with being on the receiving end of discovery requests. Each answer and each document is usually collected using internal resources, and then scrutinized and reconstructed by legal counsel, placing several layers of costs </w:t>
      </w:r>
      <w:r w:rsidRPr="00A710BF">
        <w:rPr>
          <w:sz w:val="12"/>
          <w:szCs w:val="12"/>
        </w:rPr>
        <w:lastRenderedPageBreak/>
        <w:t>on an employer. These procedures and remedies seek to make the plaintiff whole after suffering discriminatory treatment, but they also have a secondary effect of serving as a significant deterrent to employers. Whereas firms hire union busting consultants to subvert labor law,</w:t>
      </w:r>
      <w:r w:rsidRPr="00A710BF">
        <w:rPr>
          <w:rStyle w:val="StyleUnderline"/>
          <w:sz w:val="12"/>
          <w:szCs w:val="12"/>
        </w:rPr>
        <w:t xml:space="preserve"> </w:t>
      </w:r>
      <w:r w:rsidRPr="00A710BF">
        <w:rPr>
          <w:sz w:val="12"/>
          <w:szCs w:val="12"/>
        </w:rPr>
        <w:t>American employers 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6F0B57C2" w14:textId="77777777" w:rsidR="00365070" w:rsidRPr="00A710BF" w:rsidRDefault="00365070" w:rsidP="00365070">
      <w:pPr>
        <w:pStyle w:val="Heading4"/>
        <w:rPr>
          <w:rFonts w:cs="Calibri"/>
        </w:rPr>
      </w:pPr>
      <w:r w:rsidRPr="00A710BF">
        <w:rPr>
          <w:rFonts w:cs="Calibri"/>
        </w:rPr>
        <w:t xml:space="preserve">3) </w:t>
      </w:r>
      <w:r w:rsidRPr="00A710BF">
        <w:rPr>
          <w:rFonts w:cs="Calibri"/>
          <w:u w:val="single"/>
        </w:rPr>
        <w:t>FEE SHIFTING</w:t>
      </w:r>
      <w:r w:rsidRPr="00A710BF">
        <w:rPr>
          <w:rFonts w:cs="Calibri"/>
        </w:rPr>
        <w:t xml:space="preserve"> – A private right to action is designed with an antagonistic government in mind making agency capacity irrelevant to any solvency question</w:t>
      </w:r>
    </w:p>
    <w:p w14:paraId="2132B313" w14:textId="77777777" w:rsidR="00365070" w:rsidRPr="00A710BF" w:rsidRDefault="00365070" w:rsidP="00365070">
      <w:r w:rsidRPr="00CE30D3">
        <w:rPr>
          <w:rStyle w:val="Style13ptBold"/>
        </w:rPr>
        <w:t>Farhang 10</w:t>
      </w:r>
      <w:r w:rsidRPr="00A710BF">
        <w:t xml:space="preserve"> </w:t>
      </w:r>
      <w:r w:rsidRPr="00A710BF">
        <w:rPr>
          <w:sz w:val="16"/>
          <w:szCs w:val="16"/>
        </w:rPr>
        <w:t xml:space="preserve">(Sean Farhang is Professor of Law and Associate Professor of Political Science and Public Policy at the University of California, Berkeley. “The Litigation State,” Chapter 5: </w:t>
      </w:r>
      <w:r w:rsidRPr="00A710BF">
        <w:rPr>
          <w:i/>
          <w:iCs/>
          <w:sz w:val="16"/>
          <w:szCs w:val="16"/>
        </w:rPr>
        <w:t>REVERBERATIONS</w:t>
      </w:r>
      <w:r w:rsidRPr="00A710BF">
        <w:rPr>
          <w:sz w:val="16"/>
          <w:szCs w:val="16"/>
        </w:rPr>
        <w:t>, 2010, Princeton University Press, pp 149-155. https://www.jstor.org/stable/j.ctt7sp5k.10?seq=1) CT</w:t>
      </w:r>
    </w:p>
    <w:p w14:paraId="310CB4A6" w14:textId="77777777" w:rsidR="00365070" w:rsidRPr="00A710BF" w:rsidRDefault="00365070" w:rsidP="00365070">
      <w:pPr>
        <w:rPr>
          <w:sz w:val="8"/>
          <w:szCs w:val="8"/>
        </w:rPr>
      </w:pPr>
      <w:r w:rsidRPr="00A710BF">
        <w:rPr>
          <w:sz w:val="16"/>
        </w:rPr>
        <w:t xml:space="preserve">///Political scientists have emphasized that, as Paul Pierson put it, once they are enacted policies “create resources and incentives that influence the formation and activity of social groups . . . [and] create ‘spoils’ that provide a strong motivation for beneficiaries to mobilize in favor of programmatic maintenance or expansion.”108 </w:t>
      </w:r>
      <w:r w:rsidRPr="00A710BF">
        <w:rPr>
          <w:rStyle w:val="StyleUnderline"/>
        </w:rPr>
        <w:t xml:space="preserve">Attorney’s </w:t>
      </w:r>
      <w:r w:rsidRPr="002B2095">
        <w:rPr>
          <w:rStyle w:val="StyleUnderline"/>
          <w:highlight w:val="green"/>
        </w:rPr>
        <w:t>fee awards contributed</w:t>
      </w:r>
      <w:r w:rsidRPr="00A710BF">
        <w:rPr>
          <w:rStyle w:val="StyleUnderline"/>
        </w:rPr>
        <w:t xml:space="preserve"> </w:t>
      </w:r>
      <w:r w:rsidRPr="002B2095">
        <w:rPr>
          <w:rStyle w:val="StyleUnderline"/>
          <w:highlight w:val="green"/>
        </w:rPr>
        <w:t xml:space="preserve">resources to </w:t>
      </w:r>
      <w:r w:rsidRPr="00A710BF">
        <w:rPr>
          <w:rStyle w:val="StyleUnderline"/>
        </w:rPr>
        <w:t xml:space="preserve">existing </w:t>
      </w:r>
      <w:r w:rsidRPr="002B2095">
        <w:rPr>
          <w:rStyle w:val="StyleUnderline"/>
          <w:highlight w:val="green"/>
        </w:rPr>
        <w:t>civil rights</w:t>
      </w:r>
      <w:r w:rsidRPr="00A710BF">
        <w:rPr>
          <w:rStyle w:val="StyleUnderline"/>
        </w:rPr>
        <w:t xml:space="preserve"> groups that prosecuted lawsuits under the new civil rights laws, such as the LDF and the Lawyers’ Committee for Civil Rights Under Law, </w:t>
      </w:r>
      <w:r w:rsidRPr="002B2095">
        <w:rPr>
          <w:rStyle w:val="StyleUnderline"/>
          <w:highlight w:val="green"/>
        </w:rPr>
        <w:t>adding to</w:t>
      </w:r>
      <w:r w:rsidRPr="00A710BF">
        <w:rPr>
          <w:rStyle w:val="StyleUnderline"/>
        </w:rPr>
        <w:t xml:space="preserve"> their </w:t>
      </w:r>
      <w:r w:rsidRPr="002B2095">
        <w:rPr>
          <w:rStyle w:val="StyleUnderline"/>
          <w:highlight w:val="green"/>
        </w:rPr>
        <w:t>enforcement capacity</w:t>
      </w:r>
      <w:r w:rsidRPr="00A710BF">
        <w:rPr>
          <w:rStyle w:val="StyleUnderline"/>
        </w:rPr>
        <w:t>.</w:t>
      </w:r>
      <w:r w:rsidRPr="00A710BF">
        <w:rPr>
          <w:sz w:val="12"/>
          <w:szCs w:val="12"/>
        </w:rPr>
        <w:t>109 The class action cases that these groups often litigated could lead to greater attorney’s fee awards than individual claims.110 By 1973, the Lawyers’ Committee was devoting half of its staff to its job discrimination litigation unit, which had become nearly self-supporting through attorney’s fee awards.111 By 1975, $550,000 of the LDF’s operating budget of $3 million (over 18 percent) came from attorney’s fee awards.112 The availability of fee awards also contributed to the formation of significant new enforcement groups, with foundation seed money, such as the Native American Rights Fund in 1970 and the Women’s Law Fund in 1972, both still in existence today, on the expectation that they would be able to draw continuing operating funds from attorney’s fees awards.113 The Lawyers’ Committee formed an Attorney’s Fees Project in the early 1970s for the purpose of compiling and disseminating to civil rights litigators information on developing case law governing fee awards, seeking to aid attorneys in recovering fees and to move the law in a direction favorable to fee awards.114 In addition to increasing enforcement resources available to civil rights groups, the private enforcement regimes of Titles II and VII of the CRA of 1964, and the numerous civil rights laws to follow that model in the ensuing decade,115 had the feedback effect of fostering the growth of a private bar to litigate civil rights claims in general and job discrimination claims in particular. By the early 1970s, it appeared that the initial impression that Title VII would not generate much private litigation was premature. From the modest 56 private suits filed in Title VII’s first two years,116 the number climbed approximately to 100 in 1968,117 to 429 in 1970, to 1,802 in 1973, and to 4,002 in 1975, where it plateaued (ranging between about 4,000 and 4,600) for the balance of the decade.118 There seems to have been a lag of about five years before for-profit lawyers began to learn about, develop skills in, and practice in this new and unknown area of law, but once they did, encouraged by proplaintiff court decisions and statutory developments in the Equal Employment Act of 1972,</w:t>
      </w:r>
      <w:r w:rsidRPr="00A710BF">
        <w:rPr>
          <w:sz w:val="16"/>
        </w:rPr>
        <w:t xml:space="preserve"> </w:t>
      </w:r>
      <w:r w:rsidRPr="00A710BF">
        <w:rPr>
          <w:rStyle w:val="StyleUnderline"/>
        </w:rPr>
        <w:t xml:space="preserve">the </w:t>
      </w:r>
      <w:r w:rsidRPr="002B2095">
        <w:rPr>
          <w:rStyle w:val="StyleUnderline"/>
          <w:highlight w:val="green"/>
        </w:rPr>
        <w:t>growth in Title VII filings</w:t>
      </w:r>
      <w:r w:rsidRPr="00A710BF">
        <w:rPr>
          <w:rStyle w:val="StyleUnderline"/>
        </w:rPr>
        <w:t xml:space="preserve"> during the first half of the 1970s </w:t>
      </w:r>
      <w:r w:rsidRPr="002B2095">
        <w:rPr>
          <w:rStyle w:val="StyleUnderline"/>
          <w:highlight w:val="green"/>
        </w:rPr>
        <w:t xml:space="preserve">was dramatic, exploding by a factor of </w:t>
      </w:r>
      <w:r w:rsidRPr="00A710BF">
        <w:rPr>
          <w:rStyle w:val="StyleUnderline"/>
        </w:rPr>
        <w:t xml:space="preserve">nearly </w:t>
      </w:r>
      <w:r w:rsidRPr="002B2095">
        <w:rPr>
          <w:rStyle w:val="StyleUnderline"/>
          <w:highlight w:val="green"/>
        </w:rPr>
        <w:t>ten between 1970 and</w:t>
      </w:r>
      <w:r w:rsidRPr="00A710BF">
        <w:rPr>
          <w:rStyle w:val="StyleUnderline"/>
        </w:rPr>
        <w:t xml:space="preserve"> 19</w:t>
      </w:r>
      <w:r w:rsidRPr="002B2095">
        <w:rPr>
          <w:rStyle w:val="StyleUnderline"/>
          <w:highlight w:val="green"/>
        </w:rPr>
        <w:t>75</w:t>
      </w:r>
      <w:r w:rsidRPr="00A710BF">
        <w:rPr>
          <w:rStyle w:val="StyleUnderline"/>
        </w:rPr>
        <w:t xml:space="preserve">.119 Moreover, </w:t>
      </w:r>
      <w:r w:rsidRPr="002B2095">
        <w:rPr>
          <w:rStyle w:val="StyleUnderline"/>
          <w:highlight w:val="green"/>
        </w:rPr>
        <w:t>contrary to fears</w:t>
      </w:r>
      <w:r w:rsidRPr="00A710BF">
        <w:rPr>
          <w:rStyle w:val="StyleUnderline"/>
        </w:rPr>
        <w:t xml:space="preserve"> among some civil right advocates </w:t>
      </w:r>
      <w:r w:rsidRPr="002B2095">
        <w:rPr>
          <w:rStyle w:val="StyleUnderline"/>
          <w:highlight w:val="green"/>
        </w:rPr>
        <w:t>that private enforcement would rarely be initiated by</w:t>
      </w:r>
      <w:r w:rsidRPr="00A710BF">
        <w:rPr>
          <w:rStyle w:val="StyleUnderline"/>
        </w:rPr>
        <w:t xml:space="preserve"> racial </w:t>
      </w:r>
      <w:r w:rsidRPr="002B2095">
        <w:rPr>
          <w:rStyle w:val="StyleUnderline"/>
          <w:highlight w:val="green"/>
        </w:rPr>
        <w:t>minorities</w:t>
      </w:r>
      <w:r w:rsidRPr="00A710BF">
        <w:rPr>
          <w:rStyle w:val="StyleUnderline"/>
        </w:rPr>
        <w:t xml:space="preserve"> in the South </w:t>
      </w:r>
      <w:r w:rsidRPr="002B2095">
        <w:rPr>
          <w:rStyle w:val="StyleUnderline"/>
          <w:highlight w:val="green"/>
        </w:rPr>
        <w:t>because of</w:t>
      </w:r>
      <w:r w:rsidRPr="00A710BF">
        <w:rPr>
          <w:rStyle w:val="StyleUnderline"/>
        </w:rPr>
        <w:t xml:space="preserve"> unique </w:t>
      </w:r>
      <w:r w:rsidRPr="002B2095">
        <w:rPr>
          <w:rStyle w:val="StyleUnderline"/>
          <w:highlight w:val="green"/>
        </w:rPr>
        <w:t>obstacles</w:t>
      </w:r>
      <w:r w:rsidRPr="00A710BF">
        <w:rPr>
          <w:rStyle w:val="StyleUnderline"/>
        </w:rPr>
        <w:t xml:space="preserve"> there, </w:t>
      </w:r>
      <w:r w:rsidRPr="002B2095">
        <w:rPr>
          <w:rStyle w:val="StyleUnderline"/>
          <w:highlight w:val="green"/>
        </w:rPr>
        <w:t>it was disproportionately</w:t>
      </w:r>
      <w:r w:rsidRPr="00A710BF">
        <w:rPr>
          <w:rStyle w:val="StyleUnderline"/>
        </w:rPr>
        <w:t xml:space="preserve"> </w:t>
      </w:r>
      <w:r w:rsidRPr="002B2095">
        <w:rPr>
          <w:rStyle w:val="StyleUnderline"/>
          <w:highlight w:val="green"/>
        </w:rPr>
        <w:t>concentrated in the South relative to workforce population</w:t>
      </w:r>
      <w:r w:rsidRPr="00A710BF">
        <w:rPr>
          <w:rStyle w:val="StyleUnderline"/>
        </w:rPr>
        <w:t xml:space="preserve">, and roughly proportionately concentrated there relative to nonwhite workforce population. In 1975, </w:t>
      </w:r>
      <w:r w:rsidRPr="002B2095">
        <w:rPr>
          <w:rStyle w:val="StyleUnderline"/>
          <w:highlight w:val="green"/>
        </w:rPr>
        <w:t>the eleven</w:t>
      </w:r>
      <w:r w:rsidRPr="00A710BF">
        <w:rPr>
          <w:rStyle w:val="StyleUnderline"/>
        </w:rPr>
        <w:t xml:space="preserve"> </w:t>
      </w:r>
      <w:r w:rsidRPr="002B2095">
        <w:rPr>
          <w:rStyle w:val="StyleUnderline"/>
          <w:highlight w:val="green"/>
        </w:rPr>
        <w:t>former Confederate states</w:t>
      </w:r>
      <w:r w:rsidRPr="00A710BF">
        <w:rPr>
          <w:rStyle w:val="StyleUnderline"/>
        </w:rPr>
        <w:t xml:space="preserve"> accounted for approximately 25 percent of the total American workforce, and 38 percent of the nonwhite workforce.120 They </w:t>
      </w:r>
      <w:r w:rsidRPr="002B2095">
        <w:rPr>
          <w:rStyle w:val="StyleUnderline"/>
          <w:highlight w:val="green"/>
        </w:rPr>
        <w:t xml:space="preserve">accounted for 30 percent of all </w:t>
      </w:r>
      <w:r w:rsidRPr="00A710BF">
        <w:rPr>
          <w:rStyle w:val="StyleUnderline"/>
        </w:rPr>
        <w:t xml:space="preserve">job discrimination </w:t>
      </w:r>
      <w:r w:rsidRPr="002B2095">
        <w:rPr>
          <w:rStyle w:val="StyleUnderline"/>
          <w:highlight w:val="green"/>
        </w:rPr>
        <w:t>charges filed</w:t>
      </w:r>
      <w:r w:rsidRPr="00A710BF">
        <w:rPr>
          <w:rStyle w:val="StyleUnderline"/>
        </w:rPr>
        <w:t xml:space="preserve"> with the EEOC, 36 percent of those based upon race, </w:t>
      </w:r>
      <w:r w:rsidRPr="002B2095">
        <w:rPr>
          <w:rStyle w:val="StyleUnderline"/>
          <w:highlight w:val="green"/>
        </w:rPr>
        <w:t>and 37 percent of all privately prosecuted</w:t>
      </w:r>
      <w:r w:rsidRPr="00A710BF">
        <w:rPr>
          <w:rStyle w:val="StyleUnderline"/>
        </w:rPr>
        <w:t xml:space="preserve"> job discrimination </w:t>
      </w:r>
      <w:r w:rsidRPr="002B2095">
        <w:rPr>
          <w:rStyle w:val="StyleUnderline"/>
          <w:highlight w:val="green"/>
        </w:rPr>
        <w:t>lawsuits</w:t>
      </w:r>
      <w:r w:rsidRPr="00A710BF">
        <w:rPr>
          <w:rStyle w:val="StyleUnderline"/>
        </w:rPr>
        <w:t xml:space="preserve"> filed </w:t>
      </w:r>
      <w:r w:rsidRPr="002B2095">
        <w:rPr>
          <w:rStyle w:val="StyleUnderline"/>
          <w:highlight w:val="green"/>
        </w:rPr>
        <w:t>in federal court</w:t>
      </w:r>
      <w:r w:rsidRPr="00A710BF">
        <w:rPr>
          <w:rStyle w:val="StyleUnderline"/>
        </w:rPr>
        <w:t xml:space="preserve">.121 </w:t>
      </w:r>
      <w:r w:rsidRPr="00A710BF">
        <w:rPr>
          <w:sz w:val="12"/>
          <w:szCs w:val="12"/>
        </w:rPr>
        <w:t>Immediately following passage of the Civil Rights Fees Act of 1976, Mary Derfner, director of the Lawyers’ Committee’s Attorney’s Fees Project, who testified in favor of the law before Congress, observed that during the first half of the 1970s the fee-shifting provisions in recent civil rights laws helped “public interest law firms burgeon,” and that “[p]rivate practitioners and individual members of smaller commercial law firms began to undertake civil rights cases in addition to their other work.”122 “Fee awards,” she observed, “made civil rights law a financially viable practice.”123 Title VII’s fee provision in particular, explained Armand Derfner, another Lawyers’ Committee attorney who testified in favor of the Civil Rights Fees Act, had “led to the development of a highly skilled group of specialist lawyers” to enforce it.124 A 1977 report of the Ford Foundation on civil rights litigation observed that “[u]ntil at least the mid-1960s the NAACP Legal Defense and Education Fund stood almost alone” as a prosecutor of civil rights suits, but by the mid-1970s</w:t>
      </w:r>
      <w:r w:rsidRPr="00A710BF">
        <w:rPr>
          <w:sz w:val="16"/>
        </w:rPr>
        <w:t xml:space="preserve"> “</w:t>
      </w:r>
      <w:r w:rsidRPr="002B2095">
        <w:rPr>
          <w:rStyle w:val="StyleUnderline"/>
          <w:highlight w:val="green"/>
        </w:rPr>
        <w:t>fee generating</w:t>
      </w:r>
      <w:r w:rsidRPr="00A710BF">
        <w:rPr>
          <w:rStyle w:val="StyleUnderline"/>
        </w:rPr>
        <w:t xml:space="preserve"> private </w:t>
      </w:r>
      <w:r w:rsidRPr="002B2095">
        <w:rPr>
          <w:rStyle w:val="StyleUnderline"/>
          <w:highlight w:val="green"/>
        </w:rPr>
        <w:t>practice</w:t>
      </w:r>
      <w:r w:rsidRPr="00A710BF">
        <w:rPr>
          <w:rStyle w:val="StyleUnderline"/>
        </w:rPr>
        <w:t xml:space="preserve"> has in many areas of the South </w:t>
      </w:r>
      <w:r w:rsidRPr="002B2095">
        <w:rPr>
          <w:rStyle w:val="StyleUnderline"/>
          <w:highlight w:val="green"/>
        </w:rPr>
        <w:t>enabled an</w:t>
      </w:r>
      <w:r w:rsidRPr="00A710BF">
        <w:rPr>
          <w:rStyle w:val="StyleUnderline"/>
        </w:rPr>
        <w:t xml:space="preserve"> </w:t>
      </w:r>
      <w:r w:rsidRPr="002B2095">
        <w:rPr>
          <w:rStyle w:val="StyleUnderline"/>
          <w:highlight w:val="green"/>
        </w:rPr>
        <w:t>indigenous bar</w:t>
      </w:r>
      <w:r w:rsidRPr="00A710BF">
        <w:rPr>
          <w:rStyle w:val="StyleUnderline"/>
        </w:rPr>
        <w:t xml:space="preserve">, engaged in litigating cases of racial discrimination, </w:t>
      </w:r>
      <w:r w:rsidRPr="002B2095">
        <w:rPr>
          <w:rStyle w:val="StyleUnderline"/>
          <w:highlight w:val="green"/>
        </w:rPr>
        <w:t>to survive</w:t>
      </w:r>
      <w:r w:rsidRPr="00A710BF">
        <w:rPr>
          <w:rStyle w:val="StyleUnderline"/>
        </w:rPr>
        <w:t>.</w:t>
      </w:r>
      <w:r w:rsidRPr="00A710BF">
        <w:rPr>
          <w:sz w:val="16"/>
        </w:rPr>
        <w:t>”125 In the same vein, an April 1976 Washington Post article titled “Civil Rights Turns to Gold Lode for Southern Lawyers” declared: “</w:t>
      </w:r>
      <w:r w:rsidRPr="00A710BF">
        <w:rPr>
          <w:rStyle w:val="StyleUnderline"/>
        </w:rPr>
        <w:t>The lure of legal fees, paid by the loser, is fertilizing a whole new practice in civil rights disputes. . . . Congress intended it that way in passing laws specifying that legal fees be awarded in such cases.”</w:t>
      </w:r>
      <w:r w:rsidRPr="00A710BF">
        <w:rPr>
          <w:sz w:val="16"/>
        </w:rPr>
        <w:t xml:space="preserve">126 Although ascertaining what “Congress intended” is often complex and elusive, it seems doubtful that Senator Everett Dirksen intended to create a bar of lawyers who would earn their living suing employers under civil rights laws, at the expense of employers, while Humphrey probably would have been pleased. Thus far this section has been arguing that fee shifting in the new civil rights laws transformed the interest group environment by contributing monetary resources to interest groups that they had an incentive to retain and expand, and by creating a private bar with an incentive to retain and expand this new practice area, which contributed to its livelihood. The incentives faced by interest groups changed in another very important respect. From civil rights groups’ perspective, the new and growing for profit civil rights bar represented an enforcement infrastructure of great policy value that civil rights groups wanted to retain and expand. The utility of this private enforcement infrastructure, civil rights groups believed, was rooted importantly in the failure of executive enforcement, at least partly due to willful evasion of congressional mandates. In the </w:t>
      </w:r>
      <w:r w:rsidRPr="00A710BF">
        <w:rPr>
          <w:sz w:val="16"/>
        </w:rPr>
        <w:lastRenderedPageBreak/>
        <w:t xml:space="preserve">mid-1970s, nonprofit and for-profit civil rights lawyers together complained to congressional committees that federal agencies were failing to enforce congressional mandates. They asserted that “increasingly in recent years” there was a “wide gap between the statutes adopted by Congress and their enforcement by the Executive Branch”; </w:t>
      </w:r>
      <w:r w:rsidRPr="00A710BF">
        <w:rPr>
          <w:rStyle w:val="StyleUnderline"/>
        </w:rPr>
        <w:t xml:space="preserve">that </w:t>
      </w:r>
      <w:r w:rsidRPr="002B2095">
        <w:rPr>
          <w:rStyle w:val="StyleUnderline"/>
          <w:highlight w:val="green"/>
        </w:rPr>
        <w:t>agencies</w:t>
      </w:r>
      <w:r w:rsidRPr="00A710BF">
        <w:rPr>
          <w:rStyle w:val="StyleUnderline"/>
        </w:rPr>
        <w:t xml:space="preserve"> had </w:t>
      </w:r>
      <w:r w:rsidRPr="002B2095">
        <w:rPr>
          <w:rStyle w:val="StyleUnderline"/>
          <w:highlight w:val="green"/>
        </w:rPr>
        <w:t>display</w:t>
      </w:r>
      <w:r w:rsidRPr="00A710BF">
        <w:rPr>
          <w:rStyle w:val="StyleUnderline"/>
        </w:rPr>
        <w:t>ed</w:t>
      </w:r>
      <w:r w:rsidRPr="002B2095">
        <w:rPr>
          <w:rStyle w:val="StyleUnderline"/>
          <w:highlight w:val="green"/>
        </w:rPr>
        <w:t xml:space="preserve"> “</w:t>
      </w:r>
      <w:r w:rsidRPr="000E4042">
        <w:rPr>
          <w:rStyle w:val="StyleUnderline"/>
        </w:rPr>
        <w:t xml:space="preserve">flagrant </w:t>
      </w:r>
      <w:r w:rsidRPr="002B2095">
        <w:rPr>
          <w:rStyle w:val="StyleUnderline"/>
          <w:highlight w:val="green"/>
        </w:rPr>
        <w:t>refusal to comply</w:t>
      </w:r>
      <w:r w:rsidRPr="00A710BF">
        <w:rPr>
          <w:rStyle w:val="StyleUnderline"/>
        </w:rPr>
        <w:t xml:space="preserve"> with the clear language and intent of Congress”;127 that “[</w:t>
      </w:r>
      <w:r w:rsidRPr="002B2095">
        <w:rPr>
          <w:rStyle w:val="StyleUnderline"/>
          <w:highlight w:val="green"/>
        </w:rPr>
        <w:t>a]gencies are not doing their jobs</w:t>
      </w:r>
      <w:r w:rsidRPr="00A710BF">
        <w:rPr>
          <w:rStyle w:val="StyleUnderline"/>
        </w:rPr>
        <w:t>”;128 that the Justice Department had decided “to generally not enforce” important civil rights laws;129 and that as a result private lawyers were needed to do “the work the government should do.”</w:t>
      </w:r>
      <w:r w:rsidRPr="00A710BF">
        <w:rPr>
          <w:sz w:val="16"/>
        </w:rPr>
        <w:t xml:space="preserve">130 Representatives of leading national civil rights and other law reform organizations—including the Lawyers’ Committee, the ACLU, the National Organization for Women’s Legal Defense Fund, the Council for Public Interest Law, and the Center for Law and Social Policy—urged Congress that fee shifting was a solution to this enforcement problem. </w:t>
      </w:r>
      <w:r w:rsidRPr="00A710BF">
        <w:rPr>
          <w:rStyle w:val="StyleUnderline"/>
        </w:rPr>
        <w:t xml:space="preserve">Allowing </w:t>
      </w:r>
      <w:r w:rsidRPr="002B2095">
        <w:rPr>
          <w:rStyle w:val="StyleUnderline"/>
          <w:highlight w:val="green"/>
        </w:rPr>
        <w:t>civil rights plaintiffs</w:t>
      </w:r>
      <w:r w:rsidRPr="00A710BF">
        <w:rPr>
          <w:rStyle w:val="StyleUnderline"/>
        </w:rPr>
        <w:t xml:space="preserve"> to </w:t>
      </w:r>
      <w:r w:rsidRPr="002B2095">
        <w:rPr>
          <w:rStyle w:val="StyleUnderline"/>
          <w:highlight w:val="green"/>
        </w:rPr>
        <w:t>recover fees</w:t>
      </w:r>
      <w:r w:rsidRPr="00A710BF">
        <w:rPr>
          <w:rStyle w:val="StyleUnderline"/>
        </w:rPr>
        <w:t xml:space="preserve">, they maintained, was a way to </w:t>
      </w:r>
      <w:r w:rsidRPr="002B2095">
        <w:rPr>
          <w:rStyle w:val="StyleUnderline"/>
          <w:highlight w:val="green"/>
        </w:rPr>
        <w:t>create</w:t>
      </w:r>
      <w:r w:rsidRPr="00A710BF">
        <w:rPr>
          <w:rStyle w:val="StyleUnderline"/>
        </w:rPr>
        <w:t xml:space="preserve"> a </w:t>
      </w:r>
      <w:r w:rsidRPr="002B2095">
        <w:rPr>
          <w:rStyle w:val="StyleUnderline"/>
          <w:highlight w:val="green"/>
        </w:rPr>
        <w:t>well-trained</w:t>
      </w:r>
      <w:r w:rsidRPr="00A710BF">
        <w:rPr>
          <w:rStyle w:val="StyleUnderline"/>
        </w:rPr>
        <w:t xml:space="preserve"> bar of private for-profit </w:t>
      </w:r>
      <w:r w:rsidRPr="002B2095">
        <w:rPr>
          <w:rStyle w:val="StyleUnderline"/>
          <w:highlight w:val="green"/>
        </w:rPr>
        <w:t>lawyers that would be ready, willing, and able to</w:t>
      </w:r>
      <w:r w:rsidRPr="00A710BF">
        <w:rPr>
          <w:rStyle w:val="StyleUnderline"/>
        </w:rPr>
        <w:t xml:space="preserve"> execute the </w:t>
      </w:r>
      <w:r w:rsidRPr="002B2095">
        <w:rPr>
          <w:rStyle w:val="StyleUnderline"/>
          <w:highlight w:val="green"/>
        </w:rPr>
        <w:t>enforceme</w:t>
      </w:r>
      <w:r w:rsidRPr="00A710BF">
        <w:rPr>
          <w:rStyle w:val="StyleUnderline"/>
        </w:rPr>
        <w:t>nt function</w:t>
      </w:r>
      <w:r w:rsidRPr="00A710BF">
        <w:rPr>
          <w:sz w:val="16"/>
        </w:rPr>
        <w:t xml:space="preserve">.131 </w:t>
      </w:r>
      <w:r w:rsidRPr="00A710BF">
        <w:rPr>
          <w:sz w:val="8"/>
          <w:szCs w:val="8"/>
        </w:rPr>
        <w:t>Based upon recent experience with civil rights laws that allowed fee recovery for successful plaintiffs, civil rights groups had come to see the private for-profit bar as a resource to be leveraged, through fee-shifting rules, to supply a core law enforcement infrastructure that the state either would not or could not provide directly. During this period legal advocacy organizations argued for general fee-shifting legislation to cover not only civil rights cases, but also environmental, consumer protection, and other “public interest” litigation in general, frequently citing the CRA of 1964 as the exemplar and as the justificatory precedent for this approach to regulation.132 It should be noted that this discussion of policy feedback has been focused on fee-shifting provisions and not appointment of counsel. Title VII’s appointment-of-counsel provision, although controversial when enacted, proved to be a dog that didn’t bark. Congress never appropriated funds to pay appointed counsel and cover the extensive outlay of costs that often attend litigation, and courts proved unwilling to make compulsory appointments that would entail requiring attorneys to provide free legal services and bear litigation costs.133 One Alabama district judge concluded, more than a little ironically, that Title VII’s provision authorizing appointment of counsel, apparently without compensation, violated the Thirteenth Amendment’s prohibition of involuntary servitude.134 Courts would only seek to coordinate voluntary free representation, which had obvious limits. The fee-shifting provision, on the other hand, operating as a source of funding for civil rights litigation independent of congressional budget allocations, was proving to be a reliable mechanism through which civil rights counsel would be paid if the plaintiff prevailed. The burgeoning civil rights bar—both nonprofit and for-profit— fertilized by private rights of action coupled with fee-shifting rules in the new civil rights laws, sought to extend the CRA of 1964’s fee-shifting approach to cover all existing civil rights laws that allowed private enforcement but did not provide for fee recovery. In the early to mid-1970s, the civil rights bar pursued its goal of across-the-board fee shifting in civil rights cases on both judicial and legislative tracks. Basing their arguments explicitly on the precedent of the 1964 act, both nonprofit and for-profit civil rights lawyers pressed courts to infer the availability of attorney’s fees under civil rights statutes lacking fee-shifting provisions, including the CRAs of 1866 and 1871.135 Although this court-based campaign met with some success in the early 1970s,136 it was shut down in 1975 by the Supreme Court in Alyeska Pipeline Service Co. v. Wilderness Society, 137 where the Court held that any departures from the American rule on fees would have to take the form of an explicit statutory directive from Congress. During the same period, civil rights groups had been lobbying Congress for omnibus civil rights fee-shifting legislation to statutorily extend the CRA of 1964’s fee-shifting provision to other civil rights laws lacking one.138 In response to the Alyeska decision, civil rights groups, organized and represented by NAACP lead lobbyist Clarence Mitchell, lobbied Democrats in Congress and succeeded in securing passage of the Civil Rights Fees Act of 1976.139</w:t>
      </w:r>
    </w:p>
    <w:p w14:paraId="4F7B087D" w14:textId="77777777" w:rsidR="00365070" w:rsidRPr="00A710BF" w:rsidRDefault="00365070" w:rsidP="00365070">
      <w:pPr>
        <w:rPr>
          <w:sz w:val="16"/>
        </w:rPr>
      </w:pPr>
      <w:r w:rsidRPr="00A710BF">
        <w:rPr>
          <w:sz w:val="8"/>
          <w:szCs w:val="8"/>
        </w:rPr>
        <w:t>In conjunction with the feedback effects that increased demand for civil rights fee shifting by fostering the growth of the civil rights bar and its dependence on fee awards, self-reinforcing feedback from the CRA of 1964 also operated through the mechanism of policy learning. Recall that when the Dirksen compromise was struck, liberal civil rights advocates were disappointed at the loss of an administrative framework partly because they were concerned that the fee-shifting provision would not overcome impediments to private enforcement litigation in the job discrimination context and thus would not generate a sufficient volume of suits to meet day-to-day enforcement requirements. Immediately following Title VII’s passage, for example, Richard Berg, a civil rights proponent high in the Kennedy Justice Department and soon to be EEOC general counsel, warned that private litigation was limited as an enforcement strategy. Because litigation was costly and time-consuming, and the pool of potential plaintiffs was poor, vulnerable to retaliation, and facing an adversary with far more material and legal resources, said Berg, “[E]ven where the evidence of discrimination is overwhelming, it cannot be expected that many complainants will undertake the burden of an individual suit.” Thus, he continued, “[I]t seems questionable that much can be accomplished through suits in federal court by persons aggrieved by acts of discrimination.”140 This view was shared by the Leadership Conference, the NAACP, the LDF, and the civil rights community broadly.141 Of course, civil rights advocates were well aware of civil rights groups’ capacity to shape the law through impact litigation, as the NAACP had done in the campaign leading to the momentous Brown decision, but they lacked the resources to provide day-to-day enforcement of ordinary claims across the nation. This concern, widely shared among civil rights activists, was not unfounded. In 1963, the year in which Title VII was introduced, there had been only 424 private civil rights enforcement actions across the country, under all federal civil rights statutes that allowed (or had been interpreted to allow) private enforcement, including the CRAs of 1866, 1870, 1871, 1957, and 1960, and under state civil rights laws brought in federal court via diversity jurisdiction.142 The lion’s share of these suits were brought under the Civil Rights Act of 1871’s sweeping cause of action for the violation of any federal right by a state actor.143 By 1975, as we have seen, there were about ten times that number (4,002) of job discrimination suits alone.</w:t>
      </w:r>
      <w:r w:rsidRPr="00A710BF">
        <w:rPr>
          <w:sz w:val="16"/>
        </w:rPr>
        <w:t xml:space="preserve"> </w:t>
      </w:r>
      <w:r w:rsidRPr="002B2095">
        <w:rPr>
          <w:rStyle w:val="StyleUnderline"/>
          <w:highlight w:val="green"/>
        </w:rPr>
        <w:t>Title VII</w:t>
      </w:r>
      <w:r w:rsidRPr="00A710BF">
        <w:rPr>
          <w:rStyle w:val="StyleUnderline"/>
        </w:rPr>
        <w:t xml:space="preserve">’s private enforcement regime had </w:t>
      </w:r>
      <w:r w:rsidRPr="002B2095">
        <w:rPr>
          <w:rStyle w:val="StyleUnderline"/>
          <w:highlight w:val="green"/>
        </w:rPr>
        <w:t xml:space="preserve">succeeded in generating levels of </w:t>
      </w:r>
      <w:r w:rsidRPr="00A710BF">
        <w:rPr>
          <w:rStyle w:val="StyleUnderline"/>
        </w:rPr>
        <w:t xml:space="preserve">private </w:t>
      </w:r>
      <w:r w:rsidRPr="002B2095">
        <w:rPr>
          <w:rStyle w:val="StyleUnderline"/>
          <w:highlight w:val="green"/>
        </w:rPr>
        <w:t xml:space="preserve">civil rights enforcement unprecedented in </w:t>
      </w:r>
      <w:r w:rsidRPr="00A710BF">
        <w:rPr>
          <w:rStyle w:val="StyleUnderline"/>
        </w:rPr>
        <w:t>American</w:t>
      </w:r>
      <w:r w:rsidRPr="002B2095">
        <w:rPr>
          <w:rStyle w:val="StyleUnderline"/>
          <w:highlight w:val="green"/>
        </w:rPr>
        <w:t xml:space="preserve"> history.</w:t>
      </w:r>
      <w:r w:rsidRPr="00A710BF">
        <w:rPr>
          <w:rStyle w:val="StyleUnderline"/>
        </w:rPr>
        <w:t xml:space="preserve"> </w:t>
      </w:r>
      <w:r w:rsidRPr="00A710BF">
        <w:rPr>
          <w:sz w:val="16"/>
        </w:rPr>
        <w:t xml:space="preserve">The genesis and growth of the private civil rights bar, in addition to creating demand to expand fee shifting across the entire field of civil rights, also stood as evidence weighing against initial skepticism among civil rights advocates about the efficacy of fee shifting as a mechanism for generating a significant volume of private enforcement. It is this process of policy learning that led civil rights groups to regard the burgeoning for-profit civil rights bar as a new infrastructural resource to defend and expand. On this particular point the two pathways of policy feedback— the transformation of incentives facing interest groups, and policy learning—were intertwined: civil rights groups learned about the utility of a resource and then wanted to cultivate it. </w:t>
      </w:r>
      <w:r w:rsidRPr="00A710BF">
        <w:rPr>
          <w:rStyle w:val="StyleUnderline"/>
        </w:rPr>
        <w:t xml:space="preserve">Legislators, like civil rights groups, after witnessing the historically unprecedented levels of private civil rights enforcement under Titles II and VII of the CRA of 1964, concluded that </w:t>
      </w:r>
      <w:r w:rsidRPr="002B2095">
        <w:rPr>
          <w:rStyle w:val="StyleUnderline"/>
          <w:highlight w:val="green"/>
        </w:rPr>
        <w:t>fee shifting</w:t>
      </w:r>
      <w:r w:rsidRPr="00A710BF">
        <w:rPr>
          <w:rStyle w:val="StyleUnderline"/>
        </w:rPr>
        <w:t xml:space="preserve"> had </w:t>
      </w:r>
      <w:r w:rsidRPr="002B2095">
        <w:rPr>
          <w:rStyle w:val="StyleUnderline"/>
          <w:highlight w:val="green"/>
        </w:rPr>
        <w:t>proven decisive</w:t>
      </w:r>
      <w:r w:rsidRPr="00A710BF">
        <w:rPr>
          <w:rStyle w:val="StyleUnderline"/>
        </w:rPr>
        <w:t xml:space="preserve"> </w:t>
      </w:r>
      <w:r w:rsidRPr="002B2095">
        <w:rPr>
          <w:rStyle w:val="StyleUnderline"/>
          <w:highlight w:val="green"/>
        </w:rPr>
        <w:t>in mobilizing private civil rights</w:t>
      </w:r>
      <w:r w:rsidRPr="00A710BF">
        <w:rPr>
          <w:rStyle w:val="StyleUnderline"/>
        </w:rPr>
        <w:t xml:space="preserve"> enforcers, and they weighed this result in favor of expanding the policy. According to the Senate report for the Civil Rights Fees Act of 1976: “In 1964, seeking to assure full compliance with the Civil Rights Act of that year, we authorized fee shifting for private suits establishing violations of the public accommodations and equal employment provisions. . . . </w:t>
      </w:r>
      <w:r w:rsidRPr="002B2095">
        <w:rPr>
          <w:rStyle w:val="StyleUnderline"/>
          <w:highlight w:val="green"/>
        </w:rPr>
        <w:t>These</w:t>
      </w:r>
      <w:r w:rsidRPr="00A710BF">
        <w:rPr>
          <w:rStyle w:val="StyleUnderline"/>
        </w:rPr>
        <w:t xml:space="preserve"> fee shifting </w:t>
      </w:r>
      <w:r w:rsidRPr="002B2095">
        <w:rPr>
          <w:rStyle w:val="StyleUnderline"/>
          <w:highlight w:val="green"/>
        </w:rPr>
        <w:t xml:space="preserve">provisions have been </w:t>
      </w:r>
      <w:r w:rsidRPr="00A710BF">
        <w:rPr>
          <w:rStyle w:val="StyleUnderline"/>
        </w:rPr>
        <w:t xml:space="preserve">successful in </w:t>
      </w:r>
      <w:r w:rsidRPr="002B2095">
        <w:rPr>
          <w:rStyle w:val="StyleUnderline"/>
          <w:highlight w:val="green"/>
        </w:rPr>
        <w:t>enabling vigorous enforcement of</w:t>
      </w:r>
      <w:r w:rsidRPr="00A710BF">
        <w:rPr>
          <w:rStyle w:val="StyleUnderline"/>
        </w:rPr>
        <w:t xml:space="preserve"> modern </w:t>
      </w:r>
      <w:r w:rsidRPr="002B2095">
        <w:rPr>
          <w:rStyle w:val="StyleUnderline"/>
          <w:highlight w:val="green"/>
        </w:rPr>
        <w:t>civil rights</w:t>
      </w:r>
      <w:r w:rsidRPr="00A710BF">
        <w:rPr>
          <w:rStyle w:val="StyleUnderline"/>
        </w:rPr>
        <w:t xml:space="preserve"> legislation.”</w:t>
      </w:r>
      <w:r w:rsidRPr="00A710BF">
        <w:rPr>
          <w:sz w:val="16"/>
        </w:rPr>
        <w:t xml:space="preserve">144 This policy-learning account was repeated time and again in floor statements. Senate minority leader Hugh Scott (R-PA) stated that, based upon experience with Title VII, </w:t>
      </w:r>
      <w:r w:rsidRPr="00A710BF">
        <w:rPr>
          <w:rStyle w:val="StyleUnderline"/>
        </w:rPr>
        <w:t>“[a]ttorney’s fees have proven to be a singularly effective and flexible way to encourage private enforcement of public rights.</w:t>
      </w:r>
      <w:r w:rsidRPr="00A710BF">
        <w:rPr>
          <w:sz w:val="16"/>
        </w:rPr>
        <w:t xml:space="preserve">”145 Senator John Tunney (D-CA), who sponsored the bill, remarked that “[a]ttorneys’ fees have proved one extremely effective way to provide . . . equal legal resources” in civil rights cases.146 Senator James Abourezk (D-SD) observed, “The fee-shifting mechanism has proved a particularly equitable and efficient means of enforcing the [civil rights] laws by enlisting private citizens as law enforcement officials.”147 The characterizations of fee shifting as “singularly flexible” and “particularly efficient” are meant in comparison to bureaucracy, a comparison that was an important theme in the debate. </w:t>
      </w:r>
      <w:r w:rsidRPr="00A710BF">
        <w:rPr>
          <w:rStyle w:val="StyleUnderline"/>
        </w:rPr>
        <w:t xml:space="preserve">There was widespread agreement that </w:t>
      </w:r>
      <w:r w:rsidRPr="002B2095">
        <w:rPr>
          <w:rStyle w:val="StyleUnderline"/>
          <w:highlight w:val="green"/>
        </w:rPr>
        <w:t>the administrative state</w:t>
      </w:r>
      <w:r w:rsidRPr="00A710BF">
        <w:rPr>
          <w:rStyle w:val="StyleUnderline"/>
        </w:rPr>
        <w:t xml:space="preserve">, as it was currently constituted, </w:t>
      </w:r>
      <w:r w:rsidRPr="002B2095">
        <w:rPr>
          <w:rStyle w:val="StyleUnderline"/>
          <w:highlight w:val="green"/>
        </w:rPr>
        <w:t>lacked the capacity to</w:t>
      </w:r>
      <w:r w:rsidRPr="00A710BF">
        <w:rPr>
          <w:rStyle w:val="StyleUnderline"/>
        </w:rPr>
        <w:t xml:space="preserve"> adequately </w:t>
      </w:r>
      <w:r w:rsidRPr="002B2095">
        <w:rPr>
          <w:rStyle w:val="StyleUnderline"/>
          <w:highlight w:val="green"/>
        </w:rPr>
        <w:t xml:space="preserve">enforce </w:t>
      </w:r>
      <w:r w:rsidRPr="00A710BF">
        <w:rPr>
          <w:rStyle w:val="StyleUnderline"/>
        </w:rPr>
        <w:t xml:space="preserve">the </w:t>
      </w:r>
      <w:r w:rsidRPr="002B2095">
        <w:rPr>
          <w:rStyle w:val="StyleUnderline"/>
          <w:highlight w:val="green"/>
        </w:rPr>
        <w:t>civil rights</w:t>
      </w:r>
      <w:r w:rsidRPr="00A710BF">
        <w:rPr>
          <w:rStyle w:val="StyleUnderline"/>
        </w:rPr>
        <w:t xml:space="preserve"> laws in question. </w:t>
      </w:r>
      <w:r w:rsidRPr="00A710BF">
        <w:rPr>
          <w:sz w:val="16"/>
        </w:rPr>
        <w:t xml:space="preserve">According to the Senate report, private enforcement of these laws was necessary because “[a]lthough some agencies of the United States have civil rights responsibilities, their authority and resources are limited.”148 “Long experience has demonstrated,” Senator Edward Kennedy (D-MA) counseled, “that government enforcement alone cannot accomplish [enforcement goals],”149 a view echoed by sponsor Tunney, who observed, “Although some of these laws can be enforced by the Justice Department or other Federal agencies, most of the responsibility for enforcement has to rest upon private citizens.”150 The main reason was simple: money. “The Justice Department does not have the resources to bring suit for every civil rights violation,” explained Representative Elizabeth Holtzman (D-NY).151 “The Government obviously does not have the resources to investigate all possible violations of the Constitution,” concurred Representative John Seiberling (D-OH), “so a great burden falls directly on the victims to enforce their own rights.”152 Although it may have been obvious, as Seiberling suggests, that the government had not dedicated significant resources to </w:t>
      </w:r>
      <w:r w:rsidRPr="00A710BF">
        <w:rPr>
          <w:sz w:val="16"/>
        </w:rPr>
        <w:lastRenderedPageBreak/>
        <w:t xml:space="preserve">enforcing the civil rights laws in question, it was actually not at all obvious that it was incapable of extracting and deploying those resources, particularly if one considered the possibility of far less costly administrative implementation. Rather, legislators found fee shifting to be a more attractive alternative. </w:t>
      </w:r>
      <w:r w:rsidRPr="002B2095">
        <w:rPr>
          <w:rStyle w:val="StyleUnderline"/>
          <w:highlight w:val="green"/>
        </w:rPr>
        <w:t xml:space="preserve">Fee shifting represented a way of overcoming </w:t>
      </w:r>
      <w:r w:rsidRPr="00A710BF">
        <w:rPr>
          <w:rStyle w:val="StyleUnderline"/>
        </w:rPr>
        <w:t xml:space="preserve">weak administrative </w:t>
      </w:r>
      <w:r w:rsidRPr="002B2095">
        <w:rPr>
          <w:rStyle w:val="StyleUnderline"/>
          <w:highlight w:val="green"/>
        </w:rPr>
        <w:t>state</w:t>
      </w:r>
      <w:r w:rsidRPr="00A710BF">
        <w:rPr>
          <w:rStyle w:val="StyleUnderline"/>
        </w:rPr>
        <w:t xml:space="preserve"> </w:t>
      </w:r>
      <w:r w:rsidRPr="002B2095">
        <w:rPr>
          <w:rStyle w:val="StyleUnderline"/>
          <w:highlight w:val="green"/>
        </w:rPr>
        <w:t>capacity without engaging in conventional forms of state building</w:t>
      </w:r>
      <w:r w:rsidRPr="00A710BF">
        <w:rPr>
          <w:rStyle w:val="StyleUnderline"/>
        </w:rPr>
        <w:t>. As the Senate report put it, fee shifting provided for enforcement “while at the same time limiting the growth of the enforcement bureaucracy</w:t>
      </w:r>
      <w:r w:rsidRPr="00A710BF">
        <w:rPr>
          <w:sz w:val="16"/>
        </w:rPr>
        <w:t>.”153 This had been a key part of Dirksen’s motivation, and it continued to appeal to many Republicans. Successfully mobilizing private litigants, explained Hugh Scott, who succeeded Dirksen as Senate minority leader, “would make the civil rights laws almost self-enforcing, . . . would cost the government nothing,” and would advance civil rights enforcement “without an increase . . . in the bureaucracy.”154 In the same vein, Senator Charles McCurdy Mathias (R-MD), who favored passing the act, cited a Congressional Budget Office finding that the law would produce “no additional costs to the government.”155 In viewing fee shifting as a source of costless and bureaucracy-free enforcement, Democrats joined Republicans. “Fee shifting provides a mechanism which can give full effect to our civil rights laws,” explained Senator Kennedy, “at no added cost to Government.”156 “The fee-shifting mechanism,” agreed Senator Abourezk, “increases law enforcement without increasing the Federal budget or bureaucracy.”157 Although there is no evidence that budget concerns were an important cause of the private enforcement settlement of 1964, it emerged as a justification for spreading fee shifting across the field of civil rights by the mid-1970s— a justification that braided naturally with antibureaucracy sentiments. ///</w:t>
      </w:r>
    </w:p>
    <w:p w14:paraId="3E01887D" w14:textId="77777777" w:rsidR="00365070" w:rsidRPr="00A710BF" w:rsidRDefault="00365070" w:rsidP="00365070">
      <w:pPr>
        <w:pStyle w:val="Heading4"/>
        <w:rPr>
          <w:rFonts w:cs="Calibri"/>
        </w:rPr>
      </w:pPr>
      <w:r w:rsidRPr="00A710BF">
        <w:rPr>
          <w:rFonts w:cs="Calibri"/>
        </w:rPr>
        <w:t>There are lawyers engaging in the ground work against the administration right now</w:t>
      </w:r>
    </w:p>
    <w:p w14:paraId="5BDDFE86" w14:textId="77777777" w:rsidR="00365070" w:rsidRPr="00A710BF" w:rsidRDefault="00365070" w:rsidP="00365070">
      <w:pPr>
        <w:rPr>
          <w:sz w:val="16"/>
          <w:szCs w:val="16"/>
        </w:rPr>
      </w:pPr>
      <w:r w:rsidRPr="00CE30D3">
        <w:rPr>
          <w:rStyle w:val="Style13ptBold"/>
        </w:rPr>
        <w:t>Knutson 25 (</w:t>
      </w:r>
      <w:r w:rsidRPr="00A710BF">
        <w:rPr>
          <w:sz w:val="16"/>
          <w:szCs w:val="16"/>
        </w:rPr>
        <w:t xml:space="preserve">Jacob is a reporter at Democracy Docket and covers anti-Trump accountability litigation. He is from South Dakota and earned a bachelor’s degree in journalism, English and political science from Augustana University. Before joining Democracy Docket, he covered breaking news at Axios. “Trump’s Stunning Streak of Losses in Lower Courts,” </w:t>
      </w:r>
      <w:r w:rsidRPr="00A710BF">
        <w:rPr>
          <w:i/>
          <w:iCs/>
          <w:sz w:val="16"/>
          <w:szCs w:val="16"/>
        </w:rPr>
        <w:t xml:space="preserve">Democracy Docket, </w:t>
      </w:r>
      <w:r w:rsidRPr="00A710BF">
        <w:rPr>
          <w:sz w:val="16"/>
          <w:szCs w:val="16"/>
        </w:rPr>
        <w:t>05/29/25, https://www.democracydocket.com/news-alerts/trump-lower-court-streak-legal-losses/) CT</w:t>
      </w:r>
    </w:p>
    <w:p w14:paraId="6E7A2FB9" w14:textId="77777777" w:rsidR="00365070" w:rsidRPr="00A710BF" w:rsidRDefault="00365070" w:rsidP="00365070">
      <w:r w:rsidRPr="00A710BF">
        <w:rPr>
          <w:rStyle w:val="StyleUnderline"/>
        </w:rPr>
        <w:t xml:space="preserve">While President Donald </w:t>
      </w:r>
      <w:r w:rsidRPr="002B2095">
        <w:rPr>
          <w:rStyle w:val="StyleUnderline"/>
          <w:highlight w:val="green"/>
        </w:rPr>
        <w:t>Trump</w:t>
      </w:r>
      <w:r w:rsidRPr="00A710BF">
        <w:rPr>
          <w:rStyle w:val="StyleUnderline"/>
        </w:rPr>
        <w:t xml:space="preserve"> has had mixed success before the Supreme Court, he’s </w:t>
      </w:r>
      <w:r w:rsidRPr="002B2095">
        <w:rPr>
          <w:rStyle w:val="StyleUnderline"/>
          <w:highlight w:val="green"/>
        </w:rPr>
        <w:t>getting crushed in</w:t>
      </w:r>
      <w:r w:rsidRPr="00A710BF">
        <w:rPr>
          <w:rStyle w:val="StyleUnderline"/>
        </w:rPr>
        <w:t xml:space="preserve"> the </w:t>
      </w:r>
      <w:r w:rsidRPr="002B2095">
        <w:rPr>
          <w:rStyle w:val="StyleUnderline"/>
          <w:highlight w:val="green"/>
        </w:rPr>
        <w:t>lower courts.</w:t>
      </w:r>
      <w:r w:rsidRPr="00A710BF">
        <w:rPr>
          <w:rStyle w:val="StyleUnderline"/>
        </w:rPr>
        <w:t xml:space="preserve"> The Trump </w:t>
      </w:r>
      <w:r w:rsidRPr="002B2095">
        <w:rPr>
          <w:rStyle w:val="StyleUnderline"/>
          <w:highlight w:val="green"/>
        </w:rPr>
        <w:t>administration has lost</w:t>
      </w:r>
      <w:r w:rsidRPr="00A710BF">
        <w:rPr>
          <w:rStyle w:val="StyleUnderline"/>
        </w:rPr>
        <w:t xml:space="preserve"> a shocking </w:t>
      </w:r>
      <w:r w:rsidRPr="002B2095">
        <w:rPr>
          <w:rStyle w:val="StyleUnderline"/>
          <w:highlight w:val="green"/>
        </w:rPr>
        <w:t>96% of rulings</w:t>
      </w:r>
      <w:r w:rsidRPr="00A710BF">
        <w:rPr>
          <w:rStyle w:val="StyleUnderline"/>
        </w:rPr>
        <w:t xml:space="preserve"> in federal district courts so far this month, according to a recent analysis by Adam Bonica, a professor of political science at Stanford. </w:t>
      </w:r>
      <w:r w:rsidRPr="00A710BF">
        <w:t xml:space="preserve">Bonica’s data indicates that judges across the ideological spectrum are ruling against Trump at similar rates. He’s lost in 72% of rulings issued by Republican-appointed judges and 80% of rulings by Democratic-appointed judges. Trump’s cross-ideological loss rate is likely due to several factors. A flood of </w:t>
      </w:r>
      <w:r w:rsidRPr="002B2095">
        <w:rPr>
          <w:rStyle w:val="StyleUnderline"/>
          <w:highlight w:val="green"/>
        </w:rPr>
        <w:t>officials have left</w:t>
      </w:r>
      <w:r w:rsidRPr="00A710BF">
        <w:rPr>
          <w:rStyle w:val="StyleUnderline"/>
        </w:rPr>
        <w:t xml:space="preserve">, or been purged from, the Department of Justice, </w:t>
      </w:r>
      <w:r w:rsidRPr="002B2095">
        <w:rPr>
          <w:rStyle w:val="StyleUnderline"/>
          <w:highlight w:val="green"/>
        </w:rPr>
        <w:t>which</w:t>
      </w:r>
      <w:r w:rsidRPr="00A710BF">
        <w:rPr>
          <w:rStyle w:val="StyleUnderline"/>
        </w:rPr>
        <w:t xml:space="preserve"> has likely </w:t>
      </w:r>
      <w:r w:rsidRPr="002B2095">
        <w:rPr>
          <w:rStyle w:val="StyleUnderline"/>
          <w:highlight w:val="green"/>
        </w:rPr>
        <w:t>added to</w:t>
      </w:r>
      <w:r w:rsidRPr="00A710BF">
        <w:rPr>
          <w:rStyle w:val="StyleUnderline"/>
        </w:rPr>
        <w:t xml:space="preserve"> the </w:t>
      </w:r>
      <w:r w:rsidRPr="002B2095">
        <w:rPr>
          <w:rStyle w:val="StyleUnderline"/>
          <w:highlight w:val="green"/>
        </w:rPr>
        <w:t>workloads for those who remained or new hires. This increases</w:t>
      </w:r>
      <w:r w:rsidRPr="00A710BF">
        <w:rPr>
          <w:rStyle w:val="StyleUnderline"/>
        </w:rPr>
        <w:t xml:space="preserve"> the likelihood of </w:t>
      </w:r>
      <w:r w:rsidRPr="002B2095">
        <w:rPr>
          <w:rStyle w:val="StyleUnderline"/>
          <w:highlight w:val="green"/>
        </w:rPr>
        <w:t>mistakes</w:t>
      </w:r>
      <w:r w:rsidRPr="00A710BF">
        <w:rPr>
          <w:rStyle w:val="StyleUnderline"/>
        </w:rPr>
        <w:t xml:space="preserve"> or poor planning, potentially leading to unconvincing arguments </w:t>
      </w:r>
      <w:r w:rsidRPr="002B2095">
        <w:rPr>
          <w:rStyle w:val="StyleUnderline"/>
          <w:highlight w:val="green"/>
        </w:rPr>
        <w:t>before judges</w:t>
      </w:r>
      <w:r w:rsidRPr="00A710BF">
        <w:rPr>
          <w:rStyle w:val="StyleUnderline"/>
        </w:rPr>
        <w:t>.</w:t>
      </w:r>
      <w:r w:rsidRPr="00A710BF">
        <w:t xml:space="preserve"> Trump’s going after the legal profession itself as well. </w:t>
      </w:r>
      <w:r w:rsidRPr="00A710BF">
        <w:rPr>
          <w:rStyle w:val="StyleUnderline"/>
        </w:rPr>
        <w:t xml:space="preserve">In arresting judges, attacking the courts, targeting lawyers and legal organizations, </w:t>
      </w:r>
      <w:r w:rsidRPr="002B2095">
        <w:rPr>
          <w:rStyle w:val="StyleUnderline"/>
          <w:highlight w:val="green"/>
        </w:rPr>
        <w:t>Trump set the legal profession</w:t>
      </w:r>
      <w:r w:rsidRPr="00A710BF">
        <w:rPr>
          <w:rStyle w:val="StyleUnderline"/>
        </w:rPr>
        <w:t xml:space="preserve"> as a whole </w:t>
      </w:r>
      <w:r w:rsidRPr="002B2095">
        <w:rPr>
          <w:rStyle w:val="StyleUnderline"/>
          <w:highlight w:val="green"/>
        </w:rPr>
        <w:t>on the defensive. Judges</w:t>
      </w:r>
      <w:r w:rsidRPr="00A710BF">
        <w:rPr>
          <w:rStyle w:val="StyleUnderline"/>
        </w:rPr>
        <w:t xml:space="preserve"> may now be acutely sensitive to challenges to their authority </w:t>
      </w:r>
      <w:r w:rsidRPr="002B2095">
        <w:rPr>
          <w:rStyle w:val="StyleUnderline"/>
          <w:highlight w:val="green"/>
        </w:rPr>
        <w:t>and</w:t>
      </w:r>
      <w:r w:rsidRPr="00A710BF">
        <w:rPr>
          <w:rStyle w:val="StyleUnderline"/>
        </w:rPr>
        <w:t xml:space="preserve"> far </w:t>
      </w:r>
      <w:r w:rsidRPr="002B2095">
        <w:rPr>
          <w:rStyle w:val="StyleUnderline"/>
          <w:highlight w:val="green"/>
        </w:rPr>
        <w:t>less willing to give the government the</w:t>
      </w:r>
      <w:r w:rsidRPr="00A710BF">
        <w:rPr>
          <w:rStyle w:val="StyleUnderline"/>
        </w:rPr>
        <w:t xml:space="preserve"> </w:t>
      </w:r>
      <w:r w:rsidRPr="002B2095">
        <w:rPr>
          <w:rStyle w:val="StyleUnderline"/>
          <w:highlight w:val="green"/>
        </w:rPr>
        <w:t>benefit of the doubt</w:t>
      </w:r>
      <w:r w:rsidRPr="00A710BF">
        <w:rPr>
          <w:rStyle w:val="StyleUnderline"/>
        </w:rPr>
        <w:t xml:space="preserve"> in certain cases. </w:t>
      </w:r>
      <w:r w:rsidRPr="00A710BF">
        <w:t xml:space="preserve">But most important, it’s the result of what Trump is attempting. He’s trying to execute the largest expansion of executive power in modern U.S. history, seeking to not only solidify control over the executive branch but purloin power from the other branches as well. He’s also undermining the fundamental freedoms and foundational legal principles, like due process and habeas corpus. Naturally, it would be immensely difficult for those who have sworn an oath to support the Constitution to rule in favor of actions — such as changing the prevailing interpretation of the 14th Amendment by decree — that blatantly undermine it. In short, </w:t>
      </w:r>
      <w:r w:rsidRPr="00A710BF">
        <w:rPr>
          <w:rStyle w:val="StyleUnderline"/>
        </w:rPr>
        <w:t xml:space="preserve">much of what Trump is trying to do appears to be illegal, so </w:t>
      </w:r>
      <w:r w:rsidRPr="002B2095">
        <w:rPr>
          <w:rStyle w:val="StyleUnderline"/>
          <w:highlight w:val="green"/>
        </w:rPr>
        <w:t>it’s no surprise</w:t>
      </w:r>
      <w:r w:rsidRPr="00A710BF">
        <w:rPr>
          <w:rStyle w:val="StyleUnderline"/>
        </w:rPr>
        <w:t xml:space="preserve"> that that’s </w:t>
      </w:r>
      <w:r w:rsidRPr="002B2095">
        <w:rPr>
          <w:rStyle w:val="StyleUnderline"/>
          <w:highlight w:val="green"/>
        </w:rPr>
        <w:t>what the courts are finding.</w:t>
      </w:r>
      <w:r w:rsidRPr="00A710BF">
        <w:t xml:space="preserve"> Still, these court orders against Trump may be short lived. As Bonica noted, these cases will move on to the appellate courts, where conservative circuit judges are more ideologically aligned with the president. Eventually, they may also reach the Supreme Court, which, as indicated by its preliminary ruling on Wilcox’s and Harris’ dismissals, is still largely deferential to executive power — and to Trump.</w:t>
      </w:r>
    </w:p>
    <w:p w14:paraId="54188BC3" w14:textId="77777777" w:rsidR="00DA1143" w:rsidRPr="00365070" w:rsidRDefault="00DA1143" w:rsidP="00365070"/>
    <w:sectPr w:rsidR="00DA1143" w:rsidRPr="00365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41473"/>
    <w:multiLevelType w:val="hybridMultilevel"/>
    <w:tmpl w:val="49F4A37E"/>
    <w:lvl w:ilvl="0" w:tplc="CAB4F10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44633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292195648"/>
  </w:docVars>
  <w:rsids>
    <w:rsidRoot w:val="00DA1143"/>
    <w:rsid w:val="0001139D"/>
    <w:rsid w:val="0004662A"/>
    <w:rsid w:val="00084421"/>
    <w:rsid w:val="000E4042"/>
    <w:rsid w:val="00365070"/>
    <w:rsid w:val="003878F1"/>
    <w:rsid w:val="00437F9D"/>
    <w:rsid w:val="00546957"/>
    <w:rsid w:val="00615859"/>
    <w:rsid w:val="006C0D6C"/>
    <w:rsid w:val="006E29E7"/>
    <w:rsid w:val="007345DD"/>
    <w:rsid w:val="00777F97"/>
    <w:rsid w:val="008955BB"/>
    <w:rsid w:val="008A1C11"/>
    <w:rsid w:val="009E3EA3"/>
    <w:rsid w:val="00A03014"/>
    <w:rsid w:val="00A23C70"/>
    <w:rsid w:val="00A7058C"/>
    <w:rsid w:val="00B217C0"/>
    <w:rsid w:val="00B732E0"/>
    <w:rsid w:val="00C925EA"/>
    <w:rsid w:val="00CE30D3"/>
    <w:rsid w:val="00DA1143"/>
    <w:rsid w:val="00E211A6"/>
    <w:rsid w:val="00E83A4D"/>
    <w:rsid w:val="00EC4C02"/>
    <w:rsid w:val="00F05D6E"/>
    <w:rsid w:val="00F81ECB"/>
    <w:rsid w:val="00FC0816"/>
    <w:rsid w:val="00FC7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551290"/>
  <w15:chartTrackingRefBased/>
  <w15:docId w15:val="{9F9E3E77-C1B6-F64C-9394-C88273A8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78F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878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878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878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3878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78F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A1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78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78F1"/>
  </w:style>
  <w:style w:type="character" w:customStyle="1" w:styleId="Heading1Char">
    <w:name w:val="Heading 1 Char"/>
    <w:aliases w:val="Pocket Char"/>
    <w:basedOn w:val="DefaultParagraphFont"/>
    <w:link w:val="Heading1"/>
    <w:rsid w:val="003878F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878F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878F1"/>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3878F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878F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A1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143"/>
    <w:rPr>
      <w:rFonts w:eastAsiaTheme="majorEastAsia" w:cstheme="majorBidi"/>
      <w:color w:val="272727" w:themeColor="text1" w:themeTint="D8"/>
    </w:rPr>
  </w:style>
  <w:style w:type="paragraph" w:styleId="Title">
    <w:name w:val="Title"/>
    <w:basedOn w:val="Normal"/>
    <w:next w:val="Normal"/>
    <w:link w:val="TitleChar"/>
    <w:uiPriority w:val="10"/>
    <w:qFormat/>
    <w:rsid w:val="00DA1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143"/>
    <w:pPr>
      <w:spacing w:before="160"/>
      <w:jc w:val="center"/>
    </w:pPr>
    <w:rPr>
      <w:i/>
      <w:iCs/>
      <w:color w:val="404040" w:themeColor="text1" w:themeTint="BF"/>
    </w:rPr>
  </w:style>
  <w:style w:type="character" w:customStyle="1" w:styleId="QuoteChar">
    <w:name w:val="Quote Char"/>
    <w:basedOn w:val="DefaultParagraphFont"/>
    <w:link w:val="Quote"/>
    <w:uiPriority w:val="29"/>
    <w:rsid w:val="00DA1143"/>
    <w:rPr>
      <w:i/>
      <w:iCs/>
      <w:color w:val="404040" w:themeColor="text1" w:themeTint="BF"/>
    </w:rPr>
  </w:style>
  <w:style w:type="paragraph" w:styleId="ListParagraph">
    <w:name w:val="List Paragraph"/>
    <w:basedOn w:val="Normal"/>
    <w:uiPriority w:val="34"/>
    <w:qFormat/>
    <w:rsid w:val="00DA1143"/>
    <w:pPr>
      <w:ind w:left="720"/>
      <w:contextualSpacing/>
    </w:pPr>
  </w:style>
  <w:style w:type="character" w:styleId="IntenseEmphasis">
    <w:name w:val="Intense Emphasis"/>
    <w:basedOn w:val="DefaultParagraphFont"/>
    <w:uiPriority w:val="21"/>
    <w:qFormat/>
    <w:rsid w:val="00DA1143"/>
    <w:rPr>
      <w:i/>
      <w:iCs/>
      <w:color w:val="0F4761" w:themeColor="accent1" w:themeShade="BF"/>
    </w:rPr>
  </w:style>
  <w:style w:type="paragraph" w:styleId="IntenseQuote">
    <w:name w:val="Intense Quote"/>
    <w:basedOn w:val="Normal"/>
    <w:next w:val="Normal"/>
    <w:link w:val="IntenseQuoteChar"/>
    <w:uiPriority w:val="30"/>
    <w:qFormat/>
    <w:rsid w:val="00DA1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143"/>
    <w:rPr>
      <w:i/>
      <w:iCs/>
      <w:color w:val="0F4761" w:themeColor="accent1" w:themeShade="BF"/>
    </w:rPr>
  </w:style>
  <w:style w:type="character" w:styleId="IntenseReference">
    <w:name w:val="Intense Reference"/>
    <w:basedOn w:val="DefaultParagraphFont"/>
    <w:uiPriority w:val="32"/>
    <w:qFormat/>
    <w:rsid w:val="00DA114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3878F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878F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878F1"/>
    <w:rPr>
      <w:b/>
      <w:bCs/>
      <w:sz w:val="26"/>
      <w:u w:val="singl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3878F1"/>
    <w:rPr>
      <w:b/>
      <w:sz w:val="22"/>
      <w:u w:val="single"/>
    </w:rPr>
  </w:style>
  <w:style w:type="character" w:styleId="Strong">
    <w:name w:val="Strong"/>
    <w:basedOn w:val="DefaultParagraphFont"/>
    <w:uiPriority w:val="22"/>
    <w:qFormat/>
    <w:rsid w:val="003878F1"/>
    <w:rPr>
      <w:b/>
      <w:bCs/>
    </w:rPr>
  </w:style>
  <w:style w:type="character" w:styleId="BookTitle">
    <w:name w:val="Book Title"/>
    <w:basedOn w:val="DefaultParagraphFont"/>
    <w:uiPriority w:val="33"/>
    <w:qFormat/>
    <w:rsid w:val="003878F1"/>
    <w:rPr>
      <w:b/>
      <w:bCs/>
      <w:i/>
      <w:iCs/>
      <w:spacing w:val="5"/>
    </w:rPr>
  </w:style>
  <w:style w:type="numbering" w:styleId="111111">
    <w:name w:val="Outline List 2"/>
    <w:basedOn w:val="NoList"/>
    <w:uiPriority w:val="99"/>
    <w:semiHidden/>
    <w:unhideWhenUsed/>
    <w:rsid w:val="003878F1"/>
  </w:style>
  <w:style w:type="paragraph" w:styleId="Header">
    <w:name w:val="header"/>
    <w:basedOn w:val="Normal"/>
    <w:link w:val="HeaderChar"/>
    <w:uiPriority w:val="99"/>
    <w:semiHidden/>
    <w:rsid w:val="003878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78F1"/>
    <w:rPr>
      <w:rFonts w:ascii="Calibri" w:hAnsi="Calibri" w:cs="Calibri"/>
      <w:kern w:val="0"/>
      <w:sz w:val="22"/>
      <w:szCs w:val="22"/>
      <w14:ligatures w14:val="none"/>
    </w:rPr>
  </w:style>
  <w:style w:type="paragraph" w:styleId="Footer">
    <w:name w:val="footer"/>
    <w:basedOn w:val="Normal"/>
    <w:link w:val="FooterChar"/>
    <w:uiPriority w:val="99"/>
    <w:semiHidden/>
    <w:rsid w:val="003878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78F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878F1"/>
    <w:pPr>
      <w:spacing w:after="120"/>
    </w:pPr>
  </w:style>
  <w:style w:type="character" w:customStyle="1" w:styleId="BodyTextChar">
    <w:name w:val="Body Text Char"/>
    <w:basedOn w:val="DefaultParagraphFont"/>
    <w:link w:val="BodyText"/>
    <w:uiPriority w:val="99"/>
    <w:semiHidden/>
    <w:rsid w:val="003878F1"/>
    <w:rPr>
      <w:rFonts w:ascii="Calibri" w:hAnsi="Calibri" w:cs="Calibri"/>
      <w:kern w:val="0"/>
      <w:sz w:val="22"/>
      <w:szCs w:val="22"/>
      <w14:ligatures w14:val="none"/>
    </w:rPr>
  </w:style>
  <w:style w:type="paragraph" w:styleId="NoSpacing">
    <w:name w:val="No Spacing"/>
    <w:link w:val="NoSpacingChar"/>
    <w:uiPriority w:val="99"/>
    <w:unhideWhenUsed/>
    <w:qFormat/>
    <w:rsid w:val="003878F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878F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3878F1"/>
    <w:rPr>
      <w:color w:val="467886" w:themeColor="hyperlink"/>
      <w:u w:val="single"/>
    </w:rPr>
  </w:style>
  <w:style w:type="character" w:styleId="UnresolvedMention">
    <w:name w:val="Unresolved Mention"/>
    <w:basedOn w:val="DefaultParagraphFont"/>
    <w:uiPriority w:val="99"/>
    <w:semiHidden/>
    <w:unhideWhenUsed/>
    <w:rsid w:val="003878F1"/>
    <w:rPr>
      <w:color w:val="605E5C"/>
      <w:shd w:val="clear" w:color="auto" w:fill="E1DFDD"/>
    </w:rPr>
  </w:style>
  <w:style w:type="paragraph" w:customStyle="1" w:styleId="Undertag">
    <w:name w:val="Undertag"/>
    <w:link w:val="UndertagChar"/>
    <w:autoRedefine/>
    <w:uiPriority w:val="5"/>
    <w:qFormat/>
    <w:rsid w:val="0036507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6507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3878F1"/>
    <w:rPr>
      <w:color w:val="7030A0"/>
    </w:rPr>
  </w:style>
  <w:style w:type="character" w:customStyle="1" w:styleId="AnalyticChar">
    <w:name w:val="Analytic Char"/>
    <w:basedOn w:val="DefaultParagraphFont"/>
    <w:link w:val="Analytic"/>
    <w:uiPriority w:val="5"/>
    <w:rsid w:val="003878F1"/>
    <w:rPr>
      <w:rFonts w:ascii="Calibri" w:eastAsiaTheme="majorEastAsia" w:hAnsi="Calibri" w:cstheme="majorBidi"/>
      <w:b/>
      <w:iCs/>
      <w:color w:val="7030A0"/>
      <w:kern w:val="0"/>
      <w:sz w:val="26"/>
      <w:szCs w:val="22"/>
      <w14:ligatures w14:val="none"/>
    </w:rPr>
  </w:style>
  <w:style w:type="paragraph" w:customStyle="1" w:styleId="Emphasis1">
    <w:name w:val="Emphasis1"/>
    <w:basedOn w:val="Normal"/>
    <w:link w:val="Emphasis"/>
    <w:uiPriority w:val="8"/>
    <w:qFormat/>
    <w:rsid w:val="00DA114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DA1143"/>
    <w:pPr>
      <w:spacing w:line="256" w:lineRule="auto"/>
      <w:ind w:left="720"/>
      <w:jc w:val="both"/>
    </w:pPr>
    <w:rPr>
      <w:rFonts w:eastAsiaTheme="minorEastAsia"/>
      <w:b/>
      <w:iCs/>
      <w:szCs w:val="24"/>
      <w:u w:val="single"/>
    </w:rPr>
  </w:style>
  <w:style w:type="paragraph" w:customStyle="1" w:styleId="Emphasis0">
    <w:name w:val="!!_Emphasis"/>
    <w:basedOn w:val="Normal"/>
    <w:autoRedefine/>
    <w:uiPriority w:val="8"/>
    <w:qFormat/>
    <w:rsid w:val="0036507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rgy.gov/nnsa/locatio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atimes.org/crisis-in-the-u-s-nuclear-weapons-complex-part-3-the-problem-starts-with-the-pi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times.org/crisis-in-the-u-s-nuclear-weapons-complex-part-2-making-peace-with-nuclear-weapons/" TargetMode="External"/><Relationship Id="rId11" Type="http://schemas.openxmlformats.org/officeDocument/2006/relationships/hyperlink" Target="https://www.vanityfair.com/news/2017/01/rick-perry-energy-secretary-nuclear-arsenal" TargetMode="External"/><Relationship Id="rId5" Type="http://schemas.openxmlformats.org/officeDocument/2006/relationships/hyperlink" Target="https://patimes.org/crisis-in-the-u-s-nuclear-weapons-complex-part-1-unintended-consequences-of-decades-of-federal-government-budget-failures/" TargetMode="External"/><Relationship Id="rId10" Type="http://schemas.openxmlformats.org/officeDocument/2006/relationships/hyperlink" Target="https://nuclearworkers.org/chronic-beryllium-disease/" TargetMode="External"/><Relationship Id="rId4" Type="http://schemas.openxmlformats.org/officeDocument/2006/relationships/webSettings" Target="webSettings.xml"/><Relationship Id="rId9" Type="http://schemas.openxmlformats.org/officeDocument/2006/relationships/hyperlink" Target="https://www.insurancejournal.com/news/southcentral/2015/12/15/391907.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ja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71</TotalTime>
  <Pages>41</Pages>
  <Words>48148</Words>
  <Characters>274449</Characters>
  <Application>Microsoft Office Word</Application>
  <DocSecurity>0</DocSecurity>
  <Lines>2287</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Anuj Jain</cp:lastModifiedBy>
  <cp:revision>10</cp:revision>
  <dcterms:created xsi:type="dcterms:W3CDTF">2025-10-09T04:42:00Z</dcterms:created>
  <dcterms:modified xsi:type="dcterms:W3CDTF">2025-10-17T19:42:00Z</dcterms:modified>
</cp:coreProperties>
</file>