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299A" w14:textId="77777777" w:rsidR="009A79C4" w:rsidRDefault="009A79C4" w:rsidP="009A79C4">
      <w:pPr>
        <w:pStyle w:val="Heading1"/>
      </w:pPr>
      <w:r>
        <w:t>1NC – Samford – Sex Workers</w:t>
      </w:r>
    </w:p>
    <w:p w14:paraId="6275BFA5" w14:textId="409AA511" w:rsidR="009A79C4" w:rsidRDefault="009A79C4" w:rsidP="009A79C4">
      <w:pPr>
        <w:pStyle w:val="Heading4"/>
      </w:pPr>
      <w:r>
        <w:t>Trigger warning: mention</w:t>
      </w:r>
      <w:r w:rsidR="00242899">
        <w:t>/discussion</w:t>
      </w:r>
      <w:r>
        <w:t xml:space="preserve"> (none descriptive) </w:t>
      </w:r>
      <w:r w:rsidR="006266A6">
        <w:t xml:space="preserve">of </w:t>
      </w:r>
      <w:r>
        <w:t>rape and sexual violence</w:t>
      </w:r>
    </w:p>
    <w:p w14:paraId="25E0BC28" w14:textId="38EC75F3" w:rsidR="009A79C4" w:rsidRDefault="009A79C4" w:rsidP="009A79C4">
      <w:pPr>
        <w:pStyle w:val="Heading2"/>
      </w:pPr>
      <w:proofErr w:type="spellStart"/>
      <w:r>
        <w:t>Allonormativity</w:t>
      </w:r>
      <w:proofErr w:type="spellEnd"/>
      <w:r>
        <w:t xml:space="preserve"> K</w:t>
      </w:r>
    </w:p>
    <w:p w14:paraId="399F21C0" w14:textId="77777777" w:rsidR="009A79C4" w:rsidRPr="00774DA6" w:rsidRDefault="009A79C4" w:rsidP="00242899">
      <w:pPr>
        <w:pStyle w:val="Heading4"/>
      </w:pPr>
      <w:r w:rsidRPr="00774DA6">
        <w:t xml:space="preserve">The Commodification of sex fueling of the libidinal economy has created an opening to resist </w:t>
      </w:r>
      <w:proofErr w:type="spellStart"/>
      <w:r w:rsidRPr="00774DA6">
        <w:t>sexusociety</w:t>
      </w:r>
      <w:proofErr w:type="spellEnd"/>
      <w:r w:rsidRPr="00774DA6">
        <w:t xml:space="preserve"> by refusing sex in its entirety - focusing on the </w:t>
      </w:r>
      <w:proofErr w:type="spellStart"/>
      <w:r w:rsidRPr="00774DA6">
        <w:t>aff</w:t>
      </w:r>
      <w:proofErr w:type="spellEnd"/>
      <w:r w:rsidRPr="00774DA6">
        <w:t xml:space="preserve"> only enshrines a sexless society as inconceivable</w:t>
      </w:r>
    </w:p>
    <w:p w14:paraId="28DE86B6" w14:textId="77777777" w:rsidR="009A79C4" w:rsidRPr="00774DA6" w:rsidRDefault="009A79C4" w:rsidP="009A79C4">
      <w:r w:rsidRPr="00242899">
        <w:rPr>
          <w:rStyle w:val="Style13ptBold"/>
        </w:rPr>
        <w:t>Markiewicz</w:t>
      </w:r>
      <w:r w:rsidRPr="00774DA6">
        <w:t>, M. (</w:t>
      </w:r>
      <w:r w:rsidRPr="00242899">
        <w:rPr>
          <w:rStyle w:val="Style13ptBold"/>
        </w:rPr>
        <w:t>2024</w:t>
      </w:r>
      <w:r w:rsidRPr="00774DA6">
        <w:t xml:space="preserve">). Sexuality Is Over. Long Live Asexuality. Routledge eBooks, pp.11–22. </w:t>
      </w:r>
      <w:proofErr w:type="spellStart"/>
      <w:r w:rsidRPr="00774DA6">
        <w:t>doi:</w:t>
      </w:r>
      <w:hyperlink r:id="rId5" w:history="1">
        <w:r w:rsidRPr="00774DA6">
          <w:rPr>
            <w:rStyle w:val="Hyperlink"/>
          </w:rPr>
          <w:t>https</w:t>
        </w:r>
        <w:proofErr w:type="spellEnd"/>
        <w:r w:rsidRPr="00774DA6">
          <w:rPr>
            <w:rStyle w:val="Hyperlink"/>
          </w:rPr>
          <w:t>://doi.org/10.4324/9781003178798-3</w:t>
        </w:r>
      </w:hyperlink>
      <w:r w:rsidRPr="00774DA6">
        <w:t>. //SDPW</w:t>
      </w:r>
    </w:p>
    <w:p w14:paraId="7BE2C44A" w14:textId="77777777" w:rsidR="009A79C4" w:rsidRPr="00774DA6" w:rsidRDefault="009A79C4" w:rsidP="009A79C4">
      <w:pPr>
        <w:rPr>
          <w:u w:val="single"/>
        </w:rPr>
      </w:pPr>
      <w:r w:rsidRPr="00774DA6">
        <w:t xml:space="preserve"> In the 21st century, </w:t>
      </w:r>
      <w:r w:rsidRPr="00154011">
        <w:rPr>
          <w:b/>
          <w:highlight w:val="green"/>
          <w:u w:val="single"/>
        </w:rPr>
        <w:t>the sexual body is</w:t>
      </w:r>
      <w:r w:rsidRPr="00774DA6">
        <w:rPr>
          <w:b/>
          <w:u w:val="single"/>
        </w:rPr>
        <w:t xml:space="preserve"> an </w:t>
      </w:r>
      <w:r w:rsidRPr="00154011">
        <w:rPr>
          <w:b/>
          <w:highlight w:val="green"/>
          <w:u w:val="single"/>
        </w:rPr>
        <w:t>extension of capitalist logic</w:t>
      </w:r>
      <w:r w:rsidRPr="00774DA6">
        <w:t xml:space="preserve">: “You’ve got a body, and you must know how to enjoy it. You’ve got </w:t>
      </w:r>
      <w:proofErr w:type="gramStart"/>
      <w:r w:rsidRPr="00774DA6">
        <w:t>a libido</w:t>
      </w:r>
      <w:proofErr w:type="gramEnd"/>
      <w:r w:rsidRPr="00774DA6">
        <w:t xml:space="preserve">, and you must know how to </w:t>
      </w:r>
      <w:proofErr w:type="gramStart"/>
      <w:r w:rsidRPr="00774DA6">
        <w:t>spend  it</w:t>
      </w:r>
      <w:proofErr w:type="gramEnd"/>
      <w:r w:rsidRPr="00774DA6">
        <w:t>. You’ve got a sexual nature, and you must find out how to use it well.”49 This</w:t>
      </w:r>
      <w:r w:rsidRPr="00774DA6">
        <w:rPr>
          <w:b/>
          <w:u w:val="single"/>
        </w:rPr>
        <w:t xml:space="preserve"> </w:t>
      </w:r>
      <w:r w:rsidRPr="00154011">
        <w:rPr>
          <w:b/>
          <w:highlight w:val="green"/>
          <w:u w:val="single"/>
        </w:rPr>
        <w:t>commodification of sex alongside</w:t>
      </w:r>
      <w:r w:rsidRPr="00774DA6">
        <w:rPr>
          <w:b/>
          <w:u w:val="single"/>
        </w:rPr>
        <w:t xml:space="preserve"> an easier </w:t>
      </w:r>
      <w:r w:rsidRPr="00154011">
        <w:rPr>
          <w:b/>
          <w:highlight w:val="green"/>
          <w:u w:val="single"/>
        </w:rPr>
        <w:t>access to the ever-present sexual imagery</w:t>
      </w:r>
      <w:r w:rsidRPr="00774DA6">
        <w:t xml:space="preserve">, as well as our dissatisfaction with “compulsory sex-positivity,” is what </w:t>
      </w:r>
      <w:r w:rsidRPr="00154011">
        <w:rPr>
          <w:b/>
          <w:highlight w:val="green"/>
          <w:u w:val="single"/>
        </w:rPr>
        <w:t>contribut</w:t>
      </w:r>
      <w:r w:rsidRPr="00774DA6">
        <w:t xml:space="preserve">ed </w:t>
      </w:r>
      <w:r w:rsidRPr="00154011">
        <w:rPr>
          <w:b/>
          <w:highlight w:val="green"/>
          <w:u w:val="single"/>
        </w:rPr>
        <w:t>to</w:t>
      </w:r>
      <w:r w:rsidRPr="00774DA6">
        <w:rPr>
          <w:b/>
          <w:u w:val="single"/>
        </w:rPr>
        <w:t xml:space="preserve"> the rise of </w:t>
      </w:r>
      <w:r w:rsidRPr="00154011">
        <w:rPr>
          <w:b/>
          <w:highlight w:val="green"/>
          <w:u w:val="single"/>
        </w:rPr>
        <w:t>libidinal exhaustion</w:t>
      </w:r>
      <w:r w:rsidRPr="00774DA6">
        <w:t xml:space="preserve">. In this scenario, </w:t>
      </w:r>
      <w:r w:rsidRPr="00774DA6">
        <w:rPr>
          <w:u w:val="single"/>
        </w:rPr>
        <w:t>the political agency at one point attributed to a liberal sex agenda goes all awry. Although I am far from prescribing asexuality or celibacy as means to combat the rising tide of misogynistic violence or as a way of an anti-capitalist revolt,</w:t>
      </w:r>
      <w:r w:rsidRPr="00774DA6">
        <w:t xml:space="preserve"> I would like us to pause here for a moment and imagine a world where there would be no sexual relations. Yes, you’ve read that right.</w:t>
      </w:r>
      <w:r w:rsidRPr="00774DA6">
        <w:rPr>
          <w:b/>
          <w:u w:val="single"/>
        </w:rPr>
        <w:t xml:space="preserve"> </w:t>
      </w:r>
      <w:r w:rsidRPr="00154011">
        <w:rPr>
          <w:b/>
          <w:highlight w:val="green"/>
          <w:u w:val="single"/>
        </w:rPr>
        <w:t>Why is it so much easier for us to imagine the end of the world</w:t>
      </w:r>
      <w:r w:rsidRPr="00774DA6">
        <w:rPr>
          <w:b/>
          <w:u w:val="single"/>
        </w:rPr>
        <w:t xml:space="preserve"> (and perhaps even the end of capitalism) </w:t>
      </w:r>
      <w:r w:rsidRPr="00154011">
        <w:rPr>
          <w:b/>
          <w:highlight w:val="green"/>
          <w:u w:val="single"/>
        </w:rPr>
        <w:t>than the end of sex?</w:t>
      </w:r>
      <w:r w:rsidRPr="00774DA6">
        <w:t xml:space="preserve"> And why, even if we follow </w:t>
      </w:r>
      <w:r w:rsidRPr="00774DA6">
        <w:rPr>
          <w:b/>
          <w:u w:val="single"/>
        </w:rPr>
        <w:t>an essentialist logic</w:t>
      </w:r>
      <w:r w:rsidRPr="00774DA6">
        <w:t xml:space="preserve"> that claims that sex is as important for the human animal as are food and water, would </w:t>
      </w:r>
      <w:r w:rsidRPr="00154011">
        <w:rPr>
          <w:b/>
          <w:highlight w:val="green"/>
          <w:u w:val="single"/>
        </w:rPr>
        <w:t>some rather “starve to death” than deny themselves their right to sex</w:t>
      </w:r>
      <w:r w:rsidRPr="00774DA6">
        <w:rPr>
          <w:b/>
          <w:u w:val="single"/>
        </w:rPr>
        <w:t>?</w:t>
      </w:r>
      <w:r w:rsidRPr="00774DA6">
        <w:t>50 In Third-Wave Feminism, Sexualities, and the Adventures of the Posts, Rhonda Hammer and Douglas Kellner ask, “Will technology erase our sexual needs and desires, providing technological substitutes for human sexual interaction? And if so, who would want this sort of sterile and asexual existence?”51 T</w:t>
      </w:r>
      <w:r w:rsidRPr="00774DA6">
        <w:rPr>
          <w:u w:val="single"/>
        </w:rPr>
        <w:t xml:space="preserve">he process of technically substituting our sexual desires and needs has already started, since a growing number of women prefer (understandably) technical </w:t>
      </w:r>
      <w:proofErr w:type="spellStart"/>
      <w:r w:rsidRPr="00774DA6">
        <w:rPr>
          <w:u w:val="single"/>
        </w:rPr>
        <w:t>erotic</w:t>
      </w:r>
      <w:r w:rsidRPr="00774DA6">
        <w:t>s</w:t>
      </w:r>
      <w:proofErr w:type="spellEnd"/>
      <w:r w:rsidRPr="00774DA6">
        <w:t xml:space="preserve"> to a flesh-and-blood partner.52 </w:t>
      </w:r>
      <w:r w:rsidRPr="00774DA6">
        <w:rPr>
          <w:u w:val="single"/>
        </w:rPr>
        <w:t>Those who argue that sex is essential to procreation will soon also have to start looking for excitement elsewhere</w:t>
      </w:r>
      <w:r w:rsidRPr="00774DA6">
        <w:t>; asexual reproduction is no longer a utopian scenario from a feminist sci-fi novel, it’s the near future.53 Post-sexuality is already here and it’s here to stay. If the 1960s and 1970s sexual revolution was made possible because of the discovery of the oral contraceptive pill, which marked the radical separation between reproductive sex and sex for pleasure, another sexual revolution might be underway—</w:t>
      </w:r>
      <w:r w:rsidRPr="00774DA6">
        <w:rPr>
          <w:b/>
          <w:u w:val="single"/>
        </w:rPr>
        <w:t>a sexless sexual revolution</w:t>
      </w:r>
      <w:r w:rsidRPr="00774DA6">
        <w:rPr>
          <w:u w:val="single"/>
        </w:rPr>
        <w:t>. It will be a revolution of the queer, the trans, the single, and the asexual, of the genderfluid and the intersex, of the sterile and the uncoupled, and of all those yet unnamed and unimagined ways of being that will soon be born, if only we let them</w:t>
      </w:r>
    </w:p>
    <w:p w14:paraId="4591325C" w14:textId="77777777" w:rsidR="009A79C4" w:rsidRPr="00774DA6" w:rsidRDefault="009A79C4" w:rsidP="00242899">
      <w:pPr>
        <w:pStyle w:val="Heading4"/>
      </w:pPr>
      <w:r w:rsidRPr="00774DA6">
        <w:t>The commodification of sexuality and sex enforces compulsory sexuality and a removal of ace sexual citizenship</w:t>
      </w:r>
    </w:p>
    <w:p w14:paraId="6E45C76A" w14:textId="77777777" w:rsidR="009A79C4" w:rsidRPr="00774DA6" w:rsidRDefault="009A79C4" w:rsidP="009A79C4">
      <w:r w:rsidRPr="00242899">
        <w:rPr>
          <w:rStyle w:val="Style13ptBold"/>
        </w:rPr>
        <w:t>Wenzel</w:t>
      </w:r>
      <w:r w:rsidRPr="00774DA6">
        <w:t>, M. (</w:t>
      </w:r>
      <w:r w:rsidRPr="00242899">
        <w:rPr>
          <w:rStyle w:val="Style13ptBold"/>
        </w:rPr>
        <w:t>2023</w:t>
      </w:r>
      <w:r w:rsidRPr="00774DA6">
        <w:t xml:space="preserve">). </w:t>
      </w:r>
      <w:r w:rsidRPr="00774DA6">
        <w:rPr>
          <w:i/>
          <w:iCs/>
        </w:rPr>
        <w:t xml:space="preserve">‘It Feels Like I Don’t Exist’: An Intersectional Feminist Analysis of the Ace </w:t>
      </w:r>
      <w:proofErr w:type="gramStart"/>
      <w:r w:rsidRPr="00774DA6">
        <w:rPr>
          <w:i/>
          <w:iCs/>
        </w:rPr>
        <w:t xml:space="preserve">Citizen </w:t>
      </w:r>
      <w:r w:rsidRPr="00774DA6">
        <w:t>.</w:t>
      </w:r>
      <w:proofErr w:type="gramEnd"/>
      <w:r w:rsidRPr="00774DA6">
        <w:t xml:space="preserve"> [online] Cornerstone. Available at: </w:t>
      </w:r>
      <w:hyperlink r:id="rId6" w:history="1">
        <w:r w:rsidRPr="00774DA6">
          <w:rPr>
            <w:rStyle w:val="Hyperlink"/>
          </w:rPr>
          <w:t>https://cornerstone.lib.mnsu.edu/cgi/viewcontent.cgi?article=2317&amp;context=etds</w:t>
        </w:r>
      </w:hyperlink>
      <w:r w:rsidRPr="00774DA6">
        <w:t>. //SDPW</w:t>
      </w:r>
    </w:p>
    <w:p w14:paraId="06001F1A" w14:textId="77777777" w:rsidR="009A79C4" w:rsidRPr="00774DA6" w:rsidRDefault="009A79C4" w:rsidP="009A79C4">
      <w:r w:rsidRPr="00774DA6">
        <w:t xml:space="preserve">Second, some </w:t>
      </w:r>
      <w:r w:rsidRPr="00154011">
        <w:rPr>
          <w:b/>
          <w:bCs/>
          <w:highlight w:val="green"/>
          <w:u w:val="single"/>
        </w:rPr>
        <w:t>conceptualize sexual citizenship</w:t>
      </w:r>
      <w:r w:rsidRPr="00774DA6">
        <w:t xml:space="preserve"> as being able to participate </w:t>
      </w:r>
      <w:r w:rsidRPr="00154011">
        <w:rPr>
          <w:b/>
          <w:bCs/>
          <w:highlight w:val="green"/>
          <w:u w:val="single"/>
        </w:rPr>
        <w:t>as a consumer in society</w:t>
      </w:r>
      <w:r w:rsidRPr="00774DA6">
        <w:t xml:space="preserve">. Evans (1993) writes, “sexual citizenship involves partial, private, and primarily leisure and lifestyle membership,” and that for sexual minorities, “commitment to their sexual citizenship rights is chiefly expressed through their ‘out’ </w:t>
      </w:r>
      <w:r w:rsidRPr="00774DA6">
        <w:rPr>
          <w:b/>
          <w:bCs/>
          <w:u w:val="single"/>
        </w:rPr>
        <w:t xml:space="preserve">participation in commercial ‘private’ territories” </w:t>
      </w:r>
      <w:r w:rsidRPr="00774DA6">
        <w:t xml:space="preserve">(pp. 61–62). We must come to terms </w:t>
      </w:r>
      <w:r w:rsidRPr="00154011">
        <w:rPr>
          <w:b/>
          <w:bCs/>
          <w:highlight w:val="green"/>
          <w:u w:val="single"/>
        </w:rPr>
        <w:t>with the commodification of sexuality</w:t>
      </w:r>
      <w:r w:rsidRPr="00774DA6">
        <w:t xml:space="preserve"> because we are consumers who express our various identities (e.g., sexual identity) through the purchase of commodities, argues Evans (1993, pp. 43–44). Evans (1993) claims </w:t>
      </w:r>
      <w:r w:rsidRPr="00774DA6">
        <w:rPr>
          <w:b/>
          <w:bCs/>
          <w:u w:val="single"/>
        </w:rPr>
        <w:t>the state</w:t>
      </w:r>
      <w:r w:rsidRPr="00774DA6">
        <w:t xml:space="preserve"> thereby </w:t>
      </w:r>
      <w:r w:rsidRPr="00774DA6">
        <w:rPr>
          <w:b/>
          <w:bCs/>
          <w:u w:val="single"/>
        </w:rPr>
        <w:t>uses</w:t>
      </w:r>
      <w:r w:rsidRPr="00774DA6">
        <w:t xml:space="preserve"> the commodification of sexuality—whose constructions change based </w:t>
      </w:r>
      <w:r w:rsidRPr="00774DA6">
        <w:rPr>
          <w:b/>
          <w:bCs/>
          <w:u w:val="single"/>
        </w:rPr>
        <w:t>on the needs of the market</w:t>
      </w:r>
      <w:r w:rsidRPr="00774DA6">
        <w:t xml:space="preserve">—to create more consumers and sustain capitalism. For example, male sexuality is commodified </w:t>
      </w:r>
      <w:r w:rsidRPr="00154011">
        <w:rPr>
          <w:b/>
          <w:bCs/>
          <w:highlight w:val="green"/>
          <w:u w:val="single"/>
        </w:rPr>
        <w:t>through</w:t>
      </w:r>
      <w:r w:rsidRPr="00774DA6">
        <w:t xml:space="preserve"> goods that code women as sexual objects meant for men’s pleasure, such as </w:t>
      </w:r>
      <w:r w:rsidRPr="00154011">
        <w:rPr>
          <w:b/>
          <w:bCs/>
          <w:highlight w:val="green"/>
          <w:u w:val="single"/>
        </w:rPr>
        <w:t>pornography, prostitution</w:t>
      </w:r>
      <w:r w:rsidRPr="00154011">
        <w:rPr>
          <w:b/>
          <w:bCs/>
          <w:u w:val="single"/>
        </w:rPr>
        <w:t>, and ads</w:t>
      </w:r>
      <w:r w:rsidRPr="00774DA6">
        <w:t xml:space="preserve"> that objectify women (Evans, 1993, pp. 47–48). Conversely, Evans (1993) argues that female </w:t>
      </w:r>
      <w:r w:rsidRPr="00154011">
        <w:rPr>
          <w:b/>
          <w:bCs/>
          <w:highlight w:val="green"/>
          <w:u w:val="single"/>
        </w:rPr>
        <w:t>sexuality is commodified through</w:t>
      </w:r>
      <w:r w:rsidRPr="00774DA6">
        <w:t xml:space="preserve"> the social construction of women as “domestic consumers-in-chief,” and </w:t>
      </w:r>
      <w:r w:rsidRPr="00154011">
        <w:rPr>
          <w:b/>
          <w:bCs/>
          <w:highlight w:val="green"/>
          <w:u w:val="single"/>
        </w:rPr>
        <w:t>the idea of sexual liberation</w:t>
      </w:r>
      <w:r w:rsidRPr="00774DA6">
        <w:t xml:space="preserve"> in which women have the right to sexual pleasure and independence (p. 48). Therefore, Evans (1993) notes, women can buy their sexuality by purchasing </w:t>
      </w:r>
      <w:r w:rsidRPr="00774DA6">
        <w:rPr>
          <w:u w:val="single"/>
        </w:rPr>
        <w:t>groceries for the home and/or birth control</w:t>
      </w:r>
      <w:r w:rsidRPr="00774DA6">
        <w:t xml:space="preserve"> (which is complicated by the “amoral market” and “moral state”) as forms of sexual expressions (p. 48). Because of this, “</w:t>
      </w:r>
      <w:r w:rsidRPr="00774DA6">
        <w:rPr>
          <w:u w:val="single"/>
        </w:rPr>
        <w:t>the power that queer citizens enjoy is largely dependent on access to capital and credit</w:t>
      </w:r>
      <w:r w:rsidRPr="00774DA6">
        <w:t xml:space="preserve">,” argue Bell and Binnie (2000, p. 96), as </w:t>
      </w:r>
      <w:r w:rsidRPr="00774DA6">
        <w:rPr>
          <w:u w:val="single"/>
        </w:rPr>
        <w:t>they will be able to perform their sexuality via the purchase of goods</w:t>
      </w:r>
      <w:r w:rsidRPr="00774DA6">
        <w:t xml:space="preserve">. Gupta (2015) notes </w:t>
      </w:r>
      <w:r w:rsidRPr="00774DA6">
        <w:rPr>
          <w:b/>
          <w:bCs/>
          <w:u w:val="single"/>
        </w:rPr>
        <w:t>this link between sex and capitalism</w:t>
      </w:r>
      <w:r w:rsidRPr="00774DA6">
        <w:t xml:space="preserve"> as well and </w:t>
      </w:r>
      <w:r w:rsidRPr="00774DA6">
        <w:rPr>
          <w:b/>
          <w:bCs/>
          <w:u w:val="single"/>
        </w:rPr>
        <w:t>additionally argues that compulsory sexuality is at play</w:t>
      </w:r>
      <w:r w:rsidRPr="00774DA6">
        <w:t xml:space="preserve"> in this relationship. According to Gupta (2015), </w:t>
      </w:r>
      <w:r w:rsidRPr="00154011">
        <w:rPr>
          <w:b/>
          <w:bCs/>
          <w:highlight w:val="green"/>
          <w:u w:val="single"/>
        </w:rPr>
        <w:t>capitalism incites sexual desire</w:t>
      </w:r>
      <w:r w:rsidRPr="00774DA6">
        <w:t xml:space="preserve"> as a marketing tactic and essentially uses sex to sell commodities (p. 138). “In addition,” Gupta (2015) writes, “the capitalist marketplace has an interest in cultivating a multiplication of sexual identities in order to establish niche markets for targeted products and advertising” (pp. 138–139). </w:t>
      </w:r>
      <w:r w:rsidRPr="00774DA6">
        <w:rPr>
          <w:u w:val="single"/>
        </w:rPr>
        <w:t>Thus, corporations assume their consumers experience sexual attraction and advertise using sex</w:t>
      </w:r>
      <w:r w:rsidRPr="00774DA6">
        <w:t xml:space="preserve">, </w:t>
      </w:r>
      <w:r w:rsidRPr="00774DA6">
        <w:rPr>
          <w:b/>
          <w:bCs/>
          <w:u w:val="single"/>
        </w:rPr>
        <w:t>thereby</w:t>
      </w:r>
      <w:r w:rsidRPr="00774DA6">
        <w:t xml:space="preserve">, they are both </w:t>
      </w:r>
      <w:r w:rsidRPr="00154011">
        <w:rPr>
          <w:b/>
          <w:bCs/>
          <w:highlight w:val="green"/>
          <w:u w:val="single"/>
        </w:rPr>
        <w:t>influenced by and enforcing compulsory sexuality</w:t>
      </w:r>
      <w:r w:rsidRPr="00774DA6">
        <w:t xml:space="preserve">. Because many </w:t>
      </w:r>
      <w:r w:rsidRPr="00154011">
        <w:rPr>
          <w:b/>
          <w:bCs/>
          <w:highlight w:val="green"/>
          <w:u w:val="single"/>
        </w:rPr>
        <w:t>aces</w:t>
      </w:r>
      <w:r w:rsidRPr="00774DA6">
        <w:t xml:space="preserve"> do not have romantic and/or sexual relationships with others and are often resistant to marketing that relies on sexual attraction to sell, asexuality may be </w:t>
      </w:r>
      <w:r w:rsidRPr="00154011">
        <w:rPr>
          <w:b/>
          <w:bCs/>
          <w:highlight w:val="green"/>
          <w:u w:val="single"/>
        </w:rPr>
        <w:t>deemed “unsellable</w:t>
      </w:r>
      <w:r w:rsidRPr="00774DA6">
        <w:t xml:space="preserve">” in a capitalist society, and, consequently, </w:t>
      </w:r>
      <w:r w:rsidRPr="00154011">
        <w:rPr>
          <w:b/>
          <w:bCs/>
          <w:highlight w:val="green"/>
          <w:u w:val="single"/>
        </w:rPr>
        <w:t>marginalizing aces from this construction of sexual citizenship</w:t>
      </w:r>
      <w:r w:rsidRPr="00774DA6">
        <w:t>.</w:t>
      </w:r>
    </w:p>
    <w:p w14:paraId="4DB5EA02" w14:textId="77777777" w:rsidR="009A79C4" w:rsidRPr="00774DA6" w:rsidRDefault="009A79C4" w:rsidP="00242899">
      <w:pPr>
        <w:pStyle w:val="Heading4"/>
      </w:pPr>
      <w:r w:rsidRPr="00774DA6">
        <w:t>The impact is epistemic denial, eraser and corrective rape of asexual people</w:t>
      </w:r>
    </w:p>
    <w:p w14:paraId="56DF2618" w14:textId="77777777" w:rsidR="009A79C4" w:rsidRPr="00774DA6" w:rsidRDefault="009A79C4" w:rsidP="009A79C4">
      <w:r w:rsidRPr="00242899">
        <w:rPr>
          <w:rStyle w:val="Style13ptBold"/>
        </w:rPr>
        <w:t>Mollet</w:t>
      </w:r>
      <w:r w:rsidRPr="00774DA6">
        <w:t>, A. (</w:t>
      </w:r>
      <w:r w:rsidRPr="00242899">
        <w:rPr>
          <w:rStyle w:val="Style13ptBold"/>
        </w:rPr>
        <w:t>2022</w:t>
      </w:r>
      <w:r w:rsidRPr="00774DA6">
        <w:t xml:space="preserve">). Encyclopedia of Queer Studies in Education. Encyclopedia of Queer Studies in Education, 4, pp.26–29. </w:t>
      </w:r>
      <w:proofErr w:type="spellStart"/>
      <w:r w:rsidRPr="00774DA6">
        <w:t>doi:</w:t>
      </w:r>
      <w:hyperlink r:id="rId7" w:history="1">
        <w:r w:rsidRPr="00774DA6">
          <w:rPr>
            <w:rStyle w:val="Hyperlink"/>
          </w:rPr>
          <w:t>https</w:t>
        </w:r>
        <w:proofErr w:type="spellEnd"/>
        <w:r w:rsidRPr="00774DA6">
          <w:rPr>
            <w:rStyle w:val="Hyperlink"/>
          </w:rPr>
          <w:t>://doi.org/10.1163/9789004506725</w:t>
        </w:r>
      </w:hyperlink>
      <w:r w:rsidRPr="00774DA6">
        <w:t>. //SDPW</w:t>
      </w:r>
    </w:p>
    <w:p w14:paraId="49C5389D" w14:textId="77777777" w:rsidR="009A79C4" w:rsidRPr="00774DA6" w:rsidRDefault="009A79C4" w:rsidP="009A79C4">
      <w:proofErr w:type="spellStart"/>
      <w:r w:rsidRPr="00154011">
        <w:rPr>
          <w:b/>
          <w:highlight w:val="green"/>
          <w:u w:val="single"/>
        </w:rPr>
        <w:t>Allonormativity</w:t>
      </w:r>
      <w:proofErr w:type="spellEnd"/>
      <w:r w:rsidRPr="00154011">
        <w:rPr>
          <w:b/>
          <w:highlight w:val="green"/>
          <w:u w:val="single"/>
        </w:rPr>
        <w:t xml:space="preserve"> and compulsory sexuality exert pressure on asexual people</w:t>
      </w:r>
      <w:r w:rsidRPr="00774DA6">
        <w:t xml:space="preserve"> in multiple ways, often </w:t>
      </w:r>
      <w:r w:rsidRPr="00774DA6">
        <w:rPr>
          <w:u w:val="single"/>
        </w:rPr>
        <w:t>in conjunction with heteronormativity, cisnormativity, and other oppressive systems of gender and sexuality</w:t>
      </w:r>
      <w:r w:rsidRPr="00774DA6">
        <w:t xml:space="preserve">. Negative influences of </w:t>
      </w:r>
      <w:r w:rsidRPr="00774DA6">
        <w:rPr>
          <w:b/>
          <w:u w:val="single"/>
        </w:rPr>
        <w:t>compulsory sexuality</w:t>
      </w:r>
      <w:r w:rsidRPr="00774DA6">
        <w:t xml:space="preserve"> can </w:t>
      </w:r>
      <w:r w:rsidRPr="00774DA6">
        <w:rPr>
          <w:b/>
          <w:u w:val="single"/>
        </w:rPr>
        <w:t>manifest in</w:t>
      </w:r>
      <w:r w:rsidRPr="00774DA6">
        <w:t xml:space="preserve"> multiple ways including: </w:t>
      </w:r>
      <w:r w:rsidRPr="00154011">
        <w:rPr>
          <w:b/>
          <w:highlight w:val="green"/>
          <w:u w:val="single"/>
        </w:rPr>
        <w:t>pathologization, isolation, unwanted sex and</w:t>
      </w:r>
      <w:r w:rsidRPr="00774DA6">
        <w:t xml:space="preserve"> relationship </w:t>
      </w:r>
      <w:r w:rsidRPr="00154011">
        <w:rPr>
          <w:b/>
          <w:highlight w:val="green"/>
          <w:u w:val="single"/>
        </w:rPr>
        <w:t>conflict, the denial of epistemic authority</w:t>
      </w:r>
      <w:r w:rsidRPr="00774DA6">
        <w:t xml:space="preserve"> (Gupta, 2017), </w:t>
      </w:r>
      <w:r w:rsidRPr="00154011">
        <w:rPr>
          <w:b/>
          <w:highlight w:val="green"/>
          <w:u w:val="single"/>
        </w:rPr>
        <w:t>and inhibiting self-identification</w:t>
      </w:r>
      <w:r w:rsidRPr="00774DA6">
        <w:t xml:space="preserve"> for asexual people (Fine, 2019). Even when people self-identify as asexual, </w:t>
      </w:r>
      <w:proofErr w:type="spellStart"/>
      <w:r w:rsidRPr="00774DA6">
        <w:t>allonormativity</w:t>
      </w:r>
      <w:proofErr w:type="spellEnd"/>
      <w:r w:rsidRPr="00774DA6">
        <w:t xml:space="preserve"> and compulsory sexuality </w:t>
      </w:r>
      <w:r w:rsidRPr="00154011">
        <w:rPr>
          <w:b/>
          <w:highlight w:val="green"/>
          <w:u w:val="single"/>
        </w:rPr>
        <w:t>delegitimize asexuality as an identity</w:t>
      </w:r>
      <w:r w:rsidRPr="00774DA6">
        <w:t>. As a self-</w:t>
      </w:r>
      <w:proofErr w:type="spellStart"/>
      <w:proofErr w:type="gramStart"/>
      <w:r w:rsidRPr="00774DA6">
        <w:t>preserva</w:t>
      </w:r>
      <w:proofErr w:type="spellEnd"/>
      <w:r w:rsidRPr="00774DA6">
        <w:t xml:space="preserve"> </w:t>
      </w:r>
      <w:proofErr w:type="spellStart"/>
      <w:r w:rsidRPr="00774DA6">
        <w:t>tion</w:t>
      </w:r>
      <w:proofErr w:type="spellEnd"/>
      <w:proofErr w:type="gramEnd"/>
      <w:r w:rsidRPr="00774DA6">
        <w:t xml:space="preserve"> tactic focused on avoiding invalidation, asexual people in education and community spaces </w:t>
      </w:r>
      <w:r w:rsidRPr="00774DA6">
        <w:rPr>
          <w:b/>
          <w:u w:val="single"/>
        </w:rPr>
        <w:t>often refrain from disclosing</w:t>
      </w:r>
      <w:r w:rsidRPr="00774DA6">
        <w:t xml:space="preserve"> their asexual identity (Mac Neela &amp; Murphy, 2015). Another disclosure strategy, focused on acceptance and belonging, included asexual students describing their identities with less accurate identity labels (e.g., queer, gay) that aligned with existing spaces or communities (Mollet, 2021). For example, in campus-based </w:t>
      </w:r>
      <w:r w:rsidRPr="00154011">
        <w:rPr>
          <w:b/>
          <w:highlight w:val="green"/>
          <w:u w:val="single"/>
        </w:rPr>
        <w:t>LGBTQ+ spaces</w:t>
      </w:r>
      <w:r w:rsidRPr="00774DA6">
        <w:t xml:space="preserve">— which some students found </w:t>
      </w:r>
      <w:r w:rsidRPr="00154011">
        <w:rPr>
          <w:b/>
          <w:highlight w:val="green"/>
          <w:u w:val="single"/>
        </w:rPr>
        <w:t>harbor</w:t>
      </w:r>
      <w:r w:rsidRPr="00774DA6">
        <w:rPr>
          <w:b/>
          <w:u w:val="single"/>
        </w:rPr>
        <w:t xml:space="preserve">ed </w:t>
      </w:r>
      <w:r w:rsidRPr="00154011">
        <w:rPr>
          <w:b/>
          <w:highlight w:val="green"/>
          <w:u w:val="single"/>
        </w:rPr>
        <w:t xml:space="preserve">more oppressive </w:t>
      </w:r>
      <w:proofErr w:type="spellStart"/>
      <w:r w:rsidRPr="00154011">
        <w:rPr>
          <w:b/>
          <w:highlight w:val="green"/>
          <w:u w:val="single"/>
        </w:rPr>
        <w:t>allonormativity</w:t>
      </w:r>
      <w:proofErr w:type="spellEnd"/>
      <w:r w:rsidRPr="00154011">
        <w:rPr>
          <w:b/>
          <w:highlight w:val="green"/>
          <w:u w:val="single"/>
        </w:rPr>
        <w:t xml:space="preserve"> than other spaces</w:t>
      </w:r>
      <w:r w:rsidRPr="00774DA6">
        <w:t xml:space="preserve"> in their lives—some asexual trans students would only share their gender (Mollet &amp; Lackman, 2018; Mollet, 2021). Compulsory sexuality and </w:t>
      </w:r>
      <w:proofErr w:type="spellStart"/>
      <w:r w:rsidRPr="00774DA6">
        <w:t>allonormative</w:t>
      </w:r>
      <w:proofErr w:type="spellEnd"/>
      <w:r w:rsidRPr="00774DA6">
        <w:t xml:space="preserve"> socialization perpetuate the belief that people should seek intimate (sexual) relationships, positioning single hood as an undesirable status (Darrington et al., 2005). As a heterogenous group, some </w:t>
      </w:r>
      <w:proofErr w:type="spellStart"/>
      <w:r w:rsidRPr="00774DA6">
        <w:t>asexuals</w:t>
      </w:r>
      <w:proofErr w:type="spellEnd"/>
      <w:r w:rsidRPr="00774DA6">
        <w:t xml:space="preserve"> have intimate relationships and others prefer remaining single but even scholars examining fulfilment with singlehood (Park et al., 2020) advance the idea that sexual satisfaction is a key predictor of satisfaction and happiness. When in relationships, asexual people can also encounter challenges when their partner’s relationship expectations emanate from </w:t>
      </w:r>
      <w:proofErr w:type="spellStart"/>
      <w:r w:rsidRPr="00774DA6">
        <w:t>allonormative</w:t>
      </w:r>
      <w:proofErr w:type="spellEnd"/>
      <w:r w:rsidRPr="00774DA6">
        <w:t xml:space="preserve"> scripts (Fine, 2019; Scherrer, 2010), which include ideas such as: sexual behavior is necessary for demonstrating love, sexual intimacy is the defining feature of intimate relationships, and people without intimate relationships are lonely or flawed (</w:t>
      </w:r>
      <w:proofErr w:type="spellStart"/>
      <w:r w:rsidRPr="00774DA6">
        <w:t>MacNeela</w:t>
      </w:r>
      <w:proofErr w:type="spellEnd"/>
      <w:r w:rsidRPr="00774DA6">
        <w:t xml:space="preserve"> &amp; Murphy, 2015). Challenges in relationships represent one of the reasons some asexual people seek consultation with health professionals, who in many instances reaffirm beliefs of compulsory sexuality by pathologizing asexuality (Gupta, 2017). Societal norms, in western cultures, have socialized individuals with orientations toward relationships that assume sexual attraction and intercourse as both essential and foundational elements of healthy relationships (Chasin, 2013; Gupta, 2015, 2017). This conflation of sex and intimacy limits perceptions of possible relationship formats and structures while elevating sexual relationships above other intimate relationships. This results in </w:t>
      </w:r>
      <w:proofErr w:type="gramStart"/>
      <w:r w:rsidRPr="00774DA6">
        <w:rPr>
          <w:b/>
          <w:u w:val="single"/>
        </w:rPr>
        <w:t xml:space="preserve">maintaining  </w:t>
      </w:r>
      <w:proofErr w:type="spellStart"/>
      <w:r w:rsidRPr="00154011">
        <w:rPr>
          <w:b/>
          <w:highlight w:val="green"/>
          <w:u w:val="single"/>
        </w:rPr>
        <w:t>allonormative</w:t>
      </w:r>
      <w:proofErr w:type="spellEnd"/>
      <w:proofErr w:type="gramEnd"/>
      <w:r w:rsidRPr="00154011">
        <w:rPr>
          <w:b/>
          <w:highlight w:val="green"/>
          <w:u w:val="single"/>
        </w:rPr>
        <w:t xml:space="preserve"> conversations</w:t>
      </w:r>
      <w:r w:rsidRPr="00774DA6">
        <w:t xml:space="preserve"> and relationship hierarchy and </w:t>
      </w:r>
      <w:r w:rsidRPr="00774DA6">
        <w:rPr>
          <w:b/>
          <w:u w:val="single"/>
        </w:rPr>
        <w:t xml:space="preserve">excludes and causes asexual individuals to be “othered” </w:t>
      </w:r>
      <w:r w:rsidRPr="00774DA6">
        <w:t xml:space="preserve">(Scherrer, 2015). The omnipresence of compulsory sexuality also </w:t>
      </w:r>
      <w:r w:rsidRPr="00154011">
        <w:rPr>
          <w:b/>
          <w:highlight w:val="green"/>
          <w:u w:val="single"/>
        </w:rPr>
        <w:t>contributes to</w:t>
      </w:r>
      <w:r w:rsidRPr="00774DA6">
        <w:t xml:space="preserve"> unwanted sex and </w:t>
      </w:r>
      <w:r w:rsidRPr="00154011">
        <w:rPr>
          <w:b/>
          <w:highlight w:val="green"/>
          <w:u w:val="single"/>
        </w:rPr>
        <w:t>sexual violence</w:t>
      </w:r>
      <w:r w:rsidRPr="00774DA6">
        <w:t xml:space="preserve"> perpetrated against asexual people, </w:t>
      </w:r>
      <w:r w:rsidRPr="00154011">
        <w:rPr>
          <w:b/>
          <w:highlight w:val="green"/>
          <w:u w:val="single"/>
        </w:rPr>
        <w:t>including corrective rape</w:t>
      </w:r>
      <w:r w:rsidRPr="00774DA6">
        <w:t xml:space="preserve"> where perpetrators believe they can ‘correct’ (Doan-Minh, 2019) an asexual person through sexual violence. Online asexual communities commonly include individual stories of corrective rape, and sexual violence perpetrated against asexual students is prevalent in higher education. In a study of over 2,000 asexual college students, </w:t>
      </w:r>
      <w:r w:rsidRPr="00774DA6">
        <w:rPr>
          <w:b/>
          <w:u w:val="single"/>
        </w:rPr>
        <w:t>nearly three quarters experienced non-consensual sexual exposure</w:t>
      </w:r>
      <w:r w:rsidRPr="00774DA6">
        <w:t xml:space="preserve"> (i.e., forced to see someone else’s sexual body parts, made you show your sexual body parts, or made you look at sexual photos or movies), more than half experienced unwanted sexual contact, and nearly a quarter were raped through physical force or coercion (Mollet &amp; Black, 2021).  Education research further perpetuates </w:t>
      </w:r>
      <w:proofErr w:type="spellStart"/>
      <w:r w:rsidRPr="00774DA6">
        <w:t>allonormativity</w:t>
      </w:r>
      <w:proofErr w:type="spellEnd"/>
      <w:r w:rsidRPr="00774DA6">
        <w:t xml:space="preserve"> by using frameworks that assume all people experience sexual attraction (Lange et al., 2019). Guided by </w:t>
      </w:r>
      <w:r w:rsidRPr="00154011">
        <w:rPr>
          <w:b/>
          <w:highlight w:val="green"/>
          <w:u w:val="single"/>
        </w:rPr>
        <w:t>existing research, education practice further</w:t>
      </w:r>
      <w:r w:rsidRPr="00774DA6">
        <w:t xml:space="preserve"> advances </w:t>
      </w:r>
      <w:proofErr w:type="spellStart"/>
      <w:r w:rsidRPr="00154011">
        <w:rPr>
          <w:b/>
          <w:highlight w:val="green"/>
          <w:u w:val="single"/>
        </w:rPr>
        <w:t>allonormative</w:t>
      </w:r>
      <w:proofErr w:type="spellEnd"/>
      <w:r w:rsidRPr="00154011">
        <w:rPr>
          <w:b/>
          <w:highlight w:val="green"/>
          <w:u w:val="single"/>
        </w:rPr>
        <w:t xml:space="preserve"> socialization</w:t>
      </w:r>
      <w:r w:rsidRPr="00774DA6">
        <w:rPr>
          <w:b/>
          <w:u w:val="single"/>
        </w:rPr>
        <w:t>.</w:t>
      </w:r>
      <w:r w:rsidRPr="00774DA6">
        <w:t xml:space="preserve"> When offered, sexual education at all levels of education reinforces assumptions of the omnipresence of sexual attraction, which can leave asexual students—and students who may identify as asexual—without information or scholarly knowledge about their identities (Mollet, 2018). Instead of resisting compulsory sexuality, many programs reinforce messages of abstinence that emphasize strategies for resisting sexual desires instead of also normalizing that some people do not experience sexual attraction. Some religious cultures and doctrines further reinforce abstinence as a virtuous decision based </w:t>
      </w:r>
      <w:proofErr w:type="gramStart"/>
      <w:r w:rsidRPr="00774DA6">
        <w:t>in</w:t>
      </w:r>
      <w:proofErr w:type="gramEnd"/>
      <w:r w:rsidRPr="00774DA6">
        <w:t xml:space="preserve"> foregoing sexual desires; not acknowledging the distinction between chastity as a conscious choice and asexuality as an identity inaccurately conflates these two distinctly different experiences. A growing body of asexual fiction is beginning to provide language and scripts that resist </w:t>
      </w:r>
      <w:proofErr w:type="spellStart"/>
      <w:r w:rsidRPr="00774DA6">
        <w:t>allonormativity</w:t>
      </w:r>
      <w:proofErr w:type="spellEnd"/>
      <w:r w:rsidRPr="00774DA6">
        <w:t xml:space="preserve"> by amplifying stories of asexual people in healthy romantic relationships with allosexual people, where they collaboratively re-imagine non-</w:t>
      </w:r>
      <w:proofErr w:type="spellStart"/>
      <w:r w:rsidRPr="00774DA6">
        <w:t>allonormative</w:t>
      </w:r>
      <w:proofErr w:type="spellEnd"/>
      <w:r w:rsidRPr="00774DA6">
        <w:t xml:space="preserve"> relationship patterns (Carter, 2020). Movies and shows have also begun highlighting positive examples of asexual characters and relationships. By portraying dynamic asexual relationships that challenge asexual stereotypes (e.g., loneliness, lack of intimate relationships), these media representations demonstrate the potential for nonsexual intimate relationships. Netflix’s </w:t>
      </w:r>
      <w:proofErr w:type="spellStart"/>
      <w:r w:rsidRPr="00774DA6">
        <w:t>Bojack</w:t>
      </w:r>
      <w:proofErr w:type="spellEnd"/>
      <w:r w:rsidRPr="00774DA6">
        <w:t xml:space="preserve"> Horseman and Varys in Game of Thrones are two of the most prominent portrayals of asexual characters. Unfortunately, these examples also display the significant limitations of presenting asexual identities associated with cisgender men. The systems of </w:t>
      </w:r>
      <w:proofErr w:type="spellStart"/>
      <w:r w:rsidRPr="00774DA6">
        <w:t>allonormativity</w:t>
      </w:r>
      <w:proofErr w:type="spellEnd"/>
      <w:r w:rsidRPr="00774DA6">
        <w:t xml:space="preserve"> and compulsory sexuality influence all people, not only those who are asexual (Gupta, 2015). Across society and within education, </w:t>
      </w:r>
      <w:r w:rsidRPr="00154011">
        <w:rPr>
          <w:b/>
          <w:highlight w:val="green"/>
          <w:u w:val="single"/>
        </w:rPr>
        <w:t>the perpetuation of these systems manifests continued oppression of asexual and aromantic people</w:t>
      </w:r>
      <w:r w:rsidRPr="00774DA6">
        <w:t xml:space="preserve"> while also reifying norms that limit and constrain conceptions of possible intimacies. </w:t>
      </w:r>
    </w:p>
    <w:p w14:paraId="2E19CD55" w14:textId="77777777" w:rsidR="009A79C4" w:rsidRPr="00774DA6" w:rsidRDefault="009A79C4" w:rsidP="009A79C4">
      <w:pPr>
        <w:pStyle w:val="Heading4"/>
      </w:pPr>
      <w:r w:rsidRPr="00774DA6">
        <w:t xml:space="preserve">The alternative is the sexless sexual revolution – an asexual embracement of </w:t>
      </w:r>
      <w:proofErr w:type="spellStart"/>
      <w:r w:rsidRPr="00774DA6">
        <w:t>erotics</w:t>
      </w:r>
      <w:proofErr w:type="spellEnd"/>
      <w:r w:rsidRPr="00774DA6">
        <w:t xml:space="preserve"> that unimagine and deconceptualize sex</w:t>
      </w:r>
    </w:p>
    <w:p w14:paraId="2EE6F7BE" w14:textId="77777777" w:rsidR="009A79C4" w:rsidRPr="00774DA6" w:rsidRDefault="009A79C4" w:rsidP="009A79C4">
      <w:r w:rsidRPr="00242899">
        <w:rPr>
          <w:rStyle w:val="Style13ptBold"/>
        </w:rPr>
        <w:t>Markiewicz</w:t>
      </w:r>
      <w:r w:rsidRPr="00774DA6">
        <w:t>, M. (</w:t>
      </w:r>
      <w:r w:rsidRPr="00242899">
        <w:rPr>
          <w:rStyle w:val="Style13ptBold"/>
        </w:rPr>
        <w:t>2024</w:t>
      </w:r>
      <w:r w:rsidRPr="00774DA6">
        <w:t xml:space="preserve">). </w:t>
      </w:r>
      <w:r w:rsidRPr="00774DA6">
        <w:rPr>
          <w:i/>
          <w:iCs/>
        </w:rPr>
        <w:t>Sexuality is Over. Long Live Asexuality: Post-Sexuality in the Post-Post Era</w:t>
      </w:r>
      <w:r w:rsidRPr="00774DA6">
        <w:t xml:space="preserve">. [online] </w:t>
      </w:r>
      <w:r w:rsidRPr="00774DA6">
        <w:rPr>
          <w:i/>
          <w:iCs/>
        </w:rPr>
        <w:t>Routledge eBooks</w:t>
      </w:r>
      <w:r w:rsidRPr="00774DA6">
        <w:t xml:space="preserve">. Informa. </w:t>
      </w:r>
      <w:proofErr w:type="spellStart"/>
      <w:proofErr w:type="gramStart"/>
      <w:r w:rsidRPr="00774DA6">
        <w:t>doi:https</w:t>
      </w:r>
      <w:proofErr w:type="spellEnd"/>
      <w:r w:rsidRPr="00774DA6">
        <w:t>://doi.org/10.4324/9781003178798</w:t>
      </w:r>
      <w:proofErr w:type="gramEnd"/>
      <w:r w:rsidRPr="00774DA6">
        <w:t>. //SDPW</w:t>
      </w:r>
    </w:p>
    <w:p w14:paraId="6DBB00E6" w14:textId="77777777" w:rsidR="009A79C4" w:rsidRPr="00774DA6" w:rsidRDefault="009A79C4" w:rsidP="009A79C4">
      <w:r w:rsidRPr="00774DA6">
        <w:t xml:space="preserve">In Third-Wave Feminism, Sexualities, and the Adventures of the Posts, Rhonda Hammer and Douglas Kellner ask, “Will technology erase our sexual needs and desires, providing technological substitutes for human sexual interaction? And if so, who would want this sort of sterile and asexual existence?”51 The process of technically </w:t>
      </w:r>
      <w:r w:rsidRPr="00774DA6">
        <w:rPr>
          <w:b/>
          <w:bCs/>
          <w:u w:val="single"/>
        </w:rPr>
        <w:t>substituting our sexual desires and needs has already started</w:t>
      </w:r>
      <w:r w:rsidRPr="00774DA6">
        <w:t xml:space="preserve">, since a growing number of women prefer (understandably) technical </w:t>
      </w:r>
      <w:proofErr w:type="spellStart"/>
      <w:r w:rsidRPr="00774DA6">
        <w:t>erotics</w:t>
      </w:r>
      <w:proofErr w:type="spellEnd"/>
      <w:r w:rsidRPr="00774DA6">
        <w:t xml:space="preserve"> to a flesh-and-blood partner.52 Those who argue that sex is essential to procreation will soon also have to start looking for excitement elsewhere</w:t>
      </w:r>
      <w:r w:rsidRPr="00774DA6">
        <w:rPr>
          <w:b/>
          <w:bCs/>
          <w:u w:val="single"/>
        </w:rPr>
        <w:t xml:space="preserve">; </w:t>
      </w:r>
      <w:r w:rsidRPr="00154011">
        <w:rPr>
          <w:b/>
          <w:bCs/>
          <w:highlight w:val="green"/>
          <w:u w:val="single"/>
        </w:rPr>
        <w:t>asexual reproduction is no longer a utopian scena</w:t>
      </w:r>
      <w:r w:rsidRPr="00774DA6">
        <w:rPr>
          <w:b/>
          <w:bCs/>
          <w:u w:val="single"/>
        </w:rPr>
        <w:t>rio</w:t>
      </w:r>
      <w:r w:rsidRPr="00774DA6">
        <w:t xml:space="preserve"> from a feminist sci-fi novel, it’s the near future.53 Post-sexuality is already here and it’s here to stay. If the 1960s and 1970s sexual revolution was made possible because of the discovery of the oral contraceptive pill, which marked the radical separation between reproductive sex and sex for pleasure, another sexual revolution might be underway—</w:t>
      </w:r>
      <w:r w:rsidRPr="00154011">
        <w:rPr>
          <w:b/>
          <w:bCs/>
          <w:highlight w:val="green"/>
          <w:u w:val="single"/>
        </w:rPr>
        <w:t>a sexless sexual revolution</w:t>
      </w:r>
      <w:r w:rsidRPr="00774DA6">
        <w:t xml:space="preserve">. It will be a revolution of the queer, the trans, the single, and the asexual, of the genderfluid and the intersex, of the sterile and the uncoupled, and of </w:t>
      </w:r>
      <w:r w:rsidRPr="00774DA6">
        <w:rPr>
          <w:u w:val="single"/>
        </w:rPr>
        <w:t>all those yet unnamed and unimagined ways of being</w:t>
      </w:r>
      <w:r w:rsidRPr="00774DA6">
        <w:t xml:space="preserve"> that will soon be born, if only we let them. Coda: The End of the Monarchy of Sex There is “no more appealing articulation of the utopian promise of queer than Foucault’s dream that same-sex relations might create new social </w:t>
      </w:r>
      <w:proofErr w:type="spellStart"/>
      <w:r w:rsidRPr="00774DA6">
        <w:t>virtualities</w:t>
      </w:r>
      <w:proofErr w:type="spellEnd"/>
      <w:r w:rsidRPr="00774DA6">
        <w:t xml:space="preserve">,” writes Heather Love in After Sex? On Writing Since Queer Theory.54 Though its title poses a very bold question, most of the contributors to this anthology refuse to think after sex. Asked about a post- sexual future, queer theorists collected in this volume seem to answer “No, not for me. Thank you.” The only author who dares to think after sex is Michael Cobb, whose text </w:t>
      </w:r>
      <w:proofErr w:type="spellStart"/>
      <w:r w:rsidRPr="00774DA6">
        <w:t>inquires</w:t>
      </w:r>
      <w:proofErr w:type="spellEnd"/>
      <w:r w:rsidRPr="00774DA6">
        <w:t xml:space="preserve"> into the </w:t>
      </w:r>
      <w:proofErr w:type="gramStart"/>
      <w:r w:rsidRPr="00774DA6">
        <w:t>affects</w:t>
      </w:r>
      <w:proofErr w:type="gramEnd"/>
      <w:r w:rsidRPr="00774DA6">
        <w:t xml:space="preserve"> and politics of singleness.55 Is queer theory after sex possible? </w:t>
      </w:r>
      <w:r w:rsidRPr="00154011">
        <w:rPr>
          <w:b/>
          <w:bCs/>
          <w:highlight w:val="green"/>
          <w:u w:val="single"/>
        </w:rPr>
        <w:t>Asexuality, through imagining intimacy and pleasure otherwise, challenge</w:t>
      </w:r>
      <w:r w:rsidRPr="00774DA6">
        <w:rPr>
          <w:b/>
          <w:bCs/>
          <w:u w:val="single"/>
        </w:rPr>
        <w:t>s not only “</w:t>
      </w:r>
      <w:r w:rsidRPr="00154011">
        <w:rPr>
          <w:b/>
          <w:bCs/>
          <w:highlight w:val="green"/>
          <w:u w:val="single"/>
        </w:rPr>
        <w:t>compulsory sex-positivity</w:t>
      </w:r>
      <w:r w:rsidRPr="00774DA6">
        <w:rPr>
          <w:b/>
          <w:bCs/>
          <w:u w:val="single"/>
        </w:rPr>
        <w:t>,” but also how we understand queerness</w:t>
      </w:r>
      <w:r w:rsidRPr="00774DA6">
        <w:t xml:space="preserve">. How do we reconcile asexuality to queerness, with the latter’s focus on sex as the main locus of liberation? Isn’t asexuality always radically queer? Foucault’s theorizations of sexuality offer useful insights into these questions. While he considered himself to be a libertarian, Foucault’s later writings make apparent how the discourse of liberation is an </w:t>
      </w:r>
      <w:proofErr w:type="gramStart"/>
      <w:r w:rsidRPr="00774DA6">
        <w:t>obstacle in itself</w:t>
      </w:r>
      <w:proofErr w:type="gramEnd"/>
      <w:r w:rsidRPr="00774DA6">
        <w:t>.56 Forcing us to focus on the enjoyment imperative, the deployment of sexuality prevents us from forming relations that would not be coded in terms of sexuality. This is what stops us from imagining otherwise—</w:t>
      </w:r>
      <w:r w:rsidRPr="00154011">
        <w:rPr>
          <w:b/>
          <w:bCs/>
          <w:highlight w:val="green"/>
          <w:u w:val="single"/>
        </w:rPr>
        <w:t xml:space="preserve">sexuality </w:t>
      </w:r>
      <w:proofErr w:type="gramStart"/>
      <w:r w:rsidRPr="00154011">
        <w:rPr>
          <w:b/>
          <w:bCs/>
          <w:highlight w:val="green"/>
          <w:u w:val="single"/>
        </w:rPr>
        <w:t>has to</w:t>
      </w:r>
      <w:proofErr w:type="gramEnd"/>
      <w:r w:rsidRPr="00154011">
        <w:rPr>
          <w:b/>
          <w:bCs/>
          <w:highlight w:val="green"/>
          <w:u w:val="single"/>
        </w:rPr>
        <w:t xml:space="preserve"> be deconstructed</w:t>
      </w:r>
      <w:r w:rsidRPr="00774DA6">
        <w:rPr>
          <w:b/>
          <w:bCs/>
          <w:u w:val="single"/>
        </w:rPr>
        <w:t xml:space="preserve"> </w:t>
      </w:r>
      <w:proofErr w:type="gramStart"/>
      <w:r w:rsidRPr="00774DA6">
        <w:rPr>
          <w:b/>
          <w:bCs/>
          <w:u w:val="single"/>
        </w:rPr>
        <w:t xml:space="preserve">in order </w:t>
      </w:r>
      <w:r w:rsidRPr="00154011">
        <w:rPr>
          <w:b/>
          <w:bCs/>
          <w:highlight w:val="green"/>
          <w:u w:val="single"/>
        </w:rPr>
        <w:t>for</w:t>
      </w:r>
      <w:proofErr w:type="gramEnd"/>
      <w:r w:rsidRPr="00154011">
        <w:rPr>
          <w:b/>
          <w:bCs/>
          <w:highlight w:val="green"/>
          <w:u w:val="single"/>
        </w:rPr>
        <w:t xml:space="preserve"> us to arrive at</w:t>
      </w:r>
      <w:r w:rsidRPr="00774DA6">
        <w:rPr>
          <w:b/>
          <w:bCs/>
          <w:u w:val="single"/>
        </w:rPr>
        <w:t xml:space="preserve"> a </w:t>
      </w:r>
      <w:r w:rsidRPr="00154011">
        <w:rPr>
          <w:b/>
          <w:bCs/>
          <w:highlight w:val="green"/>
          <w:u w:val="single"/>
        </w:rPr>
        <w:t>queer multiplicity</w:t>
      </w:r>
      <w:r w:rsidRPr="00774DA6">
        <w:rPr>
          <w:b/>
          <w:bCs/>
          <w:u w:val="single"/>
        </w:rPr>
        <w:t xml:space="preserve"> of relationships</w:t>
      </w:r>
      <w:r w:rsidRPr="00774DA6">
        <w:t xml:space="preserve">—and this is a hardly ever talked about stance in Foucault’s work (and in queer theory in general). We, as asexuality theorists, often talk about how asexuality is absent from queer and feminist theory. However, this is not always the case. Take, for example, one of the late interviews with Foucault, where the movement he is describing taking shape in the late 20th century significantly resembles what we know as the asexuality movement today: A movement is taking shape which seems to me to be reversing the trend of “always more sex,” of “always more truth in sex,” a trend which has doomed us for centuries: </w:t>
      </w:r>
      <w:r w:rsidRPr="00774DA6">
        <w:rPr>
          <w:b/>
          <w:bCs/>
          <w:u w:val="single"/>
        </w:rPr>
        <w:t>it’s a matter</w:t>
      </w:r>
      <w:r w:rsidRPr="00774DA6">
        <w:t xml:space="preserve">, I don’t say of rediscovering, but rather </w:t>
      </w:r>
      <w:r w:rsidRPr="00774DA6">
        <w:rPr>
          <w:b/>
          <w:bCs/>
          <w:u w:val="single"/>
        </w:rPr>
        <w:t xml:space="preserve">of </w:t>
      </w:r>
      <w:r w:rsidRPr="00154011">
        <w:rPr>
          <w:b/>
          <w:bCs/>
          <w:highlight w:val="green"/>
          <w:u w:val="single"/>
        </w:rPr>
        <w:t>fabricating other forms of pleasure</w:t>
      </w:r>
      <w:r w:rsidRPr="00774DA6">
        <w:rPr>
          <w:b/>
          <w:bCs/>
          <w:u w:val="single"/>
        </w:rPr>
        <w:t xml:space="preserve">, of </w:t>
      </w:r>
      <w:r w:rsidRPr="00154011">
        <w:rPr>
          <w:b/>
          <w:bCs/>
          <w:highlight w:val="green"/>
          <w:u w:val="single"/>
        </w:rPr>
        <w:t>relations</w:t>
      </w:r>
      <w:r w:rsidRPr="00774DA6">
        <w:rPr>
          <w:b/>
          <w:bCs/>
          <w:u w:val="single"/>
        </w:rPr>
        <w:t>hips, coexistences</w:t>
      </w:r>
      <w:r w:rsidRPr="00154011">
        <w:rPr>
          <w:b/>
          <w:bCs/>
          <w:highlight w:val="green"/>
          <w:u w:val="single"/>
        </w:rPr>
        <w:t>, attachments, loves, intensities</w:t>
      </w:r>
      <w:r w:rsidRPr="00774DA6">
        <w:t xml:space="preserve">.57 Foucault perceived both homosexuality and the sexual revolution as historic occasions to re-open affective and relational </w:t>
      </w:r>
      <w:proofErr w:type="spellStart"/>
      <w:r w:rsidRPr="00774DA6">
        <w:t>virtualities</w:t>
      </w:r>
      <w:proofErr w:type="spellEnd"/>
      <w:r w:rsidRPr="00774DA6">
        <w:t xml:space="preserve">; </w:t>
      </w:r>
      <w:r w:rsidRPr="00154011">
        <w:rPr>
          <w:b/>
          <w:bCs/>
          <w:highlight w:val="green"/>
          <w:u w:val="single"/>
        </w:rPr>
        <w:t>as disruptors</w:t>
      </w:r>
      <w:r w:rsidRPr="00774DA6">
        <w:rPr>
          <w:b/>
          <w:bCs/>
          <w:u w:val="single"/>
        </w:rPr>
        <w:t xml:space="preserve"> that through </w:t>
      </w:r>
      <w:r w:rsidRPr="00154011">
        <w:rPr>
          <w:b/>
          <w:bCs/>
          <w:highlight w:val="green"/>
          <w:u w:val="single"/>
        </w:rPr>
        <w:t>challenging the deployment of sex</w:t>
      </w:r>
      <w:r w:rsidRPr="00774DA6">
        <w:t xml:space="preserve"> had the potential to create new forms of life.58 According to Lynne Huffer, one of Foucault’s most devoted readers, </w:t>
      </w:r>
      <w:r w:rsidRPr="00774DA6">
        <w:rPr>
          <w:b/>
          <w:bCs/>
          <w:u w:val="single"/>
        </w:rPr>
        <w:t>the very premise of</w:t>
      </w:r>
      <w:r w:rsidRPr="00774DA6">
        <w:t xml:space="preserve"> Foucault’s </w:t>
      </w:r>
      <w:r w:rsidRPr="00774DA6">
        <w:rPr>
          <w:b/>
          <w:bCs/>
          <w:u w:val="single"/>
        </w:rPr>
        <w:t>queer solidarity is that it</w:t>
      </w:r>
      <w:r w:rsidRPr="00774DA6">
        <w:t xml:space="preserve"> has not been fully exhausted and will </w:t>
      </w:r>
      <w:r w:rsidRPr="00774DA6">
        <w:rPr>
          <w:b/>
          <w:bCs/>
          <w:u w:val="single"/>
        </w:rPr>
        <w:t>outlive its figurations as sex</w:t>
      </w:r>
      <w:r w:rsidRPr="00774DA6">
        <w:t xml:space="preserve">.59 What kind of queer future can be imagined when sexuality is no longer bound to its narrative of being “the highest form of intimacy”? How do we develop attachments that bypass the standardized logic of sexual pleasure? “To rethink intimacy is to appraise how we have been and how we live and how we might imagine lives that make more sense than the ones so many are living.”60 Now, we already know that there is a variety of ways to live an asexual lifestyle: one can be celibate, uncoupled, asexual, or perhaps even all of the above—you name it. </w:t>
      </w:r>
      <w:r w:rsidRPr="00154011">
        <w:rPr>
          <w:b/>
          <w:bCs/>
          <w:highlight w:val="green"/>
          <w:u w:val="single"/>
        </w:rPr>
        <w:t>How do we arrive at yet unimagined, unnamed forms of individual and collective existence? Asexuality</w:t>
      </w:r>
      <w:r w:rsidRPr="00774DA6">
        <w:t xml:space="preserve"> seems like </w:t>
      </w:r>
      <w:r w:rsidRPr="00154011">
        <w:rPr>
          <w:b/>
          <w:bCs/>
          <w:highlight w:val="green"/>
          <w:u w:val="single"/>
        </w:rPr>
        <w:t>a good start</w:t>
      </w:r>
      <w:r w:rsidRPr="00774DA6">
        <w:t xml:space="preserve">, since it provides us with ways of imagining worlds that are more just, more otherwise, and </w:t>
      </w:r>
      <w:r w:rsidRPr="00774DA6">
        <w:rPr>
          <w:b/>
          <w:bCs/>
          <w:u w:val="single"/>
        </w:rPr>
        <w:t xml:space="preserve">that allow for the recognition of alternative </w:t>
      </w:r>
      <w:proofErr w:type="gramStart"/>
      <w:r w:rsidRPr="00774DA6">
        <w:rPr>
          <w:b/>
          <w:bCs/>
          <w:u w:val="single"/>
        </w:rPr>
        <w:t>worldmaking</w:t>
      </w:r>
      <w:proofErr w:type="gramEnd"/>
      <w:r w:rsidRPr="00774DA6">
        <w:rPr>
          <w:b/>
          <w:bCs/>
          <w:u w:val="single"/>
        </w:rPr>
        <w:t xml:space="preserve"> relationalities</w:t>
      </w:r>
      <w:r w:rsidRPr="00774DA6">
        <w:t xml:space="preserve">. In “The ‘End’ of Orgasm: The </w:t>
      </w:r>
      <w:proofErr w:type="spellStart"/>
      <w:r w:rsidRPr="00774DA6">
        <w:t>Erotics</w:t>
      </w:r>
      <w:proofErr w:type="spellEnd"/>
      <w:r w:rsidRPr="00774DA6">
        <w:t xml:space="preserve"> of Durational Pleasures,” KJ </w:t>
      </w:r>
      <w:proofErr w:type="spellStart"/>
      <w:r w:rsidRPr="00774DA6">
        <w:t>Cerankowski</w:t>
      </w:r>
      <w:proofErr w:type="spellEnd"/>
      <w:r w:rsidRPr="00774DA6">
        <w:t xml:space="preserve"> proposes to </w:t>
      </w:r>
      <w:r w:rsidRPr="00774DA6">
        <w:rPr>
          <w:b/>
          <w:bCs/>
          <w:u w:val="single"/>
        </w:rPr>
        <w:t>understand asexuality as “an organization of pleasures that are particularly made apparent when sexual pleasure is foregone</w:t>
      </w:r>
      <w:r w:rsidRPr="00774DA6">
        <w:t xml:space="preserve">.”61 Following </w:t>
      </w:r>
      <w:proofErr w:type="spellStart"/>
      <w:r w:rsidRPr="00774DA6">
        <w:t>Cerankowski</w:t>
      </w:r>
      <w:proofErr w:type="spellEnd"/>
      <w:r w:rsidRPr="00774DA6">
        <w:t xml:space="preserve">, I would now like to focus on these asexual joys </w:t>
      </w:r>
      <w:proofErr w:type="gramStart"/>
      <w:r w:rsidRPr="00774DA6">
        <w:t>in order to</w:t>
      </w:r>
      <w:proofErr w:type="gramEnd"/>
      <w:r w:rsidRPr="00774DA6">
        <w:t xml:space="preserve"> argue that there is much more to life than just sex. After we “free” sex from its current cultural over-significance, what pleasures will come forward? After we give up the toxic dualism of the </w:t>
      </w:r>
      <w:proofErr w:type="gramStart"/>
      <w:r w:rsidRPr="00774DA6">
        <w:t>couple</w:t>
      </w:r>
      <w:proofErr w:type="gramEnd"/>
      <w:r w:rsidRPr="00774DA6">
        <w:t xml:space="preserve"> form, what relationalities will arise? Perhaps we need to remind ourselves of </w:t>
      </w:r>
      <w:r w:rsidRPr="00154011">
        <w:rPr>
          <w:b/>
          <w:bCs/>
          <w:highlight w:val="green"/>
          <w:u w:val="single"/>
        </w:rPr>
        <w:t>the beauty that non-sexual pleasures make apparent</w:t>
      </w:r>
      <w:r w:rsidRPr="00774DA6">
        <w:rPr>
          <w:b/>
          <w:bCs/>
          <w:u w:val="single"/>
        </w:rPr>
        <w:t>, since</w:t>
      </w:r>
      <w:r w:rsidRPr="00774DA6">
        <w:t xml:space="preserve"> the deployment of </w:t>
      </w:r>
      <w:r w:rsidRPr="00154011">
        <w:rPr>
          <w:b/>
          <w:bCs/>
          <w:highlight w:val="green"/>
          <w:u w:val="single"/>
        </w:rPr>
        <w:t>sexuality works hard to erase them completely</w:t>
      </w:r>
      <w:r w:rsidRPr="00774DA6">
        <w:t xml:space="preserve">: we have to remind ourselves of the simple </w:t>
      </w:r>
      <w:r w:rsidRPr="00774DA6">
        <w:rPr>
          <w:b/>
          <w:bCs/>
          <w:u w:val="single"/>
        </w:rPr>
        <w:t>pleasures that arise</w:t>
      </w:r>
      <w:r w:rsidRPr="00774DA6">
        <w:t xml:space="preserve"> when we encounter a stranger; </w:t>
      </w:r>
      <w:r w:rsidRPr="00F921B4">
        <w:rPr>
          <w:b/>
          <w:bCs/>
          <w:highlight w:val="green"/>
          <w:u w:val="single"/>
        </w:rPr>
        <w:t>when the</w:t>
      </w:r>
      <w:r w:rsidRPr="00774DA6">
        <w:t xml:space="preserve"> ultimate </w:t>
      </w:r>
      <w:r w:rsidRPr="00F921B4">
        <w:rPr>
          <w:b/>
          <w:bCs/>
          <w:highlight w:val="green"/>
          <w:u w:val="single"/>
        </w:rPr>
        <w:t>other shows kindness</w:t>
      </w:r>
      <w:r w:rsidRPr="00774DA6">
        <w:t xml:space="preserve"> toward us, making a short moment in time more worthwhile than others; </w:t>
      </w:r>
      <w:r w:rsidRPr="00F921B4">
        <w:rPr>
          <w:b/>
          <w:bCs/>
          <w:highlight w:val="green"/>
          <w:u w:val="single"/>
        </w:rPr>
        <w:t>when we connect</w:t>
      </w:r>
      <w:r w:rsidRPr="00774DA6">
        <w:t xml:space="preserve"> with our friends on the deepest level </w:t>
      </w:r>
      <w:r w:rsidRPr="00F921B4">
        <w:rPr>
          <w:b/>
          <w:bCs/>
          <w:highlight w:val="green"/>
          <w:u w:val="single"/>
        </w:rPr>
        <w:t>and feel seen and understood</w:t>
      </w:r>
      <w:r w:rsidRPr="00774DA6">
        <w:t xml:space="preserve">; when such attachments give us joy and ask for nothing in return; when we feel the inconceivable love of the animal other, and want to make it feel loved in the same way; when we appreciate friends we’ve just met; people who smiled at us on the street; </w:t>
      </w:r>
      <w:r w:rsidRPr="00F921B4">
        <w:rPr>
          <w:b/>
          <w:bCs/>
          <w:highlight w:val="green"/>
          <w:u w:val="single"/>
        </w:rPr>
        <w:t>when someone is paying attention to us and makes us feel safe and seen</w:t>
      </w:r>
      <w:r w:rsidRPr="00774DA6">
        <w:t xml:space="preserve">; when the meal we’ve just had was heavenly good; when a book we’ve just read resonates deeply with every cell of our being; when our feelings, fears, and emotions are mirrored in the face of the other; when we feel like we are exactly where we’re supposed to be. </w:t>
      </w:r>
      <w:r w:rsidRPr="00F921B4">
        <w:rPr>
          <w:b/>
          <w:bCs/>
          <w:highlight w:val="green"/>
          <w:u w:val="single"/>
        </w:rPr>
        <w:t xml:space="preserve">Each of these moments is </w:t>
      </w:r>
      <w:proofErr w:type="gramStart"/>
      <w:r w:rsidRPr="00F921B4">
        <w:rPr>
          <w:b/>
          <w:bCs/>
          <w:highlight w:val="green"/>
          <w:u w:val="single"/>
        </w:rPr>
        <w:t>erotic in its own right</w:t>
      </w:r>
      <w:r w:rsidRPr="00774DA6">
        <w:t>, describing</w:t>
      </w:r>
      <w:proofErr w:type="gramEnd"/>
      <w:r w:rsidRPr="00774DA6">
        <w:t xml:space="preserve"> one form of love among many.62 Paying attention to these little moments and appreciating them for what they are, </w:t>
      </w:r>
      <w:r w:rsidRPr="00F921B4">
        <w:rPr>
          <w:b/>
          <w:bCs/>
          <w:highlight w:val="green"/>
          <w:u w:val="single"/>
        </w:rPr>
        <w:t>this is the way to go forward</w:t>
      </w:r>
      <w:r w:rsidRPr="00774DA6">
        <w:t>; building a whole myriad of minor pleasures that will keep our libidos stable and our lives more fulfilling.</w:t>
      </w:r>
    </w:p>
    <w:p w14:paraId="3A1E5F55" w14:textId="77777777" w:rsidR="009A79C4" w:rsidRDefault="009A79C4" w:rsidP="009A79C4">
      <w:pPr>
        <w:pStyle w:val="Heading2"/>
      </w:pPr>
      <w:r>
        <w:t>Connectivism K</w:t>
      </w:r>
    </w:p>
    <w:p w14:paraId="3A3C0962" w14:textId="77777777" w:rsidR="009A79C4" w:rsidRDefault="009A79C4" w:rsidP="00242899">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2C40D5B6" w14:textId="77777777" w:rsidR="009A79C4" w:rsidRDefault="009A79C4" w:rsidP="009A79C4">
      <w:r w:rsidRPr="00242899">
        <w:rPr>
          <w:rStyle w:val="Style13ptBold"/>
        </w:rPr>
        <w:t>Culp</w:t>
      </w:r>
      <w:r w:rsidRPr="00ED36CC">
        <w:t xml:space="preserve">, Andrew. </w:t>
      </w:r>
      <w:r w:rsidRPr="00ED36CC">
        <w:rPr>
          <w:i/>
          <w:iCs/>
        </w:rPr>
        <w:t>Dark Deleuze</w:t>
      </w:r>
      <w:r w:rsidRPr="00ED36CC">
        <w:t xml:space="preserve">. U of Minnesota Press, 15 June </w:t>
      </w:r>
      <w:r w:rsidRPr="00242899">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4E536A2D" w14:textId="77777777" w:rsidR="009A79C4" w:rsidRPr="00774DA6" w:rsidRDefault="009A79C4" w:rsidP="009A79C4">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711D2FFD" w14:textId="0FA6D7C8" w:rsidR="009A79C4" w:rsidRDefault="009A79C4" w:rsidP="00242899">
      <w:pPr>
        <w:pStyle w:val="Heading4"/>
      </w:pPr>
      <w:r>
        <w:t xml:space="preserve">The </w:t>
      </w:r>
      <w:proofErr w:type="spellStart"/>
      <w:r>
        <w:t>aff</w:t>
      </w:r>
      <w:proofErr w:type="spellEnd"/>
      <w:r>
        <w:t xml:space="preserve"> is captured by </w:t>
      </w:r>
      <w:proofErr w:type="spellStart"/>
      <w:r>
        <w:t>pornopower</w:t>
      </w:r>
      <w:proofErr w:type="spellEnd"/>
      <w:r>
        <w:t xml:space="preserve"> in which the </w:t>
      </w:r>
      <w:proofErr w:type="spellStart"/>
      <w:r>
        <w:t>connectivist</w:t>
      </w:r>
      <w:proofErr w:type="spellEnd"/>
      <w:r>
        <w:t xml:space="preserve"> call affirms endlessly any type of sex and its excitation and makes bodies visible and controllable through a new salient metropolis</w:t>
      </w:r>
      <w:r>
        <w:t xml:space="preserve"> in which the sexual commodity allows a new determining of who is and is not acceptable within the framing of sex work</w:t>
      </w:r>
    </w:p>
    <w:p w14:paraId="07C6EF7B" w14:textId="77777777" w:rsidR="009A79C4" w:rsidRPr="00EA5466" w:rsidRDefault="009A79C4" w:rsidP="009A79C4">
      <w:r w:rsidRPr="00242899">
        <w:rPr>
          <w:rStyle w:val="Style13ptBold"/>
        </w:rPr>
        <w:t>Culp</w:t>
      </w:r>
      <w:r w:rsidRPr="000A0DC1">
        <w:t xml:space="preserve">, Andrew. </w:t>
      </w:r>
      <w:r w:rsidRPr="000A0DC1">
        <w:rPr>
          <w:i/>
          <w:iCs/>
        </w:rPr>
        <w:t>A Guerrilla Guide to Refusal</w:t>
      </w:r>
      <w:r w:rsidRPr="000A0DC1">
        <w:t xml:space="preserve">. U of Minnesota Press, 15 Mar. </w:t>
      </w:r>
      <w:r w:rsidRPr="00242899">
        <w:rPr>
          <w:rStyle w:val="Style13ptBold"/>
        </w:rPr>
        <w:t>2022</w:t>
      </w:r>
      <w:r w:rsidRPr="000A0DC1">
        <w:t>.</w:t>
      </w:r>
      <w:r>
        <w:t xml:space="preserve"> //SDPW</w:t>
      </w:r>
    </w:p>
    <w:p w14:paraId="75DDEAD1" w14:textId="77777777" w:rsidR="009A79C4" w:rsidRPr="00EA5466" w:rsidRDefault="009A79C4" w:rsidP="009A79C4">
      <w:pPr>
        <w:rPr>
          <w:sz w:val="16"/>
        </w:rPr>
      </w:pPr>
      <w:r w:rsidRPr="00EA5466">
        <w:rPr>
          <w:b/>
          <w:bCs/>
          <w:u w:val="single"/>
        </w:rPr>
        <w:t xml:space="preserve">The future is “connectivity,” or so say </w:t>
      </w:r>
      <w:r w:rsidRPr="00EA5466">
        <w:rPr>
          <w:sz w:val="16"/>
        </w:rPr>
        <w:t>today’s</w:t>
      </w:r>
      <w:r w:rsidRPr="00EA5466">
        <w:rPr>
          <w:b/>
          <w:bCs/>
          <w:u w:val="single"/>
        </w:rPr>
        <w:t xml:space="preserve"> tech execs</w:t>
      </w:r>
      <w:r w:rsidRPr="00EA5466">
        <w:rPr>
          <w:sz w:val="16"/>
        </w:rPr>
        <w:t xml:space="preserve"> as they outline their plans for a new world order. “Soon everyone on Earth will be connected,” they declare, following it with worn promises of increased productivity, health, education, and happiness.1 On the face of things, they are simply echoing the old trope of the level playing field repeated by empire builders from Niccolò Machiavelli to Thomas Friedman. What then is new? The type of horizontal connections that </w:t>
      </w:r>
      <w:r w:rsidRPr="00EA5466">
        <w:rPr>
          <w:b/>
          <w:bCs/>
          <w:u w:val="single"/>
        </w:rPr>
        <w:t xml:space="preserve">their </w:t>
      </w:r>
      <w:r w:rsidRPr="00A502CB">
        <w:rPr>
          <w:b/>
          <w:bCs/>
          <w:highlight w:val="green"/>
          <w:u w:val="single"/>
        </w:rPr>
        <w:t>connectivity forges between the virtual and physical worlds</w:t>
      </w:r>
      <w:r w:rsidRPr="00EA5466">
        <w:rPr>
          <w:sz w:val="16"/>
        </w:rPr>
        <w:t xml:space="preserve">. In particular, its digital logic of combinatorial difference is now used </w:t>
      </w:r>
      <w:r w:rsidRPr="00EA5466">
        <w:rPr>
          <w:b/>
          <w:bCs/>
          <w:u w:val="single"/>
        </w:rPr>
        <w:t xml:space="preserve">as </w:t>
      </w:r>
      <w:r w:rsidRPr="00A502CB">
        <w:rPr>
          <w:b/>
          <w:bCs/>
          <w:highlight w:val="green"/>
          <w:u w:val="single"/>
        </w:rPr>
        <w:t>a tool of governance to “intensify, accelerate, and exacerbate phenomena in the world</w:t>
      </w:r>
      <w:r w:rsidRPr="00EA5466">
        <w:rPr>
          <w:b/>
          <w:bCs/>
          <w:u w:val="single"/>
        </w:rPr>
        <w:t xml:space="preserve"> so that a difference in degree will become a difference in kind</w:t>
      </w:r>
      <w:r w:rsidRPr="00EA5466">
        <w:rPr>
          <w:sz w:val="16"/>
        </w:rPr>
        <w:t xml:space="preserve">.”2 In sum, connectivity is the new techno-utopian business strategy that braids the physical with the virtual to create a sociopolitical empire of difference. </w:t>
      </w:r>
      <w:r w:rsidRPr="00EA5466">
        <w:rPr>
          <w:b/>
          <w:bCs/>
          <w:u w:val="single"/>
        </w:rPr>
        <w:t xml:space="preserve">Google’s connectivity thesis is </w:t>
      </w:r>
      <w:r w:rsidRPr="00A502CB">
        <w:rPr>
          <w:b/>
          <w:bCs/>
          <w:highlight w:val="green"/>
          <w:u w:val="single"/>
        </w:rPr>
        <w:t>a sign that power is increasingly logistical</w:t>
      </w:r>
      <w:r w:rsidRPr="00EA5466">
        <w:rPr>
          <w:sz w:val="16"/>
        </w:rPr>
        <w:t xml:space="preserve">: its authority resides in roads, cell-phone towers, and data centers, and its legislators are those who keep the flows moving. There are political consequences for this shift; principally, it names a power not usually associated with spaces of appearance like courthouses and presidential palaces.3 The transformation carries through power’s abstract form and material expression. The abstract form of logistical power is not exclusion, but inclusive disjunction (inclusive exclusion, inclusive omission, selective inclusion, etc.).4 </w:t>
      </w:r>
      <w:r w:rsidRPr="00EA5466">
        <w:rPr>
          <w:b/>
          <w:bCs/>
          <w:u w:val="single"/>
        </w:rPr>
        <w:t xml:space="preserve">This geographic reconfiguration has also been reflected in </w:t>
      </w:r>
      <w:r w:rsidRPr="00A502CB">
        <w:rPr>
          <w:b/>
          <w:bCs/>
          <w:highlight w:val="green"/>
          <w:u w:val="single"/>
        </w:rPr>
        <w:t>an “infrastructural turn” in oppositional politics</w:t>
      </w:r>
      <w:r w:rsidRPr="00EA5466">
        <w:rPr>
          <w:sz w:val="16"/>
        </w:rPr>
        <w:t xml:space="preserve">, as demonstrated in blockades and </w:t>
      </w:r>
      <w:proofErr w:type="spellStart"/>
      <w:r w:rsidRPr="00EA5466">
        <w:rPr>
          <w:sz w:val="16"/>
        </w:rPr>
        <w:t>counterinfrastructure</w:t>
      </w:r>
      <w:proofErr w:type="spellEnd"/>
      <w:r w:rsidRPr="00EA5466">
        <w:rPr>
          <w:sz w:val="16"/>
        </w:rPr>
        <w:t>, such as the disruption of Google buses in the San Francisco Bay Area or the development of new computational tools for activists.5 Abstractly, such connectivity has made it so “power has become the environment itself.”</w:t>
      </w:r>
      <w:r w:rsidRPr="00A502CB">
        <w:rPr>
          <w:sz w:val="16"/>
          <w:highlight w:val="green"/>
        </w:rPr>
        <w:t xml:space="preserve">6 </w:t>
      </w:r>
      <w:r w:rsidRPr="00A502CB">
        <w:rPr>
          <w:b/>
          <w:bCs/>
          <w:highlight w:val="green"/>
          <w:u w:val="single"/>
        </w:rPr>
        <w:t>A curious omission</w:t>
      </w:r>
      <w:r w:rsidRPr="00EA5466">
        <w:rPr>
          <w:b/>
          <w:bCs/>
          <w:u w:val="single"/>
        </w:rPr>
        <w:t xml:space="preserve"> haunts so much talk </w:t>
      </w:r>
      <w:r w:rsidRPr="00A502CB">
        <w:rPr>
          <w:b/>
          <w:bCs/>
          <w:highlight w:val="green"/>
          <w:u w:val="single"/>
        </w:rPr>
        <w:t>of biopolitics—sex</w:t>
      </w:r>
      <w:r w:rsidRPr="00EA5466">
        <w:rPr>
          <w:sz w:val="16"/>
        </w:rPr>
        <w:t xml:space="preserve">. Political theorists </w:t>
      </w:r>
      <w:proofErr w:type="gramStart"/>
      <w:r w:rsidRPr="00EA5466">
        <w:rPr>
          <w:sz w:val="16"/>
        </w:rPr>
        <w:t>in particular tend</w:t>
      </w:r>
      <w:proofErr w:type="gramEnd"/>
      <w:r w:rsidRPr="00EA5466">
        <w:rPr>
          <w:sz w:val="16"/>
        </w:rPr>
        <w:t xml:space="preserve"> to take for granted Michel Foucault’s claim that contemporary power was born with the invention of a science of sex. They quickly generalize biopolitics away from the specific of sexuality to a broader distinction between </w:t>
      </w:r>
      <w:proofErr w:type="spellStart"/>
      <w:r w:rsidRPr="00EA5466">
        <w:rPr>
          <w:sz w:val="16"/>
        </w:rPr>
        <w:t>zoē</w:t>
      </w:r>
      <w:proofErr w:type="spellEnd"/>
      <w:r w:rsidRPr="00EA5466">
        <w:rPr>
          <w:sz w:val="16"/>
        </w:rPr>
        <w:t xml:space="preserve"> and bios, allowing “biopolitics” to mean “the politics of life itself” or the power to “make live and let die.”7 This is </w:t>
      </w:r>
      <w:r w:rsidRPr="00EA5466">
        <w:rPr>
          <w:b/>
          <w:bCs/>
          <w:u w:val="single"/>
        </w:rPr>
        <w:t>not to say that sexuality is totally absent</w:t>
      </w:r>
      <w:r w:rsidRPr="00EA5466">
        <w:rPr>
          <w:sz w:val="16"/>
        </w:rPr>
        <w:t xml:space="preserve"> in such accounts, </w:t>
      </w:r>
      <w:r w:rsidRPr="00EA5466">
        <w:rPr>
          <w:b/>
          <w:bCs/>
          <w:u w:val="single"/>
        </w:rPr>
        <w:t>but that sex is often demoted to an illustrative case study</w:t>
      </w:r>
      <w:r w:rsidRPr="00EA5466">
        <w:rPr>
          <w:sz w:val="16"/>
        </w:rPr>
        <w:t xml:space="preserve"> for the broader regulation of the body. In contrast, feminist scholars have used the body as a shared site for a critical analytic, as </w:t>
      </w:r>
      <w:r w:rsidRPr="00EA5466">
        <w:rPr>
          <w:b/>
          <w:bCs/>
          <w:u w:val="single"/>
        </w:rPr>
        <w:t xml:space="preserve">it serves as a nexus for questions of race science, </w:t>
      </w:r>
      <w:r w:rsidRPr="00A502CB">
        <w:rPr>
          <w:b/>
          <w:bCs/>
          <w:highlight w:val="green"/>
          <w:u w:val="single"/>
        </w:rPr>
        <w:t>the violent capitalist reorganization of gender</w:t>
      </w:r>
      <w:r w:rsidRPr="00EA5466">
        <w:rPr>
          <w:b/>
          <w:bCs/>
          <w:u w:val="single"/>
        </w:rPr>
        <w:t xml:space="preserve">, the medicalization of </w:t>
      </w:r>
      <w:r w:rsidRPr="00A502CB">
        <w:rPr>
          <w:b/>
          <w:bCs/>
          <w:highlight w:val="green"/>
          <w:u w:val="single"/>
        </w:rPr>
        <w:t>deviance, spatial programs of urban hygiene</w:t>
      </w:r>
      <w:r w:rsidRPr="00EA5466">
        <w:rPr>
          <w:sz w:val="16"/>
        </w:rPr>
        <w:t xml:space="preserve">, and so on. What if we too take Foucault at his word, that there is something particular about </w:t>
      </w:r>
      <w:r w:rsidRPr="00A502CB">
        <w:rPr>
          <w:b/>
          <w:bCs/>
          <w:highlight w:val="green"/>
          <w:u w:val="single"/>
        </w:rPr>
        <w:t>sex at the heart of biopower</w:t>
      </w:r>
      <w:r w:rsidRPr="00EA5466">
        <w:rPr>
          <w:sz w:val="16"/>
        </w:rPr>
        <w:t xml:space="preserve">? If so, then materially, the hardware of infrastructure of </w:t>
      </w:r>
      <w:r w:rsidRPr="00A502CB">
        <w:rPr>
          <w:b/>
          <w:bCs/>
          <w:highlight w:val="green"/>
          <w:u w:val="single"/>
        </w:rPr>
        <w:t>the</w:t>
      </w:r>
      <w:r w:rsidRPr="00EA5466">
        <w:rPr>
          <w:b/>
          <w:bCs/>
          <w:u w:val="single"/>
        </w:rPr>
        <w:t xml:space="preserve"> new </w:t>
      </w:r>
      <w:r w:rsidRPr="00A502CB">
        <w:rPr>
          <w:b/>
          <w:bCs/>
          <w:highlight w:val="green"/>
          <w:u w:val="single"/>
        </w:rPr>
        <w:t>digital metropolis</w:t>
      </w:r>
      <w:r w:rsidRPr="00EA5466">
        <w:rPr>
          <w:sz w:val="16"/>
        </w:rPr>
        <w:t xml:space="preserve"> and the wetware of the subjects who inhabit it are articulated through </w:t>
      </w:r>
      <w:r w:rsidRPr="00A502CB">
        <w:rPr>
          <w:b/>
          <w:bCs/>
          <w:highlight w:val="green"/>
          <w:u w:val="single"/>
        </w:rPr>
        <w:t>a</w:t>
      </w:r>
      <w:r w:rsidRPr="00EA5466">
        <w:rPr>
          <w:b/>
          <w:bCs/>
          <w:u w:val="single"/>
        </w:rPr>
        <w:t xml:space="preserve"> whole “</w:t>
      </w:r>
      <w:r w:rsidRPr="00A502CB">
        <w:rPr>
          <w:b/>
          <w:bCs/>
          <w:highlight w:val="green"/>
          <w:u w:val="single"/>
        </w:rPr>
        <w:t>pharmaco-pornographic regime</w:t>
      </w:r>
      <w:r w:rsidRPr="00EA5466">
        <w:rPr>
          <w:b/>
          <w:bCs/>
          <w:u w:val="single"/>
        </w:rPr>
        <w:t xml:space="preserve">,” a </w:t>
      </w:r>
      <w:proofErr w:type="spellStart"/>
      <w:r w:rsidRPr="00EA5466">
        <w:rPr>
          <w:b/>
          <w:bCs/>
          <w:u w:val="single"/>
        </w:rPr>
        <w:t>technosexual</w:t>
      </w:r>
      <w:proofErr w:type="spellEnd"/>
      <w:r w:rsidRPr="00EA5466">
        <w:rPr>
          <w:b/>
          <w:bCs/>
          <w:u w:val="single"/>
        </w:rPr>
        <w:t xml:space="preserve"> mixture of stimulation and exposure embedded in </w:t>
      </w:r>
      <w:r w:rsidRPr="00A502CB">
        <w:rPr>
          <w:b/>
          <w:bCs/>
          <w:highlight w:val="green"/>
          <w:u w:val="single"/>
        </w:rPr>
        <w:t>connectivity’s liberal dreams of revealing transparency</w:t>
      </w:r>
      <w:r w:rsidRPr="00EA5466">
        <w:rPr>
          <w:sz w:val="16"/>
        </w:rPr>
        <w:t>.8 “</w:t>
      </w:r>
      <w:proofErr w:type="spellStart"/>
      <w:r w:rsidRPr="00A502CB">
        <w:rPr>
          <w:b/>
          <w:bCs/>
          <w:highlight w:val="green"/>
          <w:u w:val="single"/>
        </w:rPr>
        <w:t>Pornopower</w:t>
      </w:r>
      <w:proofErr w:type="spellEnd"/>
      <w:r w:rsidRPr="00EA5466">
        <w:rPr>
          <w:sz w:val="16"/>
        </w:rPr>
        <w:t xml:space="preserve">” names how contemporary society </w:t>
      </w:r>
      <w:r w:rsidRPr="00EA5466">
        <w:rPr>
          <w:b/>
          <w:bCs/>
          <w:u w:val="single"/>
        </w:rPr>
        <w:t xml:space="preserve">is </w:t>
      </w:r>
      <w:r w:rsidRPr="00A502CB">
        <w:rPr>
          <w:b/>
          <w:bCs/>
          <w:highlight w:val="green"/>
          <w:u w:val="single"/>
        </w:rPr>
        <w:t>fueled by biopower</w:t>
      </w:r>
      <w:r w:rsidRPr="00EA5466">
        <w:rPr>
          <w:b/>
          <w:bCs/>
          <w:u w:val="single"/>
        </w:rPr>
        <w:t xml:space="preserve"> with sexual characteristics</w:t>
      </w:r>
      <w:r w:rsidRPr="00EA5466">
        <w:rPr>
          <w:sz w:val="16"/>
        </w:rPr>
        <w:t xml:space="preserve">. Paul B. Preciado elucidates them with a trip through </w:t>
      </w:r>
      <w:r w:rsidRPr="00EA5466">
        <w:rPr>
          <w:b/>
          <w:bCs/>
          <w:u w:val="single"/>
        </w:rPr>
        <w:t xml:space="preserve">the </w:t>
      </w:r>
      <w:proofErr w:type="spellStart"/>
      <w:r w:rsidRPr="00EA5466">
        <w:rPr>
          <w:b/>
          <w:bCs/>
          <w:u w:val="single"/>
        </w:rPr>
        <w:t>pornopower</w:t>
      </w:r>
      <w:proofErr w:type="spellEnd"/>
      <w:r w:rsidRPr="00EA5466">
        <w:rPr>
          <w:b/>
          <w:bCs/>
          <w:u w:val="single"/>
        </w:rPr>
        <w:t xml:space="preserve"> of our modern era</w:t>
      </w:r>
      <w:r w:rsidRPr="00EA5466">
        <w:rPr>
          <w:sz w:val="16"/>
        </w:rPr>
        <w:t xml:space="preserve">, with precursors that </w:t>
      </w:r>
      <w:r w:rsidRPr="00EA5466">
        <w:rPr>
          <w:b/>
          <w:bCs/>
          <w:u w:val="single"/>
        </w:rPr>
        <w:t>include two different sets</w:t>
      </w:r>
      <w:r w:rsidRPr="00EA5466">
        <w:rPr>
          <w:sz w:val="16"/>
        </w:rPr>
        <w:t xml:space="preserve"> of scientific experiments. </w:t>
      </w:r>
      <w:r w:rsidRPr="00EA5466">
        <w:rPr>
          <w:b/>
          <w:bCs/>
          <w:u w:val="single"/>
        </w:rPr>
        <w:t>On the one hand, the long war on women, witches, alchemists, and mid-wives</w:t>
      </w:r>
      <w:r w:rsidRPr="00EA5466">
        <w:rPr>
          <w:sz w:val="16"/>
        </w:rPr>
        <w:t xml:space="preserve"> cleared the way for a chemical </w:t>
      </w:r>
      <w:proofErr w:type="spellStart"/>
      <w:r w:rsidRPr="00EA5466">
        <w:rPr>
          <w:sz w:val="16"/>
        </w:rPr>
        <w:t>biosomatics</w:t>
      </w:r>
      <w:proofErr w:type="spellEnd"/>
      <w:r w:rsidRPr="00EA5466">
        <w:rPr>
          <w:sz w:val="16"/>
        </w:rPr>
        <w:t xml:space="preserve"> that would be centralized in the industrial synthesis of pharmaceuticals.9 Its </w:t>
      </w:r>
      <w:r w:rsidRPr="00A502CB">
        <w:rPr>
          <w:b/>
          <w:bCs/>
          <w:highlight w:val="green"/>
          <w:u w:val="single"/>
        </w:rPr>
        <w:t>exemplary product was the edible panopticon of the pill</w:t>
      </w:r>
      <w:r w:rsidRPr="00EA5466">
        <w:rPr>
          <w:sz w:val="16"/>
        </w:rPr>
        <w:t xml:space="preserve">: a condensed industrialization of the domestic, </w:t>
      </w:r>
      <w:r w:rsidRPr="00A502CB">
        <w:rPr>
          <w:b/>
          <w:bCs/>
          <w:highlight w:val="green"/>
          <w:u w:val="single"/>
        </w:rPr>
        <w:t>tested in</w:t>
      </w:r>
      <w:r w:rsidRPr="00EA5466">
        <w:rPr>
          <w:b/>
          <w:bCs/>
          <w:u w:val="single"/>
        </w:rPr>
        <w:t xml:space="preserve"> the </w:t>
      </w:r>
      <w:r w:rsidRPr="00A502CB">
        <w:rPr>
          <w:b/>
          <w:bCs/>
          <w:highlight w:val="green"/>
          <w:u w:val="single"/>
        </w:rPr>
        <w:t>colonial brothel</w:t>
      </w:r>
      <w:r w:rsidRPr="00EA5466">
        <w:rPr>
          <w:sz w:val="16"/>
        </w:rPr>
        <w:t xml:space="preserve"> and perfect in the lab.10 With the birth control pill, “the body swallows power,” offering a refutation of mass paranoia over the infiltration of a power from the outside, demonstrating instead how biopower can dwell within.11 </w:t>
      </w:r>
      <w:r w:rsidRPr="00EA5466">
        <w:rPr>
          <w:b/>
          <w:bCs/>
          <w:u w:val="single"/>
        </w:rPr>
        <w:t>On the other hand, late capitalist transformations displaced the Fordist factory with a new regime of labor</w:t>
      </w:r>
      <w:r w:rsidRPr="00EA5466">
        <w:rPr>
          <w:sz w:val="16"/>
        </w:rPr>
        <w:t xml:space="preserve"> centered on the body as made-available by contract of service.12 </w:t>
      </w:r>
      <w:r w:rsidRPr="00EA5466">
        <w:rPr>
          <w:b/>
          <w:bCs/>
          <w:u w:val="single"/>
        </w:rPr>
        <w:t xml:space="preserve">As such, </w:t>
      </w:r>
      <w:r w:rsidRPr="00A502CB">
        <w:rPr>
          <w:b/>
          <w:bCs/>
          <w:highlight w:val="green"/>
          <w:u w:val="single"/>
        </w:rPr>
        <w:t>sex work serves as the paradigmatic contract for today’s casualized labor, including the reproduction of fantasy, demands for performance, access to bodies, and other somatic mechanisms</w:t>
      </w:r>
      <w:r w:rsidRPr="00EA5466">
        <w:rPr>
          <w:sz w:val="16"/>
        </w:rPr>
        <w:t xml:space="preserve">.13 Accompanying such work is the production, circulation, and consumption of audiovisual materials and synthesized molecular products. At the crossroads of the </w:t>
      </w:r>
      <w:proofErr w:type="spellStart"/>
      <w:r w:rsidRPr="00EA5466">
        <w:rPr>
          <w:sz w:val="16"/>
        </w:rPr>
        <w:t>phármakon</w:t>
      </w:r>
      <w:proofErr w:type="spellEnd"/>
      <w:r w:rsidRPr="00EA5466">
        <w:rPr>
          <w:sz w:val="16"/>
        </w:rPr>
        <w:t xml:space="preserve"> and pornographic are two </w:t>
      </w:r>
      <w:proofErr w:type="gramStart"/>
      <w:r w:rsidRPr="00EA5466">
        <w:rPr>
          <w:sz w:val="16"/>
        </w:rPr>
        <w:t>process</w:t>
      </w:r>
      <w:proofErr w:type="gramEnd"/>
      <w:r w:rsidRPr="00EA5466">
        <w:rPr>
          <w:sz w:val="16"/>
        </w:rPr>
        <w:t>: excitement and exposure. “</w:t>
      </w:r>
      <w:r w:rsidRPr="00EA5466">
        <w:rPr>
          <w:b/>
          <w:bCs/>
          <w:u w:val="single"/>
        </w:rPr>
        <w:t xml:space="preserve">Excitement” describes a type of work that seeks not to satisfy, but to frustrate. </w:t>
      </w:r>
      <w:r w:rsidRPr="00A502CB">
        <w:rPr>
          <w:b/>
          <w:bCs/>
          <w:highlight w:val="green"/>
          <w:u w:val="single"/>
        </w:rPr>
        <w:t>Advancing a libidinal theory of sexuality echoing electromagnetic conceptions of energy</w:t>
      </w:r>
      <w:r w:rsidRPr="00EA5466">
        <w:rPr>
          <w:sz w:val="16"/>
        </w:rPr>
        <w:t>, Sigmund Freud writes about a process of “excitations of the sensory surfaces—the skin and the sense organs.”14 Hence he affords special status to the displacements of the eye, so closely tied to the process of “attraction,” for both its remoteness from touching and its tug of war with the veiled body as a whole.15 Freud theorizes that such excitations can arise simply as a byproduct of a great range of processes innate to any organism, such as emotional distress, so long as they achieve a certain intensity, making life itself fundamentally autoerotic.</w:t>
      </w:r>
      <w:r w:rsidRPr="00A502CB">
        <w:rPr>
          <w:sz w:val="16"/>
        </w:rPr>
        <w:t xml:space="preserve">16 Peculiar to </w:t>
      </w:r>
      <w:r w:rsidRPr="00A502CB">
        <w:rPr>
          <w:b/>
          <w:bCs/>
          <w:u w:val="single"/>
        </w:rPr>
        <w:t>the generation of sexual excitation is the feeling of tension</w:t>
      </w:r>
      <w:r w:rsidRPr="00A502CB">
        <w:rPr>
          <w:sz w:val="16"/>
        </w:rPr>
        <w:t>.</w:t>
      </w:r>
      <w:r w:rsidRPr="00EA5466">
        <w:rPr>
          <w:sz w:val="16"/>
        </w:rPr>
        <w:t xml:space="preserve">17 Freud’s observations include two dimensions: first, that </w:t>
      </w:r>
      <w:r w:rsidRPr="00A502CB">
        <w:rPr>
          <w:b/>
          <w:bCs/>
          <w:u w:val="single"/>
        </w:rPr>
        <w:t>the tension necessarily involves a growing unpleasure; and second, an urgent impulse to resolve the situation</w:t>
      </w:r>
      <w:r w:rsidRPr="00A502CB">
        <w:rPr>
          <w:sz w:val="16"/>
        </w:rPr>
        <w:t>.18</w:t>
      </w:r>
      <w:r w:rsidRPr="00EA5466">
        <w:rPr>
          <w:sz w:val="16"/>
        </w:rPr>
        <w:t xml:space="preserve"> One can imagine an analogy in static electricity that frenetically builds on a surface until the energy discharges, sometimes even being felt, heard, or seen. The discharge makes the tension temporarily subside, bringing about a sense of relief and a feeling of satisfaction</w:t>
      </w:r>
    </w:p>
    <w:p w14:paraId="6564823E" w14:textId="163719BE" w:rsidR="009A79C4" w:rsidRDefault="009A79C4" w:rsidP="00242899">
      <w:pPr>
        <w:pStyle w:val="Heading4"/>
      </w:pPr>
      <w:r>
        <w:t>The alternative is unbecoming</w:t>
      </w:r>
    </w:p>
    <w:p w14:paraId="5D864969" w14:textId="1940C8D0" w:rsidR="009A79C4" w:rsidRDefault="009A79C4" w:rsidP="00242899">
      <w:pPr>
        <w:pStyle w:val="Heading4"/>
      </w:pPr>
      <w:r>
        <w:t xml:space="preserve">The alt is an act of inversion – through unbecoming a form of negative action that disrupts identifiability </w:t>
      </w:r>
    </w:p>
    <w:p w14:paraId="03BB3A28" w14:textId="77777777" w:rsidR="009A79C4" w:rsidRDefault="009A79C4" w:rsidP="009A79C4">
      <w:r>
        <w:t xml:space="preserve"> </w:t>
      </w:r>
      <w:r w:rsidRPr="00242899">
        <w:rPr>
          <w:rStyle w:val="Style13ptBold"/>
        </w:rPr>
        <w:t>Bergen</w:t>
      </w:r>
      <w:r w:rsidRPr="00031889">
        <w:t>, Véronique.</w:t>
      </w:r>
      <w:r>
        <w:t xml:space="preserve"> </w:t>
      </w:r>
      <w:r w:rsidRPr="00242899">
        <w:rPr>
          <w:rStyle w:val="Style13ptBold"/>
        </w:rPr>
        <w:t>2015</w:t>
      </w:r>
      <w:r w:rsidRPr="00031889">
        <w:t xml:space="preserve"> “Invention et </w:t>
      </w:r>
      <w:proofErr w:type="spellStart"/>
      <w:r w:rsidRPr="00031889">
        <w:t>Surrection</w:t>
      </w:r>
      <w:proofErr w:type="spellEnd"/>
      <w:r w:rsidRPr="00031889">
        <w:t xml:space="preserve"> de La Deleuziana.” </w:t>
      </w:r>
      <w:r w:rsidRPr="00031889">
        <w:rPr>
          <w:i/>
          <w:iCs/>
        </w:rPr>
        <w:t>DOAJ (DOAJ: Directory of Open Access Journals)</w:t>
      </w:r>
      <w:r w:rsidRPr="00031889">
        <w:t>, vol. 1, no. 2, 1 Dec. 2015, ladeleuziana.org/issues/issue-2.</w:t>
      </w:r>
      <w:r>
        <w:t xml:space="preserve"> //SDPW</w:t>
      </w:r>
    </w:p>
    <w:p w14:paraId="40B2D16B" w14:textId="77777777" w:rsidR="009A79C4" w:rsidRPr="00E7636B" w:rsidRDefault="009A79C4" w:rsidP="009A79C4">
      <w:r>
        <w:t xml:space="preserve">Edited for </w:t>
      </w:r>
      <w:proofErr w:type="gramStart"/>
      <w:r>
        <w:t>gendered</w:t>
      </w:r>
      <w:proofErr w:type="gramEnd"/>
      <w:r>
        <w:t xml:space="preserve"> terms []</w:t>
      </w:r>
    </w:p>
    <w:p w14:paraId="2718DB40" w14:textId="77777777" w:rsidR="009A79C4" w:rsidRDefault="009A79C4" w:rsidP="009A79C4">
      <w:r w:rsidRPr="00C302DC">
        <w:t xml:space="preserve">Would </w:t>
      </w:r>
      <w:r w:rsidRPr="009010C7">
        <w:rPr>
          <w:b/>
          <w:bCs/>
          <w:u w:val="single"/>
        </w:rPr>
        <w:t>la Deleuziana</w:t>
      </w:r>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The difficulty of separating la Deleuziana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Deleuziana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Deleuziana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7F9FF6DF" w14:textId="77777777" w:rsidR="009A79C4" w:rsidRDefault="009A79C4" w:rsidP="00242899">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36CEB3EF" w14:textId="77777777" w:rsidR="009A79C4" w:rsidRDefault="009A79C4" w:rsidP="009A79C4">
      <w:r w:rsidRPr="00242899">
        <w:rPr>
          <w:rStyle w:val="Style13ptBold"/>
        </w:rPr>
        <w:t>Melville</w:t>
      </w:r>
      <w:r w:rsidRPr="00E936FD">
        <w:t>, Glen.</w:t>
      </w:r>
      <w:r>
        <w:t xml:space="preserve"> </w:t>
      </w:r>
      <w:r w:rsidRPr="00242899">
        <w:rPr>
          <w:rStyle w:val="Style13ptBold"/>
        </w:rPr>
        <w:t>2018</w:t>
      </w:r>
      <w:r w:rsidRPr="00E936FD">
        <w:t xml:space="preserve"> “Digital De-Subjectivation: Becoming-Imperceptible in the Machinery of Digital Capitalism.” </w:t>
      </w:r>
      <w:r w:rsidRPr="00E936FD">
        <w:rPr>
          <w:i/>
          <w:iCs/>
        </w:rPr>
        <w:t>La Deleuziana</w:t>
      </w:r>
      <w:r w:rsidRPr="00E936FD">
        <w:t>, vol. 1, no. 8, 2018, ladeleuziana.org/issues/issue-8.</w:t>
      </w:r>
      <w:r>
        <w:t xml:space="preserve"> //SDPW</w:t>
      </w:r>
    </w:p>
    <w:p w14:paraId="32D9B975" w14:textId="77777777" w:rsidR="009A79C4" w:rsidRDefault="009A79C4" w:rsidP="009A79C4">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 xml:space="preserve">to understand the magnitude of the </w:t>
      </w:r>
      <w:proofErr w:type="spellStart"/>
      <w:r w:rsidRPr="003D44A6">
        <w:rPr>
          <w:b/>
          <w:bCs/>
          <w:highlight w:val="green"/>
          <w:u w:val="single"/>
        </w:rPr>
        <w:t>connectivist’s</w:t>
      </w:r>
      <w:proofErr w:type="spellEnd"/>
      <w:r w:rsidRPr="003D44A6">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avant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c</w:t>
      </w:r>
      <w:r w:rsidRPr="003D44A6">
        <w:rPr>
          <w:b/>
          <w:bCs/>
          <w:highlight w:val="green"/>
          <w:u w:val="single"/>
        </w:rPr>
        <w:t>hannel this hatred and shame into destruction of that which so elicits hate, and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3D44A6">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 xml:space="preserve">turn into </w:t>
      </w:r>
      <w:proofErr w:type="spellStart"/>
      <w:r w:rsidRPr="003D44A6">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3D44A6">
        <w:rPr>
          <w:b/>
          <w:bCs/>
          <w:highlight w:val="green"/>
          <w:u w:val="single"/>
        </w:rPr>
        <w:t xml:space="preserve">positivity co-opted both by modern capitalists and </w:t>
      </w:r>
      <w:proofErr w:type="spellStart"/>
      <w:r w:rsidRPr="003D44A6">
        <w:rPr>
          <w:b/>
          <w:bCs/>
          <w:highlight w:val="green"/>
          <w:u w:val="single"/>
        </w:rPr>
        <w:t>connectivists</w:t>
      </w:r>
      <w:proofErr w:type="spellEnd"/>
      <w:r w:rsidRPr="003D44A6">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65AC8AFA" w14:textId="77777777" w:rsidR="009A79C4" w:rsidRDefault="009A79C4" w:rsidP="009A79C4">
      <w:pPr>
        <w:pStyle w:val="Heading2"/>
      </w:pPr>
      <w:r>
        <w:t>Case</w:t>
      </w:r>
    </w:p>
    <w:p w14:paraId="275C91FB" w14:textId="77777777" w:rsidR="009A79C4" w:rsidRDefault="009A79C4" w:rsidP="009A79C4">
      <w:pPr>
        <w:pStyle w:val="Heading3"/>
      </w:pPr>
      <w:r>
        <w:t>Presumption</w:t>
      </w:r>
    </w:p>
    <w:p w14:paraId="25591903" w14:textId="77777777" w:rsidR="009A79C4" w:rsidRDefault="009A79C4" w:rsidP="009A79C4">
      <w:pPr>
        <w:pStyle w:val="Heading4"/>
      </w:pPr>
      <w:r>
        <w:t xml:space="preserve">1. Legal circumvention – The affirmative does not legalize sex work but adds provisions within a governing organization. This means at best protections only out sex workers and forces them into legal conflicts that either nullify the </w:t>
      </w:r>
      <w:proofErr w:type="spellStart"/>
      <w:r>
        <w:t>affs</w:t>
      </w:r>
      <w:proofErr w:type="spellEnd"/>
      <w:r>
        <w:t xml:space="preserve"> policy or causes endless structural violence on sex workers</w:t>
      </w:r>
    </w:p>
    <w:p w14:paraId="66213EDC" w14:textId="77777777" w:rsidR="009A79C4" w:rsidRDefault="009A79C4" w:rsidP="009A79C4">
      <w:pPr>
        <w:pStyle w:val="Heading4"/>
      </w:pPr>
      <w:r>
        <w:t xml:space="preserve">2. sexual contracts – Legitimization causes contract law interventions which is structurally against sex workers already </w:t>
      </w:r>
      <w:proofErr w:type="gramStart"/>
      <w:r>
        <w:t>and also</w:t>
      </w:r>
      <w:proofErr w:type="gramEnd"/>
      <w:r>
        <w:t xml:space="preserve"> make issues of sexual violence even more so difficult to prosecute – at best criminalization blocks any hope for absolving systemic violence</w:t>
      </w:r>
    </w:p>
    <w:p w14:paraId="247575A9" w14:textId="77777777" w:rsidR="009A79C4" w:rsidRPr="00584A6C" w:rsidRDefault="009A79C4" w:rsidP="009A79C4">
      <w:r w:rsidRPr="00584A6C">
        <w:rPr>
          <w:rStyle w:val="Style13ptBold"/>
        </w:rPr>
        <w:t>Rendleman</w:t>
      </w:r>
      <w:r w:rsidRPr="00584A6C">
        <w:t>, D. (</w:t>
      </w:r>
      <w:r w:rsidRPr="00584A6C">
        <w:rPr>
          <w:rStyle w:val="Style13ptBold"/>
        </w:rPr>
        <w:t>2024</w:t>
      </w:r>
      <w:r w:rsidRPr="00584A6C">
        <w:t xml:space="preserve">). </w:t>
      </w:r>
      <w:r w:rsidRPr="00584A6C">
        <w:rPr>
          <w:i/>
          <w:iCs/>
        </w:rPr>
        <w:t>Illegal Contracts and Agreements: A New Standard for Prostitution and Marijuana Agreements</w:t>
      </w:r>
      <w:r w:rsidRPr="00584A6C">
        <w:t xml:space="preserve">. [online] Washington and Lee University School of Law Scholarly Commons. Available at: https://scholarlycommons.law.wlu.edu/wlulr/vol81/iss2/6 </w:t>
      </w:r>
      <w:r>
        <w:t>//SDPW</w:t>
      </w:r>
    </w:p>
    <w:p w14:paraId="492F91E9" w14:textId="77777777" w:rsidR="009A79C4" w:rsidRDefault="009A79C4" w:rsidP="009A79C4">
      <w:r w:rsidRPr="00BC7AED">
        <w:t xml:space="preserve">In Marvin, the California court decided that the woman plaintiff could receive a remedy for her services even if some of them were sexual: “The fact that a man and woman live together without marriage, and engage in a sexual relationship, does not in itself invalidate agreements between them relating to their earnings, property, or expenses.”154 Her remedy may be for breach of a contract implied in fact or for restitution to prevent unjust enrichment of the other party to the agreement.155 Restitution between unmarried people who have lived together in a relationship similar to marriage has evolved into standard United States common law; it was accepted in 2011 by the Third Restatement of Restitution and Unjust Enrichment,156 although not without dissent.157 The Marvin court continued, however, speaking in dicta about </w:t>
      </w:r>
      <w:r w:rsidRPr="00F921B4">
        <w:rPr>
          <w:b/>
          <w:bCs/>
          <w:highlight w:val="green"/>
          <w:u w:val="single"/>
        </w:rPr>
        <w:t>explicit sex-for-money agreements: contracts</w:t>
      </w:r>
      <w:r w:rsidRPr="00BC7AED">
        <w:t xml:space="preserve"> that “rest upon a consideration of meretricious sexual services” </w:t>
      </w:r>
      <w:r w:rsidRPr="00F921B4">
        <w:rPr>
          <w:b/>
          <w:bCs/>
          <w:highlight w:val="green"/>
          <w:u w:val="single"/>
        </w:rPr>
        <w:t>will “fail</w:t>
      </w:r>
      <w:r w:rsidRPr="00BC7AED">
        <w:t>.”158 A couple cannot contract for sex because “</w:t>
      </w:r>
      <w:r w:rsidRPr="00F921B4">
        <w:rPr>
          <w:b/>
          <w:bCs/>
          <w:highlight w:val="green"/>
          <w:u w:val="single"/>
        </w:rPr>
        <w:t>such a contract is, in essence, an agreement for prostitution and unlawful for that reason</w:t>
      </w:r>
      <w:r w:rsidRPr="00BC7AED">
        <w:t>.”159 The court distinguished agreements between unmarried couples from prostitution because “</w:t>
      </w:r>
      <w:proofErr w:type="spellStart"/>
      <w:r w:rsidRPr="00BC7AED">
        <w:t>equat</w:t>
      </w:r>
      <w:proofErr w:type="spellEnd"/>
      <w:r w:rsidRPr="00BC7AED">
        <w:t>[</w:t>
      </w:r>
      <w:proofErr w:type="spellStart"/>
      <w:r w:rsidRPr="00BC7AED">
        <w:t>ing</w:t>
      </w:r>
      <w:proofErr w:type="spellEnd"/>
      <w:r w:rsidRPr="00BC7AED">
        <w:t>] the nonmarital relationship of today to such</w:t>
      </w:r>
      <w:r>
        <w:t xml:space="preserve"> </w:t>
      </w:r>
      <w:r w:rsidRPr="00BC7AED">
        <w:t xml:space="preserve">a subject matter is to do violence to an accepted and wholly different practice.”160 In Lawrence v. Texas,161 in 1993, the Supreme Court held that a Texas criminal statute forbidding sodomy violated due process.162 Dicta in both Lawrence v. Texas and Marvin v. Marvin disapprove of sex-for-money agreements: the Supreme Court in Lawrence by approving criminal prostitution statutes163 and the California court in Marvin by rejecting restitution growing out of such an agreement.164 Professors </w:t>
      </w:r>
      <w:proofErr w:type="spellStart"/>
      <w:r w:rsidRPr="00BC7AED">
        <w:t>Antognini</w:t>
      </w:r>
      <w:proofErr w:type="spellEnd"/>
      <w:r w:rsidRPr="00BC7AED">
        <w:t xml:space="preserve"> and Appleton maintain that a court should approve either a pre-marital or a post-marital contract that involves sex as consideration.165 Although their reasoning supports recovery for a sex-for-money agreement unrelated to marriage, </w:t>
      </w:r>
      <w:r w:rsidRPr="00F921B4">
        <w:rPr>
          <w:b/>
          <w:bCs/>
          <w:highlight w:val="green"/>
          <w:u w:val="single"/>
        </w:rPr>
        <w:t>their article disclaims that conclusion</w:t>
      </w:r>
      <w:r w:rsidRPr="00BC7AED">
        <w:t xml:space="preserve">.166 The U.S. Court of Appeals for the Ninth Circuit, </w:t>
      </w:r>
      <w:r w:rsidRPr="00F921B4">
        <w:rPr>
          <w:b/>
          <w:bCs/>
          <w:highlight w:val="green"/>
          <w:u w:val="single"/>
        </w:rPr>
        <w:t>declining to extend Lawrence to invalidate the criminal prohibition of prostitution</w:t>
      </w:r>
      <w:r w:rsidRPr="00BC7AED">
        <w:t>, ruled that California’s anti-prostitution statutes are constitutional.167 Although in Lawrence v. Texas five of the</w:t>
      </w:r>
      <w:r>
        <w:t xml:space="preserve"> </w:t>
      </w:r>
      <w:r w:rsidRPr="00BC7AED">
        <w:t>six justices in the majority had ruled that the Texas anti-sodomy statute violated the liberty and privacy protections in the Fourteenth Amendment’s Due Process Clause,168 the Court of Appeals rejected the plaintiff’s liberty-privacy argument against the California prostitution statute.</w:t>
      </w:r>
    </w:p>
    <w:p w14:paraId="5D95A465" w14:textId="5D6EBE39" w:rsidR="004117AA" w:rsidRDefault="004117AA" w:rsidP="004117AA">
      <w:pPr>
        <w:pStyle w:val="Heading4"/>
      </w:pPr>
      <w:r>
        <w:t>3</w:t>
      </w:r>
      <w:r>
        <w:t>.</w:t>
      </w:r>
      <w:r w:rsidRPr="002972EF">
        <w:t xml:space="preserve"> </w:t>
      </w:r>
      <w:r>
        <w:t>NO INHERENCEY- sex-work not explicitly banned just in many forms illegal APAG proves no uniqueness on the plan</w:t>
      </w:r>
    </w:p>
    <w:p w14:paraId="50D0A104" w14:textId="77777777" w:rsidR="004117AA" w:rsidRPr="005A0B5F" w:rsidRDefault="004117AA" w:rsidP="004117AA">
      <w:r w:rsidRPr="00242899">
        <w:rPr>
          <w:rStyle w:val="Style13ptBold"/>
        </w:rPr>
        <w:t>Pollard</w:t>
      </w:r>
      <w:r w:rsidRPr="005A0B5F">
        <w:t xml:space="preserve">, Amelia. “Hot Union Summer Comes to the Porn Industry.” </w:t>
      </w:r>
      <w:r w:rsidRPr="005A0B5F">
        <w:rPr>
          <w:i/>
          <w:iCs/>
        </w:rPr>
        <w:t>The American Prospect</w:t>
      </w:r>
      <w:r w:rsidRPr="005A0B5F">
        <w:t xml:space="preserve">, 23 Aug. </w:t>
      </w:r>
      <w:r w:rsidRPr="00242899">
        <w:rPr>
          <w:rStyle w:val="Style13ptBold"/>
        </w:rPr>
        <w:t>2021</w:t>
      </w:r>
      <w:r w:rsidRPr="005A0B5F">
        <w:t>, prospect.org/labor/hot-union-summer-comes-to-the-porn-industry/.</w:t>
      </w:r>
    </w:p>
    <w:p w14:paraId="6EBDE6A0" w14:textId="77777777" w:rsidR="004117AA" w:rsidRPr="005A0B5F" w:rsidRDefault="004117AA" w:rsidP="004117AA">
      <w:r w:rsidRPr="005A0B5F">
        <w:t>Amelia Pollard is a contributing writer at The American Prospect.</w:t>
      </w:r>
    </w:p>
    <w:p w14:paraId="06456F9B" w14:textId="77777777" w:rsidR="004117AA" w:rsidRPr="005A0B5F" w:rsidRDefault="004117AA" w:rsidP="004117AA">
      <w:pPr>
        <w:rPr>
          <w:sz w:val="16"/>
        </w:rPr>
      </w:pPr>
      <w:r w:rsidRPr="005A0B5F">
        <w:rPr>
          <w:sz w:val="16"/>
        </w:rPr>
        <w:t xml:space="preserve">A lack of organization caused the union effort to languish. But four decades later, as the pandemic upended working conditions nationwide, the porn industry was ripe for another try—and this time, it succeeded. In May, a group of </w:t>
      </w:r>
      <w:r w:rsidRPr="005A0B5F">
        <w:rPr>
          <w:rStyle w:val="StyleUnderline"/>
          <w:highlight w:val="green"/>
        </w:rPr>
        <w:t>adult performers—which includes porn actors, webcam performers, strippers, and models on OnlyFans—drafted union bylaws</w:t>
      </w:r>
      <w:r w:rsidRPr="005A0B5F">
        <w:rPr>
          <w:rStyle w:val="StyleUnderline"/>
        </w:rPr>
        <w:t xml:space="preserve"> and received word from the Department of Labor that the Adult Performance Artists Guild (</w:t>
      </w:r>
      <w:r w:rsidRPr="005A0B5F">
        <w:rPr>
          <w:rStyle w:val="StyleUnderline"/>
          <w:highlight w:val="green"/>
        </w:rPr>
        <w:t>APAG) was officially a federally recognized union</w:t>
      </w:r>
      <w:r w:rsidRPr="005A0B5F">
        <w:rPr>
          <w:sz w:val="16"/>
          <w:highlight w:val="green"/>
        </w:rPr>
        <w:t>.</w:t>
      </w:r>
    </w:p>
    <w:p w14:paraId="30D73AF1" w14:textId="77777777" w:rsidR="004117AA" w:rsidRPr="005A0B5F" w:rsidRDefault="004117AA" w:rsidP="004117AA">
      <w:pPr>
        <w:rPr>
          <w:sz w:val="16"/>
        </w:rPr>
      </w:pPr>
      <w:r w:rsidRPr="005A0B5F">
        <w:rPr>
          <w:sz w:val="16"/>
        </w:rPr>
        <w:t>For the performers, it was nothing short of a triumph.</w:t>
      </w:r>
    </w:p>
    <w:p w14:paraId="4BFCFAC7" w14:textId="77777777" w:rsidR="004117AA" w:rsidRPr="005A0B5F" w:rsidRDefault="004117AA" w:rsidP="004117AA">
      <w:pPr>
        <w:rPr>
          <w:sz w:val="16"/>
        </w:rPr>
      </w:pPr>
      <w:r w:rsidRPr="005A0B5F">
        <w:rPr>
          <w:rStyle w:val="StyleUnderline"/>
        </w:rPr>
        <w:t xml:space="preserve">APAG currently has around </w:t>
      </w:r>
      <w:r w:rsidRPr="005A0B5F">
        <w:rPr>
          <w:rStyle w:val="StyleUnderline"/>
          <w:highlight w:val="green"/>
        </w:rPr>
        <w:t>1,100 registered sex workers signed on</w:t>
      </w:r>
      <w:r w:rsidRPr="005A0B5F">
        <w:rPr>
          <w:rStyle w:val="StyleUnderline"/>
        </w:rPr>
        <w:t xml:space="preserve"> to the union.</w:t>
      </w:r>
      <w:r w:rsidRPr="005A0B5F">
        <w:rPr>
          <w:sz w:val="16"/>
        </w:rPr>
        <w:t xml:space="preserve"> Due to the pandemic, the group has temporarily waived dues for its members. Yet even when the union does require dues, Alana Evans, the union’s president, says they will always remain extremely low because of performers’ all-too-common financial constraints. Since 2016, APAG had been a chapter of the International Entertainment Adult </w:t>
      </w:r>
      <w:proofErr w:type="gramStart"/>
      <w:r w:rsidRPr="005A0B5F">
        <w:rPr>
          <w:sz w:val="16"/>
        </w:rPr>
        <w:t>Union, but</w:t>
      </w:r>
      <w:proofErr w:type="gramEnd"/>
      <w:r w:rsidRPr="005A0B5F">
        <w:rPr>
          <w:sz w:val="16"/>
        </w:rPr>
        <w:t xml:space="preserve"> decided to officially separate after disputes over the organization’s direction.</w:t>
      </w:r>
    </w:p>
    <w:p w14:paraId="432D8C38" w14:textId="7FE403EC" w:rsidR="004117AA" w:rsidRPr="003745C4" w:rsidRDefault="004117AA" w:rsidP="004117AA">
      <w:pPr>
        <w:pStyle w:val="Heading4"/>
        <w:rPr>
          <w:rFonts w:eastAsia="Times New Roman"/>
        </w:rPr>
      </w:pPr>
      <w:r>
        <w:rPr>
          <w:rFonts w:eastAsia="Times New Roman"/>
        </w:rPr>
        <w:t>4</w:t>
      </w:r>
      <w:r>
        <w:rPr>
          <w:rFonts w:eastAsia="Times New Roman"/>
        </w:rPr>
        <w:t xml:space="preserve">. </w:t>
      </w:r>
      <w:r w:rsidRPr="003745C4">
        <w:rPr>
          <w:rFonts w:eastAsia="Times New Roman"/>
        </w:rPr>
        <w:t>Internal disputes thump solvent unions.</w:t>
      </w:r>
    </w:p>
    <w:p w14:paraId="456917B6" w14:textId="73D6B739" w:rsidR="004117AA" w:rsidRPr="003745C4" w:rsidRDefault="004117AA" w:rsidP="004117AA">
      <w:pPr>
        <w:spacing w:after="120" w:line="235" w:lineRule="atLeast"/>
        <w:rPr>
          <w:rFonts w:eastAsia="Times New Roman"/>
          <w:color w:val="000000"/>
        </w:rPr>
      </w:pPr>
      <w:r w:rsidRPr="00242899">
        <w:rPr>
          <w:rStyle w:val="Style13ptBold"/>
        </w:rPr>
        <w:t>Gall ‘16</w:t>
      </w:r>
      <w:r w:rsidRPr="003745C4">
        <w:rPr>
          <w:rFonts w:eastAsia="Times New Roman"/>
          <w:color w:val="000000"/>
        </w:rPr>
        <w:t> – Gregor, Professor of Industrial Relations at University of Bradford; “Sex worker unions are reforming their industry,” 5/12/2016, The Conversation, https://theconversation.com/sex-worker-unions-are-reforming-their-industry-58541 [changed “ex*tic dancer” to “strippers”; “</w:t>
      </w:r>
      <w:proofErr w:type="spellStart"/>
      <w:r w:rsidRPr="003745C4">
        <w:rPr>
          <w:rFonts w:eastAsia="Times New Roman"/>
          <w:color w:val="000000"/>
        </w:rPr>
        <w:t>prostit</w:t>
      </w:r>
      <w:proofErr w:type="spellEnd"/>
      <w:r w:rsidRPr="003745C4">
        <w:rPr>
          <w:rFonts w:eastAsia="Times New Roman"/>
          <w:color w:val="000000"/>
        </w:rPr>
        <w:t>*</w:t>
      </w:r>
      <w:proofErr w:type="spellStart"/>
      <w:r w:rsidRPr="003745C4">
        <w:rPr>
          <w:rFonts w:eastAsia="Times New Roman"/>
          <w:color w:val="000000"/>
        </w:rPr>
        <w:t>tions</w:t>
      </w:r>
      <w:proofErr w:type="spellEnd"/>
      <w:r w:rsidRPr="003745C4">
        <w:rPr>
          <w:rFonts w:eastAsia="Times New Roman"/>
          <w:color w:val="000000"/>
        </w:rPr>
        <w:t>” to “prostitution [full-services sex workers]”]// IZ</w:t>
      </w:r>
    </w:p>
    <w:p w14:paraId="3686E327" w14:textId="77777777" w:rsidR="004117AA" w:rsidRPr="003745C4" w:rsidRDefault="004117AA" w:rsidP="004117AA">
      <w:pPr>
        <w:spacing w:line="235" w:lineRule="atLeast"/>
        <w:rPr>
          <w:rFonts w:eastAsia="Times New Roman"/>
          <w:color w:val="000000"/>
          <w:sz w:val="16"/>
        </w:rPr>
      </w:pPr>
      <w:r w:rsidRPr="003745C4">
        <w:rPr>
          <w:rFonts w:eastAsia="Times New Roman"/>
          <w:color w:val="000000"/>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t>
      </w:r>
      <w:proofErr w:type="gramStart"/>
      <w:r w:rsidRPr="003745C4">
        <w:rPr>
          <w:rFonts w:eastAsia="Times New Roman"/>
          <w:color w:val="000000"/>
          <w:sz w:val="16"/>
        </w:rPr>
        <w:t>with regard to</w:t>
      </w:r>
      <w:proofErr w:type="gramEnd"/>
      <w:r w:rsidRPr="003745C4">
        <w:rPr>
          <w:rFonts w:eastAsia="Times New Roman"/>
          <w:color w:val="000000"/>
          <w:sz w:val="16"/>
        </w:rPr>
        <w:t xml:space="preserve"> fees levied to work for exotic dancers [Strippers] and their campaign to be accorded employed status in the US.</w:t>
      </w:r>
    </w:p>
    <w:p w14:paraId="6FC51A78" w14:textId="77777777" w:rsidR="004117AA" w:rsidRDefault="004117AA" w:rsidP="004117AA">
      <w:pPr>
        <w:spacing w:line="235" w:lineRule="atLeast"/>
        <w:rPr>
          <w:rFonts w:eastAsia="Times New Roman"/>
          <w:color w:val="000000"/>
          <w:sz w:val="16"/>
        </w:rPr>
      </w:pPr>
      <w:r w:rsidRPr="003745C4">
        <w:rPr>
          <w:rFonts w:eastAsia="Times New Roman"/>
          <w:color w:val="000000"/>
          <w:sz w:val="16"/>
        </w:rPr>
        <w:t>After initial successes, </w:t>
      </w:r>
      <w:r w:rsidRPr="003745C4">
        <w:rPr>
          <w:rFonts w:eastAsia="Times New Roman"/>
          <w:b/>
          <w:bCs/>
          <w:color w:val="000000"/>
          <w:u w:val="single"/>
          <w:shd w:val="clear" w:color="auto" w:fill="00FF00"/>
        </w:rPr>
        <w:t>energy levels have waned</w:t>
      </w:r>
      <w:r w:rsidRPr="003745C4">
        <w:rPr>
          <w:rFonts w:eastAsia="Times New Roman"/>
          <w:color w:val="000000"/>
          <w:sz w:val="16"/>
        </w:rPr>
        <w:t xml:space="preserve">. </w:t>
      </w:r>
      <w:proofErr w:type="spellStart"/>
      <w:r w:rsidRPr="003745C4">
        <w:rPr>
          <w:rFonts w:eastAsia="Times New Roman"/>
          <w:color w:val="000000"/>
          <w:sz w:val="16"/>
        </w:rPr>
        <w:t>Organisational</w:t>
      </w:r>
      <w:proofErr w:type="spellEnd"/>
      <w:r w:rsidRPr="003745C4">
        <w:rPr>
          <w:rFonts w:eastAsia="Times New Roman"/>
          <w:color w:val="000000"/>
          <w:sz w:val="16"/>
        </w:rPr>
        <w:t> </w:t>
      </w:r>
      <w:r w:rsidRPr="003745C4">
        <w:rPr>
          <w:rFonts w:eastAsia="Times New Roman"/>
          <w:b/>
          <w:bCs/>
          <w:color w:val="000000"/>
          <w:u w:val="single"/>
          <w:shd w:val="clear" w:color="auto" w:fill="00FF00"/>
        </w:rPr>
        <w:t xml:space="preserve">development has </w:t>
      </w:r>
      <w:proofErr w:type="gramStart"/>
      <w:r w:rsidRPr="003745C4">
        <w:rPr>
          <w:rFonts w:eastAsia="Times New Roman"/>
          <w:b/>
          <w:bCs/>
          <w:color w:val="000000"/>
          <w:u w:val="single"/>
          <w:shd w:val="clear" w:color="auto" w:fill="00FF00"/>
        </w:rPr>
        <w:t>stalled</w:t>
      </w:r>
      <w:proofErr w:type="gramEnd"/>
      <w:r w:rsidRPr="003745C4">
        <w:rPr>
          <w:rFonts w:eastAsia="Times New Roman"/>
          <w:b/>
          <w:bCs/>
          <w:color w:val="000000"/>
          <w:u w:val="single"/>
          <w:shd w:val="clear" w:color="auto" w:fill="00FF00"/>
        </w:rPr>
        <w:t xml:space="preserve"> and many sex worker unions have folded</w:t>
      </w:r>
      <w:r w:rsidRPr="003745C4">
        <w:rPr>
          <w:rFonts w:eastAsia="Times New Roman"/>
          <w:color w:val="000000"/>
          <w:sz w:val="16"/>
        </w:rPr>
        <w:t>. Along the way, </w:t>
      </w:r>
      <w:r w:rsidRPr="003745C4">
        <w:rPr>
          <w:rFonts w:eastAsia="Times New Roman"/>
          <w:b/>
          <w:bCs/>
          <w:color w:val="000000"/>
          <w:u w:val="single"/>
          <w:shd w:val="clear" w:color="auto" w:fill="00FF00"/>
        </w:rPr>
        <w:t>there have been some almighty and bitter internal disputes among sex workers over whether managers should be members and which groups of sex workers</w:t>
      </w:r>
      <w:r w:rsidRPr="003745C4">
        <w:rPr>
          <w:rFonts w:eastAsia="Times New Roman"/>
          <w:color w:val="000000"/>
          <w:sz w:val="16"/>
        </w:rPr>
        <w:t> (for example men, women or transgender) </w:t>
      </w:r>
      <w:r w:rsidRPr="003745C4">
        <w:rPr>
          <w:rFonts w:eastAsia="Times New Roman"/>
          <w:b/>
          <w:bCs/>
          <w:color w:val="000000"/>
          <w:u w:val="single"/>
          <w:shd w:val="clear" w:color="auto" w:fill="00FF00"/>
        </w:rPr>
        <w:t xml:space="preserve">should be </w:t>
      </w:r>
      <w:proofErr w:type="spellStart"/>
      <w:r w:rsidRPr="003745C4">
        <w:rPr>
          <w:rFonts w:eastAsia="Times New Roman"/>
          <w:b/>
          <w:bCs/>
          <w:color w:val="000000"/>
          <w:u w:val="single"/>
          <w:shd w:val="clear" w:color="auto" w:fill="00FF00"/>
        </w:rPr>
        <w:t>prioritised</w:t>
      </w:r>
      <w:proofErr w:type="spellEnd"/>
      <w:r w:rsidRPr="003745C4">
        <w:rPr>
          <w:rFonts w:eastAsia="Times New Roman"/>
          <w:color w:val="000000"/>
          <w:sz w:val="16"/>
        </w:rPr>
        <w:t> over others.</w:t>
      </w:r>
    </w:p>
    <w:p w14:paraId="515B582C" w14:textId="72DC135A" w:rsidR="00242899" w:rsidRDefault="00242899" w:rsidP="00242899">
      <w:pPr>
        <w:pStyle w:val="Heading4"/>
        <w:rPr>
          <w:lang w:eastAsia="zh-CN"/>
        </w:rPr>
      </w:pPr>
      <w:r>
        <w:rPr>
          <w:lang w:eastAsia="zh-CN"/>
        </w:rPr>
        <w:t>5</w:t>
      </w:r>
      <w:r>
        <w:rPr>
          <w:lang w:eastAsia="zh-CN"/>
        </w:rPr>
        <w:t xml:space="preserve">. NO ENFORCEMENT- </w:t>
      </w:r>
      <w:r>
        <w:rPr>
          <w:rFonts w:hint="eastAsia"/>
          <w:lang w:eastAsia="zh-CN"/>
        </w:rPr>
        <w:t xml:space="preserve">NLRA </w:t>
      </w:r>
      <w:r>
        <w:rPr>
          <w:rFonts w:hint="eastAsia"/>
          <w:u w:val="single"/>
          <w:lang w:eastAsia="zh-CN"/>
        </w:rPr>
        <w:t>is structurally flawed</w:t>
      </w:r>
      <w:r>
        <w:rPr>
          <w:rFonts w:hint="eastAsia"/>
          <w:lang w:eastAsia="zh-CN"/>
        </w:rPr>
        <w:t xml:space="preserve"> and unable to solve. Current </w:t>
      </w:r>
      <w:proofErr w:type="spellStart"/>
      <w:r>
        <w:rPr>
          <w:rFonts w:hint="eastAsia"/>
          <w:lang w:eastAsia="zh-CN"/>
        </w:rPr>
        <w:t>labour</w:t>
      </w:r>
      <w:proofErr w:type="spellEnd"/>
      <w:r>
        <w:rPr>
          <w:rFonts w:hint="eastAsia"/>
          <w:lang w:eastAsia="zh-CN"/>
        </w:rPr>
        <w:t xml:space="preserve"> exploitation </w:t>
      </w:r>
      <w:r>
        <w:rPr>
          <w:lang w:eastAsia="zh-CN"/>
        </w:rPr>
        <w:t xml:space="preserve">of NLRA employees </w:t>
      </w:r>
      <w:r>
        <w:rPr>
          <w:rFonts w:hint="eastAsia"/>
          <w:lang w:eastAsia="zh-CN"/>
        </w:rPr>
        <w:t>proves</w:t>
      </w:r>
      <w:r>
        <w:rPr>
          <w:lang w:eastAsia="zh-CN"/>
        </w:rPr>
        <w:t xml:space="preserve"> AND </w:t>
      </w:r>
    </w:p>
    <w:p w14:paraId="38527FEE" w14:textId="77777777" w:rsidR="00242899" w:rsidRPr="00325C96" w:rsidRDefault="00242899" w:rsidP="00242899">
      <w:r>
        <w:t xml:space="preserve">Benjamin </w:t>
      </w:r>
      <w:r w:rsidRPr="00242899">
        <w:rPr>
          <w:rStyle w:val="Style13ptBold"/>
        </w:rPr>
        <w:t>Sachs 8.</w:t>
      </w:r>
      <w:r>
        <w:t xml:space="preserve"> Joseph Goldstein </w:t>
      </w:r>
      <w:proofErr w:type="gramStart"/>
      <w:r>
        <w:t>Fellow</w:t>
      </w:r>
      <w:proofErr w:type="gramEnd"/>
      <w:r>
        <w:t xml:space="preserve"> and Lecturer in Law at Yale Law School. “Employment Law as Labor Law.” </w:t>
      </w:r>
      <w:r w:rsidRPr="006134D5">
        <w:rPr>
          <w:i/>
          <w:iCs/>
        </w:rPr>
        <w:t>Cardozo Law Review</w:t>
      </w:r>
      <w:r>
        <w:t xml:space="preserve">, 29.6, 2694-2698. </w:t>
      </w:r>
    </w:p>
    <w:p w14:paraId="50028F2C" w14:textId="77777777" w:rsidR="00242899" w:rsidRPr="00325C96" w:rsidRDefault="00242899" w:rsidP="00242899">
      <w:pPr>
        <w:rPr>
          <w:u w:val="single"/>
        </w:rPr>
      </w:pPr>
      <w:r w:rsidRPr="009067CE">
        <w:rPr>
          <w:rStyle w:val="StyleUnderline"/>
        </w:rPr>
        <w:t xml:space="preserve">As to the NLRA’s remedial regime, the </w:t>
      </w:r>
      <w:r w:rsidRPr="00D36A62">
        <w:rPr>
          <w:rStyle w:val="Emphasis"/>
        </w:rPr>
        <w:t>statute’s failure</w:t>
      </w:r>
      <w:r w:rsidRPr="009067CE">
        <w:rPr>
          <w:rStyle w:val="StyleUnderline"/>
        </w:rPr>
        <w:t xml:space="preserve"> to provide adequate remedies for employer interference with employee organizing</w:t>
      </w:r>
      <w:r>
        <w:rPr>
          <w:rStyle w:val="StyleUnderline"/>
        </w:rPr>
        <w:t xml:space="preserve"> </w:t>
      </w:r>
      <w:r w:rsidRPr="009067CE">
        <w:rPr>
          <w:rStyle w:val="StyleUnderline"/>
        </w:rPr>
        <w:t xml:space="preserve">activity has rendered protections for collective action </w:t>
      </w:r>
      <w:r w:rsidRPr="00D36A62">
        <w:rPr>
          <w:rStyle w:val="Emphasis"/>
        </w:rPr>
        <w:t>ineffectual</w:t>
      </w:r>
      <w:r w:rsidRPr="00D31751">
        <w:rPr>
          <w:sz w:val="16"/>
        </w:rPr>
        <w:t xml:space="preserve">.29 Thus, </w:t>
      </w:r>
      <w:r w:rsidRPr="009067CE">
        <w:rPr>
          <w:rStyle w:val="StyleUnderline"/>
        </w:rPr>
        <w:t>while the NLRB has authority to order an employer to pay back wages to employees who are discharged in retaliation for engaging in protected collective activity</w:t>
      </w:r>
      <w:r w:rsidRPr="00D31751">
        <w:rPr>
          <w:sz w:val="16"/>
        </w:rPr>
        <w:t xml:space="preserve">,30 </w:t>
      </w:r>
      <w:r w:rsidRPr="009067CE">
        <w:rPr>
          <w:rStyle w:val="StyleUnderline"/>
        </w:rPr>
        <w:t xml:space="preserve">all such </w:t>
      </w:r>
      <w:r w:rsidRPr="00D31751">
        <w:rPr>
          <w:rStyle w:val="StyleUnderline"/>
        </w:rPr>
        <w:t>damages must be</w:t>
      </w:r>
      <w:r w:rsidRPr="009067CE">
        <w:rPr>
          <w:rStyle w:val="StyleUnderline"/>
        </w:rPr>
        <w:t xml:space="preserve"> exclusively </w:t>
      </w:r>
      <w:r w:rsidRPr="00D36A62">
        <w:rPr>
          <w:rStyle w:val="Emphasis"/>
        </w:rPr>
        <w:t>compensatory</w:t>
      </w:r>
      <w:r w:rsidRPr="009067CE">
        <w:rPr>
          <w:rStyle w:val="StyleUnderline"/>
        </w:rPr>
        <w:t xml:space="preserve">. </w:t>
      </w:r>
      <w:r w:rsidRPr="00E45186">
        <w:rPr>
          <w:rStyle w:val="StyleUnderline"/>
          <w:highlight w:val="cyan"/>
        </w:rPr>
        <w:t xml:space="preserve">No </w:t>
      </w:r>
      <w:r w:rsidRPr="00E45186">
        <w:rPr>
          <w:rStyle w:val="Emphasis"/>
          <w:highlight w:val="cyan"/>
        </w:rPr>
        <w:t>p</w:t>
      </w:r>
      <w:r w:rsidRPr="00D36A62">
        <w:rPr>
          <w:rStyle w:val="Emphasis"/>
          <w:highlight w:val="cyan"/>
        </w:rPr>
        <w:t>unitive awards</w:t>
      </w:r>
      <w:r w:rsidRPr="00D36A62">
        <w:rPr>
          <w:rStyle w:val="Emphasis"/>
        </w:rPr>
        <w:t xml:space="preserve"> of any kind</w:t>
      </w:r>
      <w:r w:rsidRPr="009067CE">
        <w:rPr>
          <w:rStyle w:val="StyleUnderline"/>
        </w:rPr>
        <w:t xml:space="preserve"> </w:t>
      </w:r>
      <w:r w:rsidRPr="00D31751">
        <w:rPr>
          <w:rStyle w:val="StyleUnderline"/>
          <w:highlight w:val="cyan"/>
        </w:rPr>
        <w:t>are available</w:t>
      </w:r>
      <w:r w:rsidRPr="00D31751">
        <w:rPr>
          <w:sz w:val="16"/>
        </w:rPr>
        <w:t xml:space="preserve">,31 and, </w:t>
      </w:r>
      <w:r w:rsidRPr="009067CE">
        <w:rPr>
          <w:rStyle w:val="StyleUnderline"/>
        </w:rPr>
        <w:t xml:space="preserve">accordingly, </w:t>
      </w:r>
      <w:r w:rsidRPr="00D31751">
        <w:rPr>
          <w:rStyle w:val="StyleUnderline"/>
          <w:highlight w:val="cyan"/>
        </w:rPr>
        <w:t>damages</w:t>
      </w:r>
      <w:r w:rsidRPr="009067CE">
        <w:rPr>
          <w:rStyle w:val="StyleUnderline"/>
        </w:rPr>
        <w:t xml:space="preserve"> available under the Act “simply </w:t>
      </w:r>
      <w:r w:rsidRPr="00D31751">
        <w:rPr>
          <w:rStyle w:val="StyleUnderline"/>
          <w:highlight w:val="cyan"/>
        </w:rPr>
        <w:t>are not</w:t>
      </w:r>
      <w:r w:rsidRPr="009067CE">
        <w:rPr>
          <w:rStyle w:val="StyleUnderline"/>
        </w:rPr>
        <w:t xml:space="preserve"> </w:t>
      </w:r>
      <w:r w:rsidRPr="00D36A62">
        <w:rPr>
          <w:rStyle w:val="Emphasis"/>
        </w:rPr>
        <w:t xml:space="preserve">effective </w:t>
      </w:r>
      <w:r w:rsidRPr="00D36A62">
        <w:rPr>
          <w:rStyle w:val="Emphasis"/>
          <w:highlight w:val="cyan"/>
        </w:rPr>
        <w:t>deterrents</w:t>
      </w:r>
      <w:r w:rsidRPr="009067CE">
        <w:rPr>
          <w:rStyle w:val="StyleUnderline"/>
        </w:rPr>
        <w:t xml:space="preserve"> to employers”</w:t>
      </w:r>
      <w:r w:rsidRPr="00D31751">
        <w:rPr>
          <w:sz w:val="16"/>
        </w:rPr>
        <w:t xml:space="preserve"> </w:t>
      </w:r>
      <w:r w:rsidRPr="009067CE">
        <w:rPr>
          <w:rStyle w:val="StyleUnderline"/>
        </w:rPr>
        <w:t>who seek to interfere with workers’ NLRA-protected rights.</w:t>
      </w:r>
      <w:r w:rsidRPr="00D31751">
        <w:rPr>
          <w:sz w:val="16"/>
        </w:rPr>
        <w:t>32</w:t>
      </w:r>
    </w:p>
    <w:p w14:paraId="0D3B704A" w14:textId="77777777" w:rsidR="00242899" w:rsidRPr="00D31751" w:rsidRDefault="00242899" w:rsidP="00242899">
      <w:pPr>
        <w:rPr>
          <w:sz w:val="16"/>
        </w:rPr>
      </w:pPr>
      <w:r w:rsidRPr="00D31751">
        <w:rPr>
          <w:sz w:val="16"/>
        </w:rPr>
        <w:t xml:space="preserve">The Act also empowers the NLRB to seek reinstatement of workers discharged for engaging in protected activity,33 but </w:t>
      </w:r>
      <w:r w:rsidRPr="009067CE">
        <w:rPr>
          <w:rStyle w:val="StyleUnderline"/>
        </w:rPr>
        <w:t xml:space="preserve">the </w:t>
      </w:r>
      <w:r w:rsidRPr="00D36A62">
        <w:rPr>
          <w:rStyle w:val="Emphasis"/>
        </w:rPr>
        <w:t>endemic</w:t>
      </w:r>
      <w:r w:rsidRPr="009067CE">
        <w:rPr>
          <w:rStyle w:val="StyleUnderline"/>
        </w:rPr>
        <w:t xml:space="preserve"> and </w:t>
      </w:r>
      <w:r w:rsidRPr="00D36A62">
        <w:rPr>
          <w:rStyle w:val="Emphasis"/>
        </w:rPr>
        <w:t>massive delays</w:t>
      </w:r>
      <w:r w:rsidRPr="009067CE">
        <w:rPr>
          <w:rStyle w:val="StyleUnderline"/>
        </w:rPr>
        <w:t xml:space="preserve"> that accompany</w:t>
      </w:r>
      <w:r w:rsidRPr="00D31751">
        <w:rPr>
          <w:sz w:val="16"/>
        </w:rPr>
        <w:t xml:space="preserve"> such </w:t>
      </w:r>
      <w:r w:rsidRPr="00D36A62">
        <w:rPr>
          <w:rStyle w:val="Emphasis"/>
        </w:rPr>
        <w:t>reinstatement proceedings</w:t>
      </w:r>
      <w:r w:rsidRPr="009067CE">
        <w:rPr>
          <w:rStyle w:val="StyleUnderline"/>
        </w:rPr>
        <w:t xml:space="preserve"> have</w:t>
      </w:r>
      <w:r w:rsidRPr="00D31751">
        <w:rPr>
          <w:sz w:val="16"/>
        </w:rPr>
        <w:t xml:space="preserve"> similarly </w:t>
      </w:r>
      <w:r w:rsidRPr="009067CE">
        <w:rPr>
          <w:rStyle w:val="StyleUnderline"/>
        </w:rPr>
        <w:t xml:space="preserve">rendered </w:t>
      </w:r>
      <w:proofErr w:type="gramStart"/>
      <w:r w:rsidRPr="009067CE">
        <w:rPr>
          <w:rStyle w:val="StyleUnderline"/>
        </w:rPr>
        <w:t>this an</w:t>
      </w:r>
      <w:proofErr w:type="gramEnd"/>
      <w:r w:rsidRPr="009067CE">
        <w:rPr>
          <w:rStyle w:val="StyleUnderline"/>
        </w:rPr>
        <w:t xml:space="preserve"> insufficient mechanism for protecting employees engaged in collective action.</w:t>
      </w:r>
      <w:r w:rsidRPr="00D31751">
        <w:rPr>
          <w:sz w:val="16"/>
        </w:rPr>
        <w:t xml:space="preserve"> For example, in fiscal year 2004 </w:t>
      </w:r>
      <w:r w:rsidRPr="009067CE">
        <w:rPr>
          <w:rStyle w:val="StyleUnderline"/>
        </w:rPr>
        <w:t xml:space="preserve">the </w:t>
      </w:r>
      <w:r w:rsidRPr="00D31751">
        <w:rPr>
          <w:rStyle w:val="StyleUnderline"/>
          <w:highlight w:val="cyan"/>
        </w:rPr>
        <w:t>median length of</w:t>
      </w:r>
      <w:r w:rsidRPr="009067CE">
        <w:rPr>
          <w:rStyle w:val="StyleUnderline"/>
        </w:rPr>
        <w:t xml:space="preserve"> time </w:t>
      </w:r>
      <w:r w:rsidRPr="00D31751">
        <w:rPr>
          <w:rStyle w:val="StyleUnderline"/>
        </w:rPr>
        <w:t>from</w:t>
      </w:r>
      <w:r w:rsidRPr="009067CE">
        <w:rPr>
          <w:rStyle w:val="StyleUnderline"/>
        </w:rPr>
        <w:t xml:space="preserve"> an employee’s filing </w:t>
      </w:r>
      <w:r w:rsidRPr="00D31751">
        <w:rPr>
          <w:rStyle w:val="StyleUnderline"/>
        </w:rPr>
        <w:t>a charge</w:t>
      </w:r>
      <w:r w:rsidRPr="009067CE">
        <w:rPr>
          <w:rStyle w:val="StyleUnderline"/>
        </w:rPr>
        <w:t xml:space="preserve"> alleging employer misconduct </w:t>
      </w:r>
      <w:r w:rsidRPr="00D31751">
        <w:rPr>
          <w:rStyle w:val="StyleUnderline"/>
        </w:rPr>
        <w:t>to</w:t>
      </w:r>
      <w:r w:rsidRPr="009067CE">
        <w:rPr>
          <w:rStyle w:val="StyleUnderline"/>
        </w:rPr>
        <w:t xml:space="preserve"> the issuance of </w:t>
      </w:r>
      <w:r w:rsidRPr="00D31751">
        <w:rPr>
          <w:rStyle w:val="StyleUnderline"/>
          <w:highlight w:val="cyan"/>
        </w:rPr>
        <w:t>a</w:t>
      </w:r>
      <w:r w:rsidRPr="009067CE">
        <w:rPr>
          <w:rStyle w:val="StyleUnderline"/>
        </w:rPr>
        <w:t xml:space="preserve"> final </w:t>
      </w:r>
      <w:r w:rsidRPr="00D31751">
        <w:rPr>
          <w:rStyle w:val="StyleUnderline"/>
          <w:highlight w:val="cyan"/>
        </w:rPr>
        <w:t xml:space="preserve">Board decision </w:t>
      </w:r>
      <w:r w:rsidRPr="00E45186">
        <w:rPr>
          <w:rStyle w:val="StyleUnderline"/>
          <w:highlight w:val="cyan"/>
        </w:rPr>
        <w:t xml:space="preserve">was </w:t>
      </w:r>
      <w:r w:rsidRPr="00E45186">
        <w:rPr>
          <w:rStyle w:val="Emphasis"/>
          <w:highlight w:val="cyan"/>
        </w:rPr>
        <w:t xml:space="preserve">690 </w:t>
      </w:r>
      <w:r w:rsidRPr="00D36A62">
        <w:rPr>
          <w:rStyle w:val="Emphasis"/>
          <w:highlight w:val="cyan"/>
        </w:rPr>
        <w:t>days</w:t>
      </w:r>
      <w:r w:rsidRPr="00D31751">
        <w:rPr>
          <w:sz w:val="16"/>
        </w:rPr>
        <w:t xml:space="preserve">.34 </w:t>
      </w:r>
      <w:r w:rsidRPr="00D31751">
        <w:rPr>
          <w:rStyle w:val="StyleUnderline"/>
          <w:highlight w:val="cyan"/>
        </w:rPr>
        <w:t>An employer</w:t>
      </w:r>
      <w:r w:rsidRPr="009067CE">
        <w:rPr>
          <w:rStyle w:val="StyleUnderline"/>
        </w:rPr>
        <w:t xml:space="preserve">, however, </w:t>
      </w:r>
      <w:r w:rsidRPr="00D31751">
        <w:rPr>
          <w:rStyle w:val="StyleUnderline"/>
          <w:highlight w:val="cyan"/>
        </w:rPr>
        <w:t>can</w:t>
      </w:r>
      <w:r w:rsidRPr="009067CE">
        <w:rPr>
          <w:rStyle w:val="StyleUnderline"/>
        </w:rPr>
        <w:t xml:space="preserve"> often </w:t>
      </w:r>
      <w:r w:rsidRPr="00D31751">
        <w:rPr>
          <w:rStyle w:val="StyleUnderline"/>
          <w:highlight w:val="cyan"/>
        </w:rPr>
        <w:t>defeat a</w:t>
      </w:r>
      <w:r w:rsidRPr="009067CE">
        <w:rPr>
          <w:rStyle w:val="StyleUnderline"/>
        </w:rPr>
        <w:t xml:space="preserve">n organizing </w:t>
      </w:r>
      <w:r w:rsidRPr="00D31751">
        <w:rPr>
          <w:rStyle w:val="StyleUnderline"/>
          <w:highlight w:val="cyan"/>
        </w:rPr>
        <w:t>drive by discharging</w:t>
      </w:r>
      <w:r w:rsidRPr="009067CE">
        <w:rPr>
          <w:rStyle w:val="StyleUnderline"/>
        </w:rPr>
        <w:t xml:space="preserve"> union </w:t>
      </w:r>
      <w:r w:rsidRPr="00D31751">
        <w:rPr>
          <w:rStyle w:val="StyleUnderline"/>
          <w:highlight w:val="cyan"/>
        </w:rPr>
        <w:t>supporters</w:t>
      </w:r>
      <w:r w:rsidRPr="009067CE">
        <w:rPr>
          <w:rStyle w:val="StyleUnderline"/>
        </w:rPr>
        <w:t xml:space="preserve"> and keeping them out of the work force for</w:t>
      </w:r>
      <w:r w:rsidRPr="00D31751">
        <w:rPr>
          <w:sz w:val="16"/>
        </w:rPr>
        <w:t xml:space="preserve"> a few weeks or </w:t>
      </w:r>
      <w:r w:rsidRPr="00611157">
        <w:rPr>
          <w:rStyle w:val="Emphasis"/>
        </w:rPr>
        <w:t>months</w:t>
      </w:r>
      <w:r w:rsidRPr="00D31751">
        <w:rPr>
          <w:sz w:val="16"/>
        </w:rPr>
        <w:t xml:space="preserve">. Thus, Professor Morris concludes that </w:t>
      </w:r>
      <w:r w:rsidRPr="009067CE">
        <w:rPr>
          <w:rStyle w:val="StyleUnderline"/>
        </w:rPr>
        <w:t>“[t]</w:t>
      </w:r>
      <w:proofErr w:type="gramStart"/>
      <w:r w:rsidRPr="009067CE">
        <w:rPr>
          <w:rStyle w:val="StyleUnderline"/>
        </w:rPr>
        <w:t>he</w:t>
      </w:r>
      <w:proofErr w:type="gramEnd"/>
      <w:r w:rsidRPr="009067CE">
        <w:rPr>
          <w:rStyle w:val="StyleUnderline"/>
        </w:rPr>
        <w:t xml:space="preserve"> </w:t>
      </w:r>
      <w:r w:rsidRPr="00611157">
        <w:rPr>
          <w:rStyle w:val="Emphasis"/>
        </w:rPr>
        <w:t>delay</w:t>
      </w:r>
      <w:r w:rsidRPr="009067CE">
        <w:rPr>
          <w:rStyle w:val="StyleUnderline"/>
        </w:rPr>
        <w:t xml:space="preserve"> of </w:t>
      </w:r>
      <w:r w:rsidRPr="00611157">
        <w:rPr>
          <w:rStyle w:val="Emphasis"/>
        </w:rPr>
        <w:t>several years</w:t>
      </w:r>
      <w:r w:rsidRPr="009067CE">
        <w:rPr>
          <w:rStyle w:val="StyleUnderline"/>
        </w:rPr>
        <w:t xml:space="preserve"> between the discriminatory discharge and an order of reinstatement and </w:t>
      </w:r>
      <w:r w:rsidRPr="00611157">
        <w:rPr>
          <w:rStyle w:val="Emphasis"/>
        </w:rPr>
        <w:t>lost backpay</w:t>
      </w:r>
      <w:r w:rsidRPr="00D31751">
        <w:rPr>
          <w:sz w:val="16"/>
        </w:rPr>
        <w:t xml:space="preserve"> . . . </w:t>
      </w:r>
      <w:r w:rsidRPr="00D31751">
        <w:rPr>
          <w:rStyle w:val="StyleUnderline"/>
          <w:highlight w:val="cyan"/>
        </w:rPr>
        <w:t>renders</w:t>
      </w:r>
      <w:r w:rsidRPr="009067CE">
        <w:rPr>
          <w:rStyle w:val="StyleUnderline"/>
        </w:rPr>
        <w:t xml:space="preserve"> such </w:t>
      </w:r>
      <w:r w:rsidRPr="00D31751">
        <w:rPr>
          <w:rStyle w:val="StyleUnderline"/>
          <w:highlight w:val="cyan"/>
        </w:rPr>
        <w:t>an order</w:t>
      </w:r>
      <w:r w:rsidRPr="00D31751">
        <w:rPr>
          <w:sz w:val="16"/>
        </w:rPr>
        <w:t xml:space="preserve">, when it is finally issued, </w:t>
      </w:r>
      <w:r w:rsidRPr="009067CE">
        <w:rPr>
          <w:rStyle w:val="StyleUnderline"/>
        </w:rPr>
        <w:t xml:space="preserve">virtually </w:t>
      </w:r>
      <w:r w:rsidRPr="00D36A62">
        <w:rPr>
          <w:rStyle w:val="Emphasis"/>
          <w:highlight w:val="cyan"/>
        </w:rPr>
        <w:t>meaningless</w:t>
      </w:r>
      <w:r w:rsidRPr="009067CE">
        <w:rPr>
          <w:rStyle w:val="StyleUnderline"/>
        </w:rPr>
        <w:t>.”</w:t>
      </w:r>
      <w:r w:rsidRPr="00D31751">
        <w:rPr>
          <w:sz w:val="16"/>
        </w:rPr>
        <w:t>35</w:t>
      </w:r>
    </w:p>
    <w:p w14:paraId="3C4F908A" w14:textId="77777777" w:rsidR="00242899" w:rsidRPr="008B099C" w:rsidRDefault="00242899" w:rsidP="00242899">
      <w:pPr>
        <w:rPr>
          <w:b/>
          <w:iCs/>
          <w:u w:val="single"/>
          <w:bdr w:val="single" w:sz="8" w:space="0" w:color="auto"/>
        </w:rPr>
      </w:pPr>
      <w:r w:rsidRPr="008B099C">
        <w:rPr>
          <w:rStyle w:val="Emphasis"/>
        </w:rPr>
        <w:t>[FOOTNOTES BEGIN]</w:t>
      </w:r>
    </w:p>
    <w:p w14:paraId="5368C6D0" w14:textId="77777777" w:rsidR="00242899" w:rsidRPr="00D31751" w:rsidRDefault="00242899" w:rsidP="00242899">
      <w:pPr>
        <w:rPr>
          <w:sz w:val="16"/>
        </w:rPr>
      </w:pPr>
      <w:r w:rsidRPr="00D31751">
        <w:rPr>
          <w:sz w:val="16"/>
        </w:rPr>
        <w:t>29 See PAUL C. WEILER, GOVERNING THE WORKPLACE 108-118 (1990); Weiler, supra note 2, at 1769-1803; Charles J. Morris, A Tale of Two Statutes: Discrimination for Union Activity Under the NLRA and RLA, 2 EMP. RTS. &amp; EMP. POL’Y J. 317 (1998).</w:t>
      </w:r>
    </w:p>
    <w:p w14:paraId="759FFABE" w14:textId="77777777" w:rsidR="00242899" w:rsidRPr="00D31751" w:rsidRDefault="00242899" w:rsidP="00242899">
      <w:pPr>
        <w:rPr>
          <w:sz w:val="16"/>
        </w:rPr>
      </w:pPr>
      <w:r w:rsidRPr="00D31751">
        <w:rPr>
          <w:sz w:val="16"/>
        </w:rPr>
        <w:t>31 See, e.g., Consol. Edison v. NLRB, 305 U.S. 197, 236 (1938); Republic Steel Corp. v. NLRB, 311 U.S. 7 (1940); Ex-Cell-O Corp., 185 N.L.R.B. 107, 108 (1990). Employees illegally discharged for union activity, moreover, must mitigate their losses by finding alternative work. See, e.g., Phelps Dodge Corp. v. NLRB, 313 U.S. 177, 198-200 (1941).</w:t>
      </w:r>
    </w:p>
    <w:p w14:paraId="15633B6B" w14:textId="77777777" w:rsidR="00242899" w:rsidRPr="00D31751" w:rsidRDefault="00242899" w:rsidP="00242899">
      <w:pPr>
        <w:rPr>
          <w:sz w:val="16"/>
        </w:rPr>
      </w:pPr>
      <w:r w:rsidRPr="00D31751">
        <w:rPr>
          <w:sz w:val="16"/>
        </w:rPr>
        <w:t xml:space="preserve">32 Weiler, supra note 2, </w:t>
      </w:r>
      <w:proofErr w:type="gramStart"/>
      <w:r w:rsidRPr="00D31751">
        <w:rPr>
          <w:sz w:val="16"/>
        </w:rPr>
        <w:t>at</w:t>
      </w:r>
      <w:proofErr w:type="gramEnd"/>
      <w:r w:rsidRPr="00D31751">
        <w:rPr>
          <w:sz w:val="16"/>
        </w:rPr>
        <w:t xml:space="preserve"> 1789. Several commentators have observed that </w:t>
      </w:r>
      <w:r w:rsidRPr="009067CE">
        <w:rPr>
          <w:rStyle w:val="StyleUnderline"/>
        </w:rPr>
        <w:t xml:space="preserve">the size of NLRA damages awards often makes </w:t>
      </w:r>
      <w:r w:rsidRPr="00611157">
        <w:rPr>
          <w:rStyle w:val="Emphasis"/>
        </w:rPr>
        <w:t>union avoidance strategies</w:t>
      </w:r>
      <w:r w:rsidRPr="009067CE">
        <w:rPr>
          <w:rStyle w:val="StyleUnderline"/>
        </w:rPr>
        <w:t>—most particularly the illegal discharge of union advocates—</w:t>
      </w:r>
      <w:r w:rsidRPr="00611157">
        <w:rPr>
          <w:rStyle w:val="Emphasis"/>
        </w:rPr>
        <w:t>economically rational</w:t>
      </w:r>
      <w:r w:rsidRPr="00D31751">
        <w:rPr>
          <w:sz w:val="16"/>
        </w:rPr>
        <w:t xml:space="preserve">. See, e.g., James Gray Pope, How American Workers Lost the Right </w:t>
      </w:r>
      <w:proofErr w:type="gramStart"/>
      <w:r w:rsidRPr="00D31751">
        <w:rPr>
          <w:sz w:val="16"/>
        </w:rPr>
        <w:t>To</w:t>
      </w:r>
      <w:proofErr w:type="gramEnd"/>
      <w:r w:rsidRPr="00D31751">
        <w:rPr>
          <w:sz w:val="16"/>
        </w:rPr>
        <w:t xml:space="preserve"> Strike, and Other Tales, 103 MICH. L. REV. 518, 534 (2004); Gottesman, supra note 2, at 63. As a result, much academic attention has been paid to enhancing the remedies available to the NLRB, with a particular focus on punitive </w:t>
      </w:r>
      <w:proofErr w:type="gramStart"/>
      <w:r w:rsidRPr="00D31751">
        <w:rPr>
          <w:sz w:val="16"/>
        </w:rPr>
        <w:t>damages</w:t>
      </w:r>
      <w:proofErr w:type="gramEnd"/>
      <w:r w:rsidRPr="00D31751">
        <w:rPr>
          <w:sz w:val="16"/>
        </w:rPr>
        <w:t>. See, e.g., id. at 75 (“[T]he solution is punitive damages. . . .”); WILLIAM B. GOULD, AGENDA FOR REFORM 166 (1993) (“Double or triple back-pay awards would reduce the incentive for employers to engage in unlawful discriminatory dismissals.”); WEILER, supra note 29, at 247-48; Robert M. Worster III, If It’s Hardly Worth Doing, It’s Hardly Worth Doing Right: How the NLRA’s Goals Are Defeated Through Inadequate Remedies, 38 U. RICH. L. REV. 1073, 1092-94 (2004).</w:t>
      </w:r>
    </w:p>
    <w:p w14:paraId="1AEB3D08" w14:textId="77777777" w:rsidR="00242899" w:rsidRPr="00D31751" w:rsidRDefault="00242899" w:rsidP="00242899">
      <w:pPr>
        <w:rPr>
          <w:sz w:val="16"/>
        </w:rPr>
      </w:pPr>
      <w:r w:rsidRPr="00D31751">
        <w:rPr>
          <w:sz w:val="16"/>
        </w:rPr>
        <w:t>33 See 29 U.S.C. § 160(c).</w:t>
      </w:r>
    </w:p>
    <w:p w14:paraId="4D91287C" w14:textId="77777777" w:rsidR="00242899" w:rsidRPr="009067CE" w:rsidRDefault="00242899" w:rsidP="00242899">
      <w:pPr>
        <w:rPr>
          <w:rStyle w:val="StyleUnderline"/>
        </w:rPr>
      </w:pPr>
      <w:r w:rsidRPr="00D31751">
        <w:rPr>
          <w:sz w:val="16"/>
        </w:rPr>
        <w:t xml:space="preserve">34 See 69 NLRB ANN. REP. 264 tbl.23 (2004), available at http://www.nlrb.gov/publications/reports/annual_reports.aspx. </w:t>
      </w:r>
      <w:r w:rsidRPr="00D31751">
        <w:rPr>
          <w:rStyle w:val="StyleUnderline"/>
          <w:highlight w:val="cyan"/>
        </w:rPr>
        <w:t>The Board</w:t>
      </w:r>
      <w:r w:rsidRPr="009067CE">
        <w:rPr>
          <w:rStyle w:val="StyleUnderline"/>
        </w:rPr>
        <w:t xml:space="preserve">, moreover, </w:t>
      </w:r>
      <w:r w:rsidRPr="00D31751">
        <w:rPr>
          <w:rStyle w:val="StyleUnderline"/>
          <w:highlight w:val="cyan"/>
        </w:rPr>
        <w:t xml:space="preserve">has no authority to </w:t>
      </w:r>
      <w:r w:rsidRPr="00D36A62">
        <w:rPr>
          <w:rStyle w:val="Emphasis"/>
          <w:highlight w:val="cyan"/>
        </w:rPr>
        <w:t>enforce</w:t>
      </w:r>
      <w:r w:rsidRPr="009067CE">
        <w:rPr>
          <w:rStyle w:val="StyleUnderline"/>
        </w:rPr>
        <w:t xml:space="preserve"> its own orders—</w:t>
      </w:r>
      <w:r w:rsidRPr="00D31751">
        <w:rPr>
          <w:rStyle w:val="StyleUnderline"/>
          <w:highlight w:val="cyan"/>
        </w:rPr>
        <w:t>only a federal court</w:t>
      </w:r>
      <w:r w:rsidRPr="009067CE">
        <w:rPr>
          <w:rStyle w:val="StyleUnderline"/>
        </w:rPr>
        <w:t xml:space="preserve"> of appeals has this power.</w:t>
      </w:r>
      <w:r w:rsidRPr="00D31751">
        <w:rPr>
          <w:sz w:val="16"/>
        </w:rPr>
        <w:t xml:space="preserve"> See 29 U.S.C. § 160(e). </w:t>
      </w:r>
      <w:r w:rsidRPr="009067CE">
        <w:rPr>
          <w:rStyle w:val="StyleUnderline"/>
        </w:rPr>
        <w:t xml:space="preserve">Thus, </w:t>
      </w:r>
      <w:r w:rsidRPr="00D31751">
        <w:rPr>
          <w:rStyle w:val="StyleUnderline"/>
          <w:highlight w:val="cyan"/>
        </w:rPr>
        <w:t>an employee can</w:t>
      </w:r>
      <w:r w:rsidRPr="009067CE">
        <w:rPr>
          <w:rStyle w:val="StyleUnderline"/>
        </w:rPr>
        <w:t xml:space="preserve"> expect to </w:t>
      </w:r>
      <w:r w:rsidRPr="00D31751">
        <w:rPr>
          <w:rStyle w:val="StyleUnderline"/>
          <w:highlight w:val="cyan"/>
        </w:rPr>
        <w:t>wait</w:t>
      </w:r>
      <w:r w:rsidRPr="009067CE">
        <w:rPr>
          <w:rStyle w:val="StyleUnderline"/>
        </w:rPr>
        <w:t xml:space="preserve"> considerably </w:t>
      </w:r>
      <w:r w:rsidRPr="00D31751">
        <w:rPr>
          <w:rStyle w:val="StyleUnderline"/>
          <w:highlight w:val="cyan"/>
        </w:rPr>
        <w:t xml:space="preserve">longer than </w:t>
      </w:r>
      <w:r w:rsidRPr="00D36A62">
        <w:rPr>
          <w:rStyle w:val="Emphasis"/>
          <w:highlight w:val="cyan"/>
        </w:rPr>
        <w:t>two years</w:t>
      </w:r>
      <w:r w:rsidRPr="009067CE">
        <w:rPr>
          <w:rStyle w:val="StyleUnderline"/>
        </w:rPr>
        <w:t xml:space="preserve"> for an enforceable order of reinstatement.</w:t>
      </w:r>
    </w:p>
    <w:p w14:paraId="54CAE8F3" w14:textId="77777777" w:rsidR="00242899" w:rsidRPr="00D31751" w:rsidRDefault="00242899" w:rsidP="00242899">
      <w:pPr>
        <w:rPr>
          <w:sz w:val="16"/>
        </w:rPr>
      </w:pPr>
      <w:r w:rsidRPr="00D31751">
        <w:rPr>
          <w:sz w:val="16"/>
        </w:rPr>
        <w:t xml:space="preserve">35 Morris, supra note 29, at 338. Again, academic observers have repeatedly proposed changes to the NLRA regime that would increase the availability and use of preliminary injunctions </w:t>
      </w:r>
      <w:proofErr w:type="gramStart"/>
      <w:r w:rsidRPr="00D31751">
        <w:rPr>
          <w:sz w:val="16"/>
        </w:rPr>
        <w:t>in order to</w:t>
      </w:r>
      <w:proofErr w:type="gramEnd"/>
      <w:r w:rsidRPr="00D31751">
        <w:rPr>
          <w:sz w:val="16"/>
        </w:rPr>
        <w:t xml:space="preserve"> correct this statutory failing. See, e.g., id. at 358; see also WEILER, supra note 29, at 241. </w:t>
      </w:r>
      <w:r w:rsidRPr="00D36A62">
        <w:rPr>
          <w:rStyle w:val="StyleUnderline"/>
        </w:rPr>
        <w:t>Section 10(j)</w:t>
      </w:r>
      <w:r w:rsidRPr="009067CE">
        <w:rPr>
          <w:rStyle w:val="StyleUnderline"/>
        </w:rPr>
        <w:t xml:space="preserve"> of the NLRA does grant the Board authority to seek </w:t>
      </w:r>
      <w:r w:rsidRPr="00D36A62">
        <w:rPr>
          <w:rStyle w:val="StyleUnderline"/>
          <w:highlight w:val="cyan"/>
        </w:rPr>
        <w:t>preliminary injunctive relief</w:t>
      </w:r>
      <w:r w:rsidRPr="009067CE">
        <w:rPr>
          <w:rStyle w:val="StyleUnderline"/>
        </w:rPr>
        <w:t xml:space="preserve"> in cases of retaliatory discharge, a mechanism that could dramatically speed up this process.</w:t>
      </w:r>
      <w:r w:rsidRPr="00D31751">
        <w:rPr>
          <w:sz w:val="16"/>
        </w:rPr>
        <w:t xml:space="preserve"> See 29 U.S.C. § 160(j); see generally Morris, supra note 29, at 345-47; NLRB GC Memorandum 98-10, Report on Utilization of § 10(j) Injunction Proceedings March 3, </w:t>
      </w:r>
      <w:proofErr w:type="gramStart"/>
      <w:r w:rsidRPr="00D31751">
        <w:rPr>
          <w:sz w:val="16"/>
        </w:rPr>
        <w:t>1994</w:t>
      </w:r>
      <w:proofErr w:type="gramEnd"/>
      <w:r w:rsidRPr="00D31751">
        <w:rPr>
          <w:sz w:val="16"/>
        </w:rPr>
        <w:t xml:space="preserve"> through March 2, 1998. </w:t>
      </w:r>
      <w:r w:rsidRPr="009067CE">
        <w:rPr>
          <w:rStyle w:val="StyleUnderline"/>
        </w:rPr>
        <w:t xml:space="preserve">While </w:t>
      </w:r>
      <w:r w:rsidRPr="00D36A62">
        <w:rPr>
          <w:rStyle w:val="StyleUnderline"/>
          <w:highlight w:val="cyan"/>
        </w:rPr>
        <w:t>the Board</w:t>
      </w:r>
      <w:r w:rsidRPr="009067CE">
        <w:rPr>
          <w:rStyle w:val="StyleUnderline"/>
        </w:rPr>
        <w:t xml:space="preserve"> </w:t>
      </w:r>
      <w:r w:rsidRPr="00611157">
        <w:rPr>
          <w:rStyle w:val="Emphasis"/>
        </w:rPr>
        <w:t>formally possesses</w:t>
      </w:r>
      <w:r w:rsidRPr="009067CE">
        <w:rPr>
          <w:rStyle w:val="StyleUnderline"/>
        </w:rPr>
        <w:t xml:space="preserve"> this power,</w:t>
      </w:r>
      <w:r w:rsidRPr="00D31751">
        <w:rPr>
          <w:sz w:val="16"/>
        </w:rPr>
        <w:t xml:space="preserve"> however, </w:t>
      </w:r>
      <w:r w:rsidRPr="009067CE">
        <w:rPr>
          <w:rStyle w:val="StyleUnderline"/>
        </w:rPr>
        <w:t xml:space="preserve">it </w:t>
      </w:r>
      <w:r w:rsidRPr="00D36A62">
        <w:rPr>
          <w:rStyle w:val="StyleUnderline"/>
          <w:highlight w:val="cyan"/>
        </w:rPr>
        <w:t>rarely employs</w:t>
      </w:r>
      <w:r w:rsidRPr="009067CE">
        <w:rPr>
          <w:rStyle w:val="StyleUnderline"/>
        </w:rPr>
        <w:t xml:space="preserve"> it. In</w:t>
      </w:r>
      <w:r w:rsidRPr="00D31751">
        <w:rPr>
          <w:sz w:val="16"/>
        </w:rPr>
        <w:t xml:space="preserve"> fiscal year </w:t>
      </w:r>
      <w:r w:rsidRPr="009067CE">
        <w:rPr>
          <w:rStyle w:val="StyleUnderline"/>
        </w:rPr>
        <w:t>2004</w:t>
      </w:r>
      <w:r w:rsidRPr="00D31751">
        <w:rPr>
          <w:sz w:val="16"/>
        </w:rPr>
        <w:t xml:space="preserve">, for example, </w:t>
      </w:r>
      <w:r w:rsidRPr="009067CE">
        <w:rPr>
          <w:rStyle w:val="StyleUnderline"/>
        </w:rPr>
        <w:t>the Board authorized</w:t>
      </w:r>
      <w:r w:rsidRPr="00D31751">
        <w:rPr>
          <w:sz w:val="16"/>
        </w:rPr>
        <w:t xml:space="preserve"> the General Counsel to seek § 10(j) </w:t>
      </w:r>
      <w:r w:rsidRPr="009067CE">
        <w:rPr>
          <w:rStyle w:val="StyleUnderline"/>
        </w:rPr>
        <w:t xml:space="preserve">injunctions </w:t>
      </w:r>
      <w:r w:rsidRPr="00D36A62">
        <w:rPr>
          <w:rStyle w:val="StyleUnderline"/>
        </w:rPr>
        <w:t xml:space="preserve">in </w:t>
      </w:r>
      <w:r w:rsidRPr="00D36A62">
        <w:rPr>
          <w:rStyle w:val="StyleUnderline"/>
          <w:highlight w:val="cyan"/>
        </w:rPr>
        <w:t xml:space="preserve">just </w:t>
      </w:r>
      <w:r w:rsidRPr="00D36A62">
        <w:rPr>
          <w:rStyle w:val="Emphasis"/>
          <w:highlight w:val="cyan"/>
        </w:rPr>
        <w:t>thirteen cases</w:t>
      </w:r>
      <w:r w:rsidRPr="009067CE">
        <w:rPr>
          <w:rStyle w:val="StyleUnderline"/>
        </w:rPr>
        <w:t>.</w:t>
      </w:r>
      <w:r w:rsidRPr="00D31751">
        <w:rPr>
          <w:sz w:val="16"/>
        </w:rPr>
        <w:t xml:space="preserve"> See 69 NLRB ANN. REP. at 260 tbl.20. </w:t>
      </w:r>
      <w:r w:rsidRPr="009067CE">
        <w:rPr>
          <w:rStyle w:val="StyleUnderline"/>
        </w:rPr>
        <w:t>In</w:t>
      </w:r>
      <w:r w:rsidRPr="00D31751">
        <w:rPr>
          <w:sz w:val="16"/>
        </w:rPr>
        <w:t xml:space="preserve"> fiscal year </w:t>
      </w:r>
      <w:r w:rsidRPr="009067CE">
        <w:rPr>
          <w:rStyle w:val="StyleUnderline"/>
        </w:rPr>
        <w:t>2003</w:t>
      </w:r>
      <w:r w:rsidRPr="00D31751">
        <w:rPr>
          <w:sz w:val="16"/>
        </w:rPr>
        <w:t xml:space="preserve">, the Board authorized such action in </w:t>
      </w:r>
      <w:r w:rsidRPr="009067CE">
        <w:rPr>
          <w:rStyle w:val="StyleUnderline"/>
        </w:rPr>
        <w:t>seventeen</w:t>
      </w:r>
      <w:r w:rsidRPr="00D31751">
        <w:rPr>
          <w:sz w:val="16"/>
        </w:rPr>
        <w:t xml:space="preserve"> cases, and </w:t>
      </w:r>
      <w:r w:rsidRPr="009067CE">
        <w:rPr>
          <w:rStyle w:val="StyleUnderline"/>
        </w:rPr>
        <w:t>in 2002</w:t>
      </w:r>
      <w:r w:rsidRPr="00D31751">
        <w:rPr>
          <w:sz w:val="16"/>
        </w:rPr>
        <w:t xml:space="preserve"> in </w:t>
      </w:r>
      <w:r w:rsidRPr="009067CE">
        <w:rPr>
          <w:rStyle w:val="StyleUnderline"/>
        </w:rPr>
        <w:t>sixteen</w:t>
      </w:r>
      <w:r w:rsidRPr="00D31751">
        <w:rPr>
          <w:sz w:val="16"/>
        </w:rPr>
        <w:t xml:space="preserve">. See NLRB, </w:t>
      </w:r>
      <w:proofErr w:type="gramStart"/>
      <w:r w:rsidRPr="00D31751">
        <w:rPr>
          <w:sz w:val="16"/>
        </w:rPr>
        <w:t>Off</w:t>
      </w:r>
      <w:proofErr w:type="gramEnd"/>
      <w:r w:rsidRPr="00D31751">
        <w:rPr>
          <w:sz w:val="16"/>
        </w:rPr>
        <w:t>. of Inspector General, Inspection Rep. No. OIG-INS-29-04-02: Section 10(j) Findings at 5 (on file with author).</w:t>
      </w:r>
    </w:p>
    <w:p w14:paraId="07578C32" w14:textId="77777777" w:rsidR="00242899" w:rsidRDefault="00242899" w:rsidP="00242899">
      <w:pPr>
        <w:rPr>
          <w:rStyle w:val="Emphasis"/>
        </w:rPr>
      </w:pPr>
      <w:r w:rsidRPr="008B099C">
        <w:rPr>
          <w:rStyle w:val="Emphasis"/>
        </w:rPr>
        <w:t>[FOOTNOTES END]</w:t>
      </w:r>
    </w:p>
    <w:p w14:paraId="44AA0C71" w14:textId="77777777" w:rsidR="00242899" w:rsidRPr="00D31751" w:rsidRDefault="00242899" w:rsidP="00242899">
      <w:pPr>
        <w:rPr>
          <w:sz w:val="16"/>
        </w:rPr>
      </w:pPr>
      <w:r w:rsidRPr="00D31751">
        <w:rPr>
          <w:sz w:val="16"/>
        </w:rPr>
        <w:t xml:space="preserve">Finally, </w:t>
      </w:r>
      <w:r w:rsidRPr="009067CE">
        <w:rPr>
          <w:rStyle w:val="StyleUnderline"/>
        </w:rPr>
        <w:t xml:space="preserve">because the statute concentrates </w:t>
      </w:r>
      <w:r w:rsidRPr="00611157">
        <w:rPr>
          <w:rStyle w:val="Emphasis"/>
        </w:rPr>
        <w:t>all enforcement power</w:t>
      </w:r>
      <w:r w:rsidRPr="009067CE">
        <w:rPr>
          <w:rStyle w:val="StyleUnderline"/>
        </w:rPr>
        <w:t xml:space="preserve"> in the NLRB and </w:t>
      </w:r>
      <w:r w:rsidRPr="00611157">
        <w:rPr>
          <w:rStyle w:val="Emphasis"/>
        </w:rPr>
        <w:t>denies</w:t>
      </w:r>
      <w:r w:rsidRPr="009067CE">
        <w:rPr>
          <w:rStyle w:val="StyleUnderline"/>
        </w:rPr>
        <w:t xml:space="preserve"> workers a </w:t>
      </w:r>
      <w:r w:rsidRPr="00611157">
        <w:rPr>
          <w:rStyle w:val="Emphasis"/>
        </w:rPr>
        <w:t>private right of action</w:t>
      </w:r>
      <w:r w:rsidRPr="009067CE">
        <w:rPr>
          <w:rStyle w:val="StyleUnderline"/>
        </w:rPr>
        <w:t xml:space="preserve">, the Board’s weak remedies and </w:t>
      </w:r>
      <w:proofErr w:type="gramStart"/>
      <w:r w:rsidRPr="009067CE">
        <w:rPr>
          <w:rStyle w:val="StyleUnderline"/>
        </w:rPr>
        <w:t>time consuming</w:t>
      </w:r>
      <w:proofErr w:type="gramEnd"/>
      <w:r w:rsidRPr="009067CE">
        <w:rPr>
          <w:rStyle w:val="StyleUnderline"/>
        </w:rPr>
        <w:t xml:space="preserve"> procedures are the </w:t>
      </w:r>
      <w:r w:rsidRPr="00611157">
        <w:rPr>
          <w:rStyle w:val="Emphasis"/>
        </w:rPr>
        <w:t>only game in town</w:t>
      </w:r>
      <w:r w:rsidRPr="009067CE">
        <w:rPr>
          <w:rStyle w:val="StyleUnderline"/>
        </w:rPr>
        <w:t>.</w:t>
      </w:r>
      <w:r w:rsidRPr="00D31751">
        <w:rPr>
          <w:sz w:val="16"/>
        </w:rPr>
        <w:t xml:space="preserve"> In part </w:t>
      </w:r>
      <w:r w:rsidRPr="009067CE">
        <w:rPr>
          <w:rStyle w:val="StyleUnderline"/>
        </w:rPr>
        <w:t>a product of New Deal lawmakers’ preference for administrative enforcement</w:t>
      </w:r>
      <w:r w:rsidRPr="00D31751">
        <w:rPr>
          <w:sz w:val="16"/>
        </w:rPr>
        <w:t xml:space="preserve">,36 </w:t>
      </w:r>
      <w:r w:rsidRPr="009067CE">
        <w:rPr>
          <w:rStyle w:val="StyleUnderline"/>
        </w:rPr>
        <w:t>and</w:t>
      </w:r>
      <w:r w:rsidRPr="00D31751">
        <w:rPr>
          <w:sz w:val="16"/>
        </w:rPr>
        <w:t xml:space="preserve"> in part </w:t>
      </w:r>
      <w:r w:rsidRPr="009067CE">
        <w:rPr>
          <w:rStyle w:val="StyleUnderline"/>
        </w:rPr>
        <w:t>a response to the judiciary’s record on labor rights across the 19th and early 20th centuries</w:t>
      </w:r>
      <w:r w:rsidRPr="00D31751">
        <w:rPr>
          <w:sz w:val="16"/>
        </w:rPr>
        <w:t xml:space="preserve">,37 </w:t>
      </w:r>
      <w:r w:rsidRPr="009067CE">
        <w:rPr>
          <w:rStyle w:val="StyleUnderline"/>
        </w:rPr>
        <w:t xml:space="preserve">the NLRA contains </w:t>
      </w:r>
      <w:r w:rsidRPr="00611157">
        <w:rPr>
          <w:rStyle w:val="Emphasis"/>
        </w:rPr>
        <w:t>no mechanism</w:t>
      </w:r>
      <w:r w:rsidRPr="009067CE">
        <w:rPr>
          <w:rStyle w:val="StyleUnderline"/>
        </w:rPr>
        <w:t xml:space="preserve"> by which workers can </w:t>
      </w:r>
      <w:r w:rsidRPr="00611157">
        <w:rPr>
          <w:rStyle w:val="Emphasis"/>
        </w:rPr>
        <w:t>enforce</w:t>
      </w:r>
      <w:r w:rsidRPr="009067CE">
        <w:rPr>
          <w:rStyle w:val="StyleUnderline"/>
        </w:rPr>
        <w:t xml:space="preserve"> the statutory provisions guaranteeing them</w:t>
      </w:r>
      <w:r w:rsidRPr="00D31751">
        <w:rPr>
          <w:sz w:val="16"/>
        </w:rPr>
        <w:t xml:space="preserve"> free choice on matters of organization and </w:t>
      </w:r>
      <w:r w:rsidRPr="009067CE">
        <w:rPr>
          <w:rStyle w:val="StyleUnderline"/>
        </w:rPr>
        <w:t>collective representation</w:t>
      </w:r>
      <w:r w:rsidRPr="00D31751">
        <w:rPr>
          <w:sz w:val="16"/>
        </w:rPr>
        <w:t>.38</w:t>
      </w:r>
    </w:p>
    <w:p w14:paraId="4AAC2052" w14:textId="77777777" w:rsidR="00242899" w:rsidRPr="00D31751" w:rsidRDefault="00242899" w:rsidP="00242899">
      <w:pPr>
        <w:rPr>
          <w:sz w:val="16"/>
        </w:rPr>
      </w:pPr>
      <w:r w:rsidRPr="009067CE">
        <w:rPr>
          <w:rStyle w:val="StyleUnderline"/>
        </w:rPr>
        <w:t>The limitation on damages and the endemic delays that plague Board proceedings, combined</w:t>
      </w:r>
      <w:r w:rsidRPr="00D31751">
        <w:rPr>
          <w:sz w:val="16"/>
        </w:rPr>
        <w:t xml:space="preserve"> with the </w:t>
      </w:r>
      <w:r w:rsidRPr="009067CE">
        <w:rPr>
          <w:rStyle w:val="StyleUnderline"/>
        </w:rPr>
        <w:t>absence</w:t>
      </w:r>
      <w:r w:rsidRPr="00D31751">
        <w:rPr>
          <w:sz w:val="16"/>
        </w:rPr>
        <w:t xml:space="preserve"> from the statutory design </w:t>
      </w:r>
      <w:r w:rsidRPr="009067CE">
        <w:rPr>
          <w:rStyle w:val="StyleUnderline"/>
        </w:rPr>
        <w:t>of a private right of action</w:t>
      </w:r>
      <w:r w:rsidRPr="00D31751">
        <w:rPr>
          <w:sz w:val="16"/>
        </w:rPr>
        <w:t xml:space="preserve"> for workers seeking to enforce the law, </w:t>
      </w:r>
      <w:r w:rsidRPr="009067CE">
        <w:rPr>
          <w:rStyle w:val="StyleUnderline"/>
        </w:rPr>
        <w:t xml:space="preserve">have produced results that are </w:t>
      </w:r>
      <w:r w:rsidRPr="00611157">
        <w:rPr>
          <w:rStyle w:val="Emphasis"/>
        </w:rPr>
        <w:t>predictable</w:t>
      </w:r>
      <w:r w:rsidRPr="009067CE">
        <w:rPr>
          <w:rStyle w:val="StyleUnderline"/>
        </w:rPr>
        <w:t xml:space="preserve"> and </w:t>
      </w:r>
      <w:r w:rsidRPr="00611157">
        <w:rPr>
          <w:rStyle w:val="Emphasis"/>
        </w:rPr>
        <w:t>well known</w:t>
      </w:r>
      <w:r w:rsidRPr="009067CE">
        <w:rPr>
          <w:rStyle w:val="StyleUnderline"/>
        </w:rPr>
        <w:t>. One recent study</w:t>
      </w:r>
      <w:r w:rsidRPr="00D31751">
        <w:rPr>
          <w:sz w:val="16"/>
        </w:rPr>
        <w:t xml:space="preserve">, for example, </w:t>
      </w:r>
      <w:r w:rsidRPr="009067CE">
        <w:rPr>
          <w:rStyle w:val="StyleUnderline"/>
        </w:rPr>
        <w:t>concludes</w:t>
      </w:r>
      <w:r w:rsidRPr="00D31751">
        <w:rPr>
          <w:sz w:val="16"/>
        </w:rPr>
        <w:t xml:space="preserve"> that </w:t>
      </w:r>
      <w:r w:rsidRPr="00D36A62">
        <w:rPr>
          <w:rStyle w:val="StyleUnderline"/>
          <w:highlight w:val="cyan"/>
        </w:rPr>
        <w:t xml:space="preserve">one in </w:t>
      </w:r>
      <w:r w:rsidRPr="00E45186">
        <w:rPr>
          <w:rStyle w:val="StyleUnderline"/>
          <w:highlight w:val="cyan"/>
        </w:rPr>
        <w:t>five w</w:t>
      </w:r>
      <w:r w:rsidRPr="00D36A62">
        <w:rPr>
          <w:rStyle w:val="StyleUnderline"/>
          <w:highlight w:val="cyan"/>
        </w:rPr>
        <w:t>orkers</w:t>
      </w:r>
      <w:r w:rsidRPr="009067CE">
        <w:rPr>
          <w:rStyle w:val="StyleUnderline"/>
        </w:rPr>
        <w:t xml:space="preserve"> who takes an active role in an </w:t>
      </w:r>
      <w:r w:rsidRPr="00D36A62">
        <w:rPr>
          <w:rStyle w:val="StyleUnderline"/>
          <w:highlight w:val="cyan"/>
        </w:rPr>
        <w:t>organizing</w:t>
      </w:r>
      <w:r w:rsidRPr="009067CE">
        <w:rPr>
          <w:rStyle w:val="StyleUnderline"/>
        </w:rPr>
        <w:t xml:space="preserve"> campaign </w:t>
      </w:r>
      <w:r w:rsidRPr="00D36A62">
        <w:rPr>
          <w:rStyle w:val="StyleUnderline"/>
          <w:highlight w:val="cyan"/>
        </w:rPr>
        <w:t>is illegally discharged</w:t>
      </w:r>
      <w:r w:rsidRPr="00D31751">
        <w:rPr>
          <w:sz w:val="16"/>
        </w:rPr>
        <w:t xml:space="preserve"> for doing so.39 And in cases decided in fiscal year 2005, the Board found that </w:t>
      </w:r>
      <w:r w:rsidRPr="009067CE">
        <w:rPr>
          <w:rStyle w:val="StyleUnderline"/>
        </w:rPr>
        <w:t xml:space="preserve">more than </w:t>
      </w:r>
      <w:r w:rsidRPr="00611157">
        <w:rPr>
          <w:rStyle w:val="Emphasis"/>
        </w:rPr>
        <w:t>30,000 U.S. workers</w:t>
      </w:r>
      <w:r w:rsidRPr="009067CE">
        <w:rPr>
          <w:rStyle w:val="StyleUnderline"/>
        </w:rPr>
        <w:t xml:space="preserve"> had suffered </w:t>
      </w:r>
      <w:r w:rsidRPr="00611157">
        <w:rPr>
          <w:rStyle w:val="Emphasis"/>
        </w:rPr>
        <w:t>illegal retaliation</w:t>
      </w:r>
      <w:r w:rsidRPr="009067CE">
        <w:rPr>
          <w:rStyle w:val="StyleUnderline"/>
        </w:rPr>
        <w:t xml:space="preserve"> for exercising their NLRA-protected rights</w:t>
      </w:r>
      <w:r w:rsidRPr="00D31751">
        <w:rPr>
          <w:sz w:val="16"/>
        </w:rPr>
        <w:t>.40 In its report on the Employee Free Choice Act, the House Committee on Education and Labor summarized this way:</w:t>
      </w:r>
    </w:p>
    <w:p w14:paraId="4860B863" w14:textId="77777777" w:rsidR="00242899" w:rsidRPr="00D31751" w:rsidRDefault="00242899" w:rsidP="00242899">
      <w:pPr>
        <w:rPr>
          <w:sz w:val="16"/>
        </w:rPr>
      </w:pPr>
      <w:r w:rsidRPr="00D31751">
        <w:rPr>
          <w:sz w:val="16"/>
        </w:rPr>
        <w:t xml:space="preserve">The numbers are staggering. </w:t>
      </w:r>
      <w:r w:rsidRPr="00D36A62">
        <w:rPr>
          <w:rStyle w:val="StyleUnderline"/>
          <w:highlight w:val="cyan"/>
        </w:rPr>
        <w:t xml:space="preserve">Every </w:t>
      </w:r>
      <w:r w:rsidRPr="00D36A62">
        <w:rPr>
          <w:rStyle w:val="Emphasis"/>
          <w:highlight w:val="cyan"/>
        </w:rPr>
        <w:t>23 minutes</w:t>
      </w:r>
      <w:r w:rsidRPr="009067CE">
        <w:rPr>
          <w:rStyle w:val="StyleUnderline"/>
        </w:rPr>
        <w:t xml:space="preserve">, a worker is </w:t>
      </w:r>
      <w:r w:rsidRPr="00611157">
        <w:rPr>
          <w:rStyle w:val="Emphasis"/>
        </w:rPr>
        <w:t>fired</w:t>
      </w:r>
      <w:r w:rsidRPr="00D31751">
        <w:rPr>
          <w:sz w:val="16"/>
        </w:rPr>
        <w:t xml:space="preserve"> or otherwise discriminated against </w:t>
      </w:r>
      <w:r w:rsidRPr="009067CE">
        <w:rPr>
          <w:rStyle w:val="StyleUnderline"/>
        </w:rPr>
        <w:t>because of</w:t>
      </w:r>
      <w:r w:rsidRPr="00D31751">
        <w:rPr>
          <w:sz w:val="16"/>
        </w:rPr>
        <w:t xml:space="preserve"> his or her </w:t>
      </w:r>
      <w:r w:rsidRPr="009067CE">
        <w:rPr>
          <w:rStyle w:val="StyleUnderline"/>
        </w:rPr>
        <w:t>union activity</w:t>
      </w:r>
      <w:r w:rsidRPr="00D31751">
        <w:rPr>
          <w:sz w:val="16"/>
        </w:rPr>
        <w:t xml:space="preserve">. According to NLRB Annual Reports between 1993 and 2003, an average of 22,633 workers per year received back pay from their employers. In 2005, this number hit 31,358. A recent study by the Center for Economic and Policy Research found that, in 2005, </w:t>
      </w:r>
      <w:r w:rsidRPr="009067CE">
        <w:rPr>
          <w:rStyle w:val="StyleUnderline"/>
        </w:rPr>
        <w:t xml:space="preserve">workers engaged in pro-union activism “faced almost a </w:t>
      </w:r>
      <w:r w:rsidRPr="00611157">
        <w:rPr>
          <w:rStyle w:val="Emphasis"/>
        </w:rPr>
        <w:t>20 percent chance</w:t>
      </w:r>
      <w:r w:rsidRPr="009067CE">
        <w:rPr>
          <w:rStyle w:val="StyleUnderline"/>
        </w:rPr>
        <w:t xml:space="preserve"> of being </w:t>
      </w:r>
      <w:r w:rsidRPr="00611157">
        <w:rPr>
          <w:rStyle w:val="Emphasis"/>
        </w:rPr>
        <w:t>fired</w:t>
      </w:r>
      <w:r w:rsidRPr="00D31751">
        <w:rPr>
          <w:sz w:val="16"/>
        </w:rPr>
        <w:t xml:space="preserve"> during a union-election campaign.”41</w:t>
      </w:r>
    </w:p>
    <w:p w14:paraId="418E9C8F" w14:textId="77777777" w:rsidR="00242899" w:rsidRPr="00D31751" w:rsidRDefault="00242899" w:rsidP="00242899">
      <w:pPr>
        <w:rPr>
          <w:sz w:val="16"/>
        </w:rPr>
      </w:pPr>
      <w:r w:rsidRPr="00D31751">
        <w:rPr>
          <w:sz w:val="16"/>
        </w:rPr>
        <w:t>Kate Bronfenbrenner, moreover, has shown the correlation between employers’ use of illegal tactics and the success rate of organizing campaigns. In one study, when employers used no tactics outlawed by the Act, the success rate of worker organizing efforts was 100%. When employers deployed up to four tactics made illegal by the NLRA, however, the success-rate of campaigns dropped to 58%. And when an employer used more than five illegal tactics, organizing efforts succeeded just 36% of the time.42</w:t>
      </w:r>
    </w:p>
    <w:p w14:paraId="1718F7B0" w14:textId="77777777" w:rsidR="00242899" w:rsidRDefault="00242899" w:rsidP="00242899">
      <w:pPr>
        <w:rPr>
          <w:sz w:val="16"/>
        </w:rPr>
      </w:pPr>
      <w:r w:rsidRPr="00D31751">
        <w:rPr>
          <w:sz w:val="16"/>
        </w:rPr>
        <w:t xml:space="preserve">In addition to its inability to deter or remedy coercive interference with the organizing efforts of employees who are entitled to the Act’s protection, </w:t>
      </w:r>
      <w:r w:rsidRPr="009067CE">
        <w:rPr>
          <w:rStyle w:val="StyleUnderline"/>
        </w:rPr>
        <w:t xml:space="preserve">the </w:t>
      </w:r>
      <w:r w:rsidRPr="00D36A62">
        <w:rPr>
          <w:rStyle w:val="StyleUnderline"/>
          <w:highlight w:val="cyan"/>
        </w:rPr>
        <w:t>NLRA also excludes</w:t>
      </w:r>
      <w:r w:rsidRPr="009067CE">
        <w:rPr>
          <w:rStyle w:val="StyleUnderline"/>
        </w:rPr>
        <w:t xml:space="preserve"> completely from its coverage multiple groupings of workers who constitute an </w:t>
      </w:r>
      <w:r w:rsidRPr="00611157">
        <w:rPr>
          <w:rStyle w:val="Emphasis"/>
        </w:rPr>
        <w:t>increasing share</w:t>
      </w:r>
      <w:r w:rsidRPr="009067CE">
        <w:rPr>
          <w:rStyle w:val="StyleUnderline"/>
        </w:rPr>
        <w:t xml:space="preserve"> of the </w:t>
      </w:r>
      <w:r w:rsidRPr="00611157">
        <w:rPr>
          <w:rStyle w:val="Emphasis"/>
        </w:rPr>
        <w:t>U.S. labor force</w:t>
      </w:r>
      <w:r w:rsidRPr="009067CE">
        <w:rPr>
          <w:rStyle w:val="StyleUnderline"/>
        </w:rPr>
        <w:t>.</w:t>
      </w:r>
      <w:r w:rsidRPr="00D31751">
        <w:rPr>
          <w:sz w:val="16"/>
        </w:rPr>
        <w:t xml:space="preserve"> First, </w:t>
      </w:r>
      <w:r w:rsidRPr="009067CE">
        <w:rPr>
          <w:rStyle w:val="StyleUnderline"/>
        </w:rPr>
        <w:t xml:space="preserve">no </w:t>
      </w:r>
      <w:r w:rsidRPr="00D36A62">
        <w:rPr>
          <w:rStyle w:val="Emphasis"/>
          <w:highlight w:val="cyan"/>
        </w:rPr>
        <w:t>“supervisor”</w:t>
      </w:r>
      <w:r w:rsidRPr="009067CE">
        <w:rPr>
          <w:rStyle w:val="StyleUnderline"/>
        </w:rPr>
        <w:t xml:space="preserve"> is entitled to labor law protection, and the Board has </w:t>
      </w:r>
      <w:r w:rsidRPr="00D36A62">
        <w:rPr>
          <w:rStyle w:val="StyleUnderline"/>
          <w:highlight w:val="cyan"/>
        </w:rPr>
        <w:t>defined</w:t>
      </w:r>
      <w:r w:rsidRPr="009067CE">
        <w:rPr>
          <w:rStyle w:val="StyleUnderline"/>
        </w:rPr>
        <w:t xml:space="preserve"> “supervisor” </w:t>
      </w:r>
      <w:r w:rsidRPr="00D36A62">
        <w:rPr>
          <w:rStyle w:val="StyleUnderline"/>
          <w:highlight w:val="cyan"/>
        </w:rPr>
        <w:t>with</w:t>
      </w:r>
      <w:r w:rsidRPr="00D36A62">
        <w:rPr>
          <w:rStyle w:val="StyleUnderline"/>
        </w:rPr>
        <w:t xml:space="preserve"> </w:t>
      </w:r>
      <w:r w:rsidRPr="00611157">
        <w:rPr>
          <w:rStyle w:val="Emphasis"/>
        </w:rPr>
        <w:t xml:space="preserve">remarkable </w:t>
      </w:r>
      <w:r w:rsidRPr="00611157">
        <w:rPr>
          <w:rStyle w:val="Emphasis"/>
          <w:highlight w:val="cyan"/>
        </w:rPr>
        <w:t>breadth</w:t>
      </w:r>
      <w:r w:rsidRPr="00D31751">
        <w:rPr>
          <w:sz w:val="16"/>
        </w:rPr>
        <w:t xml:space="preserve">.43 </w:t>
      </w:r>
      <w:r w:rsidRPr="009067CE">
        <w:rPr>
          <w:rStyle w:val="StyleUnderline"/>
        </w:rPr>
        <w:t xml:space="preserve">This exclusion has </w:t>
      </w:r>
      <w:proofErr w:type="gramStart"/>
      <w:r w:rsidRPr="009067CE">
        <w:rPr>
          <w:rStyle w:val="StyleUnderline"/>
        </w:rPr>
        <w:t>particular relevance</w:t>
      </w:r>
      <w:proofErr w:type="gramEnd"/>
      <w:r w:rsidRPr="009067CE">
        <w:rPr>
          <w:rStyle w:val="StyleUnderline"/>
        </w:rPr>
        <w:t xml:space="preserve"> in an economy where decision-making </w:t>
      </w:r>
      <w:r w:rsidRPr="00D36A62">
        <w:rPr>
          <w:rStyle w:val="StyleUnderline"/>
          <w:highlight w:val="cyan"/>
        </w:rPr>
        <w:t xml:space="preserve">responsibility is increasingly dispersed among the </w:t>
      </w:r>
      <w:proofErr w:type="gramStart"/>
      <w:r w:rsidRPr="00D36A62">
        <w:rPr>
          <w:rStyle w:val="StyleUnderline"/>
          <w:highlight w:val="cyan"/>
        </w:rPr>
        <w:t>workforce</w:t>
      </w:r>
      <w:proofErr w:type="gramEnd"/>
      <w:r w:rsidRPr="00D31751">
        <w:rPr>
          <w:sz w:val="16"/>
        </w:rPr>
        <w:t xml:space="preserve">. </w:t>
      </w:r>
      <w:r w:rsidRPr="009067CE">
        <w:rPr>
          <w:rStyle w:val="StyleUnderline"/>
        </w:rPr>
        <w:t>Inherent in</w:t>
      </w:r>
      <w:r w:rsidRPr="00D31751">
        <w:rPr>
          <w:sz w:val="16"/>
        </w:rPr>
        <w:t xml:space="preserve"> almost all of the leading forms of </w:t>
      </w:r>
      <w:r w:rsidRPr="00611157">
        <w:rPr>
          <w:rStyle w:val="Emphasis"/>
        </w:rPr>
        <w:t>modern work design</w:t>
      </w:r>
      <w:r w:rsidRPr="00D31751">
        <w:rPr>
          <w:sz w:val="16"/>
        </w:rPr>
        <w:t xml:space="preserve"> (including </w:t>
      </w:r>
      <w:r w:rsidRPr="00D31751">
        <w:rPr>
          <w:rStyle w:val="StyleUnderline"/>
        </w:rPr>
        <w:t>just-in-time production</w:t>
      </w:r>
      <w:r w:rsidRPr="00D31751">
        <w:rPr>
          <w:sz w:val="16"/>
        </w:rPr>
        <w:t xml:space="preserve">, </w:t>
      </w:r>
      <w:r w:rsidRPr="00D31751">
        <w:rPr>
          <w:rStyle w:val="StyleUnderline"/>
        </w:rPr>
        <w:t>“Total Quality Management,”</w:t>
      </w:r>
      <w:r w:rsidRPr="00D31751">
        <w:rPr>
          <w:sz w:val="16"/>
        </w:rPr>
        <w:t xml:space="preserve"> </w:t>
      </w:r>
      <w:r w:rsidRPr="00D31751">
        <w:rPr>
          <w:rStyle w:val="StyleUnderline"/>
        </w:rPr>
        <w:t>high-performance</w:t>
      </w:r>
      <w:r w:rsidRPr="00D31751">
        <w:rPr>
          <w:sz w:val="16"/>
        </w:rPr>
        <w:t xml:space="preserve"> work systems, </w:t>
      </w:r>
      <w:r w:rsidRPr="00D31751">
        <w:rPr>
          <w:rStyle w:val="StyleUnderline"/>
        </w:rPr>
        <w:t>and</w:t>
      </w:r>
      <w:r w:rsidRPr="00D31751">
        <w:rPr>
          <w:sz w:val="16"/>
        </w:rPr>
        <w:t xml:space="preserve"> </w:t>
      </w:r>
      <w:r w:rsidRPr="00D31751">
        <w:rPr>
          <w:rStyle w:val="StyleUnderline"/>
        </w:rPr>
        <w:t>competency based systems</w:t>
      </w:r>
      <w:r w:rsidRPr="00D31751">
        <w:rPr>
          <w:sz w:val="16"/>
        </w:rPr>
        <w:t xml:space="preserve">), for example, </w:t>
      </w:r>
      <w:r w:rsidRPr="00D31751">
        <w:rPr>
          <w:rStyle w:val="StyleUnderline"/>
        </w:rPr>
        <w:t xml:space="preserve">is the </w:t>
      </w:r>
      <w:r w:rsidRPr="00611157">
        <w:rPr>
          <w:rStyle w:val="Emphasis"/>
        </w:rPr>
        <w:t>devolution</w:t>
      </w:r>
      <w:r w:rsidRPr="00D31751">
        <w:rPr>
          <w:rStyle w:val="StyleUnderline"/>
        </w:rPr>
        <w:t xml:space="preserve"> of managerial and </w:t>
      </w:r>
      <w:r w:rsidRPr="00611157">
        <w:rPr>
          <w:rStyle w:val="Emphasis"/>
        </w:rPr>
        <w:t>supervisory discretion</w:t>
      </w:r>
      <w:r w:rsidRPr="00D31751">
        <w:rPr>
          <w:rStyle w:val="StyleUnderline"/>
        </w:rPr>
        <w:t xml:space="preserve"> to employees</w:t>
      </w:r>
      <w:r w:rsidRPr="00D31751">
        <w:rPr>
          <w:sz w:val="16"/>
        </w:rPr>
        <w:t xml:space="preserve">.44 Of course, </w:t>
      </w:r>
      <w:r w:rsidRPr="00D31751">
        <w:rPr>
          <w:rStyle w:val="StyleUnderline"/>
        </w:rPr>
        <w:t>the devolution of managerial discretion</w:t>
      </w:r>
      <w:r w:rsidRPr="00D31751">
        <w:rPr>
          <w:sz w:val="16"/>
        </w:rPr>
        <w:t xml:space="preserve"> to employees </w:t>
      </w:r>
      <w:r w:rsidRPr="00D31751">
        <w:rPr>
          <w:rStyle w:val="StyleUnderline"/>
        </w:rPr>
        <w:t xml:space="preserve">poses the </w:t>
      </w:r>
      <w:r w:rsidRPr="00611157">
        <w:rPr>
          <w:rStyle w:val="Emphasis"/>
        </w:rPr>
        <w:t>distinct threat</w:t>
      </w:r>
      <w:r w:rsidRPr="00D31751">
        <w:rPr>
          <w:rStyle w:val="StyleUnderline"/>
        </w:rPr>
        <w:t xml:space="preserve"> of </w:t>
      </w:r>
      <w:r w:rsidRPr="00D36A62">
        <w:rPr>
          <w:rStyle w:val="StyleUnderline"/>
        </w:rPr>
        <w:t>converting</w:t>
      </w:r>
      <w:r w:rsidRPr="00D31751">
        <w:rPr>
          <w:rStyle w:val="StyleUnderline"/>
        </w:rPr>
        <w:t xml:space="preserve"> a wide range of employees into “supervisors,”</w:t>
      </w:r>
      <w:r w:rsidRPr="00D31751">
        <w:rPr>
          <w:sz w:val="16"/>
        </w:rPr>
        <w:t xml:space="preserve"> and </w:t>
      </w:r>
      <w:r w:rsidRPr="00D31751">
        <w:rPr>
          <w:rStyle w:val="StyleUnderline"/>
        </w:rPr>
        <w:t xml:space="preserve">thereby </w:t>
      </w:r>
      <w:r w:rsidRPr="00D36A62">
        <w:rPr>
          <w:rStyle w:val="StyleUnderline"/>
          <w:highlight w:val="cyan"/>
        </w:rPr>
        <w:t>pushing</w:t>
      </w:r>
      <w:r w:rsidRPr="00D31751">
        <w:rPr>
          <w:rStyle w:val="StyleUnderline"/>
        </w:rPr>
        <w:t xml:space="preserve"> these</w:t>
      </w:r>
      <w:r w:rsidRPr="00D31751">
        <w:rPr>
          <w:sz w:val="16"/>
        </w:rPr>
        <w:t xml:space="preserve"> </w:t>
      </w:r>
      <w:r w:rsidRPr="00D36A62">
        <w:rPr>
          <w:rStyle w:val="StyleUnderline"/>
          <w:highlight w:val="cyan"/>
        </w:rPr>
        <w:t xml:space="preserve">workers </w:t>
      </w:r>
      <w:r w:rsidRPr="00D36A62">
        <w:rPr>
          <w:rStyle w:val="Emphasis"/>
          <w:highlight w:val="cyan"/>
        </w:rPr>
        <w:t>outside</w:t>
      </w:r>
      <w:r w:rsidRPr="00D31751">
        <w:rPr>
          <w:sz w:val="16"/>
        </w:rPr>
        <w:t xml:space="preserve"> the scope of </w:t>
      </w:r>
      <w:r w:rsidRPr="00D36A62">
        <w:rPr>
          <w:rStyle w:val="StyleUnderline"/>
        </w:rPr>
        <w:t xml:space="preserve">the </w:t>
      </w:r>
      <w:r w:rsidRPr="00C93073">
        <w:rPr>
          <w:rStyle w:val="Emphasis"/>
          <w:highlight w:val="cyan"/>
        </w:rPr>
        <w:t>NLRA</w:t>
      </w:r>
      <w:r w:rsidRPr="00D31751">
        <w:rPr>
          <w:sz w:val="16"/>
        </w:rPr>
        <w:t>.45</w:t>
      </w:r>
    </w:p>
    <w:p w14:paraId="33E2D755" w14:textId="37C90326" w:rsidR="00242899" w:rsidRDefault="00242899" w:rsidP="00242899">
      <w:pPr>
        <w:pStyle w:val="Heading4"/>
      </w:pPr>
      <w:r>
        <w:t>6</w:t>
      </w:r>
      <w:r>
        <w:t xml:space="preserve">. Circumvention Trump and Fifth Circuit </w:t>
      </w:r>
      <w:r w:rsidRPr="00482F42">
        <w:rPr>
          <w:u w:val="single"/>
        </w:rPr>
        <w:t>nullify</w:t>
      </w:r>
      <w:r>
        <w:t xml:space="preserve"> the plan---presumption.</w:t>
      </w:r>
    </w:p>
    <w:p w14:paraId="206B9ACB" w14:textId="77777777" w:rsidR="00242899" w:rsidRPr="001B6DAD" w:rsidRDefault="00242899" w:rsidP="00242899">
      <w:r w:rsidRPr="001B6DAD">
        <w:t xml:space="preserve">Harold </w:t>
      </w:r>
      <w:r w:rsidRPr="00242899">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5B1E1917" w14:textId="77777777" w:rsidR="00242899" w:rsidRPr="00737FB6" w:rsidRDefault="00242899" w:rsidP="00242899">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2CB55BCD" w14:textId="77777777" w:rsidR="00242899" w:rsidRPr="001B6DAD" w:rsidRDefault="00242899" w:rsidP="00242899">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48F9626" w14:textId="77777777" w:rsidR="00242899" w:rsidRPr="001B6DAD" w:rsidRDefault="00242899" w:rsidP="00242899">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37FFF01" w14:textId="77777777" w:rsidR="00242899" w:rsidRPr="001B6DAD" w:rsidRDefault="00242899" w:rsidP="00242899">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1B6DAD">
        <w:rPr>
          <w:sz w:val="16"/>
        </w:rPr>
        <w:t>actually hurt</w:t>
      </w:r>
      <w:proofErr w:type="gramEnd"/>
      <w:r w:rsidRPr="001B6DAD">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066A2FA" w14:textId="77777777" w:rsidR="00242899" w:rsidRPr="001B6DAD" w:rsidRDefault="00242899" w:rsidP="00242899">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2C8733F4" w14:textId="77777777" w:rsidR="00242899" w:rsidRPr="001B6DAD" w:rsidRDefault="00242899" w:rsidP="00242899">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1B6DAD">
        <w:rPr>
          <w:sz w:val="16"/>
        </w:rPr>
        <w:t>That case</w:t>
      </w:r>
      <w:proofErr w:type="gramEnd"/>
      <w:r w:rsidRPr="001B6DAD">
        <w:rPr>
          <w:sz w:val="16"/>
        </w:rPr>
        <w:t xml:space="preserve"> is still in the works.) The SpaceX workers neither had a union affiliation nor </w:t>
      </w:r>
      <w:proofErr w:type="gramStart"/>
      <w:r w:rsidRPr="001B6DAD">
        <w:rPr>
          <w:sz w:val="16"/>
        </w:rPr>
        <w:t>were</w:t>
      </w:r>
      <w:proofErr w:type="gramEnd"/>
      <w:r w:rsidRPr="001B6DAD">
        <w:rPr>
          <w:sz w:val="16"/>
        </w:rPr>
        <w:t xml:space="preserve"> seeking one, so the only parties to the case were the company and the agency.</w:t>
      </w:r>
    </w:p>
    <w:p w14:paraId="59E0D71B" w14:textId="77777777" w:rsidR="00242899" w:rsidRPr="001B6DAD" w:rsidRDefault="00242899" w:rsidP="00242899">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21A8FAE1" w14:textId="77777777" w:rsidR="00242899" w:rsidRPr="002972EF" w:rsidRDefault="00242899" w:rsidP="00242899">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w:t>
      </w:r>
      <w:proofErr w:type="gramStart"/>
      <w:r w:rsidRPr="001B6DAD">
        <w:rPr>
          <w:sz w:val="16"/>
        </w:rPr>
        <w:t>a concurring</w:t>
      </w:r>
      <w:proofErr w:type="gramEnd"/>
      <w:r w:rsidRPr="001B6DAD">
        <w:rPr>
          <w:sz w:val="16"/>
        </w:rPr>
        <w:t xml:space="preserve"> opinion, one of the three justices said he’d tried and failed to find any of the irreparable harm to SpaceX presumably posed by an NLRB attorney’s investigation, but he let the ruling </w:t>
      </w:r>
      <w:proofErr w:type="gramStart"/>
      <w:r w:rsidRPr="001B6DAD">
        <w:rPr>
          <w:sz w:val="16"/>
        </w:rPr>
        <w:t>stand</w:t>
      </w:r>
      <w:proofErr w:type="gramEnd"/>
      <w:r w:rsidRPr="001B6DAD">
        <w:rPr>
          <w:sz w:val="16"/>
        </w:rPr>
        <w:t xml:space="preserve"> nonetheless. In the Trump judiciary’s war on workers, empirical concerns appear only as the faintest of whispers.)</w:t>
      </w:r>
    </w:p>
    <w:p w14:paraId="5213817C" w14:textId="77777777" w:rsidR="00242899" w:rsidRDefault="00242899" w:rsidP="004117AA">
      <w:pPr>
        <w:spacing w:line="235" w:lineRule="atLeast"/>
        <w:rPr>
          <w:rFonts w:eastAsia="Times New Roman"/>
          <w:color w:val="000000"/>
          <w:sz w:val="16"/>
        </w:rPr>
      </w:pPr>
    </w:p>
    <w:p w14:paraId="40FD765B" w14:textId="77777777" w:rsidR="009A79C4" w:rsidRDefault="009A79C4" w:rsidP="009A79C4">
      <w:pPr>
        <w:pStyle w:val="Heading3"/>
      </w:pPr>
      <w:r>
        <w:t>Ace Turn</w:t>
      </w:r>
    </w:p>
    <w:p w14:paraId="56B24B50" w14:textId="77777777" w:rsidR="009A79C4" w:rsidRPr="00E723C8" w:rsidRDefault="009A79C4" w:rsidP="009A79C4">
      <w:pPr>
        <w:pStyle w:val="Heading4"/>
      </w:pPr>
      <w:r w:rsidRPr="00E723C8">
        <w:t>Centering sexual liberation within progressive agendas renders asexual people as broken and cements a universal framework that limits what human connection means</w:t>
      </w:r>
    </w:p>
    <w:p w14:paraId="11001621" w14:textId="77777777" w:rsidR="009A79C4" w:rsidRPr="00E723C8" w:rsidRDefault="009A79C4" w:rsidP="009A79C4">
      <w:r w:rsidRPr="00E723C8">
        <w:rPr>
          <w:rStyle w:val="Style13ptBold"/>
        </w:rPr>
        <w:t>Neilson, 20</w:t>
      </w:r>
      <w:r w:rsidRPr="00E723C8">
        <w:t xml:space="preserve"> -- freelance writer and book critic</w:t>
      </w:r>
    </w:p>
    <w:p w14:paraId="4B5DB034" w14:textId="77777777" w:rsidR="009A79C4" w:rsidRPr="00E723C8" w:rsidRDefault="009A79C4" w:rsidP="009A79C4">
      <w:r w:rsidRPr="00E723C8">
        <w:t>[Sarah, "Angela Chen’s ‘Ace’ reveals what it means to be asexual in a society obsessed with sexuality," Washington Post, 9-28-20, https://www.washingtonpost.com/entertainment/books/angela-chens-ace-reveals-what-it-means-to-be-asexual-in-a-society-obsessed-with-sexuality/2020/09/28/d211780a-fdaa-11ea-9ceb-061d646d9c67_story.html, accessed 4-9-21]</w:t>
      </w:r>
    </w:p>
    <w:p w14:paraId="643D87EA" w14:textId="77777777" w:rsidR="009A79C4" w:rsidRPr="00E723C8" w:rsidRDefault="009A79C4" w:rsidP="009A79C4">
      <w:r w:rsidRPr="00E723C8">
        <w:rPr>
          <w:b/>
          <w:u w:val="single"/>
        </w:rPr>
        <w:t xml:space="preserve">In </w:t>
      </w:r>
      <w:r w:rsidRPr="00F921B4">
        <w:rPr>
          <w:b/>
          <w:highlight w:val="green"/>
          <w:u w:val="single"/>
        </w:rPr>
        <w:t>a society</w:t>
      </w:r>
      <w:r w:rsidRPr="00F921B4">
        <w:rPr>
          <w:b/>
          <w:highlight w:val="green"/>
        </w:rPr>
        <w:t xml:space="preserve"> </w:t>
      </w:r>
      <w:r w:rsidRPr="00F921B4">
        <w:rPr>
          <w:b/>
          <w:highlight w:val="green"/>
          <w:u w:val="single"/>
        </w:rPr>
        <w:t>obsessed with sexuality</w:t>
      </w:r>
      <w:r w:rsidRPr="00E723C8">
        <w:rPr>
          <w:b/>
          <w:u w:val="single"/>
        </w:rPr>
        <w:t>,</w:t>
      </w:r>
      <w:r w:rsidRPr="00E723C8">
        <w:rPr>
          <w:b/>
        </w:rPr>
        <w:t xml:space="preserve"> </w:t>
      </w:r>
      <w:r w:rsidRPr="00E723C8">
        <w:rPr>
          <w:b/>
          <w:u w:val="single"/>
        </w:rPr>
        <w:t>what does it mean to be asexual?</w:t>
      </w:r>
      <w:r w:rsidRPr="00E723C8">
        <w:t xml:space="preserve"> In the United States, we have become more open about discussions of what it means to be queer. But </w:t>
      </w:r>
      <w:r w:rsidRPr="00E723C8">
        <w:rPr>
          <w:u w:val="single"/>
        </w:rPr>
        <w:t>even in</w:t>
      </w:r>
      <w:r w:rsidRPr="00E723C8">
        <w:t xml:space="preserve"> </w:t>
      </w:r>
      <w:r w:rsidRPr="00E723C8">
        <w:rPr>
          <w:u w:val="single"/>
        </w:rPr>
        <w:t>queer communities, which fight against culture’s oversexualization of queer bodies and lives, sex remains a</w:t>
      </w:r>
      <w:r w:rsidRPr="00E723C8">
        <w:t xml:space="preserve"> </w:t>
      </w:r>
      <w:r w:rsidRPr="00E723C8">
        <w:rPr>
          <w:u w:val="single"/>
        </w:rPr>
        <w:t>linchpin</w:t>
      </w:r>
      <w:r w:rsidRPr="00E723C8">
        <w:t xml:space="preserve"> </w:t>
      </w:r>
      <w:r w:rsidRPr="00E723C8">
        <w:rPr>
          <w:u w:val="single"/>
        </w:rPr>
        <w:t xml:space="preserve">of the conversation around liberation. </w:t>
      </w:r>
      <w:r w:rsidRPr="00E723C8">
        <w:t xml:space="preserve">In “Ace: What Asexuality Reveals About Desire, Society, and the Meaning of Sex,” journalist and science writer Angela </w:t>
      </w:r>
      <w:r w:rsidRPr="00E723C8">
        <w:rPr>
          <w:u w:val="single"/>
        </w:rPr>
        <w:t>Chen uses interviews, research and personal experience to offer a framework that</w:t>
      </w:r>
      <w:r w:rsidRPr="00E723C8">
        <w:t xml:space="preserve"> </w:t>
      </w:r>
      <w:r w:rsidRPr="00E723C8">
        <w:rPr>
          <w:u w:val="single"/>
        </w:rPr>
        <w:t>loosens stigmas</w:t>
      </w:r>
      <w:r w:rsidRPr="00E723C8">
        <w:t xml:space="preserve"> </w:t>
      </w:r>
      <w:r w:rsidRPr="00E723C8">
        <w:rPr>
          <w:u w:val="single"/>
        </w:rPr>
        <w:t xml:space="preserve">about relationships, emotion and sex in a culture that operates on “compulsory sexuality.” </w:t>
      </w:r>
      <w:r w:rsidRPr="00E723C8">
        <w:t xml:space="preserve">That term, borrowed from Adrienne Rich’s 1980 essay “Compulsory Heterosexuality and Lesbian Existence,” is one Chen uses to describe “the belief that lust is universal and to be otherwise is to be abnormal.” </w:t>
      </w:r>
      <w:r w:rsidRPr="00E723C8">
        <w:rPr>
          <w:u w:val="single"/>
        </w:rPr>
        <w:t>The idea that sex is the ultimate connection between two people and the narrative that sex is a sign of maturity almost always go unquestioned</w:t>
      </w:r>
      <w:r w:rsidRPr="00F921B4">
        <w:rPr>
          <w:highlight w:val="green"/>
        </w:rPr>
        <w:t xml:space="preserve">. </w:t>
      </w:r>
      <w:r w:rsidRPr="00F921B4">
        <w:rPr>
          <w:b/>
          <w:highlight w:val="green"/>
          <w:u w:val="single"/>
        </w:rPr>
        <w:t>A person who has</w:t>
      </w:r>
      <w:r w:rsidRPr="00F921B4">
        <w:rPr>
          <w:b/>
          <w:highlight w:val="green"/>
        </w:rPr>
        <w:t xml:space="preserve"> </w:t>
      </w:r>
      <w:r w:rsidRPr="00F921B4">
        <w:rPr>
          <w:b/>
          <w:highlight w:val="green"/>
          <w:u w:val="single"/>
        </w:rPr>
        <w:t>no desire for sex</w:t>
      </w:r>
      <w:r w:rsidRPr="00E723C8">
        <w:rPr>
          <w:u w:val="single"/>
        </w:rPr>
        <w:t>, even if they are in a monogamous romantic relationship,</w:t>
      </w:r>
      <w:r w:rsidRPr="00E723C8">
        <w:t xml:space="preserve"> </w:t>
      </w:r>
      <w:r w:rsidRPr="00F921B4">
        <w:rPr>
          <w:b/>
          <w:highlight w:val="green"/>
          <w:u w:val="single"/>
        </w:rPr>
        <w:t>is regarded as</w:t>
      </w:r>
      <w:r w:rsidRPr="00F921B4">
        <w:rPr>
          <w:highlight w:val="green"/>
        </w:rPr>
        <w:t xml:space="preserve"> </w:t>
      </w:r>
      <w:r w:rsidRPr="00F921B4">
        <w:rPr>
          <w:b/>
          <w:highlight w:val="green"/>
          <w:u w:val="single"/>
        </w:rPr>
        <w:t>somehow</w:t>
      </w:r>
      <w:r w:rsidRPr="00F921B4">
        <w:rPr>
          <w:highlight w:val="green"/>
        </w:rPr>
        <w:t xml:space="preserve"> </w:t>
      </w:r>
      <w:r w:rsidRPr="00F921B4">
        <w:rPr>
          <w:b/>
          <w:highlight w:val="green"/>
          <w:u w:val="single"/>
        </w:rPr>
        <w:t>broken</w:t>
      </w:r>
      <w:r w:rsidRPr="00E723C8">
        <w:t xml:space="preserve"> </w:t>
      </w:r>
      <w:r w:rsidRPr="00E723C8">
        <w:rPr>
          <w:b/>
          <w:u w:val="single"/>
        </w:rPr>
        <w:t>under</w:t>
      </w:r>
      <w:r w:rsidRPr="00E723C8">
        <w:rPr>
          <w:b/>
        </w:rPr>
        <w:t xml:space="preserve"> </w:t>
      </w:r>
      <w:r w:rsidRPr="00E723C8">
        <w:rPr>
          <w:b/>
          <w:u w:val="single"/>
        </w:rPr>
        <w:t>compulsory sexuality</w:t>
      </w:r>
      <w:r w:rsidRPr="00E723C8">
        <w:t xml:space="preserve">. </w:t>
      </w:r>
      <w:r w:rsidRPr="00F921B4">
        <w:rPr>
          <w:b/>
          <w:highlight w:val="green"/>
          <w:u w:val="single"/>
        </w:rPr>
        <w:t>Even</w:t>
      </w:r>
      <w:r w:rsidRPr="00E723C8">
        <w:rPr>
          <w:b/>
          <w:u w:val="single"/>
        </w:rPr>
        <w:t xml:space="preserve"> the</w:t>
      </w:r>
      <w:r w:rsidRPr="00E723C8">
        <w:rPr>
          <w:b/>
        </w:rPr>
        <w:t xml:space="preserve"> </w:t>
      </w:r>
      <w:r w:rsidRPr="00F921B4">
        <w:rPr>
          <w:b/>
          <w:highlight w:val="green"/>
          <w:u w:val="single"/>
        </w:rPr>
        <w:t>most progressive</w:t>
      </w:r>
      <w:r w:rsidRPr="00F921B4">
        <w:rPr>
          <w:highlight w:val="green"/>
        </w:rPr>
        <w:t xml:space="preserve"> </w:t>
      </w:r>
      <w:r w:rsidRPr="00F921B4">
        <w:rPr>
          <w:highlight w:val="green"/>
          <w:u w:val="single"/>
        </w:rPr>
        <w:t>feminist and</w:t>
      </w:r>
      <w:r w:rsidRPr="00F921B4">
        <w:rPr>
          <w:highlight w:val="green"/>
        </w:rPr>
        <w:t xml:space="preserve"> </w:t>
      </w:r>
      <w:r w:rsidRPr="00F921B4">
        <w:rPr>
          <w:b/>
          <w:highlight w:val="green"/>
          <w:u w:val="single"/>
        </w:rPr>
        <w:t>queer spaces</w:t>
      </w:r>
      <w:r w:rsidRPr="00E723C8">
        <w:rPr>
          <w:b/>
        </w:rPr>
        <w:t xml:space="preserve"> </w:t>
      </w:r>
      <w:r w:rsidRPr="00E723C8">
        <w:rPr>
          <w:u w:val="single"/>
        </w:rPr>
        <w:t>almost always</w:t>
      </w:r>
      <w:r w:rsidRPr="00E723C8">
        <w:t xml:space="preserve"> </w:t>
      </w:r>
      <w:r w:rsidRPr="00F921B4">
        <w:rPr>
          <w:b/>
          <w:highlight w:val="green"/>
          <w:u w:val="single"/>
        </w:rPr>
        <w:t>center sexual liberation</w:t>
      </w:r>
      <w:r w:rsidRPr="00E723C8">
        <w:rPr>
          <w:b/>
        </w:rPr>
        <w:t xml:space="preserve"> </w:t>
      </w:r>
      <w:r w:rsidRPr="00E723C8">
        <w:rPr>
          <w:b/>
          <w:u w:val="single"/>
        </w:rPr>
        <w:t>in their</w:t>
      </w:r>
      <w:r w:rsidRPr="00E723C8">
        <w:rPr>
          <w:b/>
        </w:rPr>
        <w:t xml:space="preserve"> </w:t>
      </w:r>
      <w:r w:rsidRPr="00E723C8">
        <w:rPr>
          <w:b/>
          <w:u w:val="single"/>
        </w:rPr>
        <w:t>narratives</w:t>
      </w:r>
      <w:r w:rsidRPr="00E723C8">
        <w:t xml:space="preserve">. But, Chen writes, we have a lot to gain from “thinking more critically about whether these stories [are] true and, if so, what they might imply about how we connect sex and politics and power.” </w:t>
      </w:r>
      <w:r w:rsidRPr="00E723C8">
        <w:rPr>
          <w:u w:val="single"/>
        </w:rPr>
        <w:t>“Because sexual variation exists,” Chen continues, “</w:t>
      </w:r>
      <w:r w:rsidRPr="00F921B4">
        <w:rPr>
          <w:highlight w:val="green"/>
          <w:u w:val="single"/>
        </w:rPr>
        <w:t>there is</w:t>
      </w:r>
      <w:r w:rsidRPr="00F921B4">
        <w:rPr>
          <w:highlight w:val="green"/>
        </w:rPr>
        <w:t xml:space="preserve"> </w:t>
      </w:r>
      <w:r w:rsidRPr="00F921B4">
        <w:rPr>
          <w:b/>
          <w:highlight w:val="green"/>
          <w:u w:val="single"/>
        </w:rPr>
        <w:t>no universal vision</w:t>
      </w:r>
      <w:r w:rsidRPr="00F921B4">
        <w:rPr>
          <w:highlight w:val="green"/>
        </w:rPr>
        <w:t xml:space="preserve"> </w:t>
      </w:r>
      <w:r w:rsidRPr="00F921B4">
        <w:rPr>
          <w:b/>
          <w:highlight w:val="green"/>
          <w:u w:val="single"/>
        </w:rPr>
        <w:t>of</w:t>
      </w:r>
      <w:r w:rsidRPr="00F921B4">
        <w:rPr>
          <w:b/>
          <w:highlight w:val="green"/>
        </w:rPr>
        <w:t xml:space="preserve"> </w:t>
      </w:r>
      <w:r w:rsidRPr="00F921B4">
        <w:rPr>
          <w:b/>
          <w:highlight w:val="green"/>
          <w:u w:val="single"/>
        </w:rPr>
        <w:t xml:space="preserve">liberated </w:t>
      </w:r>
      <w:proofErr w:type="spellStart"/>
      <w:r w:rsidRPr="00F921B4">
        <w:rPr>
          <w:b/>
          <w:highlight w:val="green"/>
          <w:u w:val="single"/>
        </w:rPr>
        <w:t>sexuality</w:t>
      </w:r>
      <w:r w:rsidRPr="00E723C8">
        <w:rPr>
          <w:u w:val="single"/>
        </w:rPr>
        <w:t>.”</w:t>
      </w:r>
      <w:r w:rsidRPr="00E723C8">
        <w:t>The</w:t>
      </w:r>
      <w:proofErr w:type="spellEnd"/>
      <w:r w:rsidRPr="00E723C8">
        <w:t xml:space="preserve"> population of ace people is thought to hover around 1 percent, but, Chen writes, “because </w:t>
      </w:r>
      <w:r w:rsidRPr="00E723C8">
        <w:rPr>
          <w:u w:val="single"/>
        </w:rPr>
        <w:t>there are so many misconceptions about what it means to not experience sexual attraction and so few positive examples of aces in popular culture</w:t>
      </w:r>
      <w:r w:rsidRPr="00E723C8">
        <w:t xml:space="preserve">, I suspect the number may be much higher.” </w:t>
      </w:r>
      <w:r w:rsidRPr="00E723C8">
        <w:rPr>
          <w:u w:val="single"/>
        </w:rPr>
        <w:t>How can</w:t>
      </w:r>
      <w:r w:rsidRPr="00E723C8">
        <w:t xml:space="preserve"> </w:t>
      </w:r>
      <w:r w:rsidRPr="00E723C8">
        <w:rPr>
          <w:b/>
          <w:u w:val="single"/>
        </w:rPr>
        <w:t>asexuality</w:t>
      </w:r>
      <w:r w:rsidRPr="00E723C8">
        <w:rPr>
          <w:b/>
        </w:rPr>
        <w:t xml:space="preserve"> </w:t>
      </w:r>
      <w:r w:rsidRPr="00E723C8">
        <w:rPr>
          <w:u w:val="single"/>
        </w:rPr>
        <w:t xml:space="preserve">and </w:t>
      </w:r>
      <w:r w:rsidRPr="00F921B4">
        <w:rPr>
          <w:highlight w:val="green"/>
          <w:u w:val="single"/>
        </w:rPr>
        <w:t>the ace perspective</w:t>
      </w:r>
      <w:r w:rsidRPr="00F921B4">
        <w:rPr>
          <w:highlight w:val="green"/>
        </w:rPr>
        <w:t xml:space="preserve"> </w:t>
      </w:r>
      <w:r w:rsidRPr="00F921B4">
        <w:rPr>
          <w:b/>
          <w:highlight w:val="green"/>
          <w:u w:val="single"/>
        </w:rPr>
        <w:t>challenge</w:t>
      </w:r>
      <w:r w:rsidRPr="00E723C8">
        <w:rPr>
          <w:b/>
        </w:rPr>
        <w:t xml:space="preserve"> </w:t>
      </w:r>
      <w:r w:rsidRPr="00E723C8">
        <w:rPr>
          <w:u w:val="single"/>
        </w:rPr>
        <w:t>the</w:t>
      </w:r>
      <w:r w:rsidRPr="00E723C8">
        <w:t xml:space="preserve"> </w:t>
      </w:r>
      <w:r w:rsidRPr="00E723C8">
        <w:rPr>
          <w:b/>
          <w:u w:val="single"/>
        </w:rPr>
        <w:t>biases</w:t>
      </w:r>
      <w:r w:rsidRPr="00E723C8">
        <w:t xml:space="preserve"> </w:t>
      </w:r>
      <w:r w:rsidRPr="00E723C8">
        <w:rPr>
          <w:b/>
          <w:u w:val="single"/>
        </w:rPr>
        <w:t>of</w:t>
      </w:r>
      <w:r w:rsidRPr="00E723C8">
        <w:rPr>
          <w:b/>
        </w:rPr>
        <w:t xml:space="preserve"> </w:t>
      </w:r>
      <w:r w:rsidRPr="00F921B4">
        <w:rPr>
          <w:b/>
          <w:highlight w:val="green"/>
          <w:u w:val="single"/>
        </w:rPr>
        <w:t>compulsory sexuality</w:t>
      </w:r>
      <w:r w:rsidRPr="00E723C8">
        <w:t xml:space="preserve"> </w:t>
      </w:r>
      <w:r w:rsidRPr="00E723C8">
        <w:rPr>
          <w:u w:val="single"/>
        </w:rPr>
        <w:t>and</w:t>
      </w:r>
      <w:r w:rsidRPr="00E723C8">
        <w:t xml:space="preserve"> </w:t>
      </w:r>
      <w:r w:rsidRPr="00E723C8">
        <w:rPr>
          <w:u w:val="single"/>
        </w:rPr>
        <w:t>relationship hierarchies?</w:t>
      </w:r>
      <w:r w:rsidRPr="00E723C8">
        <w:t xml:space="preserve"> This is the central question of the book, and Chen expertly and beautifully nudges this discussion forward. For many, this will be an introduction to the concept, and there is a bit of 101 here, but it will also be a </w:t>
      </w:r>
      <w:proofErr w:type="spellStart"/>
      <w:r w:rsidRPr="00E723C8">
        <w:t>balm</w:t>
      </w:r>
      <w:proofErr w:type="spellEnd"/>
      <w:r w:rsidRPr="00E723C8">
        <w:t xml:space="preserve"> — and a learning experience — for aces. Chen writes about more expansive ideas of connection in a world that values romantic partnerships above all others. “</w:t>
      </w:r>
      <w:r w:rsidRPr="00E723C8">
        <w:rPr>
          <w:u w:val="single"/>
        </w:rPr>
        <w:t>The concept of sex</w:t>
      </w:r>
      <w:r w:rsidRPr="00E723C8">
        <w:t xml:space="preserve"> </w:t>
      </w:r>
      <w:r w:rsidRPr="00E723C8">
        <w:rPr>
          <w:u w:val="single"/>
        </w:rPr>
        <w:t>itself</w:t>
      </w:r>
      <w:r w:rsidRPr="00E723C8">
        <w:t xml:space="preserve"> </w:t>
      </w:r>
      <w:r w:rsidRPr="00E723C8">
        <w:rPr>
          <w:u w:val="single"/>
        </w:rPr>
        <w:t>is</w:t>
      </w:r>
      <w:r w:rsidRPr="00E723C8">
        <w:t xml:space="preserve"> </w:t>
      </w:r>
      <w:r w:rsidRPr="00E723C8">
        <w:rPr>
          <w:u w:val="single"/>
        </w:rPr>
        <w:t>constructed</w:t>
      </w:r>
      <w:r w:rsidRPr="00E723C8">
        <w:t xml:space="preserve">,” Chen writes. Ace people “interrogate the ways that these norms make our lives smaller,” and in so doing, “ask that all of us question our sexual beliefs and promise that doing so means that the world would be a better and freer place for everyone.” The relationships between someone who is ace and someone who is not, writes Chen, “like all relationships, take creativity, patience, and vulnerability, and require both partners to investigate and then violate the lessons we are taught about sex, to interrogate and reframe their own beliefs and desires and beliefs about desires.” Every person </w:t>
      </w:r>
      <w:proofErr w:type="gramStart"/>
      <w:r w:rsidRPr="00E723C8">
        <w:t>benefits</w:t>
      </w:r>
      <w:proofErr w:type="gramEnd"/>
      <w:r w:rsidRPr="00E723C8">
        <w:t xml:space="preserve"> from this kind of examination. “</w:t>
      </w:r>
      <w:r w:rsidRPr="00F921B4">
        <w:rPr>
          <w:b/>
          <w:highlight w:val="green"/>
          <w:u w:val="single"/>
        </w:rPr>
        <w:t>Ace” is a</w:t>
      </w:r>
      <w:r w:rsidRPr="00F921B4">
        <w:rPr>
          <w:b/>
          <w:highlight w:val="green"/>
        </w:rPr>
        <w:t xml:space="preserve"> </w:t>
      </w:r>
      <w:r w:rsidRPr="00F921B4">
        <w:rPr>
          <w:b/>
          <w:highlight w:val="green"/>
          <w:u w:val="single"/>
        </w:rPr>
        <w:t>fantastic starting point</w:t>
      </w:r>
      <w:r w:rsidRPr="00F921B4">
        <w:rPr>
          <w:b/>
          <w:highlight w:val="green"/>
        </w:rPr>
        <w:t xml:space="preserve"> </w:t>
      </w:r>
      <w:r w:rsidRPr="00F921B4">
        <w:rPr>
          <w:b/>
          <w:highlight w:val="green"/>
          <w:u w:val="single"/>
        </w:rPr>
        <w:t>for</w:t>
      </w:r>
      <w:r w:rsidRPr="00F921B4">
        <w:rPr>
          <w:b/>
          <w:highlight w:val="green"/>
        </w:rPr>
        <w:t xml:space="preserve"> </w:t>
      </w:r>
      <w:r w:rsidRPr="00F921B4">
        <w:rPr>
          <w:b/>
          <w:highlight w:val="green"/>
          <w:u w:val="single"/>
        </w:rPr>
        <w:t>dismantling harmful sexual narratives</w:t>
      </w:r>
      <w:r w:rsidRPr="00E723C8">
        <w:rPr>
          <w:b/>
        </w:rPr>
        <w:t xml:space="preserve"> </w:t>
      </w:r>
      <w:r w:rsidRPr="00E723C8">
        <w:rPr>
          <w:b/>
          <w:u w:val="single"/>
        </w:rPr>
        <w:t>and</w:t>
      </w:r>
      <w:r w:rsidRPr="00E723C8">
        <w:rPr>
          <w:b/>
        </w:rPr>
        <w:t xml:space="preserve"> </w:t>
      </w:r>
      <w:r w:rsidRPr="00E723C8">
        <w:rPr>
          <w:b/>
          <w:u w:val="single"/>
        </w:rPr>
        <w:t>reimagining human connection</w:t>
      </w:r>
      <w:r w:rsidRPr="00E723C8">
        <w:rPr>
          <w:b/>
        </w:rPr>
        <w:t xml:space="preserve"> </w:t>
      </w:r>
      <w:r w:rsidRPr="00E723C8">
        <w:rPr>
          <w:b/>
          <w:u w:val="single"/>
        </w:rPr>
        <w:t>as a</w:t>
      </w:r>
      <w:r w:rsidRPr="00E723C8">
        <w:t xml:space="preserve"> </w:t>
      </w:r>
      <w:r w:rsidRPr="00E723C8">
        <w:rPr>
          <w:b/>
          <w:u w:val="single"/>
        </w:rPr>
        <w:t>broader</w:t>
      </w:r>
      <w:r w:rsidRPr="00E723C8">
        <w:rPr>
          <w:u w:val="single"/>
        </w:rPr>
        <w:t>, more</w:t>
      </w:r>
      <w:r w:rsidRPr="00E723C8">
        <w:t xml:space="preserve"> </w:t>
      </w:r>
      <w:r w:rsidRPr="00E723C8">
        <w:rPr>
          <w:b/>
          <w:u w:val="single"/>
        </w:rPr>
        <w:t>equitable</w:t>
      </w:r>
      <w:r w:rsidRPr="00E723C8">
        <w:rPr>
          <w:u w:val="single"/>
        </w:rPr>
        <w:t>,</w:t>
      </w:r>
      <w:r w:rsidRPr="00E723C8">
        <w:t xml:space="preserve"> </w:t>
      </w:r>
      <w:r w:rsidRPr="00E723C8">
        <w:rPr>
          <w:b/>
          <w:u w:val="single"/>
        </w:rPr>
        <w:t>enjoyable</w:t>
      </w:r>
      <w:r w:rsidRPr="00E723C8">
        <w:rPr>
          <w:b/>
        </w:rPr>
        <w:t xml:space="preserve"> </w:t>
      </w:r>
      <w:r w:rsidRPr="00E723C8">
        <w:rPr>
          <w:b/>
          <w:u w:val="single"/>
        </w:rPr>
        <w:t>and free</w:t>
      </w:r>
      <w:r w:rsidRPr="00E723C8">
        <w:rPr>
          <w:b/>
        </w:rPr>
        <w:t xml:space="preserve"> </w:t>
      </w:r>
      <w:r w:rsidRPr="00E723C8">
        <w:rPr>
          <w:b/>
          <w:u w:val="single"/>
        </w:rPr>
        <w:t>experience</w:t>
      </w:r>
      <w:r w:rsidRPr="00E723C8">
        <w:t>.</w:t>
      </w:r>
    </w:p>
    <w:p w14:paraId="279411B9" w14:textId="77777777" w:rsidR="009A79C4" w:rsidRPr="00E723C8" w:rsidRDefault="009A79C4" w:rsidP="009A79C4">
      <w:pPr>
        <w:pStyle w:val="Heading4"/>
      </w:pPr>
      <w:r w:rsidRPr="00E723C8">
        <w:t>The impact is incel terrorism</w:t>
      </w:r>
    </w:p>
    <w:p w14:paraId="7678A764" w14:textId="77777777" w:rsidR="009A79C4" w:rsidRPr="00E723C8" w:rsidRDefault="009A79C4" w:rsidP="009A79C4">
      <w:r w:rsidRPr="00E723C8">
        <w:rPr>
          <w:rStyle w:val="Style13ptBold"/>
        </w:rPr>
        <w:t>Markiewicz</w:t>
      </w:r>
      <w:r w:rsidRPr="00E723C8">
        <w:t>, M. (</w:t>
      </w:r>
      <w:r w:rsidRPr="00E723C8">
        <w:rPr>
          <w:rStyle w:val="Style13ptBold"/>
        </w:rPr>
        <w:t>2024</w:t>
      </w:r>
      <w:r w:rsidRPr="00E723C8">
        <w:t xml:space="preserve">). Sexuality Is Over. Long Live Asexuality. Routledge eBooks, pp.11–22. </w:t>
      </w:r>
      <w:proofErr w:type="spellStart"/>
      <w:r w:rsidRPr="00E723C8">
        <w:t>doi:</w:t>
      </w:r>
      <w:hyperlink r:id="rId8" w:history="1">
        <w:r w:rsidRPr="00E723C8">
          <w:rPr>
            <w:rStyle w:val="Hyperlink"/>
          </w:rPr>
          <w:t>https</w:t>
        </w:r>
        <w:proofErr w:type="spellEnd"/>
        <w:r w:rsidRPr="00E723C8">
          <w:rPr>
            <w:rStyle w:val="Hyperlink"/>
          </w:rPr>
          <w:t>://doi.org/10.4324/9781003178798-3</w:t>
        </w:r>
      </w:hyperlink>
      <w:r w:rsidRPr="00E723C8">
        <w:t>. //SDPW</w:t>
      </w:r>
    </w:p>
    <w:p w14:paraId="0DBAA895" w14:textId="77777777" w:rsidR="009A79C4" w:rsidRPr="00F921B4" w:rsidRDefault="009A79C4" w:rsidP="009A79C4">
      <w:pPr>
        <w:rPr>
          <w:u w:val="single"/>
        </w:rPr>
      </w:pPr>
      <w:r w:rsidRPr="00E723C8">
        <w:t xml:space="preserve">Although there are clearly many things to celebrate that sprung from the sexual revolution, we hardly ever talk about its side effects, one of which was </w:t>
      </w:r>
      <w:r w:rsidRPr="00F921B4">
        <w:rPr>
          <w:b/>
          <w:highlight w:val="green"/>
          <w:u w:val="single"/>
        </w:rPr>
        <w:t>the capitalization of sex</w:t>
      </w:r>
      <w:r w:rsidRPr="00E723C8">
        <w:t xml:space="preserve">.21 As Paul Preciado acknowledges, sex nowadays </w:t>
      </w:r>
      <w:r w:rsidRPr="00F921B4">
        <w:rPr>
          <w:b/>
          <w:highlight w:val="green"/>
          <w:u w:val="single"/>
        </w:rPr>
        <w:t>mirrors production</w:t>
      </w:r>
      <w:r w:rsidRPr="00E723C8">
        <w:t xml:space="preserve">; it’s “the principal resource of post-Fordist capitalism.”22 The </w:t>
      </w:r>
      <w:proofErr w:type="spellStart"/>
      <w:r w:rsidRPr="00E723C8">
        <w:rPr>
          <w:b/>
          <w:u w:val="single"/>
        </w:rPr>
        <w:t>pharmacopornographic</w:t>
      </w:r>
      <w:proofErr w:type="spellEnd"/>
      <w:r w:rsidRPr="00E723C8">
        <w:rPr>
          <w:b/>
          <w:u w:val="single"/>
        </w:rPr>
        <w:t xml:space="preserve"> regime’s main industry is thus one of creating desire through providing subjects</w:t>
      </w:r>
      <w:r w:rsidRPr="00E723C8">
        <w:t xml:space="preserve"> with not only the need for, </w:t>
      </w:r>
      <w:r w:rsidRPr="00F921B4">
        <w:rPr>
          <w:b/>
          <w:highlight w:val="green"/>
          <w:u w:val="single"/>
        </w:rPr>
        <w:t>but also the right to sex</w:t>
      </w:r>
      <w:r w:rsidRPr="00E723C8">
        <w:rPr>
          <w:b/>
          <w:u w:val="single"/>
        </w:rPr>
        <w:t>.</w:t>
      </w:r>
      <w:r w:rsidRPr="00E723C8">
        <w:t xml:space="preserve"> Looking closely at the recent incel phenomenon storming through the United States, Casey Ryan Kelly and Chase </w:t>
      </w:r>
      <w:proofErr w:type="spellStart"/>
      <w:r w:rsidRPr="00E723C8">
        <w:t>Aunspach</w:t>
      </w:r>
      <w:proofErr w:type="spellEnd"/>
      <w:r w:rsidRPr="00E723C8">
        <w:t xml:space="preserve"> argue that </w:t>
      </w:r>
      <w:r w:rsidRPr="00F921B4">
        <w:rPr>
          <w:b/>
          <w:highlight w:val="green"/>
          <w:u w:val="single"/>
        </w:rPr>
        <w:t>incels do not suffer from repression</w:t>
      </w:r>
      <w:r w:rsidRPr="00E723C8">
        <w:t>, but “</w:t>
      </w:r>
      <w:r w:rsidRPr="00E723C8">
        <w:rPr>
          <w:b/>
          <w:u w:val="single"/>
        </w:rPr>
        <w:t>the liberationist imperative</w:t>
      </w:r>
      <w:r w:rsidRPr="00E723C8">
        <w:t xml:space="preserve"> that one must talk about, pursue, and enjoy sexual activity.”23 In 2014, 22-year-old Elliot Rodger killed 6 people, and injured 14 others, because he “could not get what he wanted” and what he deeply believed he was entitled to: an endless flow of sex from women.24 But this was not an isolated case: in 2009, George Sodini murdered 3 women and injured 9 others because of his </w:t>
      </w:r>
      <w:r w:rsidRPr="00E723C8">
        <w:rPr>
          <w:b/>
          <w:u w:val="single"/>
        </w:rPr>
        <w:t>apparent “sexual frustration</w:t>
      </w:r>
      <w:r w:rsidRPr="00E723C8">
        <w:t>”; in 2018, Alek Minassian killed 10 people and injured 16, applauding Rodger and proclaiming that “the Incel Rebellion has begun.”25 In 2021, 22-year-old Jake Davidson shot dead five people in Plymouth, England, lamenting his “lack of success on dating apps.” The victims included his mother and a three-year-old girl. At the time of writing this chapter,</w:t>
      </w:r>
      <w:r w:rsidRPr="00E723C8">
        <w:rPr>
          <w:b/>
          <w:u w:val="single"/>
        </w:rPr>
        <w:t xml:space="preserve"> </w:t>
      </w:r>
      <w:r w:rsidRPr="00F921B4">
        <w:rPr>
          <w:b/>
          <w:highlight w:val="green"/>
          <w:u w:val="single"/>
        </w:rPr>
        <w:t>incel attacks are no longer a one-off scenario but a growing threat</w:t>
      </w:r>
      <w:r w:rsidRPr="00E723C8">
        <w:t xml:space="preserve">, particularly in Western contexts: in 2022, the US Secret Service reported that </w:t>
      </w:r>
      <w:r w:rsidRPr="00F921B4">
        <w:rPr>
          <w:b/>
          <w:highlight w:val="green"/>
          <w:u w:val="single"/>
        </w:rPr>
        <w:t>incel terrorism will only continue to grow</w:t>
      </w:r>
      <w:r w:rsidRPr="00E723C8">
        <w:t>.26 Though those who access and contribute to dedicated incel forums worldwide are mainly white, middle-class men27—the links between incel ideology, right wing politics and white supremacism are palpable—the so-called “manosphere,” which fuels and facilitates the spreading of violent misogyny online, is on the rise no matter the geographical coordinates  Let’s stay with the numbers for a moment</w:t>
      </w:r>
      <w:r w:rsidRPr="00E723C8">
        <w:rPr>
          <w:u w:val="single"/>
        </w:rPr>
        <w:t>: In 2020, over 80,000 women and girls across the globe were killed by a man they knew29; in 2022, over 70,000 rapes were recorded in the United Kingdom alone, with one in two rapes being carried out by a partner or an ex-partner (and five in six rapes being unreported)</w:t>
      </w:r>
      <w:r w:rsidRPr="00E723C8">
        <w:t xml:space="preserve">30; in 2021, also in the United Kingdom, a survey conducted by UN Women revealed that 97% of young women have experienced some form of sexual harassment,31 and in 2020, an “anti-rough sex” campaign was launched as a response to the increasing number of women and girls killed and injured during sex; their stories speak for themselves.32 Considering these data, the growing disinterest with compulsory sex-positivity comes as no surprise: </w:t>
      </w:r>
      <w:r w:rsidRPr="00E723C8">
        <w:rPr>
          <w:b/>
          <w:u w:val="single"/>
        </w:rPr>
        <w:t>“sex-positivity is utterly out of vogue, both on the scholarly left and in culture at large</w:t>
      </w:r>
      <w:r w:rsidRPr="00E723C8">
        <w:t>.”33 Closely related to—or perhaps even fueled by—</w:t>
      </w:r>
      <w:r w:rsidRPr="00E723C8">
        <w:rPr>
          <w:b/>
          <w:u w:val="single"/>
        </w:rPr>
        <w:t xml:space="preserve">this </w:t>
      </w:r>
      <w:r w:rsidRPr="00F921B4">
        <w:rPr>
          <w:b/>
          <w:highlight w:val="green"/>
          <w:u w:val="single"/>
        </w:rPr>
        <w:t>rejection of compulsory sex-positivity is “</w:t>
      </w:r>
      <w:proofErr w:type="spellStart"/>
      <w:r w:rsidRPr="00F921B4">
        <w:rPr>
          <w:b/>
          <w:highlight w:val="green"/>
          <w:u w:val="single"/>
        </w:rPr>
        <w:t>heterofatalism</w:t>
      </w:r>
      <w:proofErr w:type="spellEnd"/>
      <w:r w:rsidRPr="00E723C8">
        <w:rPr>
          <w:b/>
          <w:u w:val="single"/>
        </w:rPr>
        <w:t>,</w:t>
      </w:r>
      <w:r w:rsidRPr="00E723C8">
        <w:t xml:space="preserve">” a term denoting straight women’s growing frustration with heterosex.34 Coined by Asa </w:t>
      </w:r>
      <w:proofErr w:type="spellStart"/>
      <w:r w:rsidRPr="00E723C8">
        <w:t>Seresin</w:t>
      </w:r>
      <w:proofErr w:type="spellEnd"/>
      <w:r w:rsidRPr="00E723C8">
        <w:t xml:space="preserve"> in 2019, “</w:t>
      </w:r>
      <w:proofErr w:type="spellStart"/>
      <w:r w:rsidRPr="00E723C8">
        <w:t>heterofatalism</w:t>
      </w:r>
      <w:proofErr w:type="spellEnd"/>
      <w:r w:rsidRPr="00E723C8">
        <w:t xml:space="preserve">” is yet another proof that the old world is dying and the new one cannot be born.35 As many feminist critics of the phenom </w:t>
      </w:r>
      <w:proofErr w:type="spellStart"/>
      <w:r w:rsidRPr="00E723C8">
        <w:t>enon</w:t>
      </w:r>
      <w:proofErr w:type="spellEnd"/>
      <w:r w:rsidRPr="00E723C8">
        <w:t xml:space="preserve"> point out, “</w:t>
      </w:r>
      <w:proofErr w:type="spellStart"/>
      <w:r w:rsidRPr="00E723C8">
        <w:t>heterofatalism</w:t>
      </w:r>
      <w:proofErr w:type="spellEnd"/>
      <w:r w:rsidRPr="00E723C8">
        <w:t xml:space="preserve">” is </w:t>
      </w:r>
      <w:r w:rsidRPr="00F921B4">
        <w:rPr>
          <w:b/>
          <w:highlight w:val="green"/>
          <w:u w:val="single"/>
        </w:rPr>
        <w:t xml:space="preserve">a dangerously superficial, performative disavowal of straightness: it’s more </w:t>
      </w:r>
      <w:proofErr w:type="spellStart"/>
      <w:r w:rsidRPr="00F921B4">
        <w:rPr>
          <w:b/>
          <w:highlight w:val="green"/>
          <w:u w:val="single"/>
        </w:rPr>
        <w:t>affective</w:t>
      </w:r>
      <w:proofErr w:type="spellEnd"/>
      <w:r w:rsidRPr="00F921B4">
        <w:rPr>
          <w:b/>
          <w:highlight w:val="green"/>
          <w:u w:val="single"/>
        </w:rPr>
        <w:t xml:space="preserve"> than effective</w:t>
      </w:r>
      <w:r w:rsidRPr="00E723C8">
        <w:t>, since it does not lead to changing the status quo, but only to reinforcing it.36 But does it really? Even if “</w:t>
      </w:r>
      <w:proofErr w:type="spellStart"/>
      <w:r w:rsidRPr="00E723C8">
        <w:t>heterofatalists</w:t>
      </w:r>
      <w:proofErr w:type="spellEnd"/>
      <w:r w:rsidRPr="00E723C8">
        <w:t xml:space="preserve">” won’t simply ditch everything and devote themselves to imagining intimacy differently, their </w:t>
      </w:r>
      <w:r w:rsidRPr="00E723C8">
        <w:rPr>
          <w:b/>
          <w:u w:val="single"/>
        </w:rPr>
        <w:t>performative dissatisfaction</w:t>
      </w:r>
      <w:r w:rsidRPr="00E723C8">
        <w:t xml:space="preserve"> with (hetero)sexuality </w:t>
      </w:r>
      <w:r w:rsidRPr="00E723C8">
        <w:rPr>
          <w:b/>
          <w:u w:val="single"/>
        </w:rPr>
        <w:t>is the first step</w:t>
      </w:r>
      <w:r w:rsidRPr="00E723C8">
        <w:rPr>
          <w:u w:val="single"/>
        </w:rPr>
        <w:t xml:space="preserve"> in doing so. Women have had enough—sex, as the seventies “sex-negative” feminists would have it, is indeed a battlefield</w:t>
      </w:r>
    </w:p>
    <w:p w14:paraId="4CE21C58" w14:textId="77777777" w:rsidR="009A79C4" w:rsidRPr="00E723C8" w:rsidRDefault="009A79C4" w:rsidP="009A79C4">
      <w:pPr>
        <w:pStyle w:val="Heading4"/>
      </w:pPr>
      <w:r w:rsidRPr="00E723C8">
        <w:t>Incel terrorism is unresolvable absent a disavowal of compulsory sexuality - masculinity threats are a unique conflict zone</w:t>
      </w:r>
    </w:p>
    <w:p w14:paraId="196628FF" w14:textId="77777777" w:rsidR="009A79C4" w:rsidRPr="00E723C8" w:rsidRDefault="009A79C4" w:rsidP="009A79C4">
      <w:r w:rsidRPr="00E723C8">
        <w:rPr>
          <w:rStyle w:val="Style13ptBold"/>
        </w:rPr>
        <w:t>Winer</w:t>
      </w:r>
      <w:r w:rsidRPr="00E723C8">
        <w:t>, C. (</w:t>
      </w:r>
      <w:r w:rsidRPr="00E723C8">
        <w:rPr>
          <w:rStyle w:val="Style13ptBold"/>
        </w:rPr>
        <w:t>2025</w:t>
      </w:r>
      <w:r w:rsidRPr="00E723C8">
        <w:t xml:space="preserve">). Sluts and </w:t>
      </w:r>
      <w:proofErr w:type="spellStart"/>
      <w:r w:rsidRPr="00E723C8">
        <w:t>Asexuals</w:t>
      </w:r>
      <w:proofErr w:type="spellEnd"/>
      <w:r w:rsidRPr="00E723C8">
        <w:t>, Unite! [online] Substack.com. Available at: https://substack.com/home/post/p-166481739?selection=b77feafe-876e-4690-b603-ba0e0d4421b1 //SDPW</w:t>
      </w:r>
    </w:p>
    <w:p w14:paraId="7F3F8DFB" w14:textId="77777777" w:rsidR="009A79C4" w:rsidRPr="00E723C8" w:rsidRDefault="009A79C4" w:rsidP="009A79C4">
      <w:r w:rsidRPr="00E723C8">
        <w:t xml:space="preserve">Research finds that sexual “conquest” of women plays a key role in normative </w:t>
      </w:r>
      <w:proofErr w:type="gramStart"/>
      <w:r w:rsidRPr="00E723C8">
        <w:t>hetero-masculinity</w:t>
      </w:r>
      <w:proofErr w:type="gramEnd"/>
      <w:r w:rsidRPr="00E723C8">
        <w:t xml:space="preserve">.4 Heterosexuality is thus deeply embedded in masculinity, while non- heterosexuality is often feminized and situated in opposition/tension with masculinity.5 </w:t>
      </w:r>
      <w:r w:rsidRPr="00F921B4">
        <w:rPr>
          <w:b/>
          <w:highlight w:val="green"/>
          <w:u w:val="single"/>
        </w:rPr>
        <w:t>Establishing normative masculinity is</w:t>
      </w:r>
      <w:r w:rsidRPr="00E723C8">
        <w:rPr>
          <w:b/>
          <w:u w:val="single"/>
        </w:rPr>
        <w:t>,</w:t>
      </w:r>
      <w:r w:rsidRPr="00E723C8">
        <w:t xml:space="preserve"> however, </w:t>
      </w:r>
      <w:r w:rsidRPr="00E723C8">
        <w:rPr>
          <w:b/>
          <w:u w:val="single"/>
        </w:rPr>
        <w:t>tenuous</w:t>
      </w:r>
      <w:r w:rsidRPr="00E723C8">
        <w:t xml:space="preserve">, and often involves regular maintenance. </w:t>
      </w:r>
      <w:r w:rsidRPr="00F921B4">
        <w:rPr>
          <w:b/>
          <w:highlight w:val="green"/>
          <w:u w:val="single"/>
        </w:rPr>
        <w:t>The concept of masculinity threat</w:t>
      </w:r>
      <w:r w:rsidRPr="00E723C8">
        <w:t xml:space="preserve">—used here to </w:t>
      </w:r>
      <w:r w:rsidRPr="00E723C8">
        <w:rPr>
          <w:u w:val="single"/>
        </w:rPr>
        <w:t>refer to</w:t>
      </w:r>
      <w:r w:rsidRPr="00E723C8">
        <w:t xml:space="preserve"> a situation in which an </w:t>
      </w:r>
      <w:r w:rsidRPr="00E723C8">
        <w:rPr>
          <w:u w:val="single"/>
        </w:rPr>
        <w:t>individual’s status as a man is called into question</w:t>
      </w:r>
      <w:r w:rsidRPr="00E723C8">
        <w:t xml:space="preserve">—brings this fragility into focus by high lighting manhood as a precarious social status rather than something ascribed to a biological category of people.6 Because it relies not simply on biological markers, manhood requires continual social proof and validation and is threatened by challenges to men’s masculine status. </w:t>
      </w:r>
      <w:r w:rsidRPr="00E723C8">
        <w:rPr>
          <w:u w:val="single"/>
        </w:rPr>
        <w:t xml:space="preserve">Heterosexuality’s centrality to </w:t>
      </w:r>
      <w:r w:rsidRPr="00F921B4">
        <w:rPr>
          <w:highlight w:val="green"/>
          <w:u w:val="single"/>
        </w:rPr>
        <w:t>performing normative masculinity suggests that asexuality itself</w:t>
      </w:r>
      <w:r w:rsidRPr="00E723C8">
        <w:rPr>
          <w:u w:val="single"/>
        </w:rPr>
        <w:t xml:space="preserve"> may be experienced as </w:t>
      </w:r>
      <w:r w:rsidRPr="00F921B4">
        <w:rPr>
          <w:highlight w:val="green"/>
          <w:u w:val="single"/>
        </w:rPr>
        <w:t>a form of masculinity threat</w:t>
      </w:r>
      <w:r w:rsidRPr="00E723C8">
        <w:rPr>
          <w:u w:val="single"/>
        </w:rPr>
        <w:t>.</w:t>
      </w:r>
      <w:r w:rsidRPr="00E723C8">
        <w:t xml:space="preserve"> </w:t>
      </w:r>
      <w:r w:rsidRPr="00F921B4">
        <w:rPr>
          <w:b/>
          <w:highlight w:val="green"/>
          <w:u w:val="single"/>
        </w:rPr>
        <w:t>Men react to masculinity threat in various ways. Violence and aggression</w:t>
      </w:r>
      <w:r w:rsidRPr="00E723C8">
        <w:t xml:space="preserve">—particularly </w:t>
      </w:r>
      <w:r w:rsidRPr="00F921B4">
        <w:rPr>
          <w:b/>
          <w:highlight w:val="green"/>
          <w:u w:val="single"/>
        </w:rPr>
        <w:t>toward women and LGBTQIA+ people</w:t>
      </w:r>
      <w:r w:rsidRPr="00E723C8">
        <w:t xml:space="preserve">—have both been found to result from the anxiety produced by masculinity threat.7 Research suggests that men whose masculine statuses are threatened might compensate by </w:t>
      </w:r>
      <w:r w:rsidRPr="00F921B4">
        <w:rPr>
          <w:b/>
          <w:highlight w:val="green"/>
          <w:u w:val="single"/>
        </w:rPr>
        <w:t>disavowing feminine preferences and embracing masculine attributes</w:t>
      </w:r>
      <w:r w:rsidRPr="00E723C8">
        <w:rPr>
          <w:b/>
          <w:u w:val="single"/>
        </w:rPr>
        <w:t>.</w:t>
      </w:r>
      <w:r w:rsidRPr="00E723C8">
        <w:t>8 Cheryan et al. also found that men deliberately fabricate information, such as height and number of sexual partners, in response to accusations of “inadequate” masculinity.9 Moreover, men do not primarily combat threats to their masculinity with assertions of masculine preferences but rather by distancing themselves from feminine, out-group preferences.10</w:t>
      </w:r>
    </w:p>
    <w:p w14:paraId="3D4365A1" w14:textId="77777777" w:rsidR="00D907E5" w:rsidRDefault="00D907E5"/>
    <w:sectPr w:rsidR="00D90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C4"/>
    <w:rsid w:val="00242899"/>
    <w:rsid w:val="003C7930"/>
    <w:rsid w:val="004117AA"/>
    <w:rsid w:val="006266A6"/>
    <w:rsid w:val="00840C41"/>
    <w:rsid w:val="009A79C4"/>
    <w:rsid w:val="00B23D79"/>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BF85"/>
  <w15:chartTrackingRefBased/>
  <w15:docId w15:val="{DD908BCD-87DE-47B7-AFC2-5277E40B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9C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A79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79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A79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9A79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9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A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79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9C4"/>
  </w:style>
  <w:style w:type="character" w:customStyle="1" w:styleId="Heading1Char">
    <w:name w:val="Heading 1 Char"/>
    <w:aliases w:val="Pocket Char"/>
    <w:basedOn w:val="DefaultParagraphFont"/>
    <w:link w:val="Heading1"/>
    <w:rsid w:val="009A79C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79C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A79C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A79C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A79C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C4"/>
    <w:rPr>
      <w:rFonts w:eastAsiaTheme="majorEastAsia" w:cstheme="majorBidi"/>
      <w:color w:val="272727" w:themeColor="text1" w:themeTint="D8"/>
    </w:rPr>
  </w:style>
  <w:style w:type="paragraph" w:styleId="Title">
    <w:name w:val="Title"/>
    <w:basedOn w:val="Normal"/>
    <w:next w:val="Normal"/>
    <w:link w:val="TitleChar"/>
    <w:uiPriority w:val="10"/>
    <w:qFormat/>
    <w:rsid w:val="009A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9C4"/>
    <w:pPr>
      <w:spacing w:before="160"/>
      <w:jc w:val="center"/>
    </w:pPr>
    <w:rPr>
      <w:i/>
      <w:iCs/>
      <w:color w:val="404040" w:themeColor="text1" w:themeTint="BF"/>
    </w:rPr>
  </w:style>
  <w:style w:type="character" w:customStyle="1" w:styleId="QuoteChar">
    <w:name w:val="Quote Char"/>
    <w:basedOn w:val="DefaultParagraphFont"/>
    <w:link w:val="Quote"/>
    <w:uiPriority w:val="29"/>
    <w:rsid w:val="009A79C4"/>
    <w:rPr>
      <w:i/>
      <w:iCs/>
      <w:color w:val="404040" w:themeColor="text1" w:themeTint="BF"/>
    </w:rPr>
  </w:style>
  <w:style w:type="paragraph" w:styleId="ListParagraph">
    <w:name w:val="List Paragraph"/>
    <w:basedOn w:val="Normal"/>
    <w:uiPriority w:val="34"/>
    <w:qFormat/>
    <w:rsid w:val="009A79C4"/>
    <w:pPr>
      <w:ind w:left="720"/>
      <w:contextualSpacing/>
    </w:pPr>
  </w:style>
  <w:style w:type="character" w:styleId="IntenseEmphasis">
    <w:name w:val="Intense Emphasis"/>
    <w:basedOn w:val="DefaultParagraphFont"/>
    <w:uiPriority w:val="21"/>
    <w:qFormat/>
    <w:rsid w:val="009A79C4"/>
    <w:rPr>
      <w:i/>
      <w:iCs/>
      <w:color w:val="0F4761" w:themeColor="accent1" w:themeShade="BF"/>
    </w:rPr>
  </w:style>
  <w:style w:type="paragraph" w:styleId="IntenseQuote">
    <w:name w:val="Intense Quote"/>
    <w:basedOn w:val="Normal"/>
    <w:next w:val="Normal"/>
    <w:link w:val="IntenseQuoteChar"/>
    <w:uiPriority w:val="30"/>
    <w:qFormat/>
    <w:rsid w:val="009A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C4"/>
    <w:rPr>
      <w:i/>
      <w:iCs/>
      <w:color w:val="0F4761" w:themeColor="accent1" w:themeShade="BF"/>
    </w:rPr>
  </w:style>
  <w:style w:type="character" w:styleId="IntenseReference">
    <w:name w:val="Intense Reference"/>
    <w:basedOn w:val="DefaultParagraphFont"/>
    <w:uiPriority w:val="32"/>
    <w:qFormat/>
    <w:rsid w:val="009A79C4"/>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9C4"/>
    <w:rPr>
      <w:b/>
      <w:bCs/>
      <w:sz w:val="26"/>
      <w:u w:val="none"/>
    </w:rPr>
  </w:style>
  <w:style w:type="character" w:styleId="Hyperlink">
    <w:name w:val="Hyperlink"/>
    <w:basedOn w:val="DefaultParagraphFont"/>
    <w:uiPriority w:val="99"/>
    <w:unhideWhenUsed/>
    <w:rsid w:val="009A79C4"/>
    <w:rPr>
      <w:color w:val="467886" w:themeColor="hyperlink"/>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9A79C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79C4"/>
    <w:rPr>
      <w:color w:val="auto"/>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9A79C4"/>
    <w:rPr>
      <w:b w:val="0"/>
      <w:sz w:val="22"/>
      <w:u w:val="single"/>
    </w:rPr>
  </w:style>
  <w:style w:type="character" w:styleId="Strong">
    <w:name w:val="Strong"/>
    <w:basedOn w:val="DefaultParagraphFont"/>
    <w:uiPriority w:val="22"/>
    <w:qFormat/>
    <w:rsid w:val="009A79C4"/>
    <w:rPr>
      <w:b/>
      <w:bCs/>
    </w:rPr>
  </w:style>
  <w:style w:type="character" w:styleId="BookTitle">
    <w:name w:val="Book Title"/>
    <w:basedOn w:val="DefaultParagraphFont"/>
    <w:uiPriority w:val="33"/>
    <w:qFormat/>
    <w:rsid w:val="009A79C4"/>
    <w:rPr>
      <w:b/>
      <w:bCs/>
      <w:i/>
      <w:iCs/>
      <w:spacing w:val="5"/>
    </w:rPr>
  </w:style>
  <w:style w:type="numbering" w:styleId="111111">
    <w:name w:val="Outline List 2"/>
    <w:basedOn w:val="NoList"/>
    <w:uiPriority w:val="99"/>
    <w:semiHidden/>
    <w:unhideWhenUsed/>
    <w:rsid w:val="009A79C4"/>
  </w:style>
  <w:style w:type="paragraph" w:styleId="Header">
    <w:name w:val="header"/>
    <w:basedOn w:val="Normal"/>
    <w:link w:val="HeaderChar"/>
    <w:uiPriority w:val="99"/>
    <w:semiHidden/>
    <w:rsid w:val="009A79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79C4"/>
    <w:rPr>
      <w:rFonts w:ascii="Calibri" w:hAnsi="Calibri" w:cs="Calibri"/>
      <w:kern w:val="0"/>
      <w:sz w:val="22"/>
      <w:szCs w:val="22"/>
      <w14:ligatures w14:val="none"/>
    </w:rPr>
  </w:style>
  <w:style w:type="paragraph" w:styleId="Footer">
    <w:name w:val="footer"/>
    <w:basedOn w:val="Normal"/>
    <w:link w:val="FooterChar"/>
    <w:uiPriority w:val="99"/>
    <w:semiHidden/>
    <w:rsid w:val="009A79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79C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A79C4"/>
    <w:pPr>
      <w:spacing w:after="120"/>
    </w:pPr>
  </w:style>
  <w:style w:type="character" w:customStyle="1" w:styleId="BodyTextChar">
    <w:name w:val="Body Text Char"/>
    <w:basedOn w:val="DefaultParagraphFont"/>
    <w:link w:val="BodyText"/>
    <w:uiPriority w:val="99"/>
    <w:semiHidden/>
    <w:rsid w:val="009A79C4"/>
    <w:rPr>
      <w:rFonts w:ascii="Calibri" w:hAnsi="Calibri" w:cs="Calibri"/>
      <w:kern w:val="0"/>
      <w:sz w:val="22"/>
      <w:szCs w:val="22"/>
      <w14:ligatures w14:val="none"/>
    </w:rPr>
  </w:style>
  <w:style w:type="paragraph" w:styleId="NoSpacing">
    <w:name w:val="No Spacing"/>
    <w:link w:val="NoSpacingChar"/>
    <w:uiPriority w:val="99"/>
    <w:unhideWhenUsed/>
    <w:qFormat/>
    <w:rsid w:val="009A79C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79C4"/>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9A79C4"/>
    <w:rPr>
      <w:color w:val="605E5C"/>
      <w:shd w:val="clear" w:color="auto" w:fill="E1DFDD"/>
    </w:rPr>
  </w:style>
  <w:style w:type="paragraph" w:customStyle="1" w:styleId="textbold">
    <w:name w:val="text bold"/>
    <w:basedOn w:val="Normal"/>
    <w:link w:val="Emphasis"/>
    <w:uiPriority w:val="8"/>
    <w:qFormat/>
    <w:rsid w:val="00242899"/>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003178798-3" TargetMode="External"/><Relationship Id="rId3" Type="http://schemas.openxmlformats.org/officeDocument/2006/relationships/settings" Target="settings.xml"/><Relationship Id="rId7" Type="http://schemas.openxmlformats.org/officeDocument/2006/relationships/hyperlink" Target="https://doi.org/10.1163/97890045067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nerstone.lib.mnsu.edu/cgi/viewcontent.cgi?article=2317&amp;context=etds" TargetMode="External"/><Relationship Id="rId5" Type="http://schemas.openxmlformats.org/officeDocument/2006/relationships/hyperlink" Target="https://doi.org/10.4324/9781003178798-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11536</Words>
  <Characters>65761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2025-11-02T15:01:00Z</dcterms:created>
  <dcterms:modified xsi:type="dcterms:W3CDTF">2025-11-02T15:01:00Z</dcterms:modified>
</cp:coreProperties>
</file>