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DD9B" w14:textId="718C0C7C" w:rsidR="00043739" w:rsidRDefault="00B46A4D" w:rsidP="00043739">
      <w:pPr>
        <w:pStyle w:val="Heading1"/>
      </w:pPr>
      <w:r>
        <w:t>1AC</w:t>
      </w:r>
    </w:p>
    <w:p w14:paraId="2D9A72B4" w14:textId="39DAAA63" w:rsidR="00043739" w:rsidRDefault="00AC4D9D" w:rsidP="00AC4D9D">
      <w:pPr>
        <w:pStyle w:val="Heading3"/>
      </w:pPr>
      <w:r>
        <w:t>1AC---</w:t>
      </w:r>
      <w:r w:rsidR="00043739">
        <w:t>Plan</w:t>
      </w:r>
    </w:p>
    <w:p w14:paraId="192F2315" w14:textId="77777777" w:rsidR="00043739" w:rsidRDefault="00043739" w:rsidP="00043739">
      <w:pPr>
        <w:pStyle w:val="Heading4"/>
      </w:pPr>
      <w:bookmarkStart w:id="0" w:name="_Hlk220589464"/>
      <w:r>
        <w:t>The United States Federal Government should substantially strengthen collective bargaining rights for workers by repealing the Labor Management Relations Act of 1947.</w:t>
      </w:r>
      <w:bookmarkEnd w:id="0"/>
    </w:p>
    <w:p w14:paraId="4E811399" w14:textId="77777777" w:rsidR="00F32C40" w:rsidRPr="00F32C40" w:rsidRDefault="00F32C40" w:rsidP="00F32C40"/>
    <w:p w14:paraId="77A47977" w14:textId="077BBB9F" w:rsidR="00F32C40" w:rsidRDefault="00023D20" w:rsidP="00E7348F">
      <w:pPr>
        <w:pStyle w:val="Heading3"/>
      </w:pPr>
      <w:r>
        <w:t>1AC---Solvency</w:t>
      </w:r>
    </w:p>
    <w:p w14:paraId="594C7D2E" w14:textId="3C39810D" w:rsidR="00733FFE" w:rsidRPr="00F32C40" w:rsidRDefault="00F32C40" w:rsidP="00733FFE">
      <w:pPr>
        <w:pStyle w:val="Heading4"/>
      </w:pPr>
      <w:r>
        <w:t xml:space="preserve">Repealing Taft-Hartley restores </w:t>
      </w:r>
      <w:r w:rsidRPr="005C6EB6">
        <w:t>political free spe</w:t>
      </w:r>
      <w:r w:rsidRPr="00F32C40">
        <w:t>ech</w:t>
      </w:r>
      <w:r>
        <w:t xml:space="preserve"> </w:t>
      </w:r>
      <w:r>
        <w:rPr>
          <w:u w:val="single"/>
        </w:rPr>
        <w:t>and</w:t>
      </w:r>
      <w:r>
        <w:t xml:space="preserve"> avoids</w:t>
      </w:r>
      <w:r w:rsidR="005C6EB6">
        <w:t xml:space="preserve"> </w:t>
      </w:r>
      <w:r w:rsidR="00D9140B">
        <w:t xml:space="preserve">a </w:t>
      </w:r>
      <w:r w:rsidR="00714570">
        <w:t>multitude</w:t>
      </w:r>
      <w:r w:rsidR="00D9140B">
        <w:t xml:space="preserve"> of channels of </w:t>
      </w:r>
      <w:r w:rsidR="005C6EB6">
        <w:t>third-party</w:t>
      </w:r>
      <w:r>
        <w:t xml:space="preserve"> retaliation</w:t>
      </w:r>
    </w:p>
    <w:p w14:paraId="666B241A" w14:textId="77777777" w:rsidR="00733FFE" w:rsidRDefault="00733FFE" w:rsidP="00733FFE">
      <w:r w:rsidRPr="00664FC5">
        <w:rPr>
          <w:rStyle w:val="Heading4Char"/>
        </w:rPr>
        <w:t>Carey 12/31/2025</w:t>
      </w:r>
      <w:r>
        <w:t xml:space="preserve"> [Ron, Political Strikes and Democratic Accountability: Reassessing Taft-Hartley </w:t>
      </w:r>
      <w:hyperlink r:id="rId8" w:history="1">
        <w:r w:rsidRPr="006C024C">
          <w:rPr>
            <w:rStyle w:val="Hyperlink"/>
          </w:rPr>
          <w:t>https://papers.ssrn.com/sol3/papers.cfm?abstract_id=6009095</w:t>
        </w:r>
      </w:hyperlink>
      <w:r>
        <w:t xml:space="preserve"> Accessed 1/29/2026DMW]</w:t>
      </w:r>
    </w:p>
    <w:p w14:paraId="3754E3D8" w14:textId="77777777" w:rsidR="00733FFE" w:rsidRPr="00664FC5" w:rsidRDefault="00733FFE" w:rsidP="00733FFE">
      <w:pPr>
        <w:rPr>
          <w:sz w:val="16"/>
        </w:rPr>
      </w:pPr>
      <w:r w:rsidRPr="00664FC5">
        <w:rPr>
          <w:sz w:val="16"/>
        </w:rPr>
        <w:t>III. Stare Decisis Now Shields an Entirely Segregated Constitutional</w:t>
      </w:r>
      <w:r>
        <w:rPr>
          <w:sz w:val="16"/>
        </w:rPr>
        <w:t xml:space="preserve"> </w:t>
      </w:r>
      <w:r w:rsidRPr="00664FC5">
        <w:rPr>
          <w:sz w:val="16"/>
        </w:rPr>
        <w:t>Regime</w:t>
      </w:r>
      <w:r>
        <w:rPr>
          <w:sz w:val="16"/>
        </w:rPr>
        <w:t xml:space="preserve"> </w:t>
      </w:r>
      <w:r w:rsidRPr="00664FC5">
        <w:rPr>
          <w:rStyle w:val="StyleUnderline"/>
        </w:rPr>
        <w:t>Because this misclassification occurred early and repeatedly, it now sits under the protective</w:t>
      </w:r>
      <w:r>
        <w:rPr>
          <w:rStyle w:val="StyleUnderline"/>
          <w:sz w:val="16"/>
          <w:u w:val="none"/>
        </w:rPr>
        <w:t xml:space="preserve"> </w:t>
      </w:r>
      <w:r w:rsidRPr="00664FC5">
        <w:rPr>
          <w:rStyle w:val="StyleUnderline"/>
        </w:rPr>
        <w:t xml:space="preserve">dome of stare decisis. The </w:t>
      </w:r>
      <w:r w:rsidRPr="004E1E55">
        <w:rPr>
          <w:rStyle w:val="StyleUnderline"/>
          <w:highlight w:val="yellow"/>
        </w:rPr>
        <w:t>labor cases rely on one another for the proposition that collective</w:t>
      </w:r>
      <w:r>
        <w:rPr>
          <w:rStyle w:val="StyleUnderline"/>
          <w:sz w:val="16"/>
          <w:u w:val="none"/>
        </w:rPr>
        <w:t xml:space="preserve"> </w:t>
      </w:r>
      <w:r w:rsidRPr="004E1E55">
        <w:rPr>
          <w:rStyle w:val="StyleUnderline"/>
          <w:highlight w:val="yellow"/>
        </w:rPr>
        <w:t>economic action by workers is “non-expressive,” even though that proposition is doctrinally</w:t>
      </w:r>
      <w:r>
        <w:rPr>
          <w:rStyle w:val="StyleUnderline"/>
          <w:sz w:val="16"/>
          <w:u w:val="none"/>
        </w:rPr>
        <w:t xml:space="preserve"> </w:t>
      </w:r>
      <w:r w:rsidRPr="004E1E55">
        <w:rPr>
          <w:rStyle w:val="StyleUnderline"/>
          <w:highlight w:val="yellow"/>
        </w:rPr>
        <w:t>incompatible with every other strand of First Amendment jurisprudence</w:t>
      </w:r>
      <w:r w:rsidRPr="00664FC5">
        <w:rPr>
          <w:sz w:val="16"/>
        </w:rPr>
        <w:t>.57</w:t>
      </w:r>
    </w:p>
    <w:p w14:paraId="4EB5AC9C" w14:textId="77777777" w:rsidR="00733FFE" w:rsidRPr="00664FC5" w:rsidRDefault="00733FFE" w:rsidP="00733FFE">
      <w:pPr>
        <w:rPr>
          <w:sz w:val="16"/>
        </w:rPr>
      </w:pPr>
      <w:r w:rsidRPr="004E1E55">
        <w:rPr>
          <w:rStyle w:val="StyleUnderline"/>
          <w:highlight w:val="yellow"/>
        </w:rPr>
        <w:t>Overturning one case would not resolve the problem</w:t>
      </w:r>
      <w:r w:rsidRPr="00664FC5">
        <w:rPr>
          <w:sz w:val="16"/>
        </w:rPr>
        <w:t>. Correcting the error would require</w:t>
      </w:r>
    </w:p>
    <w:p w14:paraId="2AABC007" w14:textId="77777777" w:rsidR="00733FFE" w:rsidRPr="00664FC5" w:rsidRDefault="00733FFE" w:rsidP="00733FFE">
      <w:pPr>
        <w:rPr>
          <w:sz w:val="16"/>
        </w:rPr>
      </w:pPr>
      <w:r w:rsidRPr="00664FC5">
        <w:rPr>
          <w:sz w:val="16"/>
        </w:rPr>
        <w:t>dismantling:</w:t>
      </w:r>
    </w:p>
    <w:p w14:paraId="19F2A0D7" w14:textId="77777777" w:rsidR="00733FFE" w:rsidRPr="00664FC5" w:rsidRDefault="00733FFE" w:rsidP="00733FFE">
      <w:pPr>
        <w:rPr>
          <w:sz w:val="16"/>
        </w:rPr>
      </w:pPr>
      <w:r w:rsidRPr="00664FC5">
        <w:rPr>
          <w:sz w:val="16"/>
        </w:rPr>
        <w:t> Giboney v. Empire Storage</w:t>
      </w:r>
    </w:p>
    <w:p w14:paraId="0C1118D9" w14:textId="77777777" w:rsidR="00733FFE" w:rsidRPr="00664FC5" w:rsidRDefault="00733FFE" w:rsidP="00733FFE">
      <w:pPr>
        <w:rPr>
          <w:sz w:val="16"/>
        </w:rPr>
      </w:pPr>
      <w:r w:rsidRPr="00664FC5">
        <w:rPr>
          <w:sz w:val="16"/>
        </w:rPr>
        <w:t> Teamsters v. Vogt</w:t>
      </w:r>
    </w:p>
    <w:p w14:paraId="06F2EDEA" w14:textId="77777777" w:rsidR="00733FFE" w:rsidRPr="00664FC5" w:rsidRDefault="00733FFE" w:rsidP="00733FFE">
      <w:pPr>
        <w:rPr>
          <w:sz w:val="16"/>
        </w:rPr>
      </w:pPr>
      <w:r w:rsidRPr="00664FC5">
        <w:rPr>
          <w:sz w:val="16"/>
        </w:rPr>
        <w:t> NLRB v. Retail Store Employees</w:t>
      </w:r>
    </w:p>
    <w:p w14:paraId="309DDC83" w14:textId="77777777" w:rsidR="00733FFE" w:rsidRPr="00664FC5" w:rsidRDefault="00733FFE" w:rsidP="00733FFE">
      <w:pPr>
        <w:rPr>
          <w:sz w:val="16"/>
        </w:rPr>
      </w:pPr>
      <w:r w:rsidRPr="00664FC5">
        <w:rPr>
          <w:sz w:val="16"/>
        </w:rPr>
        <w:t> International Longshoremen’s Ass’n v. Allied International</w:t>
      </w:r>
    </w:p>
    <w:p w14:paraId="33215167" w14:textId="77777777" w:rsidR="00733FFE" w:rsidRPr="00664FC5" w:rsidRDefault="00733FFE" w:rsidP="00733FFE">
      <w:pPr>
        <w:rPr>
          <w:sz w:val="16"/>
        </w:rPr>
      </w:pPr>
      <w:r w:rsidRPr="00664FC5">
        <w:rPr>
          <w:sz w:val="16"/>
        </w:rPr>
        <w:t> And numerous NLRB interpretations embedded in federal labor law58</w:t>
      </w:r>
    </w:p>
    <w:p w14:paraId="203C9EA8" w14:textId="77777777" w:rsidR="00733FFE" w:rsidRPr="007D034F" w:rsidRDefault="00733FFE" w:rsidP="00733FFE">
      <w:pPr>
        <w:rPr>
          <w:highlight w:val="yellow"/>
          <w:u w:val="single"/>
        </w:rPr>
      </w:pPr>
      <w:r w:rsidRPr="00664FC5">
        <w:rPr>
          <w:rStyle w:val="StyleUnderline"/>
        </w:rPr>
        <w:t>This is precisely what makes the problem “insurmountable</w:t>
      </w:r>
      <w:r w:rsidRPr="00664FC5">
        <w:rPr>
          <w:sz w:val="16"/>
        </w:rPr>
        <w:t xml:space="preserve">” in a stare decisis sense: </w:t>
      </w:r>
      <w:r w:rsidRPr="004E1E55">
        <w:rPr>
          <w:rStyle w:val="StyleUnderline"/>
          <w:highlight w:val="yellow"/>
        </w:rPr>
        <w:t>the Court</w:t>
      </w:r>
      <w:r>
        <w:rPr>
          <w:rStyle w:val="StyleUnderline"/>
          <w:highlight w:val="yellow"/>
        </w:rPr>
        <w:t xml:space="preserve"> </w:t>
      </w:r>
      <w:r w:rsidRPr="004E1E55">
        <w:rPr>
          <w:rStyle w:val="StyleUnderline"/>
          <w:highlight w:val="yellow"/>
        </w:rPr>
        <w:t>would have to unwind an entire doctrinal universe—not just a dozen anomalous holdings, but</w:t>
      </w:r>
      <w:r>
        <w:rPr>
          <w:rStyle w:val="StyleUnderline"/>
          <w:highlight w:val="yellow"/>
        </w:rPr>
        <w:t xml:space="preserve"> </w:t>
      </w:r>
      <w:r w:rsidRPr="004E1E55">
        <w:rPr>
          <w:rStyle w:val="StyleUnderline"/>
          <w:highlight w:val="yellow"/>
        </w:rPr>
        <w:t>the conceptual foundation that has defined labor expression</w:t>
      </w:r>
      <w:r w:rsidRPr="00664FC5">
        <w:rPr>
          <w:rStyle w:val="StyleUnderline"/>
        </w:rPr>
        <w:t xml:space="preserve"> as non-speech </w:t>
      </w:r>
      <w:r w:rsidRPr="004E1E55">
        <w:rPr>
          <w:rStyle w:val="StyleUnderline"/>
          <w:highlight w:val="yellow"/>
        </w:rPr>
        <w:t xml:space="preserve">for nearly </w:t>
      </w:r>
      <w:r w:rsidRPr="00664FC5">
        <w:rPr>
          <w:rStyle w:val="StyleUnderline"/>
        </w:rPr>
        <w:t>a</w:t>
      </w:r>
      <w:r>
        <w:rPr>
          <w:rStyle w:val="StyleUnderline"/>
          <w:highlight w:val="yellow"/>
        </w:rPr>
        <w:t xml:space="preserve"> </w:t>
      </w:r>
      <w:r w:rsidRPr="004E1E55">
        <w:rPr>
          <w:rStyle w:val="StyleUnderline"/>
          <w:highlight w:val="yellow"/>
        </w:rPr>
        <w:t>century.</w:t>
      </w:r>
      <w:r>
        <w:rPr>
          <w:rStyle w:val="StyleUnderline"/>
        </w:rPr>
        <w:t xml:space="preserve"> </w:t>
      </w:r>
      <w:r w:rsidRPr="00664FC5">
        <w:rPr>
          <w:sz w:val="16"/>
        </w:rPr>
        <w:t>IV. Janus and Citizens United Create Doctrinal Pressure the Silo Cannot</w:t>
      </w:r>
      <w:r>
        <w:rPr>
          <w:sz w:val="16"/>
        </w:rPr>
        <w:t xml:space="preserve"> </w:t>
      </w:r>
      <w:r w:rsidRPr="00664FC5">
        <w:rPr>
          <w:sz w:val="16"/>
        </w:rPr>
        <w:t>Withstand</w:t>
      </w:r>
      <w:r>
        <w:rPr>
          <w:u w:val="single"/>
        </w:rPr>
        <w:t xml:space="preserve"> </w:t>
      </w:r>
      <w:r w:rsidRPr="00664FC5">
        <w:rPr>
          <w:sz w:val="16"/>
        </w:rPr>
        <w:t xml:space="preserve">For decades, </w:t>
      </w:r>
      <w:r w:rsidRPr="00664FC5">
        <w:rPr>
          <w:rStyle w:val="StyleUnderline"/>
        </w:rPr>
        <w:t>the Court’s labor-speech exclusion survived because the First Amendment</w:t>
      </w:r>
      <w:r>
        <w:rPr>
          <w:rStyle w:val="StyleUnderline"/>
        </w:rPr>
        <w:t xml:space="preserve"> </w:t>
      </w:r>
      <w:r w:rsidRPr="00664FC5">
        <w:rPr>
          <w:rStyle w:val="StyleUnderline"/>
        </w:rPr>
        <w:t>doctrines developing outside the silo did not require direct confrontation. But Janus and</w:t>
      </w:r>
      <w:r>
        <w:rPr>
          <w:rStyle w:val="StyleUnderline"/>
        </w:rPr>
        <w:t xml:space="preserve"> </w:t>
      </w:r>
      <w:r w:rsidRPr="00664FC5">
        <w:rPr>
          <w:rStyle w:val="StyleUnderline"/>
        </w:rPr>
        <w:t>Citizens United make the misclassification impossible to maintain.</w:t>
      </w:r>
      <w:r>
        <w:rPr>
          <w:rStyle w:val="StyleUnderline"/>
        </w:rPr>
        <w:t xml:space="preserve"> </w:t>
      </w:r>
      <w:r w:rsidRPr="00664FC5">
        <w:rPr>
          <w:sz w:val="16"/>
        </w:rPr>
        <w:t>Janus holds that all union activity is inherently political.59</w:t>
      </w:r>
      <w:r>
        <w:rPr>
          <w:u w:val="single"/>
        </w:rPr>
        <w:t xml:space="preserve"> </w:t>
      </w:r>
      <w:r w:rsidRPr="00664FC5">
        <w:rPr>
          <w:sz w:val="16"/>
        </w:rPr>
        <w:t>Citizens United grants full expressive rights to corporations60—entities that lack democratic</w:t>
      </w:r>
      <w:r>
        <w:rPr>
          <w:u w:val="single"/>
        </w:rPr>
        <w:t xml:space="preserve"> </w:t>
      </w:r>
      <w:r w:rsidRPr="00664FC5">
        <w:rPr>
          <w:sz w:val="16"/>
        </w:rPr>
        <w:t>governance, have no associational identity, and impose compelled speech on shareholders.</w:t>
      </w:r>
      <w:r>
        <w:rPr>
          <w:u w:val="single"/>
        </w:rPr>
        <w:t xml:space="preserve"> </w:t>
      </w:r>
      <w:r w:rsidRPr="00664FC5">
        <w:rPr>
          <w:rStyle w:val="StyleUnderline"/>
        </w:rPr>
        <w:t>The Court has thus produced a doctrinal impossibility:</w:t>
      </w:r>
      <w:r>
        <w:rPr>
          <w:rStyle w:val="StyleUnderline"/>
        </w:rPr>
        <w:t xml:space="preserve"> </w:t>
      </w:r>
      <w:r w:rsidRPr="00664FC5">
        <w:rPr>
          <w:rStyle w:val="StyleUnderline"/>
        </w:rPr>
        <w:t>Unions are political actors with no political speech rights</w:t>
      </w:r>
      <w:r w:rsidRPr="00664FC5">
        <w:rPr>
          <w:sz w:val="16"/>
        </w:rPr>
        <w:t>;</w:t>
      </w:r>
      <w:r>
        <w:rPr>
          <w:u w:val="single"/>
        </w:rPr>
        <w:t xml:space="preserve"> </w:t>
      </w:r>
      <w:r w:rsidRPr="00664FC5">
        <w:rPr>
          <w:sz w:val="16"/>
        </w:rPr>
        <w:t>Corporations are non-political associations with unlimited political speech rights.</w:t>
      </w:r>
      <w:r>
        <w:rPr>
          <w:u w:val="single"/>
        </w:rPr>
        <w:t xml:space="preserve"> </w:t>
      </w:r>
      <w:r w:rsidRPr="00664FC5">
        <w:rPr>
          <w:rStyle w:val="StyleUnderline"/>
        </w:rPr>
        <w:t>This is not incoherence—it is parallel constitutionalism: one First Amendment for capital,</w:t>
      </w:r>
      <w:r>
        <w:rPr>
          <w:rStyle w:val="StyleUnderline"/>
        </w:rPr>
        <w:t xml:space="preserve"> </w:t>
      </w:r>
      <w:r w:rsidRPr="00664FC5">
        <w:rPr>
          <w:rStyle w:val="StyleUnderline"/>
        </w:rPr>
        <w:t>another for labor.</w:t>
      </w:r>
      <w:r w:rsidRPr="00664FC5">
        <w:rPr>
          <w:sz w:val="16"/>
        </w:rPr>
        <w:t>61</w:t>
      </w:r>
    </w:p>
    <w:p w14:paraId="509F5C63" w14:textId="77777777" w:rsidR="00733FFE" w:rsidRPr="007D034F" w:rsidRDefault="00733FFE" w:rsidP="00733FFE">
      <w:pPr>
        <w:rPr>
          <w:rStyle w:val="Emphasis"/>
          <w:b w:val="0"/>
          <w:iCs w:val="0"/>
          <w:sz w:val="16"/>
          <w:u w:val="none"/>
        </w:rPr>
      </w:pPr>
      <w:r w:rsidRPr="00664FC5">
        <w:rPr>
          <w:sz w:val="16"/>
        </w:rPr>
        <w:t>V. Taft–Hartley Survives Only Because of This Exclusionary Regime</w:t>
      </w:r>
      <w:r>
        <w:rPr>
          <w:sz w:val="16"/>
        </w:rPr>
        <w:t xml:space="preserve"> </w:t>
      </w:r>
      <w:r w:rsidRPr="004E1E55">
        <w:rPr>
          <w:rStyle w:val="Emphasis"/>
          <w:highlight w:val="yellow"/>
        </w:rPr>
        <w:t>Taft–Hartley’s prohibitions on political strikes, secondary boycotts, and solidarity actions</w:t>
      </w:r>
      <w:r>
        <w:rPr>
          <w:rStyle w:val="Emphasis"/>
          <w:b w:val="0"/>
          <w:iCs w:val="0"/>
          <w:sz w:val="16"/>
          <w:u w:val="none"/>
        </w:rPr>
        <w:t xml:space="preserve"> </w:t>
      </w:r>
      <w:r w:rsidRPr="004E1E55">
        <w:rPr>
          <w:rStyle w:val="Emphasis"/>
          <w:highlight w:val="yellow"/>
        </w:rPr>
        <w:t>violate every modern First Amendment standard</w:t>
      </w:r>
      <w:r w:rsidRPr="00664FC5">
        <w:rPr>
          <w:rStyle w:val="Emphasis"/>
        </w:rPr>
        <w:t>—expressive conduct, political association,</w:t>
      </w:r>
      <w:r>
        <w:rPr>
          <w:rStyle w:val="Emphasis"/>
          <w:b w:val="0"/>
          <w:iCs w:val="0"/>
          <w:sz w:val="16"/>
          <w:u w:val="none"/>
        </w:rPr>
        <w:t xml:space="preserve"> </w:t>
      </w:r>
      <w:r w:rsidRPr="00664FC5">
        <w:rPr>
          <w:rStyle w:val="Emphasis"/>
        </w:rPr>
        <w:t>symbolic disruption, collective advocacy—</w:t>
      </w:r>
      <w:r w:rsidRPr="004E1E55">
        <w:rPr>
          <w:rStyle w:val="Emphasis"/>
          <w:highlight w:val="yellow"/>
        </w:rPr>
        <w:t>except the one that applies to unions</w:t>
      </w:r>
      <w:r w:rsidRPr="00664FC5">
        <w:rPr>
          <w:sz w:val="16"/>
        </w:rPr>
        <w:t xml:space="preserve">. </w:t>
      </w:r>
      <w:r w:rsidRPr="00664FC5">
        <w:rPr>
          <w:rStyle w:val="Emphasis"/>
        </w:rPr>
        <w:t>The Act’s</w:t>
      </w:r>
      <w:r>
        <w:rPr>
          <w:rStyle w:val="Emphasis"/>
          <w:b w:val="0"/>
          <w:iCs w:val="0"/>
          <w:sz w:val="16"/>
          <w:u w:val="none"/>
        </w:rPr>
        <w:t xml:space="preserve"> </w:t>
      </w:r>
      <w:r w:rsidRPr="00664FC5">
        <w:rPr>
          <w:rStyle w:val="Emphasis"/>
        </w:rPr>
        <w:t>survival depends on the continued enforcement of a doctrinal silo that treats labor as uniquely</w:t>
      </w:r>
      <w:r>
        <w:rPr>
          <w:rStyle w:val="Emphasis"/>
          <w:b w:val="0"/>
          <w:iCs w:val="0"/>
          <w:sz w:val="16"/>
          <w:u w:val="none"/>
        </w:rPr>
        <w:t xml:space="preserve"> </w:t>
      </w:r>
      <w:r w:rsidRPr="00664FC5">
        <w:rPr>
          <w:rStyle w:val="Emphasis"/>
        </w:rPr>
        <w:t>unworthy of constitutional protection.</w:t>
      </w:r>
      <w:r>
        <w:rPr>
          <w:rStyle w:val="Emphasis"/>
          <w:b w:val="0"/>
          <w:iCs w:val="0"/>
          <w:sz w:val="16"/>
          <w:u w:val="none"/>
        </w:rPr>
        <w:t xml:space="preserve"> </w:t>
      </w:r>
      <w:r w:rsidRPr="004E1E55">
        <w:rPr>
          <w:rStyle w:val="Emphasis"/>
          <w:highlight w:val="yellow"/>
        </w:rPr>
        <w:t>The stare decisis trap is therefore not merely doctrinal—it is structural. The Court cannot</w:t>
      </w:r>
      <w:r>
        <w:rPr>
          <w:rStyle w:val="Emphasis"/>
          <w:b w:val="0"/>
          <w:iCs w:val="0"/>
          <w:sz w:val="16"/>
          <w:u w:val="none"/>
        </w:rPr>
        <w:t xml:space="preserve"> </w:t>
      </w:r>
      <w:r w:rsidRPr="004E1E55">
        <w:rPr>
          <w:rStyle w:val="Emphasis"/>
          <w:highlight w:val="yellow"/>
        </w:rPr>
        <w:t>preserve Taft–Hartley without preserving a jurisprudential architecture that is irreconcilable</w:t>
      </w:r>
      <w:r>
        <w:rPr>
          <w:rStyle w:val="Emphasis"/>
          <w:b w:val="0"/>
          <w:iCs w:val="0"/>
          <w:sz w:val="16"/>
          <w:u w:val="none"/>
        </w:rPr>
        <w:t xml:space="preserve"> </w:t>
      </w:r>
      <w:r w:rsidRPr="004E1E55">
        <w:rPr>
          <w:rStyle w:val="Emphasis"/>
          <w:highlight w:val="yellow"/>
        </w:rPr>
        <w:t>with its own First Amendment commitments everywhere else</w:t>
      </w:r>
      <w:r w:rsidRPr="004E1E55">
        <w:rPr>
          <w:sz w:val="16"/>
          <w:highlight w:val="yellow"/>
        </w:rPr>
        <w:t>.</w:t>
      </w:r>
      <w:r>
        <w:rPr>
          <w:sz w:val="16"/>
        </w:rPr>
        <w:t xml:space="preserve"> </w:t>
      </w:r>
      <w:r w:rsidRPr="00664FC5">
        <w:rPr>
          <w:sz w:val="16"/>
        </w:rPr>
        <w:t>Conclusion: Restoring Constitutional Coherence</w:t>
      </w:r>
      <w:r>
        <w:rPr>
          <w:sz w:val="16"/>
        </w:rPr>
        <w:t xml:space="preserve"> </w:t>
      </w:r>
      <w:r w:rsidRPr="00664FC5">
        <w:rPr>
          <w:sz w:val="16"/>
        </w:rPr>
        <w:t xml:space="preserve">For more than seventy five years, </w:t>
      </w:r>
      <w:r w:rsidRPr="00664FC5">
        <w:rPr>
          <w:rStyle w:val="Emphasis"/>
        </w:rPr>
        <w:t>labor’s First Amendment rights have been siloed behind a</w:t>
      </w:r>
      <w:r>
        <w:rPr>
          <w:rStyle w:val="Emphasis"/>
          <w:b w:val="0"/>
          <w:iCs w:val="0"/>
          <w:sz w:val="16"/>
          <w:u w:val="none"/>
        </w:rPr>
        <w:t xml:space="preserve"> </w:t>
      </w:r>
      <w:r w:rsidRPr="00664FC5">
        <w:rPr>
          <w:rStyle w:val="Emphasis"/>
        </w:rPr>
        <w:t>wall of stare decisis. Beginning with Taft-Hartley’s prohibitions on secondary boycotts and</w:t>
      </w:r>
      <w:r>
        <w:rPr>
          <w:rStyle w:val="Emphasis"/>
        </w:rPr>
        <w:t xml:space="preserve"> </w:t>
      </w:r>
      <w:r w:rsidRPr="00664FC5">
        <w:rPr>
          <w:rStyle w:val="Emphasis"/>
        </w:rPr>
        <w:t>political strikes, and calcified through cases that misclassified collective economic action as</w:t>
      </w:r>
      <w:r>
        <w:rPr>
          <w:rStyle w:val="Emphasis"/>
          <w:b w:val="0"/>
          <w:iCs w:val="0"/>
          <w:sz w:val="16"/>
          <w:u w:val="none"/>
        </w:rPr>
        <w:t xml:space="preserve"> </w:t>
      </w:r>
      <w:r w:rsidRPr="00664FC5">
        <w:rPr>
          <w:rStyle w:val="Emphasis"/>
        </w:rPr>
        <w:t>“mere coercion,” the Court has cordoned unions off from doctrines it applies everywhere else</w:t>
      </w:r>
      <w:r w:rsidRPr="00664FC5">
        <w:rPr>
          <w:sz w:val="16"/>
        </w:rPr>
        <w:t>.</w:t>
      </w:r>
      <w:r>
        <w:rPr>
          <w:sz w:val="16"/>
        </w:rPr>
        <w:t xml:space="preserve"> </w:t>
      </w:r>
      <w:r w:rsidRPr="00664FC5">
        <w:rPr>
          <w:sz w:val="16"/>
        </w:rPr>
        <w:t xml:space="preserve">Meanwhile, </w:t>
      </w:r>
      <w:r w:rsidRPr="00664FC5">
        <w:rPr>
          <w:rStyle w:val="StyleUnderline"/>
        </w:rPr>
        <w:t>corporate speech rights have expanded without limit, transforming managerial</w:t>
      </w:r>
      <w:r>
        <w:rPr>
          <w:rStyle w:val="StyleUnderline"/>
          <w:sz w:val="16"/>
          <w:u w:val="none"/>
        </w:rPr>
        <w:t xml:space="preserve"> </w:t>
      </w:r>
      <w:r w:rsidRPr="00664FC5">
        <w:rPr>
          <w:rStyle w:val="StyleUnderline"/>
        </w:rPr>
        <w:t>hierarchies into the most powerful political actors</w:t>
      </w:r>
      <w:r w:rsidRPr="00664FC5">
        <w:rPr>
          <w:sz w:val="16"/>
        </w:rPr>
        <w:t xml:space="preserve"> in American life. </w:t>
      </w:r>
      <w:r w:rsidRPr="004E1E55">
        <w:rPr>
          <w:rStyle w:val="Emphasis"/>
          <w:highlight w:val="yellow"/>
        </w:rPr>
        <w:t>The result is a</w:t>
      </w:r>
      <w:r>
        <w:rPr>
          <w:rStyle w:val="Emphasis"/>
          <w:b w:val="0"/>
          <w:iCs w:val="0"/>
          <w:sz w:val="16"/>
          <w:u w:val="none"/>
        </w:rPr>
        <w:t xml:space="preserve"> </w:t>
      </w:r>
      <w:r w:rsidRPr="004E1E55">
        <w:rPr>
          <w:rStyle w:val="Emphasis"/>
          <w:highlight w:val="yellow"/>
        </w:rPr>
        <w:t>constitutional distortion</w:t>
      </w:r>
      <w:r w:rsidRPr="00664FC5">
        <w:rPr>
          <w:rStyle w:val="Emphasis"/>
        </w:rPr>
        <w:t xml:space="preserve">: </w:t>
      </w:r>
      <w:r w:rsidRPr="004E1E55">
        <w:rPr>
          <w:rStyle w:val="Emphasis"/>
          <w:highlight w:val="yellow"/>
        </w:rPr>
        <w:t>unions</w:t>
      </w:r>
      <w:r w:rsidRPr="00664FC5">
        <w:rPr>
          <w:rStyle w:val="Emphasis"/>
        </w:rPr>
        <w:t>, the only democratically governed economic associations of</w:t>
      </w:r>
      <w:r>
        <w:rPr>
          <w:rStyle w:val="Emphasis"/>
          <w:b w:val="0"/>
          <w:iCs w:val="0"/>
          <w:sz w:val="16"/>
          <w:u w:val="none"/>
        </w:rPr>
        <w:t xml:space="preserve"> </w:t>
      </w:r>
      <w:r w:rsidRPr="00664FC5">
        <w:rPr>
          <w:rStyle w:val="Emphasis"/>
        </w:rPr>
        <w:t xml:space="preserve">persons, </w:t>
      </w:r>
      <w:r w:rsidRPr="004E1E55">
        <w:rPr>
          <w:rStyle w:val="Emphasis"/>
          <w:highlight w:val="yellow"/>
        </w:rPr>
        <w:t>are denied their core expressive tool, while corporations enjoy unfettered political</w:t>
      </w:r>
      <w:r>
        <w:rPr>
          <w:rStyle w:val="Emphasis"/>
          <w:highlight w:val="yellow"/>
        </w:rPr>
        <w:t xml:space="preserve"> </w:t>
      </w:r>
      <w:r w:rsidRPr="004E1E55">
        <w:rPr>
          <w:rStyle w:val="Emphasis"/>
          <w:highlight w:val="yellow"/>
        </w:rPr>
        <w:t>primacy.</w:t>
      </w:r>
    </w:p>
    <w:p w14:paraId="0CA81524" w14:textId="77777777" w:rsidR="00733FFE" w:rsidRPr="00664FC5" w:rsidRDefault="00733FFE" w:rsidP="00733FFE">
      <w:pPr>
        <w:rPr>
          <w:sz w:val="16"/>
        </w:rPr>
      </w:pPr>
      <w:r w:rsidRPr="004E1E55">
        <w:rPr>
          <w:rStyle w:val="Emphasis"/>
          <w:highlight w:val="yellow"/>
        </w:rPr>
        <w:t>This incoherence cannot be resolved judicially</w:t>
      </w:r>
      <w:r w:rsidRPr="00664FC5">
        <w:rPr>
          <w:sz w:val="16"/>
        </w:rPr>
        <w:t>. The Court’s precedents have hardened into a</w:t>
      </w:r>
      <w:r>
        <w:rPr>
          <w:sz w:val="16"/>
        </w:rPr>
        <w:t xml:space="preserve"> </w:t>
      </w:r>
      <w:r w:rsidRPr="00664FC5">
        <w:rPr>
          <w:sz w:val="16"/>
        </w:rPr>
        <w:t>parallel constitutional universe in which labor is uniquely excluded from associational and</w:t>
      </w:r>
      <w:r>
        <w:rPr>
          <w:sz w:val="16"/>
        </w:rPr>
        <w:t xml:space="preserve"> </w:t>
      </w:r>
      <w:r w:rsidRPr="00664FC5">
        <w:rPr>
          <w:sz w:val="16"/>
        </w:rPr>
        <w:t xml:space="preserve">expressive protections. </w:t>
      </w:r>
      <w:r w:rsidRPr="004E1E55">
        <w:rPr>
          <w:rStyle w:val="Emphasis"/>
          <w:highlight w:val="yellow"/>
        </w:rPr>
        <w:t>The path to coherence must therefore be legislative. Congress must</w:t>
      </w:r>
      <w:r>
        <w:rPr>
          <w:rStyle w:val="Emphasis"/>
          <w:b w:val="0"/>
          <w:iCs w:val="0"/>
          <w:sz w:val="16"/>
          <w:u w:val="none"/>
        </w:rPr>
        <w:t xml:space="preserve"> </w:t>
      </w:r>
      <w:r w:rsidRPr="004E1E55">
        <w:rPr>
          <w:rStyle w:val="Emphasis"/>
          <w:highlight w:val="yellow"/>
        </w:rPr>
        <w:t>act to restore balance and fidelity to the Constitution by:</w:t>
      </w:r>
      <w:r>
        <w:rPr>
          <w:rStyle w:val="Emphasis"/>
          <w:b w:val="0"/>
          <w:iCs w:val="0"/>
          <w:sz w:val="16"/>
          <w:u w:val="none"/>
        </w:rPr>
        <w:t xml:space="preserve"> </w:t>
      </w:r>
      <w:r w:rsidRPr="004E1E55">
        <w:rPr>
          <w:rStyle w:val="Emphasis"/>
          <w:highlight w:val="yellow"/>
        </w:rPr>
        <w:t>1. Repealing Taft-Hartley’s prohibitions on political expression and recognizing</w:t>
      </w:r>
      <w:r>
        <w:rPr>
          <w:rStyle w:val="Emphasis"/>
          <w:highlight w:val="yellow"/>
        </w:rPr>
        <w:t xml:space="preserve"> </w:t>
      </w:r>
      <w:r w:rsidRPr="004E1E55">
        <w:rPr>
          <w:rStyle w:val="Emphasis"/>
          <w:highlight w:val="yellow"/>
        </w:rPr>
        <w:t>unions as true associations of persons entitled to the full scope of First Amendment</w:t>
      </w:r>
      <w:r>
        <w:rPr>
          <w:rStyle w:val="Emphasis"/>
          <w:highlight w:val="yellow"/>
        </w:rPr>
        <w:t xml:space="preserve"> </w:t>
      </w:r>
      <w:r w:rsidRPr="004E1E55">
        <w:rPr>
          <w:rStyle w:val="Emphasis"/>
          <w:highlight w:val="yellow"/>
        </w:rPr>
        <w:t>associational rights.</w:t>
      </w:r>
      <w:r>
        <w:rPr>
          <w:rStyle w:val="Emphasis"/>
          <w:b w:val="0"/>
          <w:iCs w:val="0"/>
          <w:sz w:val="16"/>
          <w:u w:val="none"/>
        </w:rPr>
        <w:t xml:space="preserve"> </w:t>
      </w:r>
      <w:r w:rsidRPr="00664FC5">
        <w:rPr>
          <w:rStyle w:val="Emphasis"/>
        </w:rPr>
        <w:t xml:space="preserve">2. </w:t>
      </w:r>
      <w:r w:rsidRPr="004E1E55">
        <w:rPr>
          <w:rStyle w:val="Emphasis"/>
          <w:highlight w:val="yellow"/>
        </w:rPr>
        <w:t>Prohibiting corporate and state retaliation against workers and unions who engage</w:t>
      </w:r>
      <w:r>
        <w:rPr>
          <w:rStyle w:val="Emphasis"/>
          <w:b w:val="0"/>
          <w:iCs w:val="0"/>
          <w:sz w:val="16"/>
          <w:u w:val="none"/>
        </w:rPr>
        <w:t xml:space="preserve"> </w:t>
      </w:r>
      <w:r w:rsidRPr="004E1E55">
        <w:rPr>
          <w:rStyle w:val="Emphasis"/>
          <w:highlight w:val="yellow"/>
        </w:rPr>
        <w:t>in protected political expression through labor action</w:t>
      </w:r>
      <w:r w:rsidRPr="00664FC5">
        <w:rPr>
          <w:rStyle w:val="Emphasis"/>
        </w:rPr>
        <w:t>, ensuring that the right to withhold</w:t>
      </w:r>
      <w:r>
        <w:rPr>
          <w:rStyle w:val="Emphasis"/>
          <w:b w:val="0"/>
          <w:iCs w:val="0"/>
          <w:sz w:val="16"/>
          <w:u w:val="none"/>
        </w:rPr>
        <w:t xml:space="preserve"> </w:t>
      </w:r>
      <w:r w:rsidRPr="00664FC5">
        <w:rPr>
          <w:rStyle w:val="Emphasis"/>
        </w:rPr>
        <w:t>labor is treated as the functional equivalent of corporate political expenditures.</w:t>
      </w:r>
      <w:r>
        <w:rPr>
          <w:rStyle w:val="Emphasis"/>
          <w:b w:val="0"/>
          <w:iCs w:val="0"/>
          <w:sz w:val="16"/>
          <w:u w:val="none"/>
        </w:rPr>
        <w:t xml:space="preserve"> </w:t>
      </w:r>
      <w:r w:rsidRPr="00664FC5">
        <w:rPr>
          <w:rStyle w:val="Emphasis"/>
        </w:rPr>
        <w:t xml:space="preserve">Taken together, </w:t>
      </w:r>
      <w:r w:rsidRPr="004E1E55">
        <w:rPr>
          <w:rStyle w:val="Emphasis"/>
          <w:highlight w:val="yellow"/>
        </w:rPr>
        <w:t>these reforms necessarily supersede state right-to-work laws that conflict with</w:t>
      </w:r>
      <w:r>
        <w:rPr>
          <w:rStyle w:val="Emphasis"/>
          <w:b w:val="0"/>
          <w:iCs w:val="0"/>
          <w:sz w:val="16"/>
          <w:u w:val="none"/>
        </w:rPr>
        <w:t xml:space="preserve"> </w:t>
      </w:r>
      <w:r w:rsidRPr="004E1E55">
        <w:rPr>
          <w:rStyle w:val="Emphasis"/>
          <w:highlight w:val="yellow"/>
        </w:rPr>
        <w:t>federal recognition of labor’s expressive rights, establishing a uniform national baseline that</w:t>
      </w:r>
      <w:r>
        <w:rPr>
          <w:rStyle w:val="Emphasis"/>
          <w:b w:val="0"/>
          <w:iCs w:val="0"/>
          <w:sz w:val="16"/>
          <w:u w:val="none"/>
        </w:rPr>
        <w:t xml:space="preserve"> </w:t>
      </w:r>
      <w:r w:rsidRPr="004E1E55">
        <w:rPr>
          <w:rStyle w:val="Emphasis"/>
          <w:highlight w:val="yellow"/>
        </w:rPr>
        <w:t>cannot be undercut by state legislation.</w:t>
      </w:r>
      <w:r w:rsidRPr="00664FC5">
        <w:rPr>
          <w:rStyle w:val="Emphasis"/>
        </w:rPr>
        <w:t xml:space="preserve"> By rooting the reforms in the First Amendment’s</w:t>
      </w:r>
      <w:r>
        <w:rPr>
          <w:rStyle w:val="Emphasis"/>
          <w:b w:val="0"/>
          <w:iCs w:val="0"/>
          <w:sz w:val="16"/>
          <w:u w:val="none"/>
        </w:rPr>
        <w:t xml:space="preserve"> </w:t>
      </w:r>
      <w:r w:rsidRPr="00664FC5">
        <w:rPr>
          <w:rStyle w:val="Emphasis"/>
        </w:rPr>
        <w:t xml:space="preserve">associational doctrine and the Thirteenth Amendment’s ban on compelled labor, </w:t>
      </w:r>
      <w:r w:rsidRPr="004E1E55">
        <w:rPr>
          <w:rStyle w:val="Emphasis"/>
          <w:highlight w:val="yellow"/>
        </w:rPr>
        <w:t>Congress</w:t>
      </w:r>
      <w:r>
        <w:rPr>
          <w:rStyle w:val="Emphasis"/>
          <w:b w:val="0"/>
          <w:iCs w:val="0"/>
          <w:sz w:val="16"/>
          <w:u w:val="none"/>
        </w:rPr>
        <w:t xml:space="preserve"> </w:t>
      </w:r>
      <w:r w:rsidRPr="004E1E55">
        <w:rPr>
          <w:rStyle w:val="Emphasis"/>
          <w:highlight w:val="yellow"/>
        </w:rPr>
        <w:t>also forecloses constitutional challenges: the statutory protections would not be experimental</w:t>
      </w:r>
      <w:r>
        <w:rPr>
          <w:rStyle w:val="Emphasis"/>
          <w:b w:val="0"/>
          <w:iCs w:val="0"/>
          <w:sz w:val="16"/>
          <w:u w:val="none"/>
        </w:rPr>
        <w:t xml:space="preserve"> </w:t>
      </w:r>
      <w:r w:rsidRPr="004E1E55">
        <w:rPr>
          <w:rStyle w:val="Emphasis"/>
          <w:highlight w:val="yellow"/>
        </w:rPr>
        <w:t>innovations but direct applications of existing constitutional principles</w:t>
      </w:r>
      <w:r w:rsidRPr="00664FC5">
        <w:rPr>
          <w:rStyle w:val="Emphasis"/>
        </w:rPr>
        <w:t xml:space="preserve">. In this way, </w:t>
      </w:r>
      <w:r w:rsidRPr="004E1E55">
        <w:rPr>
          <w:rStyle w:val="Emphasis"/>
          <w:highlight w:val="yellow"/>
        </w:rPr>
        <w:t>repeal of</w:t>
      </w:r>
      <w:r>
        <w:rPr>
          <w:rStyle w:val="Emphasis"/>
          <w:b w:val="0"/>
          <w:iCs w:val="0"/>
          <w:sz w:val="16"/>
          <w:u w:val="none"/>
        </w:rPr>
        <w:t xml:space="preserve"> </w:t>
      </w:r>
      <w:r w:rsidRPr="004E1E55">
        <w:rPr>
          <w:rStyle w:val="Emphasis"/>
          <w:highlight w:val="yellow"/>
        </w:rPr>
        <w:t>Taft-Hartley’s expressive prohibitions</w:t>
      </w:r>
      <w:r w:rsidRPr="00664FC5">
        <w:rPr>
          <w:rStyle w:val="Emphasis"/>
        </w:rPr>
        <w:t>, along with a strong protection against retaliation,</w:t>
      </w:r>
      <w:r>
        <w:rPr>
          <w:rStyle w:val="Emphasis"/>
          <w:b w:val="0"/>
          <w:iCs w:val="0"/>
          <w:sz w:val="16"/>
          <w:u w:val="none"/>
        </w:rPr>
        <w:t xml:space="preserve"> </w:t>
      </w:r>
      <w:r w:rsidRPr="004E1E55">
        <w:rPr>
          <w:rStyle w:val="Emphasis"/>
          <w:highlight w:val="yellow"/>
        </w:rPr>
        <w:t>simultaneously dismantle outdated restrictions, preempt contrary state law, and insulate the</w:t>
      </w:r>
      <w:r>
        <w:rPr>
          <w:rStyle w:val="Emphasis"/>
          <w:b w:val="0"/>
          <w:iCs w:val="0"/>
          <w:sz w:val="16"/>
          <w:u w:val="none"/>
        </w:rPr>
        <w:t xml:space="preserve"> </w:t>
      </w:r>
      <w:r w:rsidRPr="004E1E55">
        <w:rPr>
          <w:rStyle w:val="Emphasis"/>
          <w:highlight w:val="yellow"/>
        </w:rPr>
        <w:t>reforms from judicial revers</w:t>
      </w:r>
      <w:r w:rsidRPr="004E1E55">
        <w:rPr>
          <w:sz w:val="16"/>
          <w:highlight w:val="yellow"/>
        </w:rPr>
        <w:t>al</w:t>
      </w:r>
      <w:r w:rsidRPr="00664FC5">
        <w:rPr>
          <w:sz w:val="16"/>
        </w:rPr>
        <w:t>.</w:t>
      </w:r>
      <w:r>
        <w:rPr>
          <w:sz w:val="16"/>
        </w:rPr>
        <w:t xml:space="preserve"> </w:t>
      </w:r>
      <w:r w:rsidRPr="00664FC5">
        <w:rPr>
          <w:rStyle w:val="Emphasis"/>
        </w:rPr>
        <w:t>Only by dismantling Taft-Hartley’s speech gags and affirming unions’ status as political</w:t>
      </w:r>
      <w:r>
        <w:rPr>
          <w:rStyle w:val="Emphasis"/>
          <w:b w:val="0"/>
          <w:iCs w:val="0"/>
          <w:sz w:val="16"/>
          <w:u w:val="none"/>
        </w:rPr>
        <w:t xml:space="preserve"> </w:t>
      </w:r>
      <w:r w:rsidRPr="00664FC5">
        <w:rPr>
          <w:rStyle w:val="Emphasis"/>
        </w:rPr>
        <w:t>associations can constitutional fidelity be achieved</w:t>
      </w:r>
      <w:r w:rsidRPr="00664FC5">
        <w:rPr>
          <w:sz w:val="16"/>
        </w:rPr>
        <w:t>. The First Amendment does not permit</w:t>
      </w:r>
      <w:r>
        <w:rPr>
          <w:sz w:val="16"/>
        </w:rPr>
        <w:t xml:space="preserve"> </w:t>
      </w:r>
      <w:r w:rsidRPr="00664FC5">
        <w:rPr>
          <w:sz w:val="16"/>
        </w:rPr>
        <w:t>selective recognition of collective actors, nor does it tolerate conditioning one right on the</w:t>
      </w:r>
      <w:r>
        <w:rPr>
          <w:sz w:val="16"/>
        </w:rPr>
        <w:t xml:space="preserve"> </w:t>
      </w:r>
      <w:r w:rsidRPr="00664FC5">
        <w:rPr>
          <w:sz w:val="16"/>
        </w:rPr>
        <w:t xml:space="preserve">surrender of another. Legislative reform is the only rational path to restore coherence: to </w:t>
      </w:r>
      <w:proofErr w:type="spellStart"/>
      <w:r w:rsidRPr="00664FC5">
        <w:rPr>
          <w:sz w:val="16"/>
        </w:rPr>
        <w:t>alignlabor</w:t>
      </w:r>
      <w:proofErr w:type="spellEnd"/>
      <w:r w:rsidRPr="00664FC5">
        <w:rPr>
          <w:sz w:val="16"/>
        </w:rPr>
        <w:t xml:space="preserve"> law with the doctrines of expressive conduct, associational freedom, and equal</w:t>
      </w:r>
      <w:r>
        <w:rPr>
          <w:sz w:val="16"/>
        </w:rPr>
        <w:t xml:space="preserve"> </w:t>
      </w:r>
      <w:r w:rsidRPr="00664FC5">
        <w:rPr>
          <w:sz w:val="16"/>
        </w:rPr>
        <w:t>protection that define the modern constitutional order.</w:t>
      </w:r>
      <w:r>
        <w:rPr>
          <w:sz w:val="16"/>
        </w:rPr>
        <w:t xml:space="preserve"> </w:t>
      </w:r>
      <w:r w:rsidRPr="00664FC5">
        <w:rPr>
          <w:sz w:val="16"/>
        </w:rPr>
        <w:t>In the Appendix, we offer legislative language ready for adoption by Congress, to repeal the</w:t>
      </w:r>
      <w:r>
        <w:rPr>
          <w:sz w:val="16"/>
        </w:rPr>
        <w:t xml:space="preserve"> </w:t>
      </w:r>
      <w:r w:rsidRPr="00664FC5">
        <w:rPr>
          <w:sz w:val="16"/>
        </w:rPr>
        <w:t>outdated language in Taft-Hartley and recognize unions as the politically-expressive,</w:t>
      </w:r>
      <w:r>
        <w:rPr>
          <w:sz w:val="16"/>
        </w:rPr>
        <w:t xml:space="preserve"> </w:t>
      </w:r>
      <w:r w:rsidRPr="00664FC5">
        <w:rPr>
          <w:sz w:val="16"/>
        </w:rPr>
        <w:t>democratically-governed, voluntary organizations they are, providing the protections against</w:t>
      </w:r>
      <w:r>
        <w:rPr>
          <w:sz w:val="16"/>
        </w:rPr>
        <w:t xml:space="preserve"> </w:t>
      </w:r>
      <w:r w:rsidRPr="00664FC5">
        <w:rPr>
          <w:sz w:val="16"/>
        </w:rPr>
        <w:t xml:space="preserve">retaliation necessary to ensure these freedoms aren't just rhetorical, but actionable. </w:t>
      </w:r>
    </w:p>
    <w:p w14:paraId="273FAB05" w14:textId="77777777" w:rsidR="00733FFE" w:rsidRPr="00664FC5" w:rsidRDefault="00733FFE" w:rsidP="00733FFE"/>
    <w:p w14:paraId="31FAC3DE" w14:textId="65E66B90" w:rsidR="00D62A0E" w:rsidRPr="00D62A0E" w:rsidRDefault="00D62A0E" w:rsidP="00D62A0E">
      <w:pPr>
        <w:pStyle w:val="Heading4"/>
        <w:rPr>
          <w:u w:val="single"/>
        </w:rPr>
      </w:pPr>
      <w:r>
        <w:t xml:space="preserve">It’s the </w:t>
      </w:r>
      <w:r>
        <w:rPr>
          <w:u w:val="single"/>
        </w:rPr>
        <w:t>strongest</w:t>
      </w:r>
      <w:r>
        <w:t xml:space="preserve"> internal link to broad union power – only the plan overcomes systemic union erasure by restoring </w:t>
      </w:r>
      <w:r>
        <w:rPr>
          <w:u w:val="single"/>
        </w:rPr>
        <w:t>mass picketing</w:t>
      </w:r>
      <w:r>
        <w:t xml:space="preserve"> and </w:t>
      </w:r>
      <w:r>
        <w:rPr>
          <w:u w:val="single"/>
        </w:rPr>
        <w:t xml:space="preserve">secondary strikes </w:t>
      </w:r>
    </w:p>
    <w:p w14:paraId="5870D494" w14:textId="77777777" w:rsidR="00733FFE" w:rsidRDefault="00733FFE" w:rsidP="00733FFE">
      <w:r w:rsidRPr="000B78FB">
        <w:rPr>
          <w:rStyle w:val="Style13ptBold"/>
        </w:rPr>
        <w:t>Bennett 2024</w:t>
      </w:r>
      <w:r>
        <w:t xml:space="preserve"> [Scott, Writer, raconteur, pretentious jerk: Scott Bennett is a producer living in Chicago. He seeks to provide context to a heavily propagandized American public How Shrewd Legislation Crippled the American Labor Movement </w:t>
      </w:r>
      <w:hyperlink r:id="rId9" w:history="1">
        <w:r w:rsidRPr="00A16BA4">
          <w:rPr>
            <w:rStyle w:val="Hyperlink"/>
          </w:rPr>
          <w:t>https://www.fairobserver.com/world-news/how-shrewd-legislation-crippled-the-american-labor-movement/</w:t>
        </w:r>
      </w:hyperlink>
      <w:r>
        <w:t xml:space="preserve"> *Rochester struck thru harmful language, adjusted via brackets Accessed 8/13/2025DMW]</w:t>
      </w:r>
    </w:p>
    <w:p w14:paraId="7B980409" w14:textId="77777777" w:rsidR="00733FFE" w:rsidRDefault="00733FFE" w:rsidP="00733FFE"/>
    <w:p w14:paraId="11DFB80C" w14:textId="77777777" w:rsidR="00733FFE" w:rsidRDefault="00733FFE" w:rsidP="00733FFE">
      <w:pPr>
        <w:rPr>
          <w:rStyle w:val="StyleUnderline"/>
        </w:rPr>
      </w:pPr>
      <w:r w:rsidRPr="001F28EB">
        <w:rPr>
          <w:rStyle w:val="StyleUnderline"/>
        </w:rPr>
        <w:t>W</w:t>
      </w:r>
      <w:r w:rsidRPr="001D1ACF">
        <w:rPr>
          <w:rStyle w:val="StyleUnderline"/>
          <w:highlight w:val="yellow"/>
        </w:rPr>
        <w:t>hy are unions so weak in the United States? One law did more to</w:t>
      </w:r>
      <w:r w:rsidRPr="001F28EB">
        <w:rPr>
          <w:rStyle w:val="StyleUnderline"/>
        </w:rPr>
        <w:t xml:space="preserve"> </w:t>
      </w:r>
      <w:r w:rsidRPr="001D1ACF">
        <w:rPr>
          <w:rStyle w:val="StyleUnderline"/>
          <w:strike/>
        </w:rPr>
        <w:t>cripple</w:t>
      </w:r>
      <w:r w:rsidRPr="001F28EB">
        <w:rPr>
          <w:rStyle w:val="StyleUnderline"/>
        </w:rPr>
        <w:t xml:space="preserve"> </w:t>
      </w:r>
      <w:r>
        <w:rPr>
          <w:rStyle w:val="StyleUnderline"/>
        </w:rPr>
        <w:t>[</w:t>
      </w:r>
      <w:r w:rsidRPr="004146F0">
        <w:rPr>
          <w:rStyle w:val="StyleUnderline"/>
          <w:highlight w:val="yellow"/>
        </w:rPr>
        <w:t>Harm</w:t>
      </w:r>
      <w:r>
        <w:rPr>
          <w:rStyle w:val="StyleUnderline"/>
        </w:rPr>
        <w:t xml:space="preserve">] </w:t>
      </w:r>
      <w:r w:rsidRPr="004146F0">
        <w:rPr>
          <w:rStyle w:val="StyleUnderline"/>
          <w:highlight w:val="yellow"/>
        </w:rPr>
        <w:t>effective union organizing than any other</w:t>
      </w:r>
      <w:r w:rsidRPr="001F28EB">
        <w:rPr>
          <w:sz w:val="16"/>
        </w:rPr>
        <w:t xml:space="preserve">. And </w:t>
      </w:r>
      <w:r w:rsidRPr="004146F0">
        <w:rPr>
          <w:rStyle w:val="StyleUnderline"/>
          <w:highlight w:val="yellow"/>
        </w:rPr>
        <w:t>repealing this law could help get labor back</w:t>
      </w:r>
      <w:r w:rsidRPr="001F28EB">
        <w:rPr>
          <w:rStyle w:val="StyleUnderline"/>
        </w:rPr>
        <w:t xml:space="preserve"> onto its feet.</w:t>
      </w:r>
      <w:r w:rsidRPr="00664FC5">
        <w:rPr>
          <w:rStyle w:val="StyleUnderline"/>
          <w:sz w:val="12"/>
          <w:u w:val="none"/>
        </w:rPr>
        <w:t>¶</w:t>
      </w:r>
      <w:r w:rsidRPr="001F28EB">
        <w:rPr>
          <w:sz w:val="12"/>
        </w:rPr>
        <w:t xml:space="preserve"> </w:t>
      </w:r>
      <w:r w:rsidRPr="001F28EB">
        <w:rPr>
          <w:sz w:val="16"/>
        </w:rPr>
        <w:t>One of my personal favorite Chicagoans, labor lawyer Thomas Geoghegan, explains in his excellent book Which Side Are You On? Trying to Be for Labor When It’s Flat on Its Back. “When people ask me, ‘</w:t>
      </w:r>
      <w:r w:rsidRPr="004146F0">
        <w:rPr>
          <w:rStyle w:val="StyleUnderline"/>
          <w:highlight w:val="yellow"/>
        </w:rPr>
        <w:t>Why can’t labor organize the way it did in the thirties?’” he says, “the answer is simple: everything we did then is now illega</w:t>
      </w:r>
      <w:r w:rsidRPr="001F28EB">
        <w:rPr>
          <w:rStyle w:val="StyleUnderline"/>
        </w:rPr>
        <w:t>l.</w:t>
      </w:r>
      <w:r w:rsidRPr="001F28EB">
        <w:rPr>
          <w:sz w:val="16"/>
        </w:rPr>
        <w:t>”</w:t>
      </w:r>
      <w:r w:rsidRPr="00664FC5">
        <w:rPr>
          <w:sz w:val="12"/>
        </w:rPr>
        <w:t>¶</w:t>
      </w:r>
      <w:r w:rsidRPr="001F28EB">
        <w:rPr>
          <w:sz w:val="12"/>
        </w:rPr>
        <w:t xml:space="preserve"> </w:t>
      </w:r>
      <w:r w:rsidRPr="004146F0">
        <w:rPr>
          <w:rStyle w:val="StyleUnderline"/>
          <w:highlight w:val="yellow"/>
        </w:rPr>
        <w:t>Since the passage of the</w:t>
      </w:r>
      <w:r w:rsidRPr="001F28EB">
        <w:rPr>
          <w:rStyle w:val="StyleUnderline"/>
        </w:rPr>
        <w:t xml:space="preserve"> Labor Management Relations Act of 1947, better known as the </w:t>
      </w:r>
      <w:r w:rsidRPr="004146F0">
        <w:rPr>
          <w:rStyle w:val="StyleUnderline"/>
          <w:highlight w:val="yellow"/>
        </w:rPr>
        <w:t>Taft-Hartley Act, American labor has been fighting with both hands tied behind its bac</w:t>
      </w:r>
      <w:r w:rsidRPr="001F28EB">
        <w:rPr>
          <w:rStyle w:val="StyleUnderline"/>
        </w:rPr>
        <w:t>k</w:t>
      </w:r>
      <w:r w:rsidRPr="001F28EB">
        <w:rPr>
          <w:sz w:val="16"/>
        </w:rPr>
        <w:t>. Management doesn’t want a fair fight because, in a fair fight, they’ll lose.As Geoghegan writes, “</w:t>
      </w:r>
      <w:r w:rsidRPr="001F28EB">
        <w:rPr>
          <w:rStyle w:val="StyleUnderline"/>
        </w:rPr>
        <w:t>There’s no other country</w:t>
      </w:r>
      <w:r w:rsidRPr="001F28EB">
        <w:rPr>
          <w:sz w:val="16"/>
        </w:rPr>
        <w:t xml:space="preserve"> (outside the Third World) </w:t>
      </w:r>
      <w:r w:rsidRPr="001F28EB">
        <w:rPr>
          <w:rStyle w:val="StyleUnderline"/>
        </w:rPr>
        <w:t>where it’s tougher legally to organize a union</w:t>
      </w:r>
      <w:r w:rsidRPr="001F28EB">
        <w:rPr>
          <w:sz w:val="16"/>
        </w:rPr>
        <w:t>.</w:t>
      </w:r>
      <w:r w:rsidRPr="00664FC5">
        <w:rPr>
          <w:sz w:val="12"/>
        </w:rPr>
        <w:t>¶</w:t>
      </w:r>
      <w:r w:rsidRPr="001F28EB">
        <w:rPr>
          <w:sz w:val="12"/>
        </w:rPr>
        <w:t xml:space="preserve"> </w:t>
      </w:r>
      <w:r w:rsidRPr="001F28EB">
        <w:rPr>
          <w:rStyle w:val="StyleUnderline"/>
        </w:rPr>
        <w:t>The law passed in 1947 when Republicans and Southern Democrats joined together to override Democratic President Harry Truman’s veto</w:t>
      </w:r>
      <w:r w:rsidRPr="001F28EB">
        <w:rPr>
          <w:sz w:val="16"/>
        </w:rPr>
        <w:t xml:space="preserve">. </w:t>
      </w:r>
      <w:r w:rsidRPr="001F28EB">
        <w:rPr>
          <w:rStyle w:val="StyleUnderline"/>
        </w:rPr>
        <w:t>The goal was mainly to crush organizing on the grand scale</w:t>
      </w:r>
      <w:r w:rsidRPr="001F28EB">
        <w:rPr>
          <w:sz w:val="16"/>
        </w:rPr>
        <w:t xml:space="preserve"> that had been seen in the 1930s. </w:t>
      </w:r>
      <w:r w:rsidRPr="004146F0">
        <w:rPr>
          <w:rStyle w:val="StyleUnderline"/>
          <w:highlight w:val="yellow"/>
        </w:rPr>
        <w:t>It outlawed mass picketing, secondary strikes of neutral employers, sit-down strikes — all of the most effective tactics that made the 1930s such a boom time for union organizing</w:t>
      </w:r>
      <w:r w:rsidRPr="001F28EB">
        <w:rPr>
          <w:sz w:val="16"/>
        </w:rPr>
        <w:t>.</w:t>
      </w:r>
      <w:r w:rsidRPr="00664FC5">
        <w:rPr>
          <w:sz w:val="12"/>
        </w:rPr>
        <w:t>¶</w:t>
      </w:r>
      <w:r w:rsidRPr="001F28EB">
        <w:rPr>
          <w:sz w:val="12"/>
        </w:rPr>
        <w:t xml:space="preserve"> </w:t>
      </w:r>
      <w:r w:rsidRPr="001F28EB">
        <w:rPr>
          <w:sz w:val="16"/>
        </w:rPr>
        <w:t>Defanging union pension funds</w:t>
      </w:r>
      <w:r w:rsidRPr="00664FC5">
        <w:rPr>
          <w:sz w:val="12"/>
        </w:rPr>
        <w:t>¶</w:t>
      </w:r>
      <w:r w:rsidRPr="001F28EB">
        <w:rPr>
          <w:sz w:val="12"/>
        </w:rPr>
        <w:t xml:space="preserve"> </w:t>
      </w:r>
      <w:r w:rsidRPr="004146F0">
        <w:rPr>
          <w:rStyle w:val="StyleUnderline"/>
          <w:highlight w:val="yellow"/>
        </w:rPr>
        <w:t>Taft-Hartley also outlawed unions from having full control of a pension fund</w:t>
      </w:r>
      <w:r w:rsidRPr="001F28EB">
        <w:rPr>
          <w:rStyle w:val="StyleUnderline"/>
        </w:rPr>
        <w:t xml:space="preserve"> as long as employers contributed</w:t>
      </w:r>
      <w:r w:rsidRPr="001F28EB">
        <w:rPr>
          <w:sz w:val="16"/>
        </w:rPr>
        <w:t xml:space="preserve"> to them. This </w:t>
      </w:r>
      <w:r w:rsidRPr="001F28EB">
        <w:rPr>
          <w:rStyle w:val="StyleUnderline"/>
        </w:rPr>
        <w:t>would have given unions the power to start buying companies</w:t>
      </w:r>
      <w:r w:rsidRPr="001F28EB">
        <w:rPr>
          <w:sz w:val="16"/>
        </w:rPr>
        <w:t xml:space="preserve">, something United Mine Workers of America president John L. Lewis had already begun doing in the 1940s. At one point the United Mineworkers pension fund owned the National Bank of Washington. </w:t>
      </w:r>
      <w:r w:rsidRPr="001F28EB">
        <w:rPr>
          <w:rStyle w:val="StyleUnderline"/>
        </w:rPr>
        <w:t>This was a huge threat to capital and a major motivator for the passage of Taft-Hartley. Because of that law, it’s now federally illegal for a union to control a pension fund</w:t>
      </w:r>
      <w:r w:rsidRPr="001F28EB">
        <w:rPr>
          <w:sz w:val="16"/>
        </w:rPr>
        <w:t xml:space="preserve"> in this way, while at the same time completely commonplace for business owners to control them or even destroy them.</w:t>
      </w:r>
      <w:r w:rsidRPr="00664FC5">
        <w:rPr>
          <w:sz w:val="12"/>
        </w:rPr>
        <w:t>¶</w:t>
      </w:r>
      <w:r w:rsidRPr="001F28EB">
        <w:rPr>
          <w:sz w:val="12"/>
        </w:rPr>
        <w:t xml:space="preserve"> </w:t>
      </w:r>
      <w:r w:rsidRPr="001F28EB">
        <w:rPr>
          <w:sz w:val="16"/>
        </w:rPr>
        <w:t>Roadblocks to labor organization</w:t>
      </w:r>
      <w:r w:rsidRPr="00664FC5">
        <w:rPr>
          <w:sz w:val="12"/>
        </w:rPr>
        <w:t>¶</w:t>
      </w:r>
      <w:r w:rsidRPr="001F28EB">
        <w:rPr>
          <w:sz w:val="12"/>
        </w:rPr>
        <w:t xml:space="preserve"> </w:t>
      </w:r>
      <w:r w:rsidRPr="001F28EB">
        <w:rPr>
          <w:sz w:val="16"/>
        </w:rPr>
        <w:t xml:space="preserve">Taft-Hartley </w:t>
      </w:r>
      <w:r w:rsidRPr="004146F0">
        <w:rPr>
          <w:rStyle w:val="StyleUnderline"/>
          <w:highlight w:val="yellow"/>
        </w:rPr>
        <w:t>intentionally impaired card checks a method by which the employees of a firm turn in authorization forms, or “cards,” in order to establish a union</w:t>
      </w:r>
      <w:r w:rsidRPr="001F28EB">
        <w:rPr>
          <w:rStyle w:val="StyleUnderline"/>
        </w:rPr>
        <w:t>.</w:t>
      </w:r>
      <w:r w:rsidRPr="001F28EB">
        <w:rPr>
          <w:sz w:val="16"/>
        </w:rPr>
        <w:t xml:space="preserve"> The act crippled union organizing with hearings, campaign periods, secret ballot elections and </w:t>
      </w:r>
      <w:r w:rsidRPr="001F28EB">
        <w:rPr>
          <w:rStyle w:val="StyleUnderline"/>
        </w:rPr>
        <w:t xml:space="preserve">more </w:t>
      </w:r>
      <w:r w:rsidRPr="004146F0">
        <w:rPr>
          <w:rStyle w:val="StyleUnderline"/>
          <w:highlight w:val="yellow"/>
        </w:rPr>
        <w:t>hoops to jump through before a union can be recognized</w:t>
      </w:r>
      <w:r w:rsidRPr="001F28EB">
        <w:rPr>
          <w:rStyle w:val="StyleUnderline"/>
        </w:rPr>
        <w:t xml:space="preserve"> in the US. All of these are huge advantages for union-busting companies</w:t>
      </w:r>
      <w:r w:rsidRPr="001F28EB">
        <w:rPr>
          <w:sz w:val="16"/>
        </w:rPr>
        <w:t xml:space="preserve"> that want to stop unions.</w:t>
      </w:r>
      <w:r w:rsidRPr="00664FC5">
        <w:rPr>
          <w:sz w:val="12"/>
        </w:rPr>
        <w:t>¶</w:t>
      </w:r>
      <w:r w:rsidRPr="001F28EB">
        <w:rPr>
          <w:sz w:val="12"/>
        </w:rPr>
        <w:t xml:space="preserve"> </w:t>
      </w:r>
      <w:r w:rsidRPr="001F28EB">
        <w:rPr>
          <w:sz w:val="16"/>
        </w:rPr>
        <w:t xml:space="preserve">According to Geoghegan, when Canadian workers want to form a union, all they have to do is sign cards that say they authorize the union to represent them. </w:t>
      </w:r>
      <w:r w:rsidRPr="001F28EB">
        <w:rPr>
          <w:rStyle w:val="StyleUnderline"/>
        </w:rPr>
        <w:t>If they get 55% of workers to sign, the employer must bargain with that new union. There are no hearings, no extra elections, no endless lawsuits. Geoghegan writes, “Canadian workers just sign cards, and bang, they’re in a union. It goes so fast, there is no chance to fire them</w:t>
      </w:r>
      <w:r w:rsidRPr="001F28EB">
        <w:rPr>
          <w:sz w:val="16"/>
        </w:rPr>
        <w:t>.”</w:t>
      </w:r>
      <w:r w:rsidRPr="00664FC5">
        <w:rPr>
          <w:sz w:val="12"/>
        </w:rPr>
        <w:t>¶</w:t>
      </w:r>
      <w:r w:rsidRPr="001F28EB">
        <w:rPr>
          <w:sz w:val="12"/>
        </w:rPr>
        <w:t xml:space="preserve"> </w:t>
      </w:r>
      <w:r w:rsidRPr="001F28EB">
        <w:rPr>
          <w:sz w:val="16"/>
        </w:rPr>
        <w:t xml:space="preserve">Finally, </w:t>
      </w:r>
      <w:r w:rsidRPr="001F28EB">
        <w:rPr>
          <w:rStyle w:val="StyleUnderline"/>
        </w:rPr>
        <w:t>it was Taft-Hartley that helped transform modern American unions into giant, lumbering bureaucracies by making collective bargaining agreements enforceable as “contracts,” putting the onus on unions to hold their members to the language</w:t>
      </w:r>
      <w:r w:rsidRPr="001F28EB">
        <w:rPr>
          <w:sz w:val="16"/>
        </w:rPr>
        <w:t xml:space="preserve"> of those contracts.</w:t>
      </w:r>
      <w:r w:rsidRPr="00664FC5">
        <w:rPr>
          <w:sz w:val="12"/>
        </w:rPr>
        <w:t>¶</w:t>
      </w:r>
      <w:r w:rsidRPr="001F28EB">
        <w:rPr>
          <w:sz w:val="12"/>
        </w:rPr>
        <w:t xml:space="preserve"> </w:t>
      </w:r>
      <w:r w:rsidRPr="001F28EB">
        <w:rPr>
          <w:sz w:val="16"/>
        </w:rPr>
        <w:t xml:space="preserve">As </w:t>
      </w:r>
      <w:proofErr w:type="spellStart"/>
      <w:r w:rsidRPr="001F28EB">
        <w:rPr>
          <w:sz w:val="16"/>
        </w:rPr>
        <w:t>Geogeghan</w:t>
      </w:r>
      <w:proofErr w:type="spellEnd"/>
      <w:r w:rsidRPr="001F28EB">
        <w:rPr>
          <w:sz w:val="16"/>
        </w:rPr>
        <w:t xml:space="preserve"> says, </w:t>
      </w:r>
      <w:r w:rsidRPr="001F28EB">
        <w:rPr>
          <w:rStyle w:val="StyleUnderline"/>
        </w:rPr>
        <w:t>Taft-Hartley envisioned a world where unions would no longer need to strike anymore. Instead, there would be arbitration and lawyers</w:t>
      </w:r>
      <w:r w:rsidRPr="001F28EB">
        <w:rPr>
          <w:sz w:val="16"/>
        </w:rPr>
        <w:t xml:space="preserve">. </w:t>
      </w:r>
      <w:r w:rsidRPr="001F28EB">
        <w:rPr>
          <w:rStyle w:val="StyleUnderline"/>
        </w:rPr>
        <w:t>How nice — for business owners</w:t>
      </w:r>
      <w:r w:rsidRPr="001F28EB">
        <w:rPr>
          <w:sz w:val="16"/>
        </w:rPr>
        <w:t xml:space="preserve">. (This is a huge clue about who was in the driver’s seat when this law was written.) People need to realize that </w:t>
      </w:r>
      <w:r w:rsidRPr="004146F0">
        <w:rPr>
          <w:rStyle w:val="StyleUnderline"/>
          <w:highlight w:val="yellow"/>
        </w:rPr>
        <w:t>unions are weak in the US because of laws passed with the direct intention of weakening unions. This was purposeful</w:t>
      </w:r>
      <w:r w:rsidRPr="001F28EB">
        <w:rPr>
          <w:sz w:val="16"/>
        </w:rPr>
        <w:t>. Unions have one primary imperative that stockholders and their handmaidens in management hate: raising worker wages. This is what makes unions good for us and bad for the rich.</w:t>
      </w:r>
      <w:r w:rsidRPr="00664FC5">
        <w:rPr>
          <w:sz w:val="12"/>
        </w:rPr>
        <w:t>¶</w:t>
      </w:r>
      <w:r w:rsidRPr="001F28EB">
        <w:rPr>
          <w:sz w:val="12"/>
        </w:rPr>
        <w:t xml:space="preserve"> </w:t>
      </w:r>
      <w:r w:rsidRPr="001F28EB">
        <w:rPr>
          <w:sz w:val="16"/>
        </w:rPr>
        <w:t>When I sit here and talk about repealing one of the main laws that have operated like a giant chunk of kryptonite to union organizing for the past three-quarters of a century, I am completely aware that neither the Democrats nor Republicans would ever sit by and allow it to happen. Voting blue will never end Taft-Hartley. We need to build a working-class organization to advocate for changes like this because the wealthy control both major parties in this country.</w:t>
      </w:r>
      <w:r w:rsidRPr="00664FC5">
        <w:rPr>
          <w:sz w:val="12"/>
        </w:rPr>
        <w:t>¶</w:t>
      </w:r>
      <w:r w:rsidRPr="001F28EB">
        <w:rPr>
          <w:sz w:val="12"/>
        </w:rPr>
        <w:t xml:space="preserve"> </w:t>
      </w:r>
      <w:r w:rsidRPr="001F28EB">
        <w:rPr>
          <w:sz w:val="16"/>
        </w:rPr>
        <w:t xml:space="preserve">Let’s make it easier to join a union and set the working class free in this country — while raising our wages at the same time. </w:t>
      </w:r>
      <w:r w:rsidRPr="001F28EB">
        <w:rPr>
          <w:rStyle w:val="StyleUnderline"/>
        </w:rPr>
        <w:t>Repealing Taft-Hartley is a great place to start</w:t>
      </w:r>
    </w:p>
    <w:p w14:paraId="4EA451B1" w14:textId="77777777" w:rsidR="00733FFE" w:rsidRPr="008B6FD9" w:rsidRDefault="00733FFE" w:rsidP="00733FFE">
      <w:pPr>
        <w:pStyle w:val="Heading4"/>
      </w:pPr>
      <w:r>
        <w:t xml:space="preserve">Strikes are in upward swing </w:t>
      </w:r>
      <w:r>
        <w:rPr>
          <w:u w:val="single"/>
        </w:rPr>
        <w:t>now</w:t>
      </w:r>
      <w:r>
        <w:t xml:space="preserve"> – but only the plan creates sufficient political momentum – that revives </w:t>
      </w:r>
      <w:r>
        <w:rPr>
          <w:u w:val="single"/>
        </w:rPr>
        <w:t xml:space="preserve">collective bargaining </w:t>
      </w:r>
    </w:p>
    <w:p w14:paraId="10DEC906" w14:textId="77777777" w:rsidR="00733FFE" w:rsidRPr="00A5244C" w:rsidRDefault="00733FFE" w:rsidP="00733FFE">
      <w:r w:rsidRPr="00A5244C">
        <w:rPr>
          <w:rStyle w:val="Style13ptBold"/>
        </w:rPr>
        <w:t xml:space="preserve">Rutherford 24 </w:t>
      </w:r>
      <w:r w:rsidRPr="00A5244C">
        <w:t>(Tod Rutherford is a professor in the Human Geography and Environment Department at Syracuse University, 1-24-24, “The labor of strikes: Unions, workers, and the 2023 US strike wave, Human Geography, DOI: </w:t>
      </w:r>
    </w:p>
    <w:p w14:paraId="4DD296DD" w14:textId="77777777" w:rsidR="00733FFE" w:rsidRPr="00A5244C" w:rsidRDefault="00733FFE" w:rsidP="00733FFE">
      <w:pPr>
        <w:rPr>
          <w:rStyle w:val="Style13ptBold"/>
          <w:b w:val="0"/>
          <w:sz w:val="22"/>
        </w:rPr>
      </w:pPr>
      <w:hyperlink r:id="rId10" w:tgtFrame="_blank" w:history="1">
        <w:r w:rsidRPr="00A5244C">
          <w:rPr>
            <w:rStyle w:val="Hyperlink"/>
          </w:rPr>
          <w:t>10.1177/19427786241227171</w:t>
        </w:r>
      </w:hyperlink>
      <w:r w:rsidRPr="00A5244C">
        <w:t>) //</w:t>
      </w:r>
      <w:proofErr w:type="spellStart"/>
      <w:r w:rsidRPr="00A5244C">
        <w:t>roch</w:t>
      </w:r>
      <w:proofErr w:type="spellEnd"/>
      <w:r w:rsidRPr="00A5244C">
        <w:t xml:space="preserve"> ashaz </w:t>
      </w:r>
    </w:p>
    <w:p w14:paraId="22F27228" w14:textId="77777777" w:rsidR="00733FFE" w:rsidRPr="00A5244C" w:rsidRDefault="00733FFE" w:rsidP="00733FFE">
      <w:r w:rsidRPr="00A5244C">
        <w:t xml:space="preserve">Organizing and Striking in the Wake of a Pandemic </w:t>
      </w:r>
    </w:p>
    <w:p w14:paraId="4A122227" w14:textId="77777777" w:rsidR="00733FFE" w:rsidRPr="00977FC0" w:rsidRDefault="00733FFE" w:rsidP="00733FFE">
      <w:pPr>
        <w:rPr>
          <w:u w:val="single"/>
        </w:rPr>
      </w:pPr>
      <w:r w:rsidRPr="00554184">
        <w:rPr>
          <w:u w:val="single"/>
        </w:rPr>
        <w:t xml:space="preserve">US workers’ deteriorating situation meant that </w:t>
      </w:r>
      <w:r w:rsidRPr="00554184">
        <w:rPr>
          <w:b/>
          <w:bCs/>
          <w:u w:val="single"/>
        </w:rPr>
        <w:t>especially after the 2008-09 financial crisis, they increasingly viewed unionization positively</w:t>
      </w:r>
      <w:r w:rsidRPr="00554184">
        <w:rPr>
          <w:u w:val="single"/>
        </w:rPr>
        <w:t xml:space="preserve">. </w:t>
      </w:r>
      <w:r w:rsidRPr="00554184">
        <w:rPr>
          <w:b/>
          <w:bCs/>
          <w:u w:val="single"/>
        </w:rPr>
        <w:t>Thus, Kochan et al, (2019) study found that “Nearly 50% of non-union workers say they would vote for a union” when compared to only about one-third in the 1990s</w:t>
      </w:r>
      <w:r w:rsidRPr="00554184">
        <w:rPr>
          <w:u w:val="single"/>
        </w:rPr>
        <w:t xml:space="preserve">. There was a small uptick in strike action in 2017-2019, especially by public school teachers in West Virginia, Kansas, Los Angeles, and Chicago, but it is COVID and post-pandemic economic shifts that sparked the 2022-23 strike actions. </w:t>
      </w:r>
      <w:r w:rsidRPr="00834F2D">
        <w:rPr>
          <w:b/>
          <w:bCs/>
          <w:highlight w:val="cyan"/>
          <w:u w:val="single"/>
        </w:rPr>
        <w:t xml:space="preserve">The pandemic made clear how </w:t>
      </w:r>
      <w:r w:rsidRPr="00C560A4">
        <w:rPr>
          <w:b/>
          <w:bCs/>
          <w:u w:val="single"/>
        </w:rPr>
        <w:t xml:space="preserve">40 years of </w:t>
      </w:r>
      <w:r w:rsidRPr="00834F2D">
        <w:rPr>
          <w:b/>
          <w:bCs/>
          <w:highlight w:val="cyan"/>
          <w:u w:val="single"/>
        </w:rPr>
        <w:t>neoliberalism</w:t>
      </w:r>
      <w:r w:rsidRPr="00554184">
        <w:rPr>
          <w:b/>
          <w:bCs/>
          <w:u w:val="single"/>
        </w:rPr>
        <w:t xml:space="preserve"> </w:t>
      </w:r>
      <w:r w:rsidRPr="00C560A4">
        <w:rPr>
          <w:b/>
          <w:bCs/>
          <w:u w:val="single"/>
        </w:rPr>
        <w:t>had not only increased inequality</w:t>
      </w:r>
      <w:r w:rsidRPr="00554184">
        <w:rPr>
          <w:b/>
          <w:bCs/>
          <w:u w:val="single"/>
        </w:rPr>
        <w:t xml:space="preserve"> and stagnated worker living </w:t>
      </w:r>
      <w:r w:rsidRPr="00C560A4">
        <w:rPr>
          <w:b/>
          <w:bCs/>
          <w:u w:val="single"/>
        </w:rPr>
        <w:t>standards but also</w:t>
      </w:r>
      <w:r w:rsidRPr="00834F2D">
        <w:rPr>
          <w:b/>
          <w:bCs/>
          <w:highlight w:val="cyan"/>
          <w:u w:val="single"/>
        </w:rPr>
        <w:t xml:space="preserve"> revealed the regulatory failure</w:t>
      </w:r>
      <w:r w:rsidRPr="00554184">
        <w:rPr>
          <w:u w:val="single"/>
        </w:rPr>
        <w:t xml:space="preserve"> </w:t>
      </w:r>
      <w:r w:rsidRPr="00834F2D">
        <w:rPr>
          <w:b/>
          <w:bCs/>
          <w:highlight w:val="cyan"/>
        </w:rPr>
        <w:t xml:space="preserve">of federal </w:t>
      </w:r>
      <w:r w:rsidRPr="00977FC0">
        <w:rPr>
          <w:b/>
          <w:bCs/>
          <w:highlight w:val="cyan"/>
        </w:rPr>
        <w:t>bodies</w:t>
      </w:r>
      <w:r w:rsidRPr="00834F2D">
        <w:rPr>
          <w:b/>
          <w:bCs/>
          <w:highlight w:val="cyan"/>
        </w:rPr>
        <w:t xml:space="preserve"> </w:t>
      </w:r>
      <w:r w:rsidRPr="00977FC0">
        <w:rPr>
          <w:b/>
          <w:bCs/>
          <w:highlight w:val="cyan"/>
          <w:u w:val="single"/>
        </w:rPr>
        <w:t>like</w:t>
      </w:r>
      <w:r w:rsidRPr="00A5244C">
        <w:t xml:space="preserve"> the Occupational Health and Safety Agency (</w:t>
      </w:r>
      <w:r w:rsidRPr="00977FC0">
        <w:rPr>
          <w:b/>
          <w:bCs/>
          <w:highlight w:val="cyan"/>
          <w:u w:val="single"/>
        </w:rPr>
        <w:t>OSHA</w:t>
      </w:r>
      <w:r w:rsidRPr="00A5244C">
        <w:t xml:space="preserve">) </w:t>
      </w:r>
      <w:r w:rsidRPr="00977FC0">
        <w:rPr>
          <w:b/>
          <w:bCs/>
          <w:highlight w:val="cyan"/>
          <w:u w:val="single"/>
        </w:rPr>
        <w:t>charged with workplace health and safety</w:t>
      </w:r>
      <w:r w:rsidRPr="00977FC0">
        <w:rPr>
          <w:b/>
          <w:bCs/>
          <w:u w:val="single"/>
        </w:rPr>
        <w:t xml:space="preserve"> </w:t>
      </w:r>
      <w:r w:rsidRPr="00A5244C">
        <w:t xml:space="preserve">(Rabinowitz, 2022). </w:t>
      </w:r>
      <w:r w:rsidRPr="00977FC0">
        <w:rPr>
          <w:u w:val="single"/>
        </w:rPr>
        <w:t xml:space="preserve">The post-pandemic recovery contributed to very tight labor markets and gave workers the upper hand over employers (Bivens and Banerjee, 2023). This was also coupled by a rapid increase in inflation –much of it led by firm profits. All of this increased the militancy of especially younger workers and an increasing number of unions (Glass, 2023). </w:t>
      </w:r>
    </w:p>
    <w:p w14:paraId="34B4FFCB" w14:textId="77777777" w:rsidR="00733FFE" w:rsidRPr="00A5244C" w:rsidRDefault="00733FFE" w:rsidP="00733FFE">
      <w:r w:rsidRPr="00A5244C">
        <w:t>These post pandemic labor shifts are also linked to important reforms regulating union organizing by the NLRB under the Biden Administration.</w:t>
      </w:r>
      <w:r w:rsidRPr="00A5244C">
        <w:footnoteReference w:id="1"/>
      </w:r>
      <w:r w:rsidRPr="00A5244C">
        <w:t xml:space="preserve"> These changes occur at a time when unions are beginning to do more organizing and bringing them to election. Thus in 2022 union recognition elections increased 49% over 2021 with unions winning 72% of unionization votes (Dirnbach, 2023). Most of these were accounted for by Starbuck Workers United who won 84% (231) of its certification elections in 2022.</w:t>
      </w:r>
    </w:p>
    <w:p w14:paraId="1EC5EF7B" w14:textId="77777777" w:rsidR="00733FFE" w:rsidRPr="00A5244C" w:rsidRDefault="00733FFE" w:rsidP="00733FFE">
      <w:r w:rsidRPr="00554184">
        <w:rPr>
          <w:u w:val="single"/>
        </w:rPr>
        <w:t>Arguably the most significant post-pandemic strike has been the UAW’s 150,000 members against the Big Three automakers—GM, Ford and Stellantis. The union demanded a reversal of concessions it made during the 2008-09 bailout of GM and Stellantis which included the use of tiers in which workers hired after the bailout received lower wages and benefits, the restoration of cost-of-living adjustments (COLA) and improved retiree pensions</w:t>
      </w:r>
      <w:r w:rsidRPr="00A5244C">
        <w:t>. The union also wanted to ensure that workers in Big Three electric vehicle (EV) battery and other plants are unionized and paid the same as assembly workers. In addition, the UAW demanded the right to strike and compensation if plants are closed because of the EV transition. The UAW shifted from its traditional pattern bargaining strategies by striking at all three major assemblers simultaneously, but just at selective plants</w:t>
      </w:r>
      <w:r w:rsidRPr="00A5244C">
        <w:footnoteReference w:id="2"/>
      </w:r>
      <w:r w:rsidRPr="00A5244C">
        <w:t>. This ‘Stand-Up’ strategy hearkens back to the UAW’s original “Sit Down’ tactics in the 1930s, but it is the framing of the strike by union leader Shawn Fain as a struggle for the entire US working class which is novel for recent US strikes.</w:t>
      </w:r>
      <w:r w:rsidRPr="00A5244C">
        <w:footnoteReference w:id="3"/>
      </w:r>
      <w:r w:rsidRPr="00A5244C">
        <w:t xml:space="preserve"> As I mention below the union did not secure all of its demands but the UAW was able to credibly claim that it won the strike by garnering much higher pay (25% over the life of the contract), the restoration of COLA, major steps to the end of tiering, the inclusion of battery plant workers in master contracts and the right to strike over plant closures.</w:t>
      </w:r>
    </w:p>
    <w:p w14:paraId="2A810845" w14:textId="77777777" w:rsidR="00733FFE" w:rsidRPr="00A5244C" w:rsidRDefault="00733FFE" w:rsidP="00733FFE">
      <w:r w:rsidRPr="00A5244C">
        <w:t>As critical as the union’s material gains were the UAW’s strike narrative was based on a strategy that winning their demands will signal to especially non-unionized auto workers, what can be achieved through unionization and strike action. Aided by NLRB union organizing rules it could not only assist the UAW, “but the Steelworkers….and the Machinists to organize the federal incentive–driven factories springing up in the historically anti-union South” (Meyerson, 2023, 4). Furthermore, the UAW has withheld any endorsement of Biden in the 2024 election, in part because in the unions’ view the Democrats have not made sufficient effort to tie EV transition subsidies to stronger labor standards and unionization. Because Biden needs union votes to win states like Michigan in 2024, he became the first sitting US president to stand on a picket line and endorse the UAW’s demands.</w:t>
      </w:r>
      <w:r w:rsidRPr="00A5244C">
        <w:footnoteReference w:id="4"/>
      </w:r>
      <w:r w:rsidRPr="00A5244C">
        <w:t xml:space="preserve"> This reversal of the usual deference by labor towards the Democrats illustrates the overt political nature of the strike (Savage, 2023).</w:t>
      </w:r>
    </w:p>
    <w:p w14:paraId="3326F697" w14:textId="77777777" w:rsidR="00733FFE" w:rsidRPr="00A5244C" w:rsidRDefault="00733FFE" w:rsidP="00733FFE">
      <w:r w:rsidRPr="00554184">
        <w:rPr>
          <w:u w:val="single"/>
        </w:rPr>
        <w:t>The current strike wave is also important for how it intersects with difference. Over the past decades, unions have become increasingly diverse.</w:t>
      </w:r>
      <w:r w:rsidRPr="00554184">
        <w:rPr>
          <w:u w:val="single"/>
        </w:rPr>
        <w:footnoteReference w:id="5"/>
      </w:r>
      <w:r w:rsidRPr="00554184">
        <w:rPr>
          <w:u w:val="single"/>
        </w:rPr>
        <w:t xml:space="preserve"> A successful strike by the UAW is also viewed as incentive for the many Black workers in non-unionized battery plants in the US South to unionize (Dallas Weekly, 2023). Overall, </w:t>
      </w:r>
      <w:r w:rsidRPr="00554184">
        <w:rPr>
          <w:b/>
          <w:bCs/>
          <w:u w:val="single"/>
        </w:rPr>
        <w:t>the growing diversity of unions matters in that both women and workers of color are better paid, and subject to less harassment than their non-unionized counterparts, while unionized Whites are more supportive of public policies favoring workers of color</w:t>
      </w:r>
      <w:r w:rsidRPr="00554184">
        <w:rPr>
          <w:u w:val="single"/>
        </w:rPr>
        <w:t xml:space="preserve"> (</w:t>
      </w:r>
      <w:proofErr w:type="spellStart"/>
      <w:r w:rsidRPr="00554184">
        <w:rPr>
          <w:u w:val="single"/>
        </w:rPr>
        <w:t>Frymer</w:t>
      </w:r>
      <w:proofErr w:type="spellEnd"/>
      <w:r w:rsidRPr="00554184">
        <w:rPr>
          <w:u w:val="single"/>
        </w:rPr>
        <w:t xml:space="preserve"> and </w:t>
      </w:r>
      <w:proofErr w:type="spellStart"/>
      <w:r w:rsidRPr="00554184">
        <w:rPr>
          <w:u w:val="single"/>
        </w:rPr>
        <w:t>Grumbach</w:t>
      </w:r>
      <w:proofErr w:type="spellEnd"/>
      <w:r w:rsidRPr="00554184">
        <w:rPr>
          <w:u w:val="single"/>
        </w:rPr>
        <w:t>, 2021; Bivens et al, 2023b</w:t>
      </w:r>
      <w:r w:rsidRPr="00A5244C">
        <w:t>). Finally, the UAW class framing of the strike matters to the great majority of US workers who are non-unionized workers. Not only have non-union assemblers raised worker wages in response to the UAW strike but there is considerable evidence that non-union workers in sectors and states with higher unionization also have better wages and conditions and benefit from more progressive government policies and programs (</w:t>
      </w:r>
      <w:proofErr w:type="spellStart"/>
      <w:r w:rsidRPr="00A5244C">
        <w:t>Banarjee</w:t>
      </w:r>
      <w:proofErr w:type="spellEnd"/>
      <w:r w:rsidRPr="00A5244C">
        <w:t>, et al, 2021).</w:t>
      </w:r>
      <w:r w:rsidRPr="00A5244C">
        <w:footnoteReference w:id="6"/>
      </w:r>
    </w:p>
    <w:p w14:paraId="78CEC92E" w14:textId="77777777" w:rsidR="00733FFE" w:rsidRPr="00A5244C" w:rsidRDefault="00733FFE" w:rsidP="00733FFE">
      <w:r w:rsidRPr="00A5244C">
        <w:t>What is to be Done?</w:t>
      </w:r>
    </w:p>
    <w:p w14:paraId="3008F11C" w14:textId="77777777" w:rsidR="00733FFE" w:rsidRPr="00A5244C" w:rsidRDefault="00733FFE" w:rsidP="00733FFE">
      <w:r w:rsidRPr="00A5244C">
        <w:t xml:space="preserve">The current US strike wave raises critical questions. Despite evidence of increasing public support and interest in unionization there are some doubts whether the ‘business union’ culture which characterizes many unions can adequately respond to this opportunity (Bohner, 2023). Many US unions have left the initiative for organizing to the Democratic Party to pass progressive legislation, but in the last 15 years the Democrats have proved either unable or -unwilling to pass either the Employee Free Choice Act or the Protecting the Right to Organize (PRO) Act. While recent reforms to NLRB legislation can make a positive difference to worker organizing funding cuts and understaffing means that its enforcement capabilities are inadequate (Glass, 2022).   </w:t>
      </w:r>
    </w:p>
    <w:p w14:paraId="62167B56" w14:textId="77777777" w:rsidR="00733FFE" w:rsidRPr="00A5244C" w:rsidRDefault="00733FFE" w:rsidP="00733FFE">
      <w:r w:rsidRPr="00A5244C">
        <w:t>There are also important questions concerning the trajectory of the current strike actions. The first is that it is that they remain scalarly limited. Thus far in 2023 there have been some 377 labor actions in 636 locations, but 80% of these have occurred in the LA/ Southern California, New York/ New England and the Seattle/Washington regions—that is, mostly highly urbanized locations (ILR Strike Tracker). Strike activity is thus almost wholly contained within the six states where nearly 50 percent of all US unionized workers are located (Dirnbach, 2023). The UAW and its Canadian counterpart UNIFOR also missed an opportunity to scale up their actions beyond national boundaries  based on their many common interests (Rosenfeld, 2023;Tufts, 2023)</w:t>
      </w:r>
      <w:r w:rsidRPr="00A5244C">
        <w:footnoteReference w:id="7"/>
      </w:r>
      <w:r w:rsidRPr="00A5244C">
        <w:t xml:space="preserve">. As noted above, the UAW strike did not win all of its very ambitious demands and this led to many assembly plant ‘legacy’ workers hired before 2008 voting against the agreement. Furthermore, while wages, tiering and benefits are understandably in the fore of union and worker concerns, another critical issue is their shopfloor strength because without this it is highly likely that firms will simply intensify work-- a strategy they have long adopted in the auto and logistics industry (Moody, 2018; Gindin, 2023). Firms may also take measures to reduce their vulnerability to strike action such as Ford’s recent decision to temporarily halt work on a Michigan battery plant or by shifting their investment strategies. More generally, current strikes also come at a conjuncture of favorable labor market conditions, and a more sympathetic federal administration. However, more important is an increasing militancy amongst especially younger workers and a greater commitment by some unions to organizing and to take strike action. These latter factors are important because while workers and unions have put employers on the defensive, firms will not always remain so, nor will tight labor or policy conditions necessarily continue. </w:t>
      </w:r>
    </w:p>
    <w:p w14:paraId="13868CFA" w14:textId="77777777" w:rsidR="00733FFE" w:rsidRPr="00A5244C" w:rsidRDefault="00733FFE" w:rsidP="00733FFE">
      <w:r w:rsidRPr="00A5244C">
        <w:t>Strikes can thus pose real risks for workers. Nonetheless, what Gindin (2023) calls ‘principled strikes’, that is, strikes undertaken by unions and workers who have democratically weighed the risks and benefits of striking, can serve to increase consciousness and solidarity amongst union members-- even if strikes may not achieve their immediate material objectives. As importantly, while the mainstream media often presents strikes as having negative impacts on public support for unions, research has found that in fact, it is the post-1980 decline in strikes that have contributed to this effect</w:t>
      </w:r>
      <w:r w:rsidRPr="00A5244C">
        <w:footnoteReference w:id="8"/>
      </w:r>
      <w:r w:rsidRPr="00A5244C">
        <w:t xml:space="preserve">. </w:t>
      </w:r>
    </w:p>
    <w:p w14:paraId="2BDB1A87" w14:textId="77777777" w:rsidR="00733FFE" w:rsidRPr="00A5244C" w:rsidRDefault="00733FFE" w:rsidP="00733FFE">
      <w:r w:rsidRPr="00A5244C">
        <w:t xml:space="preserve">A final question is what current strikes may portend for the political direction of the United States. In Lichtenstein’s (2023) view, current strikes signify that “We may live in a social democratic moment — not a revolutionary moment, but a social democratic moment”. That strikes may not promise more than social democratic changes reflects as Rogers (2022) argues that US workers are encumbered by labor laws designed to limit strikes within narrow economic and scalar boundaries. As </w:t>
      </w:r>
      <w:proofErr w:type="spellStart"/>
      <w:r w:rsidRPr="00A5244C">
        <w:t>Eidlin</w:t>
      </w:r>
      <w:proofErr w:type="spellEnd"/>
      <w:r w:rsidRPr="00A5244C">
        <w:t xml:space="preserve"> (2020) adds, this embeddedness means that unions are “…good [for workers] but are not good enough”.  Yet it is also apparent that strikes can have an unpredictable political and scalar dynamic. Furthermore, </w:t>
      </w:r>
      <w:proofErr w:type="spellStart"/>
      <w:r w:rsidRPr="00A5244C">
        <w:t>Eidlin</w:t>
      </w:r>
      <w:proofErr w:type="spellEnd"/>
      <w:r w:rsidRPr="00A5244C">
        <w:t xml:space="preserve"> (2020) concludes it is union organizing and day to day representation efforts that means they can build upon on more organic bottom and network-based activism.  </w:t>
      </w:r>
      <w:r w:rsidRPr="00C31FFF">
        <w:rPr>
          <w:b/>
          <w:bCs/>
          <w:highlight w:val="cyan"/>
          <w:u w:val="single"/>
        </w:rPr>
        <w:t xml:space="preserve">Unions can </w:t>
      </w:r>
      <w:r w:rsidRPr="00C560A4">
        <w:rPr>
          <w:b/>
          <w:bCs/>
          <w:u w:val="single"/>
        </w:rPr>
        <w:t xml:space="preserve">thus </w:t>
      </w:r>
      <w:r w:rsidRPr="00C31FFF">
        <w:rPr>
          <w:b/>
          <w:bCs/>
          <w:highlight w:val="cyan"/>
          <w:u w:val="single"/>
        </w:rPr>
        <w:t xml:space="preserve">lay the groundwork for </w:t>
      </w:r>
      <w:r w:rsidRPr="00C560A4">
        <w:rPr>
          <w:b/>
          <w:bCs/>
          <w:u w:val="single"/>
        </w:rPr>
        <w:t>future mobilization and organization</w:t>
      </w:r>
      <w:r w:rsidRPr="00DC5E55">
        <w:rPr>
          <w:b/>
          <w:bCs/>
          <w:u w:val="single"/>
        </w:rPr>
        <w:t xml:space="preserve"> </w:t>
      </w:r>
      <w:r w:rsidRPr="00C31FFF">
        <w:rPr>
          <w:b/>
          <w:bCs/>
          <w:highlight w:val="cyan"/>
          <w:u w:val="single"/>
        </w:rPr>
        <w:t xml:space="preserve">that can be sustained </w:t>
      </w:r>
      <w:r w:rsidRPr="00C560A4">
        <w:rPr>
          <w:b/>
          <w:bCs/>
          <w:u w:val="single"/>
        </w:rPr>
        <w:t>during times when conditions are not so favorable for workers.</w:t>
      </w:r>
      <w:r w:rsidRPr="00DC5E55">
        <w:rPr>
          <w:b/>
          <w:bCs/>
          <w:u w:val="single"/>
        </w:rPr>
        <w:t xml:space="preserve"> But </w:t>
      </w:r>
      <w:r w:rsidRPr="00C31FFF">
        <w:rPr>
          <w:b/>
          <w:bCs/>
          <w:highlight w:val="cyan"/>
          <w:u w:val="single"/>
        </w:rPr>
        <w:t xml:space="preserve">to do so </w:t>
      </w:r>
      <w:r w:rsidRPr="00C560A4">
        <w:rPr>
          <w:b/>
          <w:bCs/>
          <w:u w:val="single"/>
        </w:rPr>
        <w:t>unions and</w:t>
      </w:r>
      <w:r w:rsidRPr="00C31FFF">
        <w:rPr>
          <w:b/>
          <w:bCs/>
          <w:highlight w:val="cyan"/>
          <w:u w:val="single"/>
        </w:rPr>
        <w:t xml:space="preserve"> workers </w:t>
      </w:r>
      <w:r w:rsidRPr="00D371E3">
        <w:rPr>
          <w:b/>
          <w:bCs/>
          <w:u w:val="single"/>
        </w:rPr>
        <w:t xml:space="preserve">will </w:t>
      </w:r>
      <w:r w:rsidRPr="00C31FFF">
        <w:rPr>
          <w:b/>
          <w:bCs/>
          <w:highlight w:val="cyan"/>
          <w:u w:val="single"/>
        </w:rPr>
        <w:t>also need to scale up</w:t>
      </w:r>
      <w:r w:rsidRPr="00DC5E55">
        <w:rPr>
          <w:b/>
          <w:bCs/>
          <w:u w:val="single"/>
        </w:rPr>
        <w:t xml:space="preserve"> both in their </w:t>
      </w:r>
      <w:r w:rsidRPr="00C31FFF">
        <w:rPr>
          <w:b/>
          <w:bCs/>
          <w:highlight w:val="cyan"/>
          <w:u w:val="single"/>
        </w:rPr>
        <w:t>strike action</w:t>
      </w:r>
      <w:r w:rsidRPr="00DC5E55">
        <w:rPr>
          <w:b/>
          <w:bCs/>
          <w:u w:val="single"/>
        </w:rPr>
        <w:t xml:space="preserve"> and in passing stronger pro worker and union legislation</w:t>
      </w:r>
      <w:r w:rsidRPr="00DC5E55">
        <w:rPr>
          <w:b/>
          <w:bCs/>
          <w:u w:val="single"/>
        </w:rPr>
        <w:footnoteReference w:id="9"/>
      </w:r>
      <w:r w:rsidRPr="00DC5E55">
        <w:rPr>
          <w:b/>
          <w:bCs/>
          <w:u w:val="single"/>
        </w:rPr>
        <w:t xml:space="preserve">. Such </w:t>
      </w:r>
      <w:r w:rsidRPr="00C31FFF">
        <w:rPr>
          <w:b/>
          <w:bCs/>
          <w:highlight w:val="cyan"/>
          <w:u w:val="single"/>
        </w:rPr>
        <w:t>legislation</w:t>
      </w:r>
      <w:r w:rsidRPr="00DC5E55">
        <w:rPr>
          <w:b/>
          <w:bCs/>
          <w:u w:val="single"/>
        </w:rPr>
        <w:t xml:space="preserve"> is no substitute for the ability of workers to mobilize and take-action, but it </w:t>
      </w:r>
      <w:r w:rsidRPr="00C31FFF">
        <w:rPr>
          <w:b/>
          <w:bCs/>
          <w:highlight w:val="cyan"/>
          <w:u w:val="single"/>
        </w:rPr>
        <w:t xml:space="preserve">can provide an important legal basis </w:t>
      </w:r>
      <w:r w:rsidRPr="00C560A4">
        <w:rPr>
          <w:b/>
          <w:bCs/>
          <w:u w:val="single"/>
        </w:rPr>
        <w:t>for such agency</w:t>
      </w:r>
      <w:r w:rsidRPr="00DC5E55">
        <w:rPr>
          <w:b/>
          <w:bCs/>
          <w:u w:val="single"/>
        </w:rPr>
        <w:t xml:space="preserve"> (Rutherford, 2013).</w:t>
      </w:r>
      <w:r w:rsidRPr="00A5244C">
        <w:t xml:space="preserve"> </w:t>
      </w:r>
      <w:r w:rsidRPr="00C560A4">
        <w:rPr>
          <w:b/>
          <w:bCs/>
          <w:highlight w:val="cyan"/>
          <w:u w:val="single"/>
        </w:rPr>
        <w:t>If</w:t>
      </w:r>
      <w:r w:rsidRPr="00DC5E55">
        <w:rPr>
          <w:b/>
          <w:bCs/>
          <w:u w:val="single"/>
        </w:rPr>
        <w:t xml:space="preserve"> </w:t>
      </w:r>
      <w:r w:rsidRPr="00C31FFF">
        <w:rPr>
          <w:b/>
          <w:bCs/>
          <w:highlight w:val="cyan"/>
          <w:u w:val="single"/>
        </w:rPr>
        <w:t xml:space="preserve">labor is unable to scale up </w:t>
      </w:r>
      <w:r w:rsidRPr="00D371E3">
        <w:rPr>
          <w:b/>
          <w:bCs/>
          <w:u w:val="single"/>
        </w:rPr>
        <w:t xml:space="preserve">its power </w:t>
      </w:r>
      <w:r w:rsidRPr="00C560A4">
        <w:rPr>
          <w:b/>
          <w:bCs/>
          <w:u w:val="single"/>
        </w:rPr>
        <w:t>politically</w:t>
      </w:r>
      <w:r w:rsidRPr="00DC5E55">
        <w:rPr>
          <w:b/>
          <w:bCs/>
          <w:u w:val="single"/>
        </w:rPr>
        <w:t xml:space="preserve">, </w:t>
      </w:r>
      <w:r w:rsidRPr="00C31FFF">
        <w:rPr>
          <w:b/>
          <w:bCs/>
          <w:highlight w:val="cyan"/>
          <w:u w:val="single"/>
        </w:rPr>
        <w:t>it could risk</w:t>
      </w:r>
      <w:r w:rsidRPr="00DC5E55">
        <w:rPr>
          <w:b/>
          <w:bCs/>
          <w:u w:val="single"/>
        </w:rPr>
        <w:t xml:space="preserve"> </w:t>
      </w:r>
      <w:r w:rsidRPr="00C31FFF">
        <w:rPr>
          <w:b/>
          <w:bCs/>
          <w:highlight w:val="cyan"/>
          <w:u w:val="single"/>
        </w:rPr>
        <w:t>a second Taft-Hartley Act</w:t>
      </w:r>
      <w:r w:rsidRPr="00DC5E55">
        <w:rPr>
          <w:b/>
          <w:bCs/>
          <w:u w:val="single"/>
        </w:rPr>
        <w:t xml:space="preserve"> or worse—especially if the next federal administration is a Trump-led Republican one.</w:t>
      </w:r>
    </w:p>
    <w:p w14:paraId="0F95805E" w14:textId="77777777" w:rsidR="00733FFE" w:rsidRPr="00A5244C" w:rsidRDefault="00733FFE" w:rsidP="00733FFE">
      <w:r w:rsidRPr="00A5244C">
        <w:t>Conclusions</w:t>
      </w:r>
    </w:p>
    <w:p w14:paraId="756A4906" w14:textId="77777777" w:rsidR="00733FFE" w:rsidRPr="00DC5E55" w:rsidRDefault="00733FFE" w:rsidP="00733FFE">
      <w:pPr>
        <w:rPr>
          <w:b/>
          <w:bCs/>
          <w:u w:val="single"/>
        </w:rPr>
      </w:pPr>
      <w:r w:rsidRPr="00A5244C">
        <w:t xml:space="preserve">I have examined ongoing 2023 US strikes while setting them within the institutional and historical context of the post war American industrial relations paradigm. This paradigm was often challenged by workers, and after 1970 its decline also reflected deindustrialization, increasing employer attacks and state and legal shifts towards neoliberalism which contributed to the decline of unionization, strikes and deteriorating work conditions. However, especially after the 2008-09 crisis, these factors also laid the basis for increasing worker resistance. </w:t>
      </w:r>
      <w:r w:rsidRPr="00C31FFF">
        <w:rPr>
          <w:b/>
          <w:bCs/>
          <w:highlight w:val="cyan"/>
          <w:u w:val="single"/>
        </w:rPr>
        <w:t>The</w:t>
      </w:r>
      <w:r w:rsidRPr="00A5244C">
        <w:t xml:space="preserve"> </w:t>
      </w:r>
      <w:r w:rsidRPr="00DC5E55">
        <w:rPr>
          <w:b/>
          <w:bCs/>
          <w:u w:val="single"/>
        </w:rPr>
        <w:t xml:space="preserve">COVID </w:t>
      </w:r>
      <w:r w:rsidRPr="00C31FFF">
        <w:rPr>
          <w:b/>
          <w:bCs/>
          <w:highlight w:val="cyan"/>
          <w:u w:val="single"/>
        </w:rPr>
        <w:t>pandemic</w:t>
      </w:r>
      <w:r w:rsidRPr="00DC5E55">
        <w:rPr>
          <w:b/>
          <w:bCs/>
          <w:u w:val="single"/>
        </w:rPr>
        <w:t xml:space="preserve"> and its aftermath have </w:t>
      </w:r>
      <w:r w:rsidRPr="00C31FFF">
        <w:rPr>
          <w:b/>
          <w:bCs/>
          <w:highlight w:val="cyan"/>
          <w:u w:val="single"/>
        </w:rPr>
        <w:t>shifted labor market conditions</w:t>
      </w:r>
      <w:r w:rsidRPr="00DC5E55">
        <w:rPr>
          <w:b/>
          <w:bCs/>
          <w:u w:val="single"/>
        </w:rPr>
        <w:t xml:space="preserve"> in workers favor and contributed to the current strike wave and some strikes such as those by the UAW have been framed within a wider political and class narrative. </w:t>
      </w:r>
      <w:r w:rsidRPr="00C560A4">
        <w:rPr>
          <w:b/>
          <w:bCs/>
          <w:u w:val="single"/>
        </w:rPr>
        <w:t>Nonetheless</w:t>
      </w:r>
      <w:r w:rsidRPr="00C31FFF">
        <w:rPr>
          <w:b/>
          <w:bCs/>
          <w:highlight w:val="cyan"/>
          <w:u w:val="single"/>
        </w:rPr>
        <w:t>, the trajectory of these strikes is in question.</w:t>
      </w:r>
      <w:r w:rsidRPr="00DC5E55">
        <w:rPr>
          <w:b/>
          <w:bCs/>
          <w:u w:val="single"/>
        </w:rPr>
        <w:t xml:space="preserve"> </w:t>
      </w:r>
      <w:r w:rsidRPr="00C31FFF">
        <w:rPr>
          <w:b/>
          <w:bCs/>
          <w:highlight w:val="cyan"/>
          <w:u w:val="single"/>
        </w:rPr>
        <w:t>Whether</w:t>
      </w:r>
      <w:r w:rsidRPr="00DC5E55">
        <w:rPr>
          <w:b/>
          <w:bCs/>
          <w:u w:val="single"/>
        </w:rPr>
        <w:t xml:space="preserve"> </w:t>
      </w:r>
      <w:r w:rsidRPr="00C31FFF">
        <w:rPr>
          <w:b/>
          <w:bCs/>
          <w:highlight w:val="cyan"/>
          <w:u w:val="single"/>
        </w:rPr>
        <w:t xml:space="preserve">they can lead to </w:t>
      </w:r>
      <w:r w:rsidRPr="00C560A4">
        <w:rPr>
          <w:b/>
          <w:bCs/>
          <w:u w:val="single"/>
        </w:rPr>
        <w:t>a</w:t>
      </w:r>
      <w:r w:rsidRPr="00C31FFF">
        <w:rPr>
          <w:b/>
          <w:bCs/>
          <w:highlight w:val="cyan"/>
          <w:u w:val="single"/>
        </w:rPr>
        <w:t xml:space="preserve"> sustained increase in </w:t>
      </w:r>
      <w:r w:rsidRPr="00C560A4">
        <w:rPr>
          <w:b/>
          <w:bCs/>
          <w:u w:val="single"/>
        </w:rPr>
        <w:t xml:space="preserve">American </w:t>
      </w:r>
      <w:r w:rsidRPr="00C31FFF">
        <w:rPr>
          <w:b/>
          <w:bCs/>
          <w:highlight w:val="cyan"/>
          <w:u w:val="single"/>
        </w:rPr>
        <w:t xml:space="preserve">worker’s power depends on </w:t>
      </w:r>
      <w:r w:rsidRPr="00C560A4">
        <w:rPr>
          <w:b/>
          <w:bCs/>
          <w:u w:val="single"/>
        </w:rPr>
        <w:t xml:space="preserve">their ability to </w:t>
      </w:r>
      <w:r w:rsidRPr="00C560A4">
        <w:rPr>
          <w:b/>
          <w:bCs/>
          <w:highlight w:val="cyan"/>
          <w:u w:val="single"/>
        </w:rPr>
        <w:t>scale</w:t>
      </w:r>
      <w:r w:rsidRPr="00C560A4">
        <w:rPr>
          <w:b/>
          <w:bCs/>
          <w:u w:val="single"/>
        </w:rPr>
        <w:t xml:space="preserve"> up both through organizing and politically via the state.</w:t>
      </w:r>
    </w:p>
    <w:p w14:paraId="6EB2B812" w14:textId="77777777" w:rsidR="00733FFE" w:rsidRPr="00733FFE" w:rsidRDefault="00733FFE" w:rsidP="00733FFE"/>
    <w:p w14:paraId="583DF896" w14:textId="77777777" w:rsidR="00B0347D" w:rsidRDefault="00B0347D" w:rsidP="00B0347D"/>
    <w:p w14:paraId="48C48C6B" w14:textId="77777777" w:rsidR="00B0347D" w:rsidRDefault="00B0347D" w:rsidP="00B0347D"/>
    <w:p w14:paraId="0D0D63A2" w14:textId="77777777" w:rsidR="00043739" w:rsidRPr="00641D34" w:rsidRDefault="00043739" w:rsidP="00043739">
      <w:pPr>
        <w:rPr>
          <w:u w:val="single"/>
        </w:rPr>
      </w:pPr>
    </w:p>
    <w:p w14:paraId="55B3E3B0" w14:textId="77777777" w:rsidR="00043739" w:rsidRDefault="00043739" w:rsidP="00043739">
      <w:pPr>
        <w:rPr>
          <w:rFonts w:asciiTheme="minorHAnsi" w:hAnsiTheme="minorHAnsi" w:cstheme="minorBidi"/>
        </w:rPr>
      </w:pPr>
    </w:p>
    <w:p w14:paraId="7132CCB9" w14:textId="421E21F3" w:rsidR="00043739" w:rsidRDefault="00E861F0" w:rsidP="00E861F0">
      <w:pPr>
        <w:pStyle w:val="Heading3"/>
      </w:pPr>
      <w:r>
        <w:t>1AC---Advantage---Healthcare Strikes</w:t>
      </w:r>
    </w:p>
    <w:p w14:paraId="44E4C3BA" w14:textId="77777777" w:rsidR="00043739" w:rsidRPr="00EC420D" w:rsidRDefault="00043739" w:rsidP="00043739">
      <w:pPr>
        <w:pStyle w:val="Heading4"/>
      </w:pPr>
      <w:r w:rsidRPr="00756390">
        <w:t xml:space="preserve">Healthcare </w:t>
      </w:r>
      <w:r>
        <w:t xml:space="preserve">strikes are critical </w:t>
      </w:r>
      <w:r>
        <w:rPr>
          <w:u w:val="single"/>
        </w:rPr>
        <w:t>today</w:t>
      </w:r>
      <w:r>
        <w:t xml:space="preserve"> </w:t>
      </w:r>
    </w:p>
    <w:p w14:paraId="17358D6A" w14:textId="77777777" w:rsidR="00043739" w:rsidRPr="00756390" w:rsidRDefault="00043739" w:rsidP="00043739">
      <w:r w:rsidRPr="00756390">
        <w:rPr>
          <w:rStyle w:val="Style13ptBold"/>
        </w:rPr>
        <w:t>Essex &amp; Weldon 2022</w:t>
      </w:r>
      <w:r w:rsidRPr="00756390">
        <w:t xml:space="preserve"> [Ryan, University of Greenwich, The George Institute for Global Health  Sharon Marie, University of Greenwich  The justification for strike action in healthcare: A systematic critical interpretive synthesis </w:t>
      </w:r>
      <w:hyperlink r:id="rId11" w:history="1">
        <w:r w:rsidRPr="00756390">
          <w:rPr>
            <w:rStyle w:val="Hyperlink"/>
          </w:rPr>
          <w:t>https://doi.org/10.1177/0969733021102241</w:t>
        </w:r>
      </w:hyperlink>
      <w:r w:rsidRPr="00756390">
        <w:t xml:space="preserve"> Accessed 12/19/2025DMW]</w:t>
      </w:r>
    </w:p>
    <w:p w14:paraId="7C7EE2FC" w14:textId="77777777" w:rsidR="00043739" w:rsidRPr="00756390" w:rsidRDefault="00043739" w:rsidP="00043739">
      <w:r w:rsidRPr="00756390">
        <w:t>Future Directions and Conclusions</w:t>
      </w:r>
    </w:p>
    <w:p w14:paraId="2AD6E8B1" w14:textId="77777777" w:rsidR="00043739" w:rsidRPr="00756390" w:rsidRDefault="00043739" w:rsidP="00043739">
      <w:r w:rsidRPr="00756390">
        <w:rPr>
          <w:rStyle w:val="StyleUnderline"/>
        </w:rPr>
        <w:t>Given</w:t>
      </w:r>
      <w:r w:rsidRPr="00756390">
        <w:t xml:space="preserve"> the </w:t>
      </w:r>
      <w:r w:rsidRPr="00756390">
        <w:rPr>
          <w:rStyle w:val="StyleUnderline"/>
        </w:rPr>
        <w:t>frequency and high stakes nature of strike action, it is perhaps surprising there has not been more discussion on these issues</w:t>
      </w:r>
      <w:r w:rsidRPr="00756390">
        <w:t xml:space="preserve">. Needless to say, </w:t>
      </w:r>
      <w:r w:rsidRPr="00756390">
        <w:rPr>
          <w:rStyle w:val="StyleUnderline"/>
        </w:rPr>
        <w:t>there is scope to advance</w:t>
      </w:r>
      <w:r w:rsidRPr="00756390">
        <w:t xml:space="preserve"> this literature </w:t>
      </w:r>
      <w:r w:rsidRPr="00756390">
        <w:rPr>
          <w:rStyle w:val="StyleUnderline"/>
        </w:rPr>
        <w:t>in a number of ways. Many of the issues related to whether a strike is permissible relate to fundamental assumptions</w:t>
      </w:r>
      <w:r w:rsidRPr="00756390">
        <w:t xml:space="preserve"> in what it is that healthcare workers owe to their patients and society. </w:t>
      </w:r>
      <w:r w:rsidRPr="00DB4EE0">
        <w:rPr>
          <w:b/>
          <w:bCs/>
        </w:rPr>
        <w:t xml:space="preserve">While </w:t>
      </w:r>
      <w:r w:rsidRPr="00DB4EE0">
        <w:rPr>
          <w:rStyle w:val="StyleUnderline"/>
          <w:b/>
          <w:bCs/>
        </w:rPr>
        <w:t>there has been substantial discussion on this topic more generally, we know relatively little in regards to how healthcare workers and, in particular, patients</w:t>
      </w:r>
      <w:r w:rsidRPr="00DB4EE0">
        <w:rPr>
          <w:b/>
          <w:bCs/>
        </w:rPr>
        <w:t xml:space="preserve"> </w:t>
      </w:r>
      <w:r w:rsidRPr="00DB4EE0">
        <w:rPr>
          <w:rStyle w:val="StyleUnderline"/>
          <w:b/>
          <w:bCs/>
        </w:rPr>
        <w:t>and the public perceive healthcare strikes</w:t>
      </w:r>
      <w:r w:rsidRPr="00DB4EE0">
        <w:rPr>
          <w:b/>
          <w:bCs/>
        </w:rPr>
        <w:t>.</w:t>
      </w:r>
      <w:r w:rsidRPr="00756390">
        <w:t xml:space="preserve"> Arguments could be made from this position that healthcare workers have both obligations to their patients and society more broadly, particularly in maintaining a functioning healthcare system, for example. On the contrary, </w:t>
      </w:r>
      <w:r w:rsidRPr="00DB4EE0">
        <w:rPr>
          <w:b/>
          <w:bCs/>
        </w:rPr>
        <w:t xml:space="preserve">it </w:t>
      </w:r>
      <w:r w:rsidRPr="00DB4EE0">
        <w:rPr>
          <w:rStyle w:val="StyleUnderline"/>
          <w:b/>
          <w:bCs/>
        </w:rPr>
        <w:t>could be argued that a healthcare worker’s overriding obligation is to their patient</w:t>
      </w:r>
      <w:r w:rsidRPr="00756390">
        <w:rPr>
          <w:rStyle w:val="StyleUnderline"/>
        </w:rPr>
        <w:t>.</w:t>
      </w:r>
      <w:r w:rsidRPr="00756390">
        <w:t xml:space="preserve"> Greater work could be done to explore these assumptions along with their implications related to strike action. </w:t>
      </w:r>
      <w:r w:rsidRPr="00756390">
        <w:rPr>
          <w:rStyle w:val="StyleUnderline"/>
        </w:rPr>
        <w:t>There also appears to be greater scope to explore how structural and systemic issues impact strike action</w:t>
      </w:r>
      <w:r w:rsidRPr="00756390">
        <w:t xml:space="preserve">. While a number of authors have argued that </w:t>
      </w:r>
      <w:r w:rsidRPr="00756390">
        <w:rPr>
          <w:rStyle w:val="StyleUnderline"/>
        </w:rPr>
        <w:t>strike action is not solely an individual responsibility and instead usually due to multiple structural failings, there is scope to probe this point in theoretical and empirical work</w:t>
      </w:r>
      <w:r w:rsidRPr="00756390">
        <w:t xml:space="preserve"> and how historical, structural, social and systemic factors influence strike action, for example, the study by Kowalchuk.40 Further </w:t>
      </w:r>
      <w:r w:rsidRPr="007B210A">
        <w:rPr>
          <w:rStyle w:val="StyleUnderline"/>
          <w:b/>
          <w:bCs/>
          <w:highlight w:val="cyan"/>
        </w:rPr>
        <w:t>attention should also be given to how a strike is conducte</w:t>
      </w:r>
      <w:r w:rsidRPr="007B210A">
        <w:rPr>
          <w:rStyle w:val="StyleUnderline"/>
          <w:highlight w:val="cyan"/>
        </w:rPr>
        <w:t>d</w:t>
      </w:r>
      <w:r w:rsidRPr="00756390">
        <w:t xml:space="preserve">, more could be said about the context in which strikes occur, their demands, contingencies put in place during strike action and how these actions are framed. In advancing their arguments, a number of papers examined here appear to have made assumptions about the nature of strike action, </w:t>
      </w:r>
      <w:r w:rsidRPr="00756390">
        <w:rPr>
          <w:rStyle w:val="StyleUnderline"/>
        </w:rPr>
        <w:t>for example, doctors being well-paid. While true in most of the global North, this cannot be said everywhere in the world. It may be that doctors in certain parts of the world are less justified in striking for increases in pay than others</w:t>
      </w:r>
      <w:r w:rsidRPr="00756390">
        <w:t xml:space="preserve">, in lower income countries, for example. It may be that striking is not justified in authoritarian countries because of the risks it carries. Furthermore, </w:t>
      </w:r>
      <w:r w:rsidRPr="007B210A">
        <w:rPr>
          <w:rStyle w:val="StyleUnderline"/>
          <w:b/>
          <w:bCs/>
          <w:highlight w:val="cyan"/>
        </w:rPr>
        <w:t>little has been said about</w:t>
      </w:r>
      <w:r w:rsidRPr="00DB4EE0">
        <w:rPr>
          <w:rStyle w:val="StyleUnderline"/>
          <w:b/>
          <w:bCs/>
        </w:rPr>
        <w:t xml:space="preserve"> the dynamic nature of </w:t>
      </w:r>
      <w:r w:rsidRPr="007B210A">
        <w:rPr>
          <w:rStyle w:val="StyleUnderline"/>
          <w:b/>
          <w:bCs/>
          <w:highlight w:val="cyan"/>
        </w:rPr>
        <w:t>strike action</w:t>
      </w:r>
      <w:r w:rsidRPr="007B210A">
        <w:rPr>
          <w:rStyle w:val="StyleUnderline"/>
          <w:highlight w:val="cyan"/>
        </w:rPr>
        <w:t>,</w:t>
      </w:r>
      <w:r w:rsidRPr="00756390">
        <w:rPr>
          <w:rStyle w:val="StyleUnderline"/>
        </w:rPr>
        <w:t xml:space="preserve"> particularly for those which are protracted; risks, demands and the nature of the strike</w:t>
      </w:r>
      <w:r w:rsidRPr="00756390">
        <w:t xml:space="preserve"> can often evolve, shifting the calculus as to whether such action is justified. Closely related to this point, there is a need to tie this literature in with the existing empirical evidence. Over a number of decades, </w:t>
      </w:r>
      <w:r w:rsidRPr="00756390">
        <w:rPr>
          <w:rStyle w:val="StyleUnderline"/>
        </w:rPr>
        <w:t>empirical evidence about the impact of strike action has grown; broadly, this literature examines the impact of strikes on patient outcomes and healthcare delivery.</w:t>
      </w:r>
      <w:r w:rsidRPr="00756390">
        <w:t xml:space="preserve"> While it is beyond the scope of this article to discuss this literature in any detail, it should be said that this liter</w:t>
      </w:r>
      <w:r w:rsidRPr="00756390">
        <w:rPr>
          <w:rStyle w:val="StyleUnderline"/>
        </w:rPr>
        <w:t>ature does not paint a clear picture about the impact of strike action and, if anything, there are a number of studies that have shown that if contingencies are put in place, patient outcomes are minimally impacted as are the delivery of services</w:t>
      </w:r>
      <w:r w:rsidRPr="00756390">
        <w:t>.41,42</w:t>
      </w:r>
    </w:p>
    <w:p w14:paraId="11A98D9E" w14:textId="77777777" w:rsidR="00043739" w:rsidRPr="00756390" w:rsidRDefault="00043739" w:rsidP="00043739">
      <w:r w:rsidRPr="00DB4EE0">
        <w:rPr>
          <w:rStyle w:val="StyleUnderline"/>
          <w:b/>
          <w:bCs/>
        </w:rPr>
        <w:t xml:space="preserve">Over the last several decades, </w:t>
      </w:r>
      <w:r w:rsidRPr="007B210A">
        <w:rPr>
          <w:rStyle w:val="StyleUnderline"/>
          <w:b/>
          <w:bCs/>
          <w:highlight w:val="cyan"/>
        </w:rPr>
        <w:t>strike action in healthcare has been common</w:t>
      </w:r>
      <w:r w:rsidRPr="00DB4EE0">
        <w:rPr>
          <w:rStyle w:val="StyleUnderline"/>
          <w:b/>
          <w:bCs/>
        </w:rPr>
        <w:t xml:space="preserve">, even over the last 18 months, during the COVID-19 pandemic, </w:t>
      </w:r>
      <w:r w:rsidRPr="007B210A">
        <w:rPr>
          <w:rStyle w:val="StyleUnderline"/>
          <w:b/>
          <w:bCs/>
          <w:highlight w:val="cyan"/>
        </w:rPr>
        <w:t xml:space="preserve">the world has </w:t>
      </w:r>
      <w:r w:rsidRPr="00884C09">
        <w:rPr>
          <w:rStyle w:val="StyleUnderline"/>
          <w:b/>
          <w:bCs/>
        </w:rPr>
        <w:t xml:space="preserve">arguably </w:t>
      </w:r>
      <w:r w:rsidRPr="007B210A">
        <w:rPr>
          <w:rStyle w:val="StyleUnderline"/>
          <w:b/>
          <w:bCs/>
          <w:highlight w:val="cyan"/>
        </w:rPr>
        <w:t>witnessed an uptick in strikes</w:t>
      </w:r>
      <w:r w:rsidRPr="00DB4EE0">
        <w:rPr>
          <w:rStyle w:val="StyleUnderline"/>
          <w:b/>
          <w:bCs/>
        </w:rPr>
        <w:t xml:space="preserve"> and unrest among healthcare workers</w:t>
      </w:r>
      <w:r w:rsidRPr="00756390">
        <w:t xml:space="preserve">.43 These </w:t>
      </w:r>
      <w:r w:rsidRPr="007B210A">
        <w:rPr>
          <w:rStyle w:val="StyleUnderline"/>
          <w:b/>
          <w:bCs/>
          <w:highlight w:val="cyan"/>
        </w:rPr>
        <w:t>issues are unlikely to dissipate,</w:t>
      </w:r>
      <w:r w:rsidRPr="00DB4EE0">
        <w:rPr>
          <w:rStyle w:val="StyleUnderline"/>
          <w:b/>
          <w:bCs/>
        </w:rPr>
        <w:t xml:space="preserve"> with the ongoing impact of the pandemic, along with </w:t>
      </w:r>
      <w:r w:rsidRPr="00884C09">
        <w:rPr>
          <w:rStyle w:val="StyleUnderline"/>
          <w:b/>
          <w:bCs/>
        </w:rPr>
        <w:t>decades of neglect combining to present unprecedented challenges</w:t>
      </w:r>
      <w:r w:rsidRPr="00756390">
        <w:t xml:space="preserve"> for healthcare workers. We hope that the above review begins to not only shed light on some of the more controversial issues related to such action, but also to provide some direction in moving conversations forward on these issues. Strike action will unfortunately remain a feature of many health workplaces into the foreseeable future; questions about how such action can be undertaken while </w:t>
      </w:r>
      <w:proofErr w:type="spellStart"/>
      <w:r w:rsidRPr="00756390">
        <w:t>minimising</w:t>
      </w:r>
      <w:proofErr w:type="spellEnd"/>
      <w:r w:rsidRPr="00756390">
        <w:t xml:space="preserve"> the risk to patients and others remain as pressing as ever.</w:t>
      </w:r>
    </w:p>
    <w:p w14:paraId="42EAA4D8" w14:textId="77777777" w:rsidR="00CD5AAB" w:rsidRDefault="00CD5AAB" w:rsidP="00043739"/>
    <w:p w14:paraId="53ABB2C8" w14:textId="77777777" w:rsidR="00CD5AAB" w:rsidRDefault="00CD5AAB" w:rsidP="00043739"/>
    <w:p w14:paraId="5085952C" w14:textId="0A1AB3C2" w:rsidR="0085751E" w:rsidRPr="00647C43" w:rsidRDefault="008B33EB" w:rsidP="0085751E">
      <w:pPr>
        <w:pStyle w:val="Heading4"/>
      </w:pPr>
      <w:r>
        <w:t>Specifically, n</w:t>
      </w:r>
      <w:r w:rsidR="007D6786">
        <w:t>urse b</w:t>
      </w:r>
      <w:r w:rsidR="00647C43">
        <w:t xml:space="preserve">urnout is high </w:t>
      </w:r>
      <w:r w:rsidR="00647C43">
        <w:rPr>
          <w:u w:val="single"/>
        </w:rPr>
        <w:t>and</w:t>
      </w:r>
      <w:r w:rsidR="00647C43">
        <w:t xml:space="preserve"> growing now</w:t>
      </w:r>
    </w:p>
    <w:p w14:paraId="2FB8A9E7" w14:textId="77777777" w:rsidR="0085751E" w:rsidRPr="00756390" w:rsidRDefault="0085751E" w:rsidP="0085751E">
      <w:proofErr w:type="spellStart"/>
      <w:r w:rsidRPr="00756390">
        <w:rPr>
          <w:rStyle w:val="Style13ptBold"/>
        </w:rPr>
        <w:t>Bakhamis</w:t>
      </w:r>
      <w:proofErr w:type="spellEnd"/>
      <w:r w:rsidRPr="00756390">
        <w:rPr>
          <w:rStyle w:val="Style13ptBold"/>
        </w:rPr>
        <w:t>, et al 2019</w:t>
      </w:r>
      <w:r w:rsidRPr="00756390">
        <w:t xml:space="preserve"> [Lama MS; Paul, David P. III DDS, PhD, MBA, MA; Smith, Harlan PhD; </w:t>
      </w:r>
      <w:proofErr w:type="spellStart"/>
      <w:r w:rsidRPr="00756390">
        <w:t>Coustasse</w:t>
      </w:r>
      <w:proofErr w:type="spellEnd"/>
      <w:r w:rsidRPr="00756390">
        <w:t xml:space="preserve">, Alberto DrPH, MD, MBA, MPH Still an Epidemic The Burnout Syndrome in Hospital Registered Nurses The Health Care Manager 38(1):p 3-10, 1/3 2019. | DOI: 10.1097/HCM.0000000000000243 </w:t>
      </w:r>
      <w:hyperlink r:id="rId12" w:history="1">
        <w:r w:rsidRPr="00756390">
          <w:rPr>
            <w:rStyle w:val="Hyperlink"/>
          </w:rPr>
          <w:t>https://journals.lww.com/healthcaremanagerjournal/fulltext/2019/01000/still_an_epidemic__the_burnout_syndrome_in.2.aspx</w:t>
        </w:r>
      </w:hyperlink>
      <w:r w:rsidRPr="00756390">
        <w:t xml:space="preserve"> Accessed 12/23/2025DMW]</w:t>
      </w:r>
    </w:p>
    <w:p w14:paraId="5A5AD27E" w14:textId="77777777" w:rsidR="0085751E" w:rsidRPr="00756390" w:rsidRDefault="0085751E" w:rsidP="0085751E">
      <w:r w:rsidRPr="00756390">
        <w:t>IN 2014, ACCORDING to the US Bureau of Labor Statistics, 2.</w:t>
      </w:r>
      <w:r w:rsidRPr="00756390">
        <w:rPr>
          <w:rStyle w:val="StyleUnderline"/>
        </w:rPr>
        <w:t>8 million registered nurses (RNs) worked in the US health care system, 1.708 million of whom were employed in hospitals</w:t>
      </w:r>
      <w:r w:rsidRPr="00756390">
        <w:t xml:space="preserve">.1 But </w:t>
      </w:r>
      <w:r w:rsidRPr="00756390">
        <w:rPr>
          <w:rStyle w:val="StyleUnderline"/>
        </w:rPr>
        <w:t>only 708 300 physicians and surgeons were employed in the US health care system during 2014</w:t>
      </w:r>
      <w:r w:rsidRPr="00756390">
        <w:t xml:space="preserve">.2 Registered nurses are thus critical in providing health care to US citizens. The number of employed RNs, moreover, has been on the rise: </w:t>
      </w:r>
      <w:r w:rsidRPr="00756390">
        <w:rPr>
          <w:rStyle w:val="StyleUnderline"/>
        </w:rPr>
        <w:t>the</w:t>
      </w:r>
      <w:r w:rsidRPr="00756390">
        <w:t xml:space="preserve"> US </w:t>
      </w:r>
      <w:r w:rsidRPr="00756390">
        <w:rPr>
          <w:rStyle w:val="StyleUnderline"/>
        </w:rPr>
        <w:t>Department of Labor forecasts that the nursing workforce will grow 16% between 2010 and 2024</w:t>
      </w:r>
      <w:r w:rsidRPr="00756390">
        <w:t>.3</w:t>
      </w:r>
    </w:p>
    <w:p w14:paraId="694A01DD" w14:textId="77777777" w:rsidR="0085751E" w:rsidRPr="006610F1" w:rsidRDefault="0085751E" w:rsidP="0085751E">
      <w:pPr>
        <w:rPr>
          <w:b/>
          <w:bCs/>
          <w:u w:val="single"/>
        </w:rPr>
      </w:pPr>
      <w:r w:rsidRPr="008C707A">
        <w:rPr>
          <w:b/>
          <w:bCs/>
          <w:u w:val="single"/>
        </w:rPr>
        <w:t>The</w:t>
      </w:r>
      <w:r w:rsidRPr="008C707A">
        <w:t xml:space="preserve"> </w:t>
      </w:r>
      <w:r w:rsidRPr="008C707A">
        <w:rPr>
          <w:rStyle w:val="StyleUnderline"/>
          <w:b/>
          <w:bCs/>
        </w:rPr>
        <w:t>supply of RNs relative to the size of the US population, however, remains low,</w:t>
      </w:r>
      <w:r w:rsidRPr="006610F1">
        <w:rPr>
          <w:rStyle w:val="StyleUnderline"/>
          <w:b/>
          <w:bCs/>
        </w:rPr>
        <w:t xml:space="preserve"> and the shortage has recently grown to more than a million</w:t>
      </w:r>
      <w:r w:rsidRPr="00756390">
        <w:t xml:space="preserve">, double that of just a few years ago.4 As of 2010, there were </w:t>
      </w:r>
      <w:r w:rsidRPr="00756390">
        <w:rPr>
          <w:rStyle w:val="StyleUnderline"/>
        </w:rPr>
        <w:t>921</w:t>
      </w:r>
      <w:r w:rsidRPr="00756390">
        <w:t xml:space="preserve"> </w:t>
      </w:r>
      <w:r w:rsidRPr="00756390">
        <w:rPr>
          <w:rStyle w:val="StyleUnderline"/>
        </w:rPr>
        <w:t>RNs for every 100 000 US citizens. Registered nurses density varies significantly across states as well,</w:t>
      </w:r>
      <w:r w:rsidRPr="00756390">
        <w:t xml:space="preserve"> ranging from 1247.7 RNs per 100 000 individuals in South Dakota to 677 RNs per 100 000 populations in Idaho.5 According to </w:t>
      </w:r>
      <w:proofErr w:type="spellStart"/>
      <w:r w:rsidRPr="00756390">
        <w:t>Carayon</w:t>
      </w:r>
      <w:proofErr w:type="spellEnd"/>
      <w:r w:rsidRPr="00756390">
        <w:t xml:space="preserve"> and </w:t>
      </w:r>
      <w:proofErr w:type="spellStart"/>
      <w:r w:rsidRPr="00756390">
        <w:t>Gurses,6</w:t>
      </w:r>
      <w:proofErr w:type="spellEnd"/>
      <w:r w:rsidRPr="00756390">
        <w:t xml:space="preserve"> </w:t>
      </w:r>
      <w:r w:rsidRPr="002B5127">
        <w:rPr>
          <w:rStyle w:val="StyleUnderline"/>
          <w:b/>
          <w:bCs/>
          <w:highlight w:val="cyan"/>
        </w:rPr>
        <w:t xml:space="preserve">low levels of staffing, </w:t>
      </w:r>
      <w:r w:rsidRPr="008157C8">
        <w:rPr>
          <w:rStyle w:val="StyleUnderline"/>
          <w:b/>
          <w:bCs/>
        </w:rPr>
        <w:t>when combined with the aging US population and changes in the health care environment</w:t>
      </w:r>
      <w:r w:rsidRPr="00756390">
        <w:t xml:space="preserve"> (eg, more emphasis on containing costs), </w:t>
      </w:r>
      <w:r w:rsidRPr="002B5127">
        <w:rPr>
          <w:rStyle w:val="StyleUnderline"/>
          <w:b/>
          <w:bCs/>
          <w:highlight w:val="cyan"/>
        </w:rPr>
        <w:t>have meant</w:t>
      </w:r>
      <w:r w:rsidRPr="006610F1">
        <w:rPr>
          <w:rStyle w:val="StyleUnderline"/>
          <w:b/>
          <w:bCs/>
        </w:rPr>
        <w:t xml:space="preserve"> that </w:t>
      </w:r>
      <w:r w:rsidRPr="002B5127">
        <w:rPr>
          <w:rStyle w:val="StyleUnderline"/>
          <w:b/>
          <w:bCs/>
          <w:highlight w:val="cyan"/>
        </w:rPr>
        <w:t>RNs are experiencing a heavier</w:t>
      </w:r>
      <w:r w:rsidRPr="006610F1">
        <w:rPr>
          <w:rStyle w:val="StyleUnderline"/>
          <w:b/>
          <w:bCs/>
        </w:rPr>
        <w:t xml:space="preserve">, more demanding </w:t>
      </w:r>
      <w:r w:rsidRPr="002B5127">
        <w:rPr>
          <w:rStyle w:val="StyleUnderline"/>
          <w:b/>
          <w:bCs/>
          <w:highlight w:val="cyan"/>
        </w:rPr>
        <w:t>workload</w:t>
      </w:r>
      <w:r w:rsidRPr="006610F1">
        <w:rPr>
          <w:b/>
          <w:bCs/>
          <w:u w:val="single"/>
        </w:rPr>
        <w:t xml:space="preserve"> than ever before.</w:t>
      </w:r>
    </w:p>
    <w:p w14:paraId="5736702C" w14:textId="77777777" w:rsidR="0085751E" w:rsidRPr="006610F1" w:rsidRDefault="0085751E" w:rsidP="0085751E">
      <w:pPr>
        <w:rPr>
          <w:b/>
          <w:bCs/>
        </w:rPr>
      </w:pPr>
      <w:r w:rsidRPr="002B5127">
        <w:rPr>
          <w:rStyle w:val="StyleUnderline"/>
          <w:b/>
          <w:bCs/>
          <w:highlight w:val="cyan"/>
        </w:rPr>
        <w:t>The result</w:t>
      </w:r>
      <w:r w:rsidRPr="006610F1">
        <w:rPr>
          <w:b/>
          <w:bCs/>
        </w:rPr>
        <w:t xml:space="preserve"> for some RNs </w:t>
      </w:r>
      <w:r w:rsidRPr="006610F1">
        <w:rPr>
          <w:rStyle w:val="StyleUnderline"/>
          <w:b/>
          <w:bCs/>
        </w:rPr>
        <w:t xml:space="preserve">has been </w:t>
      </w:r>
      <w:r w:rsidRPr="002B5127">
        <w:rPr>
          <w:rStyle w:val="StyleUnderline"/>
          <w:b/>
          <w:bCs/>
          <w:highlight w:val="cyan"/>
        </w:rPr>
        <w:t>burnout</w:t>
      </w:r>
      <w:r w:rsidRPr="00756390">
        <w:rPr>
          <w:rStyle w:val="StyleUnderline"/>
        </w:rPr>
        <w:t>—</w:t>
      </w:r>
      <w:r w:rsidRPr="000E7674">
        <w:rPr>
          <w:rStyle w:val="StyleUnderline"/>
          <w:b/>
          <w:bCs/>
        </w:rPr>
        <w:t>a state of</w:t>
      </w:r>
      <w:r w:rsidRPr="002B5127">
        <w:rPr>
          <w:rStyle w:val="StyleUnderline"/>
          <w:b/>
          <w:bCs/>
          <w:highlight w:val="cyan"/>
        </w:rPr>
        <w:t xml:space="preserve"> emotional exhaustion</w:t>
      </w:r>
      <w:r w:rsidRPr="006610F1">
        <w:rPr>
          <w:rStyle w:val="StyleUnderline"/>
          <w:b/>
          <w:bCs/>
        </w:rPr>
        <w:t xml:space="preserve"> where the individual feels overwhelmed by work to the point of feeling fatigued, unable to face the demands of the job, and unable to engage with others.</w:t>
      </w:r>
      <w:r w:rsidRPr="00756390">
        <w:rPr>
          <w:rStyle w:val="StyleUnderline"/>
        </w:rPr>
        <w:t xml:space="preserve">7 </w:t>
      </w:r>
      <w:r w:rsidRPr="006610F1">
        <w:rPr>
          <w:rStyle w:val="StyleUnderline"/>
          <w:b/>
          <w:bCs/>
        </w:rPr>
        <w:t>The affected individual may develop a sense of cynical detachment</w:t>
      </w:r>
      <w:r w:rsidRPr="00756390">
        <w:t xml:space="preserve"> from work and view others, especially patients, as objects. </w:t>
      </w:r>
      <w:r w:rsidRPr="00BF24FC">
        <w:rPr>
          <w:rStyle w:val="StyleUnderline"/>
          <w:b/>
          <w:bCs/>
        </w:rPr>
        <w:t>As fatigue, exhaustion, and detachment coalesce</w:t>
      </w:r>
      <w:r w:rsidRPr="006610F1">
        <w:rPr>
          <w:rStyle w:val="StyleUnderline"/>
          <w:b/>
          <w:bCs/>
        </w:rPr>
        <w:t xml:space="preserve">, affected </w:t>
      </w:r>
      <w:r w:rsidRPr="002B5127">
        <w:rPr>
          <w:rStyle w:val="StyleUnderline"/>
          <w:b/>
          <w:bCs/>
          <w:highlight w:val="cyan"/>
        </w:rPr>
        <w:t>individuals</w:t>
      </w:r>
      <w:r w:rsidRPr="006610F1">
        <w:rPr>
          <w:rStyle w:val="StyleUnderline"/>
          <w:b/>
          <w:bCs/>
        </w:rPr>
        <w:t xml:space="preserve"> often </w:t>
      </w:r>
      <w:r w:rsidRPr="002B5127">
        <w:rPr>
          <w:rStyle w:val="StyleUnderline"/>
          <w:b/>
          <w:bCs/>
          <w:highlight w:val="cyan"/>
        </w:rPr>
        <w:t>become ineffective at work</w:t>
      </w:r>
      <w:r w:rsidRPr="006610F1">
        <w:rPr>
          <w:rStyle w:val="StyleUnderline"/>
          <w:b/>
          <w:bCs/>
        </w:rPr>
        <w:t xml:space="preserve"> of the loss of the ability to contribute</w:t>
      </w:r>
      <w:r w:rsidRPr="006610F1">
        <w:rPr>
          <w:b/>
          <w:bCs/>
        </w:rPr>
        <w:t xml:space="preserve"> meaningfully. The </w:t>
      </w:r>
      <w:r w:rsidRPr="006610F1">
        <w:rPr>
          <w:rStyle w:val="StyleUnderline"/>
          <w:b/>
          <w:bCs/>
        </w:rPr>
        <w:t xml:space="preserve">incidence of </w:t>
      </w:r>
      <w:r w:rsidRPr="002B5127">
        <w:rPr>
          <w:rStyle w:val="StyleUnderline"/>
          <w:b/>
          <w:bCs/>
          <w:highlight w:val="cyan"/>
        </w:rPr>
        <w:t xml:space="preserve">burnout in RNs </w:t>
      </w:r>
      <w:r w:rsidRPr="007E7CF7">
        <w:rPr>
          <w:rStyle w:val="StyleUnderline"/>
          <w:b/>
          <w:bCs/>
        </w:rPr>
        <w:t>has been</w:t>
      </w:r>
      <w:r w:rsidRPr="006610F1">
        <w:rPr>
          <w:rStyle w:val="StyleUnderline"/>
          <w:b/>
          <w:bCs/>
        </w:rPr>
        <w:t xml:space="preserve"> shown to be </w:t>
      </w:r>
      <w:r w:rsidRPr="002B5127">
        <w:rPr>
          <w:rStyle w:val="StyleUnderline"/>
          <w:b/>
          <w:bCs/>
          <w:highlight w:val="cyan"/>
        </w:rPr>
        <w:t>as high as 70%.</w:t>
      </w:r>
      <w:r w:rsidRPr="006610F1">
        <w:rPr>
          <w:b/>
          <w:bCs/>
        </w:rPr>
        <w:t>7</w:t>
      </w:r>
    </w:p>
    <w:p w14:paraId="5E7A2F9C" w14:textId="77777777" w:rsidR="0085751E" w:rsidRPr="00756390" w:rsidRDefault="0085751E" w:rsidP="0085751E">
      <w:r w:rsidRPr="00756390">
        <w:t>Register</w:t>
      </w:r>
      <w:r w:rsidRPr="007808D3">
        <w:t xml:space="preserve">ed </w:t>
      </w:r>
      <w:r w:rsidRPr="007808D3">
        <w:rPr>
          <w:rStyle w:val="StyleUnderline"/>
          <w:b/>
          <w:bCs/>
        </w:rPr>
        <w:t>nurses not only experience challenging work conditions involving long hours and little appreciation, but are also paid relatively poorly</w:t>
      </w:r>
      <w:r w:rsidRPr="007808D3">
        <w:rPr>
          <w:b/>
          <w:bCs/>
        </w:rPr>
        <w:t>:</w:t>
      </w:r>
      <w:r w:rsidRPr="007808D3">
        <w:t xml:space="preserve"> RN</w:t>
      </w:r>
      <w:r w:rsidRPr="00756390">
        <w:t xml:space="preserve"> wages average between $3400 and $7700 per month, depending on the hospital and its location.8 These </w:t>
      </w:r>
      <w:r w:rsidRPr="00756390">
        <w:rPr>
          <w:rStyle w:val="StyleUnderline"/>
        </w:rPr>
        <w:t>stressors have contributed to high rates of burnout among new nurses: up to 65% of those in the study reviewed have left their jobs as a result, which has contributed to a nursing shortage.</w:t>
      </w:r>
      <w:r w:rsidRPr="00756390">
        <w:t xml:space="preserve">9 </w:t>
      </w:r>
      <w:r w:rsidRPr="002B5127">
        <w:rPr>
          <w:rStyle w:val="StyleUnderline"/>
          <w:b/>
          <w:bCs/>
          <w:highlight w:val="cyan"/>
        </w:rPr>
        <w:t>This shortage is significant</w:t>
      </w:r>
      <w:r w:rsidRPr="006610F1">
        <w:rPr>
          <w:rStyle w:val="StyleUnderline"/>
          <w:b/>
          <w:bCs/>
        </w:rPr>
        <w:t xml:space="preserve">, </w:t>
      </w:r>
      <w:r w:rsidRPr="002B5127">
        <w:rPr>
          <w:rStyle w:val="StyleUnderline"/>
          <w:b/>
          <w:bCs/>
          <w:highlight w:val="cyan"/>
        </w:rPr>
        <w:t>and the situation is likely to become worse</w:t>
      </w:r>
      <w:r w:rsidRPr="006610F1">
        <w:rPr>
          <w:b/>
          <w:bCs/>
        </w:rPr>
        <w:t>.</w:t>
      </w:r>
      <w:r w:rsidRPr="00756390">
        <w:t xml:space="preserve"> There will be an estimated 1.2 million vacancies in nurse positions between 2014 and 2020, and more than 55% of current RNs are 50 years or older and expect to retire within 5 to 10 years.10 On the demand side of the health care system, an </w:t>
      </w:r>
      <w:r w:rsidRPr="00756390">
        <w:rPr>
          <w:rStyle w:val="StyleUnderline"/>
        </w:rPr>
        <w:t xml:space="preserve">aging population will exacerbate the nursing shortage: the number of hospital patients has increased in the last 10 years and is expected to increase in the next 30 years. </w:t>
      </w:r>
      <w:r w:rsidRPr="00756390">
        <w:t>The numbers gap between RNs and patients will likely continue to grow.11</w:t>
      </w:r>
    </w:p>
    <w:p w14:paraId="10815588" w14:textId="77777777" w:rsidR="0085751E" w:rsidRPr="00756390" w:rsidRDefault="0085751E" w:rsidP="0085751E">
      <w:r w:rsidRPr="00756390">
        <w:t xml:space="preserve">The American psychologist, Herbert Freudenberger, first used the term “burnout” in the 1970s to describe the result of unyielding stress and high standards experienced by people working in hospitals.12 However, the leading measure of burnout syndrome is the Maslach Burnout Inventory (MBI),13 which tracks the </w:t>
      </w:r>
      <w:r w:rsidRPr="00756390">
        <w:rPr>
          <w:rStyle w:val="StyleUnderline"/>
        </w:rPr>
        <w:t>incidence of burnout along 3 main dimensions: emotional exhaustion, depersonalization, and inefficacy</w:t>
      </w:r>
      <w:r w:rsidRPr="00756390">
        <w:t xml:space="preserve">.10,14,15 Emotional exhaustion refers to the overwhelming exhaustion that can come from constant work under demanding conditions. Depersonalization refers to the sensation of being detached and insensate to the care and treatment of patients. </w:t>
      </w:r>
      <w:r w:rsidRPr="007663E4">
        <w:rPr>
          <w:rStyle w:val="StyleUnderline"/>
          <w:b/>
          <w:bCs/>
        </w:rPr>
        <w:t>When an RN becomes detached from his or her job, this could contribute to destructive feelings that lead to negative impacts on the effectiveness or quality of services</w:t>
      </w:r>
      <w:r w:rsidRPr="006610F1">
        <w:rPr>
          <w:rStyle w:val="StyleUnderline"/>
          <w:b/>
          <w:bCs/>
        </w:rPr>
        <w:t xml:space="preserve"> provided to patients.16 The Inefficacy scale captures the impact of burnout on the person's sense of accomplishment and achievement on the job</w:t>
      </w:r>
      <w:r w:rsidRPr="00756390">
        <w:t>. Maslach et al17 have identified inefficacy as a situation in which one's sense of personal achievement on the job is minimal and note that this dimension is the most complex of the three.</w:t>
      </w:r>
    </w:p>
    <w:p w14:paraId="3D6EBEB8" w14:textId="571CE1E7" w:rsidR="008B33EB" w:rsidRDefault="00740352" w:rsidP="008B33EB">
      <w:pPr>
        <w:pStyle w:val="Heading4"/>
      </w:pPr>
      <w:r>
        <w:t xml:space="preserve">Improving working conditions </w:t>
      </w:r>
      <w:r>
        <w:rPr>
          <w:u w:val="single"/>
        </w:rPr>
        <w:t>prevent</w:t>
      </w:r>
      <w:r>
        <w:t xml:space="preserve"> nurse burnout</w:t>
      </w:r>
      <w:r w:rsidR="008B33EB">
        <w:t xml:space="preserve"> </w:t>
      </w:r>
    </w:p>
    <w:p w14:paraId="5C976DE0" w14:textId="77777777" w:rsidR="008B33EB" w:rsidRDefault="008B33EB" w:rsidP="008B33EB">
      <w:r w:rsidRPr="00554753">
        <w:rPr>
          <w:rStyle w:val="Heading4Char"/>
        </w:rPr>
        <w:t>Çelik et al 2023</w:t>
      </w:r>
      <w:r>
        <w:t xml:space="preserve"> [Sevilay Şenol PhD, Professor Koç University School of Nursing, Istanbul, Turkey RN, </w:t>
      </w:r>
      <w:proofErr w:type="spellStart"/>
      <w:r>
        <w:t>Seda</w:t>
      </w:r>
      <w:proofErr w:type="spellEnd"/>
      <w:r>
        <w:t xml:space="preserve"> </w:t>
      </w:r>
      <w:proofErr w:type="spellStart"/>
      <w:r>
        <w:t>Sariköse</w:t>
      </w:r>
      <w:proofErr w:type="spellEnd"/>
      <w:r>
        <w:t xml:space="preserve"> RN, </w:t>
      </w:r>
      <w:proofErr w:type="spellStart"/>
      <w:r>
        <w:t>MSc</w:t>
      </w:r>
      <w:proofErr w:type="spellEnd"/>
      <w:r>
        <w:t xml:space="preserve">, PhD Candidate Koç University Graduate School of Health Sciences, Yusuf Çelik Faculty of Health Sciences, Department of Health Management, Marmara University PhD Structural and psychological empowerment and burnout among nurses: A systematic review and meta-analysis International Nursing ReviewVolume 71, Issue 1 pp. 189-201 </w:t>
      </w:r>
      <w:hyperlink r:id="rId13" w:history="1">
        <w:r w:rsidRPr="00B83F51">
          <w:rPr>
            <w:rStyle w:val="Hyperlink"/>
          </w:rPr>
          <w:t>https://onlinelibrary.wiley.com/doi/10.1111/inr.12878</w:t>
        </w:r>
      </w:hyperlink>
      <w:r>
        <w:t xml:space="preserve"> Accessed 1/27/2026DMW]</w:t>
      </w:r>
    </w:p>
    <w:p w14:paraId="385F2183" w14:textId="77777777" w:rsidR="008B33EB" w:rsidRPr="001D5A2F" w:rsidRDefault="008B33EB" w:rsidP="008B33EB">
      <w:pPr>
        <w:rPr>
          <w:sz w:val="16"/>
        </w:rPr>
      </w:pPr>
      <w:r w:rsidRPr="001D5A2F">
        <w:rPr>
          <w:sz w:val="16"/>
        </w:rPr>
        <w:t xml:space="preserve">Some of the pooled </w:t>
      </w:r>
      <w:r w:rsidRPr="00641D34">
        <w:rPr>
          <w:rStyle w:val="StyleUnderline"/>
          <w:highlight w:val="cyan"/>
        </w:rPr>
        <w:t>studies in our meta-analysis reported unexpected and positive correlations between certain subdimensions of SE and burnout</w:t>
      </w:r>
      <w:r w:rsidRPr="001D5A2F">
        <w:rPr>
          <w:sz w:val="16"/>
        </w:rPr>
        <w:t xml:space="preserve">. For instance, Wang's study (2013) in China reported unexpected relationships among the three subdimensions (opportunities and informal and formal power) of SE and the EE and DP dimensions of MBI. Similarly, Laschinger (2013) found an unexpected relationship between access to opportunities and EE in Canada, while El </w:t>
      </w:r>
      <w:proofErr w:type="spellStart"/>
      <w:r w:rsidRPr="001D5A2F">
        <w:rPr>
          <w:sz w:val="16"/>
        </w:rPr>
        <w:t>Dahshan</w:t>
      </w:r>
      <w:proofErr w:type="spellEnd"/>
      <w:r w:rsidRPr="001D5A2F">
        <w:rPr>
          <w:sz w:val="16"/>
        </w:rPr>
        <w:t xml:space="preserve"> and </w:t>
      </w:r>
      <w:proofErr w:type="spellStart"/>
      <w:r w:rsidRPr="001D5A2F">
        <w:rPr>
          <w:sz w:val="16"/>
        </w:rPr>
        <w:t>Dorgham</w:t>
      </w:r>
      <w:proofErr w:type="spellEnd"/>
      <w:r w:rsidRPr="001D5A2F">
        <w:rPr>
          <w:sz w:val="16"/>
        </w:rPr>
        <w:t xml:space="preserve"> (2013) reported a positive correlation between formal/informal power and DP in Egypt. Wang (2013) reported another unexpected correlation between total SE and PA with a correlation coefficient of 0.05. </w:t>
      </w:r>
      <w:r w:rsidRPr="00641D34">
        <w:rPr>
          <w:rStyle w:val="StyleUnderline"/>
          <w:highlight w:val="cyan"/>
        </w:rPr>
        <w:t>Although</w:t>
      </w:r>
      <w:r w:rsidRPr="001D5A2F">
        <w:rPr>
          <w:rStyle w:val="StyleUnderline"/>
        </w:rPr>
        <w:t xml:space="preserve"> the </w:t>
      </w:r>
      <w:r w:rsidRPr="00641D34">
        <w:rPr>
          <w:rStyle w:val="StyleUnderline"/>
          <w:highlight w:val="cyan"/>
        </w:rPr>
        <w:t>unexpected correlation coefficients ar</w:t>
      </w:r>
      <w:r w:rsidRPr="001D5A2F">
        <w:rPr>
          <w:rStyle w:val="StyleUnderline"/>
        </w:rPr>
        <w:t xml:space="preserve">e very </w:t>
      </w:r>
      <w:r w:rsidRPr="00641D34">
        <w:rPr>
          <w:rStyle w:val="StyleUnderline"/>
          <w:highlight w:val="cyan"/>
        </w:rPr>
        <w:t>small</w:t>
      </w:r>
      <w:r w:rsidRPr="001D5A2F">
        <w:rPr>
          <w:rStyle w:val="StyleUnderline"/>
        </w:rPr>
        <w:t xml:space="preserve"> ranging from 0.01 to 0.06 and not statistically significant, </w:t>
      </w:r>
      <w:r w:rsidRPr="00641D34">
        <w:rPr>
          <w:rStyle w:val="StyleUnderline"/>
          <w:highlight w:val="cyan"/>
        </w:rPr>
        <w:t>they</w:t>
      </w:r>
      <w:r w:rsidRPr="001D5A2F">
        <w:rPr>
          <w:rStyle w:val="StyleUnderline"/>
        </w:rPr>
        <w:t xml:space="preserve"> still </w:t>
      </w:r>
      <w:r w:rsidRPr="00641D34">
        <w:rPr>
          <w:rStyle w:val="StyleUnderline"/>
          <w:highlight w:val="cyan"/>
        </w:rPr>
        <w:t>need to be explained</w:t>
      </w:r>
      <w:r w:rsidRPr="001D5A2F">
        <w:rPr>
          <w:sz w:val="16"/>
        </w:rPr>
        <w:t xml:space="preserve">. These unexpected findings could be due to variations among countries, studies or organizational characteristics. The </w:t>
      </w:r>
      <w:r w:rsidRPr="001D5A2F">
        <w:rPr>
          <w:rStyle w:val="StyleUnderline"/>
        </w:rPr>
        <w:t>findings from China may be explained by the fact that the nurses included in the study were registered nurses. They may already have been empowered and had lower levels of burnout depersonalization</w:t>
      </w:r>
      <w:r w:rsidRPr="001D5A2F">
        <w:rPr>
          <w:sz w:val="16"/>
        </w:rPr>
        <w:t xml:space="preserve">. Wang et al. (2013) concluded that the </w:t>
      </w:r>
      <w:r w:rsidRPr="001D5A2F">
        <w:rPr>
          <w:rStyle w:val="StyleUnderline"/>
        </w:rPr>
        <w:t>levels of work empowerment in China were lower than those reported by previous studies from Canada</w:t>
      </w:r>
      <w:r w:rsidRPr="001D5A2F">
        <w:rPr>
          <w:sz w:val="16"/>
        </w:rPr>
        <w:t xml:space="preserve">. To explain this finding, Wang et al. concluded that some hospital managers and nursing supervisors in China were more focused on scientific management and not much interested in management or the empowerment theory. Furthermore, they reported that </w:t>
      </w:r>
      <w:r w:rsidRPr="001D5A2F">
        <w:rPr>
          <w:rStyle w:val="StyleUnderline"/>
        </w:rPr>
        <w:t>the organizational structures of public hospitals in China were still centralized; thus, hospital managers and nursing supervisors could not empower nurses as much as they would like</w:t>
      </w:r>
      <w:r w:rsidRPr="001D5A2F">
        <w:rPr>
          <w:sz w:val="16"/>
        </w:rPr>
        <w:t xml:space="preserve">. Obviously, the unexpected finding (the positive association between access to opportunities and EE) from China resulted from the nurse population included in that study. Laschinger et al. (2013) </w:t>
      </w:r>
      <w:proofErr w:type="spellStart"/>
      <w:r w:rsidRPr="001D5A2F">
        <w:rPr>
          <w:sz w:val="16"/>
        </w:rPr>
        <w:t>analysed</w:t>
      </w:r>
      <w:proofErr w:type="spellEnd"/>
      <w:r w:rsidRPr="001D5A2F">
        <w:rPr>
          <w:sz w:val="16"/>
        </w:rPr>
        <w:t xml:space="preserve"> data from two individual studies, which included experienced and inexperienced nurses to investigate the relationship between SE and burnout. </w:t>
      </w:r>
      <w:r w:rsidRPr="001D5A2F">
        <w:rPr>
          <w:rStyle w:val="StyleUnderline"/>
        </w:rPr>
        <w:t>The authors discussed how</w:t>
      </w:r>
      <w:r w:rsidRPr="001D5A2F">
        <w:rPr>
          <w:rStyle w:val="Emphasis"/>
        </w:rPr>
        <w:t xml:space="preserve"> experienced nurses, compared with new graduates, were able to make better use of empowering work structures through knowledge and experience; thus, benefiting from access to these conditions</w:t>
      </w:r>
      <w:r w:rsidRPr="001D5A2F">
        <w:rPr>
          <w:sz w:val="16"/>
        </w:rPr>
        <w:t xml:space="preserve">. The positive and unexpected relationship between informal power and DP reported from Egypt was explained by the fact that the nurses in the sample worked in specialized units such as critical care, </w:t>
      </w:r>
      <w:proofErr w:type="spellStart"/>
      <w:r w:rsidRPr="001D5A2F">
        <w:rPr>
          <w:sz w:val="16"/>
        </w:rPr>
        <w:t>haemodialysis</w:t>
      </w:r>
      <w:proofErr w:type="spellEnd"/>
      <w:r w:rsidRPr="001D5A2F">
        <w:rPr>
          <w:sz w:val="16"/>
        </w:rPr>
        <w:t xml:space="preserve"> and burn units (El </w:t>
      </w:r>
      <w:proofErr w:type="spellStart"/>
      <w:r w:rsidRPr="001D5A2F">
        <w:rPr>
          <w:sz w:val="16"/>
        </w:rPr>
        <w:t>Dahshan</w:t>
      </w:r>
      <w:proofErr w:type="spellEnd"/>
      <w:r w:rsidRPr="001D5A2F">
        <w:rPr>
          <w:sz w:val="16"/>
        </w:rPr>
        <w:t xml:space="preserve"> &amp; </w:t>
      </w:r>
      <w:proofErr w:type="spellStart"/>
      <w:r w:rsidRPr="001D5A2F">
        <w:rPr>
          <w:sz w:val="16"/>
        </w:rPr>
        <w:t>Dorgham</w:t>
      </w:r>
      <w:proofErr w:type="spellEnd"/>
      <w:r w:rsidRPr="001D5A2F">
        <w:rPr>
          <w:sz w:val="16"/>
        </w:rPr>
        <w:t xml:space="preserve">, 2013). </w:t>
      </w:r>
      <w:r w:rsidRPr="001D5A2F">
        <w:rPr>
          <w:rStyle w:val="StyleUnderline"/>
        </w:rPr>
        <w:t>It needs to be noted that these unexpected findings do not diminish the importance of empowerment in terms of power and opportunity, both of which are necessary for organizational effectiveness and success</w:t>
      </w:r>
      <w:r w:rsidRPr="001D5A2F">
        <w:rPr>
          <w:sz w:val="16"/>
        </w:rPr>
        <w:t xml:space="preserve"> in any organization and should be available to all employees. Even if SE is adequate, nurses may suffer from EE, DP or personal failure due to feelings of inadequacy and concerns about not meeting the expectations and goals of the healthcare organization. Furthermore, </w:t>
      </w:r>
      <w:r w:rsidRPr="00641D34">
        <w:rPr>
          <w:rStyle w:val="StyleUnderline"/>
          <w:highlight w:val="cyan"/>
        </w:rPr>
        <w:t>personal characteristics may contribute to feelings of powerlessness</w:t>
      </w:r>
      <w:r w:rsidRPr="001D5A2F">
        <w:rPr>
          <w:rStyle w:val="StyleUnderline"/>
        </w:rPr>
        <w:t xml:space="preserve">, EE, DP and autonomy limitations, </w:t>
      </w:r>
      <w:r w:rsidRPr="00641D34">
        <w:rPr>
          <w:rStyle w:val="StyleUnderline"/>
          <w:highlight w:val="cyan"/>
        </w:rPr>
        <w:t>leading to problems in performing the nursing profession</w:t>
      </w:r>
      <w:r w:rsidRPr="001D5A2F">
        <w:rPr>
          <w:sz w:val="16"/>
        </w:rPr>
        <w:t xml:space="preserve"> (</w:t>
      </w:r>
      <w:proofErr w:type="spellStart"/>
      <w:r w:rsidRPr="001D5A2F">
        <w:rPr>
          <w:sz w:val="16"/>
        </w:rPr>
        <w:t>Dall'Ora</w:t>
      </w:r>
      <w:proofErr w:type="spellEnd"/>
      <w:r w:rsidRPr="001D5A2F">
        <w:rPr>
          <w:sz w:val="16"/>
        </w:rPr>
        <w:t xml:space="preserve"> et al., 2020).</w:t>
      </w:r>
    </w:p>
    <w:p w14:paraId="34957116" w14:textId="77777777" w:rsidR="008B33EB" w:rsidRPr="001D5A2F" w:rsidRDefault="008B33EB" w:rsidP="008B33EB">
      <w:pPr>
        <w:rPr>
          <w:sz w:val="16"/>
        </w:rPr>
      </w:pPr>
      <w:r w:rsidRPr="001D5A2F">
        <w:rPr>
          <w:sz w:val="16"/>
        </w:rPr>
        <w:t xml:space="preserve">The results of this study provide evidence to support the significant relationship between SE/PE and burnout levels among nurses. </w:t>
      </w:r>
      <w:r w:rsidRPr="00641D34">
        <w:rPr>
          <w:rStyle w:val="StyleUnderline"/>
          <w:highlight w:val="cyan"/>
        </w:rPr>
        <w:t>This highlights the important need for the implementation of appropriate measures to decrease burnout levels. Nurse empowerment would be the key to the implementation of such measures, particularly during extraordinary, unexpected and emerging problems and crises. Moreover, studies indicate that newly graduated nurses often face personal and organizational challenges</w:t>
      </w:r>
      <w:r w:rsidRPr="001D5A2F">
        <w:rPr>
          <w:rStyle w:val="StyleUnderline"/>
        </w:rPr>
        <w:t xml:space="preserve"> such as burnout, decreased job satisfaction and turnover intention due to the reality shock during the transition</w:t>
      </w:r>
      <w:r w:rsidRPr="001D5A2F">
        <w:rPr>
          <w:sz w:val="16"/>
        </w:rPr>
        <w:t xml:space="preserve"> period (Laschinger &amp; Leiter, 2006; Kuokkanen et al., 2016). In line with these findings, the World Health Organization (WHO) has emphasized the need to increase the participation and retention of newly graduated nurses in the healthcare system by 8% by the year 2030 (WHO, 2020). Furthermore, in view of such findings and reports, the </w:t>
      </w:r>
      <w:r w:rsidRPr="001D5A2F">
        <w:rPr>
          <w:rStyle w:val="StyleUnderline"/>
        </w:rPr>
        <w:t>results of this study provide evidence for the development of policies and practices for the empowerment of new graduate nurses based on structural and psychological empowerment</w:t>
      </w:r>
      <w:r w:rsidRPr="001D5A2F">
        <w:rPr>
          <w:sz w:val="16"/>
        </w:rPr>
        <w:t xml:space="preserve"> theories.</w:t>
      </w:r>
    </w:p>
    <w:p w14:paraId="6420324E" w14:textId="77777777" w:rsidR="008B33EB" w:rsidRPr="001D5A2F" w:rsidRDefault="008B33EB" w:rsidP="008B33EB">
      <w:pPr>
        <w:rPr>
          <w:sz w:val="16"/>
        </w:rPr>
      </w:pPr>
      <w:r w:rsidRPr="001D5A2F">
        <w:rPr>
          <w:sz w:val="16"/>
        </w:rPr>
        <w:t>Limitations and strengths</w:t>
      </w:r>
    </w:p>
    <w:p w14:paraId="4236C7F5" w14:textId="77777777" w:rsidR="008B33EB" w:rsidRPr="001D5A2F" w:rsidRDefault="008B33EB" w:rsidP="008B33EB">
      <w:pPr>
        <w:rPr>
          <w:sz w:val="16"/>
        </w:rPr>
      </w:pPr>
      <w:r w:rsidRPr="001D5A2F">
        <w:rPr>
          <w:sz w:val="16"/>
        </w:rPr>
        <w:t>Through an analysis of the evidence reported by several countries, this study provides further evidence about the associations between nurse empowerment and burnout. The analysis of the evidence in the literature is the main strength of this study because most previous studies are either descriptive or focus only on the specific aspects of empowerment or burnout rather than considering all aspects of the subject matter comprehensively. The quality of the results and evidence relies on the number and quality of studies included in the reviews. However, despite the extensive search and selection strategy, all relevant studies may not have been identified during the search process. There may have been a risk of information bias due to the exclusion of studies published in languages other than English and Turkish.</w:t>
      </w:r>
    </w:p>
    <w:p w14:paraId="4AA1D1E1" w14:textId="77777777" w:rsidR="008B33EB" w:rsidRPr="001D5A2F" w:rsidRDefault="008B33EB" w:rsidP="008B33EB">
      <w:pPr>
        <w:rPr>
          <w:sz w:val="16"/>
        </w:rPr>
      </w:pPr>
      <w:r w:rsidRPr="001D5A2F">
        <w:rPr>
          <w:sz w:val="16"/>
        </w:rPr>
        <w:t>CONCLUSIONS</w:t>
      </w:r>
    </w:p>
    <w:p w14:paraId="3CFD7057" w14:textId="77777777" w:rsidR="008B33EB" w:rsidRPr="001D5A2F" w:rsidRDefault="008B33EB" w:rsidP="008B33EB">
      <w:pPr>
        <w:rPr>
          <w:sz w:val="16"/>
        </w:rPr>
      </w:pPr>
      <w:r w:rsidRPr="001D5A2F">
        <w:rPr>
          <w:rStyle w:val="StyleUnderline"/>
        </w:rPr>
        <w:t>The results of this study, in response to the research questions exploring the relationship between structural empowerment, psychological empowerment and burnout, demonstrate that both structural and psychological empowerment decreases nurses’ burnout levels regardless of the work setting</w:t>
      </w:r>
      <w:r w:rsidRPr="001D5A2F">
        <w:rPr>
          <w:sz w:val="16"/>
        </w:rPr>
        <w:t xml:space="preserve">. Therefore, </w:t>
      </w:r>
      <w:r w:rsidRPr="00641D34">
        <w:rPr>
          <w:rStyle w:val="Emphasis"/>
          <w:highlight w:val="cyan"/>
        </w:rPr>
        <w:t xml:space="preserve">healthcare providers and nurse managers should </w:t>
      </w:r>
      <w:proofErr w:type="spellStart"/>
      <w:r w:rsidRPr="00641D34">
        <w:rPr>
          <w:rStyle w:val="Emphasis"/>
          <w:highlight w:val="cyan"/>
        </w:rPr>
        <w:t>endeavour</w:t>
      </w:r>
      <w:proofErr w:type="spellEnd"/>
      <w:r w:rsidRPr="00641D34">
        <w:rPr>
          <w:rStyle w:val="Emphasis"/>
          <w:highlight w:val="cyan"/>
        </w:rPr>
        <w:t xml:space="preserve"> to create better working conditions, which will prevent burnout syndrome and eventually improve the quality and safety of healthcare services, enhancing nurses' commitment</w:t>
      </w:r>
      <w:r w:rsidRPr="001D5A2F">
        <w:rPr>
          <w:rStyle w:val="Emphasis"/>
        </w:rPr>
        <w:t xml:space="preserve"> to the profession</w:t>
      </w:r>
      <w:r w:rsidRPr="001D5A2F">
        <w:rPr>
          <w:sz w:val="16"/>
        </w:rPr>
        <w:t xml:space="preserve"> and loyalty to their organizations.</w:t>
      </w:r>
    </w:p>
    <w:p w14:paraId="61CB9E02" w14:textId="77777777" w:rsidR="008B33EB" w:rsidRPr="001D5A2F" w:rsidRDefault="008B33EB" w:rsidP="008B33EB">
      <w:pPr>
        <w:rPr>
          <w:sz w:val="16"/>
        </w:rPr>
      </w:pPr>
      <w:r w:rsidRPr="001D5A2F">
        <w:rPr>
          <w:sz w:val="16"/>
        </w:rPr>
        <w:t>IMPLICATIONS FOR NURSING AND HEALTH POLICY</w:t>
      </w:r>
    </w:p>
    <w:p w14:paraId="5B799BD9" w14:textId="77777777" w:rsidR="008B33EB" w:rsidRDefault="008B33EB" w:rsidP="008B33EB">
      <w:pPr>
        <w:rPr>
          <w:sz w:val="16"/>
        </w:rPr>
      </w:pPr>
      <w:r w:rsidRPr="001D5A2F">
        <w:rPr>
          <w:rStyle w:val="StyleUnderline"/>
        </w:rPr>
        <w:t>Based on the results of our systematic review and meta-analysis, along with relevant studies, several general and institutional-level actions can be recommended</w:t>
      </w:r>
      <w:r w:rsidRPr="001D5A2F">
        <w:rPr>
          <w:sz w:val="16"/>
        </w:rPr>
        <w:t xml:space="preserve">. </w:t>
      </w:r>
      <w:r w:rsidRPr="001D5A2F">
        <w:rPr>
          <w:rStyle w:val="StyleUnderline"/>
        </w:rPr>
        <w:t>Health policies and regulations should be revised to empower nurses in terms of their roles, responsibilities and personal rights. Nurse empowerment can be achieved by ensuring access to resources, information and other opportunities, besides the employment of other empowerment strategies.</w:t>
      </w:r>
      <w:r w:rsidRPr="001D5A2F">
        <w:rPr>
          <w:sz w:val="16"/>
        </w:rPr>
        <w:t xml:space="preserve"> Nurse leaders can utilize their influence to shape policies within their organizations and empower nurses to engage in health policy matters. </w:t>
      </w:r>
      <w:r w:rsidRPr="001D5A2F">
        <w:rPr>
          <w:rStyle w:val="StyleUnderline"/>
        </w:rPr>
        <w:t>Healthcare managers and nursing managers should take action to empower nurses at the institutional level. Managers may employ various tools to empower nurses such as the promotion of professional knowledge and skills, job commitment, productivity and high competence. This way, nurses can achieve higher levels of work efficiency and contribute to the improved levels</w:t>
      </w:r>
      <w:r w:rsidRPr="001D5A2F">
        <w:rPr>
          <w:sz w:val="16"/>
        </w:rPr>
        <w:t xml:space="preserve"> of the quality of patient care besides accomplishing other important goals in healthcare organizations. The results of this study may encourage managers and hospital administrators to develop strategies for the creation and maintenance of empowering work environments. In this context, it is important to establish and empower senior leadership positions for nursing workforce governance and management and to allow them to have a say in health policies. Furthermore, investing in the build-up of nurse leadership skills is crucial.</w:t>
      </w:r>
    </w:p>
    <w:p w14:paraId="1CADF5BB" w14:textId="29D2A3F9" w:rsidR="008F2505" w:rsidRPr="008F2505" w:rsidRDefault="008F2505" w:rsidP="008F2505">
      <w:pPr>
        <w:pStyle w:val="Heading4"/>
      </w:pPr>
      <w:r>
        <w:t xml:space="preserve">NLRA reforms were </w:t>
      </w:r>
      <w:r>
        <w:rPr>
          <w:u w:val="single"/>
        </w:rPr>
        <w:t>unable</w:t>
      </w:r>
      <w:r>
        <w:t xml:space="preserve"> to adjust to the fragmented service economy, but repealing Taft-Hartley </w:t>
      </w:r>
      <w:r>
        <w:rPr>
          <w:u w:val="single"/>
        </w:rPr>
        <w:t>restores</w:t>
      </w:r>
      <w:r>
        <w:t xml:space="preserve"> </w:t>
      </w:r>
      <w:r w:rsidR="00AC1C40">
        <w:t xml:space="preserve">widespread </w:t>
      </w:r>
      <w:r>
        <w:t>strike militancy and unification</w:t>
      </w:r>
      <w:r w:rsidR="00F155A0">
        <w:t xml:space="preserve"> across sectors</w:t>
      </w:r>
      <w:r>
        <w:t xml:space="preserve">, that </w:t>
      </w:r>
      <w:r>
        <w:rPr>
          <w:u w:val="single"/>
        </w:rPr>
        <w:t>improves</w:t>
      </w:r>
      <w:r>
        <w:t xml:space="preserve"> working conditions </w:t>
      </w:r>
    </w:p>
    <w:p w14:paraId="73CA01C1" w14:textId="77777777" w:rsidR="002E7540" w:rsidRPr="00756390" w:rsidRDefault="002E7540" w:rsidP="002E7540">
      <w:r w:rsidRPr="00756390">
        <w:rPr>
          <w:rStyle w:val="Style13ptBold"/>
        </w:rPr>
        <w:t>Brown 2024</w:t>
      </w:r>
      <w:r w:rsidRPr="00756390">
        <w:t xml:space="preserve"> [Trevor E. Cornell University Journal of Policy History¶ Volume 36, Number 4, 2024¶ Cambridge University Press¶ 3.1 Disruption from Below Cross-Domain Policy Feedback:</w:t>
      </w:r>
    </w:p>
    <w:p w14:paraId="27B2414D" w14:textId="77777777" w:rsidR="002E7540" w:rsidRPr="00756390" w:rsidRDefault="002E7540" w:rsidP="002E7540">
      <w:r w:rsidRPr="00756390">
        <w:t xml:space="preserve">The Institutionalization of Collective Bargaining Rights for Health Care Workers </w:t>
      </w:r>
      <w:hyperlink r:id="rId14" w:history="1">
        <w:r w:rsidRPr="00756390">
          <w:rPr>
            <w:rStyle w:val="Hyperlink"/>
          </w:rPr>
          <w:t>https://muse.jhu.edu/pub/122/article/945429</w:t>
        </w:r>
      </w:hyperlink>
      <w:r w:rsidRPr="00756390">
        <w:t xml:space="preserve"> Accessed 12/21/2025DMW</w:t>
      </w:r>
      <w:r>
        <w:t>, edited for problematic language</w:t>
      </w:r>
      <w:r w:rsidRPr="00756390">
        <w:t>]</w:t>
      </w:r>
    </w:p>
    <w:p w14:paraId="7C7FE7EF" w14:textId="77777777" w:rsidR="002E7540" w:rsidRPr="00756390" w:rsidRDefault="002E7540" w:rsidP="002E7540"/>
    <w:p w14:paraId="51F1A82B" w14:textId="77777777" w:rsidR="002E7540" w:rsidRPr="00756390" w:rsidRDefault="002E7540" w:rsidP="002E7540">
      <w:r w:rsidRPr="00756390">
        <w:rPr>
          <w:rStyle w:val="StyleUnderline"/>
        </w:rPr>
        <w:t>As it remains today, formal care work at the middle of the twentieth century was rigidly stratified by race, class, and gender</w:t>
      </w:r>
      <w:r w:rsidRPr="00756390">
        <w:t xml:space="preserve">.26 </w:t>
      </w:r>
      <w:r w:rsidRPr="00756390">
        <w:rPr>
          <w:rStyle w:val="StyleUnderline"/>
        </w:rPr>
        <w:t>Physicians were overwhelmingly white</w:t>
      </w:r>
      <w:r w:rsidRPr="00756390">
        <w:t xml:space="preserve"> men </w:t>
      </w:r>
      <w:r w:rsidRPr="00756390">
        <w:rPr>
          <w:rStyle w:val="StyleUnderline"/>
        </w:rPr>
        <w:t>and</w:t>
      </w:r>
      <w:r w:rsidRPr="00756390">
        <w:t xml:space="preserve"> relatively </w:t>
      </w:r>
      <w:r w:rsidRPr="00756390">
        <w:rPr>
          <w:rStyle w:val="StyleUnderline"/>
        </w:rPr>
        <w:t>well paid</w:t>
      </w:r>
      <w:r w:rsidRPr="00756390">
        <w:t xml:space="preserve">. As a good body of historical scholarship has demonstrated, </w:t>
      </w:r>
      <w:r w:rsidRPr="00756390">
        <w:rPr>
          <w:rStyle w:val="StyleUnderline"/>
        </w:rPr>
        <w:t>they attained a significant amount of power within institutions and held a relatively uneasy if advantageous relationship</w:t>
      </w:r>
      <w:r w:rsidRPr="00756390">
        <w:t xml:space="preserve"> with management and trustees.27 Their advantageous position was secured in part economically, in part ideologically, and in part organizationally.28 Indeed, </w:t>
      </w:r>
      <w:r w:rsidRPr="00756390">
        <w:rPr>
          <w:rStyle w:val="StyleUnderline"/>
        </w:rPr>
        <w:t>many have thus argued that hospitals could effectively be considered the "doctors' workshop</w:t>
      </w:r>
      <w:r w:rsidRPr="00756390">
        <w:t xml:space="preserve">."29 </w:t>
      </w:r>
      <w:r w:rsidRPr="00756390">
        <w:rPr>
          <w:rStyle w:val="StyleUnderline"/>
        </w:rPr>
        <w:t>Nurses</w:t>
      </w:r>
      <w:r w:rsidRPr="00756390">
        <w:t xml:space="preserve">, </w:t>
      </w:r>
      <w:r w:rsidRPr="00756390">
        <w:rPr>
          <w:rStyle w:val="StyleUnderline"/>
        </w:rPr>
        <w:t>meanwhile</w:t>
      </w:r>
      <w:r w:rsidRPr="00756390">
        <w:t xml:space="preserve">, </w:t>
      </w:r>
      <w:r w:rsidRPr="00756390">
        <w:rPr>
          <w:rStyle w:val="StyleUnderline"/>
        </w:rPr>
        <w:t>tended to occupy a somewhat middling position</w:t>
      </w:r>
      <w:r w:rsidRPr="00756390">
        <w:t xml:space="preserve">, </w:t>
      </w:r>
      <w:r w:rsidRPr="00756390">
        <w:rPr>
          <w:rStyle w:val="StyleUnderline"/>
        </w:rPr>
        <w:t>aspiring</w:t>
      </w:r>
      <w:r w:rsidRPr="00756390">
        <w:t xml:space="preserve"> for professionalism </w:t>
      </w:r>
      <w:r w:rsidRPr="00756390">
        <w:rPr>
          <w:rStyle w:val="StyleUnderline"/>
        </w:rPr>
        <w:t>yet thwarted</w:t>
      </w:r>
      <w:r w:rsidRPr="00756390">
        <w:t xml:space="preserve"> by management and physicians. </w:t>
      </w:r>
      <w:r w:rsidRPr="00756390">
        <w:rPr>
          <w:rStyle w:val="StyleUnderline"/>
        </w:rPr>
        <w:t>Most identified as women and were thus subject to the paternalistic supervision of the overwhelmingly male doctors and management.30 Their relatively oppressed status within hospitals was in part upheld through the ethos of care in the service of others.</w:t>
      </w:r>
      <w:r w:rsidRPr="00756390">
        <w:t xml:space="preserve">31 Yet they were also predominantly white, granting them some racial privilege, and nursing did serve as a potential site of upward mobility for many </w:t>
      </w:r>
      <w:proofErr w:type="spellStart"/>
      <w:r w:rsidRPr="00756390">
        <w:t>workingclass</w:t>
      </w:r>
      <w:proofErr w:type="spellEnd"/>
      <w:r w:rsidRPr="00756390">
        <w:t xml:space="preserve"> women. Once nurses graduated, they would go on to either train nurses within hospitals or work in private visiting-aid programs.32 </w:t>
      </w:r>
      <w:r w:rsidRPr="00756390">
        <w:rPr>
          <w:rStyle w:val="StyleUnderline"/>
        </w:rPr>
        <w:t>But it is worth noting that, with a few exceptions, nurses tended to identify and organize as [End Page 347] professionals, not as workers. They largely eschewed pure trade union tactics and distinguished themselves from those who worked "below</w:t>
      </w:r>
      <w:r w:rsidRPr="00756390">
        <w:t>" them.33</w:t>
      </w:r>
    </w:p>
    <w:p w14:paraId="3ECD6C7D" w14:textId="77777777" w:rsidR="002E7540" w:rsidRPr="00756390" w:rsidRDefault="002E7540" w:rsidP="002E7540"/>
    <w:p w14:paraId="69C7BC58" w14:textId="77777777" w:rsidR="002E7540" w:rsidRPr="00756390" w:rsidRDefault="002E7540" w:rsidP="002E7540">
      <w:r w:rsidRPr="007B210A">
        <w:rPr>
          <w:rStyle w:val="StyleUnderline"/>
          <w:b/>
          <w:bCs/>
          <w:highlight w:val="cyan"/>
        </w:rPr>
        <w:t>Toward the bottom</w:t>
      </w:r>
      <w:r w:rsidRPr="00806545">
        <w:rPr>
          <w:rStyle w:val="StyleUnderline"/>
          <w:b/>
          <w:bCs/>
        </w:rPr>
        <w:t xml:space="preserve"> </w:t>
      </w:r>
      <w:r w:rsidRPr="007B210A">
        <w:rPr>
          <w:rStyle w:val="StyleUnderline"/>
          <w:b/>
          <w:bCs/>
          <w:highlight w:val="cyan"/>
        </w:rPr>
        <w:t>of</w:t>
      </w:r>
      <w:r w:rsidRPr="00806545">
        <w:rPr>
          <w:rStyle w:val="StyleUnderline"/>
          <w:b/>
          <w:bCs/>
        </w:rPr>
        <w:t xml:space="preserve"> </w:t>
      </w:r>
      <w:r w:rsidRPr="007B210A">
        <w:rPr>
          <w:rStyle w:val="StyleUnderline"/>
          <w:b/>
          <w:bCs/>
          <w:highlight w:val="cyan"/>
        </w:rPr>
        <w:t>the "medical hierarchy</w:t>
      </w:r>
      <w:r w:rsidRPr="00806545">
        <w:rPr>
          <w:rStyle w:val="StyleUnderline"/>
          <w:b/>
          <w:bCs/>
        </w:rPr>
        <w:t xml:space="preserve">," as it has been termed by scholars, </w:t>
      </w:r>
      <w:r w:rsidRPr="007B210A">
        <w:rPr>
          <w:rStyle w:val="StyleUnderline"/>
          <w:b/>
          <w:bCs/>
          <w:highlight w:val="cyan"/>
        </w:rPr>
        <w:t>were and are nurses' assistants</w:t>
      </w:r>
      <w:r w:rsidRPr="00756390">
        <w:rPr>
          <w:rStyle w:val="StyleUnderline"/>
        </w:rPr>
        <w:t>, orderlies and aides, and service workers, including janitors and food preparation workers</w:t>
      </w:r>
      <w:r w:rsidRPr="00756390">
        <w:t xml:space="preserve">. For these workers, </w:t>
      </w:r>
      <w:r w:rsidRPr="007B210A">
        <w:rPr>
          <w:rStyle w:val="StyleUnderline"/>
          <w:b/>
          <w:bCs/>
          <w:highlight w:val="cyan"/>
        </w:rPr>
        <w:t>labor still had meaning</w:t>
      </w:r>
      <w:r w:rsidRPr="00806545">
        <w:rPr>
          <w:rStyle w:val="StyleUnderline"/>
          <w:b/>
          <w:bCs/>
        </w:rPr>
        <w:t xml:space="preserve"> but was </w:t>
      </w:r>
      <w:r w:rsidRPr="007B210A">
        <w:rPr>
          <w:rStyle w:val="StyleUnderline"/>
          <w:b/>
          <w:bCs/>
        </w:rPr>
        <w:t>nevertheless tough. A</w:t>
      </w:r>
      <w:r w:rsidRPr="00806545">
        <w:rPr>
          <w:rStyle w:val="StyleUnderline"/>
          <w:b/>
          <w:bCs/>
        </w:rPr>
        <w:t>s one orderly reflected, "</w:t>
      </w:r>
      <w:r w:rsidRPr="007B210A">
        <w:rPr>
          <w:rStyle w:val="StyleUnderline"/>
          <w:b/>
          <w:bCs/>
          <w:highlight w:val="cyan"/>
        </w:rPr>
        <w:t>My boss,</w:t>
      </w:r>
      <w:r w:rsidRPr="00806545">
        <w:rPr>
          <w:rStyle w:val="StyleUnderline"/>
          <w:b/>
          <w:bCs/>
        </w:rPr>
        <w:t xml:space="preserve"> he </w:t>
      </w:r>
      <w:r w:rsidRPr="007B210A">
        <w:rPr>
          <w:rStyle w:val="StyleUnderline"/>
          <w:b/>
          <w:bCs/>
          <w:highlight w:val="cyan"/>
        </w:rPr>
        <w:t xml:space="preserve">treated me </w:t>
      </w:r>
      <w:r w:rsidRPr="007B210A">
        <w:rPr>
          <w:rStyle w:val="StyleUnderline"/>
          <w:b/>
          <w:bCs/>
          <w:strike/>
        </w:rPr>
        <w:t>like an animal</w:t>
      </w:r>
      <w:r>
        <w:rPr>
          <w:rStyle w:val="StyleUnderline"/>
          <w:b/>
          <w:bCs/>
        </w:rPr>
        <w:t xml:space="preserve"> [</w:t>
      </w:r>
      <w:r w:rsidRPr="007B210A">
        <w:rPr>
          <w:rStyle w:val="StyleUnderline"/>
          <w:b/>
          <w:bCs/>
          <w:highlight w:val="cyan"/>
        </w:rPr>
        <w:t>very poorly</w:t>
      </w:r>
      <w:r>
        <w:rPr>
          <w:rStyle w:val="StyleUnderline"/>
          <w:b/>
          <w:bCs/>
        </w:rPr>
        <w:t>]</w:t>
      </w:r>
      <w:r w:rsidRPr="00756390">
        <w:rPr>
          <w:rStyle w:val="StyleUnderline"/>
        </w:rPr>
        <w:t xml:space="preserve">."34 </w:t>
      </w:r>
      <w:r w:rsidRPr="00806545">
        <w:rPr>
          <w:rStyle w:val="StyleUnderline"/>
          <w:b/>
          <w:bCs/>
        </w:rPr>
        <w:t xml:space="preserve">Such workers were regularly paid below the minimum wage, forced to work split shifts, and faced abuse from both </w:t>
      </w:r>
      <w:proofErr w:type="spellStart"/>
      <w:r w:rsidRPr="00806545">
        <w:rPr>
          <w:rStyle w:val="StyleUnderline"/>
          <w:b/>
          <w:bCs/>
        </w:rPr>
        <w:t>highlevel</w:t>
      </w:r>
      <w:proofErr w:type="spellEnd"/>
      <w:r w:rsidRPr="00806545">
        <w:rPr>
          <w:rStyle w:val="StyleUnderline"/>
          <w:b/>
          <w:bCs/>
        </w:rPr>
        <w:t xml:space="preserve"> manageme</w:t>
      </w:r>
      <w:r w:rsidRPr="00756390">
        <w:rPr>
          <w:rStyle w:val="StyleUnderline"/>
        </w:rPr>
        <w:t>n</w:t>
      </w:r>
      <w:r w:rsidRPr="00756390">
        <w:t xml:space="preserve">t (i.e., hospital administrators) </w:t>
      </w:r>
      <w:r w:rsidRPr="00756390">
        <w:rPr>
          <w:rStyle w:val="StyleUnderline"/>
        </w:rPr>
        <w:t>and</w:t>
      </w:r>
      <w:r w:rsidRPr="00756390">
        <w:t xml:space="preserve"> immediate </w:t>
      </w:r>
      <w:r w:rsidRPr="00756390">
        <w:rPr>
          <w:rStyle w:val="StyleUnderline"/>
        </w:rPr>
        <w:t>supervisors</w:t>
      </w:r>
      <w:r w:rsidRPr="00756390">
        <w:t xml:space="preserve"> (i.e., nurses and doctors). Writing to the Baltimore Afro-American in 1969, one worker suggested that management "acts as though you're supposed to kill yourself in order to keep your job"—referring to </w:t>
      </w:r>
      <w:r w:rsidRPr="00756390">
        <w:rPr>
          <w:rStyle w:val="StyleUnderline"/>
        </w:rPr>
        <w:t>understaffing, lack of air conditioning, and the inability of workers to take water break</w:t>
      </w:r>
      <w:r w:rsidRPr="00756390">
        <w:t xml:space="preserve">s.35 These </w:t>
      </w:r>
      <w:r w:rsidRPr="003F6688">
        <w:rPr>
          <w:rStyle w:val="StyleUnderline"/>
          <w:b/>
          <w:bCs/>
          <w:highlight w:val="cyan"/>
        </w:rPr>
        <w:t>workers</w:t>
      </w:r>
      <w:r w:rsidRPr="00806545">
        <w:rPr>
          <w:rStyle w:val="StyleUnderline"/>
          <w:b/>
          <w:bCs/>
        </w:rPr>
        <w:t xml:space="preserve">, furthermore, were also </w:t>
      </w:r>
      <w:r w:rsidRPr="003F6688">
        <w:rPr>
          <w:rStyle w:val="StyleUnderline"/>
          <w:b/>
          <w:bCs/>
          <w:highlight w:val="cyan"/>
        </w:rPr>
        <w:t>disadvantaged</w:t>
      </w:r>
      <w:r w:rsidRPr="00806545">
        <w:rPr>
          <w:rStyle w:val="StyleUnderline"/>
          <w:b/>
          <w:bCs/>
        </w:rPr>
        <w:t xml:space="preserve"> </w:t>
      </w:r>
      <w:r w:rsidRPr="003F6688">
        <w:rPr>
          <w:rStyle w:val="StyleUnderline"/>
          <w:b/>
          <w:bCs/>
          <w:highlight w:val="cyan"/>
        </w:rPr>
        <w:t>by their racialized and gendered st</w:t>
      </w:r>
      <w:r w:rsidRPr="003F6688">
        <w:rPr>
          <w:b/>
          <w:bCs/>
          <w:highlight w:val="cyan"/>
        </w:rPr>
        <w:t>atus</w:t>
      </w:r>
      <w:r w:rsidRPr="00756390">
        <w:t>. A disproportionate number of such workers were people of color, women, and Latino immigrants. Part and parcel of their poor working conditions, "nonprofessional" health care workers thus also faced intersecting racial- and gender-based discrimination. One early union organizer described the occupational segregation at John Hopkins in Baltimore as such: "</w:t>
      </w:r>
      <w:r w:rsidRPr="00806545">
        <w:rPr>
          <w:u w:val="single"/>
        </w:rPr>
        <w:t xml:space="preserve">John Hopkins has: more </w:t>
      </w:r>
      <w:r w:rsidRPr="003F6688">
        <w:rPr>
          <w:b/>
          <w:bCs/>
          <w:highlight w:val="cyan"/>
          <w:u w:val="single"/>
        </w:rPr>
        <w:t>Black people pushing brooms</w:t>
      </w:r>
      <w:r w:rsidRPr="003F6688">
        <w:rPr>
          <w:u w:val="single"/>
        </w:rPr>
        <w:t xml:space="preserve"> than White</w:t>
      </w:r>
      <w:r w:rsidRPr="00806545">
        <w:rPr>
          <w:u w:val="single"/>
        </w:rPr>
        <w:t xml:space="preserve">; more Black people washing pots than white; more Black people pushing bedpans than white… </w:t>
      </w:r>
      <w:r w:rsidRPr="003F6688">
        <w:rPr>
          <w:b/>
          <w:bCs/>
          <w:highlight w:val="cyan"/>
          <w:u w:val="single"/>
        </w:rPr>
        <w:t>these are no accidents</w:t>
      </w:r>
      <w:r w:rsidRPr="00806545">
        <w:rPr>
          <w:u w:val="single"/>
        </w:rPr>
        <w:t>."36</w:t>
      </w:r>
    </w:p>
    <w:p w14:paraId="2E915A01" w14:textId="77777777" w:rsidR="002E7540" w:rsidRPr="00756390" w:rsidRDefault="002E7540" w:rsidP="002E7540"/>
    <w:p w14:paraId="1936B0A2" w14:textId="77777777" w:rsidR="002E7540" w:rsidRPr="00756390" w:rsidRDefault="002E7540" w:rsidP="002E7540">
      <w:r w:rsidRPr="00756390">
        <w:t xml:space="preserve">The </w:t>
      </w:r>
      <w:r w:rsidRPr="00756390">
        <w:rPr>
          <w:rStyle w:val="StyleUnderline"/>
        </w:rPr>
        <w:t xml:space="preserve">marginalization of many hospital and health care workers furthermore reflected their legal exclusion from cornerstone labor and social policies. </w:t>
      </w:r>
      <w:r w:rsidRPr="00806545">
        <w:rPr>
          <w:rStyle w:val="StyleUnderline"/>
          <w:b/>
          <w:bCs/>
        </w:rPr>
        <w:t xml:space="preserve">Though the NLRA of 1935 made no mention of health institutions, </w:t>
      </w:r>
      <w:r w:rsidRPr="00F5259B">
        <w:rPr>
          <w:rStyle w:val="StyleUnderline"/>
          <w:b/>
          <w:bCs/>
        </w:rPr>
        <w:t xml:space="preserve">private </w:t>
      </w:r>
      <w:r w:rsidRPr="00441ACE">
        <w:rPr>
          <w:rStyle w:val="StyleUnderline"/>
          <w:b/>
          <w:bCs/>
          <w:highlight w:val="cyan"/>
        </w:rPr>
        <w:t>nonprofit hospitals were excluded</w:t>
      </w:r>
      <w:r w:rsidRPr="00806545">
        <w:rPr>
          <w:rStyle w:val="StyleUnderline"/>
          <w:b/>
          <w:bCs/>
        </w:rPr>
        <w:t xml:space="preserve"> </w:t>
      </w:r>
      <w:r w:rsidRPr="00441ACE">
        <w:rPr>
          <w:rStyle w:val="StyleUnderline"/>
          <w:b/>
          <w:bCs/>
          <w:highlight w:val="cyan"/>
        </w:rPr>
        <w:t>as part of</w:t>
      </w:r>
      <w:r w:rsidRPr="00806545">
        <w:rPr>
          <w:rStyle w:val="StyleUnderline"/>
          <w:b/>
          <w:bCs/>
        </w:rPr>
        <w:t xml:space="preserve"> the </w:t>
      </w:r>
      <w:r w:rsidRPr="00441ACE">
        <w:rPr>
          <w:rStyle w:val="StyleUnderline"/>
          <w:b/>
          <w:bCs/>
          <w:highlight w:val="cyan"/>
        </w:rPr>
        <w:t>Taft-Hartley</w:t>
      </w:r>
      <w:r w:rsidRPr="00806545">
        <w:rPr>
          <w:rStyle w:val="StyleUnderline"/>
          <w:b/>
          <w:bCs/>
        </w:rPr>
        <w:t xml:space="preserve"> Amendments in 1947</w:t>
      </w:r>
      <w:r w:rsidRPr="00806545">
        <w:rPr>
          <w:b/>
          <w:bCs/>
        </w:rPr>
        <w:t>.</w:t>
      </w:r>
      <w:r w:rsidRPr="00756390">
        <w:t xml:space="preserve"> Although little debate was considered on the exclusion at the time, </w:t>
      </w:r>
      <w:r w:rsidRPr="00756390">
        <w:rPr>
          <w:rStyle w:val="StyleUnderline"/>
        </w:rPr>
        <w:t>exhaustive review of the congressional record suggests that it was justified both by Robert Taft, Sr. and other lawmakers</w:t>
      </w:r>
      <w:r w:rsidRPr="00756390">
        <w:t xml:space="preserve"> on the basis that nonprofit hospitals were local in nature, did not engage in interstate commerce, and were thus not subject to federal regulation under the NLRA.37 For similar reasons, </w:t>
      </w:r>
      <w:r w:rsidRPr="00756390">
        <w:rPr>
          <w:rStyle w:val="StyleUnderline"/>
        </w:rPr>
        <w:t>most health care workers more broadly lacked minimum wage, overtime, and other protections afforded by the Fair Labor Standards Act for the better part of the twentieth century. Many were also excluded from unemployment insurance as well as Social Security</w:t>
      </w:r>
      <w:r w:rsidRPr="00756390">
        <w:t>.38</w:t>
      </w:r>
    </w:p>
    <w:p w14:paraId="6222E947" w14:textId="77777777" w:rsidR="002E7540" w:rsidRPr="00756390" w:rsidRDefault="002E7540" w:rsidP="002E7540"/>
    <w:p w14:paraId="705C2BFF" w14:textId="77777777" w:rsidR="002E7540" w:rsidRPr="00756390" w:rsidRDefault="002E7540" w:rsidP="002E7540">
      <w:r w:rsidRPr="00441ACE">
        <w:rPr>
          <w:rStyle w:val="StyleUnderline"/>
          <w:b/>
          <w:bCs/>
          <w:highlight w:val="cyan"/>
        </w:rPr>
        <w:t>Despite</w:t>
      </w:r>
      <w:r w:rsidRPr="00806545">
        <w:rPr>
          <w:rStyle w:val="StyleUnderline"/>
          <w:b/>
          <w:bCs/>
        </w:rPr>
        <w:t xml:space="preserve"> lacking </w:t>
      </w:r>
      <w:r w:rsidRPr="00441ACE">
        <w:rPr>
          <w:rStyle w:val="StyleUnderline"/>
          <w:b/>
          <w:bCs/>
          <w:highlight w:val="cyan"/>
        </w:rPr>
        <w:t>legal protections</w:t>
      </w:r>
      <w:r w:rsidRPr="00806545">
        <w:rPr>
          <w:rStyle w:val="StyleUnderline"/>
          <w:b/>
          <w:bCs/>
        </w:rPr>
        <w:t xml:space="preserve">, </w:t>
      </w:r>
      <w:r w:rsidRPr="00441ACE">
        <w:rPr>
          <w:rStyle w:val="StyleUnderline"/>
          <w:b/>
          <w:bCs/>
          <w:highlight w:val="cyan"/>
        </w:rPr>
        <w:t>health care workers</w:t>
      </w:r>
      <w:r w:rsidRPr="00806545">
        <w:rPr>
          <w:rStyle w:val="StyleUnderline"/>
          <w:b/>
          <w:bCs/>
        </w:rPr>
        <w:t xml:space="preserve">, particularly those deemed nonprofessionals, </w:t>
      </w:r>
      <w:r w:rsidRPr="00441ACE">
        <w:rPr>
          <w:rStyle w:val="StyleUnderline"/>
          <w:b/>
          <w:bCs/>
          <w:highlight w:val="cyan"/>
        </w:rPr>
        <w:t>began mobilizing</w:t>
      </w:r>
      <w:r w:rsidRPr="00756390">
        <w:t xml:space="preserve">. Although a few areas throughout the United States had witnessed some pockets of organizing, particularly Minneapolis and San Francisco, </w:t>
      </w:r>
      <w:r w:rsidRPr="00806545">
        <w:rPr>
          <w:rStyle w:val="StyleUnderline"/>
          <w:b/>
          <w:bCs/>
        </w:rPr>
        <w:t>mobilization started in earnest in the 1950s</w:t>
      </w:r>
      <w:r w:rsidRPr="00756390">
        <w:t xml:space="preserve"> in New York City.39 Spurred by a pair of left-wing organizers affiliated with a pharmacist's union—known then as Local 1199 of the Retail, Wholesale, and Department Store Union—the </w:t>
      </w:r>
      <w:r w:rsidRPr="00441ACE">
        <w:rPr>
          <w:rStyle w:val="StyleUnderline"/>
          <w:b/>
          <w:bCs/>
          <w:highlight w:val="cyan"/>
        </w:rPr>
        <w:t>efforts</w:t>
      </w:r>
      <w:r w:rsidRPr="00806545">
        <w:rPr>
          <w:rStyle w:val="StyleUnderline"/>
          <w:b/>
          <w:bCs/>
        </w:rPr>
        <w:t xml:space="preserve"> to mobilize health workers targeted many low-wage frontline care and service workers in the city's large and burgeoning nonprofit hospital sector</w:t>
      </w:r>
      <w:r w:rsidRPr="00756390">
        <w:t xml:space="preserve">. As described in more detail below, the efforts were deeply intertwined with the civil rights movement, </w:t>
      </w:r>
      <w:r w:rsidRPr="00441ACE">
        <w:rPr>
          <w:rStyle w:val="StyleUnderline"/>
          <w:b/>
          <w:bCs/>
          <w:highlight w:val="cyan"/>
        </w:rPr>
        <w:t>were highly disruptive</w:t>
      </w:r>
      <w:r w:rsidRPr="00806545">
        <w:rPr>
          <w:rStyle w:val="StyleUnderline"/>
          <w:b/>
          <w:bCs/>
        </w:rPr>
        <w:t xml:space="preserve">, </w:t>
      </w:r>
      <w:r w:rsidRPr="00441ACE">
        <w:rPr>
          <w:rStyle w:val="StyleUnderline"/>
          <w:b/>
          <w:bCs/>
          <w:highlight w:val="cyan"/>
        </w:rPr>
        <w:t>and</w:t>
      </w:r>
      <w:r w:rsidRPr="00806545">
        <w:rPr>
          <w:rStyle w:val="StyleUnderline"/>
          <w:b/>
          <w:bCs/>
        </w:rPr>
        <w:t xml:space="preserve"> appear to have </w:t>
      </w:r>
      <w:r w:rsidRPr="00441ACE">
        <w:rPr>
          <w:rStyle w:val="StyleUnderline"/>
          <w:b/>
          <w:bCs/>
          <w:highlight w:val="cyan"/>
        </w:rPr>
        <w:t>inspired organizing efforts in other areas</w:t>
      </w:r>
      <w:r w:rsidRPr="00756390">
        <w:rPr>
          <w:rStyle w:val="StyleUnderline"/>
        </w:rPr>
        <w:t xml:space="preserve"> across the country</w:t>
      </w:r>
      <w:r w:rsidRPr="00756390">
        <w:t>. Indeed, following a handful of breakthrough wins between the late 1950s and [End Page 348] through the 1960s, Local 1199 spread its efforts to several other states including Maryland, Ohio, South Carolina, North Carolina, and Pennsylvania, among others.40 By the 1960s, a number of other unions—including the SEIU (then the Building Service Employees International Union); the International Brotherhood of Teamsters; and the American Federation of State, County and Municipal Employees—were active in the health industry.41</w:t>
      </w:r>
    </w:p>
    <w:p w14:paraId="1B10C25C" w14:textId="77777777" w:rsidR="002E7540" w:rsidRPr="00756390" w:rsidRDefault="002E7540" w:rsidP="002E7540"/>
    <w:p w14:paraId="6CFD0C79" w14:textId="77777777" w:rsidR="002E7540" w:rsidRPr="00756390" w:rsidRDefault="002E7540" w:rsidP="002E7540">
      <w:r w:rsidRPr="00756390">
        <w:t xml:space="preserve">Reflecting the racialized marginalization of workers, </w:t>
      </w:r>
      <w:r w:rsidRPr="00441ACE">
        <w:rPr>
          <w:rStyle w:val="StyleUnderline"/>
          <w:b/>
          <w:bCs/>
          <w:highlight w:val="cyan"/>
        </w:rPr>
        <w:t>organizing was</w:t>
      </w:r>
      <w:r w:rsidRPr="00806545">
        <w:rPr>
          <w:rStyle w:val="StyleUnderline"/>
          <w:b/>
          <w:bCs/>
        </w:rPr>
        <w:t xml:space="preserve"> often materially, strategically, and rhetorically </w:t>
      </w:r>
      <w:r w:rsidRPr="00441ACE">
        <w:rPr>
          <w:rStyle w:val="StyleUnderline"/>
          <w:b/>
          <w:bCs/>
          <w:highlight w:val="cyan"/>
        </w:rPr>
        <w:t xml:space="preserve">intertwined with </w:t>
      </w:r>
      <w:r w:rsidRPr="00441ACE">
        <w:rPr>
          <w:rStyle w:val="StyleUnderline"/>
          <w:b/>
          <w:bCs/>
        </w:rPr>
        <w:t xml:space="preserve">the </w:t>
      </w:r>
      <w:r w:rsidRPr="00441ACE">
        <w:rPr>
          <w:rStyle w:val="StyleUnderline"/>
          <w:b/>
          <w:bCs/>
          <w:highlight w:val="cyan"/>
        </w:rPr>
        <w:t xml:space="preserve">civil rights </w:t>
      </w:r>
      <w:r w:rsidRPr="00441ACE">
        <w:rPr>
          <w:rStyle w:val="StyleUnderline"/>
          <w:b/>
          <w:bCs/>
        </w:rPr>
        <w:t>movement</w:t>
      </w:r>
      <w:r w:rsidRPr="00806545">
        <w:rPr>
          <w:rStyle w:val="StyleUnderline"/>
          <w:b/>
          <w:bCs/>
        </w:rPr>
        <w:t>.</w:t>
      </w:r>
      <w:r w:rsidRPr="00756390">
        <w:t xml:space="preserve"> Newspaper reports described the movement as a "rights–labor" coalition.42 In several organizing drives, </w:t>
      </w:r>
      <w:r w:rsidRPr="00806545">
        <w:rPr>
          <w:rStyle w:val="StyleUnderline"/>
          <w:b/>
          <w:bCs/>
        </w:rPr>
        <w:t>workers and unions received financial support from local NAACP chapters</w:t>
      </w:r>
      <w:r w:rsidRPr="00756390">
        <w:rPr>
          <w:rStyle w:val="StyleUnderline"/>
        </w:rPr>
        <w:t>, the Southern Christian Leadership Conference, Black churches, and central leaders</w:t>
      </w:r>
      <w:r w:rsidRPr="00756390">
        <w:t xml:space="preserve"> such as A. Phillip Randolph and Bayard Rustin.43 The support was often mutual: archival records show </w:t>
      </w:r>
      <w:r w:rsidRPr="00806545">
        <w:rPr>
          <w:b/>
          <w:bCs/>
        </w:rPr>
        <w:t xml:space="preserve">that </w:t>
      </w:r>
      <w:r w:rsidRPr="00806545">
        <w:rPr>
          <w:rStyle w:val="StyleUnderline"/>
          <w:b/>
          <w:bCs/>
        </w:rPr>
        <w:t>local unions also contributed substantially to civil rights causes</w:t>
      </w:r>
      <w:r w:rsidRPr="00806545">
        <w:rPr>
          <w:rStyle w:val="StyleUnderline"/>
        </w:rPr>
        <w:t>, helping support, for example, efforts to curb police brutality</w:t>
      </w:r>
      <w:r w:rsidRPr="00756390">
        <w:rPr>
          <w:rStyle w:val="StyleUnderline"/>
        </w:rPr>
        <w:t xml:space="preserve"> in northern cities and desegregation efforts in the South</w:t>
      </w:r>
      <w:r w:rsidRPr="00756390">
        <w:t xml:space="preserve">.44 Local 1199 sent a delegation to the March on Washington for Freedom and Jobs.45 Indeed, early hospital unions viewed advancing the civil rights of hospital workers as critical to advancing the interests of their constituency, quite similar to the Congress of Industrial Organizations in the 1940s and on.46 As mentioned in the introduction, Martin Luther King, Jr. praised the union for their ability to wed civil rights and labor organizing, referring to himself as a fellow "1199er" and pointing to the organization as his "favorite union."47 Many </w:t>
      </w:r>
      <w:r w:rsidRPr="00756390">
        <w:rPr>
          <w:rStyle w:val="StyleUnderline"/>
        </w:rPr>
        <w:t>hospital workers came to forge an identity supported by the logic, "Union power, soul power!"48 Securing economic and civil rights in a burgeoning industry, in short, were often deeply linked</w:t>
      </w:r>
      <w:r w:rsidRPr="00756390">
        <w:t>.</w:t>
      </w:r>
    </w:p>
    <w:p w14:paraId="42D481FB" w14:textId="77777777" w:rsidR="002E7540" w:rsidRPr="00756390" w:rsidRDefault="002E7540" w:rsidP="002E7540"/>
    <w:p w14:paraId="6D8B55F8" w14:textId="77777777" w:rsidR="002E7540" w:rsidRPr="00756390" w:rsidRDefault="002E7540" w:rsidP="002E7540">
      <w:r w:rsidRPr="00756390">
        <w:t>Although low</w:t>
      </w:r>
      <w:r w:rsidRPr="00806545">
        <w:rPr>
          <w:rStyle w:val="StyleUnderline"/>
          <w:b/>
          <w:bCs/>
        </w:rPr>
        <w:t xml:space="preserve">-wage health care workers often welcomed the idea of unionization, </w:t>
      </w:r>
      <w:r w:rsidRPr="00437C80">
        <w:rPr>
          <w:rStyle w:val="StyleUnderline"/>
          <w:b/>
          <w:bCs/>
        </w:rPr>
        <w:t>management</w:t>
      </w:r>
      <w:r w:rsidRPr="00806545">
        <w:rPr>
          <w:rStyle w:val="StyleUnderline"/>
          <w:b/>
          <w:bCs/>
        </w:rPr>
        <w:t>, in an industry in which labor costs made up more than half of all expenditures, were not as enthused</w:t>
      </w:r>
      <w:r w:rsidRPr="00756390">
        <w:t xml:space="preserve">.49 </w:t>
      </w:r>
      <w:r w:rsidRPr="0072751B">
        <w:rPr>
          <w:rStyle w:val="StyleUnderline"/>
          <w:b/>
          <w:bCs/>
          <w:highlight w:val="cyan"/>
        </w:rPr>
        <w:t>Even though</w:t>
      </w:r>
      <w:r w:rsidRPr="00806545">
        <w:rPr>
          <w:rStyle w:val="StyleUnderline"/>
          <w:b/>
          <w:bCs/>
        </w:rPr>
        <w:t xml:space="preserve"> the </w:t>
      </w:r>
      <w:r w:rsidRPr="0072751B">
        <w:rPr>
          <w:rStyle w:val="StyleUnderline"/>
          <w:b/>
          <w:bCs/>
          <w:highlight w:val="cyan"/>
        </w:rPr>
        <w:t>boards</w:t>
      </w:r>
      <w:r w:rsidRPr="00806545">
        <w:rPr>
          <w:rStyle w:val="StyleUnderline"/>
          <w:b/>
          <w:bCs/>
        </w:rPr>
        <w:t xml:space="preserve"> of such hospitals </w:t>
      </w:r>
      <w:r w:rsidRPr="0072751B">
        <w:rPr>
          <w:rStyle w:val="StyleUnderline"/>
          <w:b/>
          <w:bCs/>
          <w:highlight w:val="cyan"/>
        </w:rPr>
        <w:t xml:space="preserve">were largely composed of </w:t>
      </w:r>
      <w:r w:rsidRPr="002B7E1D">
        <w:rPr>
          <w:rStyle w:val="StyleUnderline"/>
          <w:b/>
          <w:bCs/>
        </w:rPr>
        <w:t xml:space="preserve">reformist </w:t>
      </w:r>
      <w:r w:rsidRPr="0072751B">
        <w:rPr>
          <w:rStyle w:val="StyleUnderline"/>
          <w:b/>
          <w:bCs/>
          <w:highlight w:val="cyan"/>
        </w:rPr>
        <w:t>progressives</w:t>
      </w:r>
      <w:r w:rsidRPr="0072751B">
        <w:rPr>
          <w:b/>
          <w:bCs/>
          <w:highlight w:val="cyan"/>
          <w:u w:val="single"/>
        </w:rPr>
        <w:t>,</w:t>
      </w:r>
      <w:r w:rsidRPr="0072751B">
        <w:rPr>
          <w:b/>
          <w:bCs/>
          <w:u w:val="single"/>
        </w:rPr>
        <w:t xml:space="preserve"> </w:t>
      </w:r>
      <w:r w:rsidRPr="00437C80">
        <w:rPr>
          <w:b/>
          <w:bCs/>
          <w:highlight w:val="cyan"/>
          <w:u w:val="single"/>
        </w:rPr>
        <w:t>they</w:t>
      </w:r>
      <w:r w:rsidRPr="00756390">
        <w:t xml:space="preserve"> </w:t>
      </w:r>
      <w:r w:rsidRPr="00806545">
        <w:rPr>
          <w:rStyle w:val="StyleUnderline"/>
          <w:b/>
          <w:bCs/>
        </w:rPr>
        <w:t xml:space="preserve">overwhelmingly </w:t>
      </w:r>
      <w:r w:rsidRPr="00441ACE">
        <w:rPr>
          <w:rStyle w:val="StyleUnderline"/>
          <w:b/>
          <w:bCs/>
          <w:highlight w:val="cyan"/>
        </w:rPr>
        <w:t xml:space="preserve">decided against bargaining </w:t>
      </w:r>
      <w:r w:rsidRPr="00441ACE">
        <w:rPr>
          <w:rStyle w:val="StyleUnderline"/>
          <w:b/>
          <w:bCs/>
        </w:rPr>
        <w:t>with workers</w:t>
      </w:r>
      <w:r w:rsidRPr="00756390">
        <w:t xml:space="preserve">, reasoning that, because they were nonprofit institutions with significant charitable ventures, their responsibility for their patients outweighed the </w:t>
      </w:r>
      <w:r w:rsidRPr="00437C80">
        <w:t>working</w:t>
      </w:r>
      <w:r w:rsidRPr="00756390">
        <w:t xml:space="preserve"> conditions of staff. </w:t>
      </w:r>
      <w:r w:rsidRPr="00CF6495">
        <w:rPr>
          <w:rStyle w:val="StyleUnderline"/>
          <w:b/>
          <w:bCs/>
        </w:rPr>
        <w:t xml:space="preserve">Recognizing that they had no legal obligation to acknowledge workers in a collective capacity, management would most often simply refuse to engage </w:t>
      </w:r>
      <w:r w:rsidRPr="00437C80">
        <w:rPr>
          <w:rStyle w:val="StyleUnderline"/>
          <w:b/>
          <w:bCs/>
        </w:rPr>
        <w:t>with organizers and workers</w:t>
      </w:r>
      <w:r w:rsidRPr="00806545">
        <w:rPr>
          <w:rStyle w:val="StyleUnderline"/>
          <w:b/>
          <w:bCs/>
        </w:rPr>
        <w:t xml:space="preserve"> at all</w:t>
      </w:r>
      <w:r w:rsidRPr="00756390">
        <w:rPr>
          <w:rStyle w:val="StyleUnderline"/>
        </w:rPr>
        <w:t xml:space="preserve">.50 </w:t>
      </w:r>
      <w:r w:rsidRPr="00806545">
        <w:rPr>
          <w:rStyle w:val="StyleUnderline"/>
          <w:b/>
          <w:bCs/>
        </w:rPr>
        <w:t xml:space="preserve">Not only did most health care institutions have </w:t>
      </w:r>
      <w:r w:rsidRPr="00437C80">
        <w:rPr>
          <w:rStyle w:val="StyleUnderline"/>
          <w:b/>
          <w:bCs/>
        </w:rPr>
        <w:t>no legal responsibility to recognize workers' attempts to file for union elections,</w:t>
      </w:r>
      <w:r w:rsidRPr="00806545">
        <w:rPr>
          <w:rStyle w:val="StyleUnderline"/>
          <w:b/>
          <w:bCs/>
        </w:rPr>
        <w:t xml:space="preserve"> but </w:t>
      </w:r>
      <w:r w:rsidRPr="00437C80">
        <w:rPr>
          <w:rStyle w:val="StyleUnderline"/>
          <w:b/>
          <w:bCs/>
        </w:rPr>
        <w:t>because</w:t>
      </w:r>
      <w:r w:rsidRPr="00441ACE">
        <w:rPr>
          <w:rStyle w:val="StyleUnderline"/>
          <w:b/>
          <w:bCs/>
          <w:highlight w:val="cyan"/>
        </w:rPr>
        <w:t xml:space="preserve"> they were outside</w:t>
      </w:r>
      <w:r w:rsidRPr="00806545">
        <w:rPr>
          <w:rStyle w:val="StyleUnderline"/>
          <w:b/>
          <w:bCs/>
        </w:rPr>
        <w:t xml:space="preserve"> </w:t>
      </w:r>
      <w:r w:rsidRPr="00441ACE">
        <w:rPr>
          <w:rStyle w:val="StyleUnderline"/>
          <w:b/>
          <w:bCs/>
          <w:highlight w:val="cyan"/>
        </w:rPr>
        <w:t>the NLRA's purview</w:t>
      </w:r>
      <w:r w:rsidRPr="00806545">
        <w:rPr>
          <w:rStyle w:val="StyleUnderline"/>
          <w:b/>
          <w:bCs/>
        </w:rPr>
        <w:t>, management could also simply dismiss workers for organizing activities.</w:t>
      </w:r>
      <w:r w:rsidRPr="00756390">
        <w:t xml:space="preserve"> Testimonies from workers in Congress and through other historical sources suggest that terminations for organizing or expressing grievances on the job were a regular occurrence in hospitals that began organizing.51 Other tactics were seemingly more benign; although illegal in industries covered by the NLRA, some hospitals would raise wages and benefits during drives to quell organizing activity.52 Among many other instances, the worker who wrote to the Baltimore Afro-American described being promised a 15 cent per hour raise if she and her colleagues did not unionize.53 [End Page 349]</w:t>
      </w:r>
    </w:p>
    <w:p w14:paraId="156DF87E" w14:textId="77777777" w:rsidR="002E7540" w:rsidRPr="00756390" w:rsidRDefault="002E7540" w:rsidP="002E7540"/>
    <w:p w14:paraId="36E2B4BE" w14:textId="77777777" w:rsidR="002E7540" w:rsidRPr="00756390" w:rsidRDefault="002E7540" w:rsidP="002E7540">
      <w:r w:rsidRPr="00756390">
        <w:t xml:space="preserve">Thus, </w:t>
      </w:r>
      <w:r w:rsidRPr="00806545">
        <w:rPr>
          <w:rStyle w:val="StyleUnderline"/>
          <w:b/>
          <w:bCs/>
        </w:rPr>
        <w:t>facing resistance from management</w:t>
      </w:r>
      <w:r w:rsidRPr="00756390">
        <w:rPr>
          <w:rStyle w:val="StyleUnderline"/>
        </w:rPr>
        <w:t xml:space="preserve"> in virtually all cities and jurisdictions in which they tried to organize, </w:t>
      </w:r>
      <w:r w:rsidRPr="00441ACE">
        <w:rPr>
          <w:rStyle w:val="StyleUnderline"/>
          <w:b/>
          <w:bCs/>
        </w:rPr>
        <w:t>workers deployed</w:t>
      </w:r>
      <w:r w:rsidRPr="00806545">
        <w:rPr>
          <w:rStyle w:val="StyleUnderline"/>
          <w:b/>
          <w:bCs/>
        </w:rPr>
        <w:t xml:space="preserve"> their most potent yet riskiest tool: recognition strikes. Precisely the type of work stoppage that the NLRA sought to stymie, they involved striking at a given facility</w:t>
      </w:r>
      <w:r w:rsidRPr="00756390">
        <w:rPr>
          <w:rStyle w:val="StyleUnderline"/>
        </w:rPr>
        <w:t xml:space="preserve"> (or number of facilities) </w:t>
      </w:r>
      <w:r w:rsidRPr="00806545">
        <w:rPr>
          <w:rStyle w:val="StyleUnderline"/>
          <w:b/>
          <w:bCs/>
        </w:rPr>
        <w:t>to gain union recognition</w:t>
      </w:r>
      <w:r w:rsidRPr="00756390">
        <w:t>. As one union representative from Ohio put it, "</w:t>
      </w:r>
      <w:r w:rsidRPr="00756390">
        <w:rPr>
          <w:rStyle w:val="StyleUnderline"/>
        </w:rPr>
        <w:t>Under these circumstances we ask ourselves, what can we do? At present we have only one more choice, that is to strike."54 And workers often did so with conviction</w:t>
      </w:r>
      <w:r w:rsidRPr="00756390">
        <w:t>; in the Baltimore Sun in 1969, one organizer warned hospitals and nursing homes, "We'll get to you."55</w:t>
      </w:r>
    </w:p>
    <w:p w14:paraId="323CB4FE" w14:textId="77777777" w:rsidR="002E7540" w:rsidRPr="00756390" w:rsidRDefault="002E7540" w:rsidP="002E7540"/>
    <w:p w14:paraId="5DF83130" w14:textId="77777777" w:rsidR="002E7540" w:rsidRPr="00756390" w:rsidRDefault="002E7540" w:rsidP="002E7540">
      <w:r w:rsidRPr="00756390">
        <w:t xml:space="preserve">The </w:t>
      </w:r>
      <w:r w:rsidRPr="00756390">
        <w:rPr>
          <w:rStyle w:val="StyleUnderline"/>
        </w:rPr>
        <w:t>strikes and protests produced significant disruption in not only the targeted workplaces but also the broader communities surrounding them. In New York City, for example, a string of citywide work stoppages that were directed at some of the largest hospitals lasted months, turned violent, and involved the arrests of several local elected officials</w:t>
      </w:r>
      <w:r w:rsidRPr="00756390">
        <w:t xml:space="preserve">.56 Meanwhile, in Charleston, South Carolina, the dismissal of 12 Black union activists set off a 113-day strike that resulted in an estimated 1,000 arrests.57 </w:t>
      </w:r>
      <w:r w:rsidRPr="00756390">
        <w:rPr>
          <w:rStyle w:val="StyleUnderline"/>
        </w:rPr>
        <w:t>As workers themselves held the picket line, the Southern Christian Leadership Conference worked in tandem to orchestrate boycotts of local stores and, in the words of one organizer, bring "crises" to the community.</w:t>
      </w:r>
      <w:r w:rsidRPr="00756390">
        <w:t>58 The strike became so disruptive that then-Governor Robert McNair was prompted to declare a state of emergency and call in the National Guard.59 According to primary and secondary sources, recognition strikes of similar length occurred in Cleveland, Ohio; Los Angeles, California; Chicago, Illinois; and Pittsburgh and Philadelphia, Pennsylvania; among other places.60</w:t>
      </w:r>
    </w:p>
    <w:p w14:paraId="1583F221" w14:textId="77777777" w:rsidR="002E7540" w:rsidRPr="00756390" w:rsidRDefault="002E7540" w:rsidP="002E7540"/>
    <w:p w14:paraId="01ECA0DA" w14:textId="77777777" w:rsidR="002E7540" w:rsidRPr="00756390" w:rsidRDefault="002E7540" w:rsidP="002E7540">
      <w:pPr>
        <w:rPr>
          <w:rStyle w:val="StyleUnderline"/>
        </w:rPr>
      </w:pPr>
      <w:r w:rsidRPr="00756390">
        <w:t xml:space="preserve">To be sure, not all organizing drivers were ultimately successful. For example, </w:t>
      </w:r>
      <w:r w:rsidRPr="00756390">
        <w:rPr>
          <w:rStyle w:val="StyleUnderline"/>
        </w:rPr>
        <w:t>despite what one hospital official described as "a bewildering blend of old-style union organizing and the tactics of the SDS and black militants," efforts languished in Pittsburgh.61 In Pittsburgh and elsewhere, such failures seem to reflect the limitations of civil rights unionism'</w:t>
      </w:r>
      <w:r w:rsidRPr="00756390">
        <w:t xml:space="preserve">s appeal to local workforces that were disproportionately white.62 Furthermore, the strikes were painful for both unions, who had just entered the fray and lacked the same level of institutionalized resources that older labor organizations had, and especially workers.63 As Gladys Stone, a food preparation worker with SEIU testified in Congress, a strike in Cleveland cost her 11 months' worth of pay.64 </w:t>
      </w:r>
      <w:r w:rsidRPr="00756390">
        <w:rPr>
          <w:rStyle w:val="StyleUnderline"/>
        </w:rPr>
        <w:t>Nevertheless</w:t>
      </w:r>
      <w:r w:rsidRPr="00756390">
        <w:t xml:space="preserve">, the militant, </w:t>
      </w:r>
      <w:r w:rsidRPr="00756390">
        <w:rPr>
          <w:rStyle w:val="StyleUnderline"/>
        </w:rPr>
        <w:t>grassroots efforts described above were important for a number of reasons. They threw into bold relief the oppressive working conditions faced by health workers. In a handful of states, they helped produce laws that formally extended collective bargaining rights to health workers.65 Even in instances where protective laws were not passed, the disruptive activity resulted in settlements that ultimately improved the lives of workers</w:t>
      </w:r>
      <w:r w:rsidRPr="00756390">
        <w:t xml:space="preserve">, including in South Carolina.66 Yet perhaps of most importance, such efforts pulled state and local lawmakers into the bargaining process itself, a development that, as demonstrated below, helped facilitate cross-domain feedback effects. Indeed, </w:t>
      </w:r>
      <w:r w:rsidRPr="00756390">
        <w:rPr>
          <w:rStyle w:val="StyleUnderline"/>
        </w:rPr>
        <w:t>mobilization might not have been sufficient, but it was certainly necessary to push the issue onto elite agendas and ultimately advance the rights of workers. [End Page 350]</w:t>
      </w:r>
    </w:p>
    <w:p w14:paraId="6DE37BE5" w14:textId="77777777" w:rsidR="002E7540" w:rsidRPr="00756390" w:rsidRDefault="002E7540" w:rsidP="002E7540"/>
    <w:p w14:paraId="4B1502F1" w14:textId="77777777" w:rsidR="002E7540" w:rsidRPr="00756390" w:rsidRDefault="002E7540" w:rsidP="002E7540">
      <w:r w:rsidRPr="00756390">
        <w:t>3.2 Bringing the State in and Revealing its Place</w:t>
      </w:r>
    </w:p>
    <w:p w14:paraId="001EC6F9" w14:textId="77777777" w:rsidR="002E7540" w:rsidRPr="00756390" w:rsidRDefault="002E7540" w:rsidP="002E7540">
      <w:r w:rsidRPr="00756390">
        <w:rPr>
          <w:rStyle w:val="StyleUnderline"/>
        </w:rPr>
        <w:t>As a result of the disruptive activity described above, during or running up to a work stoppages in several cities and states, mayors and governors were regularly called in to attempt to mediate an agreement between providers and unions seeking to represent workers</w:t>
      </w:r>
      <w:r w:rsidRPr="00756390">
        <w:t xml:space="preserve">.67 Indeed, the disruptive nature of the strikes often prompted state and local newspapers to call on elected officials to resolve the strikes in the interest of the city or state as a whole.68 In such bargaining rounds, provider institutions charged that the demands of workers—including wage increases—would inflate their costs and put them at risk of closure. </w:t>
      </w:r>
      <w:r w:rsidRPr="00806545">
        <w:rPr>
          <w:rStyle w:val="StyleUnderline"/>
          <w:b/>
          <w:bCs/>
        </w:rPr>
        <w:t>Unions and workers, meanwhile, insisted on their demands for better pay and working conditions. As actors with a diverse set of interests and demands—including those from not only labor and hospitals but also patients and the city more broadly</w:t>
      </w:r>
      <w:r w:rsidRPr="00756390">
        <w:t>—state and local governments were well suited to serve as brokers between two seemingly distinct policy domains.</w:t>
      </w:r>
    </w:p>
    <w:p w14:paraId="37C3F5C1" w14:textId="77777777" w:rsidR="002E7540" w:rsidRPr="00756390" w:rsidRDefault="002E7540" w:rsidP="002E7540"/>
    <w:p w14:paraId="73B7C8E6" w14:textId="77777777" w:rsidR="002E7540" w:rsidRPr="00756390" w:rsidRDefault="002E7540" w:rsidP="002E7540">
      <w:r w:rsidRPr="00756390">
        <w:t xml:space="preserve">How might local and state lawmakers resolve such demands? </w:t>
      </w:r>
      <w:r w:rsidRPr="00756390">
        <w:rPr>
          <w:rStyle w:val="StyleUnderline"/>
        </w:rPr>
        <w:t>They would do so by promising to use public health care monies—over which, crucially, they had significant discretion—to raise reimbursement rates to help cover the costs of contracts. Such monies came from not only general local and state funds but also the recently implemented Medicaid program—a joint state–federal program</w:t>
      </w:r>
      <w:r w:rsidRPr="00756390">
        <w:t xml:space="preserve"> directed at insuring those with low income and disabilities. As one expert reflected in the American Hospital Association's journal, the </w:t>
      </w:r>
      <w:r w:rsidRPr="00756390">
        <w:rPr>
          <w:rStyle w:val="StyleUnderline"/>
        </w:rPr>
        <w:t>public subsidies flowing into hospitals had shifted industrial relations in hospitals from "bipartite" to "multipartite</w:t>
      </w:r>
      <w:r w:rsidRPr="00756390">
        <w:t xml:space="preserve">"—meaning the government, as a purchaser of insurance, had come to play a significant role.69 Indeed, one prominent hospital official in New York State suggested that "reimbursement [of services] was the name of the game."70 Unions themselves strategized and devoted entire panels at annual meetings on the importance of third-party payers such as governments.71 </w:t>
      </w:r>
      <w:r w:rsidRPr="00756390">
        <w:rPr>
          <w:rStyle w:val="StyleUnderline"/>
        </w:rPr>
        <w:t>Pressed by health workers and others</w:t>
      </w:r>
      <w:r w:rsidRPr="00756390">
        <w:t xml:space="preserve">, state and local </w:t>
      </w:r>
      <w:r w:rsidRPr="00756390">
        <w:rPr>
          <w:rStyle w:val="StyleUnderline"/>
        </w:rPr>
        <w:t>officials used their discretion over public health spending to stretch the bounds of what, exactly, it was intended to do</w:t>
      </w:r>
      <w:r w:rsidRPr="00756390">
        <w:t>. Not only did it fund health care for the otherwise uninsured; it also became a tool for effectively underwriting collective bargaining agreements between health care workers and employers.72</w:t>
      </w:r>
    </w:p>
    <w:p w14:paraId="6CA31B55" w14:textId="77777777" w:rsidR="002E7540" w:rsidRPr="00756390" w:rsidRDefault="002E7540" w:rsidP="002E7540"/>
    <w:p w14:paraId="485C8EC7" w14:textId="77777777" w:rsidR="002E7540" w:rsidRPr="00756390" w:rsidRDefault="002E7540" w:rsidP="002E7540">
      <w:r w:rsidRPr="00756390">
        <w:rPr>
          <w:rStyle w:val="StyleUnderline"/>
        </w:rPr>
        <w:t xml:space="preserve">As </w:t>
      </w:r>
      <w:r w:rsidRPr="00806545">
        <w:rPr>
          <w:rStyle w:val="StyleUnderline"/>
          <w:b/>
          <w:bCs/>
        </w:rPr>
        <w:t>workers mobilized through more disruptive tactics and directly pulled the state into bargaining relationships, they also used legal tactics to reveal the broader role the government was playing in funding health care through the large-scale expansion of public health spending</w:t>
      </w:r>
      <w:r w:rsidRPr="00756390">
        <w:t xml:space="preserve">. Recall that nonprofit hospitals, the single largest set of institutions in terms of employment, were the only health provider explicitly excluded from the NLRA.73 Other institutions, including nursing homes and for-profit hospitals, remained in a liminal zone, neither formally excluded nor covered. Thus, </w:t>
      </w:r>
      <w:r w:rsidRPr="00806545">
        <w:rPr>
          <w:rStyle w:val="StyleUnderline"/>
          <w:b/>
          <w:bCs/>
        </w:rPr>
        <w:t>while</w:t>
      </w:r>
      <w:r w:rsidRPr="00806545">
        <w:rPr>
          <w:b/>
          <w:bCs/>
        </w:rPr>
        <w:t xml:space="preserve"> </w:t>
      </w:r>
      <w:r w:rsidRPr="00441ACE">
        <w:rPr>
          <w:rStyle w:val="StyleUnderline"/>
          <w:b/>
          <w:bCs/>
          <w:highlight w:val="cyan"/>
        </w:rPr>
        <w:t>unions and workers attempted to organize workers in not-for-profit institutions</w:t>
      </w:r>
      <w:r w:rsidRPr="00806545">
        <w:rPr>
          <w:rStyle w:val="StyleUnderline"/>
          <w:b/>
          <w:bCs/>
        </w:rPr>
        <w:t>, they also began petitioning the NLRB to take jurisdiction over workers in institutions not explicitly excluded. In 1967, following petitions for elections in for-profit hospitals and for-profit nursing homes in California from SEIU and others, the NLRB asserted jurisdiction over such institutions</w:t>
      </w:r>
      <w:r w:rsidRPr="00756390">
        <w:rPr>
          <w:rStyle w:val="StyleUnderline"/>
        </w:rPr>
        <w:t>.74 Three years later, in Drexel Home, Inc., the NLRB also took jurisdiction over nonprofit nursing homes after petitions from several lab</w:t>
      </w:r>
      <w:r w:rsidRPr="00756390">
        <w:t xml:space="preserve">or [End Page 351] groups.75 In each decision, </w:t>
      </w:r>
      <w:r w:rsidRPr="00806545">
        <w:rPr>
          <w:rStyle w:val="StyleUnderline"/>
          <w:b/>
          <w:bCs/>
        </w:rPr>
        <w:t>the NLRB's reasoning pivoted on the question of whether the class of health care provider engaged in interstate commerce and was thus subject to federal regulation under the NLRA</w:t>
      </w:r>
      <w:r w:rsidRPr="00756390">
        <w:rPr>
          <w:rStyle w:val="StyleUnderline"/>
        </w:rPr>
        <w:t>. And in all cases, the NLRB ruled that such employers did indeed engage in interstate commerce. Crucially, this reasoning rested on the substantial inflow of insurance payments to providers from third parties,</w:t>
      </w:r>
      <w:r w:rsidRPr="00756390">
        <w:t xml:space="preserve"> particularly those "received directly or indirectly from the Federal Government through Social Security and Medicare programs," as underscored by the NLRB.76 In asserting jurisdiction over for-profit hospitals, for example, the Board argued [emphasis added],</w:t>
      </w:r>
    </w:p>
    <w:p w14:paraId="21DE4EB9" w14:textId="77777777" w:rsidR="002E7540" w:rsidRPr="00756390" w:rsidRDefault="002E7540" w:rsidP="002E7540"/>
    <w:p w14:paraId="687ECE4B" w14:textId="77777777" w:rsidR="002E7540" w:rsidRPr="00756390" w:rsidRDefault="002E7540" w:rsidP="002E7540">
      <w:r w:rsidRPr="00756390">
        <w:t xml:space="preserve">the </w:t>
      </w:r>
      <w:r w:rsidRPr="00756390">
        <w:rPr>
          <w:rStyle w:val="StyleUnderline"/>
        </w:rPr>
        <w:t>material effect on commerce resulting from the nationwide individual expenditures for health care in which proprietary hospitals participates further multiplied and augmented by the numerous public health and welfare enactments of Congress which are financed by the expenditure</w:t>
      </w:r>
      <w:r w:rsidRPr="00756390">
        <w:t xml:space="preserve"> of public funds in which these facilities also participate, directly or indirectly. These </w:t>
      </w:r>
      <w:r w:rsidRPr="00756390">
        <w:rPr>
          <w:rStyle w:val="StyleUnderline"/>
        </w:rPr>
        <w:t>concepts are manifest in the national Medicare program,</w:t>
      </w:r>
      <w:r w:rsidRPr="00756390">
        <w:t xml:space="preserve"> which has a first year operating budget in excess of $2 billion and which provides for the payment of medical and hospital services to proprietary hospitals, including the Employer, as well as others, for the benefit of a large segment of our population."77</w:t>
      </w:r>
    </w:p>
    <w:p w14:paraId="63BD1133" w14:textId="77777777" w:rsidR="002E7540" w:rsidRPr="00756390" w:rsidRDefault="002E7540" w:rsidP="002E7540"/>
    <w:p w14:paraId="6749B854" w14:textId="77777777" w:rsidR="002E7540" w:rsidRPr="00756390" w:rsidRDefault="002E7540" w:rsidP="002E7540">
      <w:pPr>
        <w:rPr>
          <w:rStyle w:val="StyleUnderline"/>
        </w:rPr>
      </w:pPr>
      <w:r w:rsidRPr="00756390">
        <w:t xml:space="preserve">Indeed, </w:t>
      </w:r>
      <w:r w:rsidRPr="00806545">
        <w:rPr>
          <w:rStyle w:val="StyleUnderline"/>
          <w:b/>
          <w:bCs/>
        </w:rPr>
        <w:t>by prodding the NLRB, health workers and unions revealed how the relatively large-scale implementation of Medicare and Medicaid—touching states and health institutions across the country—had come to shape the nature of health care delivery</w:t>
      </w:r>
      <w:r w:rsidRPr="00756390">
        <w:rPr>
          <w:rStyle w:val="StyleUnderline"/>
        </w:rPr>
        <w:t xml:space="preserve">. </w:t>
      </w:r>
      <w:r w:rsidRPr="00806545">
        <w:rPr>
          <w:rStyle w:val="StyleUnderline"/>
          <w:b/>
          <w:bCs/>
        </w:rPr>
        <w:t>No longer could such institutions be construed as local or parochial. Instead, precisely because of the significant investments form federal health spending, they</w:t>
      </w:r>
      <w:r w:rsidRPr="00756390">
        <w:rPr>
          <w:rStyle w:val="StyleUnderline"/>
        </w:rPr>
        <w:t xml:space="preserve"> </w:t>
      </w:r>
      <w:r w:rsidRPr="00806545">
        <w:rPr>
          <w:rStyle w:val="StyleUnderline"/>
          <w:b/>
          <w:bCs/>
        </w:rPr>
        <w:t>were employers that came under the purview of national labor law, suggesting that health care workers did indeed have collective bargaining rights</w:t>
      </w:r>
      <w:r w:rsidRPr="00756390">
        <w:rPr>
          <w:rStyle w:val="StyleUnderline"/>
        </w:rPr>
        <w:t xml:space="preserve">. In analytic terms, unions and health care workers activated </w:t>
      </w:r>
      <w:proofErr w:type="spellStart"/>
      <w:r w:rsidRPr="00756390">
        <w:rPr>
          <w:rStyle w:val="StyleUnderline"/>
        </w:rPr>
        <w:t>crossdomain</w:t>
      </w:r>
      <w:proofErr w:type="spellEnd"/>
      <w:r w:rsidRPr="00756390">
        <w:rPr>
          <w:rStyle w:val="StyleUnderline"/>
        </w:rPr>
        <w:t xml:space="preserve"> feedback effects.</w:t>
      </w:r>
    </w:p>
    <w:p w14:paraId="12315073" w14:textId="77777777" w:rsidR="002E7540" w:rsidRPr="00756390" w:rsidRDefault="002E7540" w:rsidP="002E7540"/>
    <w:p w14:paraId="08E80EC4" w14:textId="77777777" w:rsidR="002E7540" w:rsidRPr="00756390" w:rsidRDefault="002E7540" w:rsidP="002E7540">
      <w:r w:rsidRPr="00806545">
        <w:rPr>
          <w:b/>
          <w:bCs/>
        </w:rPr>
        <w:t>De</w:t>
      </w:r>
      <w:r w:rsidRPr="00806545">
        <w:rPr>
          <w:rStyle w:val="StyleUnderline"/>
          <w:b/>
          <w:bCs/>
        </w:rPr>
        <w:t xml:space="preserve">spite workers' ability to secure victories through the NLRB in the late 1960s and early 1970s, </w:t>
      </w:r>
      <w:r w:rsidRPr="00441ACE">
        <w:rPr>
          <w:rStyle w:val="StyleUnderline"/>
          <w:b/>
          <w:bCs/>
          <w:highlight w:val="cyan"/>
        </w:rPr>
        <w:t>the Board declined</w:t>
      </w:r>
      <w:r w:rsidRPr="00806545">
        <w:rPr>
          <w:rStyle w:val="StyleUnderline"/>
          <w:b/>
          <w:bCs/>
        </w:rPr>
        <w:t xml:space="preserve"> </w:t>
      </w:r>
      <w:r w:rsidRPr="00441ACE">
        <w:rPr>
          <w:rStyle w:val="StyleUnderline"/>
          <w:b/>
          <w:bCs/>
          <w:highlight w:val="cyan"/>
        </w:rPr>
        <w:t>jurisdiction</w:t>
      </w:r>
      <w:r w:rsidRPr="00806545">
        <w:rPr>
          <w:rStyle w:val="StyleUnderline"/>
          <w:b/>
          <w:bCs/>
        </w:rPr>
        <w:t xml:space="preserve"> </w:t>
      </w:r>
      <w:r w:rsidRPr="00441ACE">
        <w:rPr>
          <w:rStyle w:val="StyleUnderline"/>
          <w:b/>
          <w:bCs/>
          <w:highlight w:val="cyan"/>
        </w:rPr>
        <w:t>over</w:t>
      </w:r>
      <w:r w:rsidRPr="00806545">
        <w:rPr>
          <w:rStyle w:val="StyleUnderline"/>
          <w:b/>
          <w:bCs/>
        </w:rPr>
        <w:t xml:space="preserve"> </w:t>
      </w:r>
      <w:r w:rsidRPr="00441ACE">
        <w:rPr>
          <w:rStyle w:val="StyleUnderline"/>
          <w:b/>
          <w:bCs/>
          <w:highlight w:val="cyan"/>
        </w:rPr>
        <w:t>nonprofit hospitals</w:t>
      </w:r>
      <w:r w:rsidRPr="00806545">
        <w:rPr>
          <w:rStyle w:val="StyleUnderline"/>
          <w:b/>
          <w:bCs/>
        </w:rPr>
        <w:t>, a sector much larger and thus arguably more intertwined with interstate commerce</w:t>
      </w:r>
      <w:r w:rsidRPr="00756390">
        <w:t xml:space="preserve"> than the other institutions mentioned above. In the early 1970s, the American Federation of State, County, and Municipal Employees petitioned for an election for all service employees on Duke University's campus, including those in the University's Medical Center, which was legally considered a private nonprofit hospital. The National Union of Hospital and Nursing Home Employees, meanwhile, petitioned for an election including only those in the medical center. </w:t>
      </w:r>
      <w:r w:rsidRPr="00756390">
        <w:rPr>
          <w:rStyle w:val="StyleUnderline"/>
        </w:rPr>
        <w:t xml:space="preserve">In the case Duke University, the Board allowed an election for those spending a majority of their working time outside of the university's hospital. </w:t>
      </w:r>
      <w:r w:rsidRPr="00441ACE">
        <w:rPr>
          <w:b/>
          <w:bCs/>
          <w:u w:val="single"/>
        </w:rPr>
        <w:t xml:space="preserve">Even though the Board conceded that the employer engaged in interstate commerce for some of the reasons described above, </w:t>
      </w:r>
      <w:r w:rsidRPr="00437C80">
        <w:rPr>
          <w:b/>
          <w:bCs/>
          <w:u w:val="single"/>
        </w:rPr>
        <w:t>they declined to take jurisdiction over the medical center</w:t>
      </w:r>
      <w:r w:rsidRPr="00441ACE">
        <w:rPr>
          <w:b/>
          <w:bCs/>
          <w:u w:val="single"/>
        </w:rPr>
        <w:t xml:space="preserve">, </w:t>
      </w:r>
      <w:r w:rsidRPr="00441ACE">
        <w:rPr>
          <w:b/>
          <w:bCs/>
          <w:highlight w:val="cyan"/>
          <w:u w:val="single"/>
        </w:rPr>
        <w:t>claiming that it could</w:t>
      </w:r>
      <w:r w:rsidRPr="00441ACE">
        <w:rPr>
          <w:b/>
          <w:bCs/>
          <w:u w:val="single"/>
        </w:rPr>
        <w:t xml:space="preserve"> </w:t>
      </w:r>
      <w:r w:rsidRPr="00441ACE">
        <w:rPr>
          <w:b/>
          <w:bCs/>
          <w:highlight w:val="cyan"/>
          <w:u w:val="single"/>
        </w:rPr>
        <w:t>not do so because of</w:t>
      </w:r>
      <w:r w:rsidRPr="00441ACE">
        <w:rPr>
          <w:b/>
          <w:bCs/>
          <w:u w:val="single"/>
        </w:rPr>
        <w:t xml:space="preserve"> the </w:t>
      </w:r>
      <w:r w:rsidRPr="00441ACE">
        <w:rPr>
          <w:b/>
          <w:bCs/>
          <w:highlight w:val="cyan"/>
          <w:u w:val="single"/>
        </w:rPr>
        <w:t>Taft-Hartley</w:t>
      </w:r>
      <w:r w:rsidRPr="00441ACE">
        <w:rPr>
          <w:b/>
          <w:bCs/>
          <w:u w:val="single"/>
        </w:rPr>
        <w:t xml:space="preserve"> Amendments and Congress's express intent to exclude such workers.78 Instead, securing protections under the NLRA for private nonprofit hospital workers would require action from Congress—action that itself would ultimately turn on the increasing role public health funding was playing in America's health system</w:t>
      </w:r>
      <w:r w:rsidRPr="00756390">
        <w:t>. [End Page 352]</w:t>
      </w:r>
    </w:p>
    <w:p w14:paraId="498B3784" w14:textId="77777777" w:rsidR="002E7540" w:rsidRPr="00756390" w:rsidRDefault="002E7540" w:rsidP="002E7540"/>
    <w:p w14:paraId="7CDD9346" w14:textId="77777777" w:rsidR="002E7540" w:rsidRPr="00756390" w:rsidRDefault="002E7540" w:rsidP="002E7540">
      <w:r w:rsidRPr="00756390">
        <w:t>3.3 Medicare and Medicaid Help Upend Taft-Hartley</w:t>
      </w:r>
    </w:p>
    <w:p w14:paraId="5B67D9D7" w14:textId="77777777" w:rsidR="002E7540" w:rsidRPr="00756390" w:rsidRDefault="002E7540" w:rsidP="002E7540">
      <w:pPr>
        <w:rPr>
          <w:rStyle w:val="StyleUnderline"/>
        </w:rPr>
      </w:pPr>
      <w:r w:rsidRPr="00756390">
        <w:rPr>
          <w:rStyle w:val="StyleUnderline"/>
        </w:rPr>
        <w:t xml:space="preserve">Facing intransigence from management and without a route through the NLRB, </w:t>
      </w:r>
      <w:r w:rsidRPr="00806545">
        <w:rPr>
          <w:rStyle w:val="StyleUnderline"/>
          <w:b/>
          <w:bCs/>
        </w:rPr>
        <w:t xml:space="preserve">nonprofit hospital workers would need to take their fight to the Halls of Congress. </w:t>
      </w:r>
      <w:r w:rsidRPr="00437C80">
        <w:rPr>
          <w:rStyle w:val="StyleUnderline"/>
          <w:b/>
          <w:bCs/>
        </w:rPr>
        <w:t>In virtually every session since the 1947 Taft-Hartley amendments, a bill was introduced to repeal the exclusion of nonprofit hospitals from</w:t>
      </w:r>
      <w:r w:rsidRPr="00806545">
        <w:rPr>
          <w:rStyle w:val="StyleUnderline"/>
          <w:b/>
          <w:bCs/>
        </w:rPr>
        <w:t xml:space="preserve"> NLRA coverage</w:t>
      </w:r>
      <w:r w:rsidRPr="00756390">
        <w:rPr>
          <w:rStyle w:val="StyleUnderline"/>
        </w:rPr>
        <w:t>. Yet because they were concerned about exposing labor law to further retrenchments</w:t>
      </w:r>
      <w:r w:rsidRPr="00756390">
        <w:t xml:space="preserve">, liberal Democrats and the AFL-CIO—the largest labor federation in the country—did not press the issue.79 </w:t>
      </w:r>
      <w:r w:rsidRPr="00756390">
        <w:rPr>
          <w:rStyle w:val="StyleUnderline"/>
        </w:rPr>
        <w:t>Organizing at the grassroots level as well as the recent extensions of bargaining rights to workers in other health institutions through the NLRB appear to have shifted these calculations, helping push collective bargaining rights onto the agenda.80 It is worth reiterating that several of the strikes at the local level drew nationwide attention.81 In addition to attracting national news coverage, the Charleston strike in 1969, for example, required federal officials from the departments of Labor and Health and Welfare to help mediate a resolution between workers and the hospital.82</w:t>
      </w:r>
    </w:p>
    <w:p w14:paraId="3A1CFF39" w14:textId="77777777" w:rsidR="002E7540" w:rsidRPr="00756390" w:rsidRDefault="002E7540" w:rsidP="002E7540"/>
    <w:p w14:paraId="0577F9B0" w14:textId="77777777" w:rsidR="002E7540" w:rsidRPr="00756390" w:rsidRDefault="002E7540" w:rsidP="002E7540">
      <w:r w:rsidRPr="00756390">
        <w:rPr>
          <w:rStyle w:val="StyleUnderline"/>
        </w:rPr>
        <w:t xml:space="preserve">With the cautious go ahead of the AFL-CIO, in 1971 President George Hardy of the SEIU thus finally convinced then-congressman Frank Thompson, Jr., a Democrat of New Jersey, to hold hearings on reform.83 The initial legislation would have simply repealed nonprofit workers' exclusion from the NLRA, </w:t>
      </w:r>
      <w:r w:rsidRPr="00756390">
        <w:t>and the first set of hearings was held in the 92nd Congress in late 1971 and early 1972.84 Representative Thompson (D-NJ) began them by pointing to the industrial unrest as the principal reasons for the legislation making it onto the agenda: "In the past several years we have witnessed a series of bitter labor disputes, some of which we are going to hear about today, and we want to examine the underlying causes of this unrest and determine whether a legislative remedy is called for."85</w:t>
      </w:r>
    </w:p>
    <w:p w14:paraId="66B28F74" w14:textId="77777777" w:rsidR="002E7540" w:rsidRPr="00756390" w:rsidRDefault="002E7540" w:rsidP="002E7540"/>
    <w:p w14:paraId="6B365005" w14:textId="77777777" w:rsidR="002E7540" w:rsidRPr="00756390" w:rsidRDefault="002E7540" w:rsidP="002E7540">
      <w:r w:rsidRPr="00756390">
        <w:t xml:space="preserve">The relative </w:t>
      </w:r>
      <w:r w:rsidRPr="00756390">
        <w:rPr>
          <w:rStyle w:val="StyleUnderline"/>
        </w:rPr>
        <w:t xml:space="preserve">responsiveness from local, state, and federal lawmakers suggests that health care workers were riding a wave of momentum. Yet it is worth noting that passage of such legislation was not inevitable. Indeed, </w:t>
      </w:r>
      <w:r w:rsidRPr="00806545">
        <w:rPr>
          <w:rStyle w:val="StyleUnderline"/>
          <w:b/>
          <w:bCs/>
        </w:rPr>
        <w:t>extending collective bargaining rights to nonprofit hospital workers was certainly not preordained</w:t>
      </w:r>
      <w:r w:rsidRPr="00756390">
        <w:rPr>
          <w:rStyle w:val="StyleUnderline"/>
        </w:rPr>
        <w:t>.</w:t>
      </w:r>
      <w:r w:rsidRPr="00756390">
        <w:t xml:space="preserve"> The American Hospital Association (AHA) was staunchly opposed to such legislation and had far more instrumental or political power than hospital workers. In the decades running up, the AHA had begun to wield significant influence in Congress, as evinced, among other things, for their role in designing the favorable funding structure of Medicare.86 In opposing the legislation, the AHA mobilized their state and local constituencies from around the country—including Ohio, Iowa, California, Colorado, and Texas, among others—to lobby and testify.87 The AHA also organized a campaign to flood senators and House members with telegrams from local hospital administrators, pleading for Congress to defeat the legislation.88 Moreover, the AHA was joined in Congress by other influential conservative organizations, including the Chamber of Commerce and the National Right to Work Legal Foundation.89 The AHA and other lobbyists against the bill contended that bringing private nonprofit hospitals under the purview of the NLRA would invite even more industrial unrest (such as strikes, picketing, and boycotts), impose other rigid work rules that would make delivering care difficult if not impossible (like stricter protections on working hours), and ultimately drive up the costs of health care. The last argument drew [End Page 353] especially strong appeal given that health care costs and inflation had grown dramatically in recent decades. Attempts to control health care costs, as ineffective as they were, had become a significant priority of congressional lawmakers as well as the Nixon administration.90</w:t>
      </w:r>
    </w:p>
    <w:p w14:paraId="1DA8CBD3" w14:textId="77777777" w:rsidR="002E7540" w:rsidRPr="00756390" w:rsidRDefault="002E7540" w:rsidP="002E7540"/>
    <w:p w14:paraId="6FA028CE" w14:textId="77777777" w:rsidR="002E7540" w:rsidRPr="00756390" w:rsidRDefault="002E7540" w:rsidP="002E7540">
      <w:r w:rsidRPr="00806545">
        <w:rPr>
          <w:rStyle w:val="StyleUnderline"/>
          <w:b/>
          <w:bCs/>
        </w:rPr>
        <w:t>As well resourced and well organized as their opponents were, however, workers, unions, and sympathetic lawmakers were able to overcome opposition and advance reform by facilitating cross-domain feedback effects. As discussed earlier, the main rationale for excluding nonprofit hospitals from NLRA in 1947 was that they were local in nature and did not engage or affect interstate commerce. Yet in the decades that followed, large-scale policy interventions from the federal government made this reasoning far less tenable</w:t>
      </w:r>
      <w:r w:rsidRPr="00756390">
        <w:rPr>
          <w:rStyle w:val="StyleUnderline"/>
        </w:rPr>
        <w:t xml:space="preserve">. </w:t>
      </w:r>
      <w:r w:rsidRPr="00806545">
        <w:rPr>
          <w:rStyle w:val="StyleUnderline"/>
          <w:b/>
          <w:bCs/>
        </w:rPr>
        <w:t>As the NLRB had recently recognized, the federal government was playing an increasing role in subsidizing health insurance coverage and ultimately the revenues of hospitals</w:t>
      </w:r>
      <w:r w:rsidRPr="00756390">
        <w:rPr>
          <w:rStyle w:val="StyleUnderline"/>
        </w:rPr>
        <w:t>, particularly through the large-scale implementation of Medicare and Medicaid programs. Add to this the billions of dollars devoted to health training and infrastructure construction by mid-century policy, including grants from the Hill-Burton Act, which had touched an estimated 60% of all US hospital</w:t>
      </w:r>
      <w:r w:rsidRPr="00756390">
        <w:t>s at the time.91</w:t>
      </w:r>
    </w:p>
    <w:p w14:paraId="6E4A47CA" w14:textId="77777777" w:rsidR="002E7540" w:rsidRPr="00756390" w:rsidRDefault="002E7540" w:rsidP="002E7540"/>
    <w:p w14:paraId="32B1123C" w14:textId="77777777" w:rsidR="002E7540" w:rsidRPr="00756390" w:rsidRDefault="002E7540" w:rsidP="002E7540">
      <w:r w:rsidRPr="00756390">
        <w:t xml:space="preserve">Exhaustive </w:t>
      </w:r>
      <w:r w:rsidRPr="00756390">
        <w:rPr>
          <w:rStyle w:val="StyleUnderline"/>
        </w:rPr>
        <w:t>review of congressional hearings and testimony reveals that activists and sympathetic lawmakers of the NLRA amendments made the large, growing, and, crucially, interstate nature of the nonprofit hospital industry a central point in their advocacy, highlighting federal investment and the logic embedded in the NLRB rulings to justify their claims. One SEIU member, for example, opened their statement this way: "Throughout the country, the nonprofit hospitals receive some 55 percent of their income flow from two primary sources. One is the [M]</w:t>
      </w:r>
      <w:proofErr w:type="spellStart"/>
      <w:r w:rsidRPr="00756390">
        <w:rPr>
          <w:rStyle w:val="StyleUnderline"/>
        </w:rPr>
        <w:t>edicare</w:t>
      </w:r>
      <w:proofErr w:type="spellEnd"/>
      <w:r w:rsidRPr="00756390">
        <w:rPr>
          <w:rStyle w:val="StyleUnderline"/>
        </w:rPr>
        <w:t xml:space="preserve"> program and the other is the Blue Cross program. Both of these have a very definite interstate aspect</w:t>
      </w:r>
      <w:r w:rsidRPr="00756390">
        <w:t>."92 Another reformer described the situation as such: "</w:t>
      </w:r>
      <w:r w:rsidRPr="00756390">
        <w:rPr>
          <w:rStyle w:val="StyleUnderline"/>
        </w:rPr>
        <w:t>It is incomprehensible that an industry as large, as complex, as interstate in nature and as important to the whole being of our country as ours, should today be excluded from the national labor laws. With the increasing Federal concern with the health care delivery system, its operations and its financing, the substantial impact on interstate commerce of the voluntary hospital is apparent."93 To put it more analytically, activists and sympathetic lawmakers revealed the large-scale reform in one domain (the implementation of Medicare and Medicaid) and argued that said reform had implications for other parts of economic and social life (collective bargaining rights).</w:t>
      </w:r>
    </w:p>
    <w:p w14:paraId="4E155965" w14:textId="77777777" w:rsidR="002E7540" w:rsidRPr="00756390" w:rsidRDefault="002E7540" w:rsidP="002E7540"/>
    <w:p w14:paraId="24134A1D" w14:textId="77777777" w:rsidR="002E7540" w:rsidRPr="00756390" w:rsidRDefault="002E7540" w:rsidP="002E7540">
      <w:r w:rsidRPr="00756390">
        <w:rPr>
          <w:rStyle w:val="StyleUnderline"/>
        </w:rPr>
        <w:t>Opponents</w:t>
      </w:r>
      <w:r w:rsidRPr="00756390">
        <w:t xml:space="preserve"> of the reform </w:t>
      </w:r>
      <w:r w:rsidRPr="00756390">
        <w:rPr>
          <w:rStyle w:val="StyleUnderline"/>
        </w:rPr>
        <w:t>struggled to combat this logic</w:t>
      </w:r>
      <w:r w:rsidRPr="00756390">
        <w:t xml:space="preserve">. </w:t>
      </w:r>
      <w:r w:rsidRPr="00756390">
        <w:rPr>
          <w:rStyle w:val="StyleUnderline"/>
        </w:rPr>
        <w:t>Given that nonprofit hospitals were growing in size thanks to generous federal reimbursement rates from Medicare, which included funds for capital expenditure, it became untenable to frame them as small, parochial institutions</w:t>
      </w:r>
      <w:r w:rsidRPr="00756390">
        <w:t>. It was even more difficult to justify private, nonprofit hospitals' exclusion from the NLRA precisely because similar institutions—nursing homes and for-profit hospitals—had recently come under its regulation, a fact that advocates pointed to regularly.94 When pressed on the distinction between nonprofit and proprietary hospitals, for example, one hospital representative went so far to admit that there was no real difference.95 Thus, the legislation initially passed out of the House in 1972 on a vote count of 295 to 85 and was poised to fly through the Senate.96 [End Page 354]</w:t>
      </w:r>
    </w:p>
    <w:p w14:paraId="130F0CE2" w14:textId="77777777" w:rsidR="002E7540" w:rsidRPr="00756390" w:rsidRDefault="002E7540" w:rsidP="002E7540"/>
    <w:p w14:paraId="436E057B" w14:textId="77777777" w:rsidR="002E7540" w:rsidRPr="00756390" w:rsidRDefault="002E7540" w:rsidP="002E7540">
      <w:r w:rsidRPr="00756390">
        <w:rPr>
          <w:rStyle w:val="StyleUnderline"/>
        </w:rPr>
        <w:t>Sensing defeat after the early round of hearings</w:t>
      </w:r>
      <w:r w:rsidRPr="00756390">
        <w:t xml:space="preserve">, the AHA lobbied Robert Taft, Jr. (R-OH), the more moderate son of the architect of the Taft-Hartley's amendments, to intervene.97 To slow down the legislation, Taft, Jr. had the bill reported to his committee in the Senate—rather than having it reported to the floor for a quick consent calendar vote, as was planned by advocates—and introduced his own amendments that largely reflected the wishes of the AHA.98 Following an additional set of long, drawn-out hearings at his insistence, </w:t>
      </w:r>
      <w:r w:rsidRPr="00441ACE">
        <w:rPr>
          <w:rStyle w:val="StyleUnderline"/>
          <w:b/>
          <w:bCs/>
          <w:highlight w:val="cyan"/>
        </w:rPr>
        <w:t xml:space="preserve">Taft, Jr. ultimately brokered a deal </w:t>
      </w:r>
      <w:r w:rsidRPr="00441ACE">
        <w:rPr>
          <w:rStyle w:val="StyleUnderline"/>
          <w:b/>
          <w:bCs/>
        </w:rPr>
        <w:t>between</w:t>
      </w:r>
      <w:r w:rsidRPr="00756390">
        <w:rPr>
          <w:rStyle w:val="StyleUnderline"/>
        </w:rPr>
        <w:t xml:space="preserve"> hospitals and workers.99 </w:t>
      </w:r>
      <w:r w:rsidRPr="00441ACE">
        <w:rPr>
          <w:rStyle w:val="StyleUnderline"/>
          <w:b/>
          <w:bCs/>
          <w:highlight w:val="cyan"/>
        </w:rPr>
        <w:t>Nonprofit hospital workers would be granted c</w:t>
      </w:r>
      <w:r w:rsidRPr="00F21E18">
        <w:rPr>
          <w:rStyle w:val="StyleUnderline"/>
          <w:b/>
          <w:bCs/>
        </w:rPr>
        <w:t>ollective</w:t>
      </w:r>
      <w:r w:rsidRPr="00441ACE">
        <w:rPr>
          <w:rStyle w:val="StyleUnderline"/>
          <w:b/>
          <w:bCs/>
          <w:highlight w:val="cyan"/>
        </w:rPr>
        <w:t xml:space="preserve"> b</w:t>
      </w:r>
      <w:r w:rsidRPr="00F21E18">
        <w:rPr>
          <w:rStyle w:val="StyleUnderline"/>
          <w:b/>
          <w:bCs/>
        </w:rPr>
        <w:t>argaining</w:t>
      </w:r>
      <w:r w:rsidRPr="00441ACE">
        <w:rPr>
          <w:rStyle w:val="StyleUnderline"/>
          <w:b/>
          <w:bCs/>
          <w:highlight w:val="cyan"/>
        </w:rPr>
        <w:t xml:space="preserve"> r</w:t>
      </w:r>
      <w:r w:rsidRPr="00F21E18">
        <w:rPr>
          <w:rStyle w:val="StyleUnderline"/>
          <w:b/>
          <w:bCs/>
        </w:rPr>
        <w:t>ight</w:t>
      </w:r>
      <w:r w:rsidRPr="00441ACE">
        <w:rPr>
          <w:rStyle w:val="StyleUnderline"/>
          <w:b/>
          <w:bCs/>
          <w:highlight w:val="cyan"/>
        </w:rPr>
        <w:t>s</w:t>
      </w:r>
      <w:r w:rsidRPr="00756390">
        <w:rPr>
          <w:rStyle w:val="StyleUnderline"/>
        </w:rPr>
        <w:t xml:space="preserve"> under the NLRA </w:t>
      </w:r>
      <w:r w:rsidRPr="00441ACE">
        <w:rPr>
          <w:rStyle w:val="StyleUnderline"/>
          <w:b/>
          <w:bCs/>
          <w:highlight w:val="cyan"/>
        </w:rPr>
        <w:t>but with</w:t>
      </w:r>
      <w:r w:rsidRPr="00756390">
        <w:rPr>
          <w:rStyle w:val="StyleUnderline"/>
        </w:rPr>
        <w:t xml:space="preserve"> several </w:t>
      </w:r>
      <w:r w:rsidRPr="00441ACE">
        <w:rPr>
          <w:rStyle w:val="StyleUnderline"/>
          <w:b/>
          <w:bCs/>
          <w:highlight w:val="cyan"/>
        </w:rPr>
        <w:t>caveats</w:t>
      </w:r>
      <w:r w:rsidRPr="00756390">
        <w:rPr>
          <w:rStyle w:val="StyleUnderline"/>
        </w:rPr>
        <w:t xml:space="preserve"> deviating from the original</w:t>
      </w:r>
      <w:r w:rsidRPr="00756390">
        <w:t xml:space="preserve"> proposal. These include, relative to other industries covered, prolonged notice for termination or modification of contracts by either party wishing to do so, mandatory mediation prior to contract expirations or terminations, and a 10-day notification of intent to strike on the part of unions.100 </w:t>
      </w:r>
      <w:r w:rsidRPr="00756390">
        <w:rPr>
          <w:rStyle w:val="StyleUnderline"/>
        </w:rPr>
        <w:t>The law further redefined health care institutions as covered under the NLRA completely so that most private providers—including all private hospitals and nursing homes, for-profit and nonprofit—would all be under the same legal regime as established by the amendments. In late July of 1974, then-President Nixon signed Public Law 93–360 into law. Effective August 25, 1974, health care workers had partially repealed Taft-Hartley</w:t>
      </w:r>
      <w:r w:rsidRPr="00756390">
        <w:t xml:space="preserve"> </w:t>
      </w:r>
      <w:r w:rsidRPr="00756390">
        <w:rPr>
          <w:rStyle w:val="StyleUnderline"/>
        </w:rPr>
        <w:t>and gained federal legal protections to organize through the NLRA</w:t>
      </w:r>
      <w:r w:rsidRPr="00756390">
        <w:t>.</w:t>
      </w:r>
    </w:p>
    <w:p w14:paraId="6ED50F2E" w14:textId="77777777" w:rsidR="002E7540" w:rsidRPr="00756390" w:rsidRDefault="002E7540" w:rsidP="002E7540"/>
    <w:p w14:paraId="7EB44D32" w14:textId="77777777" w:rsidR="002E7540" w:rsidRPr="00756390" w:rsidRDefault="002E7540" w:rsidP="002E7540">
      <w:r w:rsidRPr="00756390">
        <w:t>4. Discussion and Conclusion</w:t>
      </w:r>
    </w:p>
    <w:p w14:paraId="6602702C" w14:textId="77777777" w:rsidR="002E7540" w:rsidRPr="00756390" w:rsidRDefault="002E7540" w:rsidP="002E7540">
      <w:r w:rsidRPr="00756390">
        <w:t xml:space="preserve">At the middle of the twentieth century, nonprofessional health care workers—long marginalized by race, class, and gender—waged a decades'-long campaign to secure collective bargaining rights. In the face of political, legal, and managerial hurdles, this article argues that they did so successfully through two interrelated processes. First, </w:t>
      </w:r>
      <w:r w:rsidRPr="00756390">
        <w:rPr>
          <w:rStyle w:val="StyleUnderline"/>
        </w:rPr>
        <w:t>in coordination with the civil rights movement, workers engaged in both disruptive and legal social-movement tactics: they struck for union recognition, protested in communities, and petitioned the federal government. Second, in doing so they helped draw the state into and reveal its relationship to collective bargaining process in the health care sector</w:t>
      </w:r>
      <w:r w:rsidRPr="00756390">
        <w:t>, facilitating cross-domain policy feedback effects.</w:t>
      </w:r>
    </w:p>
    <w:p w14:paraId="06962F50" w14:textId="77777777" w:rsidR="002E7540" w:rsidRPr="00756390" w:rsidRDefault="002E7540" w:rsidP="002E7540"/>
    <w:p w14:paraId="4AA1D60C" w14:textId="77777777" w:rsidR="002E7540" w:rsidRPr="00756390" w:rsidRDefault="002E7540" w:rsidP="002E7540">
      <w:r w:rsidRPr="00756390">
        <w:rPr>
          <w:rStyle w:val="StyleUnderline"/>
        </w:rPr>
        <w:t>As the health care industry has grown to become among the largest sources of private sector employment in the United States, the significance of these developments and the benefits of such rights should not be understated. Studies have shown, for example, that hospital workers who are unionized have better pay101 and fringe benefits102</w:t>
      </w:r>
      <w:r w:rsidRPr="00756390">
        <w:t xml:space="preserve"> relative to those who are not and tend to produce better patient outcomes.103 </w:t>
      </w:r>
      <w:r w:rsidRPr="00437C80">
        <w:rPr>
          <w:rStyle w:val="StyleUnderline"/>
          <w:b/>
          <w:bCs/>
        </w:rPr>
        <w:t>Related research in the wake of the pandemic suggests that health care institutions that were organized had a lower incidence of COVID-19 spread and fatality</w:t>
      </w:r>
      <w:r w:rsidRPr="00437C80">
        <w:rPr>
          <w:b/>
          <w:bCs/>
        </w:rPr>
        <w:t>.</w:t>
      </w:r>
      <w:r w:rsidRPr="00756390">
        <w:t xml:space="preserve">104 </w:t>
      </w:r>
      <w:r w:rsidRPr="00756390">
        <w:rPr>
          <w:rStyle w:val="StyleUnderline"/>
        </w:rPr>
        <w:t>Beyond helping to level the balance of power in the workplace and improve patient outcomes, such organizing rights have bolstered the political power of health care workers. Following the passage of health amendments at the federal level, SEIU celebrated the law as the "greatest" legislative victory in its half-century history.105 The organization dedicated significant resources to organizing hospitals in an "all-out" campaign</w:t>
      </w:r>
      <w:r w:rsidRPr="00756390">
        <w:t xml:space="preserve"> around [End Page 355] the country,106 with George Hardy suggesting the efforts were the single largest mobilization of workers since those following the passage of the NLRA in the 1930s.107 Alongside campaigns from Local 1199, the push garnered news coverage from the New York Times.108 Indeed, the </w:t>
      </w:r>
      <w:r w:rsidRPr="00756390">
        <w:rPr>
          <w:rStyle w:val="StyleUnderline"/>
        </w:rPr>
        <w:t>extension of collective bargaining rights helped fuel its rise as one of the most powerful forces among organized labor in the country, with roughly half of its two million members coming from health care.109 The SEIU has also become a core coalitional partner of the Democratic Party, granting its members voice in the political proce</w:t>
      </w:r>
      <w:r w:rsidRPr="00756390">
        <w:t>ss.</w:t>
      </w:r>
    </w:p>
    <w:p w14:paraId="3D9D56DD" w14:textId="77777777" w:rsidR="002E7540" w:rsidRPr="00756390" w:rsidRDefault="002E7540" w:rsidP="002E7540"/>
    <w:p w14:paraId="581A2138" w14:textId="77777777" w:rsidR="002E7540" w:rsidRPr="00441ACE" w:rsidRDefault="002E7540" w:rsidP="002E7540">
      <w:pPr>
        <w:rPr>
          <w:b/>
          <w:bCs/>
          <w:u w:val="single"/>
        </w:rPr>
      </w:pPr>
      <w:r w:rsidRPr="00441ACE">
        <w:rPr>
          <w:b/>
          <w:bCs/>
          <w:u w:val="single"/>
        </w:rPr>
        <w:t xml:space="preserve">Nevertheless, </w:t>
      </w:r>
      <w:r w:rsidRPr="006840F3">
        <w:rPr>
          <w:b/>
          <w:bCs/>
          <w:u w:val="single"/>
        </w:rPr>
        <w:t>the reforms outlined above had serious limitations.</w:t>
      </w:r>
      <w:r w:rsidRPr="00441ACE">
        <w:rPr>
          <w:b/>
          <w:bCs/>
          <w:u w:val="single"/>
        </w:rPr>
        <w:t xml:space="preserve"> At minimum, </w:t>
      </w:r>
      <w:r w:rsidRPr="00A84C4F">
        <w:rPr>
          <w:b/>
          <w:bCs/>
          <w:highlight w:val="cyan"/>
          <w:u w:val="single"/>
        </w:rPr>
        <w:t>they dulled</w:t>
      </w:r>
      <w:r w:rsidRPr="00441ACE">
        <w:rPr>
          <w:b/>
          <w:bCs/>
          <w:u w:val="single"/>
        </w:rPr>
        <w:t xml:space="preserve"> hospital workers' most potent tool—</w:t>
      </w:r>
      <w:r w:rsidRPr="00A84C4F">
        <w:rPr>
          <w:b/>
          <w:bCs/>
          <w:highlight w:val="cyan"/>
          <w:u w:val="single"/>
        </w:rPr>
        <w:t>the strike</w:t>
      </w:r>
      <w:r w:rsidRPr="00441ACE">
        <w:rPr>
          <w:b/>
          <w:bCs/>
          <w:u w:val="single"/>
        </w:rPr>
        <w:t xml:space="preserve">. As costly and risky as these strikes were, workers' ability to withdraw their labor and engage in disruptive action helped generate economic leverage and garnered the attention of policy makers and elected officials from various institutions. At worst, </w:t>
      </w:r>
      <w:r w:rsidRPr="00A84C4F">
        <w:rPr>
          <w:b/>
          <w:bCs/>
          <w:highlight w:val="cyan"/>
          <w:u w:val="single"/>
        </w:rPr>
        <w:t>the</w:t>
      </w:r>
      <w:r w:rsidRPr="00441ACE">
        <w:rPr>
          <w:b/>
          <w:bCs/>
          <w:u w:val="single"/>
        </w:rPr>
        <w:t xml:space="preserve"> legal machinery of the </w:t>
      </w:r>
      <w:r w:rsidRPr="00A84C4F">
        <w:rPr>
          <w:b/>
          <w:bCs/>
          <w:highlight w:val="cyan"/>
          <w:u w:val="single"/>
        </w:rPr>
        <w:t>NLRA</w:t>
      </w:r>
      <w:r w:rsidRPr="00441ACE">
        <w:rPr>
          <w:b/>
          <w:bCs/>
          <w:u w:val="single"/>
        </w:rPr>
        <w:t xml:space="preserve">, even by that time arguably outdated, seemingly </w:t>
      </w:r>
      <w:r w:rsidRPr="00A84C4F">
        <w:rPr>
          <w:b/>
          <w:bCs/>
          <w:highlight w:val="cyan"/>
          <w:u w:val="single"/>
        </w:rPr>
        <w:t>sapped the militancy of hospital workers</w:t>
      </w:r>
      <w:r w:rsidRPr="00441ACE">
        <w:rPr>
          <w:b/>
          <w:bCs/>
          <w:u w:val="single"/>
        </w:rPr>
        <w:t xml:space="preserve"> and in many cases made organizing more cumbersome. As one union leader reflected</w:t>
      </w:r>
      <w:r w:rsidRPr="00C46928">
        <w:rPr>
          <w:b/>
          <w:bCs/>
          <w:u w:val="single"/>
        </w:rPr>
        <w:t>, the law acted as a "yoke around our neck" for future organizing drives.1</w:t>
      </w:r>
      <w:r w:rsidRPr="00441ACE">
        <w:rPr>
          <w:b/>
          <w:bCs/>
          <w:u w:val="single"/>
        </w:rPr>
        <w:t xml:space="preserve">10 Nor did the amendments anticipate the massive growth in recent decades of home-care work—highly </w:t>
      </w:r>
      <w:r w:rsidRPr="00D371E3">
        <w:rPr>
          <w:b/>
          <w:bCs/>
          <w:u w:val="single"/>
        </w:rPr>
        <w:t>dispersed</w:t>
      </w:r>
      <w:r w:rsidRPr="00A84C4F">
        <w:rPr>
          <w:b/>
          <w:bCs/>
          <w:highlight w:val="cyan"/>
          <w:u w:val="single"/>
        </w:rPr>
        <w:t>, fragmented labor</w:t>
      </w:r>
      <w:r w:rsidRPr="00441ACE">
        <w:rPr>
          <w:b/>
          <w:bCs/>
          <w:u w:val="single"/>
        </w:rPr>
        <w:t xml:space="preserve"> that </w:t>
      </w:r>
      <w:r w:rsidRPr="00A84C4F">
        <w:rPr>
          <w:b/>
          <w:bCs/>
          <w:highlight w:val="cyan"/>
          <w:u w:val="single"/>
        </w:rPr>
        <w:t>remains difficult to organize through the NLRA.</w:t>
      </w:r>
      <w:r w:rsidRPr="00441ACE">
        <w:rPr>
          <w:b/>
          <w:bCs/>
          <w:u w:val="single"/>
        </w:rPr>
        <w:t xml:space="preserve">111 Put briefly, </w:t>
      </w:r>
      <w:r w:rsidRPr="00A84C4F">
        <w:rPr>
          <w:b/>
          <w:bCs/>
          <w:highlight w:val="cyan"/>
          <w:u w:val="single"/>
        </w:rPr>
        <w:t xml:space="preserve">the extensions </w:t>
      </w:r>
      <w:r w:rsidRPr="00D371E3">
        <w:rPr>
          <w:b/>
          <w:bCs/>
          <w:u w:val="single"/>
        </w:rPr>
        <w:t xml:space="preserve">of </w:t>
      </w:r>
      <w:r w:rsidRPr="00A84C4F">
        <w:rPr>
          <w:b/>
          <w:bCs/>
          <w:highlight w:val="cyan"/>
          <w:u w:val="single"/>
        </w:rPr>
        <w:t>collective</w:t>
      </w:r>
      <w:r w:rsidRPr="00441ACE">
        <w:rPr>
          <w:b/>
          <w:bCs/>
          <w:u w:val="single"/>
        </w:rPr>
        <w:t xml:space="preserve"> </w:t>
      </w:r>
      <w:r w:rsidRPr="00A84C4F">
        <w:rPr>
          <w:b/>
          <w:bCs/>
          <w:highlight w:val="cyan"/>
          <w:u w:val="single"/>
        </w:rPr>
        <w:t>bargaining</w:t>
      </w:r>
      <w:r w:rsidRPr="00441ACE">
        <w:rPr>
          <w:b/>
          <w:bCs/>
          <w:u w:val="single"/>
        </w:rPr>
        <w:t xml:space="preserve"> through the 1960s and 1970s </w:t>
      </w:r>
      <w:r w:rsidRPr="00A84C4F">
        <w:rPr>
          <w:b/>
          <w:bCs/>
          <w:highlight w:val="cyan"/>
          <w:u w:val="single"/>
        </w:rPr>
        <w:t>did not</w:t>
      </w:r>
      <w:r w:rsidRPr="00441ACE">
        <w:rPr>
          <w:b/>
          <w:bCs/>
          <w:u w:val="single"/>
        </w:rPr>
        <w:t xml:space="preserve"> completely </w:t>
      </w:r>
      <w:r w:rsidRPr="00A84C4F">
        <w:rPr>
          <w:b/>
          <w:bCs/>
          <w:highlight w:val="cyan"/>
          <w:u w:val="single"/>
        </w:rPr>
        <w:t>overhaul</w:t>
      </w:r>
      <w:r w:rsidRPr="00441ACE">
        <w:rPr>
          <w:b/>
          <w:bCs/>
          <w:u w:val="single"/>
        </w:rPr>
        <w:t xml:space="preserve"> </w:t>
      </w:r>
      <w:r w:rsidRPr="00A84C4F">
        <w:rPr>
          <w:b/>
          <w:bCs/>
          <w:highlight w:val="cyan"/>
          <w:u w:val="single"/>
        </w:rPr>
        <w:t>labor law so</w:t>
      </w:r>
      <w:r w:rsidRPr="00441ACE">
        <w:rPr>
          <w:b/>
          <w:bCs/>
          <w:u w:val="single"/>
        </w:rPr>
        <w:t xml:space="preserve"> that </w:t>
      </w:r>
      <w:r w:rsidRPr="00A84C4F">
        <w:rPr>
          <w:b/>
          <w:bCs/>
          <w:highlight w:val="cyan"/>
          <w:u w:val="single"/>
        </w:rPr>
        <w:t xml:space="preserve">it </w:t>
      </w:r>
      <w:r w:rsidRPr="00D371E3">
        <w:rPr>
          <w:b/>
          <w:bCs/>
          <w:u w:val="single"/>
        </w:rPr>
        <w:t xml:space="preserve">more closely </w:t>
      </w:r>
      <w:r w:rsidRPr="00A84C4F">
        <w:rPr>
          <w:b/>
          <w:bCs/>
          <w:highlight w:val="cyan"/>
          <w:u w:val="single"/>
        </w:rPr>
        <w:t>fits with America's</w:t>
      </w:r>
      <w:r w:rsidRPr="00441ACE">
        <w:rPr>
          <w:b/>
          <w:bCs/>
          <w:u w:val="single"/>
        </w:rPr>
        <w:t xml:space="preserve"> postindustrial, </w:t>
      </w:r>
      <w:r w:rsidRPr="00A84C4F">
        <w:rPr>
          <w:b/>
          <w:bCs/>
          <w:highlight w:val="cyan"/>
          <w:u w:val="single"/>
        </w:rPr>
        <w:t>service-</w:t>
      </w:r>
      <w:r w:rsidRPr="00C46928">
        <w:rPr>
          <w:b/>
          <w:bCs/>
          <w:u w:val="single"/>
        </w:rPr>
        <w:t xml:space="preserve">based </w:t>
      </w:r>
      <w:r w:rsidRPr="00A84C4F">
        <w:rPr>
          <w:b/>
          <w:bCs/>
          <w:highlight w:val="cyan"/>
          <w:u w:val="single"/>
        </w:rPr>
        <w:t>economy</w:t>
      </w:r>
      <w:r w:rsidRPr="00441ACE">
        <w:rPr>
          <w:b/>
          <w:bCs/>
          <w:u w:val="single"/>
        </w:rPr>
        <w:t xml:space="preserve">. Rather, a large and growing sector of the workforce was subsumed by the NLRA as the law was becoming increasingly outmoded and even used by employers to thwart organizing drives. </w:t>
      </w:r>
      <w:r w:rsidRPr="00C46928">
        <w:rPr>
          <w:b/>
          <w:bCs/>
          <w:u w:val="single"/>
        </w:rPr>
        <w:t>As the COVID-19 pandemic laid painfully bare—featuri</w:t>
      </w:r>
      <w:r w:rsidRPr="00441ACE">
        <w:rPr>
          <w:b/>
          <w:bCs/>
          <w:u w:val="single"/>
        </w:rPr>
        <w:t xml:space="preserve">ng frontline </w:t>
      </w:r>
      <w:r w:rsidRPr="00053ED7">
        <w:rPr>
          <w:b/>
          <w:bCs/>
          <w:u w:val="single"/>
        </w:rPr>
        <w:t xml:space="preserve">health </w:t>
      </w:r>
      <w:r w:rsidRPr="00A84C4F">
        <w:rPr>
          <w:b/>
          <w:bCs/>
          <w:highlight w:val="cyan"/>
          <w:u w:val="single"/>
        </w:rPr>
        <w:t>care workers</w:t>
      </w:r>
      <w:r w:rsidRPr="00441ACE">
        <w:rPr>
          <w:b/>
          <w:bCs/>
          <w:u w:val="single"/>
        </w:rPr>
        <w:t xml:space="preserve"> who </w:t>
      </w:r>
      <w:r w:rsidRPr="00A84C4F">
        <w:rPr>
          <w:b/>
          <w:bCs/>
          <w:highlight w:val="cyan"/>
          <w:u w:val="single"/>
        </w:rPr>
        <w:t>were</w:t>
      </w:r>
      <w:r w:rsidRPr="00441ACE">
        <w:rPr>
          <w:b/>
          <w:bCs/>
          <w:u w:val="single"/>
        </w:rPr>
        <w:t xml:space="preserve"> </w:t>
      </w:r>
      <w:r w:rsidRPr="00D371E3">
        <w:rPr>
          <w:b/>
          <w:bCs/>
          <w:u w:val="single"/>
        </w:rPr>
        <w:t>short staffed</w:t>
      </w:r>
      <w:r w:rsidRPr="00441ACE">
        <w:rPr>
          <w:b/>
          <w:bCs/>
          <w:u w:val="single"/>
        </w:rPr>
        <w:t xml:space="preserve">, </w:t>
      </w:r>
      <w:proofErr w:type="spellStart"/>
      <w:r w:rsidRPr="00A84C4F">
        <w:rPr>
          <w:b/>
          <w:bCs/>
          <w:highlight w:val="cyan"/>
          <w:u w:val="single"/>
        </w:rPr>
        <w:t>underresourced</w:t>
      </w:r>
      <w:proofErr w:type="spellEnd"/>
      <w:r w:rsidRPr="00A84C4F">
        <w:rPr>
          <w:b/>
          <w:bCs/>
          <w:highlight w:val="cyan"/>
          <w:u w:val="single"/>
        </w:rPr>
        <w:t>,</w:t>
      </w:r>
      <w:r w:rsidRPr="00441ACE">
        <w:rPr>
          <w:b/>
          <w:bCs/>
          <w:u w:val="single"/>
        </w:rPr>
        <w:t xml:space="preserve"> </w:t>
      </w:r>
      <w:r w:rsidRPr="00A84C4F">
        <w:rPr>
          <w:b/>
          <w:bCs/>
          <w:highlight w:val="cyan"/>
          <w:u w:val="single"/>
        </w:rPr>
        <w:t>and pushed to the brink</w:t>
      </w:r>
      <w:r w:rsidRPr="00441ACE">
        <w:rPr>
          <w:b/>
          <w:bCs/>
          <w:u w:val="single"/>
        </w:rPr>
        <w:t xml:space="preserve">—current </w:t>
      </w:r>
      <w:r w:rsidRPr="00A84C4F">
        <w:rPr>
          <w:b/>
          <w:bCs/>
          <w:highlight w:val="cyan"/>
          <w:u w:val="single"/>
        </w:rPr>
        <w:t>labor</w:t>
      </w:r>
      <w:r w:rsidRPr="00441ACE">
        <w:rPr>
          <w:b/>
          <w:bCs/>
          <w:u w:val="single"/>
        </w:rPr>
        <w:t xml:space="preserve"> and employment </w:t>
      </w:r>
      <w:r w:rsidRPr="00A84C4F">
        <w:rPr>
          <w:b/>
          <w:bCs/>
          <w:highlight w:val="cyan"/>
          <w:u w:val="single"/>
        </w:rPr>
        <w:t>laws</w:t>
      </w:r>
      <w:r w:rsidRPr="00441ACE">
        <w:rPr>
          <w:b/>
          <w:bCs/>
          <w:u w:val="single"/>
        </w:rPr>
        <w:t xml:space="preserve"> </w:t>
      </w:r>
      <w:r w:rsidRPr="00A84C4F">
        <w:rPr>
          <w:b/>
          <w:bCs/>
          <w:highlight w:val="cyan"/>
          <w:u w:val="single"/>
        </w:rPr>
        <w:t xml:space="preserve">governing </w:t>
      </w:r>
      <w:r w:rsidRPr="00D371E3">
        <w:rPr>
          <w:b/>
          <w:bCs/>
          <w:u w:val="single"/>
        </w:rPr>
        <w:t xml:space="preserve">the </w:t>
      </w:r>
      <w:r w:rsidRPr="00A84C4F">
        <w:rPr>
          <w:b/>
          <w:bCs/>
          <w:highlight w:val="cyan"/>
          <w:u w:val="single"/>
        </w:rPr>
        <w:t xml:space="preserve">health care </w:t>
      </w:r>
      <w:r w:rsidRPr="00D371E3">
        <w:rPr>
          <w:b/>
          <w:bCs/>
          <w:u w:val="single"/>
        </w:rPr>
        <w:t>industry</w:t>
      </w:r>
      <w:r w:rsidRPr="00441ACE">
        <w:rPr>
          <w:b/>
          <w:bCs/>
          <w:u w:val="single"/>
        </w:rPr>
        <w:t xml:space="preserve"> and the postindustrial economy more broadly </w:t>
      </w:r>
      <w:r w:rsidRPr="00A84C4F">
        <w:rPr>
          <w:b/>
          <w:bCs/>
          <w:highlight w:val="cyan"/>
          <w:u w:val="single"/>
        </w:rPr>
        <w:t xml:space="preserve">are </w:t>
      </w:r>
      <w:r w:rsidRPr="00053ED7">
        <w:rPr>
          <w:b/>
          <w:bCs/>
          <w:u w:val="single"/>
        </w:rPr>
        <w:t xml:space="preserve">highly </w:t>
      </w:r>
      <w:r w:rsidRPr="00A84C4F">
        <w:rPr>
          <w:b/>
          <w:bCs/>
          <w:highlight w:val="cyan"/>
          <w:u w:val="single"/>
        </w:rPr>
        <w:t>inadequate.</w:t>
      </w:r>
    </w:p>
    <w:p w14:paraId="7D793F60" w14:textId="77777777" w:rsidR="002E7540" w:rsidRPr="00756390" w:rsidRDefault="002E7540" w:rsidP="002E7540"/>
    <w:p w14:paraId="2F814481" w14:textId="77777777" w:rsidR="002E7540" w:rsidRPr="00756390" w:rsidRDefault="002E7540" w:rsidP="002E7540">
      <w:r w:rsidRPr="00756390">
        <w:t>I</w:t>
      </w:r>
      <w:r w:rsidRPr="00756390">
        <w:rPr>
          <w:rStyle w:val="StyleUnderline"/>
        </w:rPr>
        <w:t xml:space="preserve">n addition to helping build a more comprehensive understanding of labor law's trajectory and its relation to a core industry in the American political economy, this article also has theoretical and conceptual insights for the policy feedback literature. In particular, the article introduced the concept of </w:t>
      </w:r>
      <w:proofErr w:type="spellStart"/>
      <w:r w:rsidRPr="00756390">
        <w:rPr>
          <w:rStyle w:val="StyleUnderline"/>
        </w:rPr>
        <w:t>crossdomain</w:t>
      </w:r>
      <w:proofErr w:type="spellEnd"/>
      <w:r w:rsidRPr="00756390">
        <w:rPr>
          <w:rStyle w:val="StyleUnderline"/>
        </w:rPr>
        <w:t xml:space="preserve"> policy feedbac</w:t>
      </w:r>
      <w:r w:rsidRPr="00756390">
        <w:t xml:space="preserve">k. As the case analysis suggests, for example, at virtually all stages of development—local, state, and federal action—the use or expansion of public health care spending was critical to workers' ability to secure collective bargaining rights both in practice and in law. Pressed by the grassroots activism of workers, local and state lawmakers, acting as brokers with high levels of discretion over how to deploy or repurpose certain policies, used health care monies as a tool to help underwrite collective bargaining contracts. Similarly, the </w:t>
      </w:r>
      <w:r w:rsidRPr="00756390">
        <w:rPr>
          <w:rStyle w:val="StyleUnderline"/>
        </w:rPr>
        <w:t>large-scale intervention of Medicare and Medicaid—policies that poured billions of dollars into states and localities across the country—further deepened the state's role in bargaining relationships between workers and health institutions while offering activists and lawmakers legal and political resources to advance their goals</w:t>
      </w:r>
      <w:r w:rsidRPr="00756390">
        <w:t xml:space="preserve"> in a seemingly separate domain of governance (i.e., industrial relations). Indeed, as collective bargaining has further developed in the health industry, public spending continues to play a crucial role.112 [End Page 356]</w:t>
      </w:r>
    </w:p>
    <w:p w14:paraId="0D2DE1A8" w14:textId="77777777" w:rsidR="002E7540" w:rsidRPr="00756390" w:rsidRDefault="002E7540" w:rsidP="002E7540"/>
    <w:p w14:paraId="3436A6E0" w14:textId="77777777" w:rsidR="002E7540" w:rsidRDefault="002E7540" w:rsidP="002E7540">
      <w:r w:rsidRPr="00756390">
        <w:t>Given the increasing role that public policy has played in American governance since the mid-twentieth century, a phenomenon that researchers have analogized as the "</w:t>
      </w:r>
      <w:proofErr w:type="spellStart"/>
      <w:r w:rsidRPr="00756390">
        <w:t>policyscape</w:t>
      </w:r>
      <w:proofErr w:type="spellEnd"/>
      <w:r w:rsidRPr="00756390">
        <w:t xml:space="preserve">" or "policy state," this way of thinking opens a broad avenue for future research by students of public policy—one that pushes scholars to think about the way policy influences the broader political landscape beyond the behavior of individual voters or policy recipients. How, for example, might the dramatic growth of the carceral state have influenced the direction of different social welfare policies?113 Could recent attempts to expand civil legal aid affect other policy domains, such as the distribution of power within housing markets?114 How, if at all, might bids to combat climate change shape not only targeted areas—such as transportation, for instance115—but also policies directed at protecting potentially displaced workers?116 This article has offered a preliminary set of </w:t>
      </w:r>
      <w:proofErr w:type="spellStart"/>
      <w:r w:rsidRPr="00756390">
        <w:t>policyand</w:t>
      </w:r>
      <w:proofErr w:type="spellEnd"/>
      <w:r w:rsidRPr="00756390">
        <w:t xml:space="preserve"> actor-specific conditions that seem conducive to cross-policy feedback, yet additional research is required to pin down exactly under which conditions such processes occur. Such inquiry will be central not only for a more comprehensive discernment of the development of the American state and its public policies but also for understanding who those policies do—and do not—include.</w:t>
      </w:r>
    </w:p>
    <w:p w14:paraId="04EE3554" w14:textId="77777777" w:rsidR="00222C74" w:rsidRDefault="00222C74" w:rsidP="002E7540"/>
    <w:p w14:paraId="6CABD43E" w14:textId="091F08C2" w:rsidR="00905261" w:rsidRDefault="00222C74" w:rsidP="00222C74">
      <w:pPr>
        <w:pStyle w:val="Heading4"/>
        <w:rPr>
          <w:u w:val="single"/>
        </w:rPr>
      </w:pPr>
      <w:r>
        <w:t xml:space="preserve">Otherwise, unchecked nurse burnout makes disease spread </w:t>
      </w:r>
      <w:r w:rsidRPr="00222C74">
        <w:rPr>
          <w:u w:val="single"/>
        </w:rPr>
        <w:t>inevitable</w:t>
      </w:r>
      <w:r>
        <w:rPr>
          <w:u w:val="single"/>
        </w:rPr>
        <w:t xml:space="preserve"> </w:t>
      </w:r>
      <w:r>
        <w:t xml:space="preserve">and pandemic response </w:t>
      </w:r>
      <w:r>
        <w:rPr>
          <w:u w:val="single"/>
        </w:rPr>
        <w:t>infeasible</w:t>
      </w:r>
    </w:p>
    <w:p w14:paraId="22719293" w14:textId="7A10C39A" w:rsidR="00ED0222" w:rsidRPr="00ED0222" w:rsidRDefault="00ED0222" w:rsidP="00ED0222">
      <w:pPr>
        <w:rPr>
          <w:rStyle w:val="Style13ptBold"/>
          <w:b w:val="0"/>
          <w:bCs w:val="0"/>
          <w:sz w:val="22"/>
        </w:rPr>
      </w:pPr>
      <w:r w:rsidRPr="00ED0222">
        <w:rPr>
          <w:rStyle w:val="Style13ptBold"/>
        </w:rPr>
        <w:t>Norris 23</w:t>
      </w:r>
      <w:r>
        <w:rPr>
          <w:rStyle w:val="Style13ptBold"/>
        </w:rPr>
        <w:t xml:space="preserve"> </w:t>
      </w:r>
      <w:r w:rsidRPr="00ED0222">
        <w:t>(Rachel Elana Norris</w:t>
      </w:r>
      <w:r>
        <w:t xml:space="preserve"> received her M.D. from the University of Pittsburgh, February 2023, “</w:t>
      </w:r>
      <w:r w:rsidRPr="00ED0222">
        <w:t>Are America’s Caregivers on the Brink of Extinction? The Pandemic Straw that Broke the Nurses’ Back</w:t>
      </w:r>
      <w:r>
        <w:t xml:space="preserve">,” Neurol Clin. 2023, </w:t>
      </w:r>
      <w:hyperlink r:id="rId15" w:anchor="sec5" w:history="1">
        <w:r w:rsidRPr="00340653">
          <w:rPr>
            <w:rStyle w:val="Hyperlink"/>
          </w:rPr>
          <w:t>https://pmc.ncbi.nlm.nih.gov/articles/PMC9940494/#sec5</w:t>
        </w:r>
      </w:hyperlink>
      <w:r>
        <w:t>) //Rochester Ashaz</w:t>
      </w:r>
    </w:p>
    <w:p w14:paraId="7243F055" w14:textId="5E0147BD" w:rsidR="00222C74" w:rsidRPr="00ED0222" w:rsidRDefault="00222C74" w:rsidP="00ED0222">
      <w:pPr>
        <w:rPr>
          <w:b/>
          <w:bCs/>
          <w:u w:val="single"/>
        </w:rPr>
      </w:pPr>
      <w:r w:rsidRPr="00ED0222">
        <w:t>In March of 2022, The American Nurses Foundation (ANF) published some alarming results of an impact survey of nurses in the United States (US). More than 12,000 nurses participated. More than 50% of those nurses completing the survey planned to leave or were considering leaving their position, an increase of about 20% from the prior year.</w:t>
      </w:r>
      <w:hyperlink r:id="rId16" w:anchor="bib1" w:history="1">
        <w:r w:rsidRPr="00ED0222">
          <w:rPr>
            <w:rStyle w:val="Hyperlink"/>
          </w:rPr>
          <w:t>1</w:t>
        </w:r>
      </w:hyperlink>
      <w:r w:rsidR="00ED0222">
        <w:t xml:space="preserve"> </w:t>
      </w:r>
      <w:r w:rsidRPr="00ED0222">
        <w:rPr>
          <w:u w:val="single"/>
        </w:rPr>
        <w:t xml:space="preserve">It was evident from the numerous concerns noted that the emotional and physical stress of working as a nurse throughout </w:t>
      </w:r>
      <w:r w:rsidRPr="00ED0222">
        <w:rPr>
          <w:b/>
          <w:bCs/>
          <w:u w:val="single"/>
        </w:rPr>
        <w:t>the coronavirus disease 2019 (COVID-19) pandemic has taken its toll.</w:t>
      </w:r>
      <w:r w:rsidR="00ED0222">
        <w:t xml:space="preserve"> </w:t>
      </w:r>
      <w:r w:rsidRPr="00ED0222">
        <w:rPr>
          <w:b/>
          <w:bCs/>
          <w:u w:val="single"/>
        </w:rPr>
        <w:t>This pandemic has disproportionately influenced health-care workers</w:t>
      </w:r>
      <w:r w:rsidRPr="00ED0222">
        <w:rPr>
          <w:u w:val="single"/>
        </w:rPr>
        <w:t xml:space="preserve"> and </w:t>
      </w:r>
      <w:r w:rsidRPr="00ED0222">
        <w:rPr>
          <w:b/>
          <w:bCs/>
          <w:u w:val="single"/>
        </w:rPr>
        <w:t>particularly</w:t>
      </w:r>
      <w:r w:rsidRPr="00ED0222">
        <w:rPr>
          <w:u w:val="single"/>
        </w:rPr>
        <w:t xml:space="preserve"> bedside </w:t>
      </w:r>
      <w:r w:rsidRPr="00ED0222">
        <w:rPr>
          <w:b/>
          <w:bCs/>
          <w:u w:val="single"/>
        </w:rPr>
        <w:t>nurses</w:t>
      </w:r>
      <w:r w:rsidRPr="00ED0222">
        <w:rPr>
          <w:u w:val="single"/>
        </w:rPr>
        <w:t xml:space="preserve">. </w:t>
      </w:r>
      <w:r w:rsidRPr="00ED0222">
        <w:rPr>
          <w:highlight w:val="cyan"/>
          <w:u w:val="single"/>
        </w:rPr>
        <w:t xml:space="preserve">Numerous studies around the globe have demonstrated </w:t>
      </w:r>
      <w:r w:rsidRPr="00ED0222">
        <w:rPr>
          <w:b/>
          <w:bCs/>
          <w:highlight w:val="cyan"/>
          <w:u w:val="single"/>
        </w:rPr>
        <w:t xml:space="preserve">an increased prevalence of </w:t>
      </w:r>
      <w:r w:rsidRPr="00ED0222">
        <w:rPr>
          <w:b/>
          <w:bCs/>
          <w:u w:val="single"/>
        </w:rPr>
        <w:t>various neuropsychological disorders among nurses during the last 2</w:t>
      </w:r>
      <w:r w:rsidR="00ED0222" w:rsidRPr="00ED0222">
        <w:rPr>
          <w:b/>
          <w:bCs/>
          <w:u w:val="single"/>
        </w:rPr>
        <w:t xml:space="preserve"> </w:t>
      </w:r>
      <w:r w:rsidRPr="00ED0222">
        <w:rPr>
          <w:b/>
          <w:bCs/>
          <w:u w:val="single"/>
        </w:rPr>
        <w:t>years</w:t>
      </w:r>
      <w:r w:rsidRPr="00ED0222">
        <w:rPr>
          <w:u w:val="single"/>
        </w:rPr>
        <w:t xml:space="preserve">, </w:t>
      </w:r>
      <w:r w:rsidRPr="00ED0222">
        <w:rPr>
          <w:b/>
          <w:bCs/>
          <w:u w:val="single"/>
        </w:rPr>
        <w:t xml:space="preserve">including </w:t>
      </w:r>
      <w:r w:rsidRPr="00ED0222">
        <w:rPr>
          <w:b/>
          <w:bCs/>
          <w:highlight w:val="cyan"/>
          <w:u w:val="single"/>
        </w:rPr>
        <w:t>depression, anxiety</w:t>
      </w:r>
      <w:r w:rsidRPr="00ED0222">
        <w:rPr>
          <w:b/>
          <w:bCs/>
          <w:u w:val="single"/>
        </w:rPr>
        <w:t xml:space="preserve">, </w:t>
      </w:r>
      <w:r w:rsidRPr="00ED0222">
        <w:rPr>
          <w:b/>
          <w:bCs/>
          <w:highlight w:val="cyan"/>
          <w:u w:val="single"/>
        </w:rPr>
        <w:t>and</w:t>
      </w:r>
      <w:r w:rsidRPr="00ED0222">
        <w:rPr>
          <w:b/>
          <w:bCs/>
          <w:u w:val="single"/>
        </w:rPr>
        <w:t xml:space="preserve"> other stress-related conditions such as posttraumatic stress disorder (</w:t>
      </w:r>
      <w:r w:rsidRPr="00ED0222">
        <w:rPr>
          <w:b/>
          <w:bCs/>
          <w:highlight w:val="cyan"/>
          <w:u w:val="single"/>
        </w:rPr>
        <w:t>PTSD</w:t>
      </w:r>
      <w:r w:rsidRPr="00ED0222">
        <w:rPr>
          <w:b/>
          <w:bCs/>
          <w:u w:val="single"/>
        </w:rPr>
        <w:t>).</w:t>
      </w:r>
      <w:hyperlink r:id="rId17" w:anchor="bib2" w:history="1">
        <w:r w:rsidRPr="00ED0222">
          <w:rPr>
            <w:rStyle w:val="Hyperlink"/>
          </w:rPr>
          <w:t>2</w:t>
        </w:r>
      </w:hyperlink>
      <w:r w:rsidR="00ED0222" w:rsidRPr="00ED0222">
        <w:rPr>
          <w:u w:val="single"/>
        </w:rPr>
        <w:t xml:space="preserve"> </w:t>
      </w:r>
      <w:r w:rsidRPr="00ED0222">
        <w:rPr>
          <w:u w:val="single"/>
        </w:rPr>
        <w:t xml:space="preserve">This is </w:t>
      </w:r>
      <w:r w:rsidRPr="00ED0222">
        <w:rPr>
          <w:b/>
          <w:bCs/>
          <w:highlight w:val="cyan"/>
          <w:u w:val="single"/>
        </w:rPr>
        <w:t>further exacerbated by</w:t>
      </w:r>
      <w:r w:rsidRPr="00ED0222">
        <w:rPr>
          <w:b/>
          <w:bCs/>
          <w:u w:val="single"/>
        </w:rPr>
        <w:t xml:space="preserve"> </w:t>
      </w:r>
      <w:r w:rsidRPr="00ED0222">
        <w:rPr>
          <w:b/>
          <w:bCs/>
          <w:highlight w:val="cyan"/>
          <w:u w:val="single"/>
        </w:rPr>
        <w:t>workplace violence</w:t>
      </w:r>
      <w:r w:rsidRPr="00ED0222">
        <w:rPr>
          <w:b/>
          <w:bCs/>
          <w:u w:val="single"/>
        </w:rPr>
        <w:t xml:space="preserve"> (WPV) toward nurses</w:t>
      </w:r>
      <w:r w:rsidRPr="00ED0222">
        <w:rPr>
          <w:u w:val="single"/>
        </w:rPr>
        <w:t>, which has been increasing for more than a decade but dramatically increased during the pandemic.</w:t>
      </w:r>
      <w:hyperlink r:id="rId18" w:anchor="bib3" w:history="1">
        <w:r w:rsidRPr="00ED0222">
          <w:rPr>
            <w:rStyle w:val="Hyperlink"/>
          </w:rPr>
          <w:t>3</w:t>
        </w:r>
      </w:hyperlink>
      <w:r w:rsidR="00ED0222" w:rsidRPr="00ED0222">
        <w:rPr>
          <w:u w:val="single"/>
        </w:rPr>
        <w:t xml:space="preserve"> </w:t>
      </w:r>
      <w:r w:rsidRPr="00ED0222">
        <w:rPr>
          <w:b/>
          <w:bCs/>
          <w:u w:val="single"/>
        </w:rPr>
        <w:t xml:space="preserve">Hospital </w:t>
      </w:r>
      <w:r w:rsidRPr="00ED0222">
        <w:rPr>
          <w:b/>
          <w:bCs/>
          <w:highlight w:val="cyan"/>
          <w:u w:val="single"/>
        </w:rPr>
        <w:t>administrators</w:t>
      </w:r>
      <w:r w:rsidRPr="00ED0222">
        <w:rPr>
          <w:b/>
          <w:bCs/>
          <w:u w:val="single"/>
        </w:rPr>
        <w:t xml:space="preserve">, government </w:t>
      </w:r>
      <w:r w:rsidRPr="00ED0222">
        <w:rPr>
          <w:b/>
          <w:bCs/>
          <w:highlight w:val="cyan"/>
          <w:u w:val="single"/>
        </w:rPr>
        <w:t>agencies</w:t>
      </w:r>
      <w:r w:rsidRPr="00ED0222">
        <w:rPr>
          <w:b/>
          <w:bCs/>
          <w:u w:val="single"/>
        </w:rPr>
        <w:t xml:space="preserve">, </w:t>
      </w:r>
      <w:r w:rsidRPr="00ED0222">
        <w:rPr>
          <w:b/>
          <w:bCs/>
          <w:highlight w:val="cyan"/>
          <w:u w:val="single"/>
        </w:rPr>
        <w:t>and the health-care system at large must act judiciously to improve the working conditions for nurses before the next pandemic</w:t>
      </w:r>
      <w:r w:rsidRPr="00ED0222">
        <w:rPr>
          <w:b/>
          <w:bCs/>
          <w:u w:val="single"/>
        </w:rPr>
        <w:t xml:space="preserve"> when </w:t>
      </w:r>
      <w:r w:rsidRPr="00ED0222">
        <w:rPr>
          <w:b/>
          <w:bCs/>
          <w:highlight w:val="cyan"/>
          <w:u w:val="single"/>
        </w:rPr>
        <w:t>a severe nursing shortage would put the health and safety of the US population at high risk.</w:t>
      </w:r>
    </w:p>
    <w:p w14:paraId="3E0E2F3A" w14:textId="77777777" w:rsidR="00ED0222" w:rsidRPr="00ED0222" w:rsidRDefault="00ED0222" w:rsidP="00ED0222">
      <w:r w:rsidRPr="00ED0222">
        <w:t>History</w:t>
      </w:r>
    </w:p>
    <w:p w14:paraId="40E50F70" w14:textId="337A317F" w:rsidR="00ED0222" w:rsidRPr="00ED0222" w:rsidRDefault="00ED0222" w:rsidP="00ED0222">
      <w:pPr>
        <w:rPr>
          <w:u w:val="single"/>
        </w:rPr>
      </w:pPr>
      <w:r w:rsidRPr="00ED0222">
        <w:rPr>
          <w:u w:val="single"/>
        </w:rPr>
        <w:t>Nursing is this nation’s largest health-care profession, with nearly 4.2 million registered nurses (RNs) nationwide.</w:t>
      </w:r>
      <w:hyperlink r:id="rId19" w:anchor="bib1" w:history="1">
        <w:r w:rsidRPr="00ED0222">
          <w:rPr>
            <w:rStyle w:val="Hyperlink"/>
          </w:rPr>
          <w:t>1</w:t>
        </w:r>
      </w:hyperlink>
      <w:r w:rsidRPr="00ED0222">
        <w:rPr>
          <w:u w:val="single"/>
        </w:rPr>
        <w:t xml:space="preserve"> It is historically, and currently, still, a female-dominated profession, with more than 80% of the US RNs being women.</w:t>
      </w:r>
      <w:hyperlink r:id="rId20" w:anchor="bib4" w:history="1">
        <w:r w:rsidRPr="00ED0222">
          <w:rPr>
            <w:rStyle w:val="Hyperlink"/>
          </w:rPr>
          <w:t>4</w:t>
        </w:r>
      </w:hyperlink>
      <w:r w:rsidRPr="00ED0222">
        <w:rPr>
          <w:u w:val="single"/>
        </w:rPr>
        <w:t xml:space="preserve"> Not only do women dominate the profession but they have also historically been its most significant contributors.</w:t>
      </w:r>
      <w:r>
        <w:t xml:space="preserve"> </w:t>
      </w:r>
      <w:r w:rsidRPr="00ED0222">
        <w:t>Female pioneers in the nursing field, such as Florence Nightingale, made indisputable contributions to both nursing and the health-care profession. Nightingale’s approach to caring for patients revolutionized how nurses practiced through her implementation of disease prevention measures, including an emphasis on handwashing and other hygiene practices.</w:t>
      </w:r>
      <w:r>
        <w:t xml:space="preserve"> </w:t>
      </w:r>
      <w:r w:rsidRPr="00ED0222">
        <w:t>Many might view nurses as the exemplar of Carl Jung’s Caregiver archetype: selfless and self-sacrificing, always putting their patients first, making their rounds when they should be eating or taking a much-needed break, as embodied by the “Lady with the Lamp” so famously did nearly 2 centuries ago during the Crimea War. However, even these infinitely selfless caregivers must have a breaking point.</w:t>
      </w:r>
      <w:r>
        <w:t xml:space="preserve"> </w:t>
      </w:r>
      <w:r w:rsidRPr="00ED0222">
        <w:rPr>
          <w:u w:val="single"/>
        </w:rPr>
        <w:t xml:space="preserve">Nightingale, perhaps Jung’s quintessential caregiver, would have been appalled by the lack of progress in conditions under which many nurses found themselves </w:t>
      </w:r>
      <w:r w:rsidRPr="00ED0222">
        <w:rPr>
          <w:b/>
          <w:bCs/>
          <w:u w:val="single"/>
        </w:rPr>
        <w:t xml:space="preserve">during the COVID-19 pandemic: frequently </w:t>
      </w:r>
      <w:r w:rsidRPr="00ED0222">
        <w:rPr>
          <w:b/>
          <w:bCs/>
          <w:highlight w:val="cyan"/>
          <w:u w:val="single"/>
        </w:rPr>
        <w:t>faced with</w:t>
      </w:r>
      <w:r w:rsidRPr="00ED0222">
        <w:rPr>
          <w:b/>
          <w:bCs/>
          <w:u w:val="single"/>
        </w:rPr>
        <w:t xml:space="preserve"> </w:t>
      </w:r>
      <w:r w:rsidRPr="00ED0222">
        <w:rPr>
          <w:b/>
          <w:bCs/>
          <w:highlight w:val="cyan"/>
          <w:u w:val="single"/>
        </w:rPr>
        <w:t>a lack</w:t>
      </w:r>
      <w:r w:rsidRPr="00ED0222">
        <w:rPr>
          <w:b/>
          <w:bCs/>
          <w:u w:val="single"/>
        </w:rPr>
        <w:t xml:space="preserve"> </w:t>
      </w:r>
      <w:r w:rsidRPr="00ED0222">
        <w:rPr>
          <w:b/>
          <w:bCs/>
          <w:highlight w:val="cyan"/>
          <w:u w:val="single"/>
        </w:rPr>
        <w:t>of personal protective equipment</w:t>
      </w:r>
      <w:r w:rsidRPr="00ED0222">
        <w:rPr>
          <w:b/>
          <w:bCs/>
          <w:u w:val="single"/>
        </w:rPr>
        <w:t xml:space="preserve">, inadequate support, longer shifts due to personnel shortage, </w:t>
      </w:r>
      <w:r w:rsidRPr="00ED0222">
        <w:rPr>
          <w:b/>
          <w:bCs/>
          <w:highlight w:val="cyan"/>
          <w:u w:val="single"/>
        </w:rPr>
        <w:t>inadequate staffing</w:t>
      </w:r>
      <w:r w:rsidRPr="00ED0222">
        <w:rPr>
          <w:b/>
          <w:bCs/>
          <w:u w:val="single"/>
        </w:rPr>
        <w:t xml:space="preserve">, living in isolation from friends and family, abusive patients </w:t>
      </w:r>
      <w:r w:rsidRPr="00ED0222">
        <w:rPr>
          <w:b/>
          <w:bCs/>
          <w:highlight w:val="cyan"/>
          <w:u w:val="single"/>
        </w:rPr>
        <w:t>and</w:t>
      </w:r>
      <w:r w:rsidRPr="00ED0222">
        <w:rPr>
          <w:b/>
          <w:bCs/>
          <w:u w:val="single"/>
        </w:rPr>
        <w:t xml:space="preserve"> family members, fear of </w:t>
      </w:r>
      <w:r w:rsidRPr="00ED0222">
        <w:rPr>
          <w:b/>
          <w:bCs/>
          <w:highlight w:val="cyan"/>
          <w:u w:val="single"/>
        </w:rPr>
        <w:t>falling ill to the same virus plaguing their patients</w:t>
      </w:r>
      <w:r w:rsidRPr="00ED0222">
        <w:rPr>
          <w:b/>
          <w:bCs/>
          <w:u w:val="single"/>
        </w:rPr>
        <w:t>, watching patients and colleagues succumb to COVID-19, all of which resulted in an excessively stressful workplace environment.</w:t>
      </w:r>
      <w:r w:rsidRPr="00ED0222">
        <w:rPr>
          <w:u w:val="single"/>
        </w:rPr>
        <w:t xml:space="preserve"> Unsurprisingly, many of these issues have been cited as reasons for nurses leaving or planning to leave their positions.</w:t>
      </w:r>
      <w:hyperlink r:id="rId21" w:anchor="bib5" w:history="1">
        <w:r w:rsidRPr="00ED0222">
          <w:rPr>
            <w:rStyle w:val="Hyperlink"/>
          </w:rPr>
          <w:t>5</w:t>
        </w:r>
      </w:hyperlink>
    </w:p>
    <w:p w14:paraId="31393BD5" w14:textId="77777777" w:rsidR="00222C74" w:rsidRPr="00ED0222" w:rsidRDefault="00222C74" w:rsidP="00ED0222">
      <w:pPr>
        <w:rPr>
          <w:u w:val="single"/>
        </w:rPr>
      </w:pPr>
    </w:p>
    <w:p w14:paraId="06D96AC6" w14:textId="77777777" w:rsidR="00222C74" w:rsidRDefault="00222C74" w:rsidP="00222C74"/>
    <w:p w14:paraId="405FC41F" w14:textId="77777777" w:rsidR="00222C74" w:rsidRPr="00222C74" w:rsidRDefault="00222C74" w:rsidP="00222C74"/>
    <w:p w14:paraId="72997594" w14:textId="77777777" w:rsidR="00043739" w:rsidRPr="00756390" w:rsidRDefault="00043739" w:rsidP="00043739">
      <w:pPr>
        <w:pStyle w:val="Heading4"/>
      </w:pPr>
      <w:r w:rsidRPr="00756390">
        <w:t xml:space="preserve">Pandemics cause </w:t>
      </w:r>
      <w:r w:rsidRPr="00756390">
        <w:rPr>
          <w:u w:val="single"/>
        </w:rPr>
        <w:t>extinction</w:t>
      </w:r>
      <w:r w:rsidRPr="00756390">
        <w:t xml:space="preserve">---it’s getting </w:t>
      </w:r>
      <w:r w:rsidRPr="00756390">
        <w:rPr>
          <w:u w:val="single"/>
        </w:rPr>
        <w:t>exponentially</w:t>
      </w:r>
      <w:r w:rsidRPr="00756390">
        <w:t xml:space="preserve"> more probable. </w:t>
      </w:r>
    </w:p>
    <w:p w14:paraId="04409293" w14:textId="77777777" w:rsidR="00043739" w:rsidRPr="00756390" w:rsidRDefault="00043739" w:rsidP="00043739">
      <w:r w:rsidRPr="00756390">
        <w:rPr>
          <w:rStyle w:val="Style13ptBold"/>
          <w:rFonts w:eastAsiaTheme="majorEastAsia" w:cstheme="majorBidi"/>
          <w:bCs w:val="0"/>
          <w:iCs/>
          <w:sz w:val="24"/>
        </w:rPr>
        <w:t>Taylor ’23</w:t>
      </w:r>
      <w:r w:rsidRPr="00756390">
        <w:t xml:space="preserve"> [Noah B. Taylor, Guest Lecturer in Peace and Conflict Studies at the University of Innsbruck, </w:t>
      </w:r>
      <w:r w:rsidRPr="00756390">
        <w:rPr>
          <w:i/>
          <w:iCs/>
        </w:rPr>
        <w:t>Existential Risks in Peace and Conflict Studies</w:t>
      </w:r>
      <w:r w:rsidRPr="00756390">
        <w:t>, “Peace, Pandemics, and Conflict”, Palgrave Macmillan, May 2023, pg. 87-89]</w:t>
      </w:r>
    </w:p>
    <w:p w14:paraId="3C43C2C8" w14:textId="77777777" w:rsidR="00043739" w:rsidRPr="00756390" w:rsidRDefault="00043739" w:rsidP="00043739">
      <w:pPr>
        <w:rPr>
          <w:sz w:val="16"/>
        </w:rPr>
      </w:pPr>
      <w:r w:rsidRPr="00756390">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756390">
        <w:rPr>
          <w:u w:val="single"/>
        </w:rPr>
        <w:t xml:space="preserve">Understanding a </w:t>
      </w:r>
      <w:r w:rsidRPr="00756390">
        <w:rPr>
          <w:rStyle w:val="Emphasis"/>
          <w:highlight w:val="cyan"/>
        </w:rPr>
        <w:t>pandemic</w:t>
      </w:r>
      <w:r w:rsidRPr="00756390">
        <w:rPr>
          <w:u w:val="single"/>
        </w:rPr>
        <w:t xml:space="preserve"> in terms of a </w:t>
      </w:r>
      <w:r w:rsidRPr="00756390">
        <w:rPr>
          <w:rStyle w:val="Emphasis"/>
        </w:rPr>
        <w:t>global catastrophic risk</w:t>
      </w:r>
      <w:r w:rsidRPr="00756390">
        <w:rPr>
          <w:u w:val="single"/>
        </w:rPr>
        <w:t xml:space="preserve"> is</w:t>
      </w:r>
      <w:r w:rsidRPr="00756390">
        <w:rPr>
          <w:sz w:val="16"/>
        </w:rPr>
        <w:t xml:space="preserve"> more </w:t>
      </w:r>
      <w:r w:rsidRPr="00756390">
        <w:rPr>
          <w:u w:val="single"/>
        </w:rPr>
        <w:t>practical</w:t>
      </w:r>
      <w:r w:rsidRPr="00756390">
        <w:rPr>
          <w:sz w:val="16"/>
        </w:rPr>
        <w:t xml:space="preserve">, </w:t>
      </w:r>
      <w:r w:rsidRPr="00756390">
        <w:rPr>
          <w:u w:val="single"/>
        </w:rPr>
        <w:t xml:space="preserve">meaning that it could </w:t>
      </w:r>
      <w:r w:rsidRPr="00756390">
        <w:rPr>
          <w:highlight w:val="cyan"/>
          <w:u w:val="single"/>
        </w:rPr>
        <w:t xml:space="preserve">threaten </w:t>
      </w:r>
      <w:r w:rsidRPr="00756390">
        <w:rPr>
          <w:rStyle w:val="Emphasis"/>
          <w:highlight w:val="cyan"/>
        </w:rPr>
        <w:t>permanent</w:t>
      </w:r>
      <w:r w:rsidRPr="00756390">
        <w:rPr>
          <w:rStyle w:val="Emphasis"/>
        </w:rPr>
        <w:t xml:space="preserve"> civilizational </w:t>
      </w:r>
      <w:r w:rsidRPr="00756390">
        <w:rPr>
          <w:rStyle w:val="Emphasis"/>
          <w:highlight w:val="cyan"/>
        </w:rPr>
        <w:t>collapse</w:t>
      </w:r>
      <w:r w:rsidRPr="00756390">
        <w:rPr>
          <w:sz w:val="16"/>
        </w:rPr>
        <w:t xml:space="preserve"> (Bostrom and Ćirković 2011). The John Hopkins Center for Health Security has followed this idea in defining </w:t>
      </w:r>
      <w:r w:rsidRPr="00756390">
        <w:rPr>
          <w:u w:val="single"/>
        </w:rPr>
        <w:t>pandemics</w:t>
      </w:r>
      <w:r w:rsidRPr="00756390">
        <w:rPr>
          <w:sz w:val="16"/>
        </w:rPr>
        <w:t xml:space="preserve"> as possible “Global Catastrophic Biological Risks” (GCBRs). Which they define as</w:t>
      </w:r>
    </w:p>
    <w:p w14:paraId="0E944109" w14:textId="77777777" w:rsidR="00043739" w:rsidRPr="00756390" w:rsidRDefault="00043739" w:rsidP="00043739">
      <w:pPr>
        <w:ind w:left="720"/>
        <w:rPr>
          <w:sz w:val="16"/>
        </w:rPr>
      </w:pPr>
      <w:r w:rsidRPr="00756390">
        <w:rPr>
          <w:sz w:val="16"/>
        </w:rPr>
        <w:t xml:space="preserve">biological events—deliberate, accidental, or emerging—that </w:t>
      </w:r>
      <w:r w:rsidRPr="00756390">
        <w:rPr>
          <w:u w:val="single"/>
        </w:rPr>
        <w:t>could lead to sudden</w:t>
      </w:r>
      <w:r w:rsidRPr="00756390">
        <w:rPr>
          <w:sz w:val="16"/>
        </w:rPr>
        <w:t xml:space="preserve">, </w:t>
      </w:r>
      <w:r w:rsidRPr="00756390">
        <w:rPr>
          <w:u w:val="single"/>
        </w:rPr>
        <w:t>extraordinary</w:t>
      </w:r>
      <w:r w:rsidRPr="00756390">
        <w:rPr>
          <w:sz w:val="16"/>
        </w:rPr>
        <w:t xml:space="preserve">, </w:t>
      </w:r>
      <w:r w:rsidRPr="00756390">
        <w:rPr>
          <w:rStyle w:val="Emphasis"/>
        </w:rPr>
        <w:t>widespread disaster</w:t>
      </w:r>
      <w:r w:rsidRPr="00756390">
        <w:rPr>
          <w:u w:val="single"/>
        </w:rPr>
        <w:t xml:space="preserve"> beyond the </w:t>
      </w:r>
      <w:r w:rsidRPr="00756390">
        <w:rPr>
          <w:rStyle w:val="Emphasis"/>
        </w:rPr>
        <w:t>collective capability</w:t>
      </w:r>
      <w:r w:rsidRPr="00756390">
        <w:rPr>
          <w:u w:val="single"/>
        </w:rPr>
        <w:t xml:space="preserve"> of</w:t>
      </w:r>
      <w:r w:rsidRPr="00756390">
        <w:rPr>
          <w:sz w:val="16"/>
        </w:rPr>
        <w:t xml:space="preserve"> national and international </w:t>
      </w:r>
      <w:r w:rsidRPr="00756390">
        <w:rPr>
          <w:u w:val="single"/>
        </w:rPr>
        <w:t>governments and the private sector to control</w:t>
      </w:r>
      <w:r w:rsidRPr="00756390">
        <w:rPr>
          <w:sz w:val="16"/>
        </w:rPr>
        <w:t xml:space="preserve"> [</w:t>
      </w:r>
      <w:r w:rsidRPr="00756390">
        <w:rPr>
          <w:u w:val="single"/>
        </w:rPr>
        <w:t>that</w:t>
      </w:r>
      <w:r w:rsidRPr="00756390">
        <w:rPr>
          <w:sz w:val="16"/>
        </w:rPr>
        <w:t xml:space="preserve">] </w:t>
      </w:r>
      <w:r w:rsidRPr="00756390">
        <w:rPr>
          <w:u w:val="single"/>
        </w:rPr>
        <w:t>if unchecked</w:t>
      </w:r>
      <w:r w:rsidRPr="00756390">
        <w:rPr>
          <w:sz w:val="16"/>
        </w:rPr>
        <w:t xml:space="preserve"> […] </w:t>
      </w:r>
      <w:r w:rsidRPr="00756390">
        <w:rPr>
          <w:u w:val="single"/>
        </w:rPr>
        <w:t xml:space="preserve">would </w:t>
      </w:r>
      <w:r w:rsidRPr="00756390">
        <w:rPr>
          <w:highlight w:val="cyan"/>
          <w:u w:val="single"/>
        </w:rPr>
        <w:t>lead to</w:t>
      </w:r>
      <w:r w:rsidRPr="00756390">
        <w:rPr>
          <w:u w:val="single"/>
        </w:rPr>
        <w:t xml:space="preserve"> </w:t>
      </w:r>
      <w:r w:rsidRPr="00756390">
        <w:rPr>
          <w:rStyle w:val="Emphasis"/>
        </w:rPr>
        <w:t xml:space="preserve">great </w:t>
      </w:r>
      <w:r w:rsidRPr="00756390">
        <w:rPr>
          <w:rStyle w:val="Emphasis"/>
          <w:highlight w:val="cyan"/>
        </w:rPr>
        <w:t>suffering</w:t>
      </w:r>
      <w:r w:rsidRPr="00756390">
        <w:rPr>
          <w:sz w:val="16"/>
        </w:rPr>
        <w:t xml:space="preserve">, </w:t>
      </w:r>
      <w:r w:rsidRPr="00756390">
        <w:rPr>
          <w:rStyle w:val="Emphasis"/>
        </w:rPr>
        <w:t>loss of life</w:t>
      </w:r>
      <w:r w:rsidRPr="00756390">
        <w:rPr>
          <w:sz w:val="16"/>
        </w:rPr>
        <w:t xml:space="preserve">, </w:t>
      </w:r>
      <w:r w:rsidRPr="00756390">
        <w:rPr>
          <w:highlight w:val="cyan"/>
          <w:u w:val="single"/>
        </w:rPr>
        <w:t>and</w:t>
      </w:r>
      <w:r w:rsidRPr="00756390">
        <w:rPr>
          <w:u w:val="single"/>
        </w:rPr>
        <w:t xml:space="preserve"> </w:t>
      </w:r>
      <w:r w:rsidRPr="00756390">
        <w:rPr>
          <w:rStyle w:val="Emphasis"/>
        </w:rPr>
        <w:t xml:space="preserve">sustained </w:t>
      </w:r>
      <w:r w:rsidRPr="00756390">
        <w:rPr>
          <w:rStyle w:val="Emphasis"/>
          <w:highlight w:val="cyan"/>
        </w:rPr>
        <w:t>damage</w:t>
      </w:r>
      <w:r w:rsidRPr="00756390">
        <w:rPr>
          <w:u w:val="single"/>
        </w:rPr>
        <w:t xml:space="preserve"> to national governments</w:t>
      </w:r>
      <w:r w:rsidRPr="00756390">
        <w:rPr>
          <w:sz w:val="16"/>
        </w:rPr>
        <w:t xml:space="preserve">, </w:t>
      </w:r>
      <w:r w:rsidRPr="00756390">
        <w:rPr>
          <w:u w:val="single"/>
        </w:rPr>
        <w:t>international relationships</w:t>
      </w:r>
      <w:r w:rsidRPr="00756390">
        <w:rPr>
          <w:sz w:val="16"/>
        </w:rPr>
        <w:t xml:space="preserve">, economies, </w:t>
      </w:r>
      <w:r w:rsidRPr="00756390">
        <w:rPr>
          <w:rStyle w:val="Emphasis"/>
        </w:rPr>
        <w:t>societal stability</w:t>
      </w:r>
      <w:r w:rsidRPr="00756390">
        <w:rPr>
          <w:sz w:val="16"/>
        </w:rPr>
        <w:t xml:space="preserve">, </w:t>
      </w:r>
      <w:r w:rsidRPr="00756390">
        <w:rPr>
          <w:u w:val="single"/>
        </w:rPr>
        <w:t xml:space="preserve">or </w:t>
      </w:r>
      <w:r w:rsidRPr="00756390">
        <w:rPr>
          <w:rStyle w:val="Emphasis"/>
          <w:highlight w:val="cyan"/>
        </w:rPr>
        <w:t>global security</w:t>
      </w:r>
      <w:r w:rsidRPr="00756390">
        <w:rPr>
          <w:sz w:val="16"/>
        </w:rPr>
        <w:t>. (Schoch-Spana et al. 2017, 323)</w:t>
      </w:r>
    </w:p>
    <w:p w14:paraId="688FA998" w14:textId="77777777" w:rsidR="00043739" w:rsidRPr="00756390" w:rsidRDefault="00043739" w:rsidP="00043739">
      <w:pPr>
        <w:rPr>
          <w:sz w:val="16"/>
        </w:rPr>
      </w:pPr>
      <w:r w:rsidRPr="00756390">
        <w:rPr>
          <w:u w:val="single"/>
        </w:rPr>
        <w:t>Though humanity has lived with diseases</w:t>
      </w:r>
      <w:r w:rsidRPr="00756390">
        <w:rPr>
          <w:sz w:val="16"/>
        </w:rPr>
        <w:t xml:space="preserve"> since its earliest history, </w:t>
      </w:r>
      <w:r w:rsidRPr="00756390">
        <w:rPr>
          <w:u w:val="single"/>
        </w:rPr>
        <w:t xml:space="preserve">the </w:t>
      </w:r>
      <w:r w:rsidRPr="00756390">
        <w:rPr>
          <w:rStyle w:val="Emphasis"/>
        </w:rPr>
        <w:t xml:space="preserve">contemporary </w:t>
      </w:r>
      <w:r w:rsidRPr="00756390">
        <w:rPr>
          <w:rStyle w:val="Emphasis"/>
          <w:highlight w:val="cyan"/>
        </w:rPr>
        <w:t>possibility</w:t>
      </w:r>
      <w:r w:rsidRPr="00756390">
        <w:rPr>
          <w:u w:val="single"/>
        </w:rPr>
        <w:t xml:space="preserve"> of such a risk has </w:t>
      </w:r>
      <w:r w:rsidRPr="00756390">
        <w:rPr>
          <w:rStyle w:val="Emphasis"/>
          <w:sz w:val="24"/>
          <w:highlight w:val="cyan"/>
        </w:rPr>
        <w:t>increased</w:t>
      </w:r>
      <w:r w:rsidRPr="00756390">
        <w:rPr>
          <w:sz w:val="16"/>
        </w:rPr>
        <w:t xml:space="preserve">. The global </w:t>
      </w:r>
      <w:r w:rsidRPr="00756390">
        <w:rPr>
          <w:highlight w:val="cyan"/>
          <w:u w:val="single"/>
        </w:rPr>
        <w:t>population</w:t>
      </w:r>
      <w:r w:rsidRPr="00756390">
        <w:rPr>
          <w:u w:val="single"/>
        </w:rPr>
        <w:t xml:space="preserve"> recently </w:t>
      </w:r>
      <w:r w:rsidRPr="00756390">
        <w:rPr>
          <w:highlight w:val="cyan"/>
          <w:u w:val="single"/>
        </w:rPr>
        <w:t>climbed to</w:t>
      </w:r>
      <w:r w:rsidRPr="00756390">
        <w:rPr>
          <w:u w:val="single"/>
        </w:rPr>
        <w:t xml:space="preserve"> over </w:t>
      </w:r>
      <w:r w:rsidRPr="00756390">
        <w:rPr>
          <w:rStyle w:val="Emphasis"/>
          <w:highlight w:val="cyan"/>
        </w:rPr>
        <w:t>8 billion</w:t>
      </w:r>
      <w:r w:rsidRPr="00756390">
        <w:rPr>
          <w:sz w:val="16"/>
        </w:rPr>
        <w:t xml:space="preserve">, </w:t>
      </w:r>
      <w:r w:rsidRPr="00756390">
        <w:rPr>
          <w:u w:val="single"/>
        </w:rPr>
        <w:t xml:space="preserve">and the overall </w:t>
      </w:r>
      <w:r w:rsidRPr="00756390">
        <w:rPr>
          <w:rStyle w:val="Emphasis"/>
        </w:rPr>
        <w:t>population density</w:t>
      </w:r>
      <w:r w:rsidRPr="00756390">
        <w:rPr>
          <w:u w:val="single"/>
        </w:rPr>
        <w:t xml:space="preserve"> continues to </w:t>
      </w:r>
      <w:r w:rsidRPr="00756390">
        <w:rPr>
          <w:rStyle w:val="Emphasis"/>
        </w:rPr>
        <w:t>increase</w:t>
      </w:r>
      <w:r w:rsidRPr="00756390">
        <w:rPr>
          <w:sz w:val="16"/>
        </w:rPr>
        <w:t xml:space="preserve"> (Roser et al. 2013). </w:t>
      </w:r>
      <w:r w:rsidRPr="00756390">
        <w:rPr>
          <w:u w:val="single"/>
        </w:rPr>
        <w:t>With more individuals</w:t>
      </w:r>
      <w:r w:rsidRPr="00756390">
        <w:rPr>
          <w:sz w:val="16"/>
        </w:rPr>
        <w:t xml:space="preserve">, </w:t>
      </w:r>
      <w:r w:rsidRPr="00756390">
        <w:rPr>
          <w:u w:val="single"/>
        </w:rPr>
        <w:t xml:space="preserve">there are </w:t>
      </w:r>
      <w:r w:rsidRPr="00756390">
        <w:rPr>
          <w:rStyle w:val="Emphasis"/>
        </w:rPr>
        <w:t>more possible origins</w:t>
      </w:r>
      <w:r w:rsidRPr="00756390">
        <w:rPr>
          <w:u w:val="single"/>
        </w:rPr>
        <w:t xml:space="preserve"> of new pandemic diseases</w:t>
      </w:r>
      <w:r w:rsidRPr="00756390">
        <w:rPr>
          <w:sz w:val="16"/>
        </w:rPr>
        <w:t xml:space="preserve">. As of 2018, </w:t>
      </w:r>
      <w:r w:rsidRPr="00756390">
        <w:rPr>
          <w:u w:val="single"/>
        </w:rPr>
        <w:t>55% of the world’s population lived in urban areas</w:t>
      </w:r>
      <w:r w:rsidRPr="00756390">
        <w:rPr>
          <w:sz w:val="16"/>
        </w:rPr>
        <w:t xml:space="preserve"> (UN DESA 2018), and an estimated 65% by 2050 (UN DESA 2019). </w:t>
      </w:r>
      <w:r w:rsidRPr="00756390">
        <w:rPr>
          <w:u w:val="single"/>
        </w:rPr>
        <w:t xml:space="preserve">People living closer to one another will likely </w:t>
      </w:r>
      <w:r w:rsidRPr="00756390">
        <w:rPr>
          <w:rStyle w:val="Emphasis"/>
        </w:rPr>
        <w:t>increase</w:t>
      </w:r>
      <w:r w:rsidRPr="00756390">
        <w:rPr>
          <w:u w:val="single"/>
        </w:rPr>
        <w:t xml:space="preserve"> the </w:t>
      </w:r>
      <w:r w:rsidRPr="00756390">
        <w:rPr>
          <w:rStyle w:val="Emphasis"/>
        </w:rPr>
        <w:t>transmission rates</w:t>
      </w:r>
      <w:r w:rsidRPr="00756390">
        <w:rPr>
          <w:sz w:val="16"/>
        </w:rPr>
        <w:t>.</w:t>
      </w:r>
    </w:p>
    <w:p w14:paraId="6A6A1651" w14:textId="77777777" w:rsidR="00043739" w:rsidRPr="00756390" w:rsidRDefault="00043739" w:rsidP="00043739">
      <w:pPr>
        <w:rPr>
          <w:sz w:val="16"/>
        </w:rPr>
      </w:pPr>
      <w:r w:rsidRPr="00756390">
        <w:rPr>
          <w:u w:val="single"/>
        </w:rPr>
        <w:t xml:space="preserve">Many facets of </w:t>
      </w:r>
      <w:r w:rsidRPr="00756390">
        <w:rPr>
          <w:rStyle w:val="Emphasis"/>
          <w:highlight w:val="cyan"/>
        </w:rPr>
        <w:t>modern life</w:t>
      </w:r>
      <w:r w:rsidRPr="00756390">
        <w:rPr>
          <w:u w:val="single"/>
        </w:rPr>
        <w:t xml:space="preserve"> further </w:t>
      </w:r>
      <w:r w:rsidRPr="00756390">
        <w:rPr>
          <w:rStyle w:val="Emphasis"/>
          <w:highlight w:val="cyan"/>
        </w:rPr>
        <w:t>increase</w:t>
      </w:r>
      <w:r w:rsidRPr="00756390">
        <w:rPr>
          <w:u w:val="single"/>
        </w:rPr>
        <w:t xml:space="preserve"> a pandemic’s </w:t>
      </w:r>
      <w:r w:rsidRPr="00756390">
        <w:rPr>
          <w:rStyle w:val="Emphasis"/>
        </w:rPr>
        <w:t xml:space="preserve">possible </w:t>
      </w:r>
      <w:r w:rsidRPr="00756390">
        <w:rPr>
          <w:rStyle w:val="Emphasis"/>
          <w:highlight w:val="cyan"/>
        </w:rPr>
        <w:t>severity</w:t>
      </w:r>
      <w:r w:rsidRPr="00756390">
        <w:rPr>
          <w:sz w:val="16"/>
        </w:rPr>
        <w:t xml:space="preserve">, </w:t>
      </w:r>
      <w:r w:rsidRPr="00756390">
        <w:rPr>
          <w:rStyle w:val="Emphasis"/>
        </w:rPr>
        <w:t>scope</w:t>
      </w:r>
      <w:r w:rsidRPr="00756390">
        <w:rPr>
          <w:sz w:val="16"/>
        </w:rPr>
        <w:t xml:space="preserve">, </w:t>
      </w:r>
      <w:r w:rsidRPr="00756390">
        <w:rPr>
          <w:u w:val="single"/>
        </w:rPr>
        <w:t xml:space="preserve">and </w:t>
      </w:r>
      <w:r w:rsidRPr="00756390">
        <w:rPr>
          <w:rStyle w:val="Emphasis"/>
        </w:rPr>
        <w:t>scale</w:t>
      </w:r>
      <w:r w:rsidRPr="00756390">
        <w:rPr>
          <w:sz w:val="16"/>
        </w:rPr>
        <w:t xml:space="preserve"> (Jones et al. 2008; Morse 1995). </w:t>
      </w:r>
      <w:r w:rsidRPr="00756390">
        <w:rPr>
          <w:highlight w:val="cyan"/>
          <w:u w:val="single"/>
        </w:rPr>
        <w:t>Deforestation</w:t>
      </w:r>
      <w:r w:rsidRPr="00756390">
        <w:rPr>
          <w:sz w:val="16"/>
          <w:highlight w:val="cyan"/>
        </w:rPr>
        <w:t xml:space="preserve">, </w:t>
      </w:r>
      <w:r w:rsidRPr="00756390">
        <w:rPr>
          <w:highlight w:val="cyan"/>
          <w:u w:val="single"/>
        </w:rPr>
        <w:t>industrial farming</w:t>
      </w:r>
      <w:r w:rsidRPr="00756390">
        <w:rPr>
          <w:sz w:val="16"/>
          <w:highlight w:val="cyan"/>
        </w:rPr>
        <w:t xml:space="preserve">, </w:t>
      </w:r>
      <w:r w:rsidRPr="00756390">
        <w:rPr>
          <w:highlight w:val="cyan"/>
          <w:u w:val="single"/>
        </w:rPr>
        <w:t>and</w:t>
      </w:r>
      <w:r w:rsidRPr="00756390">
        <w:rPr>
          <w:u w:val="single"/>
        </w:rPr>
        <w:t xml:space="preserve"> meat production practices combined with </w:t>
      </w:r>
      <w:r w:rsidRPr="00756390">
        <w:rPr>
          <w:rStyle w:val="Emphasis"/>
          <w:highlight w:val="cyan"/>
        </w:rPr>
        <w:t>climate change</w:t>
      </w:r>
      <w:r w:rsidRPr="00756390">
        <w:rPr>
          <w:u w:val="single"/>
        </w:rPr>
        <w:t xml:space="preserve"> </w:t>
      </w:r>
      <w:r w:rsidRPr="00756390">
        <w:rPr>
          <w:highlight w:val="cyan"/>
          <w:u w:val="single"/>
        </w:rPr>
        <w:t>increase</w:t>
      </w:r>
      <w:r w:rsidRPr="00756390">
        <w:rPr>
          <w:u w:val="single"/>
        </w:rPr>
        <w:t xml:space="preserve"> the likelihood of </w:t>
      </w:r>
      <w:r w:rsidRPr="00756390">
        <w:rPr>
          <w:rStyle w:val="Emphasis"/>
        </w:rPr>
        <w:t xml:space="preserve">zoonotic </w:t>
      </w:r>
      <w:r w:rsidRPr="00756390">
        <w:rPr>
          <w:rStyle w:val="Emphasis"/>
          <w:highlight w:val="cyan"/>
        </w:rPr>
        <w:t>transmission</w:t>
      </w:r>
      <w:r w:rsidRPr="00756390">
        <w:rPr>
          <w:u w:val="single"/>
        </w:rPr>
        <w:t xml:space="preserve"> of pathogens from animals to humans</w:t>
      </w:r>
      <w:r w:rsidRPr="00756390">
        <w:rPr>
          <w:sz w:val="16"/>
        </w:rPr>
        <w:t xml:space="preserve">. The </w:t>
      </w:r>
      <w:r w:rsidRPr="00756390">
        <w:rPr>
          <w:rStyle w:val="Emphasis"/>
          <w:highlight w:val="cyan"/>
        </w:rPr>
        <w:t>melting permafrost</w:t>
      </w:r>
      <w:r w:rsidRPr="00756390">
        <w:rPr>
          <w:sz w:val="16"/>
        </w:rPr>
        <w:t xml:space="preserve">, </w:t>
      </w:r>
      <w:r w:rsidRPr="00756390">
        <w:rPr>
          <w:u w:val="single"/>
        </w:rPr>
        <w:t xml:space="preserve">increased </w:t>
      </w:r>
      <w:r w:rsidRPr="00756390">
        <w:rPr>
          <w:rStyle w:val="Emphasis"/>
        </w:rPr>
        <w:t>u</w:t>
      </w:r>
      <w:r w:rsidRPr="00756390">
        <w:rPr>
          <w:u w:val="single"/>
        </w:rPr>
        <w:t>ltra</w:t>
      </w:r>
      <w:r w:rsidRPr="00756390">
        <w:rPr>
          <w:rStyle w:val="Emphasis"/>
        </w:rPr>
        <w:t>v</w:t>
      </w:r>
      <w:r w:rsidRPr="00756390">
        <w:rPr>
          <w:u w:val="single"/>
        </w:rPr>
        <w:t xml:space="preserve">iolet </w:t>
      </w:r>
      <w:r w:rsidRPr="00756390">
        <w:rPr>
          <w:rStyle w:val="Emphasis"/>
        </w:rPr>
        <w:t>immunosuppression</w:t>
      </w:r>
      <w:r w:rsidRPr="00756390">
        <w:rPr>
          <w:sz w:val="16"/>
        </w:rPr>
        <w:t xml:space="preserve">, </w:t>
      </w:r>
      <w:r w:rsidRPr="00756390">
        <w:rPr>
          <w:u w:val="single"/>
        </w:rPr>
        <w:t xml:space="preserve">changing </w:t>
      </w:r>
      <w:r w:rsidRPr="00756390">
        <w:rPr>
          <w:rStyle w:val="Emphasis"/>
        </w:rPr>
        <w:t>weather patterns</w:t>
      </w:r>
      <w:r w:rsidRPr="00756390">
        <w:rPr>
          <w:sz w:val="16"/>
        </w:rPr>
        <w:t xml:space="preserve">, </w:t>
      </w:r>
      <w:r w:rsidRPr="00756390">
        <w:rPr>
          <w:u w:val="single"/>
        </w:rPr>
        <w:t xml:space="preserve">and </w:t>
      </w:r>
      <w:r w:rsidRPr="00756390">
        <w:rPr>
          <w:rStyle w:val="Emphasis"/>
        </w:rPr>
        <w:t>arctic thawing</w:t>
      </w:r>
      <w:r w:rsidRPr="00756390">
        <w:rPr>
          <w:sz w:val="16"/>
        </w:rPr>
        <w:t xml:space="preserve"> that comes with global warming </w:t>
      </w:r>
      <w:r w:rsidRPr="00756390">
        <w:rPr>
          <w:u w:val="single"/>
        </w:rPr>
        <w:t xml:space="preserve">may </w:t>
      </w:r>
      <w:r w:rsidRPr="00756390">
        <w:rPr>
          <w:rStyle w:val="Emphasis"/>
          <w:highlight w:val="cyan"/>
        </w:rPr>
        <w:t>unleash pathogens</w:t>
      </w:r>
      <w:r w:rsidRPr="00756390">
        <w:rPr>
          <w:u w:val="single"/>
        </w:rPr>
        <w:t xml:space="preserve"> frozen long ago</w:t>
      </w:r>
      <w:r w:rsidRPr="00756390">
        <w:rPr>
          <w:sz w:val="16"/>
        </w:rPr>
        <w:t xml:space="preserve"> (Hofmeister et al. 2021). </w:t>
      </w:r>
      <w:r w:rsidRPr="00756390">
        <w:rPr>
          <w:u w:val="single"/>
        </w:rPr>
        <w:t>Alternatively</w:t>
      </w:r>
      <w:r w:rsidRPr="00756390">
        <w:rPr>
          <w:sz w:val="16"/>
        </w:rPr>
        <w:t xml:space="preserve">, </w:t>
      </w:r>
      <w:r w:rsidRPr="00756390">
        <w:rPr>
          <w:highlight w:val="cyan"/>
          <w:u w:val="single"/>
        </w:rPr>
        <w:t>trigger</w:t>
      </w:r>
      <w:r w:rsidRPr="00756390">
        <w:rPr>
          <w:u w:val="single"/>
        </w:rPr>
        <w:t xml:space="preserve"> </w:t>
      </w:r>
      <w:r w:rsidRPr="00756390">
        <w:rPr>
          <w:rStyle w:val="Emphasis"/>
        </w:rPr>
        <w:t xml:space="preserve">pathogenic </w:t>
      </w:r>
      <w:r w:rsidRPr="00756390">
        <w:rPr>
          <w:rStyle w:val="Emphasis"/>
          <w:highlight w:val="cyan"/>
        </w:rPr>
        <w:t>mutations</w:t>
      </w:r>
      <w:r w:rsidRPr="00756390">
        <w:rPr>
          <w:u w:val="single"/>
        </w:rPr>
        <w:t xml:space="preserve"> in previously non-pathogenic organisms</w:t>
      </w:r>
      <w:r w:rsidRPr="00756390">
        <w:rPr>
          <w:sz w:val="16"/>
        </w:rPr>
        <w:t xml:space="preserve">. </w:t>
      </w:r>
      <w:r w:rsidRPr="00756390">
        <w:rPr>
          <w:u w:val="single"/>
        </w:rPr>
        <w:t xml:space="preserve">The </w:t>
      </w:r>
      <w:r w:rsidRPr="00756390">
        <w:rPr>
          <w:rStyle w:val="Emphasis"/>
        </w:rPr>
        <w:t>ease</w:t>
      </w:r>
      <w:r w:rsidRPr="00756390">
        <w:rPr>
          <w:u w:val="single"/>
        </w:rPr>
        <w:t xml:space="preserve"> of </w:t>
      </w:r>
      <w:r w:rsidRPr="00756390">
        <w:rPr>
          <w:rStyle w:val="Emphasis"/>
          <w:highlight w:val="cyan"/>
        </w:rPr>
        <w:t>global transport</w:t>
      </w:r>
      <w:r w:rsidRPr="00756390">
        <w:rPr>
          <w:rStyle w:val="StyleUnderline"/>
        </w:rPr>
        <w:t>ation</w:t>
      </w:r>
      <w:r w:rsidRPr="00756390">
        <w:rPr>
          <w:u w:val="single"/>
        </w:rPr>
        <w:t xml:space="preserve"> also </w:t>
      </w:r>
      <w:r w:rsidRPr="00756390">
        <w:rPr>
          <w:rStyle w:val="Emphasis"/>
        </w:rPr>
        <w:t xml:space="preserve">dramatically </w:t>
      </w:r>
      <w:r w:rsidRPr="00756390">
        <w:rPr>
          <w:rStyle w:val="Emphasis"/>
          <w:highlight w:val="cyan"/>
        </w:rPr>
        <w:t>increases</w:t>
      </w:r>
      <w:r w:rsidRPr="00756390">
        <w:rPr>
          <w:highlight w:val="cyan"/>
          <w:u w:val="single"/>
        </w:rPr>
        <w:t xml:space="preserve"> the risk</w:t>
      </w:r>
      <w:r w:rsidRPr="00756390">
        <w:rPr>
          <w:u w:val="single"/>
        </w:rPr>
        <w:t xml:space="preserve"> of future pandemics</w:t>
      </w:r>
      <w:r w:rsidRPr="00756390">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2E70310" w14:textId="77777777" w:rsidR="00043739" w:rsidRPr="00756390" w:rsidRDefault="00043739" w:rsidP="00043739">
      <w:pPr>
        <w:rPr>
          <w:sz w:val="16"/>
        </w:rPr>
      </w:pPr>
      <w:r w:rsidRPr="00756390">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756390">
        <w:rPr>
          <w:sz w:val="16"/>
        </w:rPr>
        <w:t>pandrug-resistant</w:t>
      </w:r>
      <w:proofErr w:type="spellEnd"/>
      <w:r w:rsidRPr="00756390">
        <w:rPr>
          <w:sz w:val="16"/>
        </w:rPr>
        <w:t xml:space="preserve"> which have no known susceptibility to any antimicrobial agents (</w:t>
      </w:r>
      <w:proofErr w:type="spellStart"/>
      <w:r w:rsidRPr="00756390">
        <w:rPr>
          <w:sz w:val="16"/>
        </w:rPr>
        <w:t>Magiorakos</w:t>
      </w:r>
      <w:proofErr w:type="spellEnd"/>
      <w:r w:rsidRPr="00756390">
        <w:rPr>
          <w:sz w:val="16"/>
        </w:rPr>
        <w:t xml:space="preserve"> et al. 2012).</w:t>
      </w:r>
    </w:p>
    <w:p w14:paraId="736D23EC" w14:textId="77777777" w:rsidR="00043739" w:rsidRPr="00756390" w:rsidRDefault="00043739" w:rsidP="00043739">
      <w:pPr>
        <w:rPr>
          <w:sz w:val="16"/>
        </w:rPr>
      </w:pPr>
      <w:r w:rsidRPr="00756390">
        <w:rPr>
          <w:sz w:val="16"/>
        </w:rPr>
        <w:t xml:space="preserve">The </w:t>
      </w:r>
      <w:r w:rsidRPr="00756390">
        <w:rPr>
          <w:u w:val="single"/>
        </w:rPr>
        <w:t xml:space="preserve">potential risk from </w:t>
      </w:r>
      <w:r w:rsidRPr="00756390">
        <w:rPr>
          <w:rStyle w:val="Emphasis"/>
        </w:rPr>
        <w:t>superbugs</w:t>
      </w:r>
      <w:r w:rsidRPr="00756390">
        <w:rPr>
          <w:u w:val="single"/>
        </w:rPr>
        <w:t xml:space="preserve"> is </w:t>
      </w:r>
      <w:r w:rsidRPr="00756390">
        <w:rPr>
          <w:rStyle w:val="Emphasis"/>
        </w:rPr>
        <w:t>grave</w:t>
      </w:r>
      <w:r w:rsidRPr="00756390">
        <w:rPr>
          <w:sz w:val="16"/>
        </w:rPr>
        <w:t>. The general director of the WHO described it as being a “</w:t>
      </w:r>
      <w:r w:rsidRPr="00756390">
        <w:rPr>
          <w:rStyle w:val="Emphasis"/>
        </w:rPr>
        <w:t>fundamental threat</w:t>
      </w:r>
      <w:r w:rsidRPr="00756390">
        <w:rPr>
          <w:u w:val="single"/>
        </w:rPr>
        <w:t xml:space="preserve"> to human health</w:t>
      </w:r>
      <w:r w:rsidRPr="00756390">
        <w:rPr>
          <w:sz w:val="16"/>
        </w:rPr>
        <w:t xml:space="preserve">, </w:t>
      </w:r>
      <w:r w:rsidRPr="00756390">
        <w:rPr>
          <w:u w:val="single"/>
        </w:rPr>
        <w:t>development and security</w:t>
      </w:r>
      <w:r w:rsidRPr="00756390">
        <w:rPr>
          <w:sz w:val="16"/>
        </w:rPr>
        <w:t xml:space="preserve">” (Fox 2016). </w:t>
      </w:r>
      <w:r w:rsidRPr="00756390">
        <w:rPr>
          <w:u w:val="single"/>
        </w:rPr>
        <w:t>In the USA alone</w:t>
      </w:r>
      <w:r w:rsidRPr="00756390">
        <w:rPr>
          <w:sz w:val="16"/>
        </w:rPr>
        <w:t xml:space="preserve">, in 2019 the rate of superbug infections was 2.8 million each year with more than 35,000 deaths (CDC 2019). </w:t>
      </w:r>
      <w:r w:rsidRPr="00756390">
        <w:rPr>
          <w:u w:val="single"/>
        </w:rPr>
        <w:t xml:space="preserve">This rate has likely risen by </w:t>
      </w:r>
      <w:r w:rsidRPr="00756390">
        <w:rPr>
          <w:rStyle w:val="Emphasis"/>
        </w:rPr>
        <w:t>15%</w:t>
      </w:r>
      <w:r w:rsidRPr="00756390">
        <w:rPr>
          <w:u w:val="single"/>
        </w:rPr>
        <w:t xml:space="preserve"> between 2019 and 2020</w:t>
      </w:r>
      <w:r w:rsidRPr="00756390">
        <w:rPr>
          <w:sz w:val="16"/>
        </w:rPr>
        <w:t xml:space="preserve"> (Mishra 2022). </w:t>
      </w:r>
      <w:r w:rsidRPr="00756390">
        <w:rPr>
          <w:rStyle w:val="Emphasis"/>
        </w:rPr>
        <w:t>Globally</w:t>
      </w:r>
      <w:r w:rsidRPr="00756390">
        <w:rPr>
          <w:u w:val="single"/>
        </w:rPr>
        <w:t xml:space="preserve"> the situation is </w:t>
      </w:r>
      <w:r w:rsidRPr="00756390">
        <w:rPr>
          <w:rStyle w:val="Emphasis"/>
        </w:rPr>
        <w:t>worse</w:t>
      </w:r>
      <w:r w:rsidRPr="00756390">
        <w:rPr>
          <w:sz w:val="16"/>
        </w:rPr>
        <w:t xml:space="preserve">. </w:t>
      </w:r>
      <w:r w:rsidRPr="00756390">
        <w:rPr>
          <w:u w:val="single"/>
        </w:rPr>
        <w:t xml:space="preserve">In 2019 an estimated </w:t>
      </w:r>
      <w:r w:rsidRPr="00756390">
        <w:rPr>
          <w:rStyle w:val="Emphasis"/>
        </w:rPr>
        <w:t>1.27 million deaths</w:t>
      </w:r>
      <w:r w:rsidRPr="00756390">
        <w:rPr>
          <w:u w:val="single"/>
        </w:rPr>
        <w:t xml:space="preserve"> were </w:t>
      </w:r>
      <w:r w:rsidRPr="00756390">
        <w:rPr>
          <w:rStyle w:val="Emphasis"/>
        </w:rPr>
        <w:t>directly tied</w:t>
      </w:r>
      <w:r w:rsidRPr="00756390">
        <w:rPr>
          <w:u w:val="single"/>
        </w:rPr>
        <w:t xml:space="preserve"> to these superbugs</w:t>
      </w:r>
      <w:r w:rsidRPr="00756390">
        <w:rPr>
          <w:sz w:val="16"/>
        </w:rPr>
        <w:t xml:space="preserve">, with another 4.95 million associated with such infections. The </w:t>
      </w:r>
      <w:r w:rsidRPr="00756390">
        <w:rPr>
          <w:u w:val="single"/>
        </w:rPr>
        <w:t xml:space="preserve">global burden of these infections is likely </w:t>
      </w:r>
      <w:r w:rsidRPr="00756390">
        <w:rPr>
          <w:rStyle w:val="Emphasis"/>
        </w:rPr>
        <w:t>higher than HIV</w:t>
      </w:r>
      <w:r w:rsidRPr="00756390">
        <w:rPr>
          <w:u w:val="single"/>
        </w:rPr>
        <w:t xml:space="preserve"> or </w:t>
      </w:r>
      <w:r w:rsidRPr="00756390">
        <w:rPr>
          <w:rStyle w:val="Emphasis"/>
        </w:rPr>
        <w:t>Malaria</w:t>
      </w:r>
      <w:r w:rsidRPr="00756390">
        <w:rPr>
          <w:sz w:val="16"/>
        </w:rPr>
        <w:t>. Like many other pandemic-related topics, the global burden of these diseases unequally spread with much higher concentrations in Sub-Saharan Africa and South Asia (Antimicrobial Resistance Collaborators 2022).</w:t>
      </w:r>
    </w:p>
    <w:p w14:paraId="3D080DE5" w14:textId="77777777" w:rsidR="00043739" w:rsidRPr="00756390" w:rsidRDefault="00043739" w:rsidP="00043739">
      <w:pPr>
        <w:rPr>
          <w:sz w:val="16"/>
        </w:rPr>
      </w:pPr>
      <w:r w:rsidRPr="00756390">
        <w:rPr>
          <w:sz w:val="16"/>
        </w:rPr>
        <w:t>Biomedical researcher Dr. Brian K. Coombes described the severity of the situation, “</w:t>
      </w:r>
      <w:r w:rsidRPr="00756390">
        <w:rPr>
          <w:u w:val="single"/>
        </w:rPr>
        <w:t xml:space="preserve">antibiotics are the </w:t>
      </w:r>
      <w:r w:rsidRPr="00756390">
        <w:rPr>
          <w:rStyle w:val="Emphasis"/>
        </w:rPr>
        <w:t>foundation</w:t>
      </w:r>
      <w:r w:rsidRPr="00756390">
        <w:rPr>
          <w:u w:val="single"/>
        </w:rPr>
        <w:t xml:space="preserve"> on which </w:t>
      </w:r>
      <w:r w:rsidRPr="00756390">
        <w:rPr>
          <w:rStyle w:val="Emphasis"/>
        </w:rPr>
        <w:t>all modern medicine</w:t>
      </w:r>
      <w:r w:rsidRPr="00756390">
        <w:rPr>
          <w:u w:val="single"/>
        </w:rPr>
        <w:t xml:space="preserve"> rests</w:t>
      </w:r>
      <w:r w:rsidRPr="00756390">
        <w:rPr>
          <w:sz w:val="16"/>
        </w:rPr>
        <w:t xml:space="preserve">. </w:t>
      </w:r>
      <w:r w:rsidRPr="00756390">
        <w:rPr>
          <w:u w:val="single"/>
        </w:rPr>
        <w:t>Cancer</w:t>
      </w:r>
      <w:r w:rsidRPr="00756390">
        <w:rPr>
          <w:rStyle w:val="StyleUnderline"/>
        </w:rPr>
        <w:t xml:space="preserve"> </w:t>
      </w:r>
      <w:r w:rsidRPr="00756390">
        <w:rPr>
          <w:rStyle w:val="Emphasis"/>
        </w:rPr>
        <w:t>chemo</w:t>
      </w:r>
      <w:r w:rsidRPr="00756390">
        <w:rPr>
          <w:sz w:val="16"/>
        </w:rPr>
        <w:t xml:space="preserve">therapy, </w:t>
      </w:r>
      <w:r w:rsidRPr="00756390">
        <w:rPr>
          <w:rStyle w:val="Emphasis"/>
        </w:rPr>
        <w:t>organ transplants</w:t>
      </w:r>
      <w:r w:rsidRPr="00756390">
        <w:rPr>
          <w:sz w:val="16"/>
        </w:rPr>
        <w:t xml:space="preserve">, </w:t>
      </w:r>
      <w:r w:rsidRPr="00756390">
        <w:rPr>
          <w:rStyle w:val="Emphasis"/>
        </w:rPr>
        <w:t>surgeries</w:t>
      </w:r>
      <w:r w:rsidRPr="00756390">
        <w:rPr>
          <w:sz w:val="16"/>
        </w:rPr>
        <w:t xml:space="preserve">, </w:t>
      </w:r>
      <w:r w:rsidRPr="00756390">
        <w:rPr>
          <w:rStyle w:val="StyleUnderline"/>
        </w:rPr>
        <w:t xml:space="preserve">and childbirth all </w:t>
      </w:r>
      <w:r w:rsidRPr="00756390">
        <w:rPr>
          <w:rStyle w:val="Emphasis"/>
        </w:rPr>
        <w:t>rely on antibiotics</w:t>
      </w:r>
      <w:r w:rsidRPr="00756390">
        <w:rPr>
          <w:rStyle w:val="StyleUnderline"/>
        </w:rPr>
        <w:t xml:space="preserve"> to </w:t>
      </w:r>
      <w:r w:rsidRPr="00756390">
        <w:rPr>
          <w:rStyle w:val="Emphasis"/>
        </w:rPr>
        <w:t>prevent infections</w:t>
      </w:r>
      <w:r w:rsidRPr="00756390">
        <w:rPr>
          <w:sz w:val="16"/>
        </w:rPr>
        <w:t xml:space="preserve">. </w:t>
      </w:r>
      <w:r w:rsidRPr="00756390">
        <w:rPr>
          <w:u w:val="single"/>
        </w:rPr>
        <w:t>If you can’t treat those</w:t>
      </w:r>
      <w:r w:rsidRPr="00756390">
        <w:rPr>
          <w:sz w:val="16"/>
        </w:rPr>
        <w:t xml:space="preserve">, </w:t>
      </w:r>
      <w:r w:rsidRPr="00756390">
        <w:rPr>
          <w:u w:val="single"/>
        </w:rPr>
        <w:t xml:space="preserve">then we </w:t>
      </w:r>
      <w:r w:rsidRPr="00756390">
        <w:rPr>
          <w:rStyle w:val="Emphasis"/>
        </w:rPr>
        <w:t>lose the medical advances</w:t>
      </w:r>
      <w:r w:rsidRPr="00756390">
        <w:rPr>
          <w:u w:val="single"/>
        </w:rPr>
        <w:t xml:space="preserve"> we have made in the last </w:t>
      </w:r>
      <w:r w:rsidRPr="00756390">
        <w:rPr>
          <w:rStyle w:val="Emphasis"/>
        </w:rPr>
        <w:t>50 years</w:t>
      </w:r>
      <w:r w:rsidRPr="00756390">
        <w:rPr>
          <w:sz w:val="16"/>
        </w:rPr>
        <w:t>” (Miller 2015).</w:t>
      </w:r>
    </w:p>
    <w:p w14:paraId="7909F004" w14:textId="77777777" w:rsidR="00043739" w:rsidRPr="00756390" w:rsidRDefault="00043739" w:rsidP="00043739">
      <w:pPr>
        <w:rPr>
          <w:sz w:val="16"/>
        </w:rPr>
      </w:pPr>
      <w:r w:rsidRPr="00756390">
        <w:rPr>
          <w:sz w:val="16"/>
        </w:rPr>
        <w:t xml:space="preserve">Even if bio risks, such as </w:t>
      </w:r>
      <w:r w:rsidRPr="00756390">
        <w:rPr>
          <w:highlight w:val="cyan"/>
          <w:u w:val="single"/>
        </w:rPr>
        <w:t>pandemics</w:t>
      </w:r>
      <w:r w:rsidRPr="00756390">
        <w:rPr>
          <w:sz w:val="16"/>
        </w:rPr>
        <w:t xml:space="preserve">, are not technically defined as a genuine existential threat and are instead understood as a global catastrophic risk, </w:t>
      </w:r>
      <w:r w:rsidRPr="00756390">
        <w:rPr>
          <w:u w:val="single"/>
        </w:rPr>
        <w:t xml:space="preserve">there is a consensus that they </w:t>
      </w:r>
      <w:r w:rsidRPr="00756390">
        <w:rPr>
          <w:highlight w:val="cyan"/>
          <w:u w:val="single"/>
        </w:rPr>
        <w:t>should be a</w:t>
      </w:r>
      <w:r w:rsidRPr="00756390">
        <w:rPr>
          <w:u w:val="single"/>
        </w:rPr>
        <w:t xml:space="preserve">n issue of </w:t>
      </w:r>
      <w:r w:rsidRPr="00756390">
        <w:rPr>
          <w:rStyle w:val="Emphasis"/>
          <w:highlight w:val="cyan"/>
        </w:rPr>
        <w:t>global priority</w:t>
      </w:r>
      <w:r w:rsidRPr="00756390">
        <w:rPr>
          <w:sz w:val="16"/>
        </w:rPr>
        <w:t xml:space="preserve"> (Connell 2017; Palmer et al. 2017). These evaluations of the destructive potential of pandemics focus on it being the direct cause of an existential or global catastrophic threat. </w:t>
      </w:r>
      <w:r w:rsidRPr="00756390">
        <w:rPr>
          <w:u w:val="single"/>
        </w:rPr>
        <w:t xml:space="preserve">The </w:t>
      </w:r>
      <w:r w:rsidRPr="00756390">
        <w:rPr>
          <w:highlight w:val="cyan"/>
          <w:u w:val="single"/>
        </w:rPr>
        <w:t>possibility of</w:t>
      </w:r>
      <w:r w:rsidRPr="00756390">
        <w:rPr>
          <w:u w:val="single"/>
        </w:rPr>
        <w:t xml:space="preserve"> pandemics following</w:t>
      </w:r>
      <w:r w:rsidRPr="00756390">
        <w:rPr>
          <w:sz w:val="16"/>
        </w:rPr>
        <w:t xml:space="preserve"> similar </w:t>
      </w:r>
      <w:r w:rsidRPr="00756390">
        <w:rPr>
          <w:u w:val="single"/>
        </w:rPr>
        <w:t>pathways</w:t>
      </w:r>
      <w:r w:rsidRPr="00756390">
        <w:rPr>
          <w:sz w:val="16"/>
        </w:rPr>
        <w:t xml:space="preserve"> as discussed </w:t>
      </w:r>
      <w:r w:rsidRPr="00756390">
        <w:rPr>
          <w:u w:val="single"/>
        </w:rPr>
        <w:t xml:space="preserve">regarding </w:t>
      </w:r>
      <w:r w:rsidRPr="00756390">
        <w:rPr>
          <w:rStyle w:val="Emphasis"/>
          <w:highlight w:val="cyan"/>
        </w:rPr>
        <w:t>Great Power Conflicts</w:t>
      </w:r>
      <w:r w:rsidRPr="00756390">
        <w:rPr>
          <w:u w:val="single"/>
        </w:rPr>
        <w:t xml:space="preserve"> </w:t>
      </w:r>
      <w:r w:rsidRPr="00756390">
        <w:rPr>
          <w:highlight w:val="cyan"/>
          <w:u w:val="single"/>
        </w:rPr>
        <w:t>makes</w:t>
      </w:r>
      <w:r w:rsidRPr="00756390">
        <w:rPr>
          <w:u w:val="single"/>
        </w:rPr>
        <w:t xml:space="preserve"> a pandemic’s </w:t>
      </w:r>
      <w:r w:rsidRPr="00756390">
        <w:rPr>
          <w:rStyle w:val="Emphasis"/>
        </w:rPr>
        <w:t>indirect</w:t>
      </w:r>
      <w:r w:rsidRPr="00756390">
        <w:rPr>
          <w:u w:val="single"/>
        </w:rPr>
        <w:t xml:space="preserve"> or </w:t>
      </w:r>
      <w:r w:rsidRPr="00756390">
        <w:rPr>
          <w:rStyle w:val="Emphasis"/>
        </w:rPr>
        <w:t xml:space="preserve">compounding </w:t>
      </w:r>
      <w:r w:rsidRPr="00756390">
        <w:rPr>
          <w:rStyle w:val="Emphasis"/>
          <w:highlight w:val="cyan"/>
        </w:rPr>
        <w:t>risk</w:t>
      </w:r>
      <w:r w:rsidRPr="00756390">
        <w:rPr>
          <w:highlight w:val="cyan"/>
          <w:u w:val="single"/>
        </w:rPr>
        <w:t xml:space="preserve"> a</w:t>
      </w:r>
      <w:r w:rsidRPr="00756390">
        <w:rPr>
          <w:u w:val="single"/>
        </w:rPr>
        <w:t xml:space="preserve"> topic of </w:t>
      </w:r>
      <w:r w:rsidRPr="00756390">
        <w:rPr>
          <w:rStyle w:val="Emphasis"/>
          <w:highlight w:val="cyan"/>
        </w:rPr>
        <w:t>concern</w:t>
      </w:r>
      <w:r w:rsidRPr="00756390">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0D49C3E4" w14:textId="77777777" w:rsidR="00043739" w:rsidRPr="00641D34" w:rsidRDefault="00043739" w:rsidP="00043739"/>
    <w:p w14:paraId="4FCF1033" w14:textId="5A327C6B" w:rsidR="00043739" w:rsidRDefault="004561B7" w:rsidP="00A80D67">
      <w:pPr>
        <w:pStyle w:val="Heading3"/>
      </w:pPr>
      <w:r>
        <w:t>1AC---Advantage---Inequality</w:t>
      </w:r>
    </w:p>
    <w:p w14:paraId="2BDD4D1A" w14:textId="270FA057" w:rsidR="00A80D67" w:rsidRPr="00A80D67" w:rsidRDefault="00A80D67" w:rsidP="00A80D67">
      <w:pPr>
        <w:pStyle w:val="Heading4"/>
      </w:pPr>
      <w:r>
        <w:t xml:space="preserve">The decline of collective bargaining is the </w:t>
      </w:r>
      <w:r>
        <w:rPr>
          <w:u w:val="single"/>
        </w:rPr>
        <w:t>root cause</w:t>
      </w:r>
      <w:r>
        <w:t xml:space="preserve"> of rising income inequality in the United States</w:t>
      </w:r>
    </w:p>
    <w:p w14:paraId="55AD4C44" w14:textId="77777777" w:rsidR="00043739" w:rsidRPr="000A33D4" w:rsidRDefault="00043739" w:rsidP="00043739">
      <w:r w:rsidRPr="000A33D4">
        <w:rPr>
          <w:rStyle w:val="Style13ptBold"/>
        </w:rPr>
        <w:t>Mishel 21</w:t>
      </w:r>
      <w:r>
        <w:rPr>
          <w:rStyle w:val="Style13ptBold"/>
        </w:rPr>
        <w:t xml:space="preserve"> </w:t>
      </w:r>
      <w:r w:rsidRPr="000A33D4">
        <w:t xml:space="preserve">(Lawrence Mishel is a distinguished fellow at the Economic Policy Institute in Washington, D.C.4-8-2021, "The enormous impact of eroded collective bargaining on wages", Economic Policy Institute, </w:t>
      </w:r>
      <w:hyperlink r:id="rId22" w:history="1">
        <w:r w:rsidRPr="001117D4">
          <w:rPr>
            <w:rStyle w:val="Hyperlink"/>
          </w:rPr>
          <w:t>https://www.epi.org/publication/eroded-collective-bargaining/</w:t>
        </w:r>
      </w:hyperlink>
      <w:r>
        <w:t>) //Rochester Ashaz</w:t>
      </w:r>
    </w:p>
    <w:p w14:paraId="7453C170" w14:textId="77777777" w:rsidR="00043739" w:rsidRPr="00CB1458" w:rsidRDefault="00043739" w:rsidP="00043739">
      <w:pPr>
        <w:rPr>
          <w:sz w:val="16"/>
        </w:rPr>
      </w:pPr>
      <w:r w:rsidRPr="00AB5631">
        <w:rPr>
          <w:rStyle w:val="Emphasis"/>
          <w:highlight w:val="cyan"/>
        </w:rPr>
        <w:t xml:space="preserve">A major factor depressing wage growth for middle earners and driving </w:t>
      </w:r>
      <w:r w:rsidRPr="00B12C59">
        <w:rPr>
          <w:rStyle w:val="Emphasis"/>
        </w:rPr>
        <w:t xml:space="preserve">the growth of </w:t>
      </w:r>
      <w:r w:rsidRPr="00AB5631">
        <w:rPr>
          <w:rStyle w:val="Emphasis"/>
          <w:highlight w:val="cyan"/>
        </w:rPr>
        <w:t xml:space="preserve">wage inequality </w:t>
      </w:r>
      <w:r w:rsidRPr="00B12C59">
        <w:rPr>
          <w:rStyle w:val="Emphasis"/>
        </w:rPr>
        <w:t xml:space="preserve">over the last four decades </w:t>
      </w:r>
      <w:r w:rsidRPr="00AB5631">
        <w:rPr>
          <w:rStyle w:val="Emphasis"/>
          <w:highlight w:val="cyan"/>
        </w:rPr>
        <w:t>has been the erosion of collective bargaining</w:t>
      </w:r>
      <w:r w:rsidRPr="00590584">
        <w:rPr>
          <w:rStyle w:val="Emphasis"/>
          <w:b w:val="0"/>
        </w:rPr>
        <w:t>.</w:t>
      </w:r>
      <w:hyperlink r:id="rId23" w:anchor="_note1" w:history="1">
        <w:r w:rsidRPr="00CB1458">
          <w:rPr>
            <w:rStyle w:val="Hyperlink"/>
            <w:sz w:val="16"/>
          </w:rPr>
          <w:t>1</w:t>
        </w:r>
      </w:hyperlink>
      <w:r w:rsidRPr="00CB1458">
        <w:rPr>
          <w:sz w:val="16"/>
        </w:rPr>
        <w:t xml:space="preserve"> Indeed, the only factor more responsible for weak wage growth for the typical worker is the excessive unemployment perpetrated by central bank policymakers’ high interest rate policies and fiscal austerity.</w:t>
      </w:r>
      <w:hyperlink r:id="rId24" w:anchor="_note2" w:history="1">
        <w:r w:rsidRPr="00CB1458">
          <w:rPr>
            <w:rStyle w:val="Hyperlink"/>
            <w:sz w:val="16"/>
          </w:rPr>
          <w:t>2</w:t>
        </w:r>
      </w:hyperlink>
      <w:r w:rsidRPr="00CB1458">
        <w:rPr>
          <w:sz w:val="16"/>
        </w:rPr>
        <w:t xml:space="preserve"> The share of workers covered by a collective bargaining agreement fell from 27.0% in 1979 to just 11.6% in 2019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w:t>
      </w:r>
      <w:hyperlink r:id="rId25" w:anchor="_note3" w:history="1">
        <w:r w:rsidRPr="00CB1458">
          <w:rPr>
            <w:rStyle w:val="Hyperlink"/>
            <w:sz w:val="16"/>
          </w:rPr>
          <w:t>3</w:t>
        </w:r>
      </w:hyperlink>
      <w:r w:rsidRPr="00CB1458">
        <w:rPr>
          <w:sz w:val="16"/>
        </w:rPr>
        <w:t xml:space="preserve"> Rebuilding collective bargaining is a necessary component of any policy agenda to reestablish robust wage growth for the vast majority of workers in the United States, and broader unionization would lessen racial inequities and benefit women at least as much as men</w:t>
      </w:r>
      <w:r w:rsidRPr="00590584">
        <w:rPr>
          <w:u w:val="single"/>
        </w:rPr>
        <w:t xml:space="preserve">. Recent research on trends in wages over the last four decades has demonstrated that: For the “typical” or median worker, declining unionization translates to a loss of $1.56 per hour worked, the equivalent of $3,250 for a full-time, full-year worker. The erosion of collective bargaining lowered the median hourly wage by $1.56, a 7.9% decline (0.2% annually), from 1979 to 2017. </w:t>
      </w:r>
      <w:proofErr w:type="spellStart"/>
      <w:r w:rsidRPr="00590584">
        <w:rPr>
          <w:u w:val="single"/>
        </w:rPr>
        <w:t>Deunionization</w:t>
      </w:r>
      <w:proofErr w:type="spellEnd"/>
      <w:r w:rsidRPr="00590584">
        <w:rPr>
          <w:u w:val="single"/>
        </w:rPr>
        <w:t xml:space="preserve"> lowered the male median hourly wage by $2.49, an 11.6% (0.29% annual) decline, over the 1979–2017 period. These losses from </w:t>
      </w:r>
      <w:proofErr w:type="spellStart"/>
      <w:r w:rsidRPr="00590584">
        <w:rPr>
          <w:u w:val="single"/>
        </w:rPr>
        <w:t>deunionization</w:t>
      </w:r>
      <w:proofErr w:type="spellEnd"/>
      <w:r w:rsidRPr="00590584">
        <w:rPr>
          <w:u w:val="single"/>
        </w:rPr>
        <w:t xml:space="preserve"> are the equivalent of annual losses for a full-time, full-year median worker and median male worker, respectively, of $3,250 and $5,171. This impact is due to both the direct effect on wages of union workers and the spillover effect on wages of nonunion workers. Declining unionization widened inequality between high-wage earners and middle-wage earners.</w:t>
      </w:r>
      <w:r w:rsidRPr="00CB1458">
        <w:rPr>
          <w:sz w:val="16"/>
        </w:rPr>
        <w:t xml:space="preserve"> </w:t>
      </w:r>
      <w:proofErr w:type="spellStart"/>
      <w:r w:rsidRPr="00CB1458">
        <w:rPr>
          <w:sz w:val="16"/>
        </w:rPr>
        <w:t>Deunionization</w:t>
      </w:r>
      <w:proofErr w:type="spellEnd"/>
      <w:r w:rsidRPr="00CB1458">
        <w:rPr>
          <w:sz w:val="16"/>
        </w:rPr>
        <w:t xml:space="preserve"> widened the 90/50 wage gap (the gap between earners at the 90th percentile of the wage distribution and the 50th percentile, measured in logs) by 7.7 points and therefore explains 33.1% of the 23.2 point growth of the wage gap between high- and middle-wage earners over the 1979–2017 period. </w:t>
      </w:r>
      <w:proofErr w:type="spellStart"/>
      <w:r w:rsidRPr="00CB1458">
        <w:rPr>
          <w:sz w:val="16"/>
        </w:rPr>
        <w:t>Deunionization</w:t>
      </w:r>
      <w:proofErr w:type="spellEnd"/>
      <w:r w:rsidRPr="00CB1458">
        <w:rPr>
          <w:sz w:val="16"/>
        </w:rPr>
        <w:t xml:space="preserve"> has this result because it depressed the wages of middle-wage earners but had little impact on high-wage earners at the 90th percentile. </w:t>
      </w:r>
      <w:r w:rsidRPr="00590584">
        <w:rPr>
          <w:u w:val="single"/>
        </w:rPr>
        <w:t xml:space="preserve">Unions disproportionately benefit those with low and moderate wages, those with lower levels of education, and nonwhites, and this has been the case since the birth of the modern labor movement in the New Deal. The erosion of collective bargaining, correspondingly, has therefore increased wage inequality. Collective bargaining increases and equalizes wages for union workers and nonunion workers in unionized occupations and sectors Researchers have long demonstrated the connection between being represented by a union and earning higher wages. This advantage, called the “union wage premium,” measures the percent difference between the wages of unionized workers and those of nonunionized workers with the same characteristics. </w:t>
      </w:r>
      <w:r w:rsidRPr="00CB1458">
        <w:rPr>
          <w:sz w:val="16"/>
        </w:rPr>
        <w:t>That collective bargaining also leads to more equal wage outcomes was firmly established by Richard Freeman and James Medoff in the late 1970s and popularized in their important 1984 book, What Do Unions Do? (Jake Rosenfeld’s 2014 book, What Unions No Longer Do, provides an update of the issues). Of primary importance are the ways in which collective bargaining leads to more equal wage outcomes among unionized workers and in unionized industries and occupations.</w:t>
      </w:r>
      <w:hyperlink r:id="rId26" w:anchor="_note4" w:history="1">
        <w:r w:rsidRPr="00CB1458">
          <w:rPr>
            <w:rStyle w:val="Hyperlink"/>
            <w:sz w:val="16"/>
          </w:rPr>
          <w:t>4</w:t>
        </w:r>
      </w:hyperlink>
      <w:r w:rsidRPr="00CB1458">
        <w:rPr>
          <w:sz w:val="16"/>
        </w:rPr>
        <w:t xml:space="preserve"> First, unions make wage differences between occupations more equal because they give a larger wage boost to low- and middle-wage occupations than to high-wage occupations. Second, unions make wages of workers with similar characteristics more equal because wages are “standardized” in union settings, meaning that wages are set for particular types of work and do not vary much across people doing the same work, at least not to the same degree as in nonunion settings. Third, unions have historically been more likely to organize middle-wage than high-wage workers, thereby lowering inequality by closing gaps between, say, blue-collar and white-collar workers.</w:t>
      </w:r>
      <w:hyperlink r:id="rId27" w:anchor="_note5" w:history="1">
        <w:r w:rsidRPr="00CB1458">
          <w:rPr>
            <w:rStyle w:val="Hyperlink"/>
            <w:sz w:val="16"/>
          </w:rPr>
          <w:t>5</w:t>
        </w:r>
      </w:hyperlink>
      <w:r w:rsidRPr="00CB1458">
        <w:rPr>
          <w:sz w:val="16"/>
        </w:rPr>
        <w:t xml:space="preserve"> Last, where unions are strong the wages of comparable nonunion workers are also increased.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This pattern of wage increases narrows wage inequalities. That unions have disproportionately benefited Black workers and workers with low and moderate wage levels and lower levels of education has been true as far back as the 1940s (Farber et al. 2018). The union impact on inequality is even greater when measured with total compensation (wages plus benefits) than with wages alone (Pierce 1999). </w:t>
      </w:r>
      <w:r w:rsidRPr="00AB5631">
        <w:rPr>
          <w:b/>
          <w:bCs/>
          <w:u w:val="single"/>
        </w:rPr>
        <w:t xml:space="preserve">Research from the early 1990s </w:t>
      </w:r>
      <w:r w:rsidRPr="00B12C59">
        <w:rPr>
          <w:b/>
          <w:bCs/>
          <w:u w:val="single"/>
        </w:rPr>
        <w:t xml:space="preserve">documented that the erosion of collective bargaining </w:t>
      </w:r>
      <w:r w:rsidRPr="00AB5631">
        <w:rPr>
          <w:b/>
          <w:bCs/>
          <w:highlight w:val="cyan"/>
          <w:u w:val="single"/>
        </w:rPr>
        <w:t xml:space="preserve">was responsible for around a fifth of the rise in wage inequality </w:t>
      </w:r>
      <w:r w:rsidRPr="00B12C59">
        <w:rPr>
          <w:b/>
          <w:bCs/>
          <w:u w:val="single"/>
        </w:rPr>
        <w:t>among men</w:t>
      </w:r>
      <w:r w:rsidRPr="00B12C59">
        <w:rPr>
          <w:u w:val="single"/>
        </w:rPr>
        <w:t xml:space="preserve"> in the 1980s (Card 1991; DiNardo, Fortin, and Lemieux 1996; Freeman 1991) but had </w:t>
      </w:r>
      <w:r w:rsidRPr="00B12C59">
        <w:rPr>
          <w:b/>
          <w:bCs/>
          <w:u w:val="single"/>
        </w:rPr>
        <w:t>a more modest impact among women.</w:t>
      </w:r>
      <w:r w:rsidRPr="00AB5631">
        <w:rPr>
          <w:b/>
          <w:bCs/>
          <w:u w:val="single"/>
        </w:rPr>
        <w:t xml:space="preserve"> </w:t>
      </w:r>
      <w:r w:rsidRPr="00AB5631">
        <w:rPr>
          <w:b/>
          <w:bCs/>
          <w:highlight w:val="cyan"/>
          <w:u w:val="single"/>
        </w:rPr>
        <w:t>Widespread collective bargaining has a ‘spillover’ effect on nonunion wages</w:t>
      </w:r>
      <w:r w:rsidRPr="00AB5631">
        <w:rPr>
          <w:b/>
          <w:bCs/>
          <w:u w:val="single"/>
        </w:rPr>
        <w:t>—</w:t>
      </w:r>
      <w:r w:rsidRPr="00B12C59">
        <w:rPr>
          <w:b/>
          <w:bCs/>
          <w:u w:val="single"/>
        </w:rPr>
        <w:t>it increases and equalizes wages for all workers</w:t>
      </w:r>
      <w:r w:rsidRPr="00CF0AB4">
        <w:rPr>
          <w:b/>
          <w:bCs/>
          <w:u w:val="single"/>
        </w:rPr>
        <w:t xml:space="preserve">. Recent research assessing the impact of unions on nonunion workers’ wages—sometimes referred to as </w:t>
      </w:r>
      <w:r w:rsidRPr="006A144C">
        <w:rPr>
          <w:b/>
          <w:bCs/>
          <w:u w:val="single"/>
        </w:rPr>
        <w:t>“spillover effects”—</w:t>
      </w:r>
      <w:r w:rsidRPr="00CF0AB4">
        <w:rPr>
          <w:b/>
          <w:bCs/>
          <w:u w:val="single"/>
        </w:rPr>
        <w:t xml:space="preserve">finds </w:t>
      </w:r>
      <w:r w:rsidRPr="00AB5631">
        <w:rPr>
          <w:b/>
          <w:bCs/>
          <w:highlight w:val="cyan"/>
          <w:u w:val="single"/>
        </w:rPr>
        <w:t xml:space="preserve">an even larger impact of </w:t>
      </w:r>
      <w:proofErr w:type="spellStart"/>
      <w:r w:rsidRPr="00AB5631">
        <w:rPr>
          <w:b/>
          <w:bCs/>
          <w:highlight w:val="cyan"/>
          <w:u w:val="single"/>
        </w:rPr>
        <w:t>deunionization</w:t>
      </w:r>
      <w:proofErr w:type="spellEnd"/>
      <w:r w:rsidRPr="00AB5631">
        <w:rPr>
          <w:b/>
          <w:bCs/>
          <w:highlight w:val="cyan"/>
          <w:u w:val="single"/>
        </w:rPr>
        <w:t xml:space="preserve"> on wage inequality.</w:t>
      </w:r>
      <w:r w:rsidRPr="00CB1458">
        <w:rPr>
          <w:b/>
          <w:bCs/>
          <w:sz w:val="16"/>
        </w:rPr>
        <w:t xml:space="preserve"> </w:t>
      </w:r>
      <w:r w:rsidRPr="00CB1458">
        <w:rPr>
          <w:sz w:val="16"/>
        </w:rPr>
        <w:t>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w:t>
      </w:r>
      <w:hyperlink r:id="rId28" w:anchor="_note6" w:history="1">
        <w:r w:rsidRPr="00CB1458">
          <w:rPr>
            <w:rStyle w:val="Hyperlink"/>
            <w:sz w:val="16"/>
          </w:rPr>
          <w:t>6</w:t>
        </w:r>
      </w:hyperlink>
      <w:r w:rsidRPr="00CB1458">
        <w:rPr>
          <w:sz w:val="16"/>
        </w:rPr>
        <w:t xml:space="preserve">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w:t>
      </w:r>
      <w:hyperlink r:id="rId29" w:anchor="_note7" w:history="1">
        <w:r w:rsidRPr="00CB1458">
          <w:rPr>
            <w:rStyle w:val="Hyperlink"/>
            <w:sz w:val="16"/>
          </w:rPr>
          <w:t>7</w:t>
        </w:r>
      </w:hyperlink>
      <w:r w:rsidRPr="00CB1458">
        <w:rPr>
          <w:sz w:val="16"/>
        </w:rPr>
        <w:t xml:space="preserve"> About a third of the growth in the 90/50 wage gap and other key inequality measures can be explained by the decline of unions 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4C30E5BD" w14:textId="77777777" w:rsidR="00043739" w:rsidRPr="000A33D4" w:rsidRDefault="00043739" w:rsidP="00043739">
      <w:r w:rsidRPr="000A33D4">
        <w:t>[TABLE 1 OMITTED]</w:t>
      </w:r>
    </w:p>
    <w:p w14:paraId="0AEA6DD6" w14:textId="77777777" w:rsidR="00043739" w:rsidRPr="00CB1458" w:rsidRDefault="00043739" w:rsidP="00043739">
      <w:pPr>
        <w:rPr>
          <w:sz w:val="16"/>
        </w:rPr>
      </w:pPr>
      <w:r w:rsidRPr="00CB1458">
        <w:rPr>
          <w:sz w:val="16"/>
        </w:rPr>
        <w:t>The erosion of unions (column 3) can explain from 28.8% to 36.7% of the growth of male wage inequality as commonly measured, respectively, by the standard deviation of log wages and the Gini coefficient</w:t>
      </w:r>
      <w:r w:rsidRPr="00B12C59">
        <w:rPr>
          <w:sz w:val="16"/>
        </w:rPr>
        <w:t xml:space="preserve">. </w:t>
      </w:r>
      <w:r w:rsidRPr="00B12C59">
        <w:rPr>
          <w:b/>
          <w:bCs/>
          <w:u w:val="single"/>
        </w:rPr>
        <w:t xml:space="preserve">The most salient finding is that over the 1979–2017 period </w:t>
      </w:r>
      <w:r w:rsidRPr="00ED0222">
        <w:rPr>
          <w:b/>
          <w:bCs/>
          <w:highlight w:val="cyan"/>
          <w:u w:val="single"/>
        </w:rPr>
        <w:t>eroded unionization explains 37.3% of the growth of the 90/50 wage gap for men</w:t>
      </w:r>
      <w:r w:rsidRPr="00ED0222">
        <w:rPr>
          <w:sz w:val="16"/>
          <w:highlight w:val="cyan"/>
        </w:rPr>
        <w:t>,</w:t>
      </w:r>
      <w:r w:rsidRPr="00B12C59">
        <w:rPr>
          <w:sz w:val="16"/>
        </w:rPr>
        <w:t xml:space="preserve"> which is the only source of growing wage inequality among men in the bottom 90% of earners. The authors found a smaller impact of eroded unions on women’s wage inequality;</w:t>
      </w:r>
      <w:r w:rsidRPr="00CB1458">
        <w:rPr>
          <w:sz w:val="16"/>
        </w:rPr>
        <w:t xml:space="preserve">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 We can examine the impact of </w:t>
      </w:r>
      <w:proofErr w:type="spellStart"/>
      <w:r w:rsidRPr="00CB1458">
        <w:rPr>
          <w:sz w:val="16"/>
        </w:rPr>
        <w:t>deunionization</w:t>
      </w:r>
      <w:proofErr w:type="spellEnd"/>
      <w:r w:rsidRPr="00CB1458">
        <w:rPr>
          <w:sz w:val="16"/>
        </w:rPr>
        <w:t xml:space="preserve"> on the median and the 90th percentile wage levels for men and women combined from 1979 to 2017 using an (unpublished) analysis by Thomas Lemieux, who relied on the model in Fortin, Lemieux, and Lloyd (2021). </w:t>
      </w:r>
      <w:proofErr w:type="spellStart"/>
      <w:r w:rsidRPr="00CB1458">
        <w:rPr>
          <w:sz w:val="16"/>
        </w:rPr>
        <w:t>Deunionization</w:t>
      </w:r>
      <w:proofErr w:type="spellEnd"/>
      <w:r w:rsidRPr="00CB1458">
        <w:rPr>
          <w:sz w:val="16"/>
        </w:rPr>
        <w:t xml:space="preserve"> widened the log 90/50 wage gap (the inequality in the top half of the wage structure) by 7.7 log points from 1979 to 2017. This increase in the size of the gap came about almost entirely by reducing the median hourly wage by 7.6 log points, or, equivalently, by 7.9% (0.2% annually) over the 1979–2017 period. The impact on men alone is much larger, with </w:t>
      </w:r>
      <w:proofErr w:type="spellStart"/>
      <w:r w:rsidRPr="00CB1458">
        <w:rPr>
          <w:sz w:val="16"/>
        </w:rPr>
        <w:t>deunionization</w:t>
      </w:r>
      <w:proofErr w:type="spellEnd"/>
      <w:r w:rsidRPr="00CB1458">
        <w:rPr>
          <w:sz w:val="16"/>
        </w:rPr>
        <w:t xml:space="preserve"> lowering the male median wage by 10.9 log points, or 11.6% (0.29% annually). Because we know that the 90/50 wage gap grew 23.2 log points over the 1979–2017 period, we can compute that the 7.7 log point effect of </w:t>
      </w:r>
      <w:proofErr w:type="spellStart"/>
      <w:r w:rsidRPr="00CB1458">
        <w:rPr>
          <w:sz w:val="16"/>
        </w:rPr>
        <w:t>deunionization</w:t>
      </w:r>
      <w:proofErr w:type="spellEnd"/>
      <w:r w:rsidRPr="00CB1458">
        <w:rPr>
          <w:sz w:val="16"/>
        </w:rPr>
        <w:t xml:space="preserve"> explains 33.1% of the growth of the 90/50 wage gap. This impact of eroded collective bargaining lowered the median hourly wage by $1.56 over the 1979–2017 period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w:t>
      </w:r>
      <w:proofErr w:type="spellStart"/>
      <w:r w:rsidRPr="00CB1458">
        <w:rPr>
          <w:sz w:val="16"/>
        </w:rPr>
        <w:t>deunionization</w:t>
      </w:r>
      <w:proofErr w:type="spellEnd"/>
      <w:r w:rsidRPr="00CB1458">
        <w:rPr>
          <w:sz w:val="16"/>
        </w:rPr>
        <w:t xml:space="preserve"> are the equivalent of annual losses for a full-time, full-year median worker and comparable male worker, respectively, of $3,250 and $5,171.</w:t>
      </w:r>
    </w:p>
    <w:p w14:paraId="5E846CFA" w14:textId="77777777" w:rsidR="00043739" w:rsidRPr="000A33D4" w:rsidRDefault="00043739" w:rsidP="00043739">
      <w:r w:rsidRPr="000A33D4">
        <w:t>[FIGURE A &amp; FIGURE B OMITTED]</w:t>
      </w:r>
    </w:p>
    <w:p w14:paraId="05495B4F" w14:textId="65FD0722" w:rsidR="00043739" w:rsidRDefault="00043739" w:rsidP="0028037C">
      <w:pPr>
        <w:pStyle w:val="NormalWeb"/>
        <w:shd w:val="clear" w:color="auto" w:fill="FFFFFF"/>
        <w:spacing w:before="0" w:beforeAutospacing="0" w:after="0" w:afterAutospacing="0"/>
        <w:textAlignment w:val="baseline"/>
        <w:rPr>
          <w:b/>
          <w:bCs/>
          <w:u w:val="single"/>
        </w:rPr>
      </w:pPr>
      <w:r w:rsidRPr="006A144C">
        <w:rPr>
          <w:sz w:val="12"/>
        </w:rPr>
        <w:t xml:space="preserve">The Fortin, Lemieux, and Lloyd (2021) results are very comparable to those of Stansbury and Summers (2020). In particular, we have benchmarked the Fortin, Lemieux, and Lloyd estimates of the impact of </w:t>
      </w:r>
      <w:proofErr w:type="spellStart"/>
      <w:r w:rsidRPr="006A144C">
        <w:rPr>
          <w:sz w:val="12"/>
        </w:rPr>
        <w:t>deunionization</w:t>
      </w:r>
      <w:proofErr w:type="spellEnd"/>
      <w:r w:rsidRPr="006A144C">
        <w:rPr>
          <w:sz w:val="12"/>
        </w:rPr>
        <w:t xml:space="preserve"> on the median wage with the estimate of Stansbury and Summers of the impact on the wages of workers without a college degree. Once one aligns the time periods, one finds that the Stansbury and Summers estimate is even larger.</w:t>
      </w:r>
      <w:hyperlink r:id="rId30" w:anchor="_note8" w:history="1">
        <w:r w:rsidRPr="006A144C">
          <w:rPr>
            <w:rStyle w:val="Hyperlink"/>
            <w:sz w:val="12"/>
          </w:rPr>
          <w:t>8</w:t>
        </w:r>
      </w:hyperlink>
      <w:r w:rsidRPr="006A144C">
        <w:rPr>
          <w:sz w:val="12"/>
        </w:rPr>
        <w:t xml:space="preserve"> The Fortin, Lemieux, and Lloyd results for how much </w:t>
      </w:r>
      <w:proofErr w:type="spellStart"/>
      <w:r w:rsidRPr="006A144C">
        <w:rPr>
          <w:sz w:val="12"/>
        </w:rPr>
        <w:t>deunionization</w:t>
      </w:r>
      <w:proofErr w:type="spellEnd"/>
      <w:r w:rsidRPr="006A144C">
        <w:rPr>
          <w:sz w:val="12"/>
        </w:rPr>
        <w:t xml:space="preserve"> explains the growth of wage inequality also align with those by Western and Rosenfeld (2011).</w:t>
      </w:r>
      <w:hyperlink r:id="rId31" w:anchor="_note9" w:history="1">
        <w:r w:rsidRPr="006A144C">
          <w:rPr>
            <w:rStyle w:val="Hyperlink"/>
            <w:sz w:val="12"/>
          </w:rPr>
          <w:t>9</w:t>
        </w:r>
      </w:hyperlink>
      <w:r w:rsidRPr="006A144C">
        <w:rPr>
          <w:sz w:val="12"/>
        </w:rPr>
        <w:t xml:space="preserve"> Midcentury unions were a powerful force for greater equality 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 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w:t>
      </w:r>
      <w:hyperlink r:id="rId32" w:anchor="_note10" w:history="1">
        <w:r w:rsidRPr="006A144C">
          <w:rPr>
            <w:rStyle w:val="Hyperlink"/>
            <w:sz w:val="12"/>
          </w:rPr>
          <w:t>10</w:t>
        </w:r>
      </w:hyperlink>
      <w:r w:rsidRPr="006A144C">
        <w:rPr>
          <w:sz w:val="12"/>
        </w:rPr>
        <w:t xml:space="preserve"> Worker preferences and automation are not the cause of union decline 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Neither contention—that workers no longer care for unions or that automation is what led to union decline—is well founded. Kochan et al. (2018) examined the level of interest in joining a union among unorganized workers and found that the “demand for unions” has risen substantially since the late 1970s. Kochan and Kimball (2019) described these results as differences in the percentage of non-union workers who indicated a preference for union representation in nationally representative surveys in 1977, 1995, and 2017. Note that the 1977 and 1995 results were nearly identical: approximately one third of the non-union workforce indicated they would vote to have union representation if given an opportunity to do so on their current job. In 2017 that number increased to 48 percent. This number translates into an under-representation of unions of approximately 58 million workers. These findings indicate that there has continuously been a large unmet demand for collective bargaining over the last four decades. As for the role of globalization and automation in union decline, Mishel, Rhinehart, and Windham (2020) found that the shrinkage of manufacturing from ongoing automation and globalization indeed contributed to the shrinkage of employment and the loss of union jobs, but the declines in that sector can account for only a small portion of </w:t>
      </w:r>
      <w:proofErr w:type="spellStart"/>
      <w:r w:rsidRPr="006A144C">
        <w:rPr>
          <w:sz w:val="12"/>
        </w:rPr>
        <w:t>deunionization</w:t>
      </w:r>
      <w:proofErr w:type="spellEnd"/>
      <w:r w:rsidRPr="006A144C">
        <w:rPr>
          <w:sz w:val="12"/>
        </w:rPr>
        <w:t xml:space="preserve">, perhaps 15–20%. They also note that the share of workers covered by collective bargaining declined strongly across the private sector in industries not heavily affected by globalization, such as construction, transportation, communications, utilities, supermarkets, hotels, and mining. So, any focus solely on manufacturing will not capture the full picture of union decline. Moreover, the erosion of unions in manufacturing is not due only to automation and globalization. An </w:t>
      </w:r>
      <w:proofErr w:type="spellStart"/>
      <w:r w:rsidRPr="006A144C">
        <w:rPr>
          <w:sz w:val="12"/>
        </w:rPr>
        <w:t>Organisation</w:t>
      </w:r>
      <w:proofErr w:type="spellEnd"/>
      <w:r w:rsidRPr="006A144C">
        <w:rPr>
          <w:sz w:val="12"/>
        </w:rPr>
        <w:t xml:space="preserve">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 This conclusion confirmed an earlier finding by Schmitt and </w:t>
      </w:r>
      <w:proofErr w:type="spellStart"/>
      <w:r w:rsidRPr="006A144C">
        <w:rPr>
          <w:sz w:val="12"/>
        </w:rPr>
        <w:t>Mitukiewicz</w:t>
      </w:r>
      <w:proofErr w:type="spellEnd"/>
      <w:r w:rsidRPr="006A144C">
        <w:rPr>
          <w:sz w:val="12"/>
        </w:rPr>
        <w:t xml:space="preserve"> (2012) that “national politics are a more important determinant of recent trends in unionization than globalization or technological change.” Then why has collective bargaining eroded? The primary reason was a concerted corporate attack on unions, starting in the 1970s, that exploited weaknesses in our labor laws to suppress the ability of workers to choose collective bargaining and organize (Windham 2017). The scale of union organizing collapsed dramatically in that decade as the share of nonagricultural workers in private-sector National Labor Relations Board elections fell from 1.0% to 1.2% each year in the 1950s and 1960s to just 0.3% each year in the 1980s and to 0.1% each year in the early 2000s (Mishel, Rhinehart, and Windham 2020). As Windham (2017) documents, this collapse of organizing was due to increased employer aggressiveness and use of both legal and illegal tactics, including captive audience meetings (meetings delivering anti-union messages that employees must attend or else be disciplined or fired), threats of shutdowns or relocation, firing of union organizers, use of a rapidly expanded group of anti-union consultants, and process delays. McNicholas et al. (2019), analyzing union representation elections that took place in 2016–2017 and building on earlier work by Bronfenbrenner (2009), documented the current pervasive lawlessness prevailing in union organizing attempts: Employers are charged with violating federal law in 41.5% of all union election campaigns. And one out of five union election campaigns involves a charge that a worker was illegally fired for union activity. Employers are charged with making threats, engaging in surveillance activities, or harassing workers in nearly a third of all union election campaigns. Other developments, enabled by employer aggressiveness and changes in the rules governing collective bargaining, limited collective bargaining power by eroding coverage and weakening unions’ ability to strike (Mishel, Rhinehart, and Windham 2020). Conclusion: Widening wage inequality is a policy decision that can be reversed Between 1979 and 2017 the growth of productivity (net of depreciation) grew far faster than the inflation-adjusted growth of hourly compensation (wages and benefits) of the typical, or median, worker (Mishel and Bivens 2021). This divergence is the consequence of policy decisions made on behalf of wealthy interests and corporations, and they include acts of omission (failing to raise the minimum wage or improve labor law) and commission (the Federal Reserve targeting inflation goals and raising interest rates in a way that leads to excessive unemployment to restrain wage growth and policymakers pursuing corporate-driven globalization). In other words, wage growth has been greatly directed by policy decisions and is a political variable. It responds—robustly—to big policy changes. Policymakers can deliver prosperity to the vast majority of U.S. workers based on faster wage growth</w:t>
      </w:r>
      <w:r w:rsidRPr="004E7C0B">
        <w:rPr>
          <w:sz w:val="12"/>
        </w:rPr>
        <w:t xml:space="preserve">. </w:t>
      </w:r>
      <w:r w:rsidRPr="004E7C0B">
        <w:rPr>
          <w:b/>
          <w:bCs/>
          <w:u w:val="single"/>
        </w:rPr>
        <w:t>Whether workers obtain a fair share of the economy’s gains in the future will depend not so much on abstract forces beyond their control but on demanding that their political representatives restore bargaining power to workers, individually and collectively</w:t>
      </w:r>
      <w:r w:rsidRPr="00B12C59">
        <w:rPr>
          <w:b/>
          <w:bCs/>
          <w:u w:val="single"/>
        </w:rPr>
        <w:t>.</w:t>
      </w:r>
      <w:r w:rsidRPr="00590584">
        <w:rPr>
          <w:b/>
          <w:bCs/>
          <w:u w:val="single"/>
        </w:rPr>
        <w:t xml:space="preserve"> </w:t>
      </w:r>
      <w:r w:rsidRPr="00995569">
        <w:rPr>
          <w:b/>
          <w:bCs/>
          <w:highlight w:val="cyan"/>
          <w:u w:val="single"/>
        </w:rPr>
        <w:t xml:space="preserve">Legislation that expands collective bargaining </w:t>
      </w:r>
      <w:r w:rsidRPr="00995569">
        <w:rPr>
          <w:b/>
          <w:bCs/>
          <w:u w:val="single"/>
        </w:rPr>
        <w:t xml:space="preserve">by enabling workers to choose union representation and strengthens union rights </w:t>
      </w:r>
      <w:r w:rsidRPr="00995569">
        <w:rPr>
          <w:b/>
          <w:bCs/>
          <w:highlight w:val="cyan"/>
          <w:u w:val="single"/>
        </w:rPr>
        <w:t>is critically important to the enterprise of restoring robust wage growth.</w:t>
      </w:r>
      <w:r w:rsidRPr="00590584">
        <w:rPr>
          <w:b/>
          <w:bCs/>
          <w:u w:val="single"/>
        </w:rPr>
        <w:t xml:space="preserve"> </w:t>
      </w:r>
    </w:p>
    <w:p w14:paraId="36F59FFB" w14:textId="77777777" w:rsidR="0028037C" w:rsidRPr="0028037C" w:rsidRDefault="0028037C" w:rsidP="0028037C">
      <w:pPr>
        <w:pStyle w:val="NormalWeb"/>
        <w:shd w:val="clear" w:color="auto" w:fill="FFFFFF"/>
        <w:spacing w:before="0" w:beforeAutospacing="0" w:after="0" w:afterAutospacing="0"/>
        <w:textAlignment w:val="baseline"/>
        <w:rPr>
          <w:b/>
          <w:bCs/>
          <w:u w:val="single"/>
        </w:rPr>
      </w:pPr>
    </w:p>
    <w:p w14:paraId="38F74CEC" w14:textId="306EAB2C" w:rsidR="00F45F59" w:rsidRPr="00F45F59" w:rsidRDefault="00F45F59" w:rsidP="00F45F59">
      <w:pPr>
        <w:pStyle w:val="Heading4"/>
      </w:pPr>
      <w:r>
        <w:t xml:space="preserve">Recent reductions in </w:t>
      </w:r>
      <w:r w:rsidR="0002269C">
        <w:t>in</w:t>
      </w:r>
      <w:r>
        <w:t xml:space="preserve">equality are </w:t>
      </w:r>
      <w:r>
        <w:rPr>
          <w:u w:val="single"/>
        </w:rPr>
        <w:t xml:space="preserve">misleading </w:t>
      </w:r>
      <w:r>
        <w:t xml:space="preserve">– increasing union density undermines the </w:t>
      </w:r>
      <w:r w:rsidR="0028037C">
        <w:t>gap</w:t>
      </w:r>
      <w:r>
        <w:t xml:space="preserve"> between pay and productivity, leading to </w:t>
      </w:r>
      <w:r>
        <w:rPr>
          <w:u w:val="single"/>
        </w:rPr>
        <w:t>sustainable</w:t>
      </w:r>
      <w:r>
        <w:t xml:space="preserve"> reductions in economic inequality </w:t>
      </w:r>
    </w:p>
    <w:p w14:paraId="6A408AA3" w14:textId="77777777" w:rsidR="00043739" w:rsidRPr="00911B62" w:rsidRDefault="00043739" w:rsidP="00043739">
      <w:pPr>
        <w:rPr>
          <w:rFonts w:eastAsia="MS Mincho"/>
          <w:szCs w:val="24"/>
        </w:rPr>
      </w:pPr>
      <w:r w:rsidRPr="00911B62">
        <w:rPr>
          <w:rFonts w:eastAsia="MS Mincho"/>
          <w:b/>
          <w:sz w:val="26"/>
          <w:szCs w:val="24"/>
        </w:rPr>
        <w:t xml:space="preserve">Bivens et al. 25 </w:t>
      </w:r>
      <w:r w:rsidRPr="00911B62">
        <w:rPr>
          <w:rFonts w:eastAsia="MS Mincho"/>
          <w:szCs w:val="24"/>
        </w:rPr>
        <w:t xml:space="preserve">(Josh Bivens is an economist at the Economic Policy Institute, Elise Gould, Hilary Wething, Ben Zipperer, 3-17-2025, "Deliberate policy decisions have disempowered workers and increased labor market inequality", Briefing Book, https://www.briefingbook.info/p/deliberate-policy-decisions-have) //Rochester Ashaz </w:t>
      </w:r>
    </w:p>
    <w:p w14:paraId="49137E1C" w14:textId="77777777" w:rsidR="00043739" w:rsidRPr="00911B62" w:rsidRDefault="00043739" w:rsidP="00043739">
      <w:pPr>
        <w:rPr>
          <w:rFonts w:eastAsia="MS Mincho"/>
          <w:sz w:val="16"/>
          <w:szCs w:val="24"/>
        </w:rPr>
      </w:pPr>
      <w:r w:rsidRPr="00911B62">
        <w:rPr>
          <w:rFonts w:eastAsia="MS Mincho"/>
          <w:sz w:val="16"/>
          <w:szCs w:val="24"/>
        </w:rPr>
        <w:t xml:space="preserve">Rising inequality has been a major social and economic problem for the United States for decades. The policy agenda to stop or even reverse this inequality must start with a clear understanding of what drove it. In our view, inequality has come from the labor market, and more particularly from a range of intentional policy decisions that disempowered typical workers when they have sought wage increases from employers. In an effort to disseminate facts about labor market trends more broadly, the Economic Policy Institute has constructed the </w:t>
      </w:r>
      <w:hyperlink r:id="rId33" w:history="1">
        <w:r w:rsidRPr="00911B62">
          <w:rPr>
            <w:rFonts w:eastAsia="MS Mincho"/>
            <w:sz w:val="16"/>
            <w:szCs w:val="24"/>
          </w:rPr>
          <w:t>State of Working America Data Library</w:t>
        </w:r>
      </w:hyperlink>
      <w:r w:rsidRPr="00911B62">
        <w:rPr>
          <w:rFonts w:eastAsia="MS Mincho"/>
          <w:sz w:val="16"/>
          <w:szCs w:val="24"/>
        </w:rPr>
        <w:t xml:space="preserve">, which allows users to easily browse and collate detailed data on wages, incomes, and employment. We hope this tool fosters a broadly shared understanding of the labor market changes we need to achieve a fairer society. </w:t>
      </w:r>
      <w:r w:rsidRPr="00911B62">
        <w:rPr>
          <w:rFonts w:eastAsia="MS Mincho"/>
          <w:b/>
          <w:bCs/>
          <w:szCs w:val="24"/>
          <w:highlight w:val="cyan"/>
          <w:u w:val="single"/>
        </w:rPr>
        <w:t>Despite recent reductions in inequality</w:t>
      </w:r>
      <w:r w:rsidRPr="00911B62">
        <w:rPr>
          <w:rFonts w:eastAsia="MS Mincho"/>
          <w:b/>
          <w:bCs/>
          <w:szCs w:val="24"/>
          <w:u w:val="single"/>
        </w:rPr>
        <w:t xml:space="preserve">, decades of </w:t>
      </w:r>
      <w:r w:rsidRPr="00911B62">
        <w:rPr>
          <w:rFonts w:eastAsia="MS Mincho"/>
          <w:b/>
          <w:bCs/>
          <w:szCs w:val="24"/>
          <w:highlight w:val="cyan"/>
          <w:u w:val="single"/>
        </w:rPr>
        <w:t>policy failures fueled</w:t>
      </w:r>
      <w:r w:rsidRPr="00911B62">
        <w:rPr>
          <w:rFonts w:eastAsia="MS Mincho"/>
          <w:b/>
          <w:bCs/>
          <w:szCs w:val="24"/>
          <w:u w:val="single"/>
        </w:rPr>
        <w:t xml:space="preserve"> </w:t>
      </w:r>
      <w:r w:rsidRPr="00911B62">
        <w:rPr>
          <w:rFonts w:eastAsia="MS Mincho"/>
          <w:b/>
          <w:bCs/>
          <w:szCs w:val="24"/>
          <w:highlight w:val="cyan"/>
          <w:u w:val="single"/>
        </w:rPr>
        <w:t>public discontent and enabled billionaire public influence</w:t>
      </w:r>
      <w:r w:rsidRPr="00911B62">
        <w:rPr>
          <w:rFonts w:eastAsia="MS Mincho"/>
          <w:b/>
          <w:bCs/>
          <w:szCs w:val="24"/>
          <w:u w:val="single"/>
        </w:rPr>
        <w:t xml:space="preserve"> In any single year since 1979 there has been a maddening gap between what the U.S. economy could be delivering for working families and what it actually delivered. </w:t>
      </w:r>
      <w:r w:rsidRPr="00A32EC7">
        <w:rPr>
          <w:rFonts w:eastAsia="MS Mincho"/>
          <w:b/>
          <w:bCs/>
          <w:szCs w:val="24"/>
          <w:highlight w:val="cyan"/>
          <w:u w:val="single"/>
        </w:rPr>
        <w:t>The richest country in the history of the world has routinely failed to offer broad-based economic security</w:t>
      </w:r>
      <w:r w:rsidRPr="00911B62">
        <w:rPr>
          <w:rFonts w:eastAsia="MS Mincho"/>
          <w:b/>
          <w:bCs/>
          <w:szCs w:val="24"/>
          <w:u w:val="single"/>
        </w:rPr>
        <w:t xml:space="preserve"> and prosperity through a cascade of policy failures</w:t>
      </w:r>
      <w:r w:rsidRPr="00911B62">
        <w:rPr>
          <w:rFonts w:eastAsia="MS Mincho"/>
          <w:szCs w:val="24"/>
          <w:u w:val="single"/>
        </w:rPr>
        <w:t>.</w:t>
      </w:r>
      <w:r w:rsidRPr="00911B62">
        <w:rPr>
          <w:rFonts w:eastAsia="MS Mincho"/>
          <w:sz w:val="16"/>
          <w:szCs w:val="24"/>
        </w:rPr>
        <w:t xml:space="preserve"> This gap between the potential and the reality of what typical families eke out of the U.S. economy has shown up directly in skyrocketing incomes for the richest households. There is a strong case to be made that the 2024 economy—despite just being a few years clear of two global economic catastrophes (the COVID-19 pandemic and the Russian invasion of Ukraine) —had re-attained its pre-crisis performance in record time and in a way that directed more benefits to the lowest-paid workers. Yet the anxieties driven by the crisis, the unfamiliar burst of inflation, and a decades-long legacy of typical families rightly feeling they weren’t the main focus of policymakers made U.S. households extremely sour about the economy. </w:t>
      </w:r>
      <w:r w:rsidRPr="00911B62">
        <w:rPr>
          <w:rFonts w:eastAsia="MS Mincho"/>
          <w:szCs w:val="24"/>
          <w:u w:val="single"/>
        </w:rPr>
        <w:t>A fairer distribution of economic rewards in the decades before the crises might have made the public more optimistic about the rocky economic road of 2020-2024 and less willing to take a chance on the extreme policy shift that will come as a result of their election of Donald Trump. Further, a fairer distribution of economic rewards before the crisis would have meant far fewer billionaires able to buy their way into positions of extreme unaccountable power. Fewer billionaires would make it harder to cow politicians with threats to bring overwhelming financial force to bear in primary elections should anybody think about pushing back against this unaccountable power</w:t>
      </w:r>
      <w:r w:rsidRPr="00911B62">
        <w:rPr>
          <w:rFonts w:eastAsia="MS Mincho"/>
          <w:sz w:val="16"/>
          <w:szCs w:val="24"/>
        </w:rPr>
        <w:t xml:space="preserve">. If you care how income is distributed in the United States, you need to care about the health of the labor market. The labor market is how the vast majority of typical families earn the vast majority of their income. </w:t>
      </w:r>
      <w:r w:rsidRPr="00911B62">
        <w:rPr>
          <w:rFonts w:eastAsia="MS Mincho"/>
          <w:b/>
          <w:bCs/>
          <w:szCs w:val="24"/>
          <w:highlight w:val="cyan"/>
          <w:u w:val="single"/>
        </w:rPr>
        <w:t>A fairer distribution of national income will only happen if these labor markets work well for the vast majority</w:t>
      </w:r>
      <w:r w:rsidRPr="00911B62">
        <w:rPr>
          <w:rFonts w:eastAsia="MS Mincho"/>
          <w:sz w:val="16"/>
          <w:szCs w:val="24"/>
          <w:highlight w:val="cyan"/>
        </w:rPr>
        <w:t>.</w:t>
      </w:r>
      <w:r w:rsidRPr="00911B62">
        <w:rPr>
          <w:rFonts w:eastAsia="MS Mincho"/>
          <w:sz w:val="16"/>
          <w:szCs w:val="24"/>
        </w:rPr>
        <w:t xml:space="preserve"> As a </w:t>
      </w:r>
      <w:hyperlink r:id="rId34" w:history="1">
        <w:r w:rsidRPr="00911B62">
          <w:rPr>
            <w:rFonts w:eastAsia="MS Mincho"/>
            <w:sz w:val="16"/>
            <w:szCs w:val="24"/>
          </w:rPr>
          <w:t>new data tool</w:t>
        </w:r>
      </w:hyperlink>
      <w:r w:rsidRPr="00911B62">
        <w:rPr>
          <w:rFonts w:eastAsia="MS Mincho"/>
          <w:sz w:val="16"/>
          <w:szCs w:val="24"/>
        </w:rPr>
        <w:t xml:space="preserve"> released this month by the Economic Policy Institute shows, these labor markets have not been working well. This dysfunction has been caused by intentional policy decisions and it has had profound effects on our country. In what follows we sketch out how data made available by the new </w:t>
      </w:r>
      <w:hyperlink r:id="rId35" w:history="1">
        <w:r w:rsidRPr="00911B62">
          <w:rPr>
            <w:rFonts w:eastAsia="MS Mincho"/>
            <w:sz w:val="16"/>
            <w:szCs w:val="24"/>
          </w:rPr>
          <w:t>State of Working America Data Library</w:t>
        </w:r>
      </w:hyperlink>
      <w:r w:rsidRPr="00911B62">
        <w:rPr>
          <w:rFonts w:eastAsia="MS Mincho"/>
          <w:sz w:val="16"/>
          <w:szCs w:val="24"/>
        </w:rPr>
        <w:t xml:space="preserve"> supports our arguments above, and how valuable this data could be for those looking to understand and change how our economy works or doesn’t work for the vast majority. Economic anger in 2024 is puzzling from a short-run perspective but understandable in a broader historical context Real wage growth over the pandemic business cycle (2019-2024) was notable for how progressively it was distributed, with rates of growth becoming more rapid the further down the wage distribution one looks, as shown below in Figure A.</w:t>
      </w:r>
    </w:p>
    <w:p w14:paraId="0BD9CB6C" w14:textId="77777777" w:rsidR="00043739" w:rsidRPr="00911B62" w:rsidRDefault="00043739" w:rsidP="00043739">
      <w:pPr>
        <w:rPr>
          <w:rFonts w:eastAsia="MS Mincho"/>
          <w:szCs w:val="24"/>
        </w:rPr>
      </w:pPr>
      <w:r w:rsidRPr="00911B62">
        <w:rPr>
          <w:rFonts w:eastAsia="MS Mincho"/>
          <w:szCs w:val="24"/>
        </w:rPr>
        <w:t>[FIGURE A OMITTED]</w:t>
      </w:r>
    </w:p>
    <w:p w14:paraId="3D5D9A25" w14:textId="77777777" w:rsidR="00043739" w:rsidRPr="00911B62" w:rsidRDefault="00043739" w:rsidP="00043739">
      <w:pPr>
        <w:rPr>
          <w:rFonts w:eastAsia="MS Mincho"/>
          <w:szCs w:val="24"/>
        </w:rPr>
      </w:pPr>
      <w:r w:rsidRPr="00911B62">
        <w:rPr>
          <w:rFonts w:eastAsia="MS Mincho"/>
          <w:szCs w:val="24"/>
        </w:rPr>
        <w:t xml:space="preserve">However, this wage compression was highly unusual in historical context. As Gould et al (forthcoming) show, the wage compression between 2019 and 2024 was preceded by four decades of widening inequality from 1979 to 2019. Moreover, even after accounting for inflation, annual wage growth at the bottom and middle of the wage distribution was much faster in absolute terms over the last four years than it was in the preceding four decades. Annual real median wage growth in particular was twice as fast between 2019 and 2024 as it was between 1979 and 2019. The Current Population Survey (CPS) data which lies behind Figure A—which can be accessed from 1973 to 2024 </w:t>
      </w:r>
      <w:hyperlink r:id="rId36" w:history="1">
        <w:r w:rsidRPr="00911B62">
          <w:rPr>
            <w:rFonts w:eastAsia="MS Mincho"/>
            <w:szCs w:val="24"/>
          </w:rPr>
          <w:t>here</w:t>
        </w:r>
      </w:hyperlink>
      <w:r w:rsidRPr="00911B62">
        <w:rPr>
          <w:rFonts w:eastAsia="MS Mincho"/>
          <w:szCs w:val="24"/>
        </w:rPr>
        <w:t>— is useful for all sorts of purposes, but its main drawback is that “top-coding” of high incomes means it misses the full scope of how much income is made at the very top, and so it blunts presentations of just how unequal the U.S. economy has become and why that matters for typical workers and their families. Figure B takes another tack, charting the growth of workers’ compensation (wages and benefits) for production-nonsupervisory workers in the private sector and net labor productivity between 1948 and 2024. We choose to display average compensation trends for production/nonsupervisory workers rather than all workers because this group, which makes up around 80% of the workforce, excludes well-paid managerial roles like corporate executives, who have seen astronomical pay increases in recent decades. In our view production/nonsupervisory workers represent the “typical worker” more faithfully than an overall average. We use economy-wide labor productivity, inclusive of output from farms, government agencies and nonprofits, net of depreciation, in order to capture the potential growth in living standards for the entire economy. To ensure the growth of compensation and productivity is an apples-to-apples comparison, we use the same mixed-CPI series to deflate both measures, rather than a pay-specific one for compensation.</w:t>
      </w:r>
      <w:hyperlink r:id="rId37" w:anchor="footnote-1-159224583" w:tgtFrame="_self" w:history="1">
        <w:r w:rsidRPr="00911B62">
          <w:rPr>
            <w:rFonts w:eastAsia="MS Mincho"/>
            <w:szCs w:val="24"/>
          </w:rPr>
          <w:t>1</w:t>
        </w:r>
      </w:hyperlink>
    </w:p>
    <w:p w14:paraId="4AEF41DA" w14:textId="77777777" w:rsidR="00043739" w:rsidRPr="00911B62" w:rsidRDefault="00043739" w:rsidP="00043739">
      <w:pPr>
        <w:rPr>
          <w:rFonts w:eastAsia="MS Mincho"/>
          <w:szCs w:val="24"/>
        </w:rPr>
      </w:pPr>
      <w:r w:rsidRPr="00911B62">
        <w:rPr>
          <w:rFonts w:eastAsia="MS Mincho"/>
          <w:szCs w:val="24"/>
        </w:rPr>
        <w:t>[FIGURE B OMITTED]</w:t>
      </w:r>
    </w:p>
    <w:p w14:paraId="57BE1BD0" w14:textId="77777777" w:rsidR="00043739" w:rsidRPr="00911B62" w:rsidRDefault="00043739" w:rsidP="00043739">
      <w:pPr>
        <w:rPr>
          <w:rFonts w:eastAsia="MS Mincho"/>
          <w:sz w:val="16"/>
          <w:szCs w:val="24"/>
        </w:rPr>
      </w:pPr>
      <w:r w:rsidRPr="00911B62">
        <w:rPr>
          <w:rFonts w:eastAsia="MS Mincho"/>
          <w:szCs w:val="24"/>
          <w:u w:val="single"/>
        </w:rPr>
        <w:t>Between 1948 and the late 1970s, pay for the typical worker climbed together with productivity. However, since the late 1970s, workers have experienced a sharp divergence between the growth in their pay and that of labor productivity of the entire economy.</w:t>
      </w:r>
      <w:r w:rsidRPr="00911B62">
        <w:rPr>
          <w:rFonts w:eastAsia="MS Mincho"/>
          <w:b/>
          <w:bCs/>
          <w:szCs w:val="24"/>
          <w:u w:val="single"/>
        </w:rPr>
        <w:t xml:space="preserve"> In effect, </w:t>
      </w:r>
      <w:r w:rsidRPr="00911B62">
        <w:rPr>
          <w:rFonts w:eastAsia="MS Mincho"/>
          <w:b/>
          <w:bCs/>
          <w:szCs w:val="24"/>
          <w:highlight w:val="cyan"/>
          <w:u w:val="single"/>
        </w:rPr>
        <w:t>a good share of the potential growth in compensation</w:t>
      </w:r>
      <w:r w:rsidRPr="00911B62">
        <w:rPr>
          <w:rFonts w:eastAsia="MS Mincho"/>
          <w:b/>
          <w:bCs/>
          <w:szCs w:val="24"/>
          <w:u w:val="single"/>
        </w:rPr>
        <w:t xml:space="preserve">, as measured by productivity, </w:t>
      </w:r>
      <w:r w:rsidRPr="00911B62">
        <w:rPr>
          <w:rFonts w:eastAsia="MS Mincho"/>
          <w:b/>
          <w:bCs/>
          <w:szCs w:val="24"/>
          <w:highlight w:val="cyan"/>
          <w:u w:val="single"/>
        </w:rPr>
        <w:t>ended up in pockets that were not the typical worker</w:t>
      </w:r>
      <w:r w:rsidRPr="00911B62">
        <w:rPr>
          <w:rFonts w:eastAsia="MS Mincho"/>
          <w:sz w:val="16"/>
          <w:szCs w:val="24"/>
          <w:highlight w:val="cyan"/>
        </w:rPr>
        <w:t>.</w:t>
      </w:r>
      <w:r w:rsidRPr="00911B62">
        <w:rPr>
          <w:rFonts w:eastAsia="MS Mincho"/>
          <w:sz w:val="16"/>
          <w:szCs w:val="24"/>
        </w:rPr>
        <w:t xml:space="preserve"> While there has been some criticism that using average compensation for all workers instead of compensation for production/nonsupervisory workers would better capture “economy-wide” compensation, in our view this misses the point. </w:t>
      </w:r>
      <w:r w:rsidRPr="00911B62">
        <w:rPr>
          <w:rFonts w:eastAsia="MS Mincho"/>
          <w:szCs w:val="24"/>
          <w:u w:val="single"/>
        </w:rPr>
        <w:t>Incorporating the pay of managers and CEOS would lead to rising growth in compensation, likely close to on par with the growth in productivity, yet the fact that we see a wedge when they’re excluded shows that that growth was uneven, with managers, CEOs, and highly-privileged professional workers (think specialty doctors and corporate attorneys) taking the lion’s share of the potential pay generated by rising productivity. It’s possible then, that voter dissatisfaction with the economy in 2024 was pent-up frustration that built while inequality rose for decades</w:t>
      </w:r>
      <w:r w:rsidRPr="00911B62">
        <w:rPr>
          <w:rFonts w:eastAsia="MS Mincho"/>
          <w:sz w:val="16"/>
          <w:szCs w:val="24"/>
        </w:rPr>
        <w:t>. Why this frustration boiled over and became seemingly decisive in 2024 is a question for others, but profound dissatisfaction with how the U.S. economy delivers for the vast majority would not have been unreasonable in 2024 or any other year since the late 1970s. Who benefited from productivity growth if typical workers mostly didn’t? A natural question that arises from these data is just where did the “excess” productivity go if not to the paychecks of typical workers? A significant portion of it went to higher corporate profits and increased income accruing to capital and business owners. But most of it went to those at the very top of the wage distribution. As shown in Figure C, earnings for those at the top grew much faster than the average of the bottom 90% of earners. In fact, when the very top 0.1% of the earnings distribution is on the graph, the bottom looks incredibly flat: growth for the bottom 90 percent was 44% over this period, but growth for the top 0.1% was 354%.</w:t>
      </w:r>
      <w:hyperlink r:id="rId38" w:anchor="footnote-2-159224583" w:tgtFrame="_self" w:history="1">
        <w:r w:rsidRPr="00911B62">
          <w:rPr>
            <w:rFonts w:eastAsia="MS Mincho"/>
            <w:sz w:val="16"/>
            <w:szCs w:val="24"/>
          </w:rPr>
          <w:t>2</w:t>
        </w:r>
      </w:hyperlink>
    </w:p>
    <w:p w14:paraId="333DEFAD" w14:textId="77777777" w:rsidR="00043739" w:rsidRPr="00911B62" w:rsidRDefault="00043739" w:rsidP="00043739">
      <w:pPr>
        <w:rPr>
          <w:rFonts w:eastAsia="MS Mincho"/>
          <w:szCs w:val="24"/>
        </w:rPr>
      </w:pPr>
      <w:r w:rsidRPr="00911B62">
        <w:rPr>
          <w:rFonts w:eastAsia="MS Mincho"/>
          <w:szCs w:val="24"/>
        </w:rPr>
        <w:t>[FIGURE C OMITTED]</w:t>
      </w:r>
    </w:p>
    <w:p w14:paraId="6A209603" w14:textId="77777777" w:rsidR="00043739" w:rsidRPr="00911B62" w:rsidRDefault="00043739" w:rsidP="00043739">
      <w:pPr>
        <w:rPr>
          <w:rFonts w:eastAsia="MS Mincho"/>
          <w:sz w:val="16"/>
          <w:szCs w:val="24"/>
        </w:rPr>
      </w:pPr>
      <w:r w:rsidRPr="00911B62">
        <w:rPr>
          <w:rFonts w:eastAsia="MS Mincho"/>
          <w:sz w:val="16"/>
          <w:szCs w:val="24"/>
        </w:rPr>
        <w:t xml:space="preserve">If one wants to know how the top 0.1% claimed so much wealth and income in recent decades, simply look at the growing wedge between the productivity and pay lines on the previous figure. If you think this stratospheric rise in inequality of wages and incomes is bad for the American economy and society more generally, then you need to figure out how to make those productivity and pay lines move closer together. Again, our new data tool can help think through some of this. </w:t>
      </w:r>
      <w:r w:rsidRPr="00A32EC7">
        <w:rPr>
          <w:rFonts w:eastAsia="MS Mincho"/>
          <w:b/>
          <w:bCs/>
          <w:szCs w:val="24"/>
          <w:highlight w:val="cyan"/>
          <w:u w:val="single"/>
        </w:rPr>
        <w:t>Inequality came from the labor market</w:t>
      </w:r>
      <w:r w:rsidRPr="00911B62">
        <w:rPr>
          <w:rFonts w:eastAsia="MS Mincho"/>
          <w:b/>
          <w:bCs/>
          <w:szCs w:val="24"/>
          <w:u w:val="single"/>
        </w:rPr>
        <w:t xml:space="preserve"> – what can be done about it? </w:t>
      </w:r>
      <w:r w:rsidRPr="00A32EC7">
        <w:rPr>
          <w:rFonts w:eastAsia="MS Mincho"/>
          <w:b/>
          <w:bCs/>
          <w:szCs w:val="24"/>
          <w:highlight w:val="cyan"/>
          <w:u w:val="single"/>
        </w:rPr>
        <w:t>Moving pay and productivity closer together will</w:t>
      </w:r>
      <w:r w:rsidRPr="00911B62">
        <w:rPr>
          <w:rFonts w:eastAsia="MS Mincho"/>
          <w:b/>
          <w:bCs/>
          <w:szCs w:val="24"/>
          <w:u w:val="single"/>
        </w:rPr>
        <w:t xml:space="preserve"> </w:t>
      </w:r>
      <w:r w:rsidRPr="00911B62">
        <w:rPr>
          <w:rFonts w:eastAsia="MS Mincho"/>
          <w:b/>
          <w:bCs/>
          <w:szCs w:val="24"/>
          <w:highlight w:val="cyan"/>
          <w:u w:val="single"/>
        </w:rPr>
        <w:t>require</w:t>
      </w:r>
      <w:r w:rsidRPr="00911B62">
        <w:rPr>
          <w:rFonts w:eastAsia="MS Mincho"/>
          <w:b/>
          <w:bCs/>
          <w:szCs w:val="24"/>
          <w:u w:val="single"/>
        </w:rPr>
        <w:t xml:space="preserve"> a lot of </w:t>
      </w:r>
      <w:r w:rsidRPr="00911B62">
        <w:rPr>
          <w:rFonts w:eastAsia="MS Mincho"/>
          <w:b/>
          <w:bCs/>
          <w:szCs w:val="24"/>
          <w:highlight w:val="cyan"/>
          <w:u w:val="single"/>
        </w:rPr>
        <w:t>policy changes</w:t>
      </w:r>
      <w:r w:rsidRPr="00911B62">
        <w:rPr>
          <w:rFonts w:eastAsia="MS Mincho"/>
          <w:b/>
          <w:bCs/>
          <w:szCs w:val="24"/>
          <w:u w:val="single"/>
        </w:rPr>
        <w:t xml:space="preserve"> – but they are all united by the common root that they aim to </w:t>
      </w:r>
      <w:r w:rsidRPr="00911B62">
        <w:rPr>
          <w:rFonts w:eastAsia="MS Mincho"/>
          <w:b/>
          <w:bCs/>
          <w:szCs w:val="24"/>
          <w:highlight w:val="cyan"/>
          <w:u w:val="single"/>
        </w:rPr>
        <w:t>bolster the leverage and bargaining position of typical workers</w:t>
      </w:r>
      <w:r w:rsidRPr="00911B62">
        <w:rPr>
          <w:rFonts w:eastAsia="MS Mincho"/>
          <w:b/>
          <w:bCs/>
          <w:szCs w:val="24"/>
          <w:u w:val="single"/>
        </w:rPr>
        <w:t xml:space="preserve"> as they look to achieve higher wages. The most obvious way workers have historically exercised bargaining power in the labor market is through formal collective bargaining undertaken by unions that represented them. But unionization rates in recent decades have plummeted, </w:t>
      </w:r>
      <w:hyperlink r:id="rId39" w:history="1">
        <w:r w:rsidRPr="00911B62">
          <w:rPr>
            <w:rFonts w:eastAsia="MS Mincho"/>
            <w:b/>
            <w:bCs/>
            <w:szCs w:val="24"/>
            <w:u w:val="single"/>
          </w:rPr>
          <w:t>even as workers’ desires for representation have actually grown</w:t>
        </w:r>
      </w:hyperlink>
      <w:r w:rsidRPr="00911B62">
        <w:rPr>
          <w:rFonts w:eastAsia="MS Mincho"/>
          <w:b/>
          <w:bCs/>
          <w:szCs w:val="24"/>
          <w:u w:val="single"/>
        </w:rPr>
        <w:t xml:space="preserve">. Figure D below highlights this long-run decline in unionization, with its rise and falling </w:t>
      </w:r>
      <w:hyperlink r:id="rId40" w:history="1">
        <w:r w:rsidRPr="00911B62">
          <w:rPr>
            <w:rFonts w:eastAsia="MS Mincho"/>
            <w:b/>
            <w:bCs/>
            <w:szCs w:val="24"/>
            <w:u w:val="single"/>
          </w:rPr>
          <w:t>mirroring the fall and rise of inequality</w:t>
        </w:r>
      </w:hyperlink>
      <w:r w:rsidRPr="00911B62">
        <w:rPr>
          <w:rFonts w:eastAsia="MS Mincho"/>
          <w:b/>
          <w:bCs/>
          <w:szCs w:val="24"/>
          <w:u w:val="single"/>
        </w:rPr>
        <w:t>.</w:t>
      </w:r>
    </w:p>
    <w:p w14:paraId="7F27ECF1" w14:textId="77777777" w:rsidR="00043739" w:rsidRPr="00911B62" w:rsidRDefault="00043739" w:rsidP="00043739">
      <w:pPr>
        <w:rPr>
          <w:rFonts w:eastAsia="MS Mincho"/>
          <w:szCs w:val="24"/>
        </w:rPr>
      </w:pPr>
      <w:r w:rsidRPr="00911B62">
        <w:rPr>
          <w:rFonts w:eastAsia="MS Mincho"/>
          <w:szCs w:val="24"/>
        </w:rPr>
        <w:t>[FIGURE D OMITTED]</w:t>
      </w:r>
    </w:p>
    <w:p w14:paraId="39B9E36B" w14:textId="77777777" w:rsidR="00043739" w:rsidRPr="00911B62" w:rsidRDefault="00043739" w:rsidP="00043739">
      <w:pPr>
        <w:rPr>
          <w:rFonts w:eastAsia="MS Mincho"/>
          <w:sz w:val="16"/>
          <w:szCs w:val="24"/>
        </w:rPr>
      </w:pPr>
      <w:r w:rsidRPr="00A32EC7">
        <w:rPr>
          <w:rFonts w:eastAsia="MS Mincho"/>
          <w:b/>
          <w:bCs/>
          <w:szCs w:val="24"/>
          <w:highlight w:val="cyan"/>
          <w:u w:val="single"/>
        </w:rPr>
        <w:t>Unions directly raise the wages of union members and also indirectly increase the wages of non-union workers through spillover effects</w:t>
      </w:r>
      <w:r w:rsidRPr="00A32EC7">
        <w:rPr>
          <w:rFonts w:eastAsia="MS Mincho"/>
          <w:sz w:val="16"/>
          <w:szCs w:val="24"/>
          <w:highlight w:val="cyan"/>
        </w:rPr>
        <w:t>.</w:t>
      </w:r>
      <w:r w:rsidRPr="00911B62">
        <w:rPr>
          <w:rFonts w:eastAsia="MS Mincho"/>
          <w:sz w:val="16"/>
          <w:szCs w:val="24"/>
        </w:rPr>
        <w:t xml:space="preserve"> </w:t>
      </w:r>
      <w:hyperlink r:id="rId41" w:history="1">
        <w:r w:rsidRPr="00911B62">
          <w:rPr>
            <w:rFonts w:eastAsia="MS Mincho"/>
            <w:sz w:val="16"/>
            <w:szCs w:val="24"/>
          </w:rPr>
          <w:t>Fortin Lemieux and Lloyd (2021)</w:t>
        </w:r>
      </w:hyperlink>
      <w:r w:rsidRPr="00911B62">
        <w:rPr>
          <w:rFonts w:eastAsia="MS Mincho"/>
          <w:sz w:val="16"/>
          <w:szCs w:val="24"/>
        </w:rPr>
        <w:t xml:space="preserve"> show that </w:t>
      </w:r>
      <w:r w:rsidRPr="00911B62">
        <w:rPr>
          <w:rFonts w:eastAsia="MS Mincho"/>
          <w:b/>
          <w:bCs/>
          <w:szCs w:val="24"/>
          <w:u w:val="single"/>
        </w:rPr>
        <w:t xml:space="preserve">when union density is high, unions raise wages in both union and nonunion sectors; as a result, </w:t>
      </w:r>
      <w:hyperlink r:id="rId42" w:history="1">
        <w:r w:rsidRPr="00911B62">
          <w:rPr>
            <w:rFonts w:eastAsia="MS Mincho"/>
            <w:b/>
            <w:bCs/>
            <w:szCs w:val="24"/>
            <w:u w:val="single"/>
          </w:rPr>
          <w:t>Mishel and Bivens (2021</w:t>
        </w:r>
      </w:hyperlink>
      <w:r w:rsidRPr="00911B62">
        <w:rPr>
          <w:rFonts w:eastAsia="MS Mincho"/>
          <w:b/>
          <w:bCs/>
          <w:szCs w:val="24"/>
          <w:u w:val="single"/>
        </w:rPr>
        <w:t xml:space="preserve">) estimate the erosion of unions over the 1979-2017 period explains more than one-third of the growth in the wage gap between the 50th and 90th male wage percentiles. </w:t>
      </w:r>
      <w:r w:rsidRPr="00A32EC7">
        <w:rPr>
          <w:rFonts w:eastAsia="MS Mincho"/>
          <w:b/>
          <w:bCs/>
          <w:szCs w:val="24"/>
          <w:highlight w:val="cyan"/>
          <w:u w:val="single"/>
        </w:rPr>
        <w:t xml:space="preserve">The wedge between the </w:t>
      </w:r>
      <w:hyperlink r:id="rId43" w:history="1">
        <w:r w:rsidRPr="00A32EC7">
          <w:rPr>
            <w:rFonts w:eastAsia="MS Mincho"/>
            <w:b/>
            <w:bCs/>
            <w:szCs w:val="24"/>
            <w:highlight w:val="cyan"/>
            <w:u w:val="single"/>
          </w:rPr>
          <w:t>desire for unions</w:t>
        </w:r>
      </w:hyperlink>
      <w:r w:rsidRPr="00A32EC7">
        <w:rPr>
          <w:rFonts w:eastAsia="MS Mincho"/>
          <w:b/>
          <w:bCs/>
          <w:szCs w:val="24"/>
          <w:highlight w:val="cyan"/>
          <w:u w:val="single"/>
        </w:rPr>
        <w:t xml:space="preserve"> and the availability of them is due to labor law failing to keep pace with growing employer hostility and willingness to stop union organizing efforts through any legal or illegal means available.</w:t>
      </w:r>
      <w:r w:rsidRPr="00911B62">
        <w:rPr>
          <w:rFonts w:eastAsia="MS Mincho"/>
          <w:b/>
          <w:bCs/>
          <w:szCs w:val="24"/>
          <w:u w:val="single"/>
        </w:rPr>
        <w:t xml:space="preserve"> </w:t>
      </w:r>
      <w:hyperlink r:id="rId44" w:history="1">
        <w:r w:rsidRPr="00911B62">
          <w:rPr>
            <w:rFonts w:eastAsia="MS Mincho"/>
            <w:b/>
            <w:bCs/>
            <w:szCs w:val="24"/>
            <w:u w:val="single"/>
          </w:rPr>
          <w:t>Stansbury (2021)</w:t>
        </w:r>
      </w:hyperlink>
      <w:r w:rsidRPr="00911B62">
        <w:rPr>
          <w:rFonts w:eastAsia="MS Mincho"/>
          <w:b/>
          <w:bCs/>
          <w:szCs w:val="24"/>
          <w:u w:val="single"/>
        </w:rPr>
        <w:t xml:space="preserve"> finds that labor law noncompliance penalties are so small that a “a typical firm may have an incentive to fire a worker illegally for union activities if this illegal firing would reduce the likelihood of unionization at the firm by as little as 0.15-2 percent.”</w:t>
      </w:r>
      <w:r w:rsidRPr="00911B62">
        <w:rPr>
          <w:rFonts w:eastAsia="MS Mincho"/>
          <w:sz w:val="16"/>
          <w:szCs w:val="24"/>
        </w:rPr>
        <w:t xml:space="preserve"> </w:t>
      </w:r>
      <w:r w:rsidRPr="00911B62">
        <w:rPr>
          <w:rFonts w:eastAsia="MS Mincho"/>
          <w:b/>
          <w:bCs/>
          <w:szCs w:val="24"/>
          <w:u w:val="single"/>
        </w:rPr>
        <w:t xml:space="preserve">Currently, the main agency responsible for enforcing labor law and collective bargaining is </w:t>
      </w:r>
      <w:hyperlink r:id="rId45" w:history="1">
        <w:r w:rsidRPr="00911B62">
          <w:rPr>
            <w:rFonts w:eastAsia="MS Mincho"/>
            <w:b/>
            <w:bCs/>
            <w:szCs w:val="24"/>
            <w:u w:val="single"/>
          </w:rPr>
          <w:t>under attack</w:t>
        </w:r>
      </w:hyperlink>
      <w:r w:rsidRPr="00911B62">
        <w:rPr>
          <w:rFonts w:eastAsia="MS Mincho"/>
          <w:b/>
          <w:bCs/>
          <w:szCs w:val="24"/>
          <w:u w:val="single"/>
        </w:rPr>
        <w:t xml:space="preserve">, hampering the ability of unions to increase compensation and improve working conditions. Besides unions, other key labor market institutions looking to buttress workers’ ability to see wage growth have also been eroded through intentional policy decisions – like the decision to not raise the Federal minimum wage since 2009, the longest stretch in history. </w:t>
      </w:r>
      <w:r w:rsidRPr="00911B62">
        <w:rPr>
          <w:rFonts w:eastAsia="MS Mincho"/>
          <w:sz w:val="16"/>
          <w:szCs w:val="24"/>
        </w:rPr>
        <w:t xml:space="preserve">Figure E below documents the steady erosion in the real value of the Federal minimum wage over the last 55 years. The inflation-adjusted value of the </w:t>
      </w:r>
      <w:hyperlink r:id="rId46" w:history="1">
        <w:r w:rsidRPr="00911B62">
          <w:rPr>
            <w:rFonts w:eastAsia="MS Mincho"/>
            <w:sz w:val="16"/>
            <w:szCs w:val="24"/>
          </w:rPr>
          <w:t>federal minimum wage</w:t>
        </w:r>
      </w:hyperlink>
      <w:r w:rsidRPr="00911B62">
        <w:rPr>
          <w:rFonts w:eastAsia="MS Mincho"/>
          <w:sz w:val="16"/>
          <w:szCs w:val="24"/>
        </w:rPr>
        <w:t xml:space="preserve"> is at its lowest point in nearly seven decades, and the main obstacles to raising it – Republican legislators – control Congress.</w:t>
      </w:r>
    </w:p>
    <w:p w14:paraId="2B56621B" w14:textId="77777777" w:rsidR="00043739" w:rsidRPr="00911B62" w:rsidRDefault="00043739" w:rsidP="00043739">
      <w:pPr>
        <w:rPr>
          <w:rFonts w:eastAsia="MS Mincho"/>
          <w:szCs w:val="24"/>
        </w:rPr>
      </w:pPr>
      <w:r w:rsidRPr="00911B62">
        <w:rPr>
          <w:rFonts w:eastAsia="MS Mincho"/>
          <w:szCs w:val="24"/>
        </w:rPr>
        <w:t>[FIGURE E OMITTED]</w:t>
      </w:r>
    </w:p>
    <w:p w14:paraId="2BFE5E4E" w14:textId="77777777" w:rsidR="00043739" w:rsidRPr="00911B62" w:rsidRDefault="00043739" w:rsidP="00043739">
      <w:pPr>
        <w:rPr>
          <w:rFonts w:eastAsia="MS Mincho"/>
          <w:szCs w:val="24"/>
        </w:rPr>
      </w:pPr>
      <w:r w:rsidRPr="00911B62">
        <w:rPr>
          <w:rFonts w:eastAsia="MS Mincho"/>
          <w:szCs w:val="24"/>
        </w:rPr>
        <w:t xml:space="preserve">Minimum wage increases </w:t>
      </w:r>
      <w:hyperlink r:id="rId47" w:history="1">
        <w:r w:rsidRPr="00911B62">
          <w:rPr>
            <w:rFonts w:eastAsia="MS Mincho"/>
            <w:szCs w:val="24"/>
          </w:rPr>
          <w:t>raise family incomes</w:t>
        </w:r>
      </w:hyperlink>
      <w:r w:rsidRPr="00911B62">
        <w:rPr>
          <w:rFonts w:eastAsia="MS Mincho"/>
          <w:szCs w:val="24"/>
        </w:rPr>
        <w:t xml:space="preserve"> at the bottom of the wage distribution, and </w:t>
      </w:r>
      <w:hyperlink r:id="rId48" w:history="1">
        <w:proofErr w:type="spellStart"/>
        <w:r w:rsidRPr="00911B62">
          <w:rPr>
            <w:rFonts w:eastAsia="MS Mincho"/>
            <w:szCs w:val="24"/>
          </w:rPr>
          <w:t>Derenoncourt</w:t>
        </w:r>
        <w:proofErr w:type="spellEnd"/>
        <w:r w:rsidRPr="00911B62">
          <w:rPr>
            <w:rFonts w:eastAsia="MS Mincho"/>
            <w:szCs w:val="24"/>
          </w:rPr>
          <w:t xml:space="preserve"> and </w:t>
        </w:r>
        <w:proofErr w:type="spellStart"/>
        <w:r w:rsidRPr="00911B62">
          <w:rPr>
            <w:rFonts w:eastAsia="MS Mincho"/>
            <w:szCs w:val="24"/>
          </w:rPr>
          <w:t>Montialoux</w:t>
        </w:r>
        <w:proofErr w:type="spellEnd"/>
        <w:r w:rsidRPr="00911B62">
          <w:rPr>
            <w:rFonts w:eastAsia="MS Mincho"/>
            <w:szCs w:val="24"/>
          </w:rPr>
          <w:t xml:space="preserve"> (2020)</w:t>
        </w:r>
      </w:hyperlink>
      <w:r w:rsidRPr="00911B62">
        <w:rPr>
          <w:rFonts w:eastAsia="MS Mincho"/>
          <w:szCs w:val="24"/>
        </w:rPr>
        <w:t xml:space="preserve"> and </w:t>
      </w:r>
      <w:hyperlink r:id="rId49" w:history="1">
        <w:proofErr w:type="spellStart"/>
        <w:r w:rsidRPr="00911B62">
          <w:rPr>
            <w:rFonts w:eastAsia="MS Mincho"/>
            <w:szCs w:val="24"/>
          </w:rPr>
          <w:t>Wursten</w:t>
        </w:r>
        <w:proofErr w:type="spellEnd"/>
        <w:r w:rsidRPr="00911B62">
          <w:rPr>
            <w:rFonts w:eastAsia="MS Mincho"/>
            <w:szCs w:val="24"/>
          </w:rPr>
          <w:t xml:space="preserve"> and Reich (2023)</w:t>
        </w:r>
      </w:hyperlink>
      <w:r w:rsidRPr="00911B62">
        <w:rPr>
          <w:rFonts w:eastAsia="MS Mincho"/>
          <w:szCs w:val="24"/>
        </w:rPr>
        <w:t xml:space="preserve"> show that minimum wages have been an important tool to reduce racial wage gaps. Minimum wages that fail to keep pace with inflation reduce the wages of the lowest-paid workers and worsen inequality, </w:t>
      </w:r>
      <w:hyperlink r:id="rId50" w:history="1">
        <w:r w:rsidRPr="00911B62">
          <w:rPr>
            <w:rFonts w:eastAsia="MS Mincho"/>
            <w:szCs w:val="24"/>
          </w:rPr>
          <w:t>particularly among women</w:t>
        </w:r>
      </w:hyperlink>
      <w:r w:rsidRPr="00911B62">
        <w:rPr>
          <w:rFonts w:eastAsia="MS Mincho"/>
          <w:szCs w:val="24"/>
        </w:rPr>
        <w:t>. While minimum wages that protect pay for low-wage workers have eroded, policy changes have encouraged massive growth in pay at the top. For example, CEO pay has exploded in recent decades, even as each dollar paid to CEOs comes directly at the expense of corporate shareholders who are supposed to be the bosses of corporate managers. However, because the rules of corporate governance do not give shareholders any real power to rein in pay for managers, the upward ratchet has continued for decades. Figure F below shows that between 1978 and 2023 CEO pay ratio, defined as realized CEO compensation divided by average private-sector production and nonsupervisory wages, rose from 31.0 to 290.3, an increase of 836%.</w:t>
      </w:r>
    </w:p>
    <w:p w14:paraId="5874AE86" w14:textId="77777777" w:rsidR="00043739" w:rsidRPr="00911B62" w:rsidRDefault="00043739" w:rsidP="00043739">
      <w:pPr>
        <w:rPr>
          <w:rFonts w:eastAsia="MS Mincho"/>
          <w:szCs w:val="24"/>
        </w:rPr>
      </w:pPr>
      <w:r w:rsidRPr="00911B62">
        <w:rPr>
          <w:rFonts w:eastAsia="MS Mincho"/>
          <w:szCs w:val="24"/>
        </w:rPr>
        <w:t>[FIGURE F OMITTED]</w:t>
      </w:r>
    </w:p>
    <w:p w14:paraId="0F5842DE" w14:textId="77777777" w:rsidR="00043739" w:rsidRPr="005C5FCF" w:rsidRDefault="00043739" w:rsidP="00043739">
      <w:pPr>
        <w:pStyle w:val="Heading4"/>
      </w:pPr>
      <w:r w:rsidRPr="00CF1242">
        <w:t>Inequality erodes institutional capacity</w:t>
      </w:r>
      <w:r>
        <w:t xml:space="preserve"> as corporations engage in elite capture</w:t>
      </w:r>
      <w:r w:rsidRPr="00CF1242">
        <w:t xml:space="preserve">--causes </w:t>
      </w:r>
      <w:r w:rsidRPr="00CF1242">
        <w:rPr>
          <w:u w:val="single"/>
        </w:rPr>
        <w:t>extinction</w:t>
      </w:r>
      <w:r w:rsidRPr="00CF1242">
        <w:t xml:space="preserve">. </w:t>
      </w:r>
      <w:r>
        <w:t xml:space="preserve"> </w:t>
      </w:r>
    </w:p>
    <w:p w14:paraId="4809FF9C" w14:textId="77777777" w:rsidR="00043739" w:rsidRPr="00CF1242" w:rsidRDefault="00043739" w:rsidP="00043739">
      <w:pPr>
        <w:rPr>
          <w:rFonts w:asciiTheme="minorHAnsi" w:hAnsiTheme="minorHAnsi" w:cstheme="minorHAnsi"/>
        </w:rPr>
      </w:pPr>
      <w:r w:rsidRPr="00CF1242">
        <w:rPr>
          <w:rFonts w:asciiTheme="minorHAnsi" w:hAnsiTheme="minorHAnsi" w:cstheme="minorHAnsi"/>
        </w:rPr>
        <w:t xml:space="preserve">Andreas T. </w:t>
      </w:r>
      <w:r w:rsidRPr="00CF1242">
        <w:rPr>
          <w:rStyle w:val="Style13ptBold"/>
          <w:rFonts w:asciiTheme="minorHAnsi" w:hAnsiTheme="minorHAnsi" w:cstheme="minorHAnsi"/>
        </w:rPr>
        <w:t>Schmidt &amp;</w:t>
      </w:r>
      <w:r w:rsidRPr="00CF1242">
        <w:rPr>
          <w:rFonts w:asciiTheme="minorHAnsi" w:hAnsiTheme="minorHAnsi" w:cstheme="minorHAnsi"/>
        </w:rPr>
        <w:t xml:space="preserve"> </w:t>
      </w:r>
      <w:proofErr w:type="spellStart"/>
      <w:r w:rsidRPr="00CF1242">
        <w:rPr>
          <w:rFonts w:asciiTheme="minorHAnsi" w:hAnsiTheme="minorHAnsi" w:cstheme="minorHAnsi"/>
        </w:rPr>
        <w:t>Daan</w:t>
      </w:r>
      <w:proofErr w:type="spellEnd"/>
      <w:r w:rsidRPr="00CF1242">
        <w:rPr>
          <w:rFonts w:asciiTheme="minorHAnsi" w:hAnsiTheme="minorHAnsi" w:cstheme="minorHAnsi"/>
        </w:rPr>
        <w:t xml:space="preserve"> </w:t>
      </w:r>
      <w:proofErr w:type="spellStart"/>
      <w:r w:rsidRPr="00CF1242">
        <w:rPr>
          <w:rStyle w:val="Style13ptBold"/>
          <w:rFonts w:asciiTheme="minorHAnsi" w:hAnsiTheme="minorHAnsi" w:cstheme="minorHAnsi"/>
        </w:rPr>
        <w:t>Juijn</w:t>
      </w:r>
      <w:proofErr w:type="spellEnd"/>
      <w:r w:rsidRPr="00CF1242">
        <w:rPr>
          <w:rStyle w:val="Style13ptBold"/>
          <w:rFonts w:asciiTheme="minorHAnsi" w:hAnsiTheme="minorHAnsi" w:cstheme="minorHAnsi"/>
        </w:rPr>
        <w:t xml:space="preserve"> 21</w:t>
      </w:r>
      <w:r w:rsidRPr="00CF1242">
        <w:rPr>
          <w:rFonts w:asciiTheme="minorHAnsi" w:hAnsiTheme="minorHAnsi" w:cstheme="minorHAnsi"/>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https://globalprioritiesinstitute.org/wp-content/uploads/Inequality-and-the-Long-Term-Future_Andreas-Schmidt-and-Daan-Juijn-reupload.pdf</w:t>
      </w:r>
    </w:p>
    <w:p w14:paraId="429FF005" w14:textId="77777777" w:rsidR="00043739" w:rsidRDefault="00043739" w:rsidP="00043739">
      <w:pPr>
        <w:rPr>
          <w:rFonts w:asciiTheme="minorHAnsi" w:hAnsiTheme="minorHAnsi" w:cstheme="minorHAnsi"/>
          <w:sz w:val="14"/>
        </w:rPr>
      </w:pPr>
      <w:r w:rsidRPr="00CF1242">
        <w:rPr>
          <w:rFonts w:asciiTheme="minorHAnsi" w:hAnsiTheme="minorHAnsi" w:cstheme="minorHAnsi"/>
          <w:sz w:val="14"/>
        </w:rPr>
        <w:t xml:space="preserve">It is often argued that </w:t>
      </w:r>
      <w:r w:rsidRPr="00CF1242">
        <w:rPr>
          <w:rStyle w:val="StyleUnderline"/>
          <w:rFonts w:asciiTheme="minorHAnsi" w:hAnsiTheme="minorHAnsi" w:cstheme="minorHAnsi"/>
        </w:rPr>
        <w:t xml:space="preserve">a </w:t>
      </w:r>
      <w:r w:rsidRPr="008F0CEA">
        <w:rPr>
          <w:rStyle w:val="StyleUnderline"/>
          <w:rFonts w:asciiTheme="minorHAnsi" w:hAnsiTheme="minorHAnsi" w:cstheme="minorHAnsi"/>
          <w:highlight w:val="cyan"/>
        </w:rPr>
        <w:t>country’s long-term performance depends</w:t>
      </w:r>
      <w:r w:rsidRPr="00CF1242">
        <w:rPr>
          <w:rStyle w:val="StyleUnderline"/>
          <w:rFonts w:asciiTheme="minorHAnsi" w:hAnsiTheme="minorHAnsi" w:cstheme="minorHAnsi"/>
        </w:rPr>
        <w:t xml:space="preserve"> to a significant extent </w:t>
      </w:r>
      <w:r w:rsidRPr="008F0CEA">
        <w:rPr>
          <w:rStyle w:val="StyleUnderline"/>
          <w:rFonts w:asciiTheme="minorHAnsi" w:hAnsiTheme="minorHAnsi" w:cstheme="minorHAnsi"/>
          <w:highlight w:val="cyan"/>
        </w:rPr>
        <w:t>on</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quality of its institutions</w:t>
      </w:r>
      <w:r w:rsidRPr="00CF1242">
        <w:rPr>
          <w:rStyle w:val="StyleUnderline"/>
          <w:rFonts w:asciiTheme="minorHAnsi" w:hAnsiTheme="minorHAnsi" w:cstheme="minorHAnsi"/>
        </w:rPr>
        <w:t>, including its political and legal institutions</w:t>
      </w:r>
      <w:r w:rsidRPr="00CF1242">
        <w:rPr>
          <w:rFonts w:asciiTheme="minorHAnsi" w:hAnsiTheme="minorHAnsi" w:cstheme="minorHAnsi"/>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CF1242">
        <w:rPr>
          <w:rStyle w:val="StyleUnderline"/>
          <w:rFonts w:asciiTheme="minorHAnsi" w:hAnsiTheme="minorHAnsi" w:cstheme="minorHAnsi"/>
        </w:rPr>
        <w:t>public institutions</w:t>
      </w:r>
      <w:r w:rsidRPr="00CF1242">
        <w:rPr>
          <w:rFonts w:asciiTheme="minorHAnsi" w:hAnsiTheme="minorHAnsi" w:cstheme="minorHAnsi"/>
          <w:sz w:val="14"/>
        </w:rPr>
        <w:t xml:space="preserve"> have other functions that </w:t>
      </w:r>
      <w:r w:rsidRPr="00CF1242">
        <w:rPr>
          <w:rStyle w:val="StyleUnderline"/>
          <w:rFonts w:asciiTheme="minorHAnsi" w:hAnsiTheme="minorHAnsi" w:cstheme="minorHAnsi"/>
        </w:rPr>
        <w:t>matter</w:t>
      </w:r>
      <w:r w:rsidRPr="00CF1242">
        <w:rPr>
          <w:rFonts w:asciiTheme="minorHAnsi" w:hAnsiTheme="minorHAnsi" w:cstheme="minorHAnsi"/>
          <w:sz w:val="14"/>
        </w:rPr>
        <w:t xml:space="preserve"> from a long-term perspective. </w:t>
      </w:r>
      <w:r w:rsidRPr="008F0CEA">
        <w:rPr>
          <w:rStyle w:val="StyleUnderline"/>
          <w:rFonts w:asciiTheme="minorHAnsi" w:hAnsiTheme="minorHAnsi" w:cstheme="minorHAnsi"/>
          <w:highlight w:val="cyan"/>
        </w:rPr>
        <w:t>For</w:t>
      </w:r>
      <w:r w:rsidRPr="00CF1242">
        <w:rPr>
          <w:rFonts w:asciiTheme="minorHAnsi" w:hAnsiTheme="minorHAnsi" w:cstheme="minorHAnsi"/>
          <w:sz w:val="14"/>
        </w:rPr>
        <w:t xml:space="preserve"> example, </w:t>
      </w:r>
      <w:r w:rsidRPr="00CF1242">
        <w:rPr>
          <w:rStyle w:val="StyleUnderline"/>
          <w:rFonts w:asciiTheme="minorHAnsi" w:hAnsiTheme="minorHAnsi" w:cstheme="minorHAnsi"/>
        </w:rPr>
        <w:t xml:space="preserve">disaster </w:t>
      </w:r>
      <w:r w:rsidRPr="008F0CEA">
        <w:rPr>
          <w:rStyle w:val="StyleUnderline"/>
          <w:rFonts w:asciiTheme="minorHAnsi" w:hAnsiTheme="minorHAnsi" w:cstheme="minorHAnsi"/>
          <w:highlight w:val="cyan"/>
        </w:rPr>
        <w:t>preparedness</w:t>
      </w:r>
      <w:r w:rsidRPr="00CF1242">
        <w:rPr>
          <w:rStyle w:val="StyleUnderline"/>
          <w:rFonts w:asciiTheme="minorHAnsi" w:hAnsiTheme="minorHAnsi" w:cstheme="minorHAnsi"/>
        </w:rPr>
        <w:t xml:space="preserve">, education, public </w:t>
      </w:r>
      <w:r w:rsidRPr="008F0CEA">
        <w:rPr>
          <w:rStyle w:val="StyleUnderline"/>
          <w:rFonts w:asciiTheme="minorHAnsi" w:hAnsiTheme="minorHAnsi" w:cstheme="minorHAnsi"/>
          <w:highlight w:val="cyan"/>
        </w:rPr>
        <w:t>health, foreign policy</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science</w:t>
      </w:r>
      <w:r w:rsidRPr="00CF1242">
        <w:rPr>
          <w:rStyle w:val="StyleUnderline"/>
          <w:rFonts w:asciiTheme="minorHAnsi" w:hAnsiTheme="minorHAnsi" w:cstheme="minorHAnsi"/>
        </w:rPr>
        <w:t xml:space="preserve"> policy, and many other areas could influence long-term trajectories</w:t>
      </w:r>
      <w:r w:rsidRPr="00CF1242">
        <w:rPr>
          <w:rFonts w:asciiTheme="minorHAnsi" w:hAnsiTheme="minorHAnsi" w:cstheme="minorHAnsi"/>
          <w:sz w:val="14"/>
        </w:rPr>
        <w:t xml:space="preserve">. If such things go badly, they could increase existential risk. Conversely, </w:t>
      </w:r>
      <w:r w:rsidRPr="008F0CEA">
        <w:rPr>
          <w:rStyle w:val="StyleUnderline"/>
          <w:rFonts w:asciiTheme="minorHAnsi" w:hAnsiTheme="minorHAnsi" w:cstheme="minorHAnsi"/>
          <w:highlight w:val="cyan"/>
        </w:rPr>
        <w:t>good institutions</w:t>
      </w:r>
      <w:r w:rsidRPr="00CF1242">
        <w:rPr>
          <w:rStyle w:val="StyleUnderline"/>
          <w:rFonts w:asciiTheme="minorHAnsi" w:hAnsiTheme="minorHAnsi" w:cstheme="minorHAnsi"/>
        </w:rPr>
        <w:t xml:space="preserve"> will help </w:t>
      </w:r>
      <w:r w:rsidRPr="008F0CEA">
        <w:rPr>
          <w:rStyle w:val="StyleUnderline"/>
          <w:rFonts w:asciiTheme="minorHAnsi" w:hAnsiTheme="minorHAnsi" w:cstheme="minorHAnsi"/>
          <w:highlight w:val="cyan"/>
        </w:rPr>
        <w:t>reduce existential risk</w:t>
      </w:r>
      <w:r w:rsidRPr="00CF1242">
        <w:rPr>
          <w:rFonts w:asciiTheme="minorHAnsi" w:hAnsiTheme="minorHAnsi" w:cstheme="minorHAnsi"/>
          <w:sz w:val="14"/>
        </w:rPr>
        <w:t xml:space="preserve">. For many </w:t>
      </w:r>
      <w:r w:rsidRPr="00CF1242">
        <w:rPr>
          <w:rStyle w:val="StyleUnderline"/>
          <w:rFonts w:asciiTheme="minorHAnsi" w:hAnsiTheme="minorHAnsi" w:cstheme="minorHAnsi"/>
        </w:rPr>
        <w:t>existential risk reduction strategies likely require public goods and collective action, which in turn require good public institutions</w:t>
      </w:r>
      <w:r w:rsidRPr="00CF1242">
        <w:rPr>
          <w:rFonts w:asciiTheme="minorHAnsi" w:hAnsiTheme="minorHAnsi" w:cstheme="minorHAnsi"/>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 There are at least two reasons why higher inequality could decrease institutional capacities for </w:t>
      </w:r>
      <w:proofErr w:type="spellStart"/>
      <w:r w:rsidRPr="00CF1242">
        <w:rPr>
          <w:rFonts w:asciiTheme="minorHAnsi" w:hAnsiTheme="minorHAnsi" w:cstheme="minorHAnsi"/>
          <w:sz w:val="14"/>
        </w:rPr>
        <w:t>longtermist</w:t>
      </w:r>
      <w:proofErr w:type="spellEnd"/>
      <w:r w:rsidRPr="00CF1242">
        <w:rPr>
          <w:rFonts w:asciiTheme="minorHAnsi" w:hAnsiTheme="minorHAnsi" w:cstheme="minorHAnsi"/>
          <w:sz w:val="14"/>
        </w:rPr>
        <w:t xml:space="preserve"> public goods. First, </w:t>
      </w:r>
      <w:r w:rsidRPr="00CF1242">
        <w:rPr>
          <w:rStyle w:val="StyleUnderline"/>
          <w:rFonts w:asciiTheme="minorHAnsi" w:hAnsiTheme="minorHAnsi" w:cstheme="minorHAnsi"/>
        </w:rPr>
        <w:t>there is some direct evidence that</w:t>
      </w:r>
      <w:r w:rsidRPr="00CF1242">
        <w:rPr>
          <w:rFonts w:asciiTheme="minorHAnsi" w:hAnsiTheme="minorHAnsi" w:cstheme="minorHAnsi"/>
          <w:sz w:val="14"/>
        </w:rPr>
        <w:t xml:space="preserve">, whatever the causal pathway, </w:t>
      </w:r>
      <w:r w:rsidRPr="008F0CEA">
        <w:rPr>
          <w:rStyle w:val="Emphasis"/>
          <w:rFonts w:asciiTheme="minorHAnsi" w:hAnsiTheme="minorHAnsi" w:cstheme="minorHAnsi"/>
          <w:highlight w:val="cyan"/>
        </w:rPr>
        <w:t>inequality reduces</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institutional quality</w:t>
      </w:r>
      <w:r w:rsidRPr="00CF1242">
        <w:rPr>
          <w:rStyle w:val="Emphasis"/>
          <w:rFonts w:asciiTheme="minorHAnsi" w:hAnsiTheme="minorHAnsi" w:cstheme="minorHAnsi"/>
        </w:rPr>
        <w:t xml:space="preserve"> </w:t>
      </w:r>
      <w:r w:rsidRPr="00CF1242">
        <w:rPr>
          <w:rFonts w:asciiTheme="minorHAnsi" w:hAnsiTheme="minorHAnsi" w:cstheme="minorHAnsi"/>
          <w:sz w:val="14"/>
        </w:rPr>
        <w:t xml:space="preserve">(which in turn typically leads to more inequality) (Chong and </w:t>
      </w:r>
      <w:proofErr w:type="spellStart"/>
      <w:r w:rsidRPr="00CF1242">
        <w:rPr>
          <w:rFonts w:asciiTheme="minorHAnsi" w:hAnsiTheme="minorHAnsi" w:cstheme="minorHAnsi"/>
          <w:sz w:val="14"/>
        </w:rPr>
        <w:t>Gradstein</w:t>
      </w:r>
      <w:proofErr w:type="spellEnd"/>
      <w:r w:rsidRPr="00CF1242">
        <w:rPr>
          <w:rFonts w:asciiTheme="minorHAnsi" w:hAnsiTheme="minorHAnsi" w:cstheme="minorHAnsi"/>
          <w:sz w:val="14"/>
        </w:rPr>
        <w:t xml:space="preserve"> 2007; </w:t>
      </w:r>
      <w:proofErr w:type="spellStart"/>
      <w:r w:rsidRPr="00CF1242">
        <w:rPr>
          <w:rFonts w:asciiTheme="minorHAnsi" w:hAnsiTheme="minorHAnsi" w:cstheme="minorHAnsi"/>
          <w:sz w:val="14"/>
        </w:rPr>
        <w:t>Savoia</w:t>
      </w:r>
      <w:proofErr w:type="spellEnd"/>
      <w:r w:rsidRPr="00CF1242">
        <w:rPr>
          <w:rFonts w:asciiTheme="minorHAnsi" w:hAnsiTheme="minorHAnsi" w:cstheme="minorHAnsi"/>
          <w:sz w:val="14"/>
        </w:rPr>
        <w:t xml:space="preserve">, </w:t>
      </w:r>
      <w:proofErr w:type="spellStart"/>
      <w:r w:rsidRPr="00CF1242">
        <w:rPr>
          <w:rFonts w:asciiTheme="minorHAnsi" w:hAnsiTheme="minorHAnsi" w:cstheme="minorHAnsi"/>
          <w:sz w:val="14"/>
        </w:rPr>
        <w:t>Easaw</w:t>
      </w:r>
      <w:proofErr w:type="spellEnd"/>
      <w:r w:rsidRPr="00CF1242">
        <w:rPr>
          <w:rFonts w:asciiTheme="minorHAnsi" w:hAnsiTheme="minorHAnsi" w:cstheme="minorHAnsi"/>
          <w:sz w:val="14"/>
        </w:rPr>
        <w:t xml:space="preserve">, and McKay 2010). Second, </w:t>
      </w:r>
      <w:r w:rsidRPr="00CF1242">
        <w:rPr>
          <w:rStyle w:val="StyleUnderline"/>
          <w:rFonts w:asciiTheme="minorHAnsi" w:hAnsiTheme="minorHAnsi" w:cstheme="minorHAnsi"/>
        </w:rPr>
        <w:t xml:space="preserve">high </w:t>
      </w:r>
      <w:r w:rsidRPr="006A144C">
        <w:rPr>
          <w:rStyle w:val="StyleUnderline"/>
          <w:rFonts w:asciiTheme="minorHAnsi" w:hAnsiTheme="minorHAnsi" w:cstheme="minorHAnsi"/>
        </w:rPr>
        <w:t>inequality</w:t>
      </w:r>
      <w:r w:rsidRPr="00CF1242">
        <w:rPr>
          <w:rStyle w:val="StyleUnderline"/>
          <w:rFonts w:asciiTheme="minorHAnsi" w:hAnsiTheme="minorHAnsi" w:cstheme="minorHAnsi"/>
        </w:rPr>
        <w:t xml:space="preserve"> can </w:t>
      </w:r>
      <w:r w:rsidRPr="008F0CEA">
        <w:rPr>
          <w:rStyle w:val="StyleUnderline"/>
          <w:rFonts w:asciiTheme="minorHAnsi" w:hAnsiTheme="minorHAnsi" w:cstheme="minorHAnsi"/>
          <w:highlight w:val="cyan"/>
        </w:rPr>
        <w:t xml:space="preserve">lead to </w:t>
      </w:r>
      <w:r w:rsidRPr="008F0CEA">
        <w:rPr>
          <w:rStyle w:val="Emphasis"/>
          <w:rFonts w:asciiTheme="minorHAnsi" w:hAnsiTheme="minorHAnsi" w:cstheme="minorHAnsi"/>
          <w:highlight w:val="cyan"/>
        </w:rPr>
        <w:t>elite capture</w:t>
      </w:r>
      <w:r w:rsidRPr="00CF1242">
        <w:rPr>
          <w:rFonts w:asciiTheme="minorHAnsi" w:hAnsiTheme="minorHAnsi" w:cstheme="minorHAnsi"/>
          <w:sz w:val="14"/>
        </w:rPr>
        <w:t xml:space="preserve">. Empirical work on studying political and de facto legal power is difficult, yet </w:t>
      </w:r>
      <w:r w:rsidRPr="00CF1242">
        <w:rPr>
          <w:rStyle w:val="StyleUnderline"/>
          <w:rFonts w:asciiTheme="minorHAnsi" w:hAnsiTheme="minorHAnsi" w:cstheme="minorHAnsi"/>
        </w:rPr>
        <w:t xml:space="preserve">there is a growing consensus that high levels of inequality can lead to elite capture and thereby </w:t>
      </w:r>
      <w:r w:rsidRPr="008F0CEA">
        <w:rPr>
          <w:rStyle w:val="StyleUnderline"/>
          <w:rFonts w:asciiTheme="minorHAnsi" w:hAnsiTheme="minorHAnsi" w:cstheme="minorHAnsi"/>
          <w:highlight w:val="cyan"/>
        </w:rPr>
        <w:t>reduce</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long-term quality of</w:t>
      </w:r>
      <w:r w:rsidRPr="00CF1242">
        <w:rPr>
          <w:rStyle w:val="StyleUnderline"/>
          <w:rFonts w:asciiTheme="minorHAnsi" w:hAnsiTheme="minorHAnsi" w:cstheme="minorHAnsi"/>
        </w:rPr>
        <w:t xml:space="preserve"> legal and political </w:t>
      </w:r>
      <w:r w:rsidRPr="008F0CEA">
        <w:rPr>
          <w:rStyle w:val="StyleUnderline"/>
          <w:rFonts w:asciiTheme="minorHAnsi" w:hAnsiTheme="minorHAnsi" w:cstheme="minorHAnsi"/>
          <w:highlight w:val="cyan"/>
        </w:rPr>
        <w:t>institutions</w:t>
      </w:r>
      <w:r w:rsidRPr="00CF1242">
        <w:rPr>
          <w:rFonts w:asciiTheme="minorHAnsi" w:hAnsiTheme="minorHAnsi" w:cstheme="minorHAnsi"/>
          <w:sz w:val="14"/>
        </w:rPr>
        <w:t xml:space="preserve"> (Acemoglu and Robinson 2008; 2013; Bartels 2018; Bavel 2016; Chong and Gradstein 2007; Cummins and Rodriguez 2010; </w:t>
      </w:r>
      <w:proofErr w:type="spellStart"/>
      <w:r w:rsidRPr="00CF1242">
        <w:rPr>
          <w:rFonts w:asciiTheme="minorHAnsi" w:hAnsiTheme="minorHAnsi" w:cstheme="minorHAnsi"/>
          <w:sz w:val="14"/>
        </w:rPr>
        <w:t>Savoia</w:t>
      </w:r>
      <w:proofErr w:type="spellEnd"/>
      <w:r w:rsidRPr="00CF1242">
        <w:rPr>
          <w:rFonts w:asciiTheme="minorHAnsi" w:hAnsiTheme="minorHAnsi" w:cstheme="minorHAnsi"/>
          <w:sz w:val="14"/>
        </w:rPr>
        <w:t xml:space="preserve">, </w:t>
      </w:r>
      <w:proofErr w:type="spellStart"/>
      <w:r w:rsidRPr="00CF1242">
        <w:rPr>
          <w:rFonts w:asciiTheme="minorHAnsi" w:hAnsiTheme="minorHAnsi" w:cstheme="minorHAnsi"/>
          <w:sz w:val="14"/>
        </w:rPr>
        <w:t>Easaw</w:t>
      </w:r>
      <w:proofErr w:type="spellEnd"/>
      <w:r w:rsidRPr="00CF1242">
        <w:rPr>
          <w:rFonts w:asciiTheme="minorHAnsi" w:hAnsiTheme="minorHAnsi" w:cstheme="minorHAnsi"/>
          <w:sz w:val="14"/>
        </w:rPr>
        <w:t xml:space="preserve">, and McKay 2010). Further, </w:t>
      </w:r>
      <w:r w:rsidRPr="00CF1242">
        <w:rPr>
          <w:rStyle w:val="StyleUnderline"/>
          <w:rFonts w:asciiTheme="minorHAnsi" w:hAnsiTheme="minorHAnsi" w:cstheme="minorHAnsi"/>
        </w:rPr>
        <w:t xml:space="preserve">if </w:t>
      </w:r>
      <w:r w:rsidRPr="006A144C">
        <w:rPr>
          <w:rStyle w:val="StyleUnderline"/>
          <w:rFonts w:asciiTheme="minorHAnsi" w:hAnsiTheme="minorHAnsi" w:cstheme="minorHAnsi"/>
        </w:rPr>
        <w:t>institutions</w:t>
      </w:r>
      <w:r w:rsidRPr="00CF1242">
        <w:rPr>
          <w:rStyle w:val="StyleUnderline"/>
          <w:rFonts w:asciiTheme="minorHAnsi" w:hAnsiTheme="minorHAnsi" w:cstheme="minorHAnsi"/>
        </w:rPr>
        <w:t xml:space="preserve"> are disproportionately geared towards elite interests, then they might be </w:t>
      </w:r>
      <w:r w:rsidRPr="008F0CEA">
        <w:rPr>
          <w:rStyle w:val="StyleUnderline"/>
          <w:rFonts w:asciiTheme="minorHAnsi" w:hAnsiTheme="minorHAnsi" w:cstheme="minorHAnsi"/>
          <w:highlight w:val="cyan"/>
        </w:rPr>
        <w:t>less likely to be geared towards positive longterm trajectories</w:t>
      </w:r>
      <w:r w:rsidRPr="00CF1242">
        <w:rPr>
          <w:rStyle w:val="StyleUnderline"/>
          <w:rFonts w:asciiTheme="minorHAnsi" w:hAnsiTheme="minorHAnsi" w:cstheme="minorHAnsi"/>
        </w:rPr>
        <w:t xml:space="preserve">. We might see more rent-seeking and </w:t>
      </w:r>
      <w:r w:rsidRPr="008F0CEA">
        <w:rPr>
          <w:rStyle w:val="StyleUnderline"/>
          <w:rFonts w:asciiTheme="minorHAnsi" w:hAnsiTheme="minorHAnsi" w:cstheme="minorHAnsi"/>
          <w:highlight w:val="cyan"/>
        </w:rPr>
        <w:t>less investment in public goods</w:t>
      </w:r>
      <w:r w:rsidRPr="00CF1242">
        <w:rPr>
          <w:rFonts w:asciiTheme="minorHAnsi" w:hAnsiTheme="minorHAnsi" w:cstheme="minorHAnsi"/>
          <w:sz w:val="14"/>
        </w:rPr>
        <w:t xml:space="preserve">. Moreover, if elite capture is strong enough, such capture, and the potential inequality that comes with it, can intensify going forward (Chong and Gradstein 2007). Now, one might object and wonder whether elite interests and </w:t>
      </w:r>
      <w:proofErr w:type="spellStart"/>
      <w:r w:rsidRPr="00CF1242">
        <w:rPr>
          <w:rFonts w:asciiTheme="minorHAnsi" w:hAnsiTheme="minorHAnsi" w:cstheme="minorHAnsi"/>
          <w:sz w:val="14"/>
        </w:rPr>
        <w:t>longtermist</w:t>
      </w:r>
      <w:proofErr w:type="spellEnd"/>
      <w:r w:rsidRPr="00CF1242">
        <w:rPr>
          <w:rFonts w:asciiTheme="minorHAnsi" w:hAnsiTheme="minorHAnsi" w:cstheme="minorHAnsi"/>
          <w:sz w:val="14"/>
        </w:rPr>
        <w:t xml:space="preserve"> interests will necessarily be misaligned. Could an enlightened elite not even be more </w:t>
      </w:r>
      <w:proofErr w:type="spellStart"/>
      <w:r w:rsidRPr="00CF1242">
        <w:rPr>
          <w:rFonts w:asciiTheme="minorHAnsi" w:hAnsiTheme="minorHAnsi" w:cstheme="minorHAnsi"/>
          <w:sz w:val="14"/>
        </w:rPr>
        <w:t>longtermist</w:t>
      </w:r>
      <w:proofErr w:type="spellEnd"/>
      <w:r w:rsidRPr="00CF1242">
        <w:rPr>
          <w:rFonts w:asciiTheme="minorHAnsi" w:hAnsiTheme="minorHAnsi" w:cstheme="minorHAnsi"/>
          <w:sz w:val="14"/>
        </w:rPr>
        <w:t xml:space="preserve"> than a more democratic system? Here are two potential arguments. First, wealthy donors fund a significant part of research and direct action on existential risk and </w:t>
      </w:r>
      <w:proofErr w:type="spellStart"/>
      <w:r w:rsidRPr="00CF1242">
        <w:rPr>
          <w:rFonts w:asciiTheme="minorHAnsi" w:hAnsiTheme="minorHAnsi" w:cstheme="minorHAnsi"/>
          <w:sz w:val="14"/>
        </w:rPr>
        <w:t>longtermism</w:t>
      </w:r>
      <w:proofErr w:type="spellEnd"/>
      <w:r w:rsidRPr="00CF1242">
        <w:rPr>
          <w:rFonts w:asciiTheme="minorHAnsi" w:hAnsiTheme="minorHAnsi" w:cstheme="minorHAnsi"/>
          <w:sz w:val="14"/>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CF1242">
        <w:rPr>
          <w:rFonts w:asciiTheme="minorHAnsi" w:hAnsiTheme="minorHAnsi" w:cstheme="minorHAnsi"/>
          <w:sz w:val="14"/>
        </w:rPr>
        <w:t>sceptical</w:t>
      </w:r>
      <w:proofErr w:type="spellEnd"/>
      <w:r w:rsidRPr="00CF1242">
        <w:rPr>
          <w:rFonts w:asciiTheme="minorHAnsi" w:hAnsiTheme="minorHAnsi" w:cstheme="minorHAnsi"/>
          <w:sz w:val="14"/>
        </w:rPr>
        <w:t xml:space="preserve"> that elite capture would translate a lower impatience rate into </w:t>
      </w:r>
      <w:proofErr w:type="spellStart"/>
      <w:r w:rsidRPr="00CF1242">
        <w:rPr>
          <w:rFonts w:asciiTheme="minorHAnsi" w:hAnsiTheme="minorHAnsi" w:cstheme="minorHAnsi"/>
          <w:sz w:val="14"/>
        </w:rPr>
        <w:t>longtermist</w:t>
      </w:r>
      <w:proofErr w:type="spellEnd"/>
      <w:r w:rsidRPr="00CF1242">
        <w:rPr>
          <w:rFonts w:asciiTheme="minorHAnsi" w:hAnsiTheme="minorHAnsi" w:cstheme="minorHAnsi"/>
          <w:sz w:val="14"/>
        </w:rPr>
        <w:t xml:space="preserve"> strategies in policy. A successful 14 transmission would require influence to be systematic and well-coordinated across time and, probably, across different elite actors. Yet lobbying and elite influence must often </w:t>
      </w:r>
      <w:proofErr w:type="spellStart"/>
      <w:r w:rsidRPr="00CF1242">
        <w:rPr>
          <w:rFonts w:asciiTheme="minorHAnsi" w:hAnsiTheme="minorHAnsi" w:cstheme="minorHAnsi"/>
          <w:sz w:val="14"/>
        </w:rPr>
        <w:t>capitalise</w:t>
      </w:r>
      <w:proofErr w:type="spellEnd"/>
      <w:r w:rsidRPr="00CF1242">
        <w:rPr>
          <w:rFonts w:asciiTheme="minorHAnsi" w:hAnsiTheme="minorHAnsi" w:cstheme="minorHAnsi"/>
          <w:sz w:val="14"/>
        </w:rPr>
        <w:t xml:space="preserve"> on shorter windows of opportunities, which makes well-coordinated </w:t>
      </w:r>
      <w:proofErr w:type="spellStart"/>
      <w:r w:rsidRPr="00CF1242">
        <w:rPr>
          <w:rFonts w:asciiTheme="minorHAnsi" w:hAnsiTheme="minorHAnsi" w:cstheme="minorHAnsi"/>
          <w:sz w:val="14"/>
        </w:rPr>
        <w:t>intertemporal</w:t>
      </w:r>
      <w:proofErr w:type="spellEnd"/>
      <w:r w:rsidRPr="00CF1242">
        <w:rPr>
          <w:rFonts w:asciiTheme="minorHAnsi" w:hAnsiTheme="minorHAnsi" w:cstheme="minorHAnsi"/>
          <w:sz w:val="14"/>
        </w:rPr>
        <w:t xml:space="preserve">, and positive </w:t>
      </w:r>
      <w:proofErr w:type="spellStart"/>
      <w:r w:rsidRPr="00CF1242">
        <w:rPr>
          <w:rFonts w:asciiTheme="minorHAnsi" w:hAnsiTheme="minorHAnsi" w:cstheme="minorHAnsi"/>
          <w:sz w:val="14"/>
        </w:rPr>
        <w:t>longtermist</w:t>
      </w:r>
      <w:proofErr w:type="spellEnd"/>
      <w:r w:rsidRPr="00CF1242">
        <w:rPr>
          <w:rFonts w:asciiTheme="minorHAnsi" w:hAnsiTheme="minorHAnsi" w:cstheme="minorHAnsi"/>
          <w:sz w:val="14"/>
        </w:rPr>
        <w:t xml:space="preserve">, policy capture less likely. Of course, such considerations are speculative. But, in any case, we think that, on balance, </w:t>
      </w:r>
      <w:r w:rsidRPr="00CF1242">
        <w:rPr>
          <w:rStyle w:val="StyleUnderline"/>
          <w:rFonts w:asciiTheme="minorHAnsi" w:hAnsiTheme="minorHAnsi" w:cstheme="minorHAnsi"/>
        </w:rPr>
        <w:t xml:space="preserve">there are stronger reasons to believe </w:t>
      </w:r>
      <w:r w:rsidRPr="008F0CEA">
        <w:rPr>
          <w:rStyle w:val="StyleUnderline"/>
          <w:rFonts w:asciiTheme="minorHAnsi" w:hAnsiTheme="minorHAnsi" w:cstheme="minorHAnsi"/>
          <w:highlight w:val="cyan"/>
        </w:rPr>
        <w:t>elite capture</w:t>
      </w:r>
      <w:r w:rsidRPr="00CF1242">
        <w:rPr>
          <w:rStyle w:val="StyleUnderline"/>
          <w:rFonts w:asciiTheme="minorHAnsi" w:hAnsiTheme="minorHAnsi" w:cstheme="minorHAnsi"/>
        </w:rPr>
        <w:t xml:space="preserve"> would </w:t>
      </w:r>
      <w:r w:rsidRPr="008F0CEA">
        <w:rPr>
          <w:rStyle w:val="StyleUnderline"/>
          <w:rFonts w:asciiTheme="minorHAnsi" w:hAnsiTheme="minorHAnsi" w:cstheme="minorHAnsi"/>
          <w:highlight w:val="cyan"/>
        </w:rPr>
        <w:t>increase</w:t>
      </w:r>
      <w:r w:rsidRPr="00CF1242">
        <w:rPr>
          <w:rStyle w:val="StyleUnderline"/>
          <w:rFonts w:asciiTheme="minorHAnsi" w:hAnsiTheme="minorHAnsi" w:cstheme="minorHAnsi"/>
        </w:rPr>
        <w:t xml:space="preserve"> – rather than decrease – </w:t>
      </w:r>
      <w:r w:rsidRPr="008F0CEA">
        <w:rPr>
          <w:rStyle w:val="StyleUnderline"/>
          <w:rFonts w:asciiTheme="minorHAnsi" w:hAnsiTheme="minorHAnsi" w:cstheme="minorHAnsi"/>
          <w:highlight w:val="cyan"/>
        </w:rPr>
        <w:t>existential risk</w:t>
      </w:r>
      <w:r w:rsidRPr="008F0CEA">
        <w:rPr>
          <w:rFonts w:asciiTheme="minorHAnsi" w:hAnsiTheme="minorHAnsi" w:cstheme="minorHAnsi"/>
          <w:sz w:val="14"/>
          <w:highlight w:val="cyan"/>
        </w:rPr>
        <w:t>.</w:t>
      </w:r>
      <w:r w:rsidRPr="00CF1242">
        <w:rPr>
          <w:rFonts w:asciiTheme="minorHAnsi" w:hAnsiTheme="minorHAnsi" w:cstheme="minorHAnsi"/>
          <w:sz w:val="14"/>
        </w:rPr>
        <w:t xml:space="preserve"> First, elite capture often comes with rent seeking, which lowers institutional quality (Chong and Gradstein 2007). Secon</w:t>
      </w:r>
      <w:r w:rsidRPr="00B12C59">
        <w:rPr>
          <w:rFonts w:asciiTheme="minorHAnsi" w:hAnsiTheme="minorHAnsi" w:cstheme="minorHAnsi"/>
          <w:sz w:val="14"/>
        </w:rPr>
        <w:t xml:space="preserve">d, </w:t>
      </w:r>
      <w:r w:rsidRPr="00B12C59">
        <w:rPr>
          <w:rStyle w:val="StyleUnderline"/>
          <w:rFonts w:asciiTheme="minorHAnsi" w:hAnsiTheme="minorHAnsi" w:cstheme="minorHAnsi"/>
          <w:bCs/>
        </w:rPr>
        <w:t xml:space="preserve">industries like oil, gas, weapons and others are often concentrated and well </w:t>
      </w:r>
      <w:proofErr w:type="spellStart"/>
      <w:r w:rsidRPr="00B12C59">
        <w:rPr>
          <w:rStyle w:val="StyleUnderline"/>
          <w:rFonts w:asciiTheme="minorHAnsi" w:hAnsiTheme="minorHAnsi" w:cstheme="minorHAnsi"/>
          <w:bCs/>
        </w:rPr>
        <w:t>organised</w:t>
      </w:r>
      <w:proofErr w:type="spellEnd"/>
      <w:r w:rsidRPr="00B12C59">
        <w:rPr>
          <w:rStyle w:val="StyleUnderline"/>
          <w:rFonts w:asciiTheme="minorHAnsi" w:hAnsiTheme="minorHAnsi" w:cstheme="minorHAnsi"/>
          <w:bCs/>
        </w:rPr>
        <w:t xml:space="preserve"> in exerting influence in law and legislation</w:t>
      </w:r>
      <w:r w:rsidRPr="00B12C59">
        <w:rPr>
          <w:rFonts w:asciiTheme="minorHAnsi" w:hAnsiTheme="minorHAnsi" w:cstheme="minorHAnsi"/>
          <w:b/>
          <w:bCs/>
          <w:sz w:val="14"/>
        </w:rPr>
        <w:t>.</w:t>
      </w:r>
      <w:r w:rsidRPr="00CF1242">
        <w:rPr>
          <w:rFonts w:asciiTheme="minorHAnsi" w:hAnsiTheme="minorHAnsi" w:cstheme="minorHAnsi"/>
          <w:sz w:val="14"/>
        </w:rPr>
        <w:t xml:space="preserve"> Their interests and influence overall are likely to be more short-term than </w:t>
      </w:r>
      <w:proofErr w:type="spellStart"/>
      <w:r w:rsidRPr="00CF1242">
        <w:rPr>
          <w:rFonts w:asciiTheme="minorHAnsi" w:hAnsiTheme="minorHAnsi" w:cstheme="minorHAnsi"/>
          <w:sz w:val="14"/>
        </w:rPr>
        <w:t>longtermist</w:t>
      </w:r>
      <w:proofErr w:type="spellEnd"/>
      <w:r w:rsidRPr="00CF1242">
        <w:rPr>
          <w:rFonts w:asciiTheme="minorHAnsi" w:hAnsiTheme="minorHAnsi" w:cstheme="minorHAnsi"/>
          <w:sz w:val="14"/>
        </w:rPr>
        <w:t xml:space="preserve">. Third, </w:t>
      </w:r>
      <w:r w:rsidRPr="00EA6DFB">
        <w:rPr>
          <w:rStyle w:val="StyleUnderline"/>
          <w:rFonts w:asciiTheme="minorHAnsi" w:hAnsiTheme="minorHAnsi" w:cstheme="minorHAnsi"/>
          <w:bCs/>
        </w:rPr>
        <w:t xml:space="preserve">recent decades have seen a shift towards a stronger </w:t>
      </w:r>
      <w:r w:rsidRPr="00283B5C">
        <w:rPr>
          <w:rStyle w:val="StyleUnderline"/>
          <w:rFonts w:asciiTheme="minorHAnsi" w:hAnsiTheme="minorHAnsi" w:cstheme="minorHAnsi"/>
          <w:bCs/>
          <w:highlight w:val="cyan"/>
        </w:rPr>
        <w:t xml:space="preserve">shareholder value orientation in corporate </w:t>
      </w:r>
      <w:r w:rsidRPr="00CF0AB4">
        <w:rPr>
          <w:rStyle w:val="Emphasis"/>
          <w:highlight w:val="cyan"/>
        </w:rPr>
        <w:t>governance</w:t>
      </w:r>
      <w:r w:rsidRPr="00B12C59">
        <w:rPr>
          <w:rStyle w:val="Emphasis"/>
        </w:rPr>
        <w:t>. A common criticism of this shift is that it</w:t>
      </w:r>
      <w:r w:rsidRPr="00B12C59">
        <w:rPr>
          <w:rFonts w:asciiTheme="minorHAnsi" w:hAnsiTheme="minorHAnsi" w:cstheme="minorHAnsi"/>
          <w:b/>
          <w:bCs/>
          <w:sz w:val="14"/>
        </w:rPr>
        <w:t xml:space="preserve"> </w:t>
      </w:r>
      <w:proofErr w:type="spellStart"/>
      <w:r w:rsidRPr="00283B5C">
        <w:rPr>
          <w:rStyle w:val="StyleUnderline"/>
          <w:rFonts w:asciiTheme="minorHAnsi" w:hAnsiTheme="minorHAnsi" w:cstheme="minorHAnsi"/>
          <w:bCs/>
          <w:highlight w:val="cyan"/>
        </w:rPr>
        <w:t>incentivises</w:t>
      </w:r>
      <w:proofErr w:type="spellEnd"/>
      <w:r w:rsidRPr="00283B5C">
        <w:rPr>
          <w:rStyle w:val="StyleUnderline"/>
          <w:rFonts w:asciiTheme="minorHAnsi" w:hAnsiTheme="minorHAnsi" w:cstheme="minorHAnsi"/>
          <w:bCs/>
          <w:highlight w:val="cyan"/>
        </w:rPr>
        <w:t xml:space="preserve"> more short-term decisions</w:t>
      </w:r>
      <w:r w:rsidRPr="00283B5C">
        <w:rPr>
          <w:rFonts w:asciiTheme="minorHAnsi" w:hAnsiTheme="minorHAnsi" w:cstheme="minorHAnsi"/>
          <w:b/>
          <w:bCs/>
          <w:sz w:val="14"/>
          <w:highlight w:val="cyan"/>
        </w:rPr>
        <w:t>.</w:t>
      </w:r>
      <w:r w:rsidRPr="00CF1242">
        <w:rPr>
          <w:rFonts w:asciiTheme="minorHAnsi" w:hAnsiTheme="minorHAnsi" w:cstheme="minorHAnsi"/>
          <w:sz w:val="14"/>
        </w:rPr>
        <w:t xml:space="preserve"> Accordingly, corporate influence into public institutions will likely display </w:t>
      </w:r>
      <w:proofErr w:type="spellStart"/>
      <w:r w:rsidRPr="00CF1242">
        <w:rPr>
          <w:rFonts w:asciiTheme="minorHAnsi" w:hAnsiTheme="minorHAnsi" w:cstheme="minorHAnsi"/>
          <w:sz w:val="14"/>
        </w:rPr>
        <w:t>short-termist</w:t>
      </w:r>
      <w:proofErr w:type="spellEnd"/>
      <w:r w:rsidRPr="00CF1242">
        <w:rPr>
          <w:rFonts w:asciiTheme="minorHAnsi" w:hAnsiTheme="minorHAnsi" w:cstheme="minorHAnsi"/>
          <w:sz w:val="14"/>
        </w:rPr>
        <w:t xml:space="preserve"> bias too. Finally, we can of course imagine that ‘</w:t>
      </w:r>
      <w:proofErr w:type="spellStart"/>
      <w:r w:rsidRPr="00CF1242">
        <w:rPr>
          <w:rFonts w:asciiTheme="minorHAnsi" w:hAnsiTheme="minorHAnsi" w:cstheme="minorHAnsi"/>
          <w:sz w:val="14"/>
        </w:rPr>
        <w:t>prolongtermist</w:t>
      </w:r>
      <w:proofErr w:type="spellEnd"/>
      <w:r w:rsidRPr="00CF1242">
        <w:rPr>
          <w:rFonts w:asciiTheme="minorHAnsi" w:hAnsiTheme="minorHAnsi" w:cstheme="minorHAnsi"/>
          <w:sz w:val="14"/>
        </w:rPr>
        <w:t xml:space="preserve"> elite capture’ could happen and gamble on that possibility. However, if strong democratic and legal oversight and the power to check elite influence is lost, we might struggle to reverse our gamble. Second, </w:t>
      </w:r>
      <w:r w:rsidRPr="008F0CEA">
        <w:rPr>
          <w:rStyle w:val="StyleUnderline"/>
          <w:rFonts w:asciiTheme="minorHAnsi" w:hAnsiTheme="minorHAnsi" w:cstheme="minorHAnsi"/>
          <w:highlight w:val="cyan"/>
        </w:rPr>
        <w:t>high inequality</w:t>
      </w:r>
      <w:r w:rsidRPr="00CF1242">
        <w:rPr>
          <w:rStyle w:val="StyleUnderline"/>
          <w:rFonts w:asciiTheme="minorHAnsi" w:hAnsiTheme="minorHAnsi" w:cstheme="minorHAnsi"/>
        </w:rPr>
        <w:t xml:space="preserve"> is likely to </w:t>
      </w:r>
      <w:r w:rsidRPr="008F0CEA">
        <w:rPr>
          <w:rStyle w:val="Emphasis"/>
          <w:rFonts w:asciiTheme="minorHAnsi" w:hAnsiTheme="minorHAnsi" w:cstheme="minorHAnsi"/>
          <w:highlight w:val="cyan"/>
        </w:rPr>
        <w:t>reduce social capital and trust</w:t>
      </w:r>
      <w:r w:rsidRPr="00CF1242">
        <w:rPr>
          <w:rFonts w:asciiTheme="minorHAnsi" w:hAnsiTheme="minorHAnsi" w:cstheme="minorHAnsi"/>
          <w:sz w:val="14"/>
        </w:rPr>
        <w:t xml:space="preserve"> (</w:t>
      </w:r>
      <w:proofErr w:type="spellStart"/>
      <w:r w:rsidRPr="00CF1242">
        <w:rPr>
          <w:rFonts w:asciiTheme="minorHAnsi" w:hAnsiTheme="minorHAnsi" w:cstheme="minorHAnsi"/>
          <w:sz w:val="14"/>
        </w:rPr>
        <w:t>Alesina</w:t>
      </w:r>
      <w:proofErr w:type="spellEnd"/>
      <w:r w:rsidRPr="00CF1242">
        <w:rPr>
          <w:rFonts w:asciiTheme="minorHAnsi" w:hAnsiTheme="minorHAnsi" w:cstheme="minorHAnsi"/>
          <w:sz w:val="14"/>
        </w:rPr>
        <w:t xml:space="preserve"> and La Ferrara 2002; Knack and Keefer 1997; </w:t>
      </w:r>
      <w:proofErr w:type="spellStart"/>
      <w:r w:rsidRPr="00CF1242">
        <w:rPr>
          <w:rFonts w:asciiTheme="minorHAnsi" w:hAnsiTheme="minorHAnsi" w:cstheme="minorHAnsi"/>
          <w:sz w:val="14"/>
        </w:rPr>
        <w:t>Rothstein</w:t>
      </w:r>
      <w:proofErr w:type="spellEnd"/>
      <w:r w:rsidRPr="00CF1242">
        <w:rPr>
          <w:rFonts w:asciiTheme="minorHAnsi" w:hAnsiTheme="minorHAnsi" w:cstheme="minorHAnsi"/>
          <w:sz w:val="14"/>
        </w:rPr>
        <w:t xml:space="preserve"> and </w:t>
      </w:r>
      <w:proofErr w:type="spellStart"/>
      <w:r w:rsidRPr="00CF1242">
        <w:rPr>
          <w:rFonts w:asciiTheme="minorHAnsi" w:hAnsiTheme="minorHAnsi" w:cstheme="minorHAnsi"/>
          <w:sz w:val="14"/>
        </w:rPr>
        <w:t>Uslaner</w:t>
      </w:r>
      <w:proofErr w:type="spellEnd"/>
      <w:r w:rsidRPr="00CF1242">
        <w:rPr>
          <w:rFonts w:asciiTheme="minorHAnsi" w:hAnsiTheme="minorHAnsi" w:cstheme="minorHAnsi"/>
          <w:sz w:val="14"/>
        </w:rPr>
        <w:t xml:space="preserve"> 2005). </w:t>
      </w:r>
      <w:r w:rsidRPr="00CF1242">
        <w:rPr>
          <w:rStyle w:val="StyleUnderline"/>
          <w:rFonts w:asciiTheme="minorHAnsi" w:hAnsiTheme="minorHAnsi" w:cstheme="minorHAnsi"/>
        </w:rPr>
        <w:t xml:space="preserve">Social capital and </w:t>
      </w:r>
      <w:r w:rsidRPr="006A144C">
        <w:rPr>
          <w:rStyle w:val="StyleUnderline"/>
          <w:rFonts w:asciiTheme="minorHAnsi" w:hAnsiTheme="minorHAnsi" w:cstheme="minorHAnsi"/>
        </w:rPr>
        <w:t>trust</w:t>
      </w:r>
      <w:r w:rsidRPr="00CF1242">
        <w:rPr>
          <w:rStyle w:val="StyleUnderline"/>
          <w:rFonts w:asciiTheme="minorHAnsi" w:hAnsiTheme="minorHAnsi" w:cstheme="minorHAnsi"/>
        </w:rPr>
        <w:t xml:space="preserve"> in public institutions in turn are </w:t>
      </w:r>
      <w:r w:rsidRPr="008F0CEA">
        <w:rPr>
          <w:rStyle w:val="StyleUnderline"/>
          <w:rFonts w:asciiTheme="minorHAnsi" w:hAnsiTheme="minorHAnsi" w:cstheme="minorHAnsi"/>
          <w:highlight w:val="cyan"/>
        </w:rPr>
        <w:t>important for effective</w:t>
      </w:r>
      <w:r w:rsidRPr="00CF1242">
        <w:rPr>
          <w:rStyle w:val="StyleUnderline"/>
          <w:rFonts w:asciiTheme="minorHAnsi" w:hAnsiTheme="minorHAnsi" w:cstheme="minorHAnsi"/>
        </w:rPr>
        <w:t xml:space="preserve"> public </w:t>
      </w:r>
      <w:r w:rsidRPr="008F0CEA">
        <w:rPr>
          <w:rStyle w:val="StyleUnderline"/>
          <w:rFonts w:asciiTheme="minorHAnsi" w:hAnsiTheme="minorHAnsi" w:cstheme="minorHAnsi"/>
          <w:highlight w:val="cyan"/>
        </w:rPr>
        <w:t>goods provision</w:t>
      </w:r>
      <w:r w:rsidRPr="00CF1242">
        <w:rPr>
          <w:rStyle w:val="StyleUnderline"/>
          <w:rFonts w:asciiTheme="minorHAnsi" w:hAnsiTheme="minorHAnsi" w:cstheme="minorHAnsi"/>
        </w:rPr>
        <w:t xml:space="preserve"> </w:t>
      </w:r>
      <w:r w:rsidRPr="00CF1242">
        <w:rPr>
          <w:rFonts w:asciiTheme="minorHAnsi" w:hAnsiTheme="minorHAnsi" w:cstheme="minorHAnsi"/>
          <w:sz w:val="14"/>
        </w:rPr>
        <w:t xml:space="preserve">(Knack and </w:t>
      </w:r>
      <w:proofErr w:type="spellStart"/>
      <w:r w:rsidRPr="00CF1242">
        <w:rPr>
          <w:rFonts w:asciiTheme="minorHAnsi" w:hAnsiTheme="minorHAnsi" w:cstheme="minorHAnsi"/>
          <w:sz w:val="14"/>
        </w:rPr>
        <w:t>Keefer</w:t>
      </w:r>
      <w:proofErr w:type="spellEnd"/>
      <w:r w:rsidRPr="00CF1242">
        <w:rPr>
          <w:rFonts w:asciiTheme="minorHAnsi" w:hAnsiTheme="minorHAnsi" w:cstheme="minorHAnsi"/>
          <w:sz w:val="14"/>
        </w:rPr>
        <w:t xml:space="preserve"> 1997; </w:t>
      </w:r>
      <w:proofErr w:type="spellStart"/>
      <w:r w:rsidRPr="00CF1242">
        <w:rPr>
          <w:rFonts w:asciiTheme="minorHAnsi" w:hAnsiTheme="minorHAnsi" w:cstheme="minorHAnsi"/>
          <w:sz w:val="14"/>
        </w:rPr>
        <w:t>Beugelsdijk</w:t>
      </w:r>
      <w:proofErr w:type="spellEnd"/>
      <w:r w:rsidRPr="00CF1242">
        <w:rPr>
          <w:rFonts w:asciiTheme="minorHAnsi" w:hAnsiTheme="minorHAnsi" w:cstheme="minorHAnsi"/>
          <w:sz w:val="14"/>
        </w:rPr>
        <w:t xml:space="preserve">, </w:t>
      </w:r>
      <w:proofErr w:type="spellStart"/>
      <w:r w:rsidRPr="00CF1242">
        <w:rPr>
          <w:rFonts w:asciiTheme="minorHAnsi" w:hAnsiTheme="minorHAnsi" w:cstheme="minorHAnsi"/>
          <w:sz w:val="14"/>
        </w:rPr>
        <w:t>Groot</w:t>
      </w:r>
      <w:proofErr w:type="spellEnd"/>
      <w:r w:rsidRPr="00CF1242">
        <w:rPr>
          <w:rFonts w:asciiTheme="minorHAnsi" w:hAnsiTheme="minorHAnsi" w:cstheme="minorHAnsi"/>
          <w:sz w:val="14"/>
        </w:rPr>
        <w:t xml:space="preserve">, and </w:t>
      </w:r>
      <w:proofErr w:type="spellStart"/>
      <w:r w:rsidRPr="00CF1242">
        <w:rPr>
          <w:rFonts w:asciiTheme="minorHAnsi" w:hAnsiTheme="minorHAnsi" w:cstheme="minorHAnsi"/>
          <w:sz w:val="14"/>
        </w:rPr>
        <w:t>Schaik</w:t>
      </w:r>
      <w:proofErr w:type="spellEnd"/>
      <w:r w:rsidRPr="00CF1242">
        <w:rPr>
          <w:rFonts w:asciiTheme="minorHAnsi" w:hAnsiTheme="minorHAnsi" w:cstheme="minorHAnsi"/>
          <w:sz w:val="14"/>
        </w:rPr>
        <w:t xml:space="preserve"> 2004). Effective public goods provision, in turn, is </w:t>
      </w:r>
      <w:r w:rsidRPr="00CF1242">
        <w:rPr>
          <w:rStyle w:val="StyleUnderline"/>
          <w:rFonts w:asciiTheme="minorHAnsi" w:hAnsiTheme="minorHAnsi" w:cstheme="minorHAnsi"/>
        </w:rPr>
        <w:t>important for</w:t>
      </w:r>
      <w:r w:rsidRPr="00CF1242">
        <w:rPr>
          <w:rFonts w:asciiTheme="minorHAnsi" w:hAnsiTheme="minorHAnsi" w:cstheme="minorHAnsi"/>
          <w:sz w:val="14"/>
        </w:rPr>
        <w:t xml:space="preserve"> (some) </w:t>
      </w:r>
      <w:r w:rsidRPr="00CF1242">
        <w:rPr>
          <w:rStyle w:val="StyleUnderline"/>
          <w:rFonts w:asciiTheme="minorHAnsi" w:hAnsiTheme="minorHAnsi" w:cstheme="minorHAnsi"/>
        </w:rPr>
        <w:t>effective measures to reduce existential risk</w:t>
      </w:r>
      <w:r w:rsidRPr="00CF1242">
        <w:rPr>
          <w:rFonts w:asciiTheme="minorHAnsi" w:hAnsiTheme="minorHAnsi" w:cstheme="minorHAnsi"/>
          <w:sz w:val="14"/>
        </w:rPr>
        <w:t xml:space="preserve"> (and, more generally, to coordinate towards more valuable long-term trajectories). Therefore, high </w:t>
      </w:r>
      <w:r w:rsidRPr="008F0CEA">
        <w:rPr>
          <w:rStyle w:val="StyleUnderline"/>
          <w:rFonts w:asciiTheme="minorHAnsi" w:hAnsiTheme="minorHAnsi" w:cstheme="minorHAnsi"/>
          <w:highlight w:val="cyan"/>
        </w:rPr>
        <w:t>inequality</w:t>
      </w:r>
      <w:r w:rsidRPr="00CF1242">
        <w:rPr>
          <w:rStyle w:val="StyleUnderline"/>
          <w:rFonts w:asciiTheme="minorHAnsi" w:hAnsiTheme="minorHAnsi" w:cstheme="minorHAnsi"/>
        </w:rPr>
        <w:t xml:space="preserve"> could </w:t>
      </w:r>
      <w:r w:rsidRPr="008F0CEA">
        <w:rPr>
          <w:rStyle w:val="StyleUnderline"/>
          <w:rFonts w:asciiTheme="minorHAnsi" w:hAnsiTheme="minorHAnsi" w:cstheme="minorHAnsi"/>
          <w:highlight w:val="cyan"/>
        </w:rPr>
        <w:t>reduce</w:t>
      </w:r>
      <w:r w:rsidRPr="00CF1242">
        <w:rPr>
          <w:rStyle w:val="StyleUnderline"/>
          <w:rFonts w:asciiTheme="minorHAnsi" w:hAnsiTheme="minorHAnsi" w:cstheme="minorHAnsi"/>
        </w:rPr>
        <w:t xml:space="preserve"> societies’ </w:t>
      </w:r>
      <w:r w:rsidRPr="008F0CEA">
        <w:rPr>
          <w:rStyle w:val="StyleUnderline"/>
          <w:rFonts w:asciiTheme="minorHAnsi" w:hAnsiTheme="minorHAnsi" w:cstheme="minorHAnsi"/>
          <w:highlight w:val="cyan"/>
        </w:rPr>
        <w:t>capacities to effectively respond to large-scale challenges</w:t>
      </w:r>
      <w:r w:rsidRPr="00CF1242">
        <w:rPr>
          <w:rFonts w:asciiTheme="minorHAnsi" w:hAnsiTheme="minorHAnsi" w:cstheme="minorHAnsi"/>
          <w:sz w:val="14"/>
        </w:rPr>
        <w:t xml:space="preserve"> like existential risk. Finally, some limited direct evidence suggests </w:t>
      </w:r>
      <w:r w:rsidRPr="00B12C59">
        <w:rPr>
          <w:rStyle w:val="StyleUnderline"/>
          <w:rFonts w:asciiTheme="minorHAnsi" w:hAnsiTheme="minorHAnsi" w:cstheme="minorHAnsi"/>
        </w:rPr>
        <w:t>societies with higher social capital and lower inequality exhibit better preventive and adaptive outcomes for environmental risks</w:t>
      </w:r>
      <w:r w:rsidRPr="00B12C59">
        <w:rPr>
          <w:rFonts w:asciiTheme="minorHAnsi" w:hAnsiTheme="minorHAnsi" w:cstheme="minorHAnsi"/>
          <w:sz w:val="14"/>
        </w:rPr>
        <w:t xml:space="preserve"> and can show </w:t>
      </w:r>
      <w:r w:rsidRPr="00B12C59">
        <w:rPr>
          <w:rStyle w:val="Emphasis"/>
          <w:rFonts w:asciiTheme="minorHAnsi" w:hAnsiTheme="minorHAnsi" w:cstheme="minorHAnsi"/>
        </w:rPr>
        <w:t>greater resilience to external shocks</w:t>
      </w:r>
      <w:r w:rsidRPr="00CF1242">
        <w:rPr>
          <w:rFonts w:asciiTheme="minorHAnsi" w:hAnsiTheme="minorHAnsi" w:cstheme="minorHAnsi"/>
          <w:sz w:val="14"/>
        </w:rPr>
        <w:t xml:space="preserve"> (Bavel and Curtis 2019; Kahn 2005). For example, Matthew Kahn provides some evidence that </w:t>
      </w:r>
      <w:r w:rsidRPr="00CF1242">
        <w:rPr>
          <w:rStyle w:val="StyleUnderline"/>
          <w:rFonts w:asciiTheme="minorHAnsi" w:hAnsiTheme="minorHAnsi" w:cstheme="minorHAnsi"/>
        </w:rPr>
        <w:t>more equal countries, when controlled for GDP, have significantly lower death rates in natural catastrophes</w:t>
      </w:r>
      <w:r w:rsidRPr="00CF1242">
        <w:rPr>
          <w:rFonts w:asciiTheme="minorHAnsi" w:hAnsiTheme="minorHAnsi" w:cstheme="minorHAnsi"/>
          <w:sz w:val="14"/>
        </w:rPr>
        <w:t xml:space="preserve"> (Kahn 2005). While smaller natural catastrophes are different from global catastrophic risk scenarios, resilience in such events might be somewhat indicative of societies’ resilience to catastrophic risks. So, </w:t>
      </w:r>
      <w:r w:rsidRPr="00CF1242">
        <w:rPr>
          <w:rStyle w:val="StyleUnderline"/>
          <w:rFonts w:asciiTheme="minorHAnsi" w:hAnsiTheme="minorHAnsi" w:cstheme="minorHAnsi"/>
        </w:rPr>
        <w:t>good social and institutional conditions could help reduce existential risk</w:t>
      </w:r>
      <w:r w:rsidRPr="00CF1242">
        <w:rPr>
          <w:rFonts w:asciiTheme="minorHAnsi" w:hAnsiTheme="minorHAnsi" w:cstheme="minorHAnsi"/>
          <w:sz w:val="14"/>
        </w:rPr>
        <w:t xml:space="preserve">. Consider next how, conversely, bad conditions might increase existential risk. A </w:t>
      </w:r>
      <w:r w:rsidRPr="00CF1242">
        <w:rPr>
          <w:rStyle w:val="StyleUnderline"/>
          <w:rFonts w:asciiTheme="minorHAnsi" w:hAnsiTheme="minorHAnsi" w:cstheme="minorHAnsi"/>
        </w:rPr>
        <w:t>key driver of existential risk is conflict, both between and within nation-states</w:t>
      </w:r>
      <w:r w:rsidRPr="00CF1242">
        <w:rPr>
          <w:rFonts w:asciiTheme="minorHAnsi" w:hAnsiTheme="minorHAnsi" w:cstheme="minorHAnsi"/>
          <w:sz w:val="14"/>
        </w:rPr>
        <w:t xml:space="preserve"> (or what (Ord 2020, 175–79) calls a ‘risk factor’). </w:t>
      </w:r>
      <w:r w:rsidRPr="008F0CEA">
        <w:rPr>
          <w:rStyle w:val="StyleUnderline"/>
          <w:rFonts w:asciiTheme="minorHAnsi" w:hAnsiTheme="minorHAnsi" w:cstheme="minorHAnsi"/>
          <w:highlight w:val="cyan"/>
        </w:rPr>
        <w:t>Conflicts</w:t>
      </w:r>
      <w:r w:rsidRPr="00CF1242">
        <w:rPr>
          <w:rStyle w:val="StyleUnderline"/>
          <w:rFonts w:asciiTheme="minorHAnsi" w:hAnsiTheme="minorHAnsi" w:cstheme="minorHAnsi"/>
        </w:rPr>
        <w:t xml:space="preserve"> and arms races </w:t>
      </w:r>
      <w:r w:rsidRPr="008F0CEA">
        <w:rPr>
          <w:rStyle w:val="StyleUnderline"/>
          <w:rFonts w:asciiTheme="minorHAnsi" w:hAnsiTheme="minorHAnsi" w:cstheme="minorHAnsi"/>
          <w:highlight w:val="cyan"/>
        </w:rPr>
        <w:t>raise human-induced existential risks</w:t>
      </w:r>
      <w:r w:rsidRPr="00CF1242">
        <w:rPr>
          <w:rStyle w:val="StyleUnderline"/>
          <w:rFonts w:asciiTheme="minorHAnsi" w:hAnsiTheme="minorHAnsi" w:cstheme="minorHAnsi"/>
        </w:rPr>
        <w:t xml:space="preserve"> </w:t>
      </w:r>
      <w:r w:rsidRPr="00B12C59">
        <w:rPr>
          <w:rStyle w:val="StyleUnderline"/>
          <w:rFonts w:asciiTheme="minorHAnsi" w:hAnsiTheme="minorHAnsi" w:cstheme="minorHAnsi"/>
        </w:rPr>
        <w:t xml:space="preserve">such as </w:t>
      </w:r>
      <w:r w:rsidRPr="00EA6DFB">
        <w:rPr>
          <w:rStyle w:val="StyleUnderline"/>
          <w:rFonts w:asciiTheme="minorHAnsi" w:hAnsiTheme="minorHAnsi" w:cstheme="minorHAnsi"/>
          <w:highlight w:val="cyan"/>
        </w:rPr>
        <w:t>nuc</w:t>
      </w:r>
      <w:r w:rsidRPr="00B12C59">
        <w:rPr>
          <w:rStyle w:val="StyleUnderline"/>
          <w:rFonts w:asciiTheme="minorHAnsi" w:hAnsiTheme="minorHAnsi" w:cstheme="minorHAnsi"/>
        </w:rPr>
        <w:t xml:space="preserve">lear </w:t>
      </w:r>
      <w:r w:rsidRPr="00EA6DFB">
        <w:rPr>
          <w:rStyle w:val="StyleUnderline"/>
          <w:rFonts w:asciiTheme="minorHAnsi" w:hAnsiTheme="minorHAnsi" w:cstheme="minorHAnsi"/>
          <w:highlight w:val="cyan"/>
        </w:rPr>
        <w:t>war</w:t>
      </w:r>
      <w:r w:rsidRPr="00B12C59">
        <w:rPr>
          <w:rStyle w:val="StyleUnderline"/>
          <w:rFonts w:asciiTheme="minorHAnsi" w:hAnsiTheme="minorHAnsi" w:cstheme="minorHAnsi"/>
        </w:rPr>
        <w:t xml:space="preserve">, the outbreak of a bioengineered virus or the launch of misaligned </w:t>
      </w:r>
      <w:r w:rsidRPr="00EA6DFB">
        <w:rPr>
          <w:rStyle w:val="StyleUnderline"/>
          <w:rFonts w:asciiTheme="minorHAnsi" w:hAnsiTheme="minorHAnsi" w:cstheme="minorHAnsi"/>
          <w:highlight w:val="cyan"/>
        </w:rPr>
        <w:t>a</w:t>
      </w:r>
      <w:r w:rsidRPr="00B12C59">
        <w:rPr>
          <w:rStyle w:val="StyleUnderline"/>
          <w:rFonts w:asciiTheme="minorHAnsi" w:hAnsiTheme="minorHAnsi" w:cstheme="minorHAnsi"/>
        </w:rPr>
        <w:t xml:space="preserve">rtificial </w:t>
      </w:r>
      <w:r w:rsidRPr="00EA6DFB">
        <w:rPr>
          <w:rStyle w:val="StyleUnderline"/>
          <w:rFonts w:asciiTheme="minorHAnsi" w:hAnsiTheme="minorHAnsi" w:cstheme="minorHAnsi"/>
          <w:highlight w:val="cyan"/>
        </w:rPr>
        <w:t>i</w:t>
      </w:r>
      <w:r w:rsidRPr="00B12C59">
        <w:rPr>
          <w:rStyle w:val="StyleUnderline"/>
          <w:rFonts w:asciiTheme="minorHAnsi" w:hAnsiTheme="minorHAnsi" w:cstheme="minorHAnsi"/>
        </w:rPr>
        <w:t>ntelligence</w:t>
      </w:r>
      <w:r w:rsidRPr="00B12C59">
        <w:rPr>
          <w:rFonts w:asciiTheme="minorHAnsi" w:hAnsiTheme="minorHAnsi" w:cstheme="minorHAnsi"/>
          <w:sz w:val="14"/>
        </w:rPr>
        <w:t>. Note that an existential catastrophe</w:t>
      </w:r>
      <w:r w:rsidRPr="00CF1242">
        <w:rPr>
          <w:rFonts w:asciiTheme="minorHAnsi" w:hAnsiTheme="minorHAnsi" w:cstheme="minorHAnsi"/>
          <w:sz w:val="14"/>
        </w:rPr>
        <w:t xml:space="preserve"> could be set in motion either purposefully or accidentally. Both are more likely during conflict</w:t>
      </w:r>
      <w:r w:rsidRPr="00A56556">
        <w:rPr>
          <w:rFonts w:asciiTheme="minorHAnsi" w:hAnsiTheme="minorHAnsi" w:cstheme="minorHAnsi"/>
          <w:sz w:val="14"/>
        </w:rPr>
        <w:t xml:space="preserve">. </w:t>
      </w:r>
      <w:r w:rsidRPr="00A56556">
        <w:rPr>
          <w:rStyle w:val="StyleUnderline"/>
          <w:rFonts w:asciiTheme="minorHAnsi" w:hAnsiTheme="minorHAnsi" w:cstheme="minorHAnsi"/>
        </w:rPr>
        <w:t xml:space="preserve">Nuclear warheads, </w:t>
      </w:r>
      <w:r w:rsidRPr="00EA6DFB">
        <w:rPr>
          <w:rStyle w:val="StyleUnderline"/>
          <w:rFonts w:asciiTheme="minorHAnsi" w:hAnsiTheme="minorHAnsi" w:cstheme="minorHAnsi"/>
          <w:highlight w:val="cyan"/>
        </w:rPr>
        <w:t>cybe</w:t>
      </w:r>
      <w:r w:rsidRPr="00A56556">
        <w:rPr>
          <w:rStyle w:val="StyleUnderline"/>
          <w:rFonts w:asciiTheme="minorHAnsi" w:hAnsiTheme="minorHAnsi" w:cstheme="minorHAnsi"/>
        </w:rPr>
        <w:t xml:space="preserve">rweapons, and </w:t>
      </w:r>
      <w:r w:rsidRPr="00EA6DFB">
        <w:rPr>
          <w:rStyle w:val="StyleUnderline"/>
          <w:rFonts w:asciiTheme="minorHAnsi" w:hAnsiTheme="minorHAnsi" w:cstheme="minorHAnsi"/>
          <w:highlight w:val="cyan"/>
        </w:rPr>
        <w:t>bioweapons</w:t>
      </w:r>
      <w:r w:rsidRPr="00A56556">
        <w:rPr>
          <w:rStyle w:val="StyleUnderline"/>
          <w:rFonts w:asciiTheme="minorHAnsi" w:hAnsiTheme="minorHAnsi" w:cstheme="minorHAnsi"/>
        </w:rPr>
        <w:t xml:space="preserve"> could all be used purposefully</w:t>
      </w:r>
      <w:r w:rsidRPr="00CF1242">
        <w:rPr>
          <w:rStyle w:val="StyleUnderline"/>
          <w:rFonts w:asciiTheme="minorHAnsi" w:hAnsiTheme="minorHAnsi" w:cstheme="minorHAnsi"/>
        </w:rPr>
        <w:t xml:space="preserve"> to attack enemy states, </w:t>
      </w:r>
      <w:r w:rsidRPr="008F0CEA">
        <w:rPr>
          <w:rStyle w:val="StyleUnderline"/>
          <w:rFonts w:asciiTheme="minorHAnsi" w:hAnsiTheme="minorHAnsi" w:cstheme="minorHAnsi"/>
          <w:highlight w:val="cyan"/>
        </w:rPr>
        <w:t>lead</w:t>
      </w:r>
      <w:r w:rsidRPr="00CF1242">
        <w:rPr>
          <w:rStyle w:val="StyleUnderline"/>
          <w:rFonts w:asciiTheme="minorHAnsi" w:hAnsiTheme="minorHAnsi" w:cstheme="minorHAnsi"/>
        </w:rPr>
        <w:t xml:space="preserve">ing </w:t>
      </w:r>
      <w:r w:rsidRPr="008F0CEA">
        <w:rPr>
          <w:rStyle w:val="StyleUnderline"/>
          <w:rFonts w:asciiTheme="minorHAnsi" w:hAnsiTheme="minorHAnsi" w:cstheme="minorHAnsi"/>
          <w:highlight w:val="cyan"/>
        </w:rPr>
        <w:t>to</w:t>
      </w:r>
      <w:r w:rsidRPr="00CF1242">
        <w:rPr>
          <w:rStyle w:val="StyleUnderline"/>
          <w:rFonts w:asciiTheme="minorHAnsi" w:hAnsiTheme="minorHAnsi" w:cstheme="minorHAnsi"/>
        </w:rPr>
        <w:t xml:space="preserve"> potential </w:t>
      </w:r>
      <w:r w:rsidRPr="008F0CEA">
        <w:rPr>
          <w:rStyle w:val="Emphasis"/>
          <w:rFonts w:asciiTheme="minorHAnsi" w:hAnsiTheme="minorHAnsi" w:cstheme="minorHAnsi"/>
          <w:highlight w:val="cyan"/>
        </w:rPr>
        <w:t>global escalation</w:t>
      </w:r>
      <w:r w:rsidRPr="00CF1242">
        <w:rPr>
          <w:rFonts w:asciiTheme="minorHAnsi" w:hAnsiTheme="minorHAnsi" w:cstheme="minorHAnsi"/>
          <w:sz w:val="14"/>
        </w:rPr>
        <w:t xml:space="preserve">. But as past nuclear incidents and close calls during the Cold War show, arms races also increase the probability of accidental catastrophes (Schlosser 2013). Esteban </w:t>
      </w:r>
      <w:r w:rsidRPr="00A56556">
        <w:rPr>
          <w:rFonts w:asciiTheme="minorHAnsi" w:hAnsiTheme="minorHAnsi" w:cstheme="minorHAnsi"/>
          <w:sz w:val="14"/>
        </w:rPr>
        <w:t xml:space="preserve">and Schneider find that formal and empirical evidence suggests that </w:t>
      </w:r>
      <w:r w:rsidRPr="00A56556">
        <w:rPr>
          <w:rStyle w:val="StyleUnderline"/>
          <w:rFonts w:asciiTheme="minorHAnsi" w:hAnsiTheme="minorHAnsi" w:cstheme="minorHAnsi"/>
        </w:rPr>
        <w:t>political and social polarization increases the risk of violent conflict, both intra-nationally and internationally</w:t>
      </w:r>
      <w:r w:rsidRPr="00A56556">
        <w:rPr>
          <w:rFonts w:asciiTheme="minorHAnsi" w:hAnsiTheme="minorHAnsi" w:cstheme="minorHAnsi"/>
          <w:sz w:val="14"/>
        </w:rPr>
        <w:t xml:space="preserve"> (Esteban and Schneider 2008). </w:t>
      </w:r>
      <w:r w:rsidRPr="00A56556">
        <w:rPr>
          <w:rStyle w:val="StyleUnderline"/>
          <w:rFonts w:asciiTheme="minorHAnsi" w:hAnsiTheme="minorHAnsi" w:cstheme="minorHAnsi"/>
        </w:rPr>
        <w:t>If income inequalit</w:t>
      </w:r>
      <w:r w:rsidRPr="00CF1242">
        <w:rPr>
          <w:rStyle w:val="StyleUnderline"/>
          <w:rFonts w:asciiTheme="minorHAnsi" w:hAnsiTheme="minorHAnsi" w:cstheme="minorHAnsi"/>
        </w:rPr>
        <w:t>y increases polarization, inequality may indirectly drive existential risk</w:t>
      </w:r>
      <w:r w:rsidRPr="00CF1242">
        <w:rPr>
          <w:rFonts w:asciiTheme="minorHAnsi" w:hAnsiTheme="minorHAnsi" w:cstheme="minorHAnsi"/>
          <w:sz w:val="14"/>
        </w:rPr>
        <w:t xml:space="preserve">. Indeed, </w:t>
      </w:r>
      <w:r w:rsidRPr="00CF1242">
        <w:rPr>
          <w:rStyle w:val="StyleUnderline"/>
          <w:rFonts w:asciiTheme="minorHAnsi" w:hAnsiTheme="minorHAnsi" w:cstheme="minorHAnsi"/>
        </w:rPr>
        <w:t xml:space="preserve">recent </w:t>
      </w:r>
      <w:r w:rsidRPr="008F0CEA">
        <w:rPr>
          <w:rStyle w:val="StyleUnderline"/>
          <w:rFonts w:asciiTheme="minorHAnsi" w:hAnsiTheme="minorHAnsi" w:cstheme="minorHAnsi"/>
          <w:highlight w:val="cyan"/>
        </w:rPr>
        <w:t>evidence suggests</w:t>
      </w:r>
      <w:r w:rsidRPr="00CF1242">
        <w:rPr>
          <w:rStyle w:val="StyleUnderline"/>
          <w:rFonts w:asciiTheme="minorHAnsi" w:hAnsiTheme="minorHAnsi" w:cstheme="minorHAnsi"/>
        </w:rPr>
        <w:t xml:space="preserve"> that income </w:t>
      </w:r>
      <w:r w:rsidRPr="008F0CEA">
        <w:rPr>
          <w:rStyle w:val="StyleUnderline"/>
          <w:rFonts w:asciiTheme="minorHAnsi" w:hAnsiTheme="minorHAnsi" w:cstheme="minorHAnsi"/>
          <w:highlight w:val="cyan"/>
        </w:rPr>
        <w:t>inequality</w:t>
      </w:r>
      <w:r w:rsidRPr="00CF1242">
        <w:rPr>
          <w:rStyle w:val="StyleUnderline"/>
          <w:rFonts w:asciiTheme="minorHAnsi" w:hAnsiTheme="minorHAnsi" w:cstheme="minorHAnsi"/>
        </w:rPr>
        <w:t xml:space="preserve"> can </w:t>
      </w:r>
      <w:r w:rsidRPr="008F0CEA">
        <w:rPr>
          <w:rStyle w:val="Emphasis"/>
          <w:rFonts w:asciiTheme="minorHAnsi" w:hAnsiTheme="minorHAnsi" w:cstheme="minorHAnsi"/>
          <w:highlight w:val="cyan"/>
        </w:rPr>
        <w:t>increase the degree of polarization</w:t>
      </w:r>
      <w:r w:rsidRPr="00CF1242">
        <w:rPr>
          <w:rStyle w:val="StyleUnderline"/>
          <w:rFonts w:asciiTheme="minorHAnsi" w:hAnsiTheme="minorHAnsi" w:cstheme="minorHAnsi"/>
        </w:rPr>
        <w:t xml:space="preserve"> between groups of citizens</w:t>
      </w:r>
      <w:r w:rsidRPr="00CF1242">
        <w:rPr>
          <w:rFonts w:asciiTheme="minorHAnsi" w:hAnsiTheme="minorHAnsi" w:cstheme="minorHAnsi"/>
          <w:sz w:val="14"/>
        </w:rPr>
        <w:t xml:space="preserve">. Bonica et al. find that the </w:t>
      </w:r>
      <w:r w:rsidRPr="00CF1242">
        <w:rPr>
          <w:rStyle w:val="StyleUnderline"/>
          <w:rFonts w:asciiTheme="minorHAnsi" w:hAnsiTheme="minorHAnsi" w:cstheme="minorHAnsi"/>
        </w:rPr>
        <w:t>degree of polarization within the US House of Representatives</w:t>
      </w:r>
      <w:r w:rsidRPr="00CF1242">
        <w:rPr>
          <w:rFonts w:asciiTheme="minorHAnsi" w:hAnsiTheme="minorHAnsi" w:cstheme="minorHAnsi"/>
          <w:sz w:val="14"/>
        </w:rPr>
        <w:t xml:space="preserve">, for example, </w:t>
      </w:r>
      <w:r w:rsidRPr="00CF1242">
        <w:rPr>
          <w:rStyle w:val="StyleUnderline"/>
          <w:rFonts w:asciiTheme="minorHAnsi" w:hAnsiTheme="minorHAnsi" w:cstheme="minorHAnsi"/>
        </w:rPr>
        <w:t>is accurately tracked by domestic income inequality</w:t>
      </w:r>
      <w:r w:rsidRPr="00CF1242">
        <w:rPr>
          <w:rFonts w:asciiTheme="minorHAnsi" w:hAnsiTheme="minorHAnsi" w:cstheme="minorHAnsi"/>
          <w:sz w:val="14"/>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CF1242">
        <w:rPr>
          <w:rStyle w:val="StyleUnderline"/>
          <w:rFonts w:asciiTheme="minorHAnsi" w:hAnsiTheme="minorHAnsi" w:cstheme="minorHAnsi"/>
        </w:rPr>
        <w:t>we should assign a non-negligible credence to inequality partially causing polarization</w:t>
      </w:r>
      <w:r w:rsidRPr="00CF1242">
        <w:rPr>
          <w:rFonts w:asciiTheme="minorHAnsi" w:hAnsiTheme="minorHAnsi" w:cstheme="minorHAnsi"/>
          <w:sz w:val="14"/>
        </w:rPr>
        <w:t xml:space="preserve">. Moreover, </w:t>
      </w:r>
      <w:r w:rsidRPr="00CF1242">
        <w:rPr>
          <w:rStyle w:val="StyleUnderline"/>
          <w:rFonts w:asciiTheme="minorHAnsi" w:hAnsiTheme="minorHAnsi" w:cstheme="minorHAnsi"/>
        </w:rPr>
        <w:t xml:space="preserve">inequality and </w:t>
      </w:r>
      <w:proofErr w:type="spellStart"/>
      <w:r w:rsidRPr="00CF1242">
        <w:rPr>
          <w:rStyle w:val="StyleUnderline"/>
          <w:rFonts w:asciiTheme="minorHAnsi" w:hAnsiTheme="minorHAnsi" w:cstheme="minorHAnsi"/>
        </w:rPr>
        <w:t>polarisation</w:t>
      </w:r>
      <w:proofErr w:type="spellEnd"/>
      <w:r w:rsidRPr="00CF1242">
        <w:rPr>
          <w:rStyle w:val="StyleUnderline"/>
          <w:rFonts w:asciiTheme="minorHAnsi" w:hAnsiTheme="minorHAnsi" w:cstheme="minorHAnsi"/>
        </w:rPr>
        <w:t xml:space="preserve"> might also </w:t>
      </w:r>
      <w:r w:rsidRPr="008F0CEA">
        <w:rPr>
          <w:rStyle w:val="StyleUnderline"/>
          <w:rFonts w:asciiTheme="minorHAnsi" w:hAnsiTheme="minorHAnsi" w:cstheme="minorHAnsi"/>
          <w:highlight w:val="cyan"/>
        </w:rPr>
        <w:t>play</w:t>
      </w:r>
      <w:r w:rsidRPr="00CF1242">
        <w:rPr>
          <w:rStyle w:val="StyleUnderline"/>
          <w:rFonts w:asciiTheme="minorHAnsi" w:hAnsiTheme="minorHAnsi" w:cstheme="minorHAnsi"/>
        </w:rPr>
        <w:t xml:space="preserve"> some </w:t>
      </w:r>
      <w:r w:rsidRPr="008F0CEA">
        <w:rPr>
          <w:rStyle w:val="StyleUnderline"/>
          <w:rFonts w:asciiTheme="minorHAnsi" w:hAnsiTheme="minorHAnsi" w:cstheme="minorHAnsi"/>
          <w:highlight w:val="cyan"/>
        </w:rPr>
        <w:t>role in</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getting</w:t>
      </w:r>
      <w:r w:rsidRPr="00CF1242">
        <w:rPr>
          <w:rStyle w:val="StyleUnderline"/>
          <w:rFonts w:asciiTheme="minorHAnsi" w:hAnsiTheme="minorHAnsi" w:cstheme="minorHAnsi"/>
        </w:rPr>
        <w:t xml:space="preserve"> </w:t>
      </w:r>
      <w:proofErr w:type="spellStart"/>
      <w:r w:rsidRPr="00CF1242">
        <w:rPr>
          <w:rStyle w:val="StyleUnderline"/>
          <w:rFonts w:asciiTheme="minorHAnsi" w:hAnsiTheme="minorHAnsi" w:cstheme="minorHAnsi"/>
        </w:rPr>
        <w:t>polarising</w:t>
      </w:r>
      <w:proofErr w:type="spellEnd"/>
      <w:r w:rsidRPr="00CF1242">
        <w:rPr>
          <w:rStyle w:val="StyleUnderline"/>
          <w:rFonts w:asciiTheme="minorHAnsi" w:hAnsiTheme="minorHAnsi" w:cstheme="minorHAnsi"/>
        </w:rPr>
        <w:t xml:space="preserve"> and </w:t>
      </w:r>
      <w:r w:rsidRPr="008F0CEA">
        <w:rPr>
          <w:rStyle w:val="StyleUnderline"/>
          <w:rFonts w:asciiTheme="minorHAnsi" w:hAnsiTheme="minorHAnsi" w:cstheme="minorHAnsi"/>
          <w:highlight w:val="cyan"/>
        </w:rPr>
        <w:t>populist candidates elected</w:t>
      </w:r>
      <w:r w:rsidRPr="00CF1242">
        <w:rPr>
          <w:rFonts w:asciiTheme="minorHAnsi" w:hAnsiTheme="minorHAnsi" w:cstheme="minorHAnsi"/>
          <w:sz w:val="14"/>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6A144C">
        <w:rPr>
          <w:rStyle w:val="StyleUnderline"/>
          <w:rFonts w:asciiTheme="minorHAnsi" w:hAnsiTheme="minorHAnsi" w:cstheme="minorHAnsi"/>
        </w:rPr>
        <w:t>Populist politicians</w:t>
      </w:r>
      <w:r w:rsidRPr="00CF1242">
        <w:rPr>
          <w:rFonts w:asciiTheme="minorHAnsi" w:hAnsiTheme="minorHAnsi" w:cstheme="minorHAnsi"/>
          <w:sz w:val="14"/>
        </w:rPr>
        <w:t xml:space="preserve"> – like Trump, Bolsonaro and others – are likely bad news for existential risk reduction. They are </w:t>
      </w:r>
      <w:r w:rsidRPr="008F0CEA">
        <w:rPr>
          <w:rStyle w:val="StyleUnderline"/>
          <w:rFonts w:asciiTheme="minorHAnsi" w:hAnsiTheme="minorHAnsi" w:cstheme="minorHAnsi"/>
          <w:highlight w:val="cyan"/>
        </w:rPr>
        <w:t xml:space="preserve">less </w:t>
      </w:r>
      <w:r w:rsidRPr="00CF0AB4">
        <w:rPr>
          <w:rStyle w:val="StyleUnderline"/>
          <w:rFonts w:asciiTheme="minorHAnsi" w:hAnsiTheme="minorHAnsi" w:cstheme="minorHAnsi"/>
          <w:highlight w:val="cyan"/>
        </w:rPr>
        <w:t>cooperative</w:t>
      </w:r>
      <w:r w:rsidRPr="00CF1242">
        <w:rPr>
          <w:rStyle w:val="StyleUnderline"/>
          <w:rFonts w:asciiTheme="minorHAnsi" w:hAnsiTheme="minorHAnsi" w:cstheme="minorHAnsi"/>
        </w:rPr>
        <w:t xml:space="preserve"> in delivering regional and global public goods and typically </w:t>
      </w:r>
      <w:r w:rsidRPr="008F0CEA">
        <w:rPr>
          <w:rStyle w:val="StyleUnderline"/>
          <w:rFonts w:asciiTheme="minorHAnsi" w:hAnsiTheme="minorHAnsi" w:cstheme="minorHAnsi"/>
          <w:highlight w:val="cyan"/>
        </w:rPr>
        <w:t>prefer</w:t>
      </w:r>
      <w:r w:rsidRPr="00CF1242">
        <w:rPr>
          <w:rStyle w:val="StyleUnderline"/>
          <w:rFonts w:asciiTheme="minorHAnsi" w:hAnsiTheme="minorHAnsi" w:cstheme="minorHAnsi"/>
        </w:rPr>
        <w:t xml:space="preserve"> riskier, and </w:t>
      </w:r>
      <w:r w:rsidRPr="008F0CEA">
        <w:rPr>
          <w:rStyle w:val="Emphasis"/>
          <w:rFonts w:asciiTheme="minorHAnsi" w:hAnsiTheme="minorHAnsi" w:cstheme="minorHAnsi"/>
          <w:highlight w:val="cyan"/>
        </w:rPr>
        <w:t>more conflictual and nationalistic policy</w:t>
      </w:r>
      <w:r w:rsidRPr="00CF1242">
        <w:rPr>
          <w:rStyle w:val="Emphasis"/>
          <w:rFonts w:asciiTheme="minorHAnsi" w:hAnsiTheme="minorHAnsi" w:cstheme="minorHAnsi"/>
        </w:rPr>
        <w:t xml:space="preserve"> styles</w:t>
      </w:r>
      <w:r w:rsidRPr="00CF1242">
        <w:rPr>
          <w:rFonts w:asciiTheme="minorHAnsi" w:hAnsiTheme="minorHAnsi" w:cstheme="minorHAnsi"/>
          <w:sz w:val="14"/>
        </w:rPr>
        <w:t>.</w:t>
      </w:r>
    </w:p>
    <w:p w14:paraId="0CC7BC52" w14:textId="77777777" w:rsidR="00043739" w:rsidRPr="00A4766B" w:rsidRDefault="00043739" w:rsidP="00043739"/>
    <w:p w14:paraId="65905AB9" w14:textId="426322C4" w:rsidR="00043739" w:rsidRDefault="003F138E" w:rsidP="00043739">
      <w:pPr>
        <w:pStyle w:val="Heading4"/>
        <w:rPr>
          <w:rFonts w:eastAsia="Times New Roman"/>
        </w:rPr>
      </w:pPr>
      <w:r>
        <w:rPr>
          <w:rFonts w:eastAsia="Times New Roman"/>
        </w:rPr>
        <w:t>Independently, repealing right to work increases</w:t>
      </w:r>
      <w:r w:rsidR="00043739">
        <w:rPr>
          <w:rFonts w:eastAsia="Times New Roman"/>
        </w:rPr>
        <w:t xml:space="preserve"> unionization – data proves</w:t>
      </w:r>
    </w:p>
    <w:p w14:paraId="6DF5493D" w14:textId="77777777" w:rsidR="00043739" w:rsidRPr="008C49AA" w:rsidRDefault="00043739" w:rsidP="00043739">
      <w:r w:rsidRPr="008C49AA">
        <w:rPr>
          <w:rStyle w:val="Heading4Char"/>
        </w:rPr>
        <w:t>Sainato 25</w:t>
      </w:r>
      <w:r w:rsidRPr="008C49AA">
        <w:t xml:space="preserve"> [Experienced Journalist with a demonstrated history of working in the media industry. Strong media and communication professional with a Bachelor of Arts focused in English Language and Literature from Binghamton University with focus on labor and economic issues; 2022 Labor and Employment Relations Association Kenneth May Media Award winner. “US union membership declining in ‘right-to-work’ states, report reveals”; The Guardian; </w:t>
      </w:r>
      <w:hyperlink r:id="rId51" w:history="1">
        <w:r w:rsidRPr="008C49AA">
          <w:rPr>
            <w:rStyle w:val="Hyperlink"/>
          </w:rPr>
          <w:t>https://www.theguardian.com/us-news/2025/sep/08/us-union-membership-report</w:t>
        </w:r>
      </w:hyperlink>
      <w:r w:rsidRPr="008C49AA">
        <w:t>. 8 September 2025] – Anastasia</w:t>
      </w:r>
    </w:p>
    <w:p w14:paraId="7607A7C9" w14:textId="77777777" w:rsidR="00043739" w:rsidRPr="008D0EDB" w:rsidRDefault="00043739" w:rsidP="00043739"/>
    <w:p w14:paraId="1EBCC92D" w14:textId="77777777" w:rsidR="00043739" w:rsidRPr="00897BE3" w:rsidRDefault="00043739" w:rsidP="00043739">
      <w:r w:rsidRPr="00897BE3">
        <w:t>Growing divide across US as membership increasing – and wages higher – in states that protect workers’ rights</w:t>
      </w:r>
    </w:p>
    <w:p w14:paraId="4B7E8044" w14:textId="77777777" w:rsidR="00043739" w:rsidRPr="00897BE3" w:rsidRDefault="00043739" w:rsidP="00043739">
      <w:r w:rsidRPr="00897BE3">
        <w:t>Add another growing split to the increasingly divided United States: union membership.</w:t>
      </w:r>
    </w:p>
    <w:p w14:paraId="4F0B7E07" w14:textId="77777777" w:rsidR="00043739" w:rsidRPr="00897BE3" w:rsidRDefault="00043739" w:rsidP="00043739">
      <w:pPr>
        <w:rPr>
          <w:u w:val="single"/>
        </w:rPr>
      </w:pPr>
      <w:r w:rsidRPr="00897BE3">
        <w:rPr>
          <w:u w:val="single"/>
        </w:rPr>
        <w:t>US states that protect unions’ collective bargaining rights have experienced an increase in new union members, while states with anti-union “right to work” laws are responsible for declines in union members, a new </w:t>
      </w:r>
      <w:hyperlink r:id="rId52" w:history="1">
        <w:r w:rsidRPr="00897BE3">
          <w:rPr>
            <w:rStyle w:val="Hyperlink"/>
          </w:rPr>
          <w:t>report </w:t>
        </w:r>
      </w:hyperlink>
      <w:r w:rsidRPr="00897BE3">
        <w:rPr>
          <w:u w:val="single"/>
        </w:rPr>
        <w:t>reveals.</w:t>
      </w:r>
    </w:p>
    <w:p w14:paraId="06EEBDC5" w14:textId="77777777" w:rsidR="00043739" w:rsidRPr="00897BE3" w:rsidRDefault="00043739" w:rsidP="00043739">
      <w:r w:rsidRPr="00897BE3">
        <w:t>The report on the state of unions by the Illinois Economic Policy Institute and the Project for Middle Class Renewal at the University of Illinois at Urbana-Champaign found significant discrepancies between the 26 states in the US with “right to work” laws compared with the 24 states and Washington DC that protect collective bargaining rights.</w:t>
      </w:r>
    </w:p>
    <w:p w14:paraId="0FF2DF46" w14:textId="77777777" w:rsidR="00043739" w:rsidRPr="00897BE3" w:rsidRDefault="00043739" w:rsidP="00043739">
      <w:pPr>
        <w:rPr>
          <w:u w:val="single"/>
        </w:rPr>
      </w:pPr>
      <w:r w:rsidRPr="00897BE3">
        <w:rPr>
          <w:u w:val="single"/>
        </w:rPr>
        <w:t xml:space="preserve">The </w:t>
      </w:r>
      <w:r w:rsidRPr="00897BE3">
        <w:rPr>
          <w:b/>
          <w:bCs/>
          <w:highlight w:val="cyan"/>
          <w:u w:val="single"/>
        </w:rPr>
        <w:t>right-to-work states</w:t>
      </w:r>
      <w:r w:rsidRPr="00897BE3">
        <w:rPr>
          <w:u w:val="single"/>
        </w:rPr>
        <w:t>, concentrated in the south and central US</w:t>
      </w:r>
      <w:r w:rsidRPr="00897BE3">
        <w:rPr>
          <w:b/>
          <w:bCs/>
          <w:u w:val="single"/>
        </w:rPr>
        <w:t xml:space="preserve">, </w:t>
      </w:r>
      <w:r w:rsidRPr="00897BE3">
        <w:rPr>
          <w:b/>
          <w:bCs/>
          <w:highlight w:val="cyan"/>
          <w:u w:val="single"/>
        </w:rPr>
        <w:t>have a union density of 5.1%, compared with 14.2% for states with collective bargaining rights</w:t>
      </w:r>
      <w:r w:rsidRPr="00897BE3">
        <w:rPr>
          <w:highlight w:val="cyan"/>
          <w:u w:val="single"/>
        </w:rPr>
        <w:t>,</w:t>
      </w:r>
      <w:r w:rsidRPr="00897BE3">
        <w:rPr>
          <w:u w:val="single"/>
        </w:rPr>
        <w:t xml:space="preserve"> concentrated on the coasts and in the north.</w:t>
      </w:r>
    </w:p>
    <w:p w14:paraId="736C3673" w14:textId="77777777" w:rsidR="00043739" w:rsidRPr="008D0EDB" w:rsidRDefault="00043739" w:rsidP="00043739">
      <w:pPr>
        <w:rPr>
          <w:u w:val="single"/>
        </w:rPr>
      </w:pPr>
      <w:r w:rsidRPr="00897BE3">
        <w:rPr>
          <w:b/>
          <w:bCs/>
          <w:highlight w:val="cyan"/>
          <w:u w:val="single"/>
        </w:rPr>
        <w:t>Workers in right-to-work states earn about 7% less in wages</w:t>
      </w:r>
      <w:r w:rsidRPr="00897BE3">
        <w:rPr>
          <w:b/>
          <w:bCs/>
          <w:u w:val="single"/>
        </w:rPr>
        <w:t xml:space="preserve">, accounting for local differences in the cost of living. </w:t>
      </w:r>
      <w:r w:rsidRPr="00897BE3">
        <w:rPr>
          <w:u w:val="single"/>
        </w:rPr>
        <w:t>According to the AFL-CIO, the US’s largest labor federation, states with right-to-work laws </w:t>
      </w:r>
      <w:hyperlink r:id="rId53" w:history="1">
        <w:r w:rsidRPr="00897BE3">
          <w:rPr>
            <w:rStyle w:val="Hyperlink"/>
          </w:rPr>
          <w:t>received</w:t>
        </w:r>
      </w:hyperlink>
      <w:r w:rsidRPr="00897BE3">
        <w:rPr>
          <w:u w:val="single"/>
        </w:rPr>
        <w:t> 36% higher discrimination charges from the Equal Employment Opportunity Commission on average.</w:t>
      </w:r>
    </w:p>
    <w:p w14:paraId="1971D88F" w14:textId="77777777" w:rsidR="00043739" w:rsidRPr="00897BE3" w:rsidRDefault="00043739" w:rsidP="00043739">
      <w:r w:rsidRPr="00897BE3">
        <w:t>Right-to-work laws allow workers represented by unions to stop paying dues for the services and benefits they receive through union representation, depleting resources from labor unions. Public sector workers in all 50 states have also had their collective bargaining rights stripped through the imposition of right-to-work laws by the US supreme court’s 2018 decision </w:t>
      </w:r>
      <w:hyperlink r:id="rId54" w:history="1">
        <w:r w:rsidRPr="00897BE3">
          <w:rPr>
            <w:rStyle w:val="Hyperlink"/>
          </w:rPr>
          <w:t>Janus v AFSCME.</w:t>
        </w:r>
      </w:hyperlink>
    </w:p>
    <w:p w14:paraId="3F8DA650" w14:textId="77777777" w:rsidR="00043739" w:rsidRPr="00897BE3" w:rsidRDefault="00043739" w:rsidP="00043739">
      <w:pPr>
        <w:rPr>
          <w:u w:val="single"/>
        </w:rPr>
      </w:pPr>
      <w:r w:rsidRPr="00897BE3">
        <w:rPr>
          <w:u w:val="single"/>
        </w:rPr>
        <w:t>In 2024, states that protect collective bargaining saw an increase of nearly 10,000 union members, compared with the loss of 200,000 union members in states with right-to-work laws.</w:t>
      </w:r>
    </w:p>
    <w:p w14:paraId="38322607" w14:textId="77777777" w:rsidR="00043739" w:rsidRPr="00897BE3" w:rsidRDefault="00043739" w:rsidP="00043739">
      <w:pPr>
        <w:rPr>
          <w:u w:val="single"/>
        </w:rPr>
      </w:pPr>
      <w:r w:rsidRPr="00897BE3">
        <w:rPr>
          <w:u w:val="single"/>
        </w:rPr>
        <w:t>The report analyzed the impact of Illinois’ 2022 constitutional amendment that guarantees the right of collective bargaining and bans right-to-work laws. Illinois added 27,000 union members in 2024, increasing its unionization rate to 13.1%. Illinois organized more union members from 2022 through 2024, 18,300 members, than the previous seven years combined, the report states.</w:t>
      </w:r>
    </w:p>
    <w:p w14:paraId="76E9A1A6" w14:textId="77777777" w:rsidR="00043739" w:rsidRPr="00897BE3" w:rsidRDefault="00043739" w:rsidP="00043739">
      <w:pPr>
        <w:rPr>
          <w:b/>
          <w:bCs/>
          <w:u w:val="single"/>
        </w:rPr>
      </w:pPr>
      <w:r w:rsidRPr="00897BE3">
        <w:rPr>
          <w:b/>
          <w:bCs/>
          <w:u w:val="single"/>
        </w:rPr>
        <w:t xml:space="preserve">The report found </w:t>
      </w:r>
      <w:r w:rsidRPr="00897BE3">
        <w:rPr>
          <w:b/>
          <w:bCs/>
          <w:highlight w:val="cyan"/>
          <w:u w:val="single"/>
        </w:rPr>
        <w:t>union members</w:t>
      </w:r>
      <w:r w:rsidRPr="00897BE3">
        <w:rPr>
          <w:b/>
          <w:bCs/>
          <w:u w:val="single"/>
        </w:rPr>
        <w:t xml:space="preserve"> in Illinois </w:t>
      </w:r>
      <w:r w:rsidRPr="00897BE3">
        <w:rPr>
          <w:b/>
          <w:bCs/>
          <w:highlight w:val="cyan"/>
          <w:u w:val="single"/>
        </w:rPr>
        <w:t>are also 8.3% more likely to own homes</w:t>
      </w:r>
      <w:r w:rsidRPr="00897BE3">
        <w:rPr>
          <w:b/>
          <w:bCs/>
          <w:u w:val="single"/>
        </w:rPr>
        <w:t xml:space="preserve">, </w:t>
      </w:r>
      <w:r w:rsidRPr="00897BE3">
        <w:rPr>
          <w:b/>
          <w:bCs/>
          <w:highlight w:val="cyan"/>
          <w:u w:val="single"/>
        </w:rPr>
        <w:t>5.2%</w:t>
      </w:r>
      <w:r w:rsidRPr="00897BE3">
        <w:rPr>
          <w:b/>
          <w:bCs/>
          <w:u w:val="single"/>
        </w:rPr>
        <w:t xml:space="preserve"> more likely </w:t>
      </w:r>
      <w:r w:rsidRPr="00897BE3">
        <w:rPr>
          <w:b/>
          <w:bCs/>
          <w:highlight w:val="cyan"/>
          <w:u w:val="single"/>
        </w:rPr>
        <w:t>to have health insurance coverage</w:t>
      </w:r>
      <w:r w:rsidRPr="00897BE3">
        <w:rPr>
          <w:b/>
          <w:bCs/>
          <w:u w:val="single"/>
        </w:rPr>
        <w:t xml:space="preserve">, and </w:t>
      </w:r>
      <w:r w:rsidRPr="00897BE3">
        <w:rPr>
          <w:b/>
          <w:bCs/>
          <w:highlight w:val="cyan"/>
          <w:u w:val="single"/>
        </w:rPr>
        <w:t>1 to 4 percentage points less likely to rely on government assistance programs</w:t>
      </w:r>
      <w:r w:rsidRPr="00897BE3">
        <w:rPr>
          <w:b/>
          <w:bCs/>
          <w:u w:val="single"/>
        </w:rPr>
        <w:t xml:space="preserve"> such as Medicaid and Snap food assistance benefits.</w:t>
      </w:r>
    </w:p>
    <w:p w14:paraId="7BEB459A" w14:textId="77777777" w:rsidR="00043739" w:rsidRPr="00897BE3" w:rsidRDefault="00043739" w:rsidP="00043739">
      <w:pPr>
        <w:rPr>
          <w:u w:val="single"/>
        </w:rPr>
      </w:pPr>
      <w:r w:rsidRPr="00897BE3">
        <w:rPr>
          <w:u w:val="single"/>
        </w:rPr>
        <w:t>Similar results were found in Michigan in the wake of </w:t>
      </w:r>
      <w:hyperlink r:id="rId55" w:history="1">
        <w:r w:rsidRPr="00897BE3">
          <w:rPr>
            <w:rStyle w:val="Hyperlink"/>
          </w:rPr>
          <w:t>repealing </w:t>
        </w:r>
      </w:hyperlink>
      <w:r w:rsidRPr="00897BE3">
        <w:rPr>
          <w:u w:val="single"/>
        </w:rPr>
        <w:t>the state’s “right to work” law in 2023. Nearly 15,000 union members were added in Michigan from 2023 to 2024.</w:t>
      </w:r>
    </w:p>
    <w:p w14:paraId="0BDA1F28" w14:textId="77777777" w:rsidR="00043739" w:rsidRPr="00897BE3" w:rsidRDefault="00043739" w:rsidP="00043739">
      <w:r w:rsidRPr="00897BE3">
        <w:t>The report comes as the Massachusetts senator Elizabeth Warren and the California representative Brad Sherman have </w:t>
      </w:r>
      <w:hyperlink r:id="rId56" w:history="1">
        <w:r w:rsidRPr="00897BE3">
          <w:rPr>
            <w:rStyle w:val="Hyperlink"/>
          </w:rPr>
          <w:t>reintroduced</w:t>
        </w:r>
      </w:hyperlink>
      <w:r w:rsidRPr="00897BE3">
        <w:t> the nationwide right to unionize act last week, a bill to invalidate right-to-work laws that weaken unions’ ability to organize workers.</w:t>
      </w:r>
    </w:p>
    <w:p w14:paraId="49E9FEE6" w14:textId="77777777" w:rsidR="00043739" w:rsidRPr="00897BE3" w:rsidRDefault="00043739" w:rsidP="00043739">
      <w:pPr>
        <w:rPr>
          <w:b/>
          <w:bCs/>
          <w:u w:val="single"/>
        </w:rPr>
      </w:pPr>
      <w:r w:rsidRPr="00897BE3">
        <w:rPr>
          <w:u w:val="single"/>
        </w:rPr>
        <w:t>Frank Manzo, co-author of the report and an economist at the Illinois Economic Policy Institute, noted that despite the headwinds facing labor unions in terms of the Janus decision</w:t>
      </w:r>
      <w:r w:rsidRPr="00897BE3">
        <w:rPr>
          <w:b/>
          <w:bCs/>
          <w:u w:val="single"/>
        </w:rPr>
        <w:t xml:space="preserve">, weak labor laws and overwhelmingly opposition to unionization from employers, </w:t>
      </w:r>
      <w:r w:rsidRPr="00897BE3">
        <w:rPr>
          <w:b/>
          <w:bCs/>
          <w:highlight w:val="cyan"/>
          <w:u w:val="single"/>
        </w:rPr>
        <w:t>unions have remained steadfast in states that protect collective bargaining</w:t>
      </w:r>
      <w:r w:rsidRPr="00897BE3">
        <w:rPr>
          <w:b/>
          <w:bCs/>
          <w:u w:val="single"/>
        </w:rPr>
        <w:t xml:space="preserve"> while declining in those that do not.</w:t>
      </w:r>
    </w:p>
    <w:p w14:paraId="30E48E54" w14:textId="77777777" w:rsidR="00043739" w:rsidRPr="00897BE3" w:rsidRDefault="00043739" w:rsidP="00043739">
      <w:pPr>
        <w:rPr>
          <w:u w:val="single"/>
        </w:rPr>
      </w:pPr>
      <w:r w:rsidRPr="00897BE3">
        <w:rPr>
          <w:u w:val="single"/>
        </w:rPr>
        <w:t>“It’s all occurring at a time when support for unions remains high and bipartisan, with seven in 10 Americans approving unions, and millions of workers reporting that they would join unions and would organize their workplaces if they could, per surveys,” said Manzo. “</w:t>
      </w:r>
      <w:r w:rsidRPr="00897BE3">
        <w:rPr>
          <w:b/>
          <w:bCs/>
          <w:highlight w:val="cyan"/>
          <w:u w:val="single"/>
        </w:rPr>
        <w:t>The economy does better, workers do better and taxpayers do better</w:t>
      </w:r>
      <w:r w:rsidRPr="00897BE3">
        <w:rPr>
          <w:b/>
          <w:bCs/>
          <w:u w:val="single"/>
        </w:rPr>
        <w:t xml:space="preserve"> when states and the federal government allows and, in fact, encourages workers to collectively bargain</w:t>
      </w:r>
      <w:r w:rsidRPr="00897BE3">
        <w:rPr>
          <w:u w:val="single"/>
        </w:rPr>
        <w:t>.”</w:t>
      </w:r>
    </w:p>
    <w:p w14:paraId="4B34FF03" w14:textId="77777777" w:rsidR="00043739" w:rsidRPr="00897BE3" w:rsidRDefault="00043739" w:rsidP="00043739">
      <w:pPr>
        <w:rPr>
          <w:u w:val="single"/>
        </w:rPr>
      </w:pPr>
      <w:r w:rsidRPr="00897BE3">
        <w:rPr>
          <w:u w:val="single"/>
        </w:rPr>
        <w:t xml:space="preserve">“It is very difficult to organize a union, and it is difficult to get a first contract. When </w:t>
      </w:r>
      <w:r w:rsidRPr="00897BE3">
        <w:rPr>
          <w:b/>
          <w:bCs/>
          <w:u w:val="single"/>
        </w:rPr>
        <w:t xml:space="preserve">the </w:t>
      </w:r>
      <w:r w:rsidRPr="00897BE3">
        <w:rPr>
          <w:b/>
          <w:bCs/>
          <w:highlight w:val="cyan"/>
          <w:u w:val="single"/>
        </w:rPr>
        <w:t>law</w:t>
      </w:r>
      <w:r w:rsidRPr="00897BE3">
        <w:rPr>
          <w:b/>
          <w:bCs/>
          <w:u w:val="single"/>
        </w:rPr>
        <w:t xml:space="preserve">, the </w:t>
      </w:r>
      <w:r w:rsidRPr="00897BE3">
        <w:rPr>
          <w:b/>
          <w:bCs/>
          <w:highlight w:val="cyan"/>
          <w:u w:val="single"/>
        </w:rPr>
        <w:t>politics</w:t>
      </w:r>
      <w:r w:rsidRPr="00897BE3">
        <w:rPr>
          <w:b/>
          <w:bCs/>
          <w:u w:val="single"/>
        </w:rPr>
        <w:t xml:space="preserve"> </w:t>
      </w:r>
      <w:r w:rsidRPr="00897BE3">
        <w:rPr>
          <w:b/>
          <w:bCs/>
          <w:highlight w:val="cyan"/>
          <w:u w:val="single"/>
        </w:rPr>
        <w:t>and</w:t>
      </w:r>
      <w:r w:rsidRPr="00897BE3">
        <w:rPr>
          <w:b/>
          <w:bCs/>
          <w:u w:val="single"/>
        </w:rPr>
        <w:t xml:space="preserve"> the </w:t>
      </w:r>
      <w:r w:rsidRPr="00897BE3">
        <w:rPr>
          <w:b/>
          <w:bCs/>
          <w:highlight w:val="cyan"/>
          <w:u w:val="single"/>
        </w:rPr>
        <w:t>infrastructure</w:t>
      </w:r>
      <w:r w:rsidRPr="00897BE3">
        <w:rPr>
          <w:b/>
          <w:bCs/>
          <w:u w:val="single"/>
        </w:rPr>
        <w:t xml:space="preserve"> </w:t>
      </w:r>
      <w:r w:rsidRPr="00897BE3">
        <w:rPr>
          <w:b/>
          <w:bCs/>
          <w:highlight w:val="cyan"/>
          <w:u w:val="single"/>
        </w:rPr>
        <w:t>are</w:t>
      </w:r>
      <w:r w:rsidRPr="00897BE3">
        <w:rPr>
          <w:b/>
          <w:bCs/>
          <w:u w:val="single"/>
        </w:rPr>
        <w:t xml:space="preserve"> intentionally </w:t>
      </w:r>
      <w:r w:rsidRPr="00897BE3">
        <w:rPr>
          <w:b/>
          <w:bCs/>
          <w:highlight w:val="cyan"/>
          <w:u w:val="single"/>
        </w:rPr>
        <w:t>designed</w:t>
      </w:r>
      <w:r w:rsidRPr="00897BE3">
        <w:rPr>
          <w:b/>
          <w:bCs/>
          <w:u w:val="single"/>
        </w:rPr>
        <w:t xml:space="preserve"> </w:t>
      </w:r>
      <w:r w:rsidRPr="00897BE3">
        <w:rPr>
          <w:b/>
          <w:bCs/>
          <w:highlight w:val="cyan"/>
          <w:u w:val="single"/>
        </w:rPr>
        <w:t>to</w:t>
      </w:r>
      <w:r w:rsidRPr="00897BE3">
        <w:rPr>
          <w:b/>
          <w:bCs/>
          <w:u w:val="single"/>
        </w:rPr>
        <w:t xml:space="preserve"> disincentivize and to keep, if not outright </w:t>
      </w:r>
      <w:r w:rsidRPr="00897BE3">
        <w:rPr>
          <w:b/>
          <w:bCs/>
          <w:highlight w:val="cyan"/>
          <w:u w:val="single"/>
        </w:rPr>
        <w:t>prevent</w:t>
      </w:r>
      <w:r w:rsidRPr="00897BE3">
        <w:rPr>
          <w:b/>
          <w:bCs/>
          <w:u w:val="single"/>
        </w:rPr>
        <w:t xml:space="preserve">, </w:t>
      </w:r>
      <w:r w:rsidRPr="00897BE3">
        <w:rPr>
          <w:b/>
          <w:bCs/>
          <w:highlight w:val="cyan"/>
          <w:u w:val="single"/>
        </w:rPr>
        <w:t>workers</w:t>
      </w:r>
      <w:r w:rsidRPr="00897BE3">
        <w:rPr>
          <w:b/>
          <w:bCs/>
          <w:u w:val="single"/>
        </w:rPr>
        <w:t xml:space="preserve"> </w:t>
      </w:r>
      <w:r w:rsidRPr="00897BE3">
        <w:rPr>
          <w:b/>
          <w:bCs/>
          <w:highlight w:val="cyan"/>
          <w:u w:val="single"/>
        </w:rPr>
        <w:t>from</w:t>
      </w:r>
      <w:r w:rsidRPr="00897BE3">
        <w:rPr>
          <w:b/>
          <w:bCs/>
          <w:u w:val="single"/>
        </w:rPr>
        <w:t xml:space="preserve"> </w:t>
      </w:r>
      <w:r w:rsidRPr="00897BE3">
        <w:rPr>
          <w:b/>
          <w:bCs/>
          <w:highlight w:val="cyan"/>
          <w:u w:val="single"/>
        </w:rPr>
        <w:t>having</w:t>
      </w:r>
      <w:r w:rsidRPr="00897BE3">
        <w:rPr>
          <w:b/>
          <w:bCs/>
          <w:u w:val="single"/>
        </w:rPr>
        <w:t xml:space="preserve"> </w:t>
      </w:r>
      <w:r w:rsidRPr="00897BE3">
        <w:rPr>
          <w:b/>
          <w:bCs/>
          <w:highlight w:val="cyan"/>
          <w:u w:val="single"/>
        </w:rPr>
        <w:t>a</w:t>
      </w:r>
      <w:r w:rsidRPr="00897BE3">
        <w:rPr>
          <w:b/>
          <w:bCs/>
          <w:u w:val="single"/>
        </w:rPr>
        <w:t xml:space="preserve"> </w:t>
      </w:r>
      <w:r w:rsidRPr="00897BE3">
        <w:rPr>
          <w:b/>
          <w:bCs/>
          <w:highlight w:val="cyan"/>
          <w:u w:val="single"/>
        </w:rPr>
        <w:t>collective</w:t>
      </w:r>
      <w:r w:rsidRPr="00897BE3">
        <w:rPr>
          <w:b/>
          <w:bCs/>
          <w:u w:val="single"/>
        </w:rPr>
        <w:t xml:space="preserve"> </w:t>
      </w:r>
      <w:r w:rsidRPr="00897BE3">
        <w:rPr>
          <w:b/>
          <w:bCs/>
          <w:highlight w:val="cyan"/>
          <w:u w:val="single"/>
        </w:rPr>
        <w:t>voice</w:t>
      </w:r>
      <w:r w:rsidRPr="00897BE3">
        <w:rPr>
          <w:u w:val="single"/>
        </w:rPr>
        <w:t>, it shouldn’t be surprising to see some dilution, some reduction in density,” said Dr Robert Bruno, co-author of the report and director of the Project for Middle Class Renewal.</w:t>
      </w:r>
    </w:p>
    <w:p w14:paraId="4B27EF67" w14:textId="77777777" w:rsidR="00043739" w:rsidRDefault="00043739" w:rsidP="00043739">
      <w:pPr>
        <w:rPr>
          <w:u w:val="single"/>
        </w:rPr>
      </w:pPr>
      <w:r w:rsidRPr="00897BE3">
        <w:rPr>
          <w:u w:val="single"/>
        </w:rPr>
        <w:t>“The state of the labor movement is not only tied to economic prosperity for working people, but it’s relevant to democracy,”</w:t>
      </w:r>
      <w:r w:rsidRPr="00897BE3">
        <w:t xml:space="preserve"> he added. </w:t>
      </w:r>
      <w:r w:rsidRPr="00897BE3">
        <w:rPr>
          <w:u w:val="single"/>
        </w:rPr>
        <w:t>“Attacking a union, attacking the labor movement, is a way to restrain, limit and diminish democracy in society.”</w:t>
      </w:r>
    </w:p>
    <w:p w14:paraId="15582D38" w14:textId="77777777" w:rsidR="006C5014" w:rsidRDefault="006C5014" w:rsidP="00043739">
      <w:pPr>
        <w:rPr>
          <w:u w:val="single"/>
        </w:rPr>
      </w:pPr>
    </w:p>
    <w:p w14:paraId="0F5F2F9A" w14:textId="5CB4C847" w:rsidR="006952E8" w:rsidRPr="006952E8" w:rsidRDefault="006C5014" w:rsidP="00252A8F">
      <w:pPr>
        <w:pStyle w:val="Heading3"/>
      </w:pPr>
      <w:r>
        <w:t>1AC----</w:t>
      </w:r>
      <w:r w:rsidR="004F3828">
        <w:t>Extra</w:t>
      </w:r>
    </w:p>
    <w:p w14:paraId="78F7BF81" w14:textId="2AA38C4A" w:rsidR="00043739" w:rsidRPr="00A4766B" w:rsidRDefault="00043739" w:rsidP="00043739">
      <w:pPr>
        <w:pStyle w:val="Heading4"/>
      </w:pPr>
      <w:r w:rsidRPr="00A4766B">
        <w:t xml:space="preserve">Wages are </w:t>
      </w:r>
      <w:r>
        <w:t>lower</w:t>
      </w:r>
      <w:r w:rsidRPr="00A4766B">
        <w:t xml:space="preserve"> for all workers in Right to Work states- repeal is key</w:t>
      </w:r>
    </w:p>
    <w:p w14:paraId="537AA9D4" w14:textId="77777777" w:rsidR="00043739" w:rsidRDefault="00043739" w:rsidP="00043739">
      <w:r w:rsidRPr="00A4766B">
        <w:rPr>
          <w:rStyle w:val="Style13ptBold"/>
        </w:rPr>
        <w:t>Noah 2023</w:t>
      </w:r>
      <w:r>
        <w:t xml:space="preserve"> [Timothy is a New Republic staff writer and author of The Great Divergence: America’s Growing Inequality Crisis and What We Can Do About It. How State Right-to-Work Laws Screw the Working Class </w:t>
      </w:r>
      <w:hyperlink r:id="rId57" w:history="1">
        <w:r w:rsidRPr="004D59A2">
          <w:rPr>
            <w:rStyle w:val="Hyperlink"/>
          </w:rPr>
          <w:t>https://newrepublic.com/article/175533/right-to-work-laws-screw-working-class</w:t>
        </w:r>
      </w:hyperlink>
      <w:r>
        <w:t xml:space="preserve"> Accessed 8/13/2025DMW]</w:t>
      </w:r>
    </w:p>
    <w:p w14:paraId="23D20E7F" w14:textId="77777777" w:rsidR="00043739" w:rsidRDefault="00043739" w:rsidP="00043739"/>
    <w:p w14:paraId="4C82E7DE" w14:textId="77777777" w:rsidR="00043739" w:rsidRDefault="00043739" w:rsidP="00043739">
      <w:r>
        <w:t xml:space="preserve">The </w:t>
      </w:r>
      <w:r w:rsidRPr="008D4461">
        <w:rPr>
          <w:rStyle w:val="StyleUnderline"/>
        </w:rPr>
        <w:t xml:space="preserve">new </w:t>
      </w:r>
      <w:r w:rsidRPr="005C3C5F">
        <w:rPr>
          <w:rStyle w:val="StyleUnderline"/>
          <w:highlight w:val="yellow"/>
        </w:rPr>
        <w:t>Fed study does an excellent job explaining the damage done to workers by right-to-work laws</w:t>
      </w:r>
      <w:r w:rsidRPr="008D4461">
        <w:rPr>
          <w:rStyle w:val="StyleUnderline"/>
        </w:rPr>
        <w:t>. According to the Fed report, previous studies of whether right-to-work lowered wages came to contradictory conclusions (</w:t>
      </w:r>
      <w:r w:rsidRPr="005C3C5F">
        <w:rPr>
          <w:rStyle w:val="StyleUnderline"/>
          <w:highlight w:val="yellow"/>
        </w:rPr>
        <w:t>even though it’s well established that union workers outearn nonunion workers</w:t>
      </w:r>
      <w:r w:rsidRPr="008D4461">
        <w:rPr>
          <w:rStyle w:val="StyleUnderline"/>
        </w:rPr>
        <w:t xml:space="preserve">). But </w:t>
      </w:r>
      <w:r w:rsidRPr="005C3C5F">
        <w:rPr>
          <w:rStyle w:val="StyleUnderline"/>
          <w:highlight w:val="yellow"/>
        </w:rPr>
        <w:t>the Fed study concludes that right-to-work lowers wages, on average, by $1,900, or 4 percent</w:t>
      </w:r>
      <w:r>
        <w:t xml:space="preserve"> of the average wage. (Another report, also released this month, reaches basically the same conclusion.)</w:t>
      </w:r>
      <w:r w:rsidRPr="00B86E69">
        <w:rPr>
          <w:sz w:val="12"/>
        </w:rPr>
        <w:t>¶</w:t>
      </w:r>
      <w:r w:rsidRPr="00845660">
        <w:rPr>
          <w:sz w:val="12"/>
        </w:rPr>
        <w:t xml:space="preserve"> </w:t>
      </w:r>
      <w:r>
        <w:t xml:space="preserve">But the Fed report doesn’t stop by reporting pay disparities; it broadens the question to other measures of economic well-being. </w:t>
      </w:r>
      <w:r w:rsidRPr="008D4461">
        <w:rPr>
          <w:rStyle w:val="StyleUnderline"/>
        </w:rPr>
        <w:t>Workers in right-to-work states are less likely than workers in other states to receive a promotion</w:t>
      </w:r>
      <w:r>
        <w:t>, even though they’re more likely to ask for one. Workers in right-to-work states are likelier to quit (though marginally less likely to get laid off), a useful indicator of confidence about finding another job. Workers in right-to-work states are less likely to get health insurance through work. They’re also less likely to own a credit card, less likely to have a good credit rating, and less likely to report that they’re handling their finances comfortably.</w:t>
      </w:r>
    </w:p>
    <w:p w14:paraId="5505FF4C" w14:textId="77777777" w:rsidR="00043739" w:rsidRPr="00A4766B" w:rsidRDefault="00043739" w:rsidP="00043739">
      <w:pPr>
        <w:pStyle w:val="Heading4"/>
      </w:pPr>
      <w:r w:rsidRPr="00A4766B">
        <w:t>Union growth and expansion is key to wage growth</w:t>
      </w:r>
    </w:p>
    <w:p w14:paraId="621FE3AB" w14:textId="77777777" w:rsidR="00043739" w:rsidRDefault="00043739" w:rsidP="00043739">
      <w:r w:rsidRPr="00A4766B">
        <w:rPr>
          <w:rStyle w:val="Style13ptBold"/>
        </w:rPr>
        <w:t>Goodwin 2024</w:t>
      </w:r>
      <w:r>
        <w:t xml:space="preserve"> [Jamie, Duddy, Goodwin &amp; Pollard office, Do Unions Actually Increase Wages? </w:t>
      </w:r>
      <w:hyperlink r:id="rId58" w:history="1">
        <w:r w:rsidRPr="00CE3F44">
          <w:rPr>
            <w:rStyle w:val="Hyperlink"/>
          </w:rPr>
          <w:t>https://www.dgpfirm.com/faqs/do-unions-actually-increase-wages/</w:t>
        </w:r>
      </w:hyperlink>
      <w:r>
        <w:t xml:space="preserve"> Accessed 8/14/2025DMW]</w:t>
      </w:r>
    </w:p>
    <w:p w14:paraId="7C6E07E3" w14:textId="77777777" w:rsidR="00043739" w:rsidRDefault="00043739" w:rsidP="00043739"/>
    <w:p w14:paraId="24317778" w14:textId="77777777" w:rsidR="00043739" w:rsidRDefault="00043739" w:rsidP="00043739">
      <w:r w:rsidRPr="00617A09">
        <w:rPr>
          <w:rStyle w:val="StyleUnderline"/>
        </w:rPr>
        <w:t xml:space="preserve">Studies show that </w:t>
      </w:r>
      <w:r w:rsidRPr="005C3C5F">
        <w:rPr>
          <w:rStyle w:val="StyleUnderline"/>
          <w:highlight w:val="yellow"/>
        </w:rPr>
        <w:t>labor unions do increase wages on average when compared to non–unionized workers</w:t>
      </w:r>
      <w:r>
        <w:t xml:space="preserve">. When workers join forces, </w:t>
      </w:r>
      <w:r w:rsidRPr="005C3C5F">
        <w:rPr>
          <w:rStyle w:val="StyleUnderline"/>
          <w:highlight w:val="yellow"/>
        </w:rPr>
        <w:t>they can leverage their collective bargaining power to negotiate higher wages</w:t>
      </w:r>
      <w:r w:rsidRPr="00617A09">
        <w:rPr>
          <w:rStyle w:val="StyleUnderline"/>
        </w:rPr>
        <w:t xml:space="preserve">, better </w:t>
      </w:r>
      <w:r w:rsidRPr="005C3C5F">
        <w:rPr>
          <w:rStyle w:val="StyleUnderline"/>
          <w:highlight w:val="yellow"/>
        </w:rPr>
        <w:t>benefits</w:t>
      </w:r>
      <w:r w:rsidRPr="00617A09">
        <w:rPr>
          <w:rStyle w:val="StyleUnderline"/>
        </w:rPr>
        <w:t xml:space="preserve">, and </w:t>
      </w:r>
      <w:r w:rsidRPr="005C3C5F">
        <w:rPr>
          <w:rStyle w:val="StyleUnderline"/>
          <w:highlight w:val="yellow"/>
        </w:rPr>
        <w:t>improved</w:t>
      </w:r>
      <w:r w:rsidRPr="00617A09">
        <w:rPr>
          <w:rStyle w:val="StyleUnderline"/>
        </w:rPr>
        <w:t xml:space="preserve"> working </w:t>
      </w:r>
      <w:r w:rsidRPr="005C3C5F">
        <w:rPr>
          <w:rStyle w:val="StyleUnderline"/>
          <w:highlight w:val="yellow"/>
        </w:rPr>
        <w:t>conditions</w:t>
      </w:r>
      <w:r w:rsidRPr="00617A09">
        <w:rPr>
          <w:rStyle w:val="StyleUnderline"/>
        </w:rPr>
        <w:t xml:space="preserve"> with employers</w:t>
      </w:r>
      <w:r>
        <w:t xml:space="preserve">. </w:t>
      </w:r>
      <w:r w:rsidRPr="00B86E69">
        <w:rPr>
          <w:sz w:val="12"/>
        </w:rPr>
        <w:t>¶</w:t>
      </w:r>
      <w:r w:rsidRPr="00617A09">
        <w:rPr>
          <w:sz w:val="12"/>
        </w:rPr>
        <w:t xml:space="preserve"> </w:t>
      </w:r>
      <w:r w:rsidRPr="00617A09">
        <w:rPr>
          <w:rStyle w:val="StyleUnderline"/>
        </w:rPr>
        <w:t xml:space="preserve">The right of workers to organize to help enforce their rights and push employers to pay them a fair wage is </w:t>
      </w:r>
      <w:r>
        <w:t xml:space="preserve">an </w:t>
      </w:r>
      <w:r w:rsidRPr="00617A09">
        <w:rPr>
          <w:rStyle w:val="StyleUnderline"/>
        </w:rPr>
        <w:t xml:space="preserve">important </w:t>
      </w:r>
      <w:r>
        <w:t>one. The organizing efforts of labor groups protect employees who would otherwise be left vulnerable to exploitation and unfair practices. An experienced Boston labor and employment lawyer can help you understand your rights to join a union.</w:t>
      </w:r>
      <w:r w:rsidRPr="00B86E69">
        <w:rPr>
          <w:sz w:val="12"/>
        </w:rPr>
        <w:t>¶</w:t>
      </w:r>
      <w:r w:rsidRPr="00617A09">
        <w:rPr>
          <w:sz w:val="12"/>
        </w:rPr>
        <w:t xml:space="preserve"> </w:t>
      </w:r>
      <w:r>
        <w:t>How Much More Money do Union Workers Earn</w:t>
      </w:r>
      <w:r w:rsidRPr="00B86E69">
        <w:rPr>
          <w:sz w:val="12"/>
        </w:rPr>
        <w:t>¶</w:t>
      </w:r>
      <w:r w:rsidRPr="00617A09">
        <w:rPr>
          <w:sz w:val="12"/>
        </w:rPr>
        <w:t xml:space="preserve"> </w:t>
      </w:r>
      <w:r w:rsidRPr="005C3C5F">
        <w:rPr>
          <w:rStyle w:val="StyleUnderline"/>
          <w:highlight w:val="yellow"/>
        </w:rPr>
        <w:t>There is no exact figure for how much more a union worker will earn compared to someone working</w:t>
      </w:r>
      <w:r w:rsidRPr="00617A09">
        <w:rPr>
          <w:rStyle w:val="StyleUnderline"/>
        </w:rPr>
        <w:t xml:space="preserve"> in the same field without union membership as wages for workers vary</w:t>
      </w:r>
      <w:r>
        <w:t xml:space="preserve"> by industry, location, seniority, and other factors. However, a variety of </w:t>
      </w:r>
      <w:r w:rsidRPr="00617A09">
        <w:rPr>
          <w:rStyle w:val="StyleUnderline"/>
        </w:rPr>
        <w:t xml:space="preserve">studies place the average pay rate anywhere between 10–20% higher for union workers </w:t>
      </w:r>
      <w:r>
        <w:t>showing that unions do increase wages.</w:t>
      </w:r>
      <w:r w:rsidRPr="00B86E69">
        <w:rPr>
          <w:sz w:val="12"/>
        </w:rPr>
        <w:t>¶</w:t>
      </w:r>
      <w:r w:rsidRPr="00617A09">
        <w:rPr>
          <w:sz w:val="12"/>
        </w:rPr>
        <w:t xml:space="preserve"> </w:t>
      </w:r>
      <w:r>
        <w:t xml:space="preserve">The discrepancy in pay tends to be larger among workers working jobs with lower skill and educational requirements, meaning that </w:t>
      </w:r>
      <w:r w:rsidRPr="00617A09">
        <w:rPr>
          <w:rStyle w:val="StyleUnderline"/>
        </w:rPr>
        <w:t xml:space="preserve">the </w:t>
      </w:r>
      <w:r w:rsidRPr="005C3C5F">
        <w:rPr>
          <w:rStyle w:val="StyleUnderline"/>
          <w:highlight w:val="yellow"/>
        </w:rPr>
        <w:t>workers most vulnerable to exploitation</w:t>
      </w:r>
      <w:r w:rsidRPr="00617A09">
        <w:rPr>
          <w:rStyle w:val="StyleUnderline"/>
        </w:rPr>
        <w:t xml:space="preserve"> and wages that put workers near the poverty line </w:t>
      </w:r>
      <w:r w:rsidRPr="005C3C5F">
        <w:rPr>
          <w:rStyle w:val="StyleUnderline"/>
          <w:highlight w:val="yellow"/>
        </w:rPr>
        <w:t>are the ones who</w:t>
      </w:r>
      <w:r w:rsidRPr="00617A09">
        <w:rPr>
          <w:rStyle w:val="StyleUnderline"/>
        </w:rPr>
        <w:t xml:space="preserve"> typically </w:t>
      </w:r>
      <w:r w:rsidRPr="005C3C5F">
        <w:rPr>
          <w:rStyle w:val="StyleUnderline"/>
          <w:highlight w:val="yellow"/>
        </w:rPr>
        <w:t>benefit most from unionization</w:t>
      </w:r>
      <w:r>
        <w:t>.</w:t>
      </w:r>
      <w:r w:rsidRPr="00B86E69">
        <w:rPr>
          <w:sz w:val="12"/>
        </w:rPr>
        <w:t>¶</w:t>
      </w:r>
      <w:r w:rsidRPr="00617A09">
        <w:rPr>
          <w:sz w:val="12"/>
        </w:rPr>
        <w:t xml:space="preserve"> </w:t>
      </w:r>
      <w:r>
        <w:t>Labor unions secure legal representation to help in negotiations with employers and get the best possible wages and benefits for their members.</w:t>
      </w:r>
    </w:p>
    <w:p w14:paraId="18C0EE91" w14:textId="77777777" w:rsidR="00043739" w:rsidRDefault="00043739" w:rsidP="00043739"/>
    <w:p w14:paraId="3C8CFE74" w14:textId="77777777" w:rsidR="00043739" w:rsidRPr="00A4766B" w:rsidRDefault="00043739" w:rsidP="00043739">
      <w:pPr>
        <w:pStyle w:val="Heading4"/>
      </w:pPr>
      <w:r w:rsidRPr="00A4766B">
        <w:t>Higher wages boost economic growth- research consensus- multiple reasons</w:t>
      </w:r>
    </w:p>
    <w:p w14:paraId="080A7073" w14:textId="77777777" w:rsidR="00043739" w:rsidRPr="0077198D" w:rsidRDefault="00043739" w:rsidP="00043739">
      <w:r w:rsidRPr="00A4766B">
        <w:rPr>
          <w:rStyle w:val="Style13ptBold"/>
        </w:rPr>
        <w:t>Wolfers 15</w:t>
      </w:r>
      <w:r>
        <w:t xml:space="preserve"> (Justin is professor of economics and professor of public policy at University of Michigan. “Higher Wages for Low-Income Workers Lead to Higher Productivity.” January 13, 2015. Peterson Institute for International Economics. https://piie.com/blogs/realtime-economic-issues-watch/higher-wages-low-income-workers-lead-higher-productivity)</w:t>
      </w:r>
    </w:p>
    <w:p w14:paraId="1388AA1F" w14:textId="77777777" w:rsidR="00043739" w:rsidRPr="002C682D" w:rsidRDefault="00043739" w:rsidP="00043739">
      <w:pPr>
        <w:rPr>
          <w:sz w:val="16"/>
        </w:rPr>
      </w:pPr>
      <w:r w:rsidRPr="002C682D">
        <w:rPr>
          <w:rStyle w:val="StyleUnderline"/>
        </w:rPr>
        <w:t xml:space="preserve">Economists have long argued that increases in worker pay can lead to improvements in productivity—indeed, that </w:t>
      </w:r>
      <w:r w:rsidRPr="005C3C5F">
        <w:rPr>
          <w:rStyle w:val="StyleUnderline"/>
          <w:highlight w:val="yellow"/>
        </w:rPr>
        <w:t xml:space="preserve">it can actually be </w:t>
      </w:r>
      <w:r w:rsidRPr="005C3C5F">
        <w:rPr>
          <w:rStyle w:val="Emphasis"/>
          <w:highlight w:val="yellow"/>
        </w:rPr>
        <w:t>profitable to pay workers higher wages</w:t>
      </w:r>
      <w:r w:rsidRPr="002C682D">
        <w:rPr>
          <w:sz w:val="16"/>
        </w:rPr>
        <w:t xml:space="preserve">. As Alfred Marshall, the father of modern economics, argued almost 125 years ago, "any change in the distribution of wealth which gives more to the wage receivers and less to the capitalists is likely, other things being equal, to hasten the increase of material production." Since then, </w:t>
      </w:r>
      <w:r w:rsidRPr="005C3C5F">
        <w:rPr>
          <w:rStyle w:val="Emphasis"/>
          <w:highlight w:val="yellow"/>
        </w:rPr>
        <w:t>economists have compiled rich data validating</w:t>
      </w:r>
      <w:r w:rsidRPr="002C682D">
        <w:rPr>
          <w:rStyle w:val="Emphasis"/>
        </w:rPr>
        <w:t xml:space="preserve"> Marshall's hypothesis that </w:t>
      </w:r>
      <w:r w:rsidRPr="005C3C5F">
        <w:rPr>
          <w:rStyle w:val="Emphasis"/>
          <w:highlight w:val="yellow"/>
        </w:rPr>
        <w:t>paying higher wages generates savings</w:t>
      </w:r>
      <w:r w:rsidRPr="002C682D">
        <w:rPr>
          <w:sz w:val="16"/>
        </w:rPr>
        <w:t xml:space="preserve">: </w:t>
      </w:r>
      <w:r w:rsidRPr="002C682D">
        <w:rPr>
          <w:rStyle w:val="Emphasis"/>
        </w:rPr>
        <w:t>Higher wages motivate employees to work harder</w:t>
      </w:r>
      <w:r w:rsidRPr="002C682D">
        <w:rPr>
          <w:sz w:val="16"/>
        </w:rPr>
        <w:t xml:space="preserve">. Janet Yellen (1984) [pdf] suggested that higher wages create the conditions for workers to be more productive, pointing to "reduced shirking by employees due to a higher cost of job loss; lower turnover; an improvement in the average quality of job applicants and improved morale." Among the studies documenting this point are Levine (1992), [pdf] which analyzed a sample of large (mostly Fortune 500) manufacturing companies, and Holzer (1990), [pdf] which used data from a national sample of firms finding that "high-wage firms can sometimes offset more than half of their higher wage costs through improved productivity and lower hiring and turnover cost." Reich et al. (2003) [pdf] surveyed employers at the San Francisco airport after a broad-based increase in wages and found that the employers of the majority of affected workers reported that their overall performance had improved. Mas (2006) [pdf] analyzed the case of New Jersey police officers who were granted a wage increase of 17 percent, and who were 12 percent more productive in clearing cases than those who were refused the increase. </w:t>
      </w:r>
      <w:r w:rsidRPr="002C682D">
        <w:rPr>
          <w:rStyle w:val="Emphasis"/>
        </w:rPr>
        <w:t xml:space="preserve">Higher wages </w:t>
      </w:r>
      <w:r w:rsidRPr="005C3C5F">
        <w:rPr>
          <w:rStyle w:val="Emphasis"/>
          <w:highlight w:val="yellow"/>
        </w:rPr>
        <w:t>attract more capable and productive workers</w:t>
      </w:r>
      <w:r w:rsidRPr="002C682D">
        <w:rPr>
          <w:sz w:val="16"/>
        </w:rPr>
        <w:t xml:space="preserve">. The evidence that </w:t>
      </w:r>
      <w:r w:rsidRPr="002C682D">
        <w:rPr>
          <w:rStyle w:val="StyleUnderline"/>
        </w:rPr>
        <w:t xml:space="preserve">higher wages attract more high quality applicants </w:t>
      </w:r>
      <w:r w:rsidRPr="002C682D">
        <w:rPr>
          <w:sz w:val="16"/>
        </w:rPr>
        <w:t xml:space="preserve">for new jobs is voluminous. Dal Bó et al. (2013) show that </w:t>
      </w:r>
      <w:r w:rsidRPr="002C682D">
        <w:rPr>
          <w:rStyle w:val="StyleUnderline"/>
        </w:rPr>
        <w:t>offering higher salaries yielded an applicant pool with a higher IQ and with personality scores and motivation that made them a better fit for the advertised jobs</w:t>
      </w:r>
      <w:r w:rsidRPr="002C682D">
        <w:rPr>
          <w:sz w:val="16"/>
        </w:rPr>
        <w:t xml:space="preserve">. Moreover, the first firm to offer higher wages is more likely to attract and retain more productive workers. </w:t>
      </w:r>
      <w:r w:rsidRPr="005C3C5F">
        <w:rPr>
          <w:rStyle w:val="Emphasis"/>
          <w:highlight w:val="yellow"/>
        </w:rPr>
        <w:t>Higher wages lead to lower turnover, reducing the costs of hiring and training new workers</w:t>
      </w:r>
      <w:r w:rsidRPr="002C682D">
        <w:rPr>
          <w:sz w:val="16"/>
        </w:rPr>
        <w:t xml:space="preserve">. Reich et al (2003) [pdf] calculated that typical turnover costs exceed $4,000 for each worker and that an increase in wages at the San Francisco airport led to a decline in turnover of 34 percent, yielding turnover-related savings of $6.6 million per year. Dube et al. (2007) [pdf] found that when a San Francisco living wage ordinance raised wages among low-paid workers, those workers were more likely to stay with their employers. Reich and his coauthors also documented a stunning turnover rate of nearly 95 percent per year among security screeners in mid-2000, which fell to 18.7 percent when pay improved. Fairris et al. (2005) [pdf] examined evidence from Los Angeles, finding that </w:t>
      </w:r>
      <w:r w:rsidRPr="002C682D">
        <w:rPr>
          <w:rStyle w:val="StyleUnderline"/>
        </w:rPr>
        <w:t>when employers were directed to offer higher wages, the decline in worker turnover yielded savings</w:t>
      </w:r>
      <w:r w:rsidRPr="002C682D">
        <w:rPr>
          <w:sz w:val="16"/>
        </w:rPr>
        <w:t xml:space="preserve"> equal to around one-sixth of the cost incurred. </w:t>
      </w:r>
      <w:r w:rsidRPr="002C682D">
        <w:rPr>
          <w:rStyle w:val="Emphasis"/>
        </w:rPr>
        <w:t>Higher wages enhance quality and customer service</w:t>
      </w:r>
      <w:r w:rsidRPr="002C682D">
        <w:rPr>
          <w:sz w:val="16"/>
        </w:rPr>
        <w:t>. The Reich et al. (2003) [pdf] study also found that almost half of employers reported improvements in customer service following a wage rise for low-wage workers,</w:t>
      </w:r>
      <w:r w:rsidRPr="002C682D">
        <w:rPr>
          <w:rStyle w:val="StyleUnderline"/>
        </w:rPr>
        <w:t xml:space="preserve"> </w:t>
      </w:r>
      <w:r w:rsidRPr="002C682D">
        <w:rPr>
          <w:sz w:val="16"/>
        </w:rPr>
        <w:t xml:space="preserve">and indeed, higher wages at the San Francisco airport led to shorter airport lines. Cowherd and Levine (1992) found that an increase in the pay of lower-level employees relative to management increased the quality of production. Using data from more than 500 retail stores, Fisher et al. (2006) [pdf] found a positive relationship between customer satisfaction and the payroll level of associates and managers in the store. Higher wages were also associated with employers having more knowledge about the inventory. </w:t>
      </w:r>
      <w:r w:rsidRPr="002C682D">
        <w:rPr>
          <w:rStyle w:val="Emphasis"/>
        </w:rPr>
        <w:t>Higher wages reduce disciplinary problems and absenteeism</w:t>
      </w:r>
      <w:r w:rsidRPr="002C682D">
        <w:rPr>
          <w:sz w:val="16"/>
        </w:rPr>
        <w:t xml:space="preserve">. Cappelli and Chauvin (1991) [pdf] documented that </w:t>
      </w:r>
      <w:r w:rsidRPr="002C682D">
        <w:rPr>
          <w:rStyle w:val="StyleUnderline"/>
        </w:rPr>
        <w:t>in plants where pay was higher relative to the local labor market, fewer disciplinary actions were required</w:t>
      </w:r>
      <w:r w:rsidRPr="002C682D">
        <w:rPr>
          <w:sz w:val="16"/>
        </w:rPr>
        <w:t xml:space="preserve">. Likewise, nearly half of those employers surveyed by Reich et al. (2003) [pdf] </w:t>
      </w:r>
      <w:r w:rsidRPr="002C682D">
        <w:rPr>
          <w:rStyle w:val="StyleUnderline"/>
        </w:rPr>
        <w:t>reported a decrease in disciplinary issues following a wage rise</w:t>
      </w:r>
      <w:r w:rsidRPr="002C682D">
        <w:rPr>
          <w:sz w:val="16"/>
        </w:rPr>
        <w:t>. Zhang et al. [pdf] (2013) showed in a survey of Canadian firms that</w:t>
      </w:r>
      <w:r w:rsidRPr="002C682D">
        <w:rPr>
          <w:rStyle w:val="StyleUnderline"/>
        </w:rPr>
        <w:t xml:space="preserve"> absenteeism was less likely when wages were higher</w:t>
      </w:r>
      <w:r w:rsidRPr="002C682D">
        <w:rPr>
          <w:sz w:val="16"/>
        </w:rPr>
        <w:t xml:space="preserve">. Pfeifer (2010) found a similar result in a large German survey. Firms with higher wages need to devote fewer resources to monitoring. </w:t>
      </w:r>
      <w:r w:rsidRPr="005C3C5F">
        <w:rPr>
          <w:rStyle w:val="StyleUnderline"/>
          <w:highlight w:val="yellow"/>
        </w:rPr>
        <w:t xml:space="preserve">High-paying firms have been found to </w:t>
      </w:r>
      <w:r w:rsidRPr="005C3C5F">
        <w:rPr>
          <w:rStyle w:val="Emphasis"/>
          <w:highlight w:val="yellow"/>
        </w:rPr>
        <w:t>create a culture of hard work</w:t>
      </w:r>
      <w:r w:rsidRPr="002C682D">
        <w:rPr>
          <w:rStyle w:val="StyleUnderline"/>
        </w:rPr>
        <w:t xml:space="preserve"> </w:t>
      </w:r>
      <w:r w:rsidRPr="002C682D">
        <w:rPr>
          <w:sz w:val="16"/>
        </w:rPr>
        <w:t xml:space="preserve">in which employees monitor their coworkers, reducing the need to hire supervisors. </w:t>
      </w:r>
      <w:proofErr w:type="spellStart"/>
      <w:r w:rsidRPr="002C682D">
        <w:rPr>
          <w:sz w:val="16"/>
        </w:rPr>
        <w:t>Rebitzer</w:t>
      </w:r>
      <w:proofErr w:type="spellEnd"/>
      <w:r w:rsidRPr="002C682D">
        <w:rPr>
          <w:sz w:val="16"/>
        </w:rPr>
        <w:t xml:space="preserve"> (1995) found that low-wage maintenance workers needed more supervision in the petrochemical industry. </w:t>
      </w:r>
      <w:proofErr w:type="spellStart"/>
      <w:r w:rsidRPr="002C682D">
        <w:rPr>
          <w:sz w:val="16"/>
        </w:rPr>
        <w:t>Groshen</w:t>
      </w:r>
      <w:proofErr w:type="spellEnd"/>
      <w:r w:rsidRPr="002C682D">
        <w:rPr>
          <w:sz w:val="16"/>
        </w:rPr>
        <w:t xml:space="preserve"> and Krueger (1990) showed that more highly paid nurses were also supervised less. Georgiadis (2008) found that in residential care homes in the United Kingdom "higher wage costs were more than offset by lower monitoring costs." Workers excessively concerned about income security perform less well at work. A variety of recent experiments have demonstrated this proposition. Mani et al. (2013) recruited buyers in a shopping mall and asked them to think about their finances. Researchers observed that the performance of poor subjects on a cognitive test deteriorated if they were asked to imagine a large emergency expenditure (a $1,500 car repair), but no such deterioration was observed for well-off subjects. Mullainathan and Shafir (2013) assessed a range of related experiments, finding that mental tasks that simulate the constant stress of poverty led people to act in compulsive and improper ways. Indeed, the World Bank Development Report (2015), [pdf] citing numerous field studies, recognizes that poverty taxes people's mental capacities and self-control. Other mechanisms by which higher wages can yield offsetting benefits include: </w:t>
      </w:r>
      <w:r w:rsidRPr="005C3C5F">
        <w:rPr>
          <w:rStyle w:val="Emphasis"/>
          <w:highlight w:val="yellow"/>
        </w:rPr>
        <w:t>Higher wages are associated with better health—less illness and more stamina, which enhance worker productivity</w:t>
      </w:r>
      <w:r w:rsidRPr="002C682D">
        <w:rPr>
          <w:rStyle w:val="Emphasis"/>
        </w:rPr>
        <w:t>.</w:t>
      </w:r>
      <w:r w:rsidRPr="002C682D">
        <w:rPr>
          <w:sz w:val="16"/>
        </w:rPr>
        <w:t xml:space="preserve"> Greater job satisfaction can result in less conflict between employers and labor groups</w:t>
      </w:r>
      <w:r w:rsidRPr="002C682D">
        <w:rPr>
          <w:rStyle w:val="StyleUnderline"/>
        </w:rPr>
        <w:t>. Enhanced reputation with consumers</w:t>
      </w:r>
      <w:r w:rsidRPr="002C682D">
        <w:rPr>
          <w:sz w:val="16"/>
        </w:rPr>
        <w:t xml:space="preserve"> (compare the reputations of Costco and Walmart). All of these positive effects may interact to yield even larger aggregate effects, </w:t>
      </w:r>
      <w:r w:rsidRPr="002C682D">
        <w:rPr>
          <w:rStyle w:val="Emphasis"/>
        </w:rPr>
        <w:t>as the productivity of one worker often raises the productivity of their coworkers</w:t>
      </w:r>
      <w:r w:rsidRPr="002C682D">
        <w:rPr>
          <w:sz w:val="16"/>
        </w:rPr>
        <w:t>. Mas and Moretti (2009) [pdf] offer persuasive data on this point, showing that productive cashiers motivate their coworkers to work faster.</w:t>
      </w:r>
    </w:p>
    <w:p w14:paraId="7CF31F88" w14:textId="77777777" w:rsidR="00043739" w:rsidRDefault="00043739" w:rsidP="00043739"/>
    <w:p w14:paraId="160D8E0F" w14:textId="77777777" w:rsidR="00043739" w:rsidRPr="00A4766B" w:rsidRDefault="00043739" w:rsidP="00043739">
      <w:pPr>
        <w:pStyle w:val="Heading4"/>
      </w:pPr>
      <w:r w:rsidRPr="00A4766B">
        <w:t>Economic instability makes hotspot escalation likely</w:t>
      </w:r>
    </w:p>
    <w:p w14:paraId="210F8D46" w14:textId="77777777" w:rsidR="00043739" w:rsidRPr="001454A3" w:rsidRDefault="00043739" w:rsidP="00043739">
      <w:proofErr w:type="spellStart"/>
      <w:r w:rsidRPr="00A4766B">
        <w:rPr>
          <w:rStyle w:val="Style13ptBold"/>
        </w:rPr>
        <w:t>Weidokal</w:t>
      </w:r>
      <w:proofErr w:type="spellEnd"/>
      <w:r w:rsidRPr="00A4766B">
        <w:rPr>
          <w:rStyle w:val="Style13ptBold"/>
        </w:rPr>
        <w:t xml:space="preserve"> 2024</w:t>
      </w:r>
      <w:r w:rsidRPr="001454A3">
        <w:t xml:space="preserve"> [Michael </w:t>
      </w:r>
      <w:proofErr w:type="spellStart"/>
      <w:r w:rsidRPr="001454A3">
        <w:t>Weidokal</w:t>
      </w:r>
      <w:proofErr w:type="spellEnd"/>
      <w:r w:rsidRPr="001454A3">
        <w:t>, MBA in International Strategy and Economics @ University of South Carolina and the Economics University of Vienna; founder of International Strategic Analysis, former Visiting Professor @ Baldwin Wallace University; 31 endorsements on LinkedIn, “Chapter Fifteen: Implications for the Future,” in The Coming Decline: A World Without Economic Growth, Published by International Strategic Analysis]</w:t>
      </w:r>
    </w:p>
    <w:p w14:paraId="6CAB7644" w14:textId="77777777" w:rsidR="00043739" w:rsidRPr="001454A3" w:rsidRDefault="00043739" w:rsidP="00043739">
      <w:pPr>
        <w:rPr>
          <w:sz w:val="16"/>
        </w:rPr>
      </w:pPr>
      <w:r w:rsidRPr="001454A3">
        <w:rPr>
          <w:sz w:val="16"/>
        </w:rPr>
        <w:t xml:space="preserve">As we look ahead, one cannot help but wonder if this threat of long-term </w:t>
      </w:r>
      <w:r w:rsidRPr="00DC7DDF">
        <w:rPr>
          <w:rStyle w:val="Emphasis"/>
          <w:highlight w:val="yellow"/>
        </w:rPr>
        <w:t>economic</w:t>
      </w:r>
      <w:r w:rsidRPr="001454A3">
        <w:rPr>
          <w:sz w:val="16"/>
        </w:rPr>
        <w:t xml:space="preserve"> stagnation and </w:t>
      </w:r>
      <w:r w:rsidRPr="00DC7DDF">
        <w:rPr>
          <w:rStyle w:val="Emphasis"/>
          <w:highlight w:val="yellow"/>
        </w:rPr>
        <w:t>decline</w:t>
      </w:r>
      <w:r w:rsidRPr="00DC7DDF">
        <w:rPr>
          <w:rStyle w:val="StyleUnderline"/>
          <w:highlight w:val="yellow"/>
        </w:rPr>
        <w:t xml:space="preserve"> will</w:t>
      </w:r>
      <w:r w:rsidRPr="001454A3">
        <w:rPr>
          <w:sz w:val="16"/>
        </w:rPr>
        <w:t xml:space="preserve"> not </w:t>
      </w:r>
      <w:r w:rsidRPr="00DC7DDF">
        <w:rPr>
          <w:rStyle w:val="StyleUnderline"/>
          <w:highlight w:val="yellow"/>
        </w:rPr>
        <w:t xml:space="preserve">be the </w:t>
      </w:r>
      <w:r w:rsidRPr="00DC7DDF">
        <w:rPr>
          <w:rStyle w:val="Emphasis"/>
          <w:highlight w:val="yellow"/>
        </w:rPr>
        <w:t>catalyst</w:t>
      </w:r>
      <w:r w:rsidRPr="00DC7DDF">
        <w:rPr>
          <w:rStyle w:val="StyleUnderline"/>
          <w:highlight w:val="yellow"/>
        </w:rPr>
        <w:t xml:space="preserve"> for </w:t>
      </w:r>
      <w:r w:rsidRPr="00DC7DDF">
        <w:rPr>
          <w:rStyle w:val="Emphasis"/>
          <w:highlight w:val="yellow"/>
        </w:rPr>
        <w:t>major conflicts</w:t>
      </w:r>
      <w:r w:rsidRPr="001454A3">
        <w:rPr>
          <w:sz w:val="16"/>
        </w:rPr>
        <w:t xml:space="preserve"> in the future. For one, such </w:t>
      </w:r>
      <w:r w:rsidRPr="001454A3">
        <w:rPr>
          <w:rStyle w:val="StyleUnderline"/>
        </w:rPr>
        <w:t xml:space="preserve">economic </w:t>
      </w:r>
      <w:r w:rsidRPr="00DC7DDF">
        <w:rPr>
          <w:rStyle w:val="StyleUnderline"/>
          <w:highlight w:val="yellow"/>
        </w:rPr>
        <w:t>troubles</w:t>
      </w:r>
      <w:r w:rsidRPr="001454A3">
        <w:rPr>
          <w:rStyle w:val="StyleUnderline"/>
        </w:rPr>
        <w:t xml:space="preserve"> could </w:t>
      </w:r>
      <w:r w:rsidRPr="00DC7DDF">
        <w:rPr>
          <w:rStyle w:val="Emphasis"/>
          <w:highlight w:val="yellow"/>
        </w:rPr>
        <w:t>fuel</w:t>
      </w:r>
      <w:r w:rsidRPr="001454A3">
        <w:rPr>
          <w:sz w:val="16"/>
        </w:rPr>
        <w:t xml:space="preserve"> political </w:t>
      </w:r>
      <w:r w:rsidRPr="00DC7DDF">
        <w:rPr>
          <w:rStyle w:val="Emphasis"/>
          <w:highlight w:val="yellow"/>
        </w:rPr>
        <w:t>radicalism</w:t>
      </w:r>
      <w:r w:rsidRPr="001454A3">
        <w:rPr>
          <w:sz w:val="16"/>
        </w:rPr>
        <w:t xml:space="preserve">, </w:t>
      </w:r>
      <w:r w:rsidRPr="00DC7DDF">
        <w:rPr>
          <w:rStyle w:val="StyleUnderline"/>
          <w:highlight w:val="yellow"/>
        </w:rPr>
        <w:t>as</w:t>
      </w:r>
      <w:r w:rsidRPr="001454A3">
        <w:rPr>
          <w:rStyle w:val="StyleUnderline"/>
        </w:rPr>
        <w:t xml:space="preserve"> it did </w:t>
      </w:r>
      <w:r w:rsidRPr="00DC7DDF">
        <w:rPr>
          <w:rStyle w:val="StyleUnderline"/>
          <w:highlight w:val="yellow"/>
        </w:rPr>
        <w:t>in the</w:t>
      </w:r>
      <w:r w:rsidRPr="001454A3">
        <w:rPr>
          <w:sz w:val="16"/>
        </w:rPr>
        <w:t xml:space="preserve"> 1920s and </w:t>
      </w:r>
      <w:r w:rsidRPr="00DC7DDF">
        <w:rPr>
          <w:rStyle w:val="Emphasis"/>
          <w:highlight w:val="yellow"/>
        </w:rPr>
        <w:t>1930s</w:t>
      </w:r>
      <w:r w:rsidRPr="001454A3">
        <w:rPr>
          <w:sz w:val="16"/>
        </w:rPr>
        <w:t xml:space="preserve">. At the same time, </w:t>
      </w:r>
      <w:r w:rsidRPr="00DC7DDF">
        <w:rPr>
          <w:rStyle w:val="StyleUnderline"/>
          <w:highlight w:val="yellow"/>
        </w:rPr>
        <w:t>rising</w:t>
      </w:r>
      <w:r w:rsidRPr="001454A3">
        <w:rPr>
          <w:rStyle w:val="StyleUnderline"/>
        </w:rPr>
        <w:t xml:space="preserve"> levels of </w:t>
      </w:r>
      <w:r w:rsidRPr="001454A3">
        <w:rPr>
          <w:rStyle w:val="Emphasis"/>
        </w:rPr>
        <w:t>protectionism</w:t>
      </w:r>
      <w:r w:rsidRPr="001454A3">
        <w:rPr>
          <w:rStyle w:val="StyleUnderline"/>
        </w:rPr>
        <w:t xml:space="preserve"> and </w:t>
      </w:r>
      <w:r w:rsidRPr="00DC7DDF">
        <w:rPr>
          <w:rStyle w:val="Emphasis"/>
          <w:highlight w:val="yellow"/>
        </w:rPr>
        <w:t>nationalism</w:t>
      </w:r>
      <w:r w:rsidRPr="001454A3">
        <w:rPr>
          <w:rStyle w:val="StyleUnderline"/>
        </w:rPr>
        <w:t xml:space="preserve"> could </w:t>
      </w:r>
      <w:r w:rsidRPr="00DC7DDF">
        <w:rPr>
          <w:rStyle w:val="StyleUnderline"/>
        </w:rPr>
        <w:t>lead to</w:t>
      </w:r>
      <w:r w:rsidRPr="001454A3">
        <w:rPr>
          <w:rStyle w:val="StyleUnderline"/>
        </w:rPr>
        <w:t xml:space="preserve"> far worse </w:t>
      </w:r>
      <w:r w:rsidRPr="00DC7DDF">
        <w:rPr>
          <w:rStyle w:val="StyleUnderline"/>
          <w:highlight w:val="yellow"/>
        </w:rPr>
        <w:t>trade disputes</w:t>
      </w:r>
      <w:r w:rsidRPr="001454A3">
        <w:rPr>
          <w:sz w:val="16"/>
        </w:rPr>
        <w:t xml:space="preserve"> than we have seen in recent years, </w:t>
      </w:r>
      <w:r w:rsidRPr="001454A3">
        <w:rPr>
          <w:rStyle w:val="StyleUnderline"/>
        </w:rPr>
        <w:t>something that could</w:t>
      </w:r>
      <w:r w:rsidRPr="001454A3">
        <w:rPr>
          <w:sz w:val="16"/>
        </w:rPr>
        <w:t xml:space="preserve"> also </w:t>
      </w:r>
      <w:r w:rsidRPr="001454A3">
        <w:rPr>
          <w:rStyle w:val="StyleUnderline"/>
        </w:rPr>
        <w:t>turn an economic dispute into a military conflict</w:t>
      </w:r>
      <w:r w:rsidRPr="001454A3">
        <w:rPr>
          <w:sz w:val="16"/>
        </w:rPr>
        <w:t xml:space="preserve">. Finally, </w:t>
      </w:r>
      <w:r w:rsidRPr="001454A3">
        <w:rPr>
          <w:rStyle w:val="StyleUnderline"/>
        </w:rPr>
        <w:t xml:space="preserve">the </w:t>
      </w:r>
      <w:r w:rsidRPr="00DC7DDF">
        <w:rPr>
          <w:rStyle w:val="StyleUnderline"/>
          <w:highlight w:val="yellow"/>
        </w:rPr>
        <w:t xml:space="preserve">battle for </w:t>
      </w:r>
      <w:r w:rsidRPr="00DC7DDF">
        <w:rPr>
          <w:rStyle w:val="Emphasis"/>
          <w:highlight w:val="yellow"/>
        </w:rPr>
        <w:t>control</w:t>
      </w:r>
      <w:r w:rsidRPr="00DC7DDF">
        <w:rPr>
          <w:rStyle w:val="StyleUnderline"/>
          <w:highlight w:val="yellow"/>
        </w:rPr>
        <w:t xml:space="preserve"> of</w:t>
      </w:r>
      <w:r w:rsidRPr="001454A3">
        <w:rPr>
          <w:rStyle w:val="StyleUnderline"/>
        </w:rPr>
        <w:t xml:space="preserve"> </w:t>
      </w:r>
      <w:r w:rsidRPr="001454A3">
        <w:rPr>
          <w:rStyle w:val="Emphasis"/>
        </w:rPr>
        <w:t xml:space="preserve">strategic </w:t>
      </w:r>
      <w:r w:rsidRPr="00DC7DDF">
        <w:rPr>
          <w:rStyle w:val="Emphasis"/>
          <w:highlight w:val="yellow"/>
        </w:rPr>
        <w:t>resources</w:t>
      </w:r>
      <w:r w:rsidRPr="00DC7DDF">
        <w:rPr>
          <w:rStyle w:val="StyleUnderline"/>
          <w:highlight w:val="yellow"/>
        </w:rPr>
        <w:t xml:space="preserve"> </w:t>
      </w:r>
      <w:r w:rsidRPr="00DC7DDF">
        <w:rPr>
          <w:rStyle w:val="StyleUnderline"/>
        </w:rPr>
        <w:t xml:space="preserve">such as oil, water, land or </w:t>
      </w:r>
      <w:r w:rsidRPr="00DC7DDF">
        <w:rPr>
          <w:rStyle w:val="Emphasis"/>
        </w:rPr>
        <w:t>rare-earth</w:t>
      </w:r>
      <w:r w:rsidRPr="00DC7DDF">
        <w:rPr>
          <w:sz w:val="16"/>
        </w:rPr>
        <w:t xml:space="preserve"> element</w:t>
      </w:r>
      <w:r w:rsidRPr="00DC7DDF">
        <w:rPr>
          <w:rStyle w:val="Emphasis"/>
        </w:rPr>
        <w:t>s</w:t>
      </w:r>
      <w:r w:rsidRPr="00DC7DDF">
        <w:rPr>
          <w:sz w:val="16"/>
        </w:rPr>
        <w:t xml:space="preserve"> </w:t>
      </w:r>
      <w:r w:rsidRPr="00DC7DDF">
        <w:rPr>
          <w:rStyle w:val="StyleUnderline"/>
        </w:rPr>
        <w:t xml:space="preserve">could </w:t>
      </w:r>
      <w:r w:rsidRPr="00DC7DDF">
        <w:rPr>
          <w:rStyle w:val="Emphasis"/>
        </w:rPr>
        <w:t>intensify as</w:t>
      </w:r>
      <w:r w:rsidRPr="00DC7DDF">
        <w:rPr>
          <w:sz w:val="16"/>
        </w:rPr>
        <w:t xml:space="preserve"> economic </w:t>
      </w:r>
      <w:r w:rsidRPr="00DC7DDF">
        <w:rPr>
          <w:rStyle w:val="Emphasis"/>
        </w:rPr>
        <w:t>growth</w:t>
      </w:r>
      <w:r w:rsidRPr="00DC7DDF">
        <w:rPr>
          <w:rStyle w:val="StyleUnderline"/>
        </w:rPr>
        <w:t xml:space="preserve"> slows, resulting in con</w:t>
      </w:r>
      <w:r w:rsidRPr="001454A3">
        <w:rPr>
          <w:rStyle w:val="StyleUnderline"/>
        </w:rPr>
        <w:t>flicts over</w:t>
      </w:r>
      <w:r w:rsidRPr="001454A3">
        <w:rPr>
          <w:sz w:val="16"/>
        </w:rPr>
        <w:t xml:space="preserve"> the control of these </w:t>
      </w:r>
      <w:r w:rsidRPr="001454A3">
        <w:rPr>
          <w:rStyle w:val="Emphasis"/>
        </w:rPr>
        <w:t>resources</w:t>
      </w:r>
      <w:r w:rsidRPr="001454A3">
        <w:rPr>
          <w:sz w:val="16"/>
        </w:rPr>
        <w:t>.</w:t>
      </w:r>
    </w:p>
    <w:p w14:paraId="08E5059E" w14:textId="77777777" w:rsidR="00043739" w:rsidRPr="001454A3" w:rsidRDefault="00043739" w:rsidP="00043739">
      <w:pPr>
        <w:rPr>
          <w:sz w:val="16"/>
        </w:rPr>
      </w:pPr>
      <w:r w:rsidRPr="001454A3">
        <w:rPr>
          <w:rStyle w:val="StyleUnderline"/>
        </w:rPr>
        <w:t>There are many examples of</w:t>
      </w:r>
      <w:r w:rsidRPr="001454A3">
        <w:rPr>
          <w:sz w:val="16"/>
        </w:rPr>
        <w:t xml:space="preserve"> potential </w:t>
      </w:r>
      <w:r w:rsidRPr="00DC7DDF">
        <w:rPr>
          <w:rStyle w:val="StyleUnderline"/>
          <w:highlight w:val="yellow"/>
        </w:rPr>
        <w:t>conflicts</w:t>
      </w:r>
      <w:r w:rsidRPr="001454A3">
        <w:rPr>
          <w:rStyle w:val="StyleUnderline"/>
        </w:rPr>
        <w:t xml:space="preserve"> between large</w:t>
      </w:r>
      <w:r w:rsidRPr="001454A3">
        <w:rPr>
          <w:sz w:val="16"/>
        </w:rPr>
        <w:t xml:space="preserve"> economic </w:t>
      </w:r>
      <w:r w:rsidRPr="001454A3">
        <w:rPr>
          <w:rStyle w:val="StyleUnderline"/>
        </w:rPr>
        <w:t xml:space="preserve">powers that </w:t>
      </w:r>
      <w:r w:rsidRPr="00DC7DDF">
        <w:rPr>
          <w:rStyle w:val="StyleUnderline"/>
          <w:highlight w:val="yellow"/>
        </w:rPr>
        <w:t xml:space="preserve">could </w:t>
      </w:r>
      <w:r w:rsidRPr="00DC7DDF">
        <w:rPr>
          <w:rStyle w:val="Emphasis"/>
          <w:highlight w:val="yellow"/>
        </w:rPr>
        <w:t>erupt</w:t>
      </w:r>
      <w:r w:rsidRPr="001454A3">
        <w:rPr>
          <w:sz w:val="16"/>
        </w:rPr>
        <w:t xml:space="preserve"> in the years and decades ahead, </w:t>
      </w:r>
      <w:r w:rsidRPr="001454A3">
        <w:rPr>
          <w:rStyle w:val="Emphasis"/>
        </w:rPr>
        <w:t>particularly</w:t>
      </w:r>
      <w:r w:rsidRPr="001454A3">
        <w:rPr>
          <w:rStyle w:val="StyleUnderline"/>
        </w:rPr>
        <w:t xml:space="preserve"> </w:t>
      </w:r>
      <w:r w:rsidRPr="00DC7DDF">
        <w:rPr>
          <w:rStyle w:val="StyleUnderline"/>
          <w:highlight w:val="yellow"/>
        </w:rPr>
        <w:t>if</w:t>
      </w:r>
      <w:r w:rsidRPr="001454A3">
        <w:rPr>
          <w:sz w:val="16"/>
        </w:rPr>
        <w:t xml:space="preserve"> economic </w:t>
      </w:r>
      <w:r w:rsidRPr="00DC7DDF">
        <w:rPr>
          <w:rStyle w:val="Emphasis"/>
          <w:highlight w:val="yellow"/>
        </w:rPr>
        <w:t>growth</w:t>
      </w:r>
      <w:r w:rsidRPr="00DC7DDF">
        <w:rPr>
          <w:rStyle w:val="StyleUnderline"/>
          <w:highlight w:val="yellow"/>
        </w:rPr>
        <w:t xml:space="preserve"> continues to slow</w:t>
      </w:r>
      <w:r w:rsidRPr="001454A3">
        <w:rPr>
          <w:sz w:val="16"/>
        </w:rPr>
        <w:t xml:space="preserve"> over the longer-term. For example, tensions between the world’s two superpowers, </w:t>
      </w:r>
      <w:r w:rsidRPr="001454A3">
        <w:rPr>
          <w:rStyle w:val="StyleUnderline"/>
        </w:rPr>
        <w:t xml:space="preserve">the </w:t>
      </w:r>
      <w:r w:rsidRPr="001454A3">
        <w:rPr>
          <w:rStyle w:val="Emphasis"/>
        </w:rPr>
        <w:t>U</w:t>
      </w:r>
      <w:r w:rsidRPr="001454A3">
        <w:rPr>
          <w:sz w:val="16"/>
        </w:rPr>
        <w:t xml:space="preserve">nited </w:t>
      </w:r>
      <w:r w:rsidRPr="001454A3">
        <w:rPr>
          <w:rStyle w:val="Emphasis"/>
        </w:rPr>
        <w:t>S</w:t>
      </w:r>
      <w:r w:rsidRPr="001454A3">
        <w:rPr>
          <w:sz w:val="16"/>
        </w:rPr>
        <w:t xml:space="preserve">tates </w:t>
      </w:r>
      <w:r w:rsidRPr="001454A3">
        <w:rPr>
          <w:rStyle w:val="StyleUnderline"/>
        </w:rPr>
        <w:t xml:space="preserve">and </w:t>
      </w:r>
      <w:r w:rsidRPr="001454A3">
        <w:rPr>
          <w:rStyle w:val="Emphasis"/>
        </w:rPr>
        <w:t>China</w:t>
      </w:r>
      <w:r w:rsidRPr="001454A3">
        <w:rPr>
          <w:sz w:val="16"/>
        </w:rPr>
        <w:t xml:space="preserve">, </w:t>
      </w:r>
      <w:r w:rsidRPr="001454A3">
        <w:rPr>
          <w:rStyle w:val="StyleUnderline"/>
        </w:rPr>
        <w:t>have risen</w:t>
      </w:r>
      <w:r w:rsidRPr="001454A3">
        <w:rPr>
          <w:sz w:val="16"/>
        </w:rPr>
        <w:t xml:space="preserve"> steadily in recent years, due in part to US concerns about China’s rising economic and military power. As </w:t>
      </w:r>
      <w:r w:rsidRPr="00DC7DDF">
        <w:rPr>
          <w:rStyle w:val="StyleUnderline"/>
          <w:highlight w:val="yellow"/>
        </w:rPr>
        <w:t>there are</w:t>
      </w:r>
      <w:r w:rsidRPr="001454A3">
        <w:rPr>
          <w:rStyle w:val="StyleUnderline"/>
        </w:rPr>
        <w:t xml:space="preserve"> a large number of </w:t>
      </w:r>
      <w:r w:rsidRPr="00DC7DDF">
        <w:rPr>
          <w:rStyle w:val="Emphasis"/>
          <w:highlight w:val="yellow"/>
        </w:rPr>
        <w:t>flashpoints</w:t>
      </w:r>
      <w:r w:rsidRPr="00DC7DDF">
        <w:rPr>
          <w:rStyle w:val="StyleUnderline"/>
          <w:highlight w:val="yellow"/>
        </w:rPr>
        <w:t xml:space="preserve"> that could bring</w:t>
      </w:r>
      <w:r w:rsidRPr="001454A3">
        <w:rPr>
          <w:rStyle w:val="StyleUnderline"/>
        </w:rPr>
        <w:t xml:space="preserve"> these two</w:t>
      </w:r>
      <w:r w:rsidRPr="001454A3">
        <w:rPr>
          <w:sz w:val="16"/>
        </w:rPr>
        <w:t xml:space="preserve"> giant </w:t>
      </w:r>
      <w:r w:rsidRPr="00DC7DDF">
        <w:rPr>
          <w:rStyle w:val="StyleUnderline"/>
        </w:rPr>
        <w:t xml:space="preserve">powers into </w:t>
      </w:r>
      <w:r w:rsidRPr="00DC7DDF">
        <w:rPr>
          <w:rStyle w:val="StyleUnderline"/>
          <w:highlight w:val="yellow"/>
        </w:rPr>
        <w:t>conflict</w:t>
      </w:r>
      <w:r w:rsidRPr="001454A3">
        <w:rPr>
          <w:sz w:val="16"/>
        </w:rPr>
        <w:t xml:space="preserve"> (</w:t>
      </w:r>
      <w:r w:rsidRPr="00DC7DDF">
        <w:rPr>
          <w:rStyle w:val="Emphasis"/>
          <w:highlight w:val="yellow"/>
        </w:rPr>
        <w:t>Taiwan</w:t>
      </w:r>
      <w:r w:rsidRPr="001454A3">
        <w:rPr>
          <w:sz w:val="16"/>
        </w:rPr>
        <w:t xml:space="preserve">, </w:t>
      </w:r>
      <w:r w:rsidRPr="00DC7DDF">
        <w:rPr>
          <w:rStyle w:val="Emphasis"/>
          <w:highlight w:val="yellow"/>
        </w:rPr>
        <w:t>No</w:t>
      </w:r>
      <w:r w:rsidRPr="00DC7DDF">
        <w:rPr>
          <w:sz w:val="16"/>
          <w:highlight w:val="yellow"/>
        </w:rPr>
        <w:t xml:space="preserve">rth </w:t>
      </w:r>
      <w:r w:rsidRPr="00DC7DDF">
        <w:rPr>
          <w:rStyle w:val="Emphasis"/>
          <w:highlight w:val="yellow"/>
        </w:rPr>
        <w:t>Ko</w:t>
      </w:r>
      <w:r w:rsidRPr="00DC7DDF">
        <w:rPr>
          <w:sz w:val="16"/>
          <w:highlight w:val="yellow"/>
        </w:rPr>
        <w:t xml:space="preserve">rea, </w:t>
      </w:r>
      <w:r w:rsidRPr="00DC7DDF">
        <w:rPr>
          <w:rStyle w:val="Emphasis"/>
          <w:highlight w:val="yellow"/>
        </w:rPr>
        <w:t>S</w:t>
      </w:r>
      <w:r w:rsidRPr="00DC7DDF">
        <w:rPr>
          <w:sz w:val="16"/>
          <w:highlight w:val="yellow"/>
        </w:rPr>
        <w:t xml:space="preserve">outh </w:t>
      </w:r>
      <w:r w:rsidRPr="00DC7DDF">
        <w:rPr>
          <w:rStyle w:val="Emphasis"/>
          <w:highlight w:val="yellow"/>
        </w:rPr>
        <w:t>C</w:t>
      </w:r>
      <w:r w:rsidRPr="00DC7DDF">
        <w:rPr>
          <w:sz w:val="16"/>
          <w:highlight w:val="yellow"/>
        </w:rPr>
        <w:t xml:space="preserve">hina </w:t>
      </w:r>
      <w:r w:rsidRPr="00DC7DDF">
        <w:rPr>
          <w:rStyle w:val="Emphasis"/>
          <w:highlight w:val="yellow"/>
        </w:rPr>
        <w:t>S</w:t>
      </w:r>
      <w:r w:rsidRPr="00DC7DDF">
        <w:rPr>
          <w:sz w:val="16"/>
          <w:highlight w:val="yellow"/>
        </w:rPr>
        <w:t>ea</w:t>
      </w:r>
      <w:r w:rsidRPr="001454A3">
        <w:rPr>
          <w:sz w:val="16"/>
        </w:rPr>
        <w:t xml:space="preserve">, etc.), </w:t>
      </w:r>
      <w:r w:rsidRPr="001454A3">
        <w:rPr>
          <w:rStyle w:val="StyleUnderline"/>
        </w:rPr>
        <w:t>the likelihood of a superpower conflict is</w:t>
      </w:r>
      <w:r w:rsidRPr="001454A3">
        <w:rPr>
          <w:sz w:val="16"/>
        </w:rPr>
        <w:t xml:space="preserve"> now </w:t>
      </w:r>
      <w:r w:rsidRPr="001454A3">
        <w:rPr>
          <w:rStyle w:val="StyleUnderline"/>
        </w:rPr>
        <w:t>greater</w:t>
      </w:r>
      <w:r w:rsidRPr="001454A3">
        <w:rPr>
          <w:sz w:val="16"/>
        </w:rPr>
        <w:t xml:space="preserve"> than it has been at any time since the early 1980s.</w:t>
      </w:r>
    </w:p>
    <w:p w14:paraId="55153C10" w14:textId="77777777" w:rsidR="00043739" w:rsidRPr="001454A3" w:rsidRDefault="00043739" w:rsidP="00043739">
      <w:pPr>
        <w:rPr>
          <w:sz w:val="16"/>
        </w:rPr>
      </w:pPr>
      <w:r w:rsidRPr="001454A3">
        <w:rPr>
          <w:rStyle w:val="StyleUnderline"/>
        </w:rPr>
        <w:t>This is not the only potential great power conflict</w:t>
      </w:r>
      <w:r w:rsidRPr="001454A3">
        <w:rPr>
          <w:sz w:val="16"/>
        </w:rPr>
        <w:t xml:space="preserve"> that the world faces today. For example, </w:t>
      </w:r>
      <w:r w:rsidRPr="001454A3">
        <w:rPr>
          <w:rStyle w:val="StyleUnderline"/>
        </w:rPr>
        <w:t xml:space="preserve">tensions between </w:t>
      </w:r>
      <w:r w:rsidRPr="00DC7DDF">
        <w:rPr>
          <w:rStyle w:val="StyleUnderline"/>
          <w:highlight w:val="yellow"/>
        </w:rPr>
        <w:t xml:space="preserve">the </w:t>
      </w:r>
      <w:r w:rsidRPr="00DC7DDF">
        <w:rPr>
          <w:rStyle w:val="Emphasis"/>
          <w:highlight w:val="yellow"/>
        </w:rPr>
        <w:t>U</w:t>
      </w:r>
      <w:r w:rsidRPr="00DC7DDF">
        <w:rPr>
          <w:sz w:val="16"/>
          <w:highlight w:val="yellow"/>
        </w:rPr>
        <w:t xml:space="preserve">nited </w:t>
      </w:r>
      <w:r w:rsidRPr="00DC7DDF">
        <w:rPr>
          <w:rStyle w:val="Emphasis"/>
          <w:highlight w:val="yellow"/>
        </w:rPr>
        <w:t>S</w:t>
      </w:r>
      <w:r w:rsidRPr="00DC7DDF">
        <w:rPr>
          <w:sz w:val="16"/>
          <w:highlight w:val="yellow"/>
        </w:rPr>
        <w:t xml:space="preserve">tates </w:t>
      </w:r>
      <w:r w:rsidRPr="00DC7DDF">
        <w:rPr>
          <w:rStyle w:val="StyleUnderline"/>
          <w:highlight w:val="yellow"/>
        </w:rPr>
        <w:t xml:space="preserve">and </w:t>
      </w:r>
      <w:r w:rsidRPr="00DC7DDF">
        <w:rPr>
          <w:rStyle w:val="Emphasis"/>
          <w:highlight w:val="yellow"/>
        </w:rPr>
        <w:t>Russia</w:t>
      </w:r>
      <w:r w:rsidRPr="001454A3">
        <w:rPr>
          <w:rStyle w:val="StyleUnderline"/>
        </w:rPr>
        <w:t xml:space="preserve"> have</w:t>
      </w:r>
      <w:r w:rsidRPr="001454A3">
        <w:rPr>
          <w:sz w:val="16"/>
        </w:rPr>
        <w:t xml:space="preserve"> </w:t>
      </w:r>
      <w:r w:rsidRPr="001454A3">
        <w:rPr>
          <w:rStyle w:val="StyleUnderline"/>
        </w:rPr>
        <w:t>also been rising</w:t>
      </w:r>
      <w:r w:rsidRPr="001454A3">
        <w:rPr>
          <w:sz w:val="16"/>
        </w:rPr>
        <w:t xml:space="preserve"> as the latter seeks to regain some of the geopolitical importance and influence that it lost in the wake of the dissolution of the Soviet Union. </w:t>
      </w:r>
      <w:r w:rsidRPr="001454A3">
        <w:rPr>
          <w:rStyle w:val="StyleUnderline"/>
        </w:rPr>
        <w:t xml:space="preserve">The growing rivalry between </w:t>
      </w:r>
      <w:r w:rsidRPr="00DC7DDF">
        <w:rPr>
          <w:rStyle w:val="Emphasis"/>
          <w:highlight w:val="yellow"/>
        </w:rPr>
        <w:t>China and India</w:t>
      </w:r>
      <w:r w:rsidRPr="001454A3">
        <w:rPr>
          <w:rStyle w:val="StyleUnderline"/>
        </w:rPr>
        <w:t xml:space="preserve"> is another flashpoint that has the potential to </w:t>
      </w:r>
      <w:r w:rsidRPr="001454A3">
        <w:rPr>
          <w:rStyle w:val="Emphasis"/>
        </w:rPr>
        <w:t>erupt</w:t>
      </w:r>
      <w:r w:rsidRPr="001454A3">
        <w:rPr>
          <w:sz w:val="16"/>
        </w:rPr>
        <w:t xml:space="preserve"> into a conflict between two major economic powers, particularly </w:t>
      </w:r>
      <w:r w:rsidRPr="001454A3">
        <w:rPr>
          <w:rStyle w:val="StyleUnderline"/>
        </w:rPr>
        <w:t>in light of</w:t>
      </w:r>
      <w:r w:rsidRPr="001454A3">
        <w:rPr>
          <w:sz w:val="16"/>
        </w:rPr>
        <w:t xml:space="preserve"> the </w:t>
      </w:r>
      <w:r w:rsidRPr="001454A3">
        <w:rPr>
          <w:rStyle w:val="StyleUnderline"/>
        </w:rPr>
        <w:t>numerous border disputes</w:t>
      </w:r>
      <w:r w:rsidRPr="001454A3">
        <w:rPr>
          <w:sz w:val="16"/>
        </w:rPr>
        <w:t xml:space="preserve"> between those two Asian giants. In fact, </w:t>
      </w:r>
      <w:r w:rsidRPr="001454A3">
        <w:rPr>
          <w:rStyle w:val="StyleUnderline"/>
        </w:rPr>
        <w:t>there are a number of</w:t>
      </w:r>
      <w:r w:rsidRPr="001454A3">
        <w:rPr>
          <w:sz w:val="16"/>
        </w:rPr>
        <w:t xml:space="preserve"> potential </w:t>
      </w:r>
      <w:r w:rsidRPr="00DC7DDF">
        <w:rPr>
          <w:rStyle w:val="StyleUnderline"/>
          <w:highlight w:val="yellow"/>
        </w:rPr>
        <w:t>conflicts</w:t>
      </w:r>
      <w:r w:rsidRPr="001454A3">
        <w:rPr>
          <w:rStyle w:val="StyleUnderline"/>
        </w:rPr>
        <w:t xml:space="preserve"> involving</w:t>
      </w:r>
      <w:r w:rsidRPr="001454A3">
        <w:rPr>
          <w:sz w:val="16"/>
        </w:rPr>
        <w:t xml:space="preserve"> two or more </w:t>
      </w:r>
      <w:r w:rsidRPr="001454A3">
        <w:rPr>
          <w:rStyle w:val="StyleUnderline"/>
        </w:rPr>
        <w:t xml:space="preserve">major economies that </w:t>
      </w:r>
      <w:r w:rsidRPr="00DC7DDF">
        <w:rPr>
          <w:rStyle w:val="StyleUnderline"/>
          <w:highlight w:val="yellow"/>
        </w:rPr>
        <w:t xml:space="preserve">could </w:t>
      </w:r>
      <w:r w:rsidRPr="00DC7DDF">
        <w:rPr>
          <w:rStyle w:val="Emphasis"/>
          <w:highlight w:val="yellow"/>
        </w:rPr>
        <w:t>erupt</w:t>
      </w:r>
      <w:r w:rsidRPr="001454A3">
        <w:rPr>
          <w:rStyle w:val="StyleUnderline"/>
        </w:rPr>
        <w:t xml:space="preserve"> in the near-future</w:t>
      </w:r>
      <w:r w:rsidRPr="001454A3">
        <w:rPr>
          <w:sz w:val="16"/>
        </w:rPr>
        <w:t xml:space="preserve">, </w:t>
      </w:r>
      <w:r w:rsidRPr="001454A3">
        <w:rPr>
          <w:rStyle w:val="StyleUnderline"/>
        </w:rPr>
        <w:t>any of which would</w:t>
      </w:r>
      <w:r w:rsidRPr="001454A3">
        <w:rPr>
          <w:sz w:val="16"/>
        </w:rPr>
        <w:t xml:space="preserve"> not only </w:t>
      </w:r>
      <w:r w:rsidRPr="001454A3">
        <w:rPr>
          <w:rStyle w:val="StyleUnderline"/>
        </w:rPr>
        <w:t xml:space="preserve">be </w:t>
      </w:r>
      <w:r w:rsidRPr="00DC7DDF">
        <w:rPr>
          <w:rStyle w:val="StyleUnderline"/>
          <w:highlight w:val="yellow"/>
        </w:rPr>
        <w:t xml:space="preserve">influenced by </w:t>
      </w:r>
      <w:r w:rsidRPr="00DC7DDF">
        <w:rPr>
          <w:rStyle w:val="Emphasis"/>
          <w:highlight w:val="yellow"/>
        </w:rPr>
        <w:t>economic factors</w:t>
      </w:r>
      <w:r w:rsidRPr="001454A3">
        <w:rPr>
          <w:sz w:val="16"/>
        </w:rPr>
        <w:t>, but would also have a major impact on the economies of the combatants, as well as on the global economy as a whole.</w:t>
      </w:r>
    </w:p>
    <w:p w14:paraId="2AAE1E76" w14:textId="77777777" w:rsidR="00043739" w:rsidRPr="00641D34" w:rsidRDefault="00043739" w:rsidP="00043739"/>
    <w:p w14:paraId="5EAC387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29C7F" w14:textId="77777777" w:rsidR="00B6562C" w:rsidRDefault="00B6562C" w:rsidP="00066D2C">
      <w:r>
        <w:separator/>
      </w:r>
    </w:p>
  </w:endnote>
  <w:endnote w:type="continuationSeparator" w:id="0">
    <w:p w14:paraId="4AEA5D48" w14:textId="77777777" w:rsidR="00B6562C" w:rsidRDefault="00B6562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ode">
    <w:altName w:val="Calibri"/>
    <w:panose1 w:val="020B0604020202020204"/>
    <w:charset w:val="00"/>
    <w:family w:val="swiss"/>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9F34A" w14:textId="77777777" w:rsidR="00B6562C" w:rsidRDefault="00B6562C" w:rsidP="00066D2C">
      <w:r>
        <w:separator/>
      </w:r>
    </w:p>
  </w:footnote>
  <w:footnote w:type="continuationSeparator" w:id="0">
    <w:p w14:paraId="4BDB560F" w14:textId="77777777" w:rsidR="00B6562C" w:rsidRDefault="00B6562C" w:rsidP="00066D2C">
      <w:r>
        <w:continuationSeparator/>
      </w:r>
    </w:p>
  </w:footnote>
  <w:footnote w:id="1">
    <w:p w14:paraId="098051D6" w14:textId="77777777" w:rsidR="00733FFE" w:rsidRDefault="00733FFE" w:rsidP="00733FFE">
      <w:pPr>
        <w:pStyle w:val="FootnoteText"/>
      </w:pPr>
      <w:r>
        <w:rPr>
          <w:rStyle w:val="FootnoteReference"/>
        </w:rPr>
        <w:footnoteRef/>
      </w:r>
      <w:r>
        <w:t xml:space="preserve"> </w:t>
      </w:r>
      <w:r w:rsidRPr="00D223B5">
        <w:rPr>
          <w:rFonts w:ascii="Times New Roman" w:hAnsi="Times New Roman" w:cs="Times New Roman"/>
        </w:rPr>
        <w:t xml:space="preserve">These </w:t>
      </w:r>
      <w:r>
        <w:rPr>
          <w:rFonts w:ascii="Times New Roman" w:hAnsi="Times New Roman" w:cs="Times New Roman"/>
        </w:rPr>
        <w:t xml:space="preserve">include </w:t>
      </w:r>
      <w:r w:rsidRPr="00D223B5">
        <w:rPr>
          <w:rFonts w:ascii="Times New Roman" w:hAnsi="Times New Roman" w:cs="Times New Roman"/>
        </w:rPr>
        <w:t>a recent decision that would allow automatic certification of a union if an employer is found to have committed a</w:t>
      </w:r>
      <w:r>
        <w:rPr>
          <w:rFonts w:ascii="Times New Roman" w:hAnsi="Times New Roman" w:cs="Times New Roman"/>
        </w:rPr>
        <w:t>n</w:t>
      </w:r>
      <w:r w:rsidRPr="00D223B5">
        <w:rPr>
          <w:rFonts w:ascii="Times New Roman" w:hAnsi="Times New Roman" w:cs="Times New Roman"/>
        </w:rPr>
        <w:t xml:space="preserve"> unfair labor practice during a run up to or during an unionization vote (Meyerson, 2023).</w:t>
      </w:r>
    </w:p>
  </w:footnote>
  <w:footnote w:id="2">
    <w:p w14:paraId="1AD02C60" w14:textId="77777777" w:rsidR="00733FFE" w:rsidRPr="00110A39" w:rsidRDefault="00733FFE" w:rsidP="00733FFE">
      <w:pPr>
        <w:pStyle w:val="FootnoteText"/>
        <w:rPr>
          <w:rFonts w:ascii="Times New Roman" w:hAnsi="Times New Roman" w:cs="Times New Roman"/>
        </w:rPr>
      </w:pPr>
      <w:r>
        <w:rPr>
          <w:rStyle w:val="FootnoteReference"/>
        </w:rPr>
        <w:footnoteRef/>
      </w:r>
      <w:r>
        <w:t xml:space="preserve"> </w:t>
      </w:r>
      <w:r w:rsidRPr="00110A39">
        <w:rPr>
          <w:rFonts w:ascii="Times New Roman" w:hAnsi="Times New Roman" w:cs="Times New Roman"/>
        </w:rPr>
        <w:t>Ross (2023) argues that the UAW 2023 strike tactics were a marked departure from previous pattern bargaining in which one lead firm was targeted and then its settlement set the pattern for the other OEMs. In cont</w:t>
      </w:r>
      <w:r>
        <w:rPr>
          <w:rFonts w:ascii="Times New Roman" w:hAnsi="Times New Roman" w:cs="Times New Roman"/>
        </w:rPr>
        <w:t>rast</w:t>
      </w:r>
      <w:r w:rsidRPr="00110A39">
        <w:rPr>
          <w:rFonts w:ascii="Times New Roman" w:hAnsi="Times New Roman" w:cs="Times New Roman"/>
        </w:rPr>
        <w:t xml:space="preserve"> Stand Up selected the most profitable plants in all of the Big Three, gradually scaling up the number of facilities and workers involved. The UAW also directly involved rank and file members in negotiations much more than in the past and this helped the union, rather than the companies establish the narrative regarding strike goals and conduct.</w:t>
      </w:r>
    </w:p>
  </w:footnote>
  <w:footnote w:id="3">
    <w:p w14:paraId="3F432A1A" w14:textId="77777777" w:rsidR="00733FFE" w:rsidRPr="009E5E19" w:rsidRDefault="00733FFE" w:rsidP="00733FFE">
      <w:pPr>
        <w:pStyle w:val="Default"/>
        <w:rPr>
          <w:rFonts w:ascii="Times New Roman" w:hAnsi="Times New Roman" w:cs="Times New Roman"/>
          <w:sz w:val="20"/>
          <w:szCs w:val="20"/>
        </w:rPr>
      </w:pPr>
      <w:r>
        <w:rPr>
          <w:rStyle w:val="FootnoteReference"/>
        </w:rPr>
        <w:footnoteRef/>
      </w:r>
      <w:r>
        <w:t xml:space="preserve"> “</w:t>
      </w:r>
      <w:r w:rsidRPr="00AF7D81">
        <w:rPr>
          <w:rFonts w:ascii="Times New Roman" w:hAnsi="Times New Roman" w:cs="Times New Roman"/>
          <w:sz w:val="20"/>
          <w:szCs w:val="20"/>
        </w:rPr>
        <w:t>We fight not only for the good of our union or for the good of our members and our families. We fight for the good of the entire working class…. I believe that great things are possible, but only if we shed our fear. Only if we stop letting the billionaire class define what is possible and what is realistic</w:t>
      </w:r>
      <w:r>
        <w:rPr>
          <w:rFonts w:ascii="Times New Roman" w:hAnsi="Times New Roman" w:cs="Times New Roman"/>
          <w:sz w:val="20"/>
          <w:szCs w:val="20"/>
        </w:rPr>
        <w:t>”</w:t>
      </w:r>
      <w:r w:rsidRPr="00AF7D81">
        <w:rPr>
          <w:rFonts w:ascii="Times New Roman" w:hAnsi="Times New Roman" w:cs="Times New Roman"/>
          <w:sz w:val="20"/>
          <w:szCs w:val="20"/>
        </w:rPr>
        <w:t xml:space="preserve"> (Shawn Fain, September 13</w:t>
      </w:r>
      <w:r w:rsidRPr="00AF7D81">
        <w:rPr>
          <w:rFonts w:ascii="Times New Roman" w:hAnsi="Times New Roman" w:cs="Times New Roman"/>
          <w:sz w:val="20"/>
          <w:szCs w:val="20"/>
          <w:vertAlign w:val="superscript"/>
        </w:rPr>
        <w:t>th</w:t>
      </w:r>
      <w:r w:rsidRPr="00AF7D81">
        <w:rPr>
          <w:rFonts w:ascii="Times New Roman" w:hAnsi="Times New Roman" w:cs="Times New Roman"/>
          <w:sz w:val="20"/>
          <w:szCs w:val="20"/>
        </w:rPr>
        <w:t>, 2023).</w:t>
      </w:r>
    </w:p>
  </w:footnote>
  <w:footnote w:id="4">
    <w:p w14:paraId="0EB30F60" w14:textId="77777777" w:rsidR="00733FFE" w:rsidRPr="0060547B" w:rsidRDefault="00733FFE" w:rsidP="00733FFE">
      <w:pPr>
        <w:pStyle w:val="FootnoteText"/>
        <w:rPr>
          <w:rFonts w:ascii="Times New Roman" w:hAnsi="Times New Roman" w:cs="Times New Roman"/>
        </w:rPr>
      </w:pPr>
      <w:r>
        <w:rPr>
          <w:rStyle w:val="FootnoteReference"/>
        </w:rPr>
        <w:footnoteRef/>
      </w:r>
      <w:r>
        <w:t xml:space="preserve"> </w:t>
      </w:r>
      <w:r w:rsidRPr="0060547B">
        <w:rPr>
          <w:rFonts w:ascii="Times New Roman" w:hAnsi="Times New Roman" w:cs="Times New Roman"/>
        </w:rPr>
        <w:t xml:space="preserve">The Biden administration has explicitly defined itself as ‘pro-labor’ –especially unions. However, this is open to interpretation as in December 2022 it intervened to prevent a major strike by unions in the federally regulated railway industry. Besides wages a major issue for workers was a lack of paid sick leave. Nonetheless, in May 2023 it was announced that after pressure from the administration the railway companies had given about 50% of their workforce four paid sick days a year with the option of taking three more from their personal days (Greenhouse, 2023). </w:t>
      </w:r>
    </w:p>
  </w:footnote>
  <w:footnote w:id="5">
    <w:p w14:paraId="066186E2" w14:textId="77777777" w:rsidR="00733FFE" w:rsidRPr="009E5E19" w:rsidRDefault="00733FFE" w:rsidP="00733FFE">
      <w:pPr>
        <w:pStyle w:val="FootnoteText"/>
      </w:pPr>
      <w:r>
        <w:rPr>
          <w:rStyle w:val="FootnoteReference"/>
        </w:rPr>
        <w:footnoteRef/>
      </w:r>
      <w:r>
        <w:t xml:space="preserve"> </w:t>
      </w:r>
      <w:r>
        <w:rPr>
          <w:rFonts w:ascii="Times New Roman" w:hAnsi="Times New Roman" w:cs="Times New Roman"/>
          <w:color w:val="454545"/>
        </w:rPr>
        <w:t>I</w:t>
      </w:r>
      <w:r w:rsidRPr="00003DC2">
        <w:rPr>
          <w:rFonts w:ascii="Times New Roman" w:hAnsi="Times New Roman" w:cs="Times New Roman"/>
          <w:color w:val="454545"/>
        </w:rPr>
        <w:t xml:space="preserve">n 1983 24.7 per cent of US male workers were members of a union and only 14.6 percent of women by 2021 this gap had narrowed substantially with 10.6 per cent of men and 9.9 per cent of women being unionized </w:t>
      </w:r>
      <w:r w:rsidRPr="00003DC2">
        <w:rPr>
          <w:rFonts w:ascii="Times New Roman" w:hAnsi="Times New Roman" w:cs="Times New Roman"/>
        </w:rPr>
        <w:t>(Carrazana, 2022, 4). Similarly, a larger percentage of Black workers now belong to unions than Whites and especially unionized automotive firms employ a significantly higher percentage of Black workers than their share of the working population (</w:t>
      </w:r>
      <w:r w:rsidRPr="00003DC2">
        <w:rPr>
          <w:rFonts w:ascii="Times New Roman" w:hAnsi="Times New Roman" w:cs="Times New Roman"/>
          <w:color w:val="313131"/>
        </w:rPr>
        <w:t>Szczesny, 2022</w:t>
      </w:r>
      <w:r>
        <w:rPr>
          <w:rFonts w:ascii="Times New Roman" w:hAnsi="Times New Roman" w:cs="Times New Roman"/>
          <w:color w:val="313131"/>
        </w:rPr>
        <w:t xml:space="preserve">). </w:t>
      </w:r>
      <w:r w:rsidRPr="00003DC2">
        <w:rPr>
          <w:rFonts w:ascii="Times New Roman" w:hAnsi="Times New Roman" w:cs="Times New Roman"/>
          <w:color w:val="454545"/>
        </w:rPr>
        <w:t>In</w:t>
      </w:r>
      <w:r w:rsidRPr="009E5E19">
        <w:rPr>
          <w:rFonts w:ascii="Times New Roman" w:hAnsi="Times New Roman" w:cs="Times New Roman"/>
          <w:color w:val="454545"/>
        </w:rPr>
        <w:t xml:space="preserve"> post-industrial cities such as Pittsburgh the development of the health care sector has been accompanied by high concentrations of often low paid Black and female workers (Rogers, 2022).</w:t>
      </w:r>
      <w:r>
        <w:rPr>
          <w:rFonts w:ascii="Times New Roman" w:hAnsi="Times New Roman" w:cs="Times New Roman"/>
          <w:color w:val="454545"/>
        </w:rPr>
        <w:t xml:space="preserve"> </w:t>
      </w:r>
      <w:r w:rsidRPr="009E5E19">
        <w:rPr>
          <w:rFonts w:ascii="Times New Roman" w:hAnsi="Times New Roman" w:cs="Times New Roman"/>
          <w:color w:val="454545"/>
        </w:rPr>
        <w:t>Unions</w:t>
      </w:r>
      <w:r>
        <w:rPr>
          <w:rFonts w:ascii="Times New Roman" w:hAnsi="Times New Roman" w:cs="Times New Roman"/>
          <w:color w:val="454545"/>
        </w:rPr>
        <w:t xml:space="preserve"> </w:t>
      </w:r>
      <w:r w:rsidRPr="009E5E19">
        <w:rPr>
          <w:rFonts w:ascii="Times New Roman" w:hAnsi="Times New Roman" w:cs="Times New Roman"/>
          <w:color w:val="454545"/>
        </w:rPr>
        <w:t>such as S</w:t>
      </w:r>
      <w:r w:rsidRPr="009E5E19">
        <w:rPr>
          <w:rFonts w:ascii="Times New Roman" w:hAnsi="Times New Roman" w:cs="Times New Roman"/>
          <w:color w:val="191919"/>
          <w:shd w:val="clear" w:color="auto" w:fill="FFFFFF"/>
        </w:rPr>
        <w:t>ervice Employees International Union (SEIU) have organized many of these workers who have engaged in post-Covid strikes demanding higher wages and safe staffing levels.</w:t>
      </w:r>
      <w:r w:rsidRPr="009E5E19">
        <w:rPr>
          <w:rFonts w:ascii="Times New Roman" w:hAnsi="Times New Roman" w:cs="Times New Roman"/>
          <w:color w:val="313131"/>
        </w:rPr>
        <w:t xml:space="preserve"> </w:t>
      </w:r>
      <w:r w:rsidRPr="009E5E19">
        <w:rPr>
          <w:rFonts w:ascii="Times New Roman" w:hAnsi="Times New Roman" w:cs="Times New Roman"/>
        </w:rPr>
        <w:t xml:space="preserve"> </w:t>
      </w:r>
    </w:p>
  </w:footnote>
  <w:footnote w:id="6">
    <w:p w14:paraId="668037A2" w14:textId="77777777" w:rsidR="00733FFE" w:rsidRPr="00AE6A2A" w:rsidRDefault="00733FFE" w:rsidP="00733FFE">
      <w:pPr>
        <w:pStyle w:val="FootnoteText"/>
        <w:rPr>
          <w:rFonts w:ascii="Times New Roman" w:hAnsi="Times New Roman" w:cs="Times New Roman"/>
        </w:rPr>
      </w:pPr>
      <w:r>
        <w:rPr>
          <w:rStyle w:val="FootnoteReference"/>
        </w:rPr>
        <w:footnoteRef/>
      </w:r>
      <w:r>
        <w:t xml:space="preserve"> </w:t>
      </w:r>
      <w:r w:rsidRPr="00AE6A2A">
        <w:rPr>
          <w:rFonts w:ascii="Times New Roman" w:hAnsi="Times New Roman" w:cs="Times New Roman"/>
        </w:rPr>
        <w:t xml:space="preserve">It is also important to stress that both unions and Alt Labor organizations are often working together to empower and organize non-union workers (Malin, 2018). Current union successes such as </w:t>
      </w:r>
      <w:r>
        <w:rPr>
          <w:rFonts w:ascii="Times New Roman" w:hAnsi="Times New Roman" w:cs="Times New Roman"/>
        </w:rPr>
        <w:t xml:space="preserve">by </w:t>
      </w:r>
      <w:r w:rsidRPr="00AE6A2A">
        <w:rPr>
          <w:rFonts w:ascii="Times New Roman" w:hAnsi="Times New Roman" w:cs="Times New Roman"/>
        </w:rPr>
        <w:t>the UAW have increas</w:t>
      </w:r>
      <w:r>
        <w:rPr>
          <w:rFonts w:ascii="Times New Roman" w:hAnsi="Times New Roman" w:cs="Times New Roman"/>
        </w:rPr>
        <w:t>ed</w:t>
      </w:r>
      <w:r w:rsidRPr="00AE6A2A">
        <w:rPr>
          <w:rFonts w:ascii="Times New Roman" w:hAnsi="Times New Roman" w:cs="Times New Roman"/>
        </w:rPr>
        <w:t xml:space="preserve"> interest from non-union auto workers and others. </w:t>
      </w:r>
      <w:r>
        <w:rPr>
          <w:rFonts w:ascii="Times New Roman" w:hAnsi="Times New Roman" w:cs="Times New Roman"/>
        </w:rPr>
        <w:t>For example,</w:t>
      </w:r>
      <w:r w:rsidRPr="00AE6A2A">
        <w:rPr>
          <w:rFonts w:ascii="Times New Roman" w:hAnsi="Times New Roman" w:cs="Times New Roman"/>
        </w:rPr>
        <w:t xml:space="preserve"> the Emergency Worker Organizing Committee (EWOC) a joint initiative of the United Electric Workers (UE) and the Democratic Socialists of America (DSA) which was established in 2020 to help non-union workers with pandemic related challenges versus employer</w:t>
      </w:r>
      <w:r>
        <w:rPr>
          <w:rFonts w:ascii="Times New Roman" w:hAnsi="Times New Roman" w:cs="Times New Roman"/>
        </w:rPr>
        <w:t>s</w:t>
      </w:r>
      <w:r w:rsidRPr="00AE6A2A">
        <w:rPr>
          <w:rFonts w:ascii="Times New Roman" w:hAnsi="Times New Roman" w:cs="Times New Roman"/>
        </w:rPr>
        <w:t xml:space="preserve"> now mainly assists workers in unionizing. In research being conducted by the author it was reported that since the successful UAW, Screen writers and other labor actions there has been a significant increase in non-union worker interest in unionizing. Thus</w:t>
      </w:r>
      <w:r>
        <w:rPr>
          <w:rFonts w:ascii="Times New Roman" w:hAnsi="Times New Roman" w:cs="Times New Roman"/>
        </w:rPr>
        <w:t>,</w:t>
      </w:r>
      <w:r w:rsidRPr="00AE6A2A">
        <w:rPr>
          <w:rFonts w:ascii="Times New Roman" w:hAnsi="Times New Roman" w:cs="Times New Roman"/>
        </w:rPr>
        <w:t xml:space="preserve"> in June 2023 EWOC was receiving some 150-180 calls a month from non-union workers. By October this had roughly doubled to around 350 a month (Rutherford, 2023). </w:t>
      </w:r>
    </w:p>
  </w:footnote>
  <w:footnote w:id="7">
    <w:p w14:paraId="5FE33025" w14:textId="77777777" w:rsidR="00733FFE" w:rsidRPr="00906CD2" w:rsidRDefault="00733FFE" w:rsidP="00733FFE">
      <w:pPr>
        <w:pStyle w:val="FootnoteText"/>
        <w:contextualSpacing/>
        <w:rPr>
          <w:rFonts w:ascii="Times New Roman" w:hAnsi="Times New Roman" w:cs="Times New Roman"/>
        </w:rPr>
      </w:pPr>
      <w:r>
        <w:rPr>
          <w:rStyle w:val="FootnoteReference"/>
        </w:rPr>
        <w:footnoteRef/>
      </w:r>
      <w:r>
        <w:t xml:space="preserve"> </w:t>
      </w:r>
      <w:r w:rsidRPr="00906CD2">
        <w:rPr>
          <w:rFonts w:ascii="Times New Roman" w:hAnsi="Times New Roman" w:cs="Times New Roman"/>
        </w:rPr>
        <w:t>Rosenfeld notes that while Canadian union auto workers had some different issues than their US counterparts –for example</w:t>
      </w:r>
      <w:r>
        <w:rPr>
          <w:rFonts w:ascii="Times New Roman" w:hAnsi="Times New Roman" w:cs="Times New Roman"/>
        </w:rPr>
        <w:t>,</w:t>
      </w:r>
      <w:r w:rsidRPr="00906CD2">
        <w:rPr>
          <w:rFonts w:ascii="Times New Roman" w:hAnsi="Times New Roman" w:cs="Times New Roman"/>
        </w:rPr>
        <w:t xml:space="preserve"> over the extent and form of tiering, they have fundamentally similar interests to those of the UAW. Tufts (2023) argues that </w:t>
      </w:r>
      <w:r>
        <w:rPr>
          <w:rFonts w:ascii="Times New Roman" w:hAnsi="Times New Roman" w:cs="Times New Roman"/>
        </w:rPr>
        <w:t xml:space="preserve">since </w:t>
      </w:r>
      <w:r w:rsidRPr="00906CD2">
        <w:rPr>
          <w:rFonts w:ascii="Times New Roman" w:hAnsi="Times New Roman" w:cs="Times New Roman"/>
        </w:rPr>
        <w:t>UNIFOR (then as the Canadian Auto Workers CAW) broke away from the UAW in the 1980s: “</w:t>
      </w:r>
      <w:r w:rsidRPr="00906CD2">
        <w:rPr>
          <w:rFonts w:ascii="Times New Roman" w:hAnsi="Times New Roman" w:cs="Times New Roman"/>
          <w:color w:val="202124"/>
          <w:shd w:val="clear" w:color="auto" w:fill="FFFFFF"/>
        </w:rPr>
        <w:t>Unions in Canada have achieved a great deal of independence over the decades and are no longer weaker subsidiaries of U.S. labour. </w:t>
      </w:r>
      <w:r w:rsidRPr="00906CD2">
        <w:rPr>
          <w:rFonts w:ascii="Times New Roman" w:hAnsi="Times New Roman" w:cs="Times New Roman"/>
          <w:color w:val="040C28"/>
        </w:rPr>
        <w:t>It is time to re-engage with U.S. unions to build transnational power from a position of confidence and respect to benefit all workers, and to escape the geographical paradox</w:t>
      </w:r>
      <w:r>
        <w:rPr>
          <w:rFonts w:ascii="Times New Roman" w:hAnsi="Times New Roman" w:cs="Times New Roman"/>
          <w:color w:val="040C28"/>
        </w:rPr>
        <w:t>”</w:t>
      </w:r>
      <w:r w:rsidRPr="00906CD2">
        <w:rPr>
          <w:rFonts w:ascii="Times New Roman" w:hAnsi="Times New Roman" w:cs="Times New Roman"/>
          <w:color w:val="040C28"/>
        </w:rPr>
        <w:t>.</w:t>
      </w:r>
    </w:p>
  </w:footnote>
  <w:footnote w:id="8">
    <w:p w14:paraId="29BAE3AB" w14:textId="77777777" w:rsidR="00733FFE" w:rsidRPr="00CD3666" w:rsidRDefault="00733FFE" w:rsidP="00733FFE">
      <w:pPr>
        <w:ind w:left="-288"/>
        <w:contextualSpacing/>
        <w:rPr>
          <w:color w:val="191919"/>
          <w:sz w:val="20"/>
          <w:szCs w:val="20"/>
          <w:shd w:val="clear" w:color="auto" w:fill="FFFFFF"/>
        </w:rPr>
      </w:pPr>
      <w:r>
        <w:rPr>
          <w:rStyle w:val="FootnoteReference"/>
        </w:rPr>
        <w:footnoteRef/>
      </w:r>
      <w:r>
        <w:t xml:space="preserve"> </w:t>
      </w:r>
      <w:r w:rsidRPr="005139DF">
        <w:rPr>
          <w:color w:val="191919"/>
          <w:sz w:val="20"/>
          <w:szCs w:val="20"/>
          <w:shd w:val="clear" w:color="auto" w:fill="FFFFFF"/>
        </w:rPr>
        <w:t>Hertel-Fernandez et al, (2020, 188) study of the public opinion effects of the 2017 West Virginia teachers and other US strikes concluded:</w:t>
      </w:r>
      <w:r>
        <w:rPr>
          <w:color w:val="191919"/>
          <w:sz w:val="20"/>
          <w:szCs w:val="20"/>
          <w:shd w:val="clear" w:color="auto" w:fill="FFFFFF"/>
        </w:rPr>
        <w:t xml:space="preserve"> </w:t>
      </w:r>
      <w:r>
        <w:rPr>
          <w:sz w:val="20"/>
          <w:szCs w:val="20"/>
        </w:rPr>
        <w:t>“</w:t>
      </w:r>
      <w:r w:rsidRPr="005139DF">
        <w:rPr>
          <w:sz w:val="20"/>
          <w:szCs w:val="20"/>
        </w:rPr>
        <w:t>the decline of strikes…. may form a vicious cycle for the long-term political power</w:t>
      </w:r>
      <w:r>
        <w:rPr>
          <w:sz w:val="20"/>
          <w:szCs w:val="20"/>
        </w:rPr>
        <w:t xml:space="preserve"> </w:t>
      </w:r>
      <w:r w:rsidRPr="005139DF">
        <w:rPr>
          <w:sz w:val="20"/>
          <w:szCs w:val="20"/>
        </w:rPr>
        <w:t>of labor</w:t>
      </w:r>
      <w:r>
        <w:rPr>
          <w:sz w:val="20"/>
          <w:szCs w:val="20"/>
        </w:rPr>
        <w:t>..</w:t>
      </w:r>
      <w:r w:rsidRPr="005139DF">
        <w:rPr>
          <w:sz w:val="20"/>
          <w:szCs w:val="20"/>
        </w:rPr>
        <w:t>.</w:t>
      </w:r>
      <w:r>
        <w:rPr>
          <w:sz w:val="20"/>
          <w:szCs w:val="20"/>
        </w:rPr>
        <w:t>s</w:t>
      </w:r>
      <w:r w:rsidRPr="005139DF">
        <w:rPr>
          <w:sz w:val="20"/>
          <w:szCs w:val="20"/>
        </w:rPr>
        <w:t>trikes seem to be an important way that people form opinions about unions</w:t>
      </w:r>
      <w:r>
        <w:rPr>
          <w:sz w:val="20"/>
          <w:szCs w:val="20"/>
        </w:rPr>
        <w:t xml:space="preserve"> </w:t>
      </w:r>
      <w:r w:rsidRPr="005139DF">
        <w:rPr>
          <w:sz w:val="20"/>
          <w:szCs w:val="20"/>
        </w:rPr>
        <w:t>and develop interest in labor action. As both strikes and union membership have declined precipitously over the past decades, few members of the public have had opportunities</w:t>
      </w:r>
      <w:r>
        <w:rPr>
          <w:sz w:val="20"/>
          <w:szCs w:val="20"/>
        </w:rPr>
        <w:t xml:space="preserve"> </w:t>
      </w:r>
      <w:r w:rsidRPr="005139DF">
        <w:rPr>
          <w:sz w:val="20"/>
          <w:szCs w:val="20"/>
        </w:rPr>
        <w:t>to gain firsthand knowledge and interest in unions [but] strikes appear to foster greater interest in further strikes, feeding on one another. If unions are to regain any economic or political clout in the coming years … the strike must be a central strategy of the labor movement</w:t>
      </w:r>
      <w:r>
        <w:rPr>
          <w:sz w:val="20"/>
          <w:szCs w:val="20"/>
        </w:rPr>
        <w:t>.”</w:t>
      </w:r>
    </w:p>
  </w:footnote>
  <w:footnote w:id="9">
    <w:p w14:paraId="01BCE400" w14:textId="77777777" w:rsidR="00733FFE" w:rsidRPr="00A13B53" w:rsidRDefault="00733FFE" w:rsidP="00733FFE">
      <w:pPr>
        <w:pStyle w:val="FootnoteText"/>
        <w:ind w:left="-288"/>
        <w:rPr>
          <w:rFonts w:ascii="Times New Roman" w:hAnsi="Times New Roman" w:cs="Times New Roman"/>
        </w:rPr>
      </w:pPr>
      <w:r>
        <w:rPr>
          <w:rStyle w:val="FootnoteReference"/>
        </w:rPr>
        <w:footnoteRef/>
      </w:r>
      <w:r>
        <w:t xml:space="preserve"> </w:t>
      </w:r>
      <w:r w:rsidRPr="00A13B53">
        <w:rPr>
          <w:rFonts w:ascii="Times New Roman" w:hAnsi="Times New Roman" w:cs="Times New Roman"/>
        </w:rPr>
        <w:t xml:space="preserve">One indication that labor may be thinking along these lines is that the UAW contracts are all due to end 1 May 2028. This May Day date is not coincidental for the union wants not only </w:t>
      </w:r>
      <w:r>
        <w:rPr>
          <w:rFonts w:ascii="Times New Roman" w:hAnsi="Times New Roman" w:cs="Times New Roman"/>
        </w:rPr>
        <w:t xml:space="preserve">to include </w:t>
      </w:r>
      <w:r w:rsidRPr="00A13B53">
        <w:rPr>
          <w:rFonts w:ascii="Times New Roman" w:hAnsi="Times New Roman" w:cs="Times New Roman"/>
        </w:rPr>
        <w:t>currently non-union auto workers in such contracts but also as many other industries as is possible such that a mass if not general strike become possible. In the UAW’s view this would secure workers the best leverage to reverse both the adverse effects of neoliberalism but also forge a qualitatively new employment relations paradigm in the United States (DiMaggio,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5091649440"/>
    <w:docVar w:name="VerbatimVersion" w:val="6.0.0"/>
    <w:docVar w:name="WordVersion" w:val="16.0"/>
  </w:docVars>
  <w:rsids>
    <w:rsidRoot w:val="00D032F9"/>
    <w:rsid w:val="00001C7E"/>
    <w:rsid w:val="0000244F"/>
    <w:rsid w:val="0000487C"/>
    <w:rsid w:val="00011FEF"/>
    <w:rsid w:val="00013C8B"/>
    <w:rsid w:val="0002269C"/>
    <w:rsid w:val="00023AEF"/>
    <w:rsid w:val="00023D20"/>
    <w:rsid w:val="000250CA"/>
    <w:rsid w:val="00032119"/>
    <w:rsid w:val="000427BD"/>
    <w:rsid w:val="00043739"/>
    <w:rsid w:val="00043C82"/>
    <w:rsid w:val="00046A73"/>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0F7C1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4CA6"/>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E47"/>
    <w:rsid w:val="002005AF"/>
    <w:rsid w:val="00200C1A"/>
    <w:rsid w:val="002052E3"/>
    <w:rsid w:val="00210DC2"/>
    <w:rsid w:val="002110D6"/>
    <w:rsid w:val="002152F9"/>
    <w:rsid w:val="0021530A"/>
    <w:rsid w:val="002212A9"/>
    <w:rsid w:val="00222C74"/>
    <w:rsid w:val="002234FB"/>
    <w:rsid w:val="00225437"/>
    <w:rsid w:val="002260C4"/>
    <w:rsid w:val="002263A1"/>
    <w:rsid w:val="00232746"/>
    <w:rsid w:val="00236707"/>
    <w:rsid w:val="00241116"/>
    <w:rsid w:val="0024328E"/>
    <w:rsid w:val="002508CB"/>
    <w:rsid w:val="002514A7"/>
    <w:rsid w:val="00252A8F"/>
    <w:rsid w:val="00253733"/>
    <w:rsid w:val="00256AC0"/>
    <w:rsid w:val="002573AF"/>
    <w:rsid w:val="00263CC5"/>
    <w:rsid w:val="00271866"/>
    <w:rsid w:val="00276E12"/>
    <w:rsid w:val="00277BB1"/>
    <w:rsid w:val="0028037C"/>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540"/>
    <w:rsid w:val="002F0384"/>
    <w:rsid w:val="002F276B"/>
    <w:rsid w:val="002F28CE"/>
    <w:rsid w:val="002F2CFC"/>
    <w:rsid w:val="002F37D1"/>
    <w:rsid w:val="002F5A28"/>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34E6"/>
    <w:rsid w:val="00355B45"/>
    <w:rsid w:val="00361FA0"/>
    <w:rsid w:val="003662DB"/>
    <w:rsid w:val="00366BC3"/>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38E"/>
    <w:rsid w:val="003F3920"/>
    <w:rsid w:val="003F4D5F"/>
    <w:rsid w:val="00405AD7"/>
    <w:rsid w:val="004071D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071"/>
    <w:rsid w:val="004433A0"/>
    <w:rsid w:val="004436F8"/>
    <w:rsid w:val="00447BAE"/>
    <w:rsid w:val="00450DA4"/>
    <w:rsid w:val="004561B7"/>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828"/>
    <w:rsid w:val="004F4139"/>
    <w:rsid w:val="004F682B"/>
    <w:rsid w:val="00500F93"/>
    <w:rsid w:val="005015BF"/>
    <w:rsid w:val="0050305B"/>
    <w:rsid w:val="00503593"/>
    <w:rsid w:val="005036B1"/>
    <w:rsid w:val="00511177"/>
    <w:rsid w:val="005125C9"/>
    <w:rsid w:val="00515BDD"/>
    <w:rsid w:val="00521B9F"/>
    <w:rsid w:val="005268F8"/>
    <w:rsid w:val="0053028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EB6"/>
    <w:rsid w:val="005D027B"/>
    <w:rsid w:val="005D3400"/>
    <w:rsid w:val="005D3778"/>
    <w:rsid w:val="005D388F"/>
    <w:rsid w:val="005D45F4"/>
    <w:rsid w:val="005D64D2"/>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C43"/>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2E8"/>
    <w:rsid w:val="0069752C"/>
    <w:rsid w:val="006A0DE5"/>
    <w:rsid w:val="006A0F5C"/>
    <w:rsid w:val="006A3677"/>
    <w:rsid w:val="006A5B27"/>
    <w:rsid w:val="006B1653"/>
    <w:rsid w:val="006B4E4E"/>
    <w:rsid w:val="006B5952"/>
    <w:rsid w:val="006B6C5F"/>
    <w:rsid w:val="006B7E39"/>
    <w:rsid w:val="006C2072"/>
    <w:rsid w:val="006C43E7"/>
    <w:rsid w:val="006C4820"/>
    <w:rsid w:val="006C5014"/>
    <w:rsid w:val="006C5872"/>
    <w:rsid w:val="006C60E0"/>
    <w:rsid w:val="006C676D"/>
    <w:rsid w:val="006C69E2"/>
    <w:rsid w:val="006C7825"/>
    <w:rsid w:val="006D0026"/>
    <w:rsid w:val="006D767A"/>
    <w:rsid w:val="006E2A45"/>
    <w:rsid w:val="006E37D4"/>
    <w:rsid w:val="006F3768"/>
    <w:rsid w:val="006F71DE"/>
    <w:rsid w:val="00704573"/>
    <w:rsid w:val="007072CC"/>
    <w:rsid w:val="0071254A"/>
    <w:rsid w:val="007131D2"/>
    <w:rsid w:val="00713917"/>
    <w:rsid w:val="00714570"/>
    <w:rsid w:val="00714AAE"/>
    <w:rsid w:val="00717AF8"/>
    <w:rsid w:val="00720F86"/>
    <w:rsid w:val="00722E77"/>
    <w:rsid w:val="007245F1"/>
    <w:rsid w:val="007247B8"/>
    <w:rsid w:val="0072731C"/>
    <w:rsid w:val="0073056C"/>
    <w:rsid w:val="00733FFE"/>
    <w:rsid w:val="00735B1F"/>
    <w:rsid w:val="00737502"/>
    <w:rsid w:val="00740352"/>
    <w:rsid w:val="00740B3A"/>
    <w:rsid w:val="00740C8B"/>
    <w:rsid w:val="00743263"/>
    <w:rsid w:val="007454B6"/>
    <w:rsid w:val="0074789B"/>
    <w:rsid w:val="00754ABD"/>
    <w:rsid w:val="00754D3B"/>
    <w:rsid w:val="00760D6A"/>
    <w:rsid w:val="0076343C"/>
    <w:rsid w:val="00764C12"/>
    <w:rsid w:val="00774C7D"/>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786"/>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51E"/>
    <w:rsid w:val="00860F34"/>
    <w:rsid w:val="00862AC4"/>
    <w:rsid w:val="0086319B"/>
    <w:rsid w:val="008674A6"/>
    <w:rsid w:val="0087210F"/>
    <w:rsid w:val="00872C4D"/>
    <w:rsid w:val="00873906"/>
    <w:rsid w:val="0087564D"/>
    <w:rsid w:val="00876000"/>
    <w:rsid w:val="0089108B"/>
    <w:rsid w:val="00892EE6"/>
    <w:rsid w:val="008931B4"/>
    <w:rsid w:val="008973A2"/>
    <w:rsid w:val="008A0E76"/>
    <w:rsid w:val="008A42FE"/>
    <w:rsid w:val="008A4F23"/>
    <w:rsid w:val="008A713B"/>
    <w:rsid w:val="008B33E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505"/>
    <w:rsid w:val="008F636A"/>
    <w:rsid w:val="00901E9C"/>
    <w:rsid w:val="0090526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C3"/>
    <w:rsid w:val="009C01EF"/>
    <w:rsid w:val="009C050D"/>
    <w:rsid w:val="009C06D3"/>
    <w:rsid w:val="009C1312"/>
    <w:rsid w:val="009C6DFD"/>
    <w:rsid w:val="009C7060"/>
    <w:rsid w:val="009C73F7"/>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EC7"/>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D67"/>
    <w:rsid w:val="00A81524"/>
    <w:rsid w:val="00A81D60"/>
    <w:rsid w:val="00A81F0D"/>
    <w:rsid w:val="00A8273C"/>
    <w:rsid w:val="00A90163"/>
    <w:rsid w:val="00AA1AC0"/>
    <w:rsid w:val="00AA2F46"/>
    <w:rsid w:val="00AA3A7F"/>
    <w:rsid w:val="00AA3B66"/>
    <w:rsid w:val="00AA5803"/>
    <w:rsid w:val="00AA584F"/>
    <w:rsid w:val="00AB0ECE"/>
    <w:rsid w:val="00AB2843"/>
    <w:rsid w:val="00AB3118"/>
    <w:rsid w:val="00AB6F32"/>
    <w:rsid w:val="00AC1C40"/>
    <w:rsid w:val="00AC46C7"/>
    <w:rsid w:val="00AC4D9D"/>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47D"/>
    <w:rsid w:val="00B04EC7"/>
    <w:rsid w:val="00B06440"/>
    <w:rsid w:val="00B1231F"/>
    <w:rsid w:val="00B17927"/>
    <w:rsid w:val="00B2113E"/>
    <w:rsid w:val="00B2123B"/>
    <w:rsid w:val="00B2410E"/>
    <w:rsid w:val="00B2727D"/>
    <w:rsid w:val="00B279A7"/>
    <w:rsid w:val="00B301A2"/>
    <w:rsid w:val="00B31350"/>
    <w:rsid w:val="00B315A8"/>
    <w:rsid w:val="00B32C3E"/>
    <w:rsid w:val="00B41D37"/>
    <w:rsid w:val="00B45128"/>
    <w:rsid w:val="00B46A4D"/>
    <w:rsid w:val="00B53DB3"/>
    <w:rsid w:val="00B6562C"/>
    <w:rsid w:val="00B660E7"/>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17E3"/>
    <w:rsid w:val="00C5289C"/>
    <w:rsid w:val="00C56008"/>
    <w:rsid w:val="00C56CBC"/>
    <w:rsid w:val="00C617B0"/>
    <w:rsid w:val="00C62D2B"/>
    <w:rsid w:val="00C6344F"/>
    <w:rsid w:val="00C659E2"/>
    <w:rsid w:val="00C669AD"/>
    <w:rsid w:val="00C72510"/>
    <w:rsid w:val="00C72A61"/>
    <w:rsid w:val="00C731CA"/>
    <w:rsid w:val="00C75483"/>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43E"/>
    <w:rsid w:val="00CC1BDF"/>
    <w:rsid w:val="00CC21EC"/>
    <w:rsid w:val="00CC482B"/>
    <w:rsid w:val="00CD105E"/>
    <w:rsid w:val="00CD4AE6"/>
    <w:rsid w:val="00CD4FB3"/>
    <w:rsid w:val="00CD5211"/>
    <w:rsid w:val="00CD57F9"/>
    <w:rsid w:val="00CD5AAB"/>
    <w:rsid w:val="00CD5CD1"/>
    <w:rsid w:val="00CE0BB8"/>
    <w:rsid w:val="00CE54E0"/>
    <w:rsid w:val="00CE5835"/>
    <w:rsid w:val="00CE6FA1"/>
    <w:rsid w:val="00CF1938"/>
    <w:rsid w:val="00CF24CD"/>
    <w:rsid w:val="00D01F0A"/>
    <w:rsid w:val="00D032F9"/>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8F2"/>
    <w:rsid w:val="00D53B1C"/>
    <w:rsid w:val="00D55A7A"/>
    <w:rsid w:val="00D565C3"/>
    <w:rsid w:val="00D568D5"/>
    <w:rsid w:val="00D56B6F"/>
    <w:rsid w:val="00D57878"/>
    <w:rsid w:val="00D60AB7"/>
    <w:rsid w:val="00D6226F"/>
    <w:rsid w:val="00D62A0E"/>
    <w:rsid w:val="00D70E15"/>
    <w:rsid w:val="00D714E5"/>
    <w:rsid w:val="00D7546D"/>
    <w:rsid w:val="00D75C54"/>
    <w:rsid w:val="00D839C5"/>
    <w:rsid w:val="00D84043"/>
    <w:rsid w:val="00D91348"/>
    <w:rsid w:val="00D9140B"/>
    <w:rsid w:val="00D954DE"/>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48F"/>
    <w:rsid w:val="00E76D4C"/>
    <w:rsid w:val="00E81786"/>
    <w:rsid w:val="00E85DE5"/>
    <w:rsid w:val="00E861F0"/>
    <w:rsid w:val="00E90EC0"/>
    <w:rsid w:val="00E944C1"/>
    <w:rsid w:val="00E97D8B"/>
    <w:rsid w:val="00EA5878"/>
    <w:rsid w:val="00EA7F55"/>
    <w:rsid w:val="00EB1CE6"/>
    <w:rsid w:val="00EB1F19"/>
    <w:rsid w:val="00EB7375"/>
    <w:rsid w:val="00EC06EA"/>
    <w:rsid w:val="00EC2660"/>
    <w:rsid w:val="00EC3057"/>
    <w:rsid w:val="00EC47C5"/>
    <w:rsid w:val="00ED0222"/>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55A0"/>
    <w:rsid w:val="00F17B58"/>
    <w:rsid w:val="00F24B23"/>
    <w:rsid w:val="00F25A3F"/>
    <w:rsid w:val="00F27353"/>
    <w:rsid w:val="00F31B7D"/>
    <w:rsid w:val="00F32A17"/>
    <w:rsid w:val="00F32C40"/>
    <w:rsid w:val="00F349CE"/>
    <w:rsid w:val="00F34BAA"/>
    <w:rsid w:val="00F35345"/>
    <w:rsid w:val="00F355CA"/>
    <w:rsid w:val="00F355FB"/>
    <w:rsid w:val="00F40C6B"/>
    <w:rsid w:val="00F41113"/>
    <w:rsid w:val="00F44385"/>
    <w:rsid w:val="00F45C61"/>
    <w:rsid w:val="00F45F59"/>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3C89"/>
    <w:rsid w:val="00F849FF"/>
    <w:rsid w:val="00F86F58"/>
    <w:rsid w:val="00F936BB"/>
    <w:rsid w:val="00F93BAD"/>
    <w:rsid w:val="00F941DD"/>
    <w:rsid w:val="00F95311"/>
    <w:rsid w:val="00F95F8F"/>
    <w:rsid w:val="00FA0A18"/>
    <w:rsid w:val="00FA1BBD"/>
    <w:rsid w:val="00FA2DA3"/>
    <w:rsid w:val="00FA559D"/>
    <w:rsid w:val="00FA70EC"/>
    <w:rsid w:val="00FC1707"/>
    <w:rsid w:val="00FC1C82"/>
    <w:rsid w:val="00FC1D2F"/>
    <w:rsid w:val="00FC45AC"/>
    <w:rsid w:val="00FC4CFF"/>
    <w:rsid w:val="00FC5DE9"/>
    <w:rsid w:val="00FD0415"/>
    <w:rsid w:val="00FD1563"/>
    <w:rsid w:val="00FD44E2"/>
    <w:rsid w:val="00FD48FA"/>
    <w:rsid w:val="00FD73C3"/>
    <w:rsid w:val="00FE04E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CC736"/>
  <w15:chartTrackingRefBased/>
  <w15:docId w15:val="{9DB9DCA3-9BFF-FE4A-97C2-1E59BBB97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3739"/>
    <w:rPr>
      <w:rFonts w:ascii="Calibri" w:hAnsi="Calibri" w:cs="Calibri"/>
    </w:rPr>
  </w:style>
  <w:style w:type="paragraph" w:styleId="Heading1">
    <w:name w:val="heading 1"/>
    <w:aliases w:val="Pocket"/>
    <w:basedOn w:val="Normal"/>
    <w:next w:val="Normal"/>
    <w:link w:val="Heading1Char"/>
    <w:qFormat/>
    <w:rsid w:val="00D032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32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032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D032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32F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D032F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32F9"/>
    <w:rPr>
      <w:color w:val="auto"/>
      <w:u w:val="none"/>
    </w:rPr>
  </w:style>
  <w:style w:type="character" w:customStyle="1" w:styleId="Heading1Char">
    <w:name w:val="Heading 1 Char"/>
    <w:aliases w:val="Pocket Char"/>
    <w:basedOn w:val="DefaultParagraphFont"/>
    <w:link w:val="Heading1"/>
    <w:rsid w:val="00D032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32F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032F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D032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032F9"/>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D032F9"/>
    <w:rPr>
      <w:b w:val="0"/>
      <w:sz w:val="22"/>
      <w:u w:val="single"/>
    </w:rPr>
  </w:style>
  <w:style w:type="character" w:styleId="Strong">
    <w:name w:val="Strong"/>
    <w:basedOn w:val="DefaultParagraphFont"/>
    <w:uiPriority w:val="22"/>
    <w:qFormat/>
    <w:rsid w:val="00D032F9"/>
    <w:rPr>
      <w:b/>
      <w:bCs/>
    </w:rPr>
  </w:style>
  <w:style w:type="character" w:styleId="BookTitle">
    <w:name w:val="Book Title"/>
    <w:basedOn w:val="DefaultParagraphFont"/>
    <w:uiPriority w:val="33"/>
    <w:qFormat/>
    <w:rsid w:val="00D032F9"/>
    <w:rPr>
      <w:b/>
      <w:bCs/>
      <w:i/>
      <w:iCs/>
      <w:spacing w:val="5"/>
    </w:rPr>
  </w:style>
  <w:style w:type="character" w:customStyle="1" w:styleId="Heading5Char">
    <w:name w:val="Heading 5 Char"/>
    <w:basedOn w:val="DefaultParagraphFont"/>
    <w:link w:val="Heading5"/>
    <w:uiPriority w:val="9"/>
    <w:semiHidden/>
    <w:rsid w:val="00D032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32F9"/>
  </w:style>
  <w:style w:type="paragraph" w:styleId="Header">
    <w:name w:val="header"/>
    <w:basedOn w:val="Normal"/>
    <w:link w:val="HeaderChar"/>
    <w:uiPriority w:val="99"/>
    <w:semiHidden/>
    <w:rsid w:val="00D032F9"/>
    <w:pPr>
      <w:tabs>
        <w:tab w:val="center" w:pos="4680"/>
        <w:tab w:val="right" w:pos="9360"/>
      </w:tabs>
    </w:pPr>
  </w:style>
  <w:style w:type="character" w:customStyle="1" w:styleId="HeaderChar">
    <w:name w:val="Header Char"/>
    <w:basedOn w:val="DefaultParagraphFont"/>
    <w:link w:val="Header"/>
    <w:uiPriority w:val="99"/>
    <w:semiHidden/>
    <w:rsid w:val="00D032F9"/>
    <w:rPr>
      <w:rFonts w:ascii="Calibri" w:hAnsi="Calibri" w:cs="Calibri"/>
    </w:rPr>
  </w:style>
  <w:style w:type="paragraph" w:styleId="Footer">
    <w:name w:val="footer"/>
    <w:basedOn w:val="Normal"/>
    <w:link w:val="FooterChar"/>
    <w:uiPriority w:val="99"/>
    <w:semiHidden/>
    <w:rsid w:val="00D032F9"/>
    <w:pPr>
      <w:tabs>
        <w:tab w:val="center" w:pos="4680"/>
        <w:tab w:val="right" w:pos="9360"/>
      </w:tabs>
    </w:pPr>
  </w:style>
  <w:style w:type="character" w:customStyle="1" w:styleId="FooterChar">
    <w:name w:val="Footer Char"/>
    <w:basedOn w:val="DefaultParagraphFont"/>
    <w:link w:val="Footer"/>
    <w:uiPriority w:val="99"/>
    <w:semiHidden/>
    <w:rsid w:val="00D032F9"/>
    <w:rPr>
      <w:rFonts w:ascii="Calibri" w:hAnsi="Calibri" w:cs="Calibri"/>
    </w:rPr>
  </w:style>
  <w:style w:type="paragraph" w:styleId="BodyText">
    <w:name w:val="Body Text"/>
    <w:basedOn w:val="Normal"/>
    <w:link w:val="BodyTextChar"/>
    <w:uiPriority w:val="99"/>
    <w:semiHidden/>
    <w:unhideWhenUsed/>
    <w:rsid w:val="00D032F9"/>
    <w:pPr>
      <w:spacing w:after="120"/>
    </w:pPr>
  </w:style>
  <w:style w:type="character" w:customStyle="1" w:styleId="BodyTextChar">
    <w:name w:val="Body Text Char"/>
    <w:basedOn w:val="DefaultParagraphFont"/>
    <w:link w:val="BodyText"/>
    <w:uiPriority w:val="99"/>
    <w:semiHidden/>
    <w:rsid w:val="00D032F9"/>
    <w:rPr>
      <w:rFonts w:ascii="Calibri" w:hAnsi="Calibri" w:cs="Calibri"/>
    </w:rPr>
  </w:style>
  <w:style w:type="paragraph" w:styleId="NoSpacing">
    <w:name w:val="No Spacing"/>
    <w:link w:val="NoSpacingChar"/>
    <w:uiPriority w:val="99"/>
    <w:unhideWhenUsed/>
    <w:qFormat/>
    <w:rsid w:val="00D032F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032F9"/>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D032F9"/>
    <w:rPr>
      <w:color w:val="0563C1" w:themeColor="hyperlink"/>
      <w:u w:val="single"/>
    </w:rPr>
  </w:style>
  <w:style w:type="character" w:styleId="UnresolvedMention">
    <w:name w:val="Unresolved Mention"/>
    <w:basedOn w:val="DefaultParagraphFont"/>
    <w:uiPriority w:val="99"/>
    <w:semiHidden/>
    <w:unhideWhenUsed/>
    <w:rsid w:val="00D032F9"/>
    <w:rPr>
      <w:color w:val="605E5C"/>
      <w:shd w:val="clear" w:color="auto" w:fill="E1DFDD"/>
    </w:rPr>
  </w:style>
  <w:style w:type="paragraph" w:customStyle="1" w:styleId="Undertag">
    <w:name w:val="Undertag"/>
    <w:link w:val="UndertagChar"/>
    <w:autoRedefine/>
    <w:uiPriority w:val="5"/>
    <w:qFormat/>
    <w:rsid w:val="00D032F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032F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032F9"/>
    <w:rPr>
      <w:color w:val="1F3864" w:themeColor="accent1" w:themeShade="80"/>
    </w:rPr>
  </w:style>
  <w:style w:type="character" w:customStyle="1" w:styleId="AnalyticChar">
    <w:name w:val="Analytic Char"/>
    <w:basedOn w:val="DefaultParagraphFont"/>
    <w:link w:val="Analytic"/>
    <w:uiPriority w:val="5"/>
    <w:rsid w:val="00D032F9"/>
    <w:rPr>
      <w:rFonts w:ascii="Calibri" w:eastAsiaTheme="majorEastAsia" w:hAnsi="Calibri" w:cstheme="majorBidi"/>
      <w:b/>
      <w:iCs/>
      <w:color w:val="1F3864" w:themeColor="accent1" w:themeShade="80"/>
      <w:sz w:val="26"/>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04373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04373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Default">
    <w:name w:val="Default"/>
    <w:uiPriority w:val="99"/>
    <w:qFormat/>
    <w:rsid w:val="00043739"/>
    <w:pPr>
      <w:autoSpaceDE w:val="0"/>
      <w:autoSpaceDN w:val="0"/>
      <w:adjustRightInd w:val="0"/>
      <w:spacing w:after="0" w:line="240" w:lineRule="auto"/>
    </w:pPr>
    <w:rPr>
      <w:rFonts w:ascii="Code" w:hAnsi="Code" w:cs="Code"/>
      <w:color w:val="000000"/>
      <w:sz w:val="24"/>
      <w:szCs w:val="24"/>
    </w:rPr>
  </w:style>
  <w:style w:type="paragraph" w:styleId="FootnoteText">
    <w:name w:val="footnote text"/>
    <w:basedOn w:val="Normal"/>
    <w:link w:val="FootnoteTextChar"/>
    <w:unhideWhenUsed/>
    <w:qFormat/>
    <w:rsid w:val="00043739"/>
    <w:rPr>
      <w:rFonts w:ascii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rsid w:val="00043739"/>
    <w:rPr>
      <w:kern w:val="2"/>
      <w:sz w:val="20"/>
      <w:szCs w:val="20"/>
      <w14:ligatures w14:val="standardContextual"/>
    </w:rPr>
  </w:style>
  <w:style w:type="character" w:styleId="FootnoteReference">
    <w:name w:val="footnote reference"/>
    <w:aliases w:val="a Footnote Reference,Ref,de nota al pie,fr,o,FR,(NECG) Footnote Reference,FN Ref,footnote reference"/>
    <w:basedOn w:val="DefaultParagraphFont"/>
    <w:uiPriority w:val="99"/>
    <w:unhideWhenUsed/>
    <w:qFormat/>
    <w:rsid w:val="00043739"/>
    <w:rPr>
      <w:vertAlign w:val="superscript"/>
    </w:rPr>
  </w:style>
  <w:style w:type="paragraph" w:customStyle="1" w:styleId="Emphasis1">
    <w:name w:val="Emphasis1"/>
    <w:basedOn w:val="Normal"/>
    <w:autoRedefine/>
    <w:uiPriority w:val="8"/>
    <w:qFormat/>
    <w:rsid w:val="0004373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043739"/>
    <w:pPr>
      <w:spacing w:before="100" w:beforeAutospacing="1" w:after="100" w:afterAutospacing="1"/>
    </w:pPr>
    <w:rPr>
      <w:rFonts w:eastAsiaTheme="minorEastAsia"/>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043739"/>
    <w:rPr>
      <w:rFonts w:ascii="Calibri" w:eastAsiaTheme="minorEastAsia" w:hAnsi="Calibri" w:cs="Calibri"/>
      <w:szCs w:val="24"/>
    </w:rPr>
  </w:style>
  <w:style w:type="paragraph" w:customStyle="1" w:styleId="Heading411">
    <w:name w:val="Heading 411"/>
    <w:basedOn w:val="Heading1"/>
    <w:next w:val="NoSpacing"/>
    <w:autoRedefine/>
    <w:uiPriority w:val="99"/>
    <w:qFormat/>
    <w:rsid w:val="0004373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doi/10.1111/inr.12878" TargetMode="External"/><Relationship Id="rId18" Type="http://schemas.openxmlformats.org/officeDocument/2006/relationships/hyperlink" Target="https://pmc.ncbi.nlm.nih.gov/articles/PMC9940494/" TargetMode="External"/><Relationship Id="rId26" Type="http://schemas.openxmlformats.org/officeDocument/2006/relationships/hyperlink" Target="https://www.epi.org/publication/eroded-collective-bargaining/" TargetMode="External"/><Relationship Id="rId39" Type="http://schemas.openxmlformats.org/officeDocument/2006/relationships/hyperlink" Target="https://www.epi.org/publication/rise-of-the-union-curious/" TargetMode="External"/><Relationship Id="rId21" Type="http://schemas.openxmlformats.org/officeDocument/2006/relationships/hyperlink" Target="https://pmc.ncbi.nlm.nih.gov/articles/PMC9940494/" TargetMode="External"/><Relationship Id="rId34" Type="http://schemas.openxmlformats.org/officeDocument/2006/relationships/hyperlink" Target="https://data.epi.org/" TargetMode="External"/><Relationship Id="rId42" Type="http://schemas.openxmlformats.org/officeDocument/2006/relationships/hyperlink" Target="https://www.csls.ca/ipm/41/IPM_41_Mishel.pdf" TargetMode="External"/><Relationship Id="rId47" Type="http://schemas.openxmlformats.org/officeDocument/2006/relationships/hyperlink" Target="https://equitablegrowth.org/raising-minimum-wage-ripples-workforce/" TargetMode="External"/><Relationship Id="rId50" Type="http://schemas.openxmlformats.org/officeDocument/2006/relationships/hyperlink" Target="https://equitablegrowth.org/raising-minimum-wage-ripples-workforce/" TargetMode="External"/><Relationship Id="rId55" Type="http://schemas.openxmlformats.org/officeDocument/2006/relationships/hyperlink" Target="https://www.pbs.org/newshour/politics/michigan-becomes-1st-state-in-decades-to-repeal-right-to-work-law"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mc.ncbi.nlm.nih.gov/articles/PMC9940494/" TargetMode="External"/><Relationship Id="rId29" Type="http://schemas.openxmlformats.org/officeDocument/2006/relationships/hyperlink" Target="https://www.epi.org/publication/eroded-collective-bargaining/" TargetMode="External"/><Relationship Id="rId11" Type="http://schemas.openxmlformats.org/officeDocument/2006/relationships/hyperlink" Target="https://doi.org/10.1177/0969733021102241" TargetMode="External"/><Relationship Id="rId24" Type="http://schemas.openxmlformats.org/officeDocument/2006/relationships/hyperlink" Target="https://www.epi.org/publication/eroded-collective-bargaining/" TargetMode="External"/><Relationship Id="rId32" Type="http://schemas.openxmlformats.org/officeDocument/2006/relationships/hyperlink" Target="https://www.epi.org/publication/eroded-collective-bargaining/" TargetMode="External"/><Relationship Id="rId37" Type="http://schemas.openxmlformats.org/officeDocument/2006/relationships/hyperlink" Target="https://www.briefingbook.info/p/deliberate-policy-decisions-have" TargetMode="External"/><Relationship Id="rId40" Type="http://schemas.openxmlformats.org/officeDocument/2006/relationships/hyperlink" Target="https://www.epi.org/publication/co-union-law/" TargetMode="External"/><Relationship Id="rId45" Type="http://schemas.openxmlformats.org/officeDocument/2006/relationships/hyperlink" Target="https://www.nlrbedge.com/p/timeline-of-notable-nlrb-events-during" TargetMode="External"/><Relationship Id="rId53" Type="http://schemas.openxmlformats.org/officeDocument/2006/relationships/hyperlink" Target="https://aflcio.org/issues/right-work" TargetMode="External"/><Relationship Id="rId58" Type="http://schemas.openxmlformats.org/officeDocument/2006/relationships/hyperlink" Target="https://www.dgpfirm.com/faqs/do-unions-actually-increase-wages/" TargetMode="External"/><Relationship Id="rId5" Type="http://schemas.openxmlformats.org/officeDocument/2006/relationships/webSettings" Target="webSettings.xml"/><Relationship Id="rId19" Type="http://schemas.openxmlformats.org/officeDocument/2006/relationships/hyperlink" Target="https://pmc.ncbi.nlm.nih.gov/articles/PMC9940494/" TargetMode="External"/><Relationship Id="rId4" Type="http://schemas.openxmlformats.org/officeDocument/2006/relationships/settings" Target="settings.xml"/><Relationship Id="rId9" Type="http://schemas.openxmlformats.org/officeDocument/2006/relationships/hyperlink" Target="https://www.fairobserver.com/world-news/how-shrewd-legislation-crippled-the-american-labor-movement/" TargetMode="External"/><Relationship Id="rId14" Type="http://schemas.openxmlformats.org/officeDocument/2006/relationships/hyperlink" Target="https://muse.jhu.edu/pub/122/article/945429" TargetMode="External"/><Relationship Id="rId22" Type="http://schemas.openxmlformats.org/officeDocument/2006/relationships/hyperlink" Target="https://www.epi.org/publication/eroded-collective-bargaining/" TargetMode="External"/><Relationship Id="rId27" Type="http://schemas.openxmlformats.org/officeDocument/2006/relationships/hyperlink" Target="https://www.epi.org/publication/eroded-collective-bargaining/" TargetMode="External"/><Relationship Id="rId30" Type="http://schemas.openxmlformats.org/officeDocument/2006/relationships/hyperlink" Target="https://www.epi.org/publication/eroded-collective-bargaining/" TargetMode="External"/><Relationship Id="rId35" Type="http://schemas.openxmlformats.org/officeDocument/2006/relationships/hyperlink" Target="https://data.epi.org/" TargetMode="External"/><Relationship Id="rId43" Type="http://schemas.openxmlformats.org/officeDocument/2006/relationships/hyperlink" Target="https://www.epi.org/publication/millions-of-workers-millions-of-workers-want-to-join-unions-but-couldnt/" TargetMode="External"/><Relationship Id="rId48" Type="http://schemas.openxmlformats.org/officeDocument/2006/relationships/hyperlink" Target="https://doi.org/10.1093/qje/qjaa031" TargetMode="External"/><Relationship Id="rId56" Type="http://schemas.openxmlformats.org/officeDocument/2006/relationships/hyperlink" Target="https://www.warren.senate.gov/imo/media/doc/bon25461.pdf" TargetMode="External"/><Relationship Id="rId8" Type="http://schemas.openxmlformats.org/officeDocument/2006/relationships/hyperlink" Target="https://papers.ssrn.com/sol3/papers.cfm?abstract_id=6009095" TargetMode="External"/><Relationship Id="rId51" Type="http://schemas.openxmlformats.org/officeDocument/2006/relationships/hyperlink" Target="https://www.theguardian.com/us-news/2025/sep/08/us-union-membership-report" TargetMode="External"/><Relationship Id="rId3" Type="http://schemas.openxmlformats.org/officeDocument/2006/relationships/styles" Target="styles.xml"/><Relationship Id="rId12" Type="http://schemas.openxmlformats.org/officeDocument/2006/relationships/hyperlink" Target="https://journals.lww.com/healthcaremanagerjournal/fulltext/2019/01000/still_an_epidemic__the_burnout_syndrome_in.2.aspx" TargetMode="External"/><Relationship Id="rId17" Type="http://schemas.openxmlformats.org/officeDocument/2006/relationships/hyperlink" Target="https://pmc.ncbi.nlm.nih.gov/articles/PMC9940494/" TargetMode="External"/><Relationship Id="rId25" Type="http://schemas.openxmlformats.org/officeDocument/2006/relationships/hyperlink" Target="https://www.epi.org/publication/eroded-collective-bargaining/" TargetMode="External"/><Relationship Id="rId33" Type="http://schemas.openxmlformats.org/officeDocument/2006/relationships/hyperlink" Target="https://data.epi.org/" TargetMode="External"/><Relationship Id="rId38" Type="http://schemas.openxmlformats.org/officeDocument/2006/relationships/hyperlink" Target="https://www.briefingbook.info/p/deliberate-policy-decisions-have" TargetMode="External"/><Relationship Id="rId46" Type="http://schemas.openxmlformats.org/officeDocument/2006/relationships/hyperlink" Target="https://data.epi.org/minimum_wage/minimum_wage_levels/line/month/national/real_minimum_wage_2024m12/overall?timeStart=1968-02-01&amp;timeEnd=2024-12-01&amp;dateString=2024-12-01&amp;highlightedLines=overall&amp;fitScale" TargetMode="External"/><Relationship Id="rId59" Type="http://schemas.openxmlformats.org/officeDocument/2006/relationships/fontTable" Target="fontTable.xml"/><Relationship Id="rId20" Type="http://schemas.openxmlformats.org/officeDocument/2006/relationships/hyperlink" Target="https://pmc.ncbi.nlm.nih.gov/articles/PMC9940494/" TargetMode="External"/><Relationship Id="rId41" Type="http://schemas.openxmlformats.org/officeDocument/2006/relationships/hyperlink" Target="https://doi.org/10.1086/712923" TargetMode="External"/><Relationship Id="rId54" Type="http://schemas.openxmlformats.org/officeDocument/2006/relationships/hyperlink" Target="https://www.theguardian.com/us-news/2018/jun/27/supreme-court-unions-fair-share-rul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mc.ncbi.nlm.nih.gov/articles/PMC9940494/" TargetMode="External"/><Relationship Id="rId23" Type="http://schemas.openxmlformats.org/officeDocument/2006/relationships/hyperlink" Target="https://www.epi.org/publication/eroded-collective-bargaining/" TargetMode="External"/><Relationship Id="rId28" Type="http://schemas.openxmlformats.org/officeDocument/2006/relationships/hyperlink" Target="https://www.epi.org/publication/eroded-collective-bargaining/" TargetMode="External"/><Relationship Id="rId36" Type="http://schemas.openxmlformats.org/officeDocument/2006/relationships/hyperlink" Target="https://data.epi.org/wages/hourly_wage_percentiles/line/year/national/real_wage_2024/wage_percentile?timeStart=1973-01-01&amp;timeEnd=2024-01-01&amp;dateString=2024-01-01&amp;highlightedLines=wage_p10&amp;highlightedLines=wage_p90" TargetMode="External"/><Relationship Id="rId49" Type="http://schemas.openxmlformats.org/officeDocument/2006/relationships/hyperlink" Target="https://doi.org/10.1016/j.labeco.2023.102344" TargetMode="External"/><Relationship Id="rId57" Type="http://schemas.openxmlformats.org/officeDocument/2006/relationships/hyperlink" Target="https://newrepublic.com/article/175533/right-to-work-laws-screw-working-class" TargetMode="External"/><Relationship Id="rId10" Type="http://schemas.openxmlformats.org/officeDocument/2006/relationships/hyperlink" Target="https://doi.org/10.1177/19427786241227171?urlappend=%3Futm_source%3Dresearchgate.net%26utm_medium%3Darticle" TargetMode="External"/><Relationship Id="rId31" Type="http://schemas.openxmlformats.org/officeDocument/2006/relationships/hyperlink" Target="https://www.epi.org/publication/eroded-collective-bargaining/" TargetMode="External"/><Relationship Id="rId44" Type="http://schemas.openxmlformats.org/officeDocument/2006/relationships/hyperlink" Target="https://www.piie.com/publications/working-papers/2021/do-us-firms-have-incentive-comply-flsa-and-nlra" TargetMode="External"/><Relationship Id="rId52" Type="http://schemas.openxmlformats.org/officeDocument/2006/relationships/hyperlink" Target="https://illinoisupdate.com/wp-content/uploads/2025/08/state-of-the-unions-2025-1.pdf"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ah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1</Pages>
  <Words>21631</Words>
  <Characters>125765</Characters>
  <Application>Microsoft Office Word</Application>
  <DocSecurity>0</DocSecurity>
  <Lines>1048</Lines>
  <Paragraphs>294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Ashaz Rahman</dc:creator>
  <cp:keywords>6.0.0</cp:keywords>
  <dc:description/>
  <cp:lastModifiedBy>Rahman, Ashaz</cp:lastModifiedBy>
  <cp:revision>69</cp:revision>
  <dcterms:created xsi:type="dcterms:W3CDTF">2026-02-01T18:56:00Z</dcterms:created>
  <dcterms:modified xsi:type="dcterms:W3CDTF">2026-02-02T01:07:00Z</dcterms:modified>
</cp:coreProperties>
</file>